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EEF" w:rsidRDefault="00896BE4" w:rsidP="00896BE4">
      <w:pPr>
        <w:spacing w:after="0"/>
      </w:pPr>
      <w:r>
        <w:t>Katie Acreman</w:t>
      </w:r>
    </w:p>
    <w:p w:rsidR="00896BE4" w:rsidRDefault="00896BE4" w:rsidP="00896BE4">
      <w:pPr>
        <w:spacing w:after="0"/>
      </w:pPr>
      <w:r>
        <w:t>PC 6786 South Wales Police</w:t>
      </w:r>
    </w:p>
    <w:p w:rsidR="00896BE4" w:rsidRDefault="00896BE4" w:rsidP="00896BE4">
      <w:pPr>
        <w:spacing w:after="0"/>
      </w:pPr>
      <w:r>
        <w:t>Student No: 2016912</w:t>
      </w:r>
    </w:p>
    <w:p w:rsidR="00896BE4" w:rsidRDefault="00896BE4" w:rsidP="00896BE4">
      <w:pPr>
        <w:spacing w:after="0"/>
      </w:pPr>
      <w:r>
        <w:t>Exam 2 – 18/02/2021</w:t>
      </w:r>
    </w:p>
    <w:p w:rsidR="00224EEF" w:rsidRDefault="00224EEF" w:rsidP="00896BE4">
      <w:pPr>
        <w:spacing w:after="0"/>
      </w:pPr>
    </w:p>
    <w:p w:rsidR="008302E2" w:rsidRDefault="00224EEF" w:rsidP="00224EEF">
      <w:pPr>
        <w:spacing w:after="0"/>
      </w:pPr>
      <w:r>
        <w:t xml:space="preserve">1. </w:t>
      </w:r>
      <w:r w:rsidR="0072398A">
        <w:t>A constable may stop a vehicle on a road or other public place if he has reason to believe the person may have been involved in a road traffic accident. Or if the constabl</w:t>
      </w:r>
      <w:r w:rsidR="00DA4575">
        <w:t xml:space="preserve">e believes whilst being disqualified from holding or obtaining a licence, he has obtained a licence or driven a motor vehicle on a road or other public place. </w:t>
      </w:r>
    </w:p>
    <w:p w:rsidR="00DA4575" w:rsidRDefault="00DA4575" w:rsidP="00224EEF">
      <w:pPr>
        <w:spacing w:after="0"/>
      </w:pPr>
    </w:p>
    <w:p w:rsidR="008302E2" w:rsidRDefault="008302E2" w:rsidP="00224EEF">
      <w:pPr>
        <w:spacing w:after="0"/>
      </w:pPr>
      <w:r>
        <w:t xml:space="preserve">2. If constable has reasonable suspicion that a person has committed an offence, whilst their vehicle is in motion, and an accident has occurred owing to the presence of the vehicle on a road, they have the power to require preliminary tests from that person to establish if an offence has been committed. </w:t>
      </w:r>
      <w:r w:rsidR="00DA4575">
        <w:t>They believe the person to have had alcohol or a controlled drug in their system.</w:t>
      </w:r>
    </w:p>
    <w:p w:rsidR="008302E2" w:rsidRDefault="008302E2" w:rsidP="00224EEF">
      <w:pPr>
        <w:spacing w:after="0"/>
      </w:pPr>
    </w:p>
    <w:p w:rsidR="000763E9" w:rsidRPr="006A5D5C" w:rsidRDefault="008302E2" w:rsidP="000763E9">
      <w:r>
        <w:t>3.</w:t>
      </w:r>
      <w:r w:rsidR="000763E9">
        <w:t xml:space="preserve"> A person is guilty of an offence of driving without due care and attention or reasonable consideration if they drive their vehicle without regard for other road users and must cause some inconvenience to other road users.</w:t>
      </w:r>
    </w:p>
    <w:p w:rsidR="008302E2" w:rsidRDefault="000763E9" w:rsidP="00224EEF">
      <w:pPr>
        <w:spacing w:after="0"/>
      </w:pPr>
      <w:r>
        <w:t>4.</w:t>
      </w:r>
      <w:r w:rsidR="0072398A">
        <w:t xml:space="preserve"> Automatism</w:t>
      </w:r>
    </w:p>
    <w:p w:rsidR="0072398A" w:rsidRDefault="0072398A" w:rsidP="00224EEF">
      <w:pPr>
        <w:spacing w:after="0"/>
      </w:pPr>
      <w:r>
        <w:t>Unconsciousness/Illness</w:t>
      </w:r>
    </w:p>
    <w:p w:rsidR="0072398A" w:rsidRDefault="0072398A" w:rsidP="00224EEF">
      <w:pPr>
        <w:spacing w:after="0"/>
      </w:pPr>
      <w:r>
        <w:t>Duress</w:t>
      </w:r>
    </w:p>
    <w:p w:rsidR="00DA4575" w:rsidRDefault="00DA4575" w:rsidP="00224EEF">
      <w:pPr>
        <w:spacing w:after="0"/>
      </w:pPr>
      <w:r>
        <w:t>Unexpected failure in vehicle</w:t>
      </w:r>
    </w:p>
    <w:p w:rsidR="000763E9" w:rsidRDefault="000763E9" w:rsidP="00224EEF">
      <w:pPr>
        <w:spacing w:after="0"/>
      </w:pPr>
    </w:p>
    <w:p w:rsidR="000763E9" w:rsidRDefault="000763E9" w:rsidP="00224EEF">
      <w:pPr>
        <w:spacing w:after="0"/>
      </w:pPr>
      <w:r>
        <w:t>5.</w:t>
      </w:r>
      <w:r w:rsidR="0072398A">
        <w:t xml:space="preserve"> 165A gives constables the power to seize any vehicle which he has reasonable cause to believe to have been involved in a road traffic collision.</w:t>
      </w:r>
      <w:r w:rsidR="00C531E4">
        <w:t xml:space="preserve"> Vehicles are seized until the owner provides insurance proof, driving licence and pays off any existing fees of the tow company. </w:t>
      </w:r>
    </w:p>
    <w:p w:rsidR="000763E9" w:rsidRDefault="000763E9" w:rsidP="00224EEF">
      <w:pPr>
        <w:spacing w:after="0"/>
      </w:pPr>
    </w:p>
    <w:p w:rsidR="0072398A" w:rsidRDefault="000763E9" w:rsidP="00224EEF">
      <w:pPr>
        <w:spacing w:after="0"/>
      </w:pPr>
      <w:r>
        <w:t>6.</w:t>
      </w:r>
      <w:r w:rsidR="0072398A">
        <w:t xml:space="preserve"> An offence has occurred if the driver has driven a motor vehicle and has caused personal injury to any person (other than the driver of the MV), or damage to any vehicle (other than the vehicle or trailer driven by that person), or to any animal in or on a vehicle or in a trailer pulled by a vehicle (other than that driver’s vehicle), or </w:t>
      </w:r>
      <w:r w:rsidR="00C531E4">
        <w:t>to anything built on, growing in the land, or to any property or thing adjacent to the land on which the incident took place.</w:t>
      </w:r>
    </w:p>
    <w:p w:rsidR="000763E9" w:rsidRDefault="000763E9" w:rsidP="00224EEF">
      <w:pPr>
        <w:spacing w:after="0"/>
      </w:pPr>
    </w:p>
    <w:p w:rsidR="000763E9" w:rsidRDefault="000763E9" w:rsidP="00224EEF">
      <w:pPr>
        <w:spacing w:after="0"/>
      </w:pPr>
      <w:r>
        <w:t xml:space="preserve">7. </w:t>
      </w:r>
      <w:r w:rsidRPr="006B7D5F">
        <w:t>Define the following terms: ‘Road’; ‘Public Place’; ‘Mechanically Propelled Vehicle’; ‘Animal’</w:t>
      </w:r>
    </w:p>
    <w:p w:rsidR="000763E9" w:rsidRDefault="000763E9" w:rsidP="00224EEF">
      <w:pPr>
        <w:spacing w:after="0"/>
      </w:pPr>
      <w:r>
        <w:t>A road is any highway on which the public have access, including any bridges on which they run under.</w:t>
      </w:r>
    </w:p>
    <w:p w:rsidR="000763E9" w:rsidRDefault="000763E9" w:rsidP="00224EEF">
      <w:pPr>
        <w:spacing w:after="0"/>
      </w:pPr>
      <w:r>
        <w:t>A public place is any place to which the public have access, whether payment is required or otherwise. This does not cover, however, any places that only allow access from certain groups/clubs of people.</w:t>
      </w:r>
    </w:p>
    <w:p w:rsidR="000763E9" w:rsidRDefault="000763E9" w:rsidP="00224EEF">
      <w:pPr>
        <w:spacing w:after="0"/>
      </w:pPr>
      <w:r>
        <w:t>A mechanically propelled vehicle is a vehicle that has been adapted to be propelled mechanically. Mechanically propelled vehicles are usually powered through Steam, Electric, Petrol, Diesel, Oil or Gas.</w:t>
      </w:r>
    </w:p>
    <w:p w:rsidR="000763E9" w:rsidRDefault="000763E9" w:rsidP="00224EEF">
      <w:pPr>
        <w:spacing w:after="0"/>
      </w:pPr>
      <w:r>
        <w:t>An animal is considered property for the purpose of the Road Traffic Act, rather than a living thing. Animals are those considered to be of proprietary gain/worth and include; cattle, horses, dogs, pigs but does not cover cats.</w:t>
      </w:r>
    </w:p>
    <w:p w:rsidR="000763E9" w:rsidRDefault="000763E9" w:rsidP="00224EEF">
      <w:pPr>
        <w:spacing w:after="0"/>
      </w:pPr>
    </w:p>
    <w:p w:rsidR="000763E9" w:rsidRDefault="000763E9" w:rsidP="00224EEF">
      <w:pPr>
        <w:spacing w:after="0"/>
      </w:pPr>
      <w:r>
        <w:lastRenderedPageBreak/>
        <w:t>8.</w:t>
      </w:r>
      <w:r w:rsidR="00C531E4">
        <w:t xml:space="preserve"> A traffic collision involving injury/death to any persons, or damage to any vehicles/ property  or any road signage must reported. The driver must report to the correct authorities such as police or local councils (where damage to signs etc has been committed). The driver must stay at the scene long enough for them to provide personal details such as name, address, vehicle and registration, insurance etc to police. </w:t>
      </w:r>
    </w:p>
    <w:p w:rsidR="000763E9" w:rsidRDefault="000763E9" w:rsidP="00224EEF">
      <w:pPr>
        <w:spacing w:after="0"/>
      </w:pPr>
    </w:p>
    <w:p w:rsidR="000763E9" w:rsidRDefault="000763E9" w:rsidP="00224EEF">
      <w:pPr>
        <w:spacing w:after="0"/>
      </w:pPr>
      <w:r>
        <w:t>9.</w:t>
      </w:r>
      <w:r w:rsidR="00C531E4">
        <w:t xml:space="preserve"> Section 6E enables police to enter a premises where they believe a person to be, who has driven a motor vehicle on a road or other public place, whilst under the influence of alcohol and/or drugs. The constable must believe that the acronym SAM applies so suspected of driving under the influence, an accident has occurred and or a moving traffic offence has been committed whilst the driver was driving or has driven their car whilst unfit through drink or drugs. </w:t>
      </w:r>
    </w:p>
    <w:p w:rsidR="000763E9" w:rsidRDefault="000763E9" w:rsidP="00224EEF">
      <w:pPr>
        <w:spacing w:after="0"/>
      </w:pPr>
    </w:p>
    <w:p w:rsidR="000763E9" w:rsidRDefault="000763E9" w:rsidP="00224EEF">
      <w:pPr>
        <w:spacing w:after="0"/>
      </w:pPr>
      <w:r>
        <w:t>10. A person who causes the death of another person by driving a mechanically propelled vehicle dangerously on a road or other public place is guilty of an offence.</w:t>
      </w:r>
    </w:p>
    <w:p w:rsidR="000763E9" w:rsidRDefault="000763E9" w:rsidP="00224EEF">
      <w:pPr>
        <w:spacing w:after="0"/>
      </w:pPr>
    </w:p>
    <w:p w:rsidR="00630BD8" w:rsidRDefault="000763E9" w:rsidP="00630BD8">
      <w:pPr>
        <w:spacing w:after="0"/>
      </w:pPr>
      <w:r>
        <w:t xml:space="preserve">11. </w:t>
      </w:r>
      <w:r w:rsidR="00630BD8">
        <w:t>The prescribed limit of alcohol for drink driving offences is as follows:</w:t>
      </w:r>
    </w:p>
    <w:p w:rsidR="000763E9" w:rsidRDefault="000763E9" w:rsidP="00630BD8">
      <w:pPr>
        <w:spacing w:after="0"/>
      </w:pPr>
      <w:r>
        <w:t>35 Micrograms of alcohol in 100 ml of breath</w:t>
      </w:r>
    </w:p>
    <w:p w:rsidR="000763E9" w:rsidRDefault="000763E9" w:rsidP="00630BD8">
      <w:pPr>
        <w:spacing w:after="0"/>
      </w:pPr>
      <w:r>
        <w:t>80 milligrams of alcohol in 100 ml of blood</w:t>
      </w:r>
    </w:p>
    <w:p w:rsidR="00630BD8" w:rsidRDefault="000763E9" w:rsidP="00630BD8">
      <w:pPr>
        <w:spacing w:after="0"/>
      </w:pPr>
      <w:r>
        <w:t>107 milligra</w:t>
      </w:r>
      <w:r w:rsidR="00630BD8">
        <w:t>ms of alcohol in 100 ml of urine</w:t>
      </w:r>
    </w:p>
    <w:p w:rsidR="00630BD8" w:rsidRDefault="00630BD8" w:rsidP="00630BD8">
      <w:pPr>
        <w:spacing w:after="0"/>
      </w:pPr>
      <w:r>
        <w:t>The prescribed limit of controlled drugs in the system is as follows:</w:t>
      </w:r>
    </w:p>
    <w:p w:rsidR="00630BD8" w:rsidRDefault="00630BD8" w:rsidP="00630BD8">
      <w:pPr>
        <w:spacing w:after="0"/>
      </w:pPr>
      <w:r>
        <w:t>10 micrograms of Cocaine in 1 litre of blood</w:t>
      </w:r>
    </w:p>
    <w:p w:rsidR="00630BD8" w:rsidRDefault="00630BD8" w:rsidP="00630BD8">
      <w:pPr>
        <w:spacing w:after="0"/>
      </w:pPr>
      <w:r>
        <w:t>2 micrograms of THC in 1 litre of blood</w:t>
      </w:r>
    </w:p>
    <w:p w:rsidR="00630BD8" w:rsidRDefault="00630BD8" w:rsidP="00630BD8">
      <w:pPr>
        <w:spacing w:after="0"/>
      </w:pPr>
    </w:p>
    <w:p w:rsidR="00630BD8" w:rsidRDefault="00630BD8" w:rsidP="00630BD8">
      <w:pPr>
        <w:spacing w:after="0"/>
      </w:pPr>
      <w:r>
        <w:t xml:space="preserve">12. In suspect interviewing, there may be various ‘relevant others’ present in addition to the lead officer, second officer and suspect. It is a human right to receive free and independent legal advice and so if required, there may be a solicitor present to provide legal advice in terms of the actual interview and the overall case process. The solicitor advises the client to suit their best interest whether that would be through answering ‘no comment’, remaining silent, a full denial, part denial or admission. Another example of a relevant other would be an interpreter. If the suspect’s first language is one other than English, they are entitled access to an interpreter. Their job is not to advise the client regarding legalities, but simply to translate from the officer/s to the suspect and from suspect to officers. The interpreter must also transcribe the translations and anything said by the suspect, and this must be submitted as their exhibit. A third example of a ‘relevant other’ would be an appropriate adult. Their duty is to provide support to the suspect throughout the interview, ensuring they understand the questions asked by the police officer as well as the overall process. They come in various forms including but not limited to; parents (if appropriate), independent appropriate adults, appropriate adults provided by charities. Their role is simply to support and </w:t>
      </w:r>
      <w:r w:rsidR="00F043D4">
        <w:t xml:space="preserve"> they </w:t>
      </w:r>
      <w:r>
        <w:t>are not there to answer for the suspect</w:t>
      </w:r>
      <w:r w:rsidR="00F043D4">
        <w:t>, nor to intimidate them. The suspect should be asked if they agree that the appropriate adult is in fact, appropriate.</w:t>
      </w:r>
    </w:p>
    <w:p w:rsidR="00F043D4" w:rsidRDefault="00F043D4" w:rsidP="00630BD8">
      <w:pPr>
        <w:spacing w:after="0"/>
      </w:pPr>
    </w:p>
    <w:p w:rsidR="00F043D4" w:rsidRDefault="00F043D4" w:rsidP="00630BD8">
      <w:pPr>
        <w:spacing w:after="0"/>
      </w:pPr>
      <w:r>
        <w:t xml:space="preserve">13. The National Police Interviewing Model consists of various parts. The overall model is known as the ‘PEACE’ model and each letter of the acronym represents a different section of the interviewing process. Although the model applies to both suspect and witness interviewing, the model should be slightly adapted for each. </w:t>
      </w:r>
    </w:p>
    <w:p w:rsidR="00F043D4" w:rsidRDefault="00F043D4" w:rsidP="00630BD8">
      <w:pPr>
        <w:spacing w:after="0"/>
      </w:pPr>
      <w:r>
        <w:t xml:space="preserve">The first section is ‘Planning and preparation’ and relates to the officer’s organisational points prior to interview. For witness interviews, an officer should consider the age, gender and any vulnerabilities the person may have. They should also consider the gender of interviewing officers, particularly where the witness has been a victim to sexual assaults etc. The officer should also </w:t>
      </w:r>
      <w:r>
        <w:lastRenderedPageBreak/>
        <w:t>consider the location of where the interview will be held and if the witness can easily access/attend. Officers can also utilise different, more comfortable rooms if the witness is particularly vulnerable or nervous to make them feel more at ease. When planning for suspect interviews, the officer must also consider the location, as well as where the suspect will be coming from, whether custody or elsewhere. The officer must communicate with the custody sergeant as to timings of the interview, to ensure there is enough time left on ‘the clock’. The officer must also arrange and communicate with solicitors/legal advisers, any appropriate adults or interpreters.</w:t>
      </w:r>
    </w:p>
    <w:p w:rsidR="00F043D4" w:rsidRDefault="00F043D4" w:rsidP="00630BD8">
      <w:pPr>
        <w:spacing w:after="0"/>
      </w:pPr>
      <w:r>
        <w:t>The second part of the interviewing model is the ‘Engage and Explain’ section. Interviewing officers must communicate clearly with the person being interview. In witness interviewing, officers should apply the G and 3R model – Greeting, Reason, Routine, Route Map – to ensure the witness understands the process. Opening contact with a thorough greeting will help to ensure the person feels at ease</w:t>
      </w:r>
      <w:r w:rsidR="009C08CB">
        <w:t>. The Reason part will establish why the witness is here today, e.g. to provide witness details of a theft. The Routine section explains the process of the interview at that particular time, the officer will get the person to give their 1</w:t>
      </w:r>
      <w:r w:rsidR="009C08CB" w:rsidRPr="009C08CB">
        <w:rPr>
          <w:vertAlign w:val="superscript"/>
        </w:rPr>
        <w:t>st</w:t>
      </w:r>
      <w:r w:rsidR="009C08CB">
        <w:t xml:space="preserve"> account of the incident, from which, the officer will pick out key topics and probe further on these. The Route-map part will explain the overall process to the witness; a statement will be written up by the officer from the notes, another meeting will be arranged so witness can read and sign if they are happy it is a true account and then there may be a possibility of going to court. The G3R model can also be used for suspect interviewing, although would not be utitlised to necessarily make them feel at ease. For suspect interviewing, the officer would also read out the Memo card at this stage, to explain the suspect’s right to legal rights etc as well as the purpose of the interview and the importance of establishing the truth.</w:t>
      </w:r>
    </w:p>
    <w:p w:rsidR="009C08CB" w:rsidRDefault="009C08CB" w:rsidP="00630BD8">
      <w:pPr>
        <w:spacing w:after="0"/>
      </w:pPr>
      <w:r>
        <w:t xml:space="preserve">The next part of the PEACE model is the ‘Account’, the officer will let the witness talk freely whilst giving their narrative and the officer will not interrupt. Once the witness has provided this, the officer will select key topics from the notes they have made and probe further on each one. Ensuring to pass over to second jockey if present and to summarise after each one. This process is slightly different for suspect interviewing. The police officer will first ask 3 main questions from the </w:t>
      </w:r>
      <w:r w:rsidR="004A02D1">
        <w:t>memo card hold</w:t>
      </w:r>
      <w:r>
        <w:t xml:space="preserve">ing to get an account from the suspect. </w:t>
      </w:r>
      <w:r w:rsidR="004A02D1">
        <w:t>However</w:t>
      </w:r>
      <w:r>
        <w:t xml:space="preserve"> depending on what interview form, the suspect takes, the officer will then enter their police agenda phase, hoping to clarify points already made by the suspect/ask further questions. Officers should use the PLAT (People, Locations, Actions, Time), Four phase and Cone models to help with </w:t>
      </w:r>
      <w:r w:rsidR="004A02D1">
        <w:t>questioning</w:t>
      </w:r>
      <w:r>
        <w:t xml:space="preserve"> and to cover </w:t>
      </w:r>
      <w:r w:rsidR="004A02D1">
        <w:t>all avenues.</w:t>
      </w:r>
    </w:p>
    <w:p w:rsidR="004A02D1" w:rsidRDefault="004A02D1" w:rsidP="00630BD8">
      <w:pPr>
        <w:spacing w:after="0"/>
      </w:pPr>
      <w:r>
        <w:t>The next stages of PEACE is evaluation and closure, in which the officer confirms the information they have received from the interview and considers what went well and things to improve on next time. For suspect interviewing, the officer would read the last section of the memo card verbatim and record the end time. For witnesses, officer should re-emphasise the next stages of the process, ensure to swap contact details</w:t>
      </w:r>
      <w:r w:rsidR="00C531E4">
        <w:t xml:space="preserve"> and thank them for their time.</w:t>
      </w:r>
    </w:p>
    <w:p w:rsidR="004A02D1" w:rsidRDefault="004A02D1" w:rsidP="00630BD8">
      <w:pPr>
        <w:spacing w:after="0"/>
      </w:pPr>
    </w:p>
    <w:p w:rsidR="004A02D1" w:rsidRDefault="004A02D1" w:rsidP="00630BD8">
      <w:pPr>
        <w:spacing w:after="0"/>
      </w:pPr>
      <w:r>
        <w:t xml:space="preserve">14. </w:t>
      </w:r>
      <w:r w:rsidR="005E646E">
        <w:t xml:space="preserve">Controlling and coercive behaviour in an intimate or family relationship is the manipulation and isolation caused by the offender to the victim. This can be for the financial / egotistical gain of the offender, in which they take over control of the victim’s personal life and finances. They do not allow the victim to live freely and often even control person by timing their every activity. The main factors of coercive control are; Surveillance, physical abuse, financial, </w:t>
      </w:r>
    </w:p>
    <w:p w:rsidR="004A02D1" w:rsidRDefault="004A02D1" w:rsidP="00630BD8">
      <w:pPr>
        <w:spacing w:after="0"/>
      </w:pPr>
    </w:p>
    <w:p w:rsidR="004A02D1" w:rsidRDefault="004A02D1" w:rsidP="00630BD8">
      <w:pPr>
        <w:spacing w:after="0"/>
      </w:pPr>
      <w:r>
        <w:t>15.</w:t>
      </w:r>
      <w:r w:rsidR="005E646E">
        <w:t xml:space="preserve"> The offence of Coercive Control is very important because it now enables the potential prosecution of offenders even in cases when physical or sexual assaults have not taken place. It has made an offence for persons to control their partner/family member through sections of the Pluth wheel model such as financial, verbal abuse and forced isolation of the victim. It also can be prosecuted without a victim, which benefits cases where the victim may be too fearful.</w:t>
      </w:r>
    </w:p>
    <w:p w:rsidR="004A02D1" w:rsidRDefault="004A02D1" w:rsidP="00630BD8">
      <w:pPr>
        <w:spacing w:after="0"/>
      </w:pPr>
    </w:p>
    <w:p w:rsidR="004A02D1" w:rsidRDefault="004A02D1" w:rsidP="00630BD8">
      <w:pPr>
        <w:spacing w:after="0"/>
      </w:pPr>
      <w:r>
        <w:lastRenderedPageBreak/>
        <w:t>16.</w:t>
      </w:r>
      <w:r w:rsidR="005E646E">
        <w:t xml:space="preserve"> The section 46 of the Children’s Act 1989 allows police constables the power to remove any persons under the age of 18 from their place of abode, to a place of safety. The child or children may be suffering because of various reasons such as neglect, physical or sexual abuse. This power would enable an officer to remove them to a place of safety in the form of foster care or a children’s home, or potentially another family member, only once thorough checks have been completed by both the social services and police. Once the children have been lawfully removed, they can be kept at the police station in as suitable room for up to 72 hours, however this should be a last resort. Ideally, social services would be contacted straight away and they will hopefully be able to find </w:t>
      </w:r>
      <w:r w:rsidR="0072398A">
        <w:t>a foster family or space in a children’s home as soon as possible. Section 46 gives constables the power to ensure that children can stay at a hospital etc, whilst receiving treatment or medical services and not to be taken away by their parent/guardian.</w:t>
      </w:r>
    </w:p>
    <w:p w:rsidR="004A02D1" w:rsidRDefault="004A02D1" w:rsidP="00630BD8">
      <w:pPr>
        <w:spacing w:after="0"/>
      </w:pPr>
    </w:p>
    <w:p w:rsidR="004A02D1" w:rsidRDefault="004A02D1" w:rsidP="00630BD8">
      <w:pPr>
        <w:spacing w:after="0"/>
      </w:pPr>
      <w:r>
        <w:t>17.</w:t>
      </w:r>
      <w:r w:rsidR="0072398A">
        <w:t xml:space="preserve"> Child cruelty is any harm caused to the emotional, physical or psychological health of a child. Child cruelty may be through neglect or physical or sexual abuse. Children must receive access to medical help, education, food, water and suitable clothes/place of abode. Any denial of these rights is considered child cruelty.</w:t>
      </w:r>
    </w:p>
    <w:p w:rsidR="004A02D1" w:rsidRDefault="004A02D1" w:rsidP="00630BD8">
      <w:pPr>
        <w:spacing w:after="0"/>
      </w:pPr>
    </w:p>
    <w:p w:rsidR="004A02D1" w:rsidRDefault="004A02D1" w:rsidP="00630BD8">
      <w:pPr>
        <w:spacing w:after="0"/>
      </w:pPr>
      <w:r>
        <w:t>18.</w:t>
      </w:r>
      <w:r w:rsidR="0072398A">
        <w:t xml:space="preserve"> The model consists of a risk assessment that determines the level of risk in terms of standard, medium or high risk to the victim. </w:t>
      </w:r>
      <w:r w:rsidR="00DA4575">
        <w:t xml:space="preserve">This determines if risk is immediately likely and what steps need to be taken to safeguard the victim, whether that may be imposing a DVPN or arrest of suspect etc. </w:t>
      </w:r>
      <w:bookmarkStart w:id="0" w:name="_GoBack"/>
      <w:bookmarkEnd w:id="0"/>
    </w:p>
    <w:p w:rsidR="004A02D1" w:rsidRDefault="004A02D1" w:rsidP="00630BD8">
      <w:pPr>
        <w:spacing w:after="0"/>
      </w:pPr>
    </w:p>
    <w:p w:rsidR="004A02D1" w:rsidRDefault="004A02D1" w:rsidP="00630BD8">
      <w:pPr>
        <w:spacing w:after="0"/>
      </w:pPr>
      <w:r>
        <w:t>19.</w:t>
      </w:r>
      <w:r w:rsidR="007F008B">
        <w:t xml:space="preserve">  A Public Protection Notice is a form used to identify vulnerable people, mainly victims of offences but not always. The process consists of 27 questions being asked by the officer, which are read out from the PPN form, which can be found on Ipatrol on Samsung devices, as well as Niche. All 27 questions must be completed to establish a standard, medium or high risk person. Some of the questions on the form may seem trivial but the answers are important to establish the risk of one person to another, and this must be emphasises to the victim. Public Protection Notices must be completed and submitted for the following; Domestic Assault incidents, Harassment, Stalking, Forced Marriage, Honour based Abuse, Female Genital Mutilation. However this list is not exhaustive. Officers should complete PPNs if they believe there is risk of harm to victims, no matter what the offence or incident. More than one risk factor can be noted on a PPN e.g. FGM and Forced Marriage. </w:t>
      </w:r>
      <w:r w:rsidR="00500A17">
        <w:t xml:space="preserve">Additionally, children must be added to the form, especially in Domestic cases, whether they are present or not. </w:t>
      </w:r>
    </w:p>
    <w:p w:rsidR="004A02D1" w:rsidRDefault="004A02D1" w:rsidP="00630BD8">
      <w:pPr>
        <w:spacing w:after="0"/>
      </w:pPr>
    </w:p>
    <w:p w:rsidR="004A02D1" w:rsidRDefault="004A02D1" w:rsidP="00630BD8">
      <w:pPr>
        <w:spacing w:after="0"/>
      </w:pPr>
      <w:r>
        <w:t xml:space="preserve">20. A DVPN is Domestic Violence Protection Notice, and can be enforced on an offender of domestic violence, whether the victim is a partner or family member. The DVPN is served on the person and must then be shown in front of a Magistrates within 48 hours </w:t>
      </w:r>
      <w:r w:rsidR="007F008B">
        <w:t>for the Magistrates to decide on a Domestic Violence Protection Order (DVPO). The offender should be given the DVPN leaflet and explained the process. A DVPN allows a period of ‘breathing space’ for the victim immediately following a domestic violence incident, to consider their relationship/situation with the offender. The DVPN includes prohibitions on the offender, for example to stay away from a certain area/victim’s address until the DVPN. Once a DVPO has been granted, the DVPN can be in place for 14-28 days, but South Wales Police policy is to always choose the highest option of 28 days. The DVPN is similar to, but not the same as, a restraining order and is not an alternative to prosecution. It should be used for the ‘meantime’.</w:t>
      </w:r>
    </w:p>
    <w:p w:rsidR="004A02D1" w:rsidRDefault="004A02D1" w:rsidP="00630BD8">
      <w:pPr>
        <w:spacing w:after="0"/>
      </w:pPr>
    </w:p>
    <w:p w:rsidR="004A02D1" w:rsidRDefault="004A02D1" w:rsidP="00630BD8">
      <w:pPr>
        <w:spacing w:after="0"/>
      </w:pPr>
      <w:r>
        <w:t>21.</w:t>
      </w:r>
      <w:r w:rsidR="00500A17">
        <w:t xml:space="preserve"> Child-Sexual Exploitation is when persons under the age of 18 are charmed or forced into certain acts for the sexual gratification and/or financial gains of others. There are various stages which </w:t>
      </w:r>
      <w:r w:rsidR="00500A17">
        <w:lastRenderedPageBreak/>
        <w:t>usually follow; grooming, normalisation, entrapment. Child Sexual Exploitation covers a vast array of forms, including but not limited to; Sex trafficking where children are taken or enticed from their homes into something they think may build a future for them, but then turns out to be given to adults for sexual purposes in exchange of money to their capturer. It also comes in the form of technology. The adult may take sexualised images or videos of the child to sell online with the purpose of third parties viewing them for sexual gratification. Some victims of sexual exploitation are also forced into recruiting other victims into the ‘business’ once they get to old to be used themselves. The exploitation tends to happen to more female children than male, but it does still happen to both and males are actually less likely to report the behaviour. Another example of child sexual exploitation is through online grooming. The offender may pose as a similar aged, appealing child to their victim</w:t>
      </w:r>
      <w:r w:rsidR="005E646E">
        <w:t xml:space="preserve"> online/social media. They arrange to meet up and then prey on them by rape or other sexual offences.</w:t>
      </w:r>
    </w:p>
    <w:p w:rsidR="004A02D1" w:rsidRDefault="004A02D1" w:rsidP="00630BD8">
      <w:pPr>
        <w:spacing w:after="0"/>
      </w:pPr>
    </w:p>
    <w:p w:rsidR="004A02D1" w:rsidRDefault="004A02D1" w:rsidP="00630BD8">
      <w:pPr>
        <w:spacing w:after="0"/>
      </w:pPr>
      <w:r>
        <w:t>22. A person is guilty of an offence if he: A Intentionally penetrates the vagina, anus or mouth of another, B. B does not consent to the penetration and A does not reasonably believe that B would consent.</w:t>
      </w:r>
    </w:p>
    <w:p w:rsidR="004A02D1" w:rsidRDefault="004A02D1" w:rsidP="00630BD8">
      <w:pPr>
        <w:spacing w:after="0"/>
      </w:pPr>
    </w:p>
    <w:p w:rsidR="004A02D1" w:rsidRDefault="004A02D1" w:rsidP="00630BD8">
      <w:pPr>
        <w:spacing w:after="0"/>
      </w:pPr>
      <w:r>
        <w:t>23.</w:t>
      </w:r>
      <w:r w:rsidR="00500A17">
        <w:t xml:space="preserve"> A court can make evidential presumptions that the offender knew of the offence, was aware that the other person did not consent and the offender did not reasonably believe that the other consented.</w:t>
      </w:r>
    </w:p>
    <w:p w:rsidR="004A02D1" w:rsidRDefault="004A02D1" w:rsidP="00630BD8">
      <w:pPr>
        <w:spacing w:after="0"/>
      </w:pPr>
    </w:p>
    <w:p w:rsidR="004A02D1" w:rsidRDefault="004A02D1" w:rsidP="00630BD8">
      <w:pPr>
        <w:spacing w:after="0"/>
      </w:pPr>
      <w:r>
        <w:t>24.</w:t>
      </w:r>
      <w:r w:rsidR="00500A17">
        <w:t xml:space="preserve"> Section 18 (1) gives Constables the power to enter any public premises if they have reasonable grounds to believe that persons in that place, have committed an offence, are about to commit an offence, are committing an offence.</w:t>
      </w:r>
    </w:p>
    <w:p w:rsidR="004A02D1" w:rsidRDefault="004A02D1" w:rsidP="00630BD8">
      <w:pPr>
        <w:spacing w:after="0"/>
      </w:pPr>
    </w:p>
    <w:p w:rsidR="004A02D1" w:rsidRDefault="004A02D1" w:rsidP="00630BD8">
      <w:pPr>
        <w:spacing w:after="0"/>
      </w:pPr>
      <w:r>
        <w:t>25.</w:t>
      </w:r>
      <w:r w:rsidR="00C531E4">
        <w:t xml:space="preserve"> Constables can seize any property they believe to have been driven without tax or insurance or that has been involved in a road traffic collision but failed to stop at the scene. The constable must inform the suspect that the vehicle will be seized as well as providing written confirmation and the procedure on how to claim the vehicle back. The suspect must provide all necessary documents such as proof of insurance, driving licence as well as paying any fees from the tow/holding company in order to get the vehicle back. The suspect has 14 days in which they must take all necessary action, otherwise the vehicle may be destroyed.</w:t>
      </w:r>
    </w:p>
    <w:p w:rsidR="00F043D4" w:rsidRDefault="00F043D4" w:rsidP="00630BD8">
      <w:pPr>
        <w:spacing w:after="0"/>
      </w:pPr>
    </w:p>
    <w:p w:rsidR="00F043D4" w:rsidRDefault="00F043D4" w:rsidP="00630BD8">
      <w:pPr>
        <w:spacing w:after="0"/>
      </w:pPr>
    </w:p>
    <w:p w:rsidR="00630BD8" w:rsidRDefault="00630BD8" w:rsidP="00630BD8">
      <w:pPr>
        <w:spacing w:after="0"/>
      </w:pPr>
    </w:p>
    <w:p w:rsidR="00630BD8" w:rsidRDefault="00630BD8" w:rsidP="00630BD8">
      <w:pPr>
        <w:spacing w:after="0"/>
      </w:pPr>
    </w:p>
    <w:p w:rsidR="000763E9" w:rsidRDefault="000763E9" w:rsidP="00224EEF">
      <w:pPr>
        <w:spacing w:after="0"/>
      </w:pPr>
    </w:p>
    <w:p w:rsidR="00896BE4" w:rsidRDefault="00896BE4" w:rsidP="00896BE4">
      <w:pPr>
        <w:spacing w:after="0"/>
      </w:pPr>
    </w:p>
    <w:p w:rsidR="00896BE4" w:rsidRDefault="00896BE4" w:rsidP="00896BE4">
      <w:pPr>
        <w:spacing w:after="0"/>
      </w:pPr>
    </w:p>
    <w:sectPr w:rsidR="00896BE4" w:rsidSect="00896BE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1E4" w:rsidRDefault="00C531E4" w:rsidP="00896BE4">
      <w:pPr>
        <w:spacing w:after="0" w:line="240" w:lineRule="auto"/>
      </w:pPr>
      <w:r>
        <w:separator/>
      </w:r>
    </w:p>
  </w:endnote>
  <w:endnote w:type="continuationSeparator" w:id="0">
    <w:p w:rsidR="00C531E4" w:rsidRDefault="00C531E4" w:rsidP="00896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575" w:rsidRDefault="00DA4575" w:rsidP="00DA4575">
    <w:pPr>
      <w:pStyle w:val="Footer"/>
      <w:rPr>
        <w:color w:val="000000"/>
        <w:sz w:val="17"/>
      </w:rPr>
    </w:pPr>
    <w:bookmarkStart w:id="3" w:name="TITUS1FooterEvenPages"/>
    <w:r w:rsidRPr="00DA4575">
      <w:rPr>
        <w:color w:val="000000"/>
        <w:sz w:val="17"/>
      </w:rPr>
      <w:t> </w:t>
    </w:r>
  </w:p>
  <w:bookmarkEnd w:id="3"/>
  <w:p w:rsidR="00DA4575" w:rsidRDefault="00DA4575" w:rsidP="00DA4575">
    <w:pPr>
      <w:pStyle w:val="Footer"/>
    </w:pPr>
  </w:p>
  <w:p w:rsidR="00C531E4" w:rsidRDefault="00C531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1E4" w:rsidRDefault="00DA4575" w:rsidP="00DA4575">
    <w:pPr>
      <w:pStyle w:val="Footer"/>
      <w:rPr>
        <w:color w:val="000000"/>
        <w:sz w:val="17"/>
      </w:rPr>
    </w:pPr>
    <w:bookmarkStart w:id="4" w:name="TITUS1FooterPrimary"/>
    <w:r>
      <w:rPr>
        <w:color w:val="000000"/>
        <w:sz w:val="17"/>
      </w:rPr>
      <w:t> </w:t>
    </w:r>
  </w:p>
  <w:bookmarkEnd w:id="4"/>
  <w:p w:rsidR="00C531E4" w:rsidRDefault="00C531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1E4" w:rsidRDefault="00DA4575" w:rsidP="00DA4575">
    <w:pPr>
      <w:pStyle w:val="Footer"/>
      <w:rPr>
        <w:color w:val="000000"/>
        <w:sz w:val="17"/>
      </w:rPr>
    </w:pPr>
    <w:bookmarkStart w:id="6" w:name="TITUS1FooterFirstPage"/>
    <w:r>
      <w:rPr>
        <w:color w:val="000000"/>
        <w:sz w:val="17"/>
      </w:rPr>
      <w:t> </w:t>
    </w:r>
  </w:p>
  <w:bookmarkEnd w:id="6"/>
  <w:p w:rsidR="00C531E4" w:rsidRDefault="00C53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1E4" w:rsidRDefault="00C531E4" w:rsidP="00896BE4">
      <w:pPr>
        <w:spacing w:after="0" w:line="240" w:lineRule="auto"/>
      </w:pPr>
      <w:r>
        <w:separator/>
      </w:r>
    </w:p>
  </w:footnote>
  <w:footnote w:type="continuationSeparator" w:id="0">
    <w:p w:rsidR="00C531E4" w:rsidRDefault="00C531E4" w:rsidP="00896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575" w:rsidRDefault="00DA4575" w:rsidP="00DA4575">
    <w:pPr>
      <w:pStyle w:val="Header"/>
      <w:rPr>
        <w:color w:val="000000"/>
        <w:sz w:val="17"/>
      </w:rPr>
    </w:pPr>
    <w:bookmarkStart w:id="1" w:name="TITUS1HeaderEvenPages"/>
    <w:r w:rsidRPr="00DA4575">
      <w:rPr>
        <w:color w:val="000000"/>
        <w:sz w:val="17"/>
      </w:rPr>
      <w:t> </w:t>
    </w:r>
  </w:p>
  <w:bookmarkEnd w:id="1"/>
  <w:p w:rsidR="00DA4575" w:rsidRDefault="00DA4575" w:rsidP="00DA4575">
    <w:pPr>
      <w:pStyle w:val="Header"/>
    </w:pPr>
  </w:p>
  <w:p w:rsidR="00C531E4" w:rsidRDefault="00C531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1E4" w:rsidRDefault="00DA4575" w:rsidP="00DA4575">
    <w:pPr>
      <w:pStyle w:val="Header"/>
      <w:rPr>
        <w:color w:val="000000"/>
        <w:sz w:val="17"/>
      </w:rPr>
    </w:pPr>
    <w:bookmarkStart w:id="2" w:name="TITUS1HeaderPrimary"/>
    <w:r>
      <w:rPr>
        <w:color w:val="000000"/>
        <w:sz w:val="17"/>
      </w:rPr>
      <w:t> </w:t>
    </w:r>
  </w:p>
  <w:bookmarkEnd w:id="2"/>
  <w:p w:rsidR="00C531E4" w:rsidRDefault="00C531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1E4" w:rsidRDefault="00DA4575" w:rsidP="00DA4575">
    <w:pPr>
      <w:pStyle w:val="Header"/>
      <w:rPr>
        <w:color w:val="000000"/>
        <w:sz w:val="17"/>
      </w:rPr>
    </w:pPr>
    <w:bookmarkStart w:id="5" w:name="TITUS1HeaderFirstPage"/>
    <w:r>
      <w:rPr>
        <w:color w:val="000000"/>
        <w:sz w:val="17"/>
      </w:rPr>
      <w:t> </w:t>
    </w:r>
  </w:p>
  <w:bookmarkEnd w:id="5"/>
  <w:p w:rsidR="00C531E4" w:rsidRDefault="00C53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45AD2"/>
    <w:multiLevelType w:val="hybridMultilevel"/>
    <w:tmpl w:val="D88AE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BE4"/>
    <w:rsid w:val="000763E9"/>
    <w:rsid w:val="00224EEF"/>
    <w:rsid w:val="003E3A13"/>
    <w:rsid w:val="004A02D1"/>
    <w:rsid w:val="00500A17"/>
    <w:rsid w:val="005C7349"/>
    <w:rsid w:val="005E646E"/>
    <w:rsid w:val="00630BD8"/>
    <w:rsid w:val="0072398A"/>
    <w:rsid w:val="007F008B"/>
    <w:rsid w:val="008302E2"/>
    <w:rsid w:val="00896BE4"/>
    <w:rsid w:val="009C08CB"/>
    <w:rsid w:val="00C531E4"/>
    <w:rsid w:val="00DA4575"/>
    <w:rsid w:val="00F04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05178"/>
  <w15:chartTrackingRefBased/>
  <w15:docId w15:val="{FB8E07AE-B4DE-4F66-A1D6-BF600074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0763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6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BE4"/>
  </w:style>
  <w:style w:type="paragraph" w:styleId="Footer">
    <w:name w:val="footer"/>
    <w:basedOn w:val="Normal"/>
    <w:link w:val="FooterChar"/>
    <w:uiPriority w:val="99"/>
    <w:unhideWhenUsed/>
    <w:rsid w:val="00896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BE4"/>
  </w:style>
  <w:style w:type="paragraph" w:styleId="ListParagraph">
    <w:name w:val="List Paragraph"/>
    <w:basedOn w:val="Normal"/>
    <w:uiPriority w:val="34"/>
    <w:qFormat/>
    <w:rsid w:val="00224EEF"/>
    <w:pPr>
      <w:ind w:left="720"/>
      <w:contextualSpacing/>
    </w:pPr>
  </w:style>
  <w:style w:type="character" w:customStyle="1" w:styleId="Heading3Char">
    <w:name w:val="Heading 3 Char"/>
    <w:basedOn w:val="DefaultParagraphFont"/>
    <w:link w:val="Heading3"/>
    <w:uiPriority w:val="9"/>
    <w:rsid w:val="000763E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5</Pages>
  <Words>2553</Words>
  <Characters>14556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Acreman,Katie swp6786</dc:creator>
  <cp:keywords/>
  <dc:description/>
  <cp:lastModifiedBy>Acreman,Katie swp6786</cp:lastModifiedBy>
  <cp:revision>2</cp:revision>
  <dcterms:created xsi:type="dcterms:W3CDTF">2021-02-18T10:40:00Z</dcterms:created>
  <dcterms:modified xsi:type="dcterms:W3CDTF">2021-02-18T15:01:00Z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c4288fd3-38b1-43fc-b932-2edc2021450c</vt:lpwstr>
  </property>
  <property fmtid="{D5CDD505-2E9C-101B-9397-08002B2CF9AE}" pid="3" name="Classification">
    <vt:lpwstr>OFFICIAL</vt:lpwstr>
  </property>
  <property fmtid="{D5CDD505-2E9C-101B-9397-08002B2CF9AE}" pid="4" name="Visibility">
    <vt:lpwstr>NOT VISIBLE</vt:lpwstr>
  </property>
</Properties>
</file>