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E42AB" w14:textId="5D6E3408" w:rsidR="3E7D43F2" w:rsidRDefault="3E7D43F2" w:rsidP="00D42C35"/>
    <w:p w14:paraId="2833942E" w14:textId="656721EA" w:rsidR="3E7D43F2" w:rsidRDefault="326C4F14" w:rsidP="00D42C35">
      <w:r w:rsidRPr="326C4F14">
        <w:t xml:space="preserve"> </w:t>
      </w:r>
    </w:p>
    <w:p w14:paraId="17B18C2A" w14:textId="7693919E" w:rsidR="3E7D43F2" w:rsidRDefault="326C4F14" w:rsidP="00D42C35">
      <w:r w:rsidRPr="326C4F14">
        <w:t xml:space="preserve"> </w:t>
      </w:r>
    </w:p>
    <w:p w14:paraId="776CC701" w14:textId="2D4A2F83" w:rsidR="3E7D43F2" w:rsidRDefault="326C4F14" w:rsidP="00D42C35">
      <w:r w:rsidRPr="326C4F14">
        <w:t xml:space="preserve"> </w:t>
      </w:r>
    </w:p>
    <w:p w14:paraId="419CA576" w14:textId="2B09CF09" w:rsidR="3E7D43F2" w:rsidRDefault="326C4F14" w:rsidP="00D42C35">
      <w:r w:rsidRPr="326C4F14">
        <w:t xml:space="preserve"> </w:t>
      </w:r>
    </w:p>
    <w:p w14:paraId="4EBF48F3" w14:textId="5DAC393F" w:rsidR="3E7D43F2" w:rsidRDefault="326C4F14" w:rsidP="00D42C35">
      <w:r w:rsidRPr="326C4F14">
        <w:t xml:space="preserve"> </w:t>
      </w:r>
    </w:p>
    <w:p w14:paraId="59B1A962" w14:textId="6600B44F" w:rsidR="3E7D43F2" w:rsidRDefault="326C4F14" w:rsidP="00D42C35">
      <w:r w:rsidRPr="326C4F14">
        <w:t xml:space="preserve"> </w:t>
      </w:r>
    </w:p>
    <w:p w14:paraId="2C80D10C" w14:textId="62899A12" w:rsidR="3E7D43F2" w:rsidRPr="00D42C35" w:rsidRDefault="3E7D43F2" w:rsidP="00D42C35">
      <w:pPr>
        <w:spacing w:line="360" w:lineRule="auto"/>
        <w:jc w:val="center"/>
        <w:rPr>
          <w:rFonts w:ascii="Arial" w:hAnsi="Arial" w:cs="Arial"/>
        </w:rPr>
      </w:pPr>
    </w:p>
    <w:p w14:paraId="0BAB347A" w14:textId="2E40CBAD" w:rsidR="3E7D43F2" w:rsidRPr="00D42C35" w:rsidRDefault="326C4F14" w:rsidP="00D42C35">
      <w:pPr>
        <w:spacing w:line="360" w:lineRule="auto"/>
        <w:jc w:val="center"/>
        <w:rPr>
          <w:rFonts w:ascii="Arial" w:hAnsi="Arial" w:cs="Arial"/>
        </w:rPr>
      </w:pPr>
      <w:r w:rsidRPr="00D42C35">
        <w:rPr>
          <w:rFonts w:ascii="Arial" w:hAnsi="Arial" w:cs="Arial"/>
        </w:rPr>
        <w:t>Introduction to Public Health</w:t>
      </w:r>
    </w:p>
    <w:p w14:paraId="485D4AC8" w14:textId="12EFF894" w:rsidR="3E7D43F2" w:rsidRDefault="326C4F14" w:rsidP="00D42C35">
      <w:pPr>
        <w:spacing w:line="360" w:lineRule="auto"/>
        <w:jc w:val="center"/>
        <w:rPr>
          <w:rFonts w:ascii="Arial" w:eastAsia="Arial" w:hAnsi="Arial" w:cs="Arial"/>
        </w:rPr>
      </w:pPr>
      <w:r w:rsidRPr="00D42C35">
        <w:rPr>
          <w:rFonts w:ascii="Arial" w:eastAsia="Arial" w:hAnsi="Arial" w:cs="Arial"/>
        </w:rPr>
        <w:t>Student Id-Number:</w:t>
      </w:r>
      <w:r w:rsidR="00B22CCE">
        <w:rPr>
          <w:rFonts w:ascii="Arial" w:eastAsia="Arial" w:hAnsi="Arial" w:cs="Arial"/>
        </w:rPr>
        <w:t xml:space="preserve"> 2133815</w:t>
      </w:r>
    </w:p>
    <w:p w14:paraId="63663F76" w14:textId="1F7B7569" w:rsidR="00B22CCE" w:rsidRPr="00D42C35" w:rsidRDefault="00B22CCE" w:rsidP="00D42C35">
      <w:pPr>
        <w:spacing w:line="360" w:lineRule="auto"/>
        <w:jc w:val="center"/>
        <w:rPr>
          <w:rFonts w:ascii="Arial" w:eastAsia="Arial" w:hAnsi="Arial" w:cs="Arial"/>
        </w:rPr>
      </w:pPr>
      <w:r>
        <w:rPr>
          <w:rFonts w:ascii="Arial" w:eastAsia="Arial" w:hAnsi="Arial" w:cs="Arial"/>
        </w:rPr>
        <w:t xml:space="preserve">Student Name </w:t>
      </w:r>
      <w:proofErr w:type="spellStart"/>
      <w:r>
        <w:rPr>
          <w:rFonts w:ascii="Arial" w:eastAsia="Arial" w:hAnsi="Arial" w:cs="Arial"/>
        </w:rPr>
        <w:t>Oumou</w:t>
      </w:r>
      <w:proofErr w:type="spellEnd"/>
      <w:r>
        <w:rPr>
          <w:rFonts w:ascii="Arial" w:eastAsia="Arial" w:hAnsi="Arial" w:cs="Arial"/>
        </w:rPr>
        <w:t xml:space="preserve"> </w:t>
      </w:r>
      <w:proofErr w:type="spellStart"/>
      <w:r>
        <w:rPr>
          <w:rFonts w:ascii="Arial" w:eastAsia="Arial" w:hAnsi="Arial" w:cs="Arial"/>
        </w:rPr>
        <w:t>kairatou</w:t>
      </w:r>
      <w:proofErr w:type="spellEnd"/>
      <w:r>
        <w:rPr>
          <w:rFonts w:ascii="Arial" w:eastAsia="Arial" w:hAnsi="Arial" w:cs="Arial"/>
        </w:rPr>
        <w:t xml:space="preserve"> Diallo</w:t>
      </w:r>
    </w:p>
    <w:p w14:paraId="5BAB4AA8" w14:textId="55AE7B49" w:rsidR="3E7D43F2" w:rsidRDefault="326C4F14" w:rsidP="00D42C35">
      <w:pPr>
        <w:spacing w:line="360" w:lineRule="auto"/>
        <w:jc w:val="center"/>
        <w:rPr>
          <w:rFonts w:ascii="Arial" w:eastAsia="Arial" w:hAnsi="Arial" w:cs="Arial"/>
        </w:rPr>
      </w:pPr>
      <w:r w:rsidRPr="00D42C35">
        <w:rPr>
          <w:rFonts w:ascii="Arial" w:eastAsia="Arial" w:hAnsi="Arial" w:cs="Arial"/>
        </w:rPr>
        <w:t>Tutor’s Name:</w:t>
      </w:r>
      <w:r w:rsidR="00B22CCE">
        <w:rPr>
          <w:rFonts w:ascii="Arial" w:eastAsia="Arial" w:hAnsi="Arial" w:cs="Arial"/>
        </w:rPr>
        <w:t xml:space="preserve"> Leila </w:t>
      </w:r>
      <w:proofErr w:type="spellStart"/>
      <w:r w:rsidR="00B22CCE">
        <w:rPr>
          <w:rFonts w:ascii="Arial" w:eastAsia="Arial" w:hAnsi="Arial" w:cs="Arial"/>
        </w:rPr>
        <w:t>Surani</w:t>
      </w:r>
      <w:proofErr w:type="spellEnd"/>
    </w:p>
    <w:p w14:paraId="21BC94A2" w14:textId="1C57FA21" w:rsidR="00B22CCE" w:rsidRPr="00D42C35" w:rsidRDefault="00B22CCE" w:rsidP="00D42C35">
      <w:pPr>
        <w:spacing w:line="360" w:lineRule="auto"/>
        <w:jc w:val="center"/>
        <w:rPr>
          <w:rFonts w:ascii="Arial" w:eastAsia="Arial" w:hAnsi="Arial" w:cs="Arial"/>
        </w:rPr>
      </w:pPr>
      <w:r>
        <w:rPr>
          <w:rFonts w:ascii="Arial" w:eastAsia="Arial" w:hAnsi="Arial" w:cs="Arial"/>
        </w:rPr>
        <w:t>Module Code LCHS4004</w:t>
      </w:r>
    </w:p>
    <w:p w14:paraId="3E4F6B19" w14:textId="4AA40E64" w:rsidR="3E7D43F2" w:rsidRPr="00D42C35" w:rsidRDefault="3E7D43F2" w:rsidP="00D42C35">
      <w:pPr>
        <w:spacing w:line="360" w:lineRule="auto"/>
        <w:jc w:val="center"/>
        <w:rPr>
          <w:rFonts w:ascii="Arial" w:eastAsia="Arial" w:hAnsi="Arial" w:cs="Arial"/>
        </w:rPr>
      </w:pPr>
    </w:p>
    <w:p w14:paraId="455E65C2" w14:textId="049BF60B" w:rsidR="00D42C35" w:rsidRDefault="3E7D43F2" w:rsidP="326C4F14">
      <w:pPr>
        <w:spacing w:line="257" w:lineRule="auto"/>
        <w:rPr>
          <w:rFonts w:ascii="Arial" w:eastAsia="Arial" w:hAnsi="Arial" w:cs="Arial"/>
        </w:rPr>
      </w:pPr>
      <w:r>
        <w:br/>
      </w:r>
    </w:p>
    <w:p w14:paraId="6E3AACFB" w14:textId="77777777" w:rsidR="00D42C35" w:rsidRDefault="00D42C35">
      <w:pPr>
        <w:rPr>
          <w:rFonts w:ascii="Arial" w:eastAsia="Arial" w:hAnsi="Arial" w:cs="Arial"/>
        </w:rPr>
      </w:pPr>
      <w:r>
        <w:rPr>
          <w:rFonts w:ascii="Arial" w:eastAsia="Arial" w:hAnsi="Arial" w:cs="Arial"/>
        </w:rPr>
        <w:br w:type="page"/>
      </w:r>
    </w:p>
    <w:sdt>
      <w:sdtPr>
        <w:rPr>
          <w:rFonts w:ascii="Arial" w:eastAsiaTheme="minorHAnsi" w:hAnsi="Arial" w:cs="Arial"/>
          <w:color w:val="auto"/>
          <w:sz w:val="22"/>
          <w:szCs w:val="22"/>
          <w:lang w:val="en-GB"/>
        </w:rPr>
        <w:id w:val="84121839"/>
        <w:docPartObj>
          <w:docPartGallery w:val="Table of Contents"/>
          <w:docPartUnique/>
        </w:docPartObj>
      </w:sdtPr>
      <w:sdtEndPr>
        <w:rPr>
          <w:noProof/>
        </w:rPr>
      </w:sdtEndPr>
      <w:sdtContent>
        <w:p w14:paraId="09C7F7C8" w14:textId="05936477" w:rsidR="00D42C35" w:rsidRPr="00D42C35" w:rsidRDefault="00D42C35">
          <w:pPr>
            <w:pStyle w:val="TOCHeading"/>
            <w:rPr>
              <w:rFonts w:ascii="Arial" w:hAnsi="Arial" w:cs="Arial"/>
              <w:b/>
              <w:bCs/>
              <w:color w:val="auto"/>
              <w:sz w:val="22"/>
              <w:szCs w:val="22"/>
            </w:rPr>
          </w:pPr>
          <w:r w:rsidRPr="00D42C35">
            <w:rPr>
              <w:rFonts w:ascii="Arial" w:hAnsi="Arial" w:cs="Arial"/>
              <w:b/>
              <w:bCs/>
              <w:color w:val="auto"/>
              <w:sz w:val="22"/>
              <w:szCs w:val="22"/>
            </w:rPr>
            <w:t>Table of Contents</w:t>
          </w:r>
        </w:p>
        <w:p w14:paraId="7AA38507" w14:textId="782EDBD8" w:rsidR="00D42C35" w:rsidRPr="00D42C35" w:rsidRDefault="00D42C35" w:rsidP="00D42C35">
          <w:pPr>
            <w:pStyle w:val="TOC2"/>
            <w:tabs>
              <w:tab w:val="right" w:leader="dot" w:pos="9016"/>
            </w:tabs>
            <w:ind w:left="0"/>
            <w:rPr>
              <w:rFonts w:ascii="Arial" w:hAnsi="Arial" w:cs="Arial"/>
              <w:noProof/>
            </w:rPr>
          </w:pPr>
          <w:r w:rsidRPr="00D42C35">
            <w:rPr>
              <w:rFonts w:ascii="Arial" w:hAnsi="Arial" w:cs="Arial"/>
            </w:rPr>
            <w:fldChar w:fldCharType="begin"/>
          </w:r>
          <w:r w:rsidRPr="00D42C35">
            <w:rPr>
              <w:rFonts w:ascii="Arial" w:hAnsi="Arial" w:cs="Arial"/>
            </w:rPr>
            <w:instrText xml:space="preserve"> TOC \o "1-3" \h \z \u </w:instrText>
          </w:r>
          <w:r w:rsidRPr="00D42C35">
            <w:rPr>
              <w:rFonts w:ascii="Arial" w:hAnsi="Arial" w:cs="Arial"/>
            </w:rPr>
            <w:fldChar w:fldCharType="separate"/>
          </w:r>
          <w:hyperlink w:anchor="_Toc129837108" w:history="1">
            <w:r w:rsidRPr="00D42C35">
              <w:rPr>
                <w:rStyle w:val="Hyperlink"/>
                <w:rFonts w:ascii="Arial" w:eastAsia="Arial" w:hAnsi="Arial" w:cs="Arial"/>
                <w:noProof/>
                <w:color w:val="auto"/>
              </w:rPr>
              <w:t>Introduction</w:t>
            </w:r>
            <w:r w:rsidRPr="00D42C35">
              <w:rPr>
                <w:rFonts w:ascii="Arial" w:hAnsi="Arial" w:cs="Arial"/>
                <w:noProof/>
                <w:webHidden/>
              </w:rPr>
              <w:tab/>
            </w:r>
            <w:r w:rsidRPr="00D42C35">
              <w:rPr>
                <w:rFonts w:ascii="Arial" w:hAnsi="Arial" w:cs="Arial"/>
                <w:noProof/>
                <w:webHidden/>
              </w:rPr>
              <w:fldChar w:fldCharType="begin"/>
            </w:r>
            <w:r w:rsidRPr="00D42C35">
              <w:rPr>
                <w:rFonts w:ascii="Arial" w:hAnsi="Arial" w:cs="Arial"/>
                <w:noProof/>
                <w:webHidden/>
              </w:rPr>
              <w:instrText xml:space="preserve"> PAGEREF _Toc129837108 \h </w:instrText>
            </w:r>
            <w:r w:rsidRPr="00D42C35">
              <w:rPr>
                <w:rFonts w:ascii="Arial" w:hAnsi="Arial" w:cs="Arial"/>
                <w:noProof/>
                <w:webHidden/>
              </w:rPr>
            </w:r>
            <w:r w:rsidRPr="00D42C35">
              <w:rPr>
                <w:rFonts w:ascii="Arial" w:hAnsi="Arial" w:cs="Arial"/>
                <w:noProof/>
                <w:webHidden/>
              </w:rPr>
              <w:fldChar w:fldCharType="separate"/>
            </w:r>
            <w:r w:rsidRPr="00D42C35">
              <w:rPr>
                <w:rFonts w:ascii="Arial" w:hAnsi="Arial" w:cs="Arial"/>
                <w:noProof/>
                <w:webHidden/>
              </w:rPr>
              <w:t>3</w:t>
            </w:r>
            <w:r w:rsidRPr="00D42C35">
              <w:rPr>
                <w:rFonts w:ascii="Arial" w:hAnsi="Arial" w:cs="Arial"/>
                <w:noProof/>
                <w:webHidden/>
              </w:rPr>
              <w:fldChar w:fldCharType="end"/>
            </w:r>
          </w:hyperlink>
        </w:p>
        <w:p w14:paraId="6E3350A1" w14:textId="0D55C602" w:rsidR="00D42C35" w:rsidRPr="00D42C35" w:rsidRDefault="00B22CCE">
          <w:pPr>
            <w:pStyle w:val="TOC3"/>
            <w:tabs>
              <w:tab w:val="right" w:leader="dot" w:pos="9016"/>
            </w:tabs>
            <w:rPr>
              <w:rFonts w:ascii="Arial" w:hAnsi="Arial" w:cs="Arial"/>
              <w:noProof/>
            </w:rPr>
          </w:pPr>
          <w:hyperlink w:anchor="_Toc129837109" w:history="1">
            <w:r w:rsidR="00D42C35" w:rsidRPr="00D42C35">
              <w:rPr>
                <w:rStyle w:val="Hyperlink"/>
                <w:rFonts w:ascii="Arial" w:eastAsia="Arial" w:hAnsi="Arial" w:cs="Arial"/>
                <w:noProof/>
                <w:color w:val="auto"/>
              </w:rPr>
              <w:t>Levels of Incidence</w:t>
            </w:r>
            <w:r w:rsidR="00D42C35" w:rsidRPr="00D42C35">
              <w:rPr>
                <w:rFonts w:ascii="Arial" w:hAnsi="Arial" w:cs="Arial"/>
                <w:noProof/>
                <w:webHidden/>
              </w:rPr>
              <w:tab/>
            </w:r>
            <w:r w:rsidR="00D42C35" w:rsidRPr="00D42C35">
              <w:rPr>
                <w:rFonts w:ascii="Arial" w:hAnsi="Arial" w:cs="Arial"/>
                <w:noProof/>
                <w:webHidden/>
              </w:rPr>
              <w:fldChar w:fldCharType="begin"/>
            </w:r>
            <w:r w:rsidR="00D42C35" w:rsidRPr="00D42C35">
              <w:rPr>
                <w:rFonts w:ascii="Arial" w:hAnsi="Arial" w:cs="Arial"/>
                <w:noProof/>
                <w:webHidden/>
              </w:rPr>
              <w:instrText xml:space="preserve"> PAGEREF _Toc129837109 \h </w:instrText>
            </w:r>
            <w:r w:rsidR="00D42C35" w:rsidRPr="00D42C35">
              <w:rPr>
                <w:rFonts w:ascii="Arial" w:hAnsi="Arial" w:cs="Arial"/>
                <w:noProof/>
                <w:webHidden/>
              </w:rPr>
            </w:r>
            <w:r w:rsidR="00D42C35" w:rsidRPr="00D42C35">
              <w:rPr>
                <w:rFonts w:ascii="Arial" w:hAnsi="Arial" w:cs="Arial"/>
                <w:noProof/>
                <w:webHidden/>
              </w:rPr>
              <w:fldChar w:fldCharType="separate"/>
            </w:r>
            <w:r w:rsidR="00D42C35" w:rsidRPr="00D42C35">
              <w:rPr>
                <w:rFonts w:ascii="Arial" w:hAnsi="Arial" w:cs="Arial"/>
                <w:noProof/>
                <w:webHidden/>
              </w:rPr>
              <w:t>3</w:t>
            </w:r>
            <w:r w:rsidR="00D42C35" w:rsidRPr="00D42C35">
              <w:rPr>
                <w:rFonts w:ascii="Arial" w:hAnsi="Arial" w:cs="Arial"/>
                <w:noProof/>
                <w:webHidden/>
              </w:rPr>
              <w:fldChar w:fldCharType="end"/>
            </w:r>
          </w:hyperlink>
        </w:p>
        <w:p w14:paraId="41A930B1" w14:textId="1B7070C3" w:rsidR="00D42C35" w:rsidRPr="00D42C35" w:rsidRDefault="00B22CCE">
          <w:pPr>
            <w:pStyle w:val="TOC3"/>
            <w:tabs>
              <w:tab w:val="right" w:leader="dot" w:pos="9016"/>
            </w:tabs>
            <w:rPr>
              <w:rFonts w:ascii="Arial" w:hAnsi="Arial" w:cs="Arial"/>
              <w:noProof/>
            </w:rPr>
          </w:pPr>
          <w:hyperlink w:anchor="_Toc129837110" w:history="1">
            <w:r w:rsidR="00D42C35" w:rsidRPr="00D42C35">
              <w:rPr>
                <w:rStyle w:val="Hyperlink"/>
                <w:rFonts w:ascii="Arial" w:eastAsia="Arial" w:hAnsi="Arial" w:cs="Arial"/>
                <w:noProof/>
                <w:color w:val="auto"/>
              </w:rPr>
              <w:t>Implications of Illness and Disease in Communities</w:t>
            </w:r>
            <w:r w:rsidR="00D42C35" w:rsidRPr="00D42C35">
              <w:rPr>
                <w:rFonts w:ascii="Arial" w:hAnsi="Arial" w:cs="Arial"/>
                <w:noProof/>
                <w:webHidden/>
              </w:rPr>
              <w:tab/>
            </w:r>
            <w:r w:rsidR="00D42C35" w:rsidRPr="00D42C35">
              <w:rPr>
                <w:rFonts w:ascii="Arial" w:hAnsi="Arial" w:cs="Arial"/>
                <w:noProof/>
                <w:webHidden/>
              </w:rPr>
              <w:fldChar w:fldCharType="begin"/>
            </w:r>
            <w:r w:rsidR="00D42C35" w:rsidRPr="00D42C35">
              <w:rPr>
                <w:rFonts w:ascii="Arial" w:hAnsi="Arial" w:cs="Arial"/>
                <w:noProof/>
                <w:webHidden/>
              </w:rPr>
              <w:instrText xml:space="preserve"> PAGEREF _Toc129837110 \h </w:instrText>
            </w:r>
            <w:r w:rsidR="00D42C35" w:rsidRPr="00D42C35">
              <w:rPr>
                <w:rFonts w:ascii="Arial" w:hAnsi="Arial" w:cs="Arial"/>
                <w:noProof/>
                <w:webHidden/>
              </w:rPr>
            </w:r>
            <w:r w:rsidR="00D42C35" w:rsidRPr="00D42C35">
              <w:rPr>
                <w:rFonts w:ascii="Arial" w:hAnsi="Arial" w:cs="Arial"/>
                <w:noProof/>
                <w:webHidden/>
              </w:rPr>
              <w:fldChar w:fldCharType="separate"/>
            </w:r>
            <w:r w:rsidR="00D42C35" w:rsidRPr="00D42C35">
              <w:rPr>
                <w:rFonts w:ascii="Arial" w:hAnsi="Arial" w:cs="Arial"/>
                <w:noProof/>
                <w:webHidden/>
              </w:rPr>
              <w:t>3</w:t>
            </w:r>
            <w:r w:rsidR="00D42C35" w:rsidRPr="00D42C35">
              <w:rPr>
                <w:rFonts w:ascii="Arial" w:hAnsi="Arial" w:cs="Arial"/>
                <w:noProof/>
                <w:webHidden/>
              </w:rPr>
              <w:fldChar w:fldCharType="end"/>
            </w:r>
          </w:hyperlink>
        </w:p>
        <w:p w14:paraId="12BDC80D" w14:textId="09D2E5BE" w:rsidR="00D42C35" w:rsidRPr="00D42C35" w:rsidRDefault="00B22CCE">
          <w:pPr>
            <w:pStyle w:val="TOC3"/>
            <w:tabs>
              <w:tab w:val="right" w:leader="dot" w:pos="9016"/>
            </w:tabs>
            <w:rPr>
              <w:rFonts w:ascii="Arial" w:hAnsi="Arial" w:cs="Arial"/>
              <w:noProof/>
            </w:rPr>
          </w:pPr>
          <w:hyperlink w:anchor="_Toc129837111" w:history="1">
            <w:r w:rsidR="00D42C35" w:rsidRPr="00D42C35">
              <w:rPr>
                <w:rStyle w:val="Hyperlink"/>
                <w:rFonts w:ascii="Arial" w:eastAsia="Arial" w:hAnsi="Arial" w:cs="Arial"/>
                <w:noProof/>
                <w:color w:val="auto"/>
              </w:rPr>
              <w:t>Factors Influencing Health and Well-being</w:t>
            </w:r>
            <w:r w:rsidR="00D42C35" w:rsidRPr="00D42C35">
              <w:rPr>
                <w:rFonts w:ascii="Arial" w:hAnsi="Arial" w:cs="Arial"/>
                <w:noProof/>
                <w:webHidden/>
              </w:rPr>
              <w:tab/>
            </w:r>
            <w:r w:rsidR="00D42C35" w:rsidRPr="00D42C35">
              <w:rPr>
                <w:rFonts w:ascii="Arial" w:hAnsi="Arial" w:cs="Arial"/>
                <w:noProof/>
                <w:webHidden/>
              </w:rPr>
              <w:fldChar w:fldCharType="begin"/>
            </w:r>
            <w:r w:rsidR="00D42C35" w:rsidRPr="00D42C35">
              <w:rPr>
                <w:rFonts w:ascii="Arial" w:hAnsi="Arial" w:cs="Arial"/>
                <w:noProof/>
                <w:webHidden/>
              </w:rPr>
              <w:instrText xml:space="preserve"> PAGEREF _Toc129837111 \h </w:instrText>
            </w:r>
            <w:r w:rsidR="00D42C35" w:rsidRPr="00D42C35">
              <w:rPr>
                <w:rFonts w:ascii="Arial" w:hAnsi="Arial" w:cs="Arial"/>
                <w:noProof/>
                <w:webHidden/>
              </w:rPr>
            </w:r>
            <w:r w:rsidR="00D42C35" w:rsidRPr="00D42C35">
              <w:rPr>
                <w:rFonts w:ascii="Arial" w:hAnsi="Arial" w:cs="Arial"/>
                <w:noProof/>
                <w:webHidden/>
              </w:rPr>
              <w:fldChar w:fldCharType="separate"/>
            </w:r>
            <w:r w:rsidR="00D42C35" w:rsidRPr="00D42C35">
              <w:rPr>
                <w:rFonts w:ascii="Arial" w:hAnsi="Arial" w:cs="Arial"/>
                <w:noProof/>
                <w:webHidden/>
              </w:rPr>
              <w:t>3</w:t>
            </w:r>
            <w:r w:rsidR="00D42C35" w:rsidRPr="00D42C35">
              <w:rPr>
                <w:rFonts w:ascii="Arial" w:hAnsi="Arial" w:cs="Arial"/>
                <w:noProof/>
                <w:webHidden/>
              </w:rPr>
              <w:fldChar w:fldCharType="end"/>
            </w:r>
          </w:hyperlink>
        </w:p>
        <w:p w14:paraId="15B054B8" w14:textId="614D6AAA" w:rsidR="00D42C35" w:rsidRPr="00D42C35" w:rsidRDefault="00B22CCE" w:rsidP="00D42C35">
          <w:pPr>
            <w:pStyle w:val="TOC2"/>
            <w:tabs>
              <w:tab w:val="right" w:leader="dot" w:pos="9016"/>
            </w:tabs>
            <w:ind w:left="0"/>
            <w:rPr>
              <w:rFonts w:ascii="Arial" w:hAnsi="Arial" w:cs="Arial"/>
              <w:noProof/>
            </w:rPr>
          </w:pPr>
          <w:hyperlink w:anchor="_Toc129837112" w:history="1">
            <w:r w:rsidR="00D42C35" w:rsidRPr="00D42C35">
              <w:rPr>
                <w:rStyle w:val="Hyperlink"/>
                <w:rFonts w:ascii="Arial" w:eastAsia="Arial" w:hAnsi="Arial" w:cs="Arial"/>
                <w:noProof/>
                <w:color w:val="auto"/>
              </w:rPr>
              <w:t>Public Health Measures Available for Type 2 Diabetes</w:t>
            </w:r>
            <w:r w:rsidR="00D42C35" w:rsidRPr="00D42C35">
              <w:rPr>
                <w:rFonts w:ascii="Arial" w:hAnsi="Arial" w:cs="Arial"/>
                <w:noProof/>
                <w:webHidden/>
              </w:rPr>
              <w:tab/>
            </w:r>
            <w:r w:rsidR="00D42C35" w:rsidRPr="00D42C35">
              <w:rPr>
                <w:rFonts w:ascii="Arial" w:hAnsi="Arial" w:cs="Arial"/>
                <w:noProof/>
                <w:webHidden/>
              </w:rPr>
              <w:fldChar w:fldCharType="begin"/>
            </w:r>
            <w:r w:rsidR="00D42C35" w:rsidRPr="00D42C35">
              <w:rPr>
                <w:rFonts w:ascii="Arial" w:hAnsi="Arial" w:cs="Arial"/>
                <w:noProof/>
                <w:webHidden/>
              </w:rPr>
              <w:instrText xml:space="preserve"> PAGEREF _Toc129837112 \h </w:instrText>
            </w:r>
            <w:r w:rsidR="00D42C35" w:rsidRPr="00D42C35">
              <w:rPr>
                <w:rFonts w:ascii="Arial" w:hAnsi="Arial" w:cs="Arial"/>
                <w:noProof/>
                <w:webHidden/>
              </w:rPr>
            </w:r>
            <w:r w:rsidR="00D42C35" w:rsidRPr="00D42C35">
              <w:rPr>
                <w:rFonts w:ascii="Arial" w:hAnsi="Arial" w:cs="Arial"/>
                <w:noProof/>
                <w:webHidden/>
              </w:rPr>
              <w:fldChar w:fldCharType="separate"/>
            </w:r>
            <w:r w:rsidR="00D42C35" w:rsidRPr="00D42C35">
              <w:rPr>
                <w:rFonts w:ascii="Arial" w:hAnsi="Arial" w:cs="Arial"/>
                <w:noProof/>
                <w:webHidden/>
              </w:rPr>
              <w:t>3</w:t>
            </w:r>
            <w:r w:rsidR="00D42C35" w:rsidRPr="00D42C35">
              <w:rPr>
                <w:rFonts w:ascii="Arial" w:hAnsi="Arial" w:cs="Arial"/>
                <w:noProof/>
                <w:webHidden/>
              </w:rPr>
              <w:fldChar w:fldCharType="end"/>
            </w:r>
          </w:hyperlink>
        </w:p>
        <w:p w14:paraId="28AEE0F3" w14:textId="4AA84F72" w:rsidR="00D42C35" w:rsidRPr="00D42C35" w:rsidRDefault="00B22CCE">
          <w:pPr>
            <w:pStyle w:val="TOC3"/>
            <w:tabs>
              <w:tab w:val="right" w:leader="dot" w:pos="9016"/>
            </w:tabs>
            <w:rPr>
              <w:rFonts w:ascii="Arial" w:hAnsi="Arial" w:cs="Arial"/>
              <w:noProof/>
            </w:rPr>
          </w:pPr>
          <w:hyperlink w:anchor="_Toc129837113" w:history="1">
            <w:r w:rsidR="00D42C35" w:rsidRPr="00D42C35">
              <w:rPr>
                <w:rStyle w:val="Hyperlink"/>
                <w:rFonts w:ascii="Arial" w:eastAsia="Arial" w:hAnsi="Arial" w:cs="Arial"/>
                <w:noProof/>
                <w:color w:val="auto"/>
              </w:rPr>
              <w:t>The key determinants/risk factors of the Type 2 Diabetes (T2D)</w:t>
            </w:r>
            <w:r w:rsidR="00D42C35" w:rsidRPr="00D42C35">
              <w:rPr>
                <w:rFonts w:ascii="Arial" w:hAnsi="Arial" w:cs="Arial"/>
                <w:noProof/>
                <w:webHidden/>
              </w:rPr>
              <w:tab/>
            </w:r>
            <w:r w:rsidR="00D42C35" w:rsidRPr="00D42C35">
              <w:rPr>
                <w:rFonts w:ascii="Arial" w:hAnsi="Arial" w:cs="Arial"/>
                <w:noProof/>
                <w:webHidden/>
              </w:rPr>
              <w:fldChar w:fldCharType="begin"/>
            </w:r>
            <w:r w:rsidR="00D42C35" w:rsidRPr="00D42C35">
              <w:rPr>
                <w:rFonts w:ascii="Arial" w:hAnsi="Arial" w:cs="Arial"/>
                <w:noProof/>
                <w:webHidden/>
              </w:rPr>
              <w:instrText xml:space="preserve"> PAGEREF _Toc129837113 \h </w:instrText>
            </w:r>
            <w:r w:rsidR="00D42C35" w:rsidRPr="00D42C35">
              <w:rPr>
                <w:rFonts w:ascii="Arial" w:hAnsi="Arial" w:cs="Arial"/>
                <w:noProof/>
                <w:webHidden/>
              </w:rPr>
            </w:r>
            <w:r w:rsidR="00D42C35" w:rsidRPr="00D42C35">
              <w:rPr>
                <w:rFonts w:ascii="Arial" w:hAnsi="Arial" w:cs="Arial"/>
                <w:noProof/>
                <w:webHidden/>
              </w:rPr>
              <w:fldChar w:fldCharType="separate"/>
            </w:r>
            <w:r w:rsidR="00D42C35" w:rsidRPr="00D42C35">
              <w:rPr>
                <w:rFonts w:ascii="Arial" w:hAnsi="Arial" w:cs="Arial"/>
                <w:noProof/>
                <w:webHidden/>
              </w:rPr>
              <w:t>4</w:t>
            </w:r>
            <w:r w:rsidR="00D42C35" w:rsidRPr="00D42C35">
              <w:rPr>
                <w:rFonts w:ascii="Arial" w:hAnsi="Arial" w:cs="Arial"/>
                <w:noProof/>
                <w:webHidden/>
              </w:rPr>
              <w:fldChar w:fldCharType="end"/>
            </w:r>
          </w:hyperlink>
        </w:p>
        <w:p w14:paraId="57F89667" w14:textId="7076337F" w:rsidR="00D42C35" w:rsidRPr="00D42C35" w:rsidRDefault="00B22CCE">
          <w:pPr>
            <w:pStyle w:val="TOC3"/>
            <w:tabs>
              <w:tab w:val="right" w:leader="dot" w:pos="9016"/>
            </w:tabs>
            <w:rPr>
              <w:rFonts w:ascii="Arial" w:hAnsi="Arial" w:cs="Arial"/>
              <w:noProof/>
            </w:rPr>
          </w:pPr>
          <w:hyperlink w:anchor="_Toc129837114" w:history="1">
            <w:r w:rsidR="00D42C35" w:rsidRPr="00D42C35">
              <w:rPr>
                <w:rStyle w:val="Hyperlink"/>
                <w:rFonts w:ascii="Arial" w:eastAsia="Arial" w:hAnsi="Arial" w:cs="Arial"/>
                <w:noProof/>
                <w:color w:val="auto"/>
              </w:rPr>
              <w:t>Risk Factors</w:t>
            </w:r>
            <w:r w:rsidR="00D42C35" w:rsidRPr="00D42C35">
              <w:rPr>
                <w:rFonts w:ascii="Arial" w:hAnsi="Arial" w:cs="Arial"/>
                <w:noProof/>
                <w:webHidden/>
              </w:rPr>
              <w:tab/>
            </w:r>
            <w:r w:rsidR="00D42C35" w:rsidRPr="00D42C35">
              <w:rPr>
                <w:rFonts w:ascii="Arial" w:hAnsi="Arial" w:cs="Arial"/>
                <w:noProof/>
                <w:webHidden/>
              </w:rPr>
              <w:fldChar w:fldCharType="begin"/>
            </w:r>
            <w:r w:rsidR="00D42C35" w:rsidRPr="00D42C35">
              <w:rPr>
                <w:rFonts w:ascii="Arial" w:hAnsi="Arial" w:cs="Arial"/>
                <w:noProof/>
                <w:webHidden/>
              </w:rPr>
              <w:instrText xml:space="preserve"> PAGEREF _Toc129837114 \h </w:instrText>
            </w:r>
            <w:r w:rsidR="00D42C35" w:rsidRPr="00D42C35">
              <w:rPr>
                <w:rFonts w:ascii="Arial" w:hAnsi="Arial" w:cs="Arial"/>
                <w:noProof/>
                <w:webHidden/>
              </w:rPr>
            </w:r>
            <w:r w:rsidR="00D42C35" w:rsidRPr="00D42C35">
              <w:rPr>
                <w:rFonts w:ascii="Arial" w:hAnsi="Arial" w:cs="Arial"/>
                <w:noProof/>
                <w:webHidden/>
              </w:rPr>
              <w:fldChar w:fldCharType="separate"/>
            </w:r>
            <w:r w:rsidR="00D42C35" w:rsidRPr="00D42C35">
              <w:rPr>
                <w:rFonts w:ascii="Arial" w:hAnsi="Arial" w:cs="Arial"/>
                <w:noProof/>
                <w:webHidden/>
              </w:rPr>
              <w:t>5</w:t>
            </w:r>
            <w:r w:rsidR="00D42C35" w:rsidRPr="00D42C35">
              <w:rPr>
                <w:rFonts w:ascii="Arial" w:hAnsi="Arial" w:cs="Arial"/>
                <w:noProof/>
                <w:webHidden/>
              </w:rPr>
              <w:fldChar w:fldCharType="end"/>
            </w:r>
          </w:hyperlink>
        </w:p>
        <w:p w14:paraId="76AEDC3C" w14:textId="3C0B14E3" w:rsidR="00D42C35" w:rsidRPr="00D42C35" w:rsidRDefault="00B22CCE">
          <w:pPr>
            <w:pStyle w:val="TOC3"/>
            <w:tabs>
              <w:tab w:val="right" w:leader="dot" w:pos="9016"/>
            </w:tabs>
            <w:rPr>
              <w:rFonts w:ascii="Arial" w:hAnsi="Arial" w:cs="Arial"/>
              <w:noProof/>
            </w:rPr>
          </w:pPr>
          <w:hyperlink w:anchor="_Toc129837115" w:history="1">
            <w:r w:rsidR="00D42C35" w:rsidRPr="00D42C35">
              <w:rPr>
                <w:rStyle w:val="Hyperlink"/>
                <w:rFonts w:ascii="Arial" w:eastAsia="Arial" w:hAnsi="Arial" w:cs="Arial"/>
                <w:noProof/>
                <w:color w:val="auto"/>
              </w:rPr>
              <w:t>Short-Term Public Health Consequences</w:t>
            </w:r>
            <w:r w:rsidR="00D42C35" w:rsidRPr="00D42C35">
              <w:rPr>
                <w:rFonts w:ascii="Arial" w:hAnsi="Arial" w:cs="Arial"/>
                <w:noProof/>
                <w:webHidden/>
              </w:rPr>
              <w:tab/>
            </w:r>
            <w:r w:rsidR="00D42C35" w:rsidRPr="00D42C35">
              <w:rPr>
                <w:rFonts w:ascii="Arial" w:hAnsi="Arial" w:cs="Arial"/>
                <w:noProof/>
                <w:webHidden/>
              </w:rPr>
              <w:fldChar w:fldCharType="begin"/>
            </w:r>
            <w:r w:rsidR="00D42C35" w:rsidRPr="00D42C35">
              <w:rPr>
                <w:rFonts w:ascii="Arial" w:hAnsi="Arial" w:cs="Arial"/>
                <w:noProof/>
                <w:webHidden/>
              </w:rPr>
              <w:instrText xml:space="preserve"> PAGEREF _Toc129837115 \h </w:instrText>
            </w:r>
            <w:r w:rsidR="00D42C35" w:rsidRPr="00D42C35">
              <w:rPr>
                <w:rFonts w:ascii="Arial" w:hAnsi="Arial" w:cs="Arial"/>
                <w:noProof/>
                <w:webHidden/>
              </w:rPr>
            </w:r>
            <w:r w:rsidR="00D42C35" w:rsidRPr="00D42C35">
              <w:rPr>
                <w:rFonts w:ascii="Arial" w:hAnsi="Arial" w:cs="Arial"/>
                <w:noProof/>
                <w:webHidden/>
              </w:rPr>
              <w:fldChar w:fldCharType="separate"/>
            </w:r>
            <w:r w:rsidR="00D42C35" w:rsidRPr="00D42C35">
              <w:rPr>
                <w:rFonts w:ascii="Arial" w:hAnsi="Arial" w:cs="Arial"/>
                <w:noProof/>
                <w:webHidden/>
              </w:rPr>
              <w:t>6</w:t>
            </w:r>
            <w:r w:rsidR="00D42C35" w:rsidRPr="00D42C35">
              <w:rPr>
                <w:rFonts w:ascii="Arial" w:hAnsi="Arial" w:cs="Arial"/>
                <w:noProof/>
                <w:webHidden/>
              </w:rPr>
              <w:fldChar w:fldCharType="end"/>
            </w:r>
          </w:hyperlink>
        </w:p>
        <w:p w14:paraId="2D43DC70" w14:textId="5AC03F8F" w:rsidR="00D42C35" w:rsidRPr="00D42C35" w:rsidRDefault="00B22CCE">
          <w:pPr>
            <w:pStyle w:val="TOC3"/>
            <w:tabs>
              <w:tab w:val="right" w:leader="dot" w:pos="9016"/>
            </w:tabs>
            <w:rPr>
              <w:rFonts w:ascii="Arial" w:hAnsi="Arial" w:cs="Arial"/>
              <w:noProof/>
            </w:rPr>
          </w:pPr>
          <w:hyperlink w:anchor="_Toc129837116" w:history="1">
            <w:r w:rsidR="00D42C35" w:rsidRPr="00D42C35">
              <w:rPr>
                <w:rStyle w:val="Hyperlink"/>
                <w:rFonts w:ascii="Arial" w:eastAsia="Arial" w:hAnsi="Arial" w:cs="Arial"/>
                <w:noProof/>
                <w:color w:val="auto"/>
              </w:rPr>
              <w:t>Long-Term Public Health Consequences</w:t>
            </w:r>
            <w:r w:rsidR="00D42C35" w:rsidRPr="00D42C35">
              <w:rPr>
                <w:rFonts w:ascii="Arial" w:hAnsi="Arial" w:cs="Arial"/>
                <w:noProof/>
                <w:webHidden/>
              </w:rPr>
              <w:tab/>
            </w:r>
            <w:r w:rsidR="00D42C35" w:rsidRPr="00D42C35">
              <w:rPr>
                <w:rFonts w:ascii="Arial" w:hAnsi="Arial" w:cs="Arial"/>
                <w:noProof/>
                <w:webHidden/>
              </w:rPr>
              <w:fldChar w:fldCharType="begin"/>
            </w:r>
            <w:r w:rsidR="00D42C35" w:rsidRPr="00D42C35">
              <w:rPr>
                <w:rFonts w:ascii="Arial" w:hAnsi="Arial" w:cs="Arial"/>
                <w:noProof/>
                <w:webHidden/>
              </w:rPr>
              <w:instrText xml:space="preserve"> PAGEREF _Toc129837116 \h </w:instrText>
            </w:r>
            <w:r w:rsidR="00D42C35" w:rsidRPr="00D42C35">
              <w:rPr>
                <w:rFonts w:ascii="Arial" w:hAnsi="Arial" w:cs="Arial"/>
                <w:noProof/>
                <w:webHidden/>
              </w:rPr>
            </w:r>
            <w:r w:rsidR="00D42C35" w:rsidRPr="00D42C35">
              <w:rPr>
                <w:rFonts w:ascii="Arial" w:hAnsi="Arial" w:cs="Arial"/>
                <w:noProof/>
                <w:webHidden/>
              </w:rPr>
              <w:fldChar w:fldCharType="separate"/>
            </w:r>
            <w:r w:rsidR="00D42C35" w:rsidRPr="00D42C35">
              <w:rPr>
                <w:rFonts w:ascii="Arial" w:hAnsi="Arial" w:cs="Arial"/>
                <w:noProof/>
                <w:webHidden/>
              </w:rPr>
              <w:t>6</w:t>
            </w:r>
            <w:r w:rsidR="00D42C35" w:rsidRPr="00D42C35">
              <w:rPr>
                <w:rFonts w:ascii="Arial" w:hAnsi="Arial" w:cs="Arial"/>
                <w:noProof/>
                <w:webHidden/>
              </w:rPr>
              <w:fldChar w:fldCharType="end"/>
            </w:r>
          </w:hyperlink>
        </w:p>
        <w:p w14:paraId="1F6C8B3B" w14:textId="1F1665B4" w:rsidR="00D42C35" w:rsidRPr="00D42C35" w:rsidRDefault="00B22CCE">
          <w:pPr>
            <w:pStyle w:val="TOC3"/>
            <w:tabs>
              <w:tab w:val="right" w:leader="dot" w:pos="9016"/>
            </w:tabs>
            <w:rPr>
              <w:rFonts w:ascii="Arial" w:hAnsi="Arial" w:cs="Arial"/>
              <w:noProof/>
            </w:rPr>
          </w:pPr>
          <w:hyperlink w:anchor="_Toc129837117" w:history="1">
            <w:r w:rsidR="00D42C35" w:rsidRPr="00D42C35">
              <w:rPr>
                <w:rStyle w:val="Hyperlink"/>
                <w:rFonts w:ascii="Arial" w:eastAsia="Arial" w:hAnsi="Arial" w:cs="Arial"/>
                <w:noProof/>
                <w:color w:val="auto"/>
              </w:rPr>
              <w:t>Public Health Measures</w:t>
            </w:r>
            <w:r w:rsidR="00D42C35" w:rsidRPr="00D42C35">
              <w:rPr>
                <w:rFonts w:ascii="Arial" w:hAnsi="Arial" w:cs="Arial"/>
                <w:noProof/>
                <w:webHidden/>
              </w:rPr>
              <w:tab/>
            </w:r>
            <w:r w:rsidR="00D42C35" w:rsidRPr="00D42C35">
              <w:rPr>
                <w:rFonts w:ascii="Arial" w:hAnsi="Arial" w:cs="Arial"/>
                <w:noProof/>
                <w:webHidden/>
              </w:rPr>
              <w:fldChar w:fldCharType="begin"/>
            </w:r>
            <w:r w:rsidR="00D42C35" w:rsidRPr="00D42C35">
              <w:rPr>
                <w:rFonts w:ascii="Arial" w:hAnsi="Arial" w:cs="Arial"/>
                <w:noProof/>
                <w:webHidden/>
              </w:rPr>
              <w:instrText xml:space="preserve"> PAGEREF _Toc129837117 \h </w:instrText>
            </w:r>
            <w:r w:rsidR="00D42C35" w:rsidRPr="00D42C35">
              <w:rPr>
                <w:rFonts w:ascii="Arial" w:hAnsi="Arial" w:cs="Arial"/>
                <w:noProof/>
                <w:webHidden/>
              </w:rPr>
            </w:r>
            <w:r w:rsidR="00D42C35" w:rsidRPr="00D42C35">
              <w:rPr>
                <w:rFonts w:ascii="Arial" w:hAnsi="Arial" w:cs="Arial"/>
                <w:noProof/>
                <w:webHidden/>
              </w:rPr>
              <w:fldChar w:fldCharType="separate"/>
            </w:r>
            <w:r w:rsidR="00D42C35" w:rsidRPr="00D42C35">
              <w:rPr>
                <w:rFonts w:ascii="Arial" w:hAnsi="Arial" w:cs="Arial"/>
                <w:noProof/>
                <w:webHidden/>
              </w:rPr>
              <w:t>6</w:t>
            </w:r>
            <w:r w:rsidR="00D42C35" w:rsidRPr="00D42C35">
              <w:rPr>
                <w:rFonts w:ascii="Arial" w:hAnsi="Arial" w:cs="Arial"/>
                <w:noProof/>
                <w:webHidden/>
              </w:rPr>
              <w:fldChar w:fldCharType="end"/>
            </w:r>
          </w:hyperlink>
        </w:p>
        <w:p w14:paraId="22262868" w14:textId="2B67D83A" w:rsidR="00D42C35" w:rsidRPr="00D42C35" w:rsidRDefault="00B22CCE" w:rsidP="00D42C35">
          <w:pPr>
            <w:pStyle w:val="TOC2"/>
            <w:tabs>
              <w:tab w:val="right" w:leader="dot" w:pos="9016"/>
            </w:tabs>
            <w:ind w:left="0"/>
            <w:rPr>
              <w:rFonts w:ascii="Arial" w:hAnsi="Arial" w:cs="Arial"/>
              <w:noProof/>
            </w:rPr>
          </w:pPr>
          <w:hyperlink w:anchor="_Toc129837118" w:history="1">
            <w:r w:rsidR="00D42C35" w:rsidRPr="00D42C35">
              <w:rPr>
                <w:rStyle w:val="Hyperlink"/>
                <w:rFonts w:ascii="Arial" w:eastAsia="Arial" w:hAnsi="Arial" w:cs="Arial"/>
                <w:noProof/>
                <w:color w:val="auto"/>
              </w:rPr>
              <w:t>Conclusion</w:t>
            </w:r>
            <w:r w:rsidR="00D42C35" w:rsidRPr="00D42C35">
              <w:rPr>
                <w:rFonts w:ascii="Arial" w:hAnsi="Arial" w:cs="Arial"/>
                <w:noProof/>
                <w:webHidden/>
              </w:rPr>
              <w:tab/>
            </w:r>
            <w:r w:rsidR="00D42C35" w:rsidRPr="00D42C35">
              <w:rPr>
                <w:rFonts w:ascii="Arial" w:hAnsi="Arial" w:cs="Arial"/>
                <w:noProof/>
                <w:webHidden/>
              </w:rPr>
              <w:fldChar w:fldCharType="begin"/>
            </w:r>
            <w:r w:rsidR="00D42C35" w:rsidRPr="00D42C35">
              <w:rPr>
                <w:rFonts w:ascii="Arial" w:hAnsi="Arial" w:cs="Arial"/>
                <w:noProof/>
                <w:webHidden/>
              </w:rPr>
              <w:instrText xml:space="preserve"> PAGEREF _Toc129837118 \h </w:instrText>
            </w:r>
            <w:r w:rsidR="00D42C35" w:rsidRPr="00D42C35">
              <w:rPr>
                <w:rFonts w:ascii="Arial" w:hAnsi="Arial" w:cs="Arial"/>
                <w:noProof/>
                <w:webHidden/>
              </w:rPr>
            </w:r>
            <w:r w:rsidR="00D42C35" w:rsidRPr="00D42C35">
              <w:rPr>
                <w:rFonts w:ascii="Arial" w:hAnsi="Arial" w:cs="Arial"/>
                <w:noProof/>
                <w:webHidden/>
              </w:rPr>
              <w:fldChar w:fldCharType="separate"/>
            </w:r>
            <w:r w:rsidR="00D42C35" w:rsidRPr="00D42C35">
              <w:rPr>
                <w:rFonts w:ascii="Arial" w:hAnsi="Arial" w:cs="Arial"/>
                <w:noProof/>
                <w:webHidden/>
              </w:rPr>
              <w:t>7</w:t>
            </w:r>
            <w:r w:rsidR="00D42C35" w:rsidRPr="00D42C35">
              <w:rPr>
                <w:rFonts w:ascii="Arial" w:hAnsi="Arial" w:cs="Arial"/>
                <w:noProof/>
                <w:webHidden/>
              </w:rPr>
              <w:fldChar w:fldCharType="end"/>
            </w:r>
          </w:hyperlink>
        </w:p>
        <w:p w14:paraId="2CE8ECAF" w14:textId="3E6637FD" w:rsidR="00D42C35" w:rsidRPr="00D42C35" w:rsidRDefault="00B22CCE">
          <w:pPr>
            <w:pStyle w:val="TOC1"/>
            <w:tabs>
              <w:tab w:val="right" w:leader="dot" w:pos="9016"/>
            </w:tabs>
            <w:rPr>
              <w:rFonts w:ascii="Arial" w:hAnsi="Arial" w:cs="Arial"/>
              <w:noProof/>
            </w:rPr>
          </w:pPr>
          <w:hyperlink w:anchor="_Toc129837119" w:history="1">
            <w:r w:rsidR="00D42C35" w:rsidRPr="00D42C35">
              <w:rPr>
                <w:rStyle w:val="Hyperlink"/>
                <w:rFonts w:ascii="Arial" w:eastAsia="Arial" w:hAnsi="Arial" w:cs="Arial"/>
                <w:noProof/>
                <w:color w:val="auto"/>
              </w:rPr>
              <w:t>References</w:t>
            </w:r>
            <w:r w:rsidR="00D42C35" w:rsidRPr="00D42C35">
              <w:rPr>
                <w:rFonts w:ascii="Arial" w:hAnsi="Arial" w:cs="Arial"/>
                <w:noProof/>
                <w:webHidden/>
              </w:rPr>
              <w:tab/>
            </w:r>
            <w:r w:rsidR="00D42C35" w:rsidRPr="00D42C35">
              <w:rPr>
                <w:rFonts w:ascii="Arial" w:hAnsi="Arial" w:cs="Arial"/>
                <w:noProof/>
                <w:webHidden/>
              </w:rPr>
              <w:fldChar w:fldCharType="begin"/>
            </w:r>
            <w:r w:rsidR="00D42C35" w:rsidRPr="00D42C35">
              <w:rPr>
                <w:rFonts w:ascii="Arial" w:hAnsi="Arial" w:cs="Arial"/>
                <w:noProof/>
                <w:webHidden/>
              </w:rPr>
              <w:instrText xml:space="preserve"> PAGEREF _Toc129837119 \h </w:instrText>
            </w:r>
            <w:r w:rsidR="00D42C35" w:rsidRPr="00D42C35">
              <w:rPr>
                <w:rFonts w:ascii="Arial" w:hAnsi="Arial" w:cs="Arial"/>
                <w:noProof/>
                <w:webHidden/>
              </w:rPr>
            </w:r>
            <w:r w:rsidR="00D42C35" w:rsidRPr="00D42C35">
              <w:rPr>
                <w:rFonts w:ascii="Arial" w:hAnsi="Arial" w:cs="Arial"/>
                <w:noProof/>
                <w:webHidden/>
              </w:rPr>
              <w:fldChar w:fldCharType="separate"/>
            </w:r>
            <w:r w:rsidR="00D42C35" w:rsidRPr="00D42C35">
              <w:rPr>
                <w:rFonts w:ascii="Arial" w:hAnsi="Arial" w:cs="Arial"/>
                <w:noProof/>
                <w:webHidden/>
              </w:rPr>
              <w:t>8</w:t>
            </w:r>
            <w:r w:rsidR="00D42C35" w:rsidRPr="00D42C35">
              <w:rPr>
                <w:rFonts w:ascii="Arial" w:hAnsi="Arial" w:cs="Arial"/>
                <w:noProof/>
                <w:webHidden/>
              </w:rPr>
              <w:fldChar w:fldCharType="end"/>
            </w:r>
          </w:hyperlink>
        </w:p>
        <w:p w14:paraId="57797B49" w14:textId="727ECD35" w:rsidR="00D42C35" w:rsidRDefault="00D42C35">
          <w:r w:rsidRPr="00D42C35">
            <w:rPr>
              <w:rFonts w:ascii="Arial" w:hAnsi="Arial" w:cs="Arial"/>
              <w:noProof/>
            </w:rPr>
            <w:fldChar w:fldCharType="end"/>
          </w:r>
        </w:p>
      </w:sdtContent>
    </w:sdt>
    <w:p w14:paraId="0801E7EC" w14:textId="5D0DD684" w:rsidR="3E7D43F2" w:rsidRDefault="3E7D43F2" w:rsidP="326C4F14">
      <w:pPr>
        <w:spacing w:line="360" w:lineRule="auto"/>
        <w:rPr>
          <w:rFonts w:ascii="Arial" w:eastAsia="Arial" w:hAnsi="Arial" w:cs="Arial"/>
        </w:rPr>
      </w:pPr>
      <w:r>
        <w:br/>
      </w:r>
    </w:p>
    <w:p w14:paraId="651BFB90" w14:textId="388627B4" w:rsidR="3E7D43F2" w:rsidRDefault="326C4F14" w:rsidP="326C4F14">
      <w:pPr>
        <w:spacing w:line="360" w:lineRule="auto"/>
        <w:rPr>
          <w:rFonts w:ascii="Arial" w:eastAsia="Arial" w:hAnsi="Arial" w:cs="Arial"/>
        </w:rPr>
      </w:pPr>
      <w:r w:rsidRPr="326C4F14">
        <w:rPr>
          <w:rFonts w:ascii="Arial" w:eastAsia="Arial" w:hAnsi="Arial" w:cs="Arial"/>
        </w:rPr>
        <w:t xml:space="preserve"> </w:t>
      </w:r>
    </w:p>
    <w:p w14:paraId="031A5059" w14:textId="3BB80A3F" w:rsidR="3E7D43F2" w:rsidRDefault="326C4F14" w:rsidP="326C4F14">
      <w:pPr>
        <w:spacing w:line="360" w:lineRule="auto"/>
        <w:rPr>
          <w:rFonts w:ascii="Arial" w:eastAsia="Arial" w:hAnsi="Arial" w:cs="Arial"/>
          <w:b/>
          <w:bCs/>
        </w:rPr>
      </w:pPr>
      <w:r w:rsidRPr="326C4F14">
        <w:rPr>
          <w:rFonts w:ascii="Arial" w:eastAsia="Arial" w:hAnsi="Arial" w:cs="Arial"/>
          <w:b/>
          <w:bCs/>
        </w:rPr>
        <w:t xml:space="preserve"> </w:t>
      </w:r>
    </w:p>
    <w:p w14:paraId="2D280756" w14:textId="77777777" w:rsidR="00D42C35" w:rsidRDefault="00D42C35">
      <w:pPr>
        <w:rPr>
          <w:rFonts w:ascii="Arial" w:eastAsia="Arial" w:hAnsi="Arial" w:cs="Arial"/>
          <w:b/>
          <w:bCs/>
        </w:rPr>
      </w:pPr>
      <w:r>
        <w:rPr>
          <w:rFonts w:ascii="Arial" w:eastAsia="Arial" w:hAnsi="Arial" w:cs="Arial"/>
          <w:b/>
          <w:bCs/>
        </w:rPr>
        <w:br w:type="page"/>
      </w:r>
    </w:p>
    <w:p w14:paraId="79939F28" w14:textId="5C0B00BC" w:rsidR="3E7D43F2" w:rsidRDefault="326C4F14" w:rsidP="326C4F14">
      <w:pPr>
        <w:pStyle w:val="Heading2"/>
        <w:rPr>
          <w:rFonts w:ascii="Arial" w:eastAsia="Arial" w:hAnsi="Arial" w:cs="Arial"/>
          <w:color w:val="auto"/>
          <w:sz w:val="22"/>
          <w:szCs w:val="22"/>
        </w:rPr>
      </w:pPr>
      <w:bookmarkStart w:id="0" w:name="_Toc129837108"/>
      <w:r w:rsidRPr="326C4F14">
        <w:rPr>
          <w:rFonts w:ascii="Arial" w:eastAsia="Arial" w:hAnsi="Arial" w:cs="Arial"/>
          <w:b/>
          <w:bCs/>
          <w:color w:val="auto"/>
          <w:sz w:val="22"/>
          <w:szCs w:val="22"/>
        </w:rPr>
        <w:lastRenderedPageBreak/>
        <w:t>Introduction</w:t>
      </w:r>
      <w:bookmarkEnd w:id="0"/>
      <w:r w:rsidRPr="326C4F14">
        <w:rPr>
          <w:rFonts w:ascii="Arial" w:eastAsia="Arial" w:hAnsi="Arial" w:cs="Arial"/>
          <w:color w:val="auto"/>
          <w:sz w:val="22"/>
          <w:szCs w:val="22"/>
        </w:rPr>
        <w:t xml:space="preserve"> </w:t>
      </w:r>
    </w:p>
    <w:p w14:paraId="26094E83" w14:textId="73AE3C51" w:rsidR="3E7D43F2" w:rsidRDefault="326C4F14" w:rsidP="326C4F14">
      <w:pPr>
        <w:spacing w:line="360" w:lineRule="auto"/>
        <w:rPr>
          <w:rFonts w:ascii="Arial" w:eastAsia="Arial" w:hAnsi="Arial" w:cs="Arial"/>
        </w:rPr>
      </w:pPr>
      <w:r w:rsidRPr="326C4F14">
        <w:rPr>
          <w:rFonts w:ascii="Arial" w:eastAsia="Arial" w:hAnsi="Arial" w:cs="Arial"/>
        </w:rPr>
        <w:t xml:space="preserve">Disease is an abnormal state of the body or mind that impairs normal bodily functions and results in discomfort, dysfunction, or anguish in the affected person. The chronic, non-communicable disease Type 2 Diabetes (T2D), which affects millions of individuals globally and is still a significant public health concern, will be covered in this report (Khan et al., 2022). The body's insufficient insulin production and/or resistance to insulin's effects are the root causes of T2D. </w:t>
      </w:r>
    </w:p>
    <w:p w14:paraId="38E9FC83" w14:textId="06FB8A31" w:rsidR="3E7D43F2" w:rsidRDefault="326C4F14" w:rsidP="326C4F14">
      <w:pPr>
        <w:pStyle w:val="Heading3"/>
        <w:rPr>
          <w:rFonts w:ascii="Arial" w:eastAsia="Arial" w:hAnsi="Arial" w:cs="Arial"/>
          <w:color w:val="auto"/>
          <w:sz w:val="22"/>
          <w:szCs w:val="22"/>
        </w:rPr>
      </w:pPr>
      <w:bookmarkStart w:id="1" w:name="_Toc129837109"/>
      <w:r w:rsidRPr="326C4F14">
        <w:rPr>
          <w:rFonts w:ascii="Arial" w:eastAsia="Arial" w:hAnsi="Arial" w:cs="Arial"/>
          <w:b/>
          <w:bCs/>
          <w:color w:val="auto"/>
          <w:sz w:val="22"/>
          <w:szCs w:val="22"/>
        </w:rPr>
        <w:t>Levels of Incidence</w:t>
      </w:r>
      <w:bookmarkEnd w:id="1"/>
      <w:r w:rsidRPr="326C4F14">
        <w:rPr>
          <w:rFonts w:ascii="Arial" w:eastAsia="Arial" w:hAnsi="Arial" w:cs="Arial"/>
          <w:b/>
          <w:bCs/>
          <w:color w:val="auto"/>
          <w:sz w:val="22"/>
          <w:szCs w:val="22"/>
        </w:rPr>
        <w:t xml:space="preserve"> </w:t>
      </w:r>
      <w:r w:rsidRPr="326C4F14">
        <w:rPr>
          <w:rFonts w:ascii="Arial" w:eastAsia="Arial" w:hAnsi="Arial" w:cs="Arial"/>
          <w:color w:val="auto"/>
          <w:sz w:val="22"/>
          <w:szCs w:val="22"/>
        </w:rPr>
        <w:t xml:space="preserve"> </w:t>
      </w:r>
    </w:p>
    <w:p w14:paraId="49459253" w14:textId="241E3F84" w:rsidR="3E7D43F2" w:rsidRDefault="326C4F14" w:rsidP="326C4F14">
      <w:pPr>
        <w:spacing w:line="360" w:lineRule="auto"/>
        <w:rPr>
          <w:rFonts w:ascii="Arial" w:eastAsia="Arial" w:hAnsi="Arial" w:cs="Arial"/>
        </w:rPr>
      </w:pPr>
      <w:r w:rsidRPr="326C4F14">
        <w:rPr>
          <w:rFonts w:ascii="Arial" w:eastAsia="Arial" w:hAnsi="Arial" w:cs="Arial"/>
        </w:rPr>
        <w:t xml:space="preserve">The WHO predicts that 463 million people worldwide have diabetic in 2019, and that figure is anticipated to increase to 700 million in 2045. An estimated 4.7 million people in the UK are thought to have diabetes currently, with T2D accounting for 90% of cases. In the UK, complications from diabetes are thought to have contributed to 28,000 deaths in 2018, making it the seventh highest cause of death. </w:t>
      </w:r>
    </w:p>
    <w:p w14:paraId="62A7C395" w14:textId="44AC83B8" w:rsidR="3E7D43F2" w:rsidRDefault="326C4F14" w:rsidP="326C4F14">
      <w:pPr>
        <w:pStyle w:val="Heading3"/>
        <w:rPr>
          <w:rFonts w:ascii="Arial" w:eastAsia="Arial" w:hAnsi="Arial" w:cs="Arial"/>
          <w:color w:val="auto"/>
          <w:sz w:val="22"/>
          <w:szCs w:val="22"/>
        </w:rPr>
      </w:pPr>
      <w:bookmarkStart w:id="2" w:name="_Toc129837110"/>
      <w:r w:rsidRPr="326C4F14">
        <w:rPr>
          <w:rFonts w:ascii="Arial" w:eastAsia="Arial" w:hAnsi="Arial" w:cs="Arial"/>
          <w:b/>
          <w:bCs/>
          <w:color w:val="auto"/>
          <w:sz w:val="22"/>
          <w:szCs w:val="22"/>
        </w:rPr>
        <w:t>Implications of Illness and Disease in Communities</w:t>
      </w:r>
      <w:bookmarkEnd w:id="2"/>
      <w:r w:rsidRPr="326C4F14">
        <w:rPr>
          <w:rFonts w:ascii="Arial" w:eastAsia="Arial" w:hAnsi="Arial" w:cs="Arial"/>
          <w:b/>
          <w:bCs/>
          <w:color w:val="auto"/>
          <w:sz w:val="22"/>
          <w:szCs w:val="22"/>
        </w:rPr>
        <w:t xml:space="preserve"> </w:t>
      </w:r>
      <w:r w:rsidRPr="326C4F14">
        <w:rPr>
          <w:rFonts w:ascii="Arial" w:eastAsia="Arial" w:hAnsi="Arial" w:cs="Arial"/>
          <w:color w:val="auto"/>
          <w:sz w:val="22"/>
          <w:szCs w:val="22"/>
        </w:rPr>
        <w:t xml:space="preserve"> </w:t>
      </w:r>
    </w:p>
    <w:p w14:paraId="5ED6CA18" w14:textId="0125B279" w:rsidR="3E7D43F2" w:rsidRDefault="326C4F14" w:rsidP="326C4F14">
      <w:pPr>
        <w:spacing w:line="360" w:lineRule="auto"/>
        <w:rPr>
          <w:rFonts w:ascii="Arial" w:eastAsia="Arial" w:hAnsi="Arial" w:cs="Arial"/>
        </w:rPr>
      </w:pPr>
      <w:r w:rsidRPr="326C4F14">
        <w:rPr>
          <w:rFonts w:ascii="Arial" w:eastAsia="Arial" w:hAnsi="Arial" w:cs="Arial"/>
        </w:rPr>
        <w:t xml:space="preserve">T2D can have a catastrophic effect on a person, both psychologically and physically. An elevated chance of developing cardiovascular disease, dementia, blindness, kidney failure, and amputation are just a few of the physical side effects of T2D. Moreover, there may be effects on mental health, such as stress, anxiety, and sadness. T2D not only negatively affects the person who has it, but it also has a big effect on society since it puts a huge financial burden on the healthcare system. T2D is thought to consume 10% of the UK's yearly health care budget. </w:t>
      </w:r>
    </w:p>
    <w:p w14:paraId="3DB11207" w14:textId="2F75F2D0" w:rsidR="3E7D43F2" w:rsidRDefault="326C4F14" w:rsidP="326C4F14">
      <w:pPr>
        <w:pStyle w:val="Heading3"/>
        <w:rPr>
          <w:rFonts w:ascii="Arial" w:eastAsia="Arial" w:hAnsi="Arial" w:cs="Arial"/>
          <w:color w:val="auto"/>
          <w:sz w:val="22"/>
          <w:szCs w:val="22"/>
        </w:rPr>
      </w:pPr>
      <w:bookmarkStart w:id="3" w:name="_Toc129837111"/>
      <w:r w:rsidRPr="326C4F14">
        <w:rPr>
          <w:rFonts w:ascii="Arial" w:eastAsia="Arial" w:hAnsi="Arial" w:cs="Arial"/>
          <w:b/>
          <w:bCs/>
          <w:color w:val="auto"/>
          <w:sz w:val="22"/>
          <w:szCs w:val="22"/>
        </w:rPr>
        <w:t>Factors Influencing Health and Well-being</w:t>
      </w:r>
      <w:bookmarkEnd w:id="3"/>
      <w:r w:rsidRPr="326C4F14">
        <w:rPr>
          <w:rFonts w:ascii="Arial" w:eastAsia="Arial" w:hAnsi="Arial" w:cs="Arial"/>
          <w:b/>
          <w:bCs/>
          <w:color w:val="auto"/>
          <w:sz w:val="22"/>
          <w:szCs w:val="22"/>
        </w:rPr>
        <w:t xml:space="preserve"> </w:t>
      </w:r>
      <w:r w:rsidRPr="326C4F14">
        <w:rPr>
          <w:rFonts w:ascii="Arial" w:eastAsia="Arial" w:hAnsi="Arial" w:cs="Arial"/>
          <w:color w:val="auto"/>
          <w:sz w:val="22"/>
          <w:szCs w:val="22"/>
        </w:rPr>
        <w:t xml:space="preserve"> </w:t>
      </w:r>
    </w:p>
    <w:p w14:paraId="1D0E4D54" w14:textId="325F845A" w:rsidR="3E7D43F2" w:rsidRDefault="326C4F14" w:rsidP="326C4F14">
      <w:pPr>
        <w:spacing w:line="360" w:lineRule="auto"/>
        <w:rPr>
          <w:rFonts w:ascii="Arial" w:eastAsia="Arial" w:hAnsi="Arial" w:cs="Arial"/>
        </w:rPr>
      </w:pPr>
      <w:r w:rsidRPr="326C4F14">
        <w:rPr>
          <w:rFonts w:ascii="Arial" w:eastAsia="Arial" w:hAnsi="Arial" w:cs="Arial"/>
        </w:rPr>
        <w:t xml:space="preserve">T2D development may be influenced by several things. Obesity, a poor diet, and inactivity are all recognized risk factors. Given that some immigrant communities, including African Caribbean as well as South Asian, are much more susceptible to contracting T2D than other racial backgrounds, genetics may possibly be a factor. T2D has been associated with poverty because people with T2D seem to be more likely to live in disadvantaged areas than in more prosperous ones.  </w:t>
      </w:r>
    </w:p>
    <w:p w14:paraId="6DA13287" w14:textId="158315D0" w:rsidR="3E7D43F2" w:rsidRDefault="326C4F14" w:rsidP="326C4F14">
      <w:pPr>
        <w:pStyle w:val="Heading2"/>
        <w:rPr>
          <w:rFonts w:ascii="Arial" w:eastAsia="Arial" w:hAnsi="Arial" w:cs="Arial"/>
          <w:color w:val="auto"/>
          <w:sz w:val="22"/>
          <w:szCs w:val="22"/>
        </w:rPr>
      </w:pPr>
      <w:bookmarkStart w:id="4" w:name="_Toc129837112"/>
      <w:r w:rsidRPr="326C4F14">
        <w:rPr>
          <w:rFonts w:ascii="Arial" w:eastAsia="Arial" w:hAnsi="Arial" w:cs="Arial"/>
          <w:b/>
          <w:bCs/>
          <w:color w:val="auto"/>
          <w:sz w:val="22"/>
          <w:szCs w:val="22"/>
        </w:rPr>
        <w:t>Public Health Measures Available for Type 2 Diabetes</w:t>
      </w:r>
      <w:bookmarkEnd w:id="4"/>
      <w:r w:rsidRPr="326C4F14">
        <w:rPr>
          <w:rFonts w:ascii="Arial" w:eastAsia="Arial" w:hAnsi="Arial" w:cs="Arial"/>
          <w:b/>
          <w:bCs/>
          <w:color w:val="auto"/>
          <w:sz w:val="22"/>
          <w:szCs w:val="22"/>
        </w:rPr>
        <w:t xml:space="preserve"> </w:t>
      </w:r>
      <w:r w:rsidRPr="326C4F14">
        <w:rPr>
          <w:rFonts w:ascii="Arial" w:eastAsia="Arial" w:hAnsi="Arial" w:cs="Arial"/>
          <w:color w:val="auto"/>
          <w:sz w:val="22"/>
          <w:szCs w:val="22"/>
        </w:rPr>
        <w:t xml:space="preserve"> </w:t>
      </w:r>
    </w:p>
    <w:p w14:paraId="6013BE08" w14:textId="4AAEA0AD" w:rsidR="3E7D43F2" w:rsidRDefault="326C4F14" w:rsidP="326C4F14">
      <w:pPr>
        <w:spacing w:line="360" w:lineRule="auto"/>
        <w:rPr>
          <w:rFonts w:ascii="Arial" w:eastAsia="Arial" w:hAnsi="Arial" w:cs="Arial"/>
        </w:rPr>
      </w:pPr>
      <w:r w:rsidRPr="326C4F14">
        <w:rPr>
          <w:rFonts w:ascii="Arial" w:eastAsia="Arial" w:hAnsi="Arial" w:cs="Arial"/>
        </w:rPr>
        <w:t xml:space="preserve">Type two diabetes (Type 2), a chronic, protracted illness that is primarily spurred on by the pancreatic' failure to produce enough insulin, causes elevated levels of sugar in the blood. T2D ranks among the most common medical conditions, with the WHO estimating that many more that 422 million people worldwide have it (WHO, 2020). To identify, track, and control the frequency of this condition in populations, public health professionals must put measures in place. T2D has an impact on how social care and health care are delivered. A human's health and well-being may be impacted by several factors in the setting of social or </w:t>
      </w:r>
      <w:proofErr w:type="spellStart"/>
      <w:r w:rsidRPr="326C4F14">
        <w:rPr>
          <w:rFonts w:ascii="Arial" w:eastAsia="Arial" w:hAnsi="Arial" w:cs="Arial"/>
        </w:rPr>
        <w:lastRenderedPageBreak/>
        <w:t>behavioral</w:t>
      </w:r>
      <w:proofErr w:type="spellEnd"/>
      <w:r w:rsidRPr="326C4F14">
        <w:rPr>
          <w:rFonts w:ascii="Arial" w:eastAsia="Arial" w:hAnsi="Arial" w:cs="Arial"/>
        </w:rPr>
        <w:t xml:space="preserve"> health. They include aspects of the economy, society, culture, environment, and way of life. Those who reside in underprivileged areas, for instance, seem to be more likely to be subjected to environmental dangers like poor air quality or a lack of access to wholesome food options, which might raise their risk of having T2D. (Hilton et al., 2017). Also, people who are socioeconomically disadvantaged could have less opportunities for medical care, which could result in an illness being diagnosed later and being poorly managed (Brown et al., 2019). Public health professionals must be aware of the rate and risk factors for T2D to gauge and track the disease's prevalence in local populations. To track the prevalence of T2D in local populations, population-level surveillance systems can be utilized, such as the Health And social care information Audit (NDA) in England (NHS Digital, 2019). Moreover, information from national surveys, like the Britain Health Survey, can be used to spot trends in the prevalence of T2D at the population level (NHS Digital, 2017). ")".  Tests like the HbA1c test and the oral tolerance test for glucose (OGTT) can be used to screen people for T2D. (NHS, 2020). Once an occurrence of T2D in a cohort has been determined and tracked, public health officials can direct continuation in place to reduce the risk of contracting the illness. These strategies include public health campaigns to encourage positive attitudes toward life and programs to help people make nutritional and physical activity changes, as well as health promotion activities (</w:t>
      </w:r>
      <w:proofErr w:type="spellStart"/>
      <w:r w:rsidRPr="326C4F14">
        <w:rPr>
          <w:rFonts w:ascii="Arial" w:eastAsia="Arial" w:hAnsi="Arial" w:cs="Arial"/>
        </w:rPr>
        <w:t>DoH</w:t>
      </w:r>
      <w:proofErr w:type="spellEnd"/>
      <w:r w:rsidRPr="326C4F14">
        <w:rPr>
          <w:rFonts w:ascii="Arial" w:eastAsia="Arial" w:hAnsi="Arial" w:cs="Arial"/>
        </w:rPr>
        <w:t xml:space="preserve">, 2011). Also, medical professionals can offer patients advice on how to reduce their risk of developing T2D, for instance by avoiding sugary meals and drinks (NHS, 2020). Real-world tactics can also be utilized to assist people in managing their T2D, such as the English "Healthy Living Pharmacy" program. The goal of this program is to give people a network of nearby healthcare providers, such pharmacists, who can help them manage their conditions on their own (NHS, 2019). Moreover, the "Diabetes Prevention Project" in England is a neighbourhood-based initiative that gives people access to lifestyle counselling and assistance, as well as neighbourhood-based physical activity programs. (NHS, 2020).  </w:t>
      </w:r>
    </w:p>
    <w:p w14:paraId="60B3555F" w14:textId="32E6386D" w:rsidR="3E7D43F2" w:rsidRDefault="326C4F14" w:rsidP="326C4F14">
      <w:pPr>
        <w:pStyle w:val="Heading3"/>
        <w:rPr>
          <w:rFonts w:ascii="Arial" w:eastAsia="Arial" w:hAnsi="Arial" w:cs="Arial"/>
          <w:color w:val="auto"/>
          <w:sz w:val="22"/>
          <w:szCs w:val="22"/>
        </w:rPr>
      </w:pPr>
      <w:bookmarkStart w:id="5" w:name="_Toc129837113"/>
      <w:r w:rsidRPr="326C4F14">
        <w:rPr>
          <w:rFonts w:ascii="Arial" w:eastAsia="Arial" w:hAnsi="Arial" w:cs="Arial"/>
          <w:b/>
          <w:bCs/>
          <w:color w:val="auto"/>
          <w:sz w:val="22"/>
          <w:szCs w:val="22"/>
        </w:rPr>
        <w:t>The key determinants/risk factors of the Type 2 Diabetes (T2D)</w:t>
      </w:r>
      <w:bookmarkEnd w:id="5"/>
      <w:r w:rsidRPr="326C4F14">
        <w:rPr>
          <w:rFonts w:ascii="Arial" w:eastAsia="Arial" w:hAnsi="Arial" w:cs="Arial"/>
          <w:color w:val="auto"/>
          <w:sz w:val="22"/>
          <w:szCs w:val="22"/>
        </w:rPr>
        <w:t xml:space="preserve"> </w:t>
      </w:r>
    </w:p>
    <w:p w14:paraId="378FB046" w14:textId="36BDEC9E" w:rsidR="3E7D43F2" w:rsidRDefault="326C4F14" w:rsidP="326C4F14">
      <w:pPr>
        <w:spacing w:line="360" w:lineRule="auto"/>
        <w:rPr>
          <w:rFonts w:ascii="Arial" w:eastAsia="Arial" w:hAnsi="Arial" w:cs="Arial"/>
        </w:rPr>
      </w:pPr>
      <w:r w:rsidRPr="326C4F14">
        <w:rPr>
          <w:rFonts w:ascii="Arial" w:eastAsia="Arial" w:hAnsi="Arial" w:cs="Arial"/>
        </w:rPr>
        <w:t xml:space="preserve">The key determinants and risk factors associated with T2D are both genetic and environmental in nature. The main risk factors for T2D include age, family history, race/ethnicity, lifestyle factors, and obesity. Age is a major risk factor, with the risk of developing T2D increasing with age. Family history is also a risk factor, as T2D is known to run in families and those with a family history of T2D are at an increased risk of developing the disease. Race/ethnicity is another risk factor, with African Americans, Hispanics/Latinos, Native Americans, and Asians having an increased risk of developing T2D compared to other races/ethnicities. Lifestyle factors such as physical inactivity, poor diet, and smoking are all risk factors for T2D. Finally, obesity is a major risk factor, with those with a body mass </w:t>
      </w:r>
      <w:r w:rsidRPr="326C4F14">
        <w:rPr>
          <w:rFonts w:ascii="Arial" w:eastAsia="Arial" w:hAnsi="Arial" w:cs="Arial"/>
        </w:rPr>
        <w:lastRenderedPageBreak/>
        <w:t xml:space="preserve">index (BMI) over 30 kg/m2 being at an increased risk of developing T2D. The impact of T2D on individuals, communities, and health and social care services is significant. Individuals with T2D are at an increased risk of developing other health problems such as cardiovascular disease, stroke, kidney disease, blindness, and nerve damage. In addition, individuals with T2D have an increased risk of mental health problems such as depression and anxiety. These physical and mental health problems can lead to increased health care costs and decreased productivity, which can have a significant economic impact on individuals, families, and communities. T2D also has a major impact on health and social care services. T2D is a major cause of emergency hospital admissions, with approximately 45% of all emergency hospital admissions in the UK being attributed to T2D. T2D is also associated with an increased use of primary care services, and a greater reliance on community health services. This increased demand on health and social care services can have a significant financial impact, with the total cost of T2D in the UK estimated to be £14.9 billion in 2020. It's critical to recognize and manage the risk factors for T2D to decrease the disease's prevalence and the related financial and health burden. The UK has developed public health programs like the National Type 2 Diabetes Prevention Scheme (NDPP) to lower the possibility of contracting T2D by offering guidance and support to people at risk. This includes offering availability to weight maintenance and smoking cessation treatments, as well as lifestyle recommendations like upping physical activity and optimizing eating. The prevention and treatment of T2D can also be done in the primary care setting. Primary care professionals can employ a range of tactics to lower the risk of contracting T2D as well as to support individuals already afflicted. This entails identifying people who are at risk of getting T2D using risk assessment tools like the Diabetic Risk Score and offering them support and counselling regarding their lifestyle. Primary care doctors can also make tests and depend on factors, as well as medications and other therapies, to aid in the treatment and management of the illness. T2D is a major public health issue that has a significant impact on people, communities, and the services offered by social and medical organizations. The key genetic and environmental risk factors for T2D include age, genetic disposition, race/ethnicity, lifestyle factors, and obesity. To decrease the overall incidence of T2D and the associated health and financial burden, it is essential to identify and manage the risk factors associated with the illness. To lessen the burden of T2D, public health programs and primary healthcare facilities should be promoted as they might be crucial in the management and prevention of the disease. </w:t>
      </w:r>
    </w:p>
    <w:p w14:paraId="23BDA148" w14:textId="01B49F0D" w:rsidR="3E7D43F2" w:rsidRDefault="326C4F14" w:rsidP="326C4F14">
      <w:pPr>
        <w:pStyle w:val="Heading3"/>
        <w:rPr>
          <w:rFonts w:ascii="Arial" w:eastAsia="Arial" w:hAnsi="Arial" w:cs="Arial"/>
          <w:color w:val="auto"/>
          <w:sz w:val="22"/>
          <w:szCs w:val="22"/>
        </w:rPr>
      </w:pPr>
      <w:bookmarkStart w:id="6" w:name="_Toc129837114"/>
      <w:r w:rsidRPr="326C4F14">
        <w:rPr>
          <w:rFonts w:ascii="Arial" w:eastAsia="Arial" w:hAnsi="Arial" w:cs="Arial"/>
          <w:b/>
          <w:bCs/>
          <w:color w:val="auto"/>
          <w:sz w:val="22"/>
          <w:szCs w:val="22"/>
        </w:rPr>
        <w:t>Risk Factors</w:t>
      </w:r>
      <w:bookmarkEnd w:id="6"/>
      <w:r w:rsidRPr="326C4F14">
        <w:rPr>
          <w:rFonts w:ascii="Arial" w:eastAsia="Arial" w:hAnsi="Arial" w:cs="Arial"/>
          <w:color w:val="auto"/>
          <w:sz w:val="22"/>
          <w:szCs w:val="22"/>
        </w:rPr>
        <w:t xml:space="preserve"> </w:t>
      </w:r>
    </w:p>
    <w:p w14:paraId="05B5512F" w14:textId="2069BC20" w:rsidR="3E7D43F2" w:rsidRDefault="326C4F14" w:rsidP="326C4F14">
      <w:pPr>
        <w:spacing w:line="360" w:lineRule="auto"/>
        <w:rPr>
          <w:rFonts w:ascii="Arial" w:eastAsia="Arial" w:hAnsi="Arial" w:cs="Arial"/>
        </w:rPr>
      </w:pPr>
      <w:r w:rsidRPr="326C4F14">
        <w:rPr>
          <w:rFonts w:ascii="Arial" w:eastAsia="Arial" w:hAnsi="Arial" w:cs="Arial"/>
        </w:rPr>
        <w:t xml:space="preserve">Obesity, lack of exercise, a poor diet, hypertension, </w:t>
      </w:r>
      <w:r w:rsidR="00D42C35" w:rsidRPr="326C4F14">
        <w:rPr>
          <w:rFonts w:ascii="Arial" w:eastAsia="Arial" w:hAnsi="Arial" w:cs="Arial"/>
        </w:rPr>
        <w:t>dyslipidaemia</w:t>
      </w:r>
      <w:r w:rsidRPr="326C4F14">
        <w:rPr>
          <w:rFonts w:ascii="Arial" w:eastAsia="Arial" w:hAnsi="Arial" w:cs="Arial"/>
        </w:rPr>
        <w:t xml:space="preserve">, and a family background of the condition are all risk factors for T2D. One of the most notable risk factors for T2D is </w:t>
      </w:r>
      <w:r w:rsidRPr="326C4F14">
        <w:rPr>
          <w:rFonts w:ascii="Arial" w:eastAsia="Arial" w:hAnsi="Arial" w:cs="Arial"/>
        </w:rPr>
        <w:lastRenderedPageBreak/>
        <w:t xml:space="preserve">obesity, which is also linked to insulin sensitivity, which can result in diabetes. T2D is more likely to affect overweight or obese people than healthy-weight people. A major contributory factor for T2D is also physical inactivity. Less physically active individuals are more prone to obesity and have a higher chance of having T2D. Another serious complication for T2D is a poor diet. A diet high in sugar, processed foods, and bad fats can make you gain weight, which raises your risk of T2D. Cholesterol and high blood pressure can also raise the risk of T2D. The likelihood of acquiring T2D is increased by a familial connection to the illness. T2D has far-reaching effects and may cause significant health problems. Heart disease, stroke, renal illness, sciatica, and vision loss are all more common among T2D patients (Google.com, 2023). Because to their illness, people without T2D may also feel social isolation, anxiety, and sadness. T2D has a big financial impact as well since people may need pricey medications and therapies to manage their illness. Public health programs must concentrate on minimizing the risk factors connected to the condition in hopes of reducing the amount of people with T2D. Enhancing access to nutritious foods and promoting physical activity are two examples of this. T2D risk can be decreased by encouraging healthy lifestyle practices including a well-rounded diet and exercising frequently. Campaigns for public health should also include educating people about the dangers of T2D and urging them to get evaluated for the disease. Finally, programs and policies aiming at lowering obesity and encouraging healthy lifestyles can aid in the decline of T2D. </w:t>
      </w:r>
    </w:p>
    <w:p w14:paraId="4A364389" w14:textId="1EACF5F5" w:rsidR="3E7D43F2" w:rsidRDefault="326C4F14" w:rsidP="326C4F14">
      <w:pPr>
        <w:pStyle w:val="Heading3"/>
        <w:rPr>
          <w:rFonts w:ascii="Arial" w:eastAsia="Arial" w:hAnsi="Arial" w:cs="Arial"/>
          <w:color w:val="auto"/>
          <w:sz w:val="22"/>
          <w:szCs w:val="22"/>
        </w:rPr>
      </w:pPr>
      <w:bookmarkStart w:id="7" w:name="_Toc129837115"/>
      <w:r w:rsidRPr="326C4F14">
        <w:rPr>
          <w:rFonts w:ascii="Arial" w:eastAsia="Arial" w:hAnsi="Arial" w:cs="Arial"/>
          <w:b/>
          <w:bCs/>
          <w:color w:val="auto"/>
          <w:sz w:val="22"/>
          <w:szCs w:val="22"/>
        </w:rPr>
        <w:t>Short-Term Public Health Consequences</w:t>
      </w:r>
      <w:bookmarkEnd w:id="7"/>
      <w:r w:rsidRPr="326C4F14">
        <w:rPr>
          <w:rFonts w:ascii="Arial" w:eastAsia="Arial" w:hAnsi="Arial" w:cs="Arial"/>
          <w:color w:val="auto"/>
          <w:sz w:val="22"/>
          <w:szCs w:val="22"/>
        </w:rPr>
        <w:t xml:space="preserve"> </w:t>
      </w:r>
    </w:p>
    <w:p w14:paraId="10AB9FD6" w14:textId="38095054" w:rsidR="3E7D43F2" w:rsidRDefault="326C4F14" w:rsidP="326C4F14">
      <w:pPr>
        <w:spacing w:line="360" w:lineRule="auto"/>
        <w:rPr>
          <w:rFonts w:ascii="Arial" w:eastAsia="Arial" w:hAnsi="Arial" w:cs="Arial"/>
        </w:rPr>
      </w:pPr>
      <w:r w:rsidRPr="326C4F14">
        <w:rPr>
          <w:rFonts w:ascii="Arial" w:eastAsia="Arial" w:hAnsi="Arial" w:cs="Arial"/>
        </w:rPr>
        <w:t xml:space="preserve">In the short-term, T2D can lead to an increased risk of heart disease, stroke, kidney disease, and vision loss (CDC, 2020). It can also result in fatigue, nausea, and increased thirst and urination.  </w:t>
      </w:r>
    </w:p>
    <w:p w14:paraId="39506347" w14:textId="1F7B5E19" w:rsidR="3E7D43F2" w:rsidRDefault="326C4F14" w:rsidP="326C4F14">
      <w:pPr>
        <w:pStyle w:val="Heading3"/>
        <w:rPr>
          <w:rFonts w:ascii="Arial" w:eastAsia="Arial" w:hAnsi="Arial" w:cs="Arial"/>
          <w:color w:val="auto"/>
          <w:sz w:val="22"/>
          <w:szCs w:val="22"/>
        </w:rPr>
      </w:pPr>
      <w:bookmarkStart w:id="8" w:name="_Toc129837116"/>
      <w:r w:rsidRPr="326C4F14">
        <w:rPr>
          <w:rFonts w:ascii="Arial" w:eastAsia="Arial" w:hAnsi="Arial" w:cs="Arial"/>
          <w:b/>
          <w:bCs/>
          <w:color w:val="auto"/>
          <w:sz w:val="22"/>
          <w:szCs w:val="22"/>
        </w:rPr>
        <w:t>Long-Term Public Health Consequences</w:t>
      </w:r>
      <w:bookmarkEnd w:id="8"/>
      <w:r w:rsidRPr="326C4F14">
        <w:rPr>
          <w:rFonts w:ascii="Arial" w:eastAsia="Arial" w:hAnsi="Arial" w:cs="Arial"/>
          <w:color w:val="auto"/>
          <w:sz w:val="22"/>
          <w:szCs w:val="22"/>
        </w:rPr>
        <w:t xml:space="preserve"> </w:t>
      </w:r>
    </w:p>
    <w:p w14:paraId="7CA7FC2E" w14:textId="7B9D670F" w:rsidR="3E7D43F2" w:rsidRDefault="326C4F14" w:rsidP="326C4F14">
      <w:pPr>
        <w:spacing w:line="360" w:lineRule="auto"/>
        <w:rPr>
          <w:rFonts w:ascii="Arial" w:eastAsia="Arial" w:hAnsi="Arial" w:cs="Arial"/>
        </w:rPr>
      </w:pPr>
      <w:r w:rsidRPr="326C4F14">
        <w:rPr>
          <w:rFonts w:ascii="Arial" w:eastAsia="Arial" w:hAnsi="Arial" w:cs="Arial"/>
        </w:rPr>
        <w:t xml:space="preserve">In the protracted, T2D can lead to a greater likelihood of premature mortality, gangrene, and melancholy (CDC, 2020). It can also lead to greater hospitalization and incapacity, as well as a greater likelihood of contracting other chronic diseases. </w:t>
      </w:r>
    </w:p>
    <w:p w14:paraId="6451022D" w14:textId="0B5142AD" w:rsidR="3E7D43F2" w:rsidRDefault="326C4F14" w:rsidP="326C4F14">
      <w:pPr>
        <w:pStyle w:val="Heading3"/>
        <w:rPr>
          <w:rFonts w:ascii="Arial" w:eastAsia="Arial" w:hAnsi="Arial" w:cs="Arial"/>
          <w:color w:val="auto"/>
          <w:sz w:val="22"/>
          <w:szCs w:val="22"/>
        </w:rPr>
      </w:pPr>
      <w:bookmarkStart w:id="9" w:name="_Toc129837117"/>
      <w:r w:rsidRPr="326C4F14">
        <w:rPr>
          <w:rFonts w:ascii="Arial" w:eastAsia="Arial" w:hAnsi="Arial" w:cs="Arial"/>
          <w:b/>
          <w:bCs/>
          <w:color w:val="auto"/>
          <w:sz w:val="22"/>
          <w:szCs w:val="22"/>
        </w:rPr>
        <w:t>Public Health Measures</w:t>
      </w:r>
      <w:bookmarkEnd w:id="9"/>
      <w:r w:rsidRPr="326C4F14">
        <w:rPr>
          <w:rFonts w:ascii="Arial" w:eastAsia="Arial" w:hAnsi="Arial" w:cs="Arial"/>
          <w:color w:val="auto"/>
          <w:sz w:val="22"/>
          <w:szCs w:val="22"/>
        </w:rPr>
        <w:t xml:space="preserve"> </w:t>
      </w:r>
    </w:p>
    <w:p w14:paraId="317B9703" w14:textId="00BF2572" w:rsidR="3E7D43F2" w:rsidRDefault="326C4F14" w:rsidP="326C4F14">
      <w:pPr>
        <w:spacing w:line="360" w:lineRule="auto"/>
        <w:rPr>
          <w:rFonts w:ascii="Arial" w:eastAsia="Arial" w:hAnsi="Arial" w:cs="Arial"/>
        </w:rPr>
      </w:pPr>
      <w:r w:rsidRPr="326C4F14">
        <w:rPr>
          <w:rFonts w:ascii="Arial" w:eastAsia="Arial" w:hAnsi="Arial" w:cs="Arial"/>
        </w:rPr>
        <w:t xml:space="preserve">Public health initiatives that can be used to cut the number of instances and enhance the lives of people with T2D include: </w:t>
      </w:r>
    </w:p>
    <w:p w14:paraId="16D56399" w14:textId="1B9E7BE1" w:rsidR="3E7D43F2" w:rsidRPr="00D42C35" w:rsidRDefault="326C4F14" w:rsidP="00D42C35">
      <w:pPr>
        <w:pStyle w:val="ListParagraph"/>
        <w:numPr>
          <w:ilvl w:val="0"/>
          <w:numId w:val="2"/>
        </w:numPr>
        <w:spacing w:line="360" w:lineRule="auto"/>
        <w:rPr>
          <w:rFonts w:ascii="Arial" w:eastAsia="Arial" w:hAnsi="Arial" w:cs="Arial"/>
        </w:rPr>
      </w:pPr>
      <w:r w:rsidRPr="00D42C35">
        <w:rPr>
          <w:rFonts w:ascii="Arial" w:eastAsia="Arial" w:hAnsi="Arial" w:cs="Arial"/>
        </w:rPr>
        <w:t xml:space="preserve">Raising public knowledge of the risk variables and symptoms of type 2 diabetes. </w:t>
      </w:r>
    </w:p>
    <w:p w14:paraId="4716718B" w14:textId="6E0A3B5B" w:rsidR="3E7D43F2" w:rsidRPr="00D42C35" w:rsidRDefault="326C4F14" w:rsidP="00D42C35">
      <w:pPr>
        <w:pStyle w:val="ListParagraph"/>
        <w:numPr>
          <w:ilvl w:val="0"/>
          <w:numId w:val="2"/>
        </w:numPr>
        <w:spacing w:line="360" w:lineRule="auto"/>
        <w:rPr>
          <w:rFonts w:ascii="Arial" w:eastAsia="Arial" w:hAnsi="Arial" w:cs="Arial"/>
        </w:rPr>
      </w:pPr>
      <w:r w:rsidRPr="00D42C35">
        <w:rPr>
          <w:rFonts w:ascii="Arial" w:eastAsia="Arial" w:hAnsi="Arial" w:cs="Arial"/>
        </w:rPr>
        <w:t xml:space="preserve">Promoting exercise and wholesome eating practices. </w:t>
      </w:r>
    </w:p>
    <w:p w14:paraId="636E9223" w14:textId="0C6331FF" w:rsidR="3E7D43F2" w:rsidRPr="00D42C35" w:rsidRDefault="326C4F14" w:rsidP="00D42C35">
      <w:pPr>
        <w:pStyle w:val="ListParagraph"/>
        <w:numPr>
          <w:ilvl w:val="0"/>
          <w:numId w:val="2"/>
        </w:numPr>
        <w:spacing w:line="360" w:lineRule="auto"/>
        <w:rPr>
          <w:rFonts w:ascii="Arial" w:eastAsia="Arial" w:hAnsi="Arial" w:cs="Arial"/>
        </w:rPr>
      </w:pPr>
      <w:r w:rsidRPr="00D42C35">
        <w:rPr>
          <w:rFonts w:ascii="Arial" w:eastAsia="Arial" w:hAnsi="Arial" w:cs="Arial"/>
        </w:rPr>
        <w:t xml:space="preserve">Putting in place screening programs to find those who are susceptible to T2D. </w:t>
      </w:r>
    </w:p>
    <w:p w14:paraId="1801B8BB" w14:textId="248131DE" w:rsidR="3E7D43F2" w:rsidRPr="00D42C35" w:rsidRDefault="326C4F14" w:rsidP="00D42C35">
      <w:pPr>
        <w:pStyle w:val="ListParagraph"/>
        <w:numPr>
          <w:ilvl w:val="0"/>
          <w:numId w:val="2"/>
        </w:numPr>
        <w:spacing w:line="360" w:lineRule="auto"/>
        <w:rPr>
          <w:rFonts w:ascii="Arial" w:eastAsia="Arial" w:hAnsi="Arial" w:cs="Arial"/>
        </w:rPr>
      </w:pPr>
      <w:r w:rsidRPr="00D42C35">
        <w:rPr>
          <w:rFonts w:ascii="Arial" w:eastAsia="Arial" w:hAnsi="Arial" w:cs="Arial"/>
        </w:rPr>
        <w:t xml:space="preserve">Making diabetes subconscious education programs available. </w:t>
      </w:r>
    </w:p>
    <w:p w14:paraId="396FB18C" w14:textId="377ADAE2" w:rsidR="3E7D43F2" w:rsidRPr="00D42C35" w:rsidRDefault="326C4F14" w:rsidP="00D42C35">
      <w:pPr>
        <w:pStyle w:val="ListParagraph"/>
        <w:numPr>
          <w:ilvl w:val="0"/>
          <w:numId w:val="2"/>
        </w:numPr>
        <w:spacing w:line="360" w:lineRule="auto"/>
        <w:rPr>
          <w:rFonts w:ascii="Arial" w:eastAsia="Arial" w:hAnsi="Arial" w:cs="Arial"/>
        </w:rPr>
      </w:pPr>
      <w:r w:rsidRPr="00D42C35">
        <w:rPr>
          <w:rFonts w:ascii="Arial" w:eastAsia="Arial" w:hAnsi="Arial" w:cs="Arial"/>
        </w:rPr>
        <w:t xml:space="preserve">Providing health education as well as assistance services that are culturally relevant. </w:t>
      </w:r>
    </w:p>
    <w:p w14:paraId="4A15529E" w14:textId="26E1E651" w:rsidR="3E7D43F2" w:rsidRDefault="326C4F14" w:rsidP="326C4F14">
      <w:pPr>
        <w:spacing w:line="360" w:lineRule="auto"/>
        <w:rPr>
          <w:rFonts w:ascii="Arial" w:eastAsia="Arial" w:hAnsi="Arial" w:cs="Arial"/>
        </w:rPr>
      </w:pPr>
      <w:r w:rsidRPr="326C4F14">
        <w:rPr>
          <w:rFonts w:ascii="Arial" w:eastAsia="Arial" w:hAnsi="Arial" w:cs="Arial"/>
        </w:rPr>
        <w:lastRenderedPageBreak/>
        <w:t xml:space="preserve"> </w:t>
      </w:r>
    </w:p>
    <w:p w14:paraId="678C3A4F" w14:textId="767A5940" w:rsidR="3E7D43F2" w:rsidRDefault="326C4F14" w:rsidP="326C4F14">
      <w:pPr>
        <w:pStyle w:val="Heading2"/>
        <w:rPr>
          <w:rFonts w:ascii="Arial" w:eastAsia="Arial" w:hAnsi="Arial" w:cs="Arial"/>
          <w:color w:val="auto"/>
          <w:sz w:val="22"/>
          <w:szCs w:val="22"/>
        </w:rPr>
      </w:pPr>
      <w:bookmarkStart w:id="10" w:name="_Toc129837118"/>
      <w:r w:rsidRPr="326C4F14">
        <w:rPr>
          <w:rFonts w:ascii="Arial" w:eastAsia="Arial" w:hAnsi="Arial" w:cs="Arial"/>
          <w:b/>
          <w:bCs/>
          <w:color w:val="auto"/>
          <w:sz w:val="22"/>
          <w:szCs w:val="22"/>
        </w:rPr>
        <w:t>Conclusion</w:t>
      </w:r>
      <w:bookmarkEnd w:id="10"/>
      <w:r w:rsidRPr="326C4F14">
        <w:rPr>
          <w:rFonts w:ascii="Arial" w:eastAsia="Arial" w:hAnsi="Arial" w:cs="Arial"/>
          <w:color w:val="auto"/>
          <w:sz w:val="22"/>
          <w:szCs w:val="22"/>
        </w:rPr>
        <w:t xml:space="preserve"> </w:t>
      </w:r>
    </w:p>
    <w:p w14:paraId="3DF936EE" w14:textId="643CE796" w:rsidR="3E7D43F2" w:rsidRDefault="326C4F14" w:rsidP="326C4F14">
      <w:pPr>
        <w:spacing w:line="360" w:lineRule="auto"/>
        <w:rPr>
          <w:rFonts w:ascii="Arial" w:eastAsia="Arial" w:hAnsi="Arial" w:cs="Arial"/>
        </w:rPr>
      </w:pPr>
      <w:r w:rsidRPr="326C4F14">
        <w:rPr>
          <w:rFonts w:ascii="Arial" w:eastAsia="Arial" w:hAnsi="Arial" w:cs="Arial"/>
        </w:rPr>
        <w:t xml:space="preserve">In summation, diabetes of type 2 (T2D) is an ongoing public health concern that affects millions of individuals globally. It is a persistent, non-communicable disease. The body's insufficient insulin production and/or resistance to insulin's effects are the root causes of T2D. Age, family medical history, race/ethnicity, lifestyle variables, and obesity are some of the major genetic and environmental determinants and risk factors for T2D (Kyrou et al., 2020). T2D can have disastrous effects on one's physical and mental health, both personally and societally, and it is a significant financial strain on the health care system. It's critical to recognize and mitigate the risk factors for T2D to decrease the disease's prevalence and the related financial and health burden. To lessen the burden of T2D, public health programs and primary healthcare facilities should be promoted as they might be crucial in the management and prevention of the disease. </w:t>
      </w:r>
      <w:r w:rsidR="3E7D43F2">
        <w:br/>
      </w:r>
      <w:r w:rsidRPr="326C4F14">
        <w:rPr>
          <w:rFonts w:ascii="Arial" w:eastAsia="Arial" w:hAnsi="Arial" w:cs="Arial"/>
        </w:rPr>
        <w:t xml:space="preserve"> </w:t>
      </w:r>
      <w:r w:rsidR="3E7D43F2">
        <w:br/>
      </w:r>
    </w:p>
    <w:p w14:paraId="280FE7D9" w14:textId="586131CF" w:rsidR="3E7D43F2" w:rsidRDefault="326C4F14" w:rsidP="326C4F14">
      <w:pPr>
        <w:spacing w:line="360" w:lineRule="auto"/>
        <w:ind w:left="720" w:hanging="720"/>
        <w:rPr>
          <w:rFonts w:ascii="Arial" w:eastAsia="Arial" w:hAnsi="Arial" w:cs="Arial"/>
        </w:rPr>
      </w:pPr>
      <w:r w:rsidRPr="326C4F14">
        <w:rPr>
          <w:rFonts w:ascii="Arial" w:eastAsia="Arial" w:hAnsi="Arial" w:cs="Arial"/>
        </w:rPr>
        <w:t xml:space="preserve"> </w:t>
      </w:r>
    </w:p>
    <w:p w14:paraId="1E72F0B9" w14:textId="22A45C65" w:rsidR="3E7D43F2" w:rsidRDefault="326C4F14" w:rsidP="326C4F14">
      <w:pPr>
        <w:spacing w:line="360" w:lineRule="auto"/>
        <w:ind w:left="720" w:hanging="720"/>
        <w:rPr>
          <w:rFonts w:ascii="Arial" w:eastAsia="Arial" w:hAnsi="Arial" w:cs="Arial"/>
        </w:rPr>
      </w:pPr>
      <w:r w:rsidRPr="326C4F14">
        <w:rPr>
          <w:rFonts w:ascii="Arial" w:eastAsia="Arial" w:hAnsi="Arial" w:cs="Arial"/>
        </w:rPr>
        <w:t>‌</w:t>
      </w:r>
    </w:p>
    <w:p w14:paraId="4916C8FC" w14:textId="6A9BC367" w:rsidR="3E7D43F2" w:rsidRDefault="326C4F14" w:rsidP="326C4F14">
      <w:pPr>
        <w:spacing w:line="360" w:lineRule="auto"/>
        <w:ind w:left="720" w:hanging="720"/>
        <w:rPr>
          <w:rFonts w:ascii="Arial" w:eastAsia="Arial" w:hAnsi="Arial" w:cs="Arial"/>
        </w:rPr>
      </w:pPr>
      <w:r w:rsidRPr="326C4F14">
        <w:rPr>
          <w:rFonts w:ascii="Arial" w:eastAsia="Arial" w:hAnsi="Arial" w:cs="Arial"/>
        </w:rPr>
        <w:t xml:space="preserve"> </w:t>
      </w:r>
    </w:p>
    <w:p w14:paraId="3D7C7AEC" w14:textId="2F7FB34B" w:rsidR="3E7D43F2" w:rsidRDefault="326C4F14" w:rsidP="326C4F14">
      <w:pPr>
        <w:spacing w:line="360" w:lineRule="auto"/>
        <w:ind w:left="720" w:hanging="720"/>
        <w:rPr>
          <w:rFonts w:ascii="Arial" w:eastAsia="Arial" w:hAnsi="Arial" w:cs="Arial"/>
        </w:rPr>
      </w:pPr>
      <w:r w:rsidRPr="326C4F14">
        <w:rPr>
          <w:rFonts w:ascii="Arial" w:eastAsia="Arial" w:hAnsi="Arial" w:cs="Arial"/>
        </w:rPr>
        <w:t>‌</w:t>
      </w:r>
    </w:p>
    <w:p w14:paraId="67A1479A" w14:textId="77777777" w:rsidR="00D42C35" w:rsidRDefault="326C4F14" w:rsidP="326C4F14">
      <w:pPr>
        <w:pStyle w:val="Heading1"/>
        <w:rPr>
          <w:rFonts w:ascii="Arial" w:eastAsia="Arial" w:hAnsi="Arial" w:cs="Arial"/>
          <w:color w:val="auto"/>
          <w:sz w:val="22"/>
          <w:szCs w:val="22"/>
        </w:rPr>
      </w:pPr>
      <w:r w:rsidRPr="326C4F14">
        <w:rPr>
          <w:rFonts w:ascii="Arial" w:eastAsia="Arial" w:hAnsi="Arial" w:cs="Arial"/>
          <w:color w:val="auto"/>
          <w:sz w:val="22"/>
          <w:szCs w:val="22"/>
        </w:rPr>
        <w:t xml:space="preserve"> </w:t>
      </w:r>
    </w:p>
    <w:p w14:paraId="365792D6" w14:textId="77777777" w:rsidR="00D42C35" w:rsidRDefault="00D42C35">
      <w:pPr>
        <w:rPr>
          <w:rFonts w:ascii="Arial" w:eastAsia="Arial" w:hAnsi="Arial" w:cs="Arial"/>
        </w:rPr>
      </w:pPr>
      <w:r>
        <w:rPr>
          <w:rFonts w:ascii="Arial" w:eastAsia="Arial" w:hAnsi="Arial" w:cs="Arial"/>
        </w:rPr>
        <w:br w:type="page"/>
      </w:r>
    </w:p>
    <w:p w14:paraId="01625AA6" w14:textId="7B91335E" w:rsidR="00D42C35" w:rsidRPr="00D42C35" w:rsidRDefault="326C4F14" w:rsidP="00D42C35">
      <w:pPr>
        <w:pStyle w:val="Heading1"/>
        <w:rPr>
          <w:rFonts w:ascii="Arial" w:eastAsia="Arial" w:hAnsi="Arial" w:cs="Arial"/>
          <w:color w:val="auto"/>
          <w:sz w:val="22"/>
          <w:szCs w:val="22"/>
        </w:rPr>
      </w:pPr>
      <w:bookmarkStart w:id="11" w:name="_Toc129837119"/>
      <w:r w:rsidRPr="326C4F14">
        <w:rPr>
          <w:rFonts w:ascii="Arial" w:eastAsia="Arial" w:hAnsi="Arial" w:cs="Arial"/>
          <w:b/>
          <w:bCs/>
          <w:color w:val="auto"/>
          <w:sz w:val="22"/>
          <w:szCs w:val="22"/>
        </w:rPr>
        <w:lastRenderedPageBreak/>
        <w:t>References</w:t>
      </w:r>
      <w:bookmarkEnd w:id="11"/>
      <w:r w:rsidRPr="326C4F14">
        <w:rPr>
          <w:rFonts w:ascii="Arial" w:eastAsia="Arial" w:hAnsi="Arial" w:cs="Arial"/>
          <w:color w:val="auto"/>
          <w:sz w:val="22"/>
          <w:szCs w:val="22"/>
        </w:rPr>
        <w:t xml:space="preserve"> </w:t>
      </w:r>
    </w:p>
    <w:p w14:paraId="353C482E" w14:textId="77777777" w:rsidR="00D42C35" w:rsidRPr="00D42C35" w:rsidRDefault="00D42C35" w:rsidP="00D42C35">
      <w:pPr>
        <w:pStyle w:val="NoSpacing"/>
        <w:spacing w:line="360" w:lineRule="auto"/>
        <w:ind w:left="720" w:hanging="720"/>
        <w:rPr>
          <w:rFonts w:ascii="Arial" w:hAnsi="Arial" w:cs="Arial"/>
        </w:rPr>
      </w:pPr>
      <w:r w:rsidRPr="00D42C35">
        <w:rPr>
          <w:rFonts w:ascii="Arial" w:hAnsi="Arial" w:cs="Arial"/>
        </w:rPr>
        <w:t xml:space="preserve">American Diabetes Association. (2021). Risk Factors for Type Diabetes. Retrieved from </w:t>
      </w:r>
      <w:hyperlink r:id="rId8">
        <w:r w:rsidRPr="00D42C35">
          <w:rPr>
            <w:rStyle w:val="Hyperlink"/>
            <w:rFonts w:ascii="Arial" w:eastAsia="Arial" w:hAnsi="Arial" w:cs="Arial"/>
            <w:color w:val="auto"/>
          </w:rPr>
          <w:t>https://www.diabetes.org/diabetes/type-2/risk-factors</w:t>
        </w:r>
      </w:hyperlink>
      <w:r w:rsidRPr="00D42C35">
        <w:rPr>
          <w:rFonts w:ascii="Arial" w:hAnsi="Arial" w:cs="Arial"/>
        </w:rPr>
        <w:t xml:space="preserve"> </w:t>
      </w:r>
    </w:p>
    <w:p w14:paraId="64A9D730" w14:textId="77777777" w:rsidR="00D42C35" w:rsidRPr="00D42C35" w:rsidRDefault="00D42C35" w:rsidP="00D42C35">
      <w:pPr>
        <w:pStyle w:val="NoSpacing"/>
        <w:spacing w:line="360" w:lineRule="auto"/>
        <w:ind w:left="720" w:hanging="720"/>
        <w:rPr>
          <w:rFonts w:ascii="Arial" w:hAnsi="Arial" w:cs="Arial"/>
        </w:rPr>
      </w:pPr>
      <w:proofErr w:type="spellStart"/>
      <w:r w:rsidRPr="00D42C35">
        <w:rPr>
          <w:rFonts w:ascii="Arial" w:hAnsi="Arial" w:cs="Arial"/>
        </w:rPr>
        <w:t>Carr</w:t>
      </w:r>
      <w:proofErr w:type="spellEnd"/>
      <w:r w:rsidRPr="00D42C35">
        <w:rPr>
          <w:rFonts w:ascii="Arial" w:hAnsi="Arial" w:cs="Arial"/>
        </w:rPr>
        <w:t xml:space="preserve">, M.J., Wright, A.K., </w:t>
      </w:r>
      <w:proofErr w:type="spellStart"/>
      <w:r w:rsidRPr="00D42C35">
        <w:rPr>
          <w:rFonts w:ascii="Arial" w:hAnsi="Arial" w:cs="Arial"/>
        </w:rPr>
        <w:t>Leelarathna</w:t>
      </w:r>
      <w:proofErr w:type="spellEnd"/>
      <w:r w:rsidRPr="00D42C35">
        <w:rPr>
          <w:rFonts w:ascii="Arial" w:hAnsi="Arial" w:cs="Arial"/>
        </w:rPr>
        <w:t xml:space="preserve">, L., Thabit, H., Milne, N., </w:t>
      </w:r>
      <w:proofErr w:type="spellStart"/>
      <w:r w:rsidRPr="00D42C35">
        <w:rPr>
          <w:rFonts w:ascii="Arial" w:hAnsi="Arial" w:cs="Arial"/>
        </w:rPr>
        <w:t>Kanumilli</w:t>
      </w:r>
      <w:proofErr w:type="spellEnd"/>
      <w:r w:rsidRPr="00D42C35">
        <w:rPr>
          <w:rFonts w:ascii="Arial" w:hAnsi="Arial" w:cs="Arial"/>
        </w:rPr>
        <w:t xml:space="preserve">, N., Ashcroft, D.M. and Rutter, M.K. (2021). Impact of COVID-19 restrictions on diabetes health checks and prescribing for people with type 2 diabetes: a UK-wide cohort study involving 618 161 people in primary care. BMJ Quality &amp; Safety, [online] 31(7), pp.503–514. </w:t>
      </w:r>
      <w:proofErr w:type="spellStart"/>
      <w:proofErr w:type="gramStart"/>
      <w:r w:rsidRPr="00D42C35">
        <w:rPr>
          <w:rFonts w:ascii="Arial" w:hAnsi="Arial" w:cs="Arial"/>
        </w:rPr>
        <w:t>doi:https</w:t>
      </w:r>
      <w:proofErr w:type="spellEnd"/>
      <w:r w:rsidRPr="00D42C35">
        <w:rPr>
          <w:rFonts w:ascii="Arial" w:hAnsi="Arial" w:cs="Arial"/>
        </w:rPr>
        <w:t>://doi.org/10.1136/bmjqs-2021-013613</w:t>
      </w:r>
      <w:proofErr w:type="gramEnd"/>
      <w:r w:rsidRPr="00D42C35">
        <w:rPr>
          <w:rFonts w:ascii="Arial" w:hAnsi="Arial" w:cs="Arial"/>
        </w:rPr>
        <w:t>.</w:t>
      </w:r>
    </w:p>
    <w:p w14:paraId="62B146E8" w14:textId="77777777" w:rsidR="00D42C35" w:rsidRPr="00D42C35" w:rsidRDefault="00D42C35" w:rsidP="00D42C35">
      <w:pPr>
        <w:pStyle w:val="NoSpacing"/>
        <w:spacing w:line="360" w:lineRule="auto"/>
        <w:ind w:left="720" w:hanging="720"/>
        <w:rPr>
          <w:rFonts w:ascii="Arial" w:hAnsi="Arial" w:cs="Arial"/>
        </w:rPr>
      </w:pPr>
      <w:proofErr w:type="spellStart"/>
      <w:r w:rsidRPr="00D42C35">
        <w:rPr>
          <w:rFonts w:ascii="Arial" w:hAnsi="Arial" w:cs="Arial"/>
        </w:rPr>
        <w:t>Centers</w:t>
      </w:r>
      <w:proofErr w:type="spellEnd"/>
      <w:r w:rsidRPr="00D42C35">
        <w:rPr>
          <w:rFonts w:ascii="Arial" w:hAnsi="Arial" w:cs="Arial"/>
        </w:rPr>
        <w:t xml:space="preserve"> for Disease Control and Prevention. (2020). Type 2 Diabetes. Retrieved from </w:t>
      </w:r>
      <w:hyperlink r:id="rId9">
        <w:r w:rsidRPr="00D42C35">
          <w:rPr>
            <w:rStyle w:val="Hyperlink"/>
            <w:rFonts w:ascii="Arial" w:eastAsia="Arial" w:hAnsi="Arial" w:cs="Arial"/>
            <w:color w:val="auto"/>
          </w:rPr>
          <w:t>https://www.cdc.gov/diabetes/basics/type2.html</w:t>
        </w:r>
      </w:hyperlink>
    </w:p>
    <w:p w14:paraId="45FA1B2E" w14:textId="77777777" w:rsidR="00D42C35" w:rsidRPr="00D42C35" w:rsidRDefault="00D42C35" w:rsidP="00D42C35">
      <w:pPr>
        <w:pStyle w:val="NoSpacing"/>
        <w:spacing w:line="360" w:lineRule="auto"/>
        <w:ind w:left="720" w:hanging="720"/>
        <w:rPr>
          <w:rFonts w:ascii="Arial" w:hAnsi="Arial" w:cs="Arial"/>
        </w:rPr>
      </w:pPr>
      <w:r w:rsidRPr="00D42C35">
        <w:rPr>
          <w:rFonts w:ascii="Arial" w:hAnsi="Arial" w:cs="Arial"/>
        </w:rPr>
        <w:t xml:space="preserve"> Google.com. (2023). Google Scholar. [online] Available at: </w:t>
      </w:r>
      <w:hyperlink r:id="rId10">
        <w:r w:rsidRPr="00D42C35">
          <w:rPr>
            <w:rStyle w:val="Hyperlink"/>
            <w:rFonts w:ascii="Arial" w:eastAsia="Arial" w:hAnsi="Arial" w:cs="Arial"/>
            <w:color w:val="auto"/>
          </w:rPr>
          <w:t>https://scholar.google.com/scholar?as_ylo=2019&amp;q=.+Heart+disease,+stroke,+renal+illness,+sciatica,+and+vision+loss+are+all+more+common+among+T2D+patients&amp;hl=en&amp;as_sdt=0,5</w:t>
        </w:r>
      </w:hyperlink>
      <w:r w:rsidRPr="00D42C35">
        <w:rPr>
          <w:rFonts w:ascii="Arial" w:hAnsi="Arial" w:cs="Arial"/>
        </w:rPr>
        <w:t xml:space="preserve"> [Accessed 14 Mar. 2023].</w:t>
      </w:r>
    </w:p>
    <w:p w14:paraId="26F198F1" w14:textId="77777777" w:rsidR="00D42C35" w:rsidRPr="00D42C35" w:rsidRDefault="00D42C35" w:rsidP="00D42C35">
      <w:pPr>
        <w:pStyle w:val="NoSpacing"/>
        <w:spacing w:line="360" w:lineRule="auto"/>
        <w:ind w:left="720" w:hanging="720"/>
        <w:rPr>
          <w:rFonts w:ascii="Arial" w:hAnsi="Arial" w:cs="Arial"/>
        </w:rPr>
      </w:pPr>
      <w:r w:rsidRPr="00D42C35">
        <w:rPr>
          <w:rFonts w:ascii="Arial" w:hAnsi="Arial" w:cs="Arial"/>
        </w:rPr>
        <w:t xml:space="preserve">Google.com. (2023). Google Scholar. [online] Available at: </w:t>
      </w:r>
      <w:hyperlink r:id="rId11">
        <w:r w:rsidRPr="00D42C35">
          <w:rPr>
            <w:rStyle w:val="Hyperlink"/>
            <w:rFonts w:ascii="Arial" w:eastAsia="Arial" w:hAnsi="Arial" w:cs="Arial"/>
            <w:color w:val="auto"/>
          </w:rPr>
          <w:t>https://scholar.google.com/scholar?as_ylo=2019&amp;q=.+Enhancing+access+to+nutritious+foods+and+promoting+physical+activity+are+two+examples+of+this.+T2D+risk+can+be+decreased+by+encouraging+healthy+lifestyle+practices+including+a+well-rounded+diet+and+exercising+frequently&amp;hl=en&amp;as_sdt=0,5</w:t>
        </w:r>
      </w:hyperlink>
      <w:r w:rsidRPr="00D42C35">
        <w:rPr>
          <w:rFonts w:ascii="Arial" w:hAnsi="Arial" w:cs="Arial"/>
        </w:rPr>
        <w:t xml:space="preserve"> [Accessed 14 Mar. 2023].</w:t>
      </w:r>
    </w:p>
    <w:p w14:paraId="1D85183D" w14:textId="033DF94A" w:rsidR="00D42C35" w:rsidRPr="00D42C35" w:rsidRDefault="00D42C35" w:rsidP="00D42C35">
      <w:pPr>
        <w:pStyle w:val="NoSpacing"/>
        <w:spacing w:line="360" w:lineRule="auto"/>
        <w:ind w:left="720" w:hanging="720"/>
        <w:rPr>
          <w:rFonts w:ascii="Arial" w:hAnsi="Arial" w:cs="Arial"/>
        </w:rPr>
      </w:pPr>
      <w:r w:rsidRPr="00D42C35">
        <w:rPr>
          <w:rFonts w:ascii="Arial" w:hAnsi="Arial" w:cs="Arial"/>
        </w:rPr>
        <w:t xml:space="preserve">Khan, J., Khan, M., Ma, Y., Meng, Y., Mushtaq, A., Shen, Q. and Xue, Y. (2022). Overview of the Composition of Whole Grains’ Phenolic Acids and Dietary Fibre and Their Effect on Chronic Non-Communicable Diseases. International Journal of Environmental Research and Public Health, [online] 19(5), p.3042. </w:t>
      </w:r>
      <w:proofErr w:type="spellStart"/>
      <w:proofErr w:type="gramStart"/>
      <w:r w:rsidRPr="00D42C35">
        <w:rPr>
          <w:rFonts w:ascii="Arial" w:hAnsi="Arial" w:cs="Arial"/>
        </w:rPr>
        <w:t>doi:https</w:t>
      </w:r>
      <w:proofErr w:type="spellEnd"/>
      <w:r w:rsidRPr="00D42C35">
        <w:rPr>
          <w:rFonts w:ascii="Arial" w:hAnsi="Arial" w:cs="Arial"/>
        </w:rPr>
        <w:t>://doi.org/10.3390/ijerph19053042</w:t>
      </w:r>
      <w:proofErr w:type="gramEnd"/>
      <w:r w:rsidRPr="00D42C35">
        <w:rPr>
          <w:rFonts w:ascii="Arial" w:hAnsi="Arial" w:cs="Arial"/>
        </w:rPr>
        <w:t xml:space="preserve">. </w:t>
      </w:r>
    </w:p>
    <w:p w14:paraId="15FFA8F7" w14:textId="77777777" w:rsidR="00D42C35" w:rsidRPr="00D42C35" w:rsidRDefault="00D42C35" w:rsidP="00D42C35">
      <w:pPr>
        <w:pStyle w:val="NoSpacing"/>
        <w:spacing w:line="360" w:lineRule="auto"/>
        <w:ind w:left="720" w:hanging="720"/>
        <w:rPr>
          <w:rFonts w:ascii="Arial" w:hAnsi="Arial" w:cs="Arial"/>
        </w:rPr>
      </w:pPr>
      <w:r w:rsidRPr="00D42C35">
        <w:rPr>
          <w:rFonts w:ascii="Arial" w:hAnsi="Arial" w:cs="Arial"/>
        </w:rPr>
        <w:t xml:space="preserve">‌Kyrou, I., </w:t>
      </w:r>
      <w:proofErr w:type="spellStart"/>
      <w:r w:rsidRPr="00D42C35">
        <w:rPr>
          <w:rFonts w:ascii="Arial" w:hAnsi="Arial" w:cs="Arial"/>
        </w:rPr>
        <w:t>Tsigos</w:t>
      </w:r>
      <w:proofErr w:type="spellEnd"/>
      <w:r w:rsidRPr="00D42C35">
        <w:rPr>
          <w:rFonts w:ascii="Arial" w:hAnsi="Arial" w:cs="Arial"/>
        </w:rPr>
        <w:t xml:space="preserve">, C., </w:t>
      </w:r>
      <w:proofErr w:type="spellStart"/>
      <w:r w:rsidRPr="00D42C35">
        <w:rPr>
          <w:rFonts w:ascii="Arial" w:hAnsi="Arial" w:cs="Arial"/>
        </w:rPr>
        <w:t>Mavrogianni</w:t>
      </w:r>
      <w:proofErr w:type="spellEnd"/>
      <w:r w:rsidRPr="00D42C35">
        <w:rPr>
          <w:rFonts w:ascii="Arial" w:hAnsi="Arial" w:cs="Arial"/>
        </w:rPr>
        <w:t xml:space="preserve">, C., Cardon, G., Van </w:t>
      </w:r>
      <w:proofErr w:type="spellStart"/>
      <w:r w:rsidRPr="00D42C35">
        <w:rPr>
          <w:rFonts w:ascii="Arial" w:hAnsi="Arial" w:cs="Arial"/>
        </w:rPr>
        <w:t>Stappen</w:t>
      </w:r>
      <w:proofErr w:type="spellEnd"/>
      <w:r w:rsidRPr="00D42C35">
        <w:rPr>
          <w:rFonts w:ascii="Arial" w:hAnsi="Arial" w:cs="Arial"/>
        </w:rPr>
        <w:t xml:space="preserve">, V., </w:t>
      </w:r>
      <w:proofErr w:type="spellStart"/>
      <w:r w:rsidRPr="00D42C35">
        <w:rPr>
          <w:rFonts w:ascii="Arial" w:hAnsi="Arial" w:cs="Arial"/>
        </w:rPr>
        <w:t>Latomme</w:t>
      </w:r>
      <w:proofErr w:type="spellEnd"/>
      <w:r w:rsidRPr="00D42C35">
        <w:rPr>
          <w:rFonts w:ascii="Arial" w:hAnsi="Arial" w:cs="Arial"/>
        </w:rPr>
        <w:t xml:space="preserve">, J., </w:t>
      </w:r>
      <w:proofErr w:type="spellStart"/>
      <w:r w:rsidRPr="00D42C35">
        <w:rPr>
          <w:rFonts w:ascii="Arial" w:hAnsi="Arial" w:cs="Arial"/>
        </w:rPr>
        <w:t>Kivelä</w:t>
      </w:r>
      <w:proofErr w:type="spellEnd"/>
      <w:r w:rsidRPr="00D42C35">
        <w:rPr>
          <w:rFonts w:ascii="Arial" w:hAnsi="Arial" w:cs="Arial"/>
        </w:rPr>
        <w:t xml:space="preserve">, J., Wikström, K., </w:t>
      </w:r>
      <w:proofErr w:type="spellStart"/>
      <w:r w:rsidRPr="00D42C35">
        <w:rPr>
          <w:rFonts w:ascii="Arial" w:hAnsi="Arial" w:cs="Arial"/>
        </w:rPr>
        <w:t>Tsochev</w:t>
      </w:r>
      <w:proofErr w:type="spellEnd"/>
      <w:r w:rsidRPr="00D42C35">
        <w:rPr>
          <w:rFonts w:ascii="Arial" w:hAnsi="Arial" w:cs="Arial"/>
        </w:rPr>
        <w:t xml:space="preserve">, K., </w:t>
      </w:r>
      <w:proofErr w:type="spellStart"/>
      <w:r w:rsidRPr="00D42C35">
        <w:rPr>
          <w:rFonts w:ascii="Arial" w:hAnsi="Arial" w:cs="Arial"/>
        </w:rPr>
        <w:t>Nanasi</w:t>
      </w:r>
      <w:proofErr w:type="spellEnd"/>
      <w:r w:rsidRPr="00D42C35">
        <w:rPr>
          <w:rFonts w:ascii="Arial" w:hAnsi="Arial" w:cs="Arial"/>
        </w:rPr>
        <w:t xml:space="preserve">, A., </w:t>
      </w:r>
      <w:proofErr w:type="spellStart"/>
      <w:r w:rsidRPr="00D42C35">
        <w:rPr>
          <w:rFonts w:ascii="Arial" w:hAnsi="Arial" w:cs="Arial"/>
        </w:rPr>
        <w:t>Semanova</w:t>
      </w:r>
      <w:proofErr w:type="spellEnd"/>
      <w:r w:rsidRPr="00D42C35">
        <w:rPr>
          <w:rFonts w:ascii="Arial" w:hAnsi="Arial" w:cs="Arial"/>
        </w:rPr>
        <w:t xml:space="preserve">, C., Mateo-Gallego, R., </w:t>
      </w:r>
      <w:proofErr w:type="spellStart"/>
      <w:r w:rsidRPr="00D42C35">
        <w:rPr>
          <w:rFonts w:ascii="Arial" w:hAnsi="Arial" w:cs="Arial"/>
        </w:rPr>
        <w:t>Lamiquiz</w:t>
      </w:r>
      <w:proofErr w:type="spellEnd"/>
      <w:r w:rsidRPr="00D42C35">
        <w:rPr>
          <w:rFonts w:ascii="Arial" w:hAnsi="Arial" w:cs="Arial"/>
        </w:rPr>
        <w:t xml:space="preserve">-Moneo, I., </w:t>
      </w:r>
      <w:proofErr w:type="spellStart"/>
      <w:r w:rsidRPr="00D42C35">
        <w:rPr>
          <w:rFonts w:ascii="Arial" w:hAnsi="Arial" w:cs="Arial"/>
        </w:rPr>
        <w:t>Dafoulas</w:t>
      </w:r>
      <w:proofErr w:type="spellEnd"/>
      <w:r w:rsidRPr="00D42C35">
        <w:rPr>
          <w:rFonts w:ascii="Arial" w:hAnsi="Arial" w:cs="Arial"/>
        </w:rPr>
        <w:t xml:space="preserve">, G., </w:t>
      </w:r>
      <w:proofErr w:type="spellStart"/>
      <w:r w:rsidRPr="00D42C35">
        <w:rPr>
          <w:rFonts w:ascii="Arial" w:hAnsi="Arial" w:cs="Arial"/>
        </w:rPr>
        <w:t>Timpel</w:t>
      </w:r>
      <w:proofErr w:type="spellEnd"/>
      <w:r w:rsidRPr="00D42C35">
        <w:rPr>
          <w:rFonts w:ascii="Arial" w:hAnsi="Arial" w:cs="Arial"/>
        </w:rPr>
        <w:t xml:space="preserve">, P., Schwarz, P.E.H., </w:t>
      </w:r>
      <w:proofErr w:type="spellStart"/>
      <w:r w:rsidRPr="00D42C35">
        <w:rPr>
          <w:rFonts w:ascii="Arial" w:hAnsi="Arial" w:cs="Arial"/>
        </w:rPr>
        <w:t>Iotova</w:t>
      </w:r>
      <w:proofErr w:type="spellEnd"/>
      <w:r w:rsidRPr="00D42C35">
        <w:rPr>
          <w:rFonts w:ascii="Arial" w:hAnsi="Arial" w:cs="Arial"/>
        </w:rPr>
        <w:t xml:space="preserve">, V., </w:t>
      </w:r>
      <w:proofErr w:type="spellStart"/>
      <w:r w:rsidRPr="00D42C35">
        <w:rPr>
          <w:rFonts w:ascii="Arial" w:hAnsi="Arial" w:cs="Arial"/>
        </w:rPr>
        <w:t>Tankova</w:t>
      </w:r>
      <w:proofErr w:type="spellEnd"/>
      <w:r w:rsidRPr="00D42C35">
        <w:rPr>
          <w:rFonts w:ascii="Arial" w:hAnsi="Arial" w:cs="Arial"/>
        </w:rPr>
        <w:t xml:space="preserve">, T., </w:t>
      </w:r>
      <w:proofErr w:type="spellStart"/>
      <w:r w:rsidRPr="00D42C35">
        <w:rPr>
          <w:rFonts w:ascii="Arial" w:hAnsi="Arial" w:cs="Arial"/>
        </w:rPr>
        <w:t>Makrilakis</w:t>
      </w:r>
      <w:proofErr w:type="spellEnd"/>
      <w:r w:rsidRPr="00D42C35">
        <w:rPr>
          <w:rFonts w:ascii="Arial" w:hAnsi="Arial" w:cs="Arial"/>
        </w:rPr>
        <w:t xml:space="preserve">, K. and </w:t>
      </w:r>
      <w:proofErr w:type="spellStart"/>
      <w:r w:rsidRPr="00D42C35">
        <w:rPr>
          <w:rFonts w:ascii="Arial" w:hAnsi="Arial" w:cs="Arial"/>
        </w:rPr>
        <w:t>Manios</w:t>
      </w:r>
      <w:proofErr w:type="spellEnd"/>
      <w:r w:rsidRPr="00D42C35">
        <w:rPr>
          <w:rFonts w:ascii="Arial" w:hAnsi="Arial" w:cs="Arial"/>
        </w:rPr>
        <w:t xml:space="preserve">, Y. (2020). Sociodemographic and lifestyle-related risk factors for identifying vulnerable groups for type 2 diabetes: a narrative review with emphasis on data from Europe. BMC Endocrine Disorders, [online] 20(S1). </w:t>
      </w:r>
      <w:proofErr w:type="spellStart"/>
      <w:proofErr w:type="gramStart"/>
      <w:r w:rsidRPr="00D42C35">
        <w:rPr>
          <w:rFonts w:ascii="Arial" w:hAnsi="Arial" w:cs="Arial"/>
        </w:rPr>
        <w:t>doi:https</w:t>
      </w:r>
      <w:proofErr w:type="spellEnd"/>
      <w:r w:rsidRPr="00D42C35">
        <w:rPr>
          <w:rFonts w:ascii="Arial" w:hAnsi="Arial" w:cs="Arial"/>
        </w:rPr>
        <w:t>://doi.org/10.1186/s12902-019-0463-3</w:t>
      </w:r>
      <w:proofErr w:type="gramEnd"/>
      <w:r w:rsidRPr="00D42C35">
        <w:rPr>
          <w:rFonts w:ascii="Arial" w:hAnsi="Arial" w:cs="Arial"/>
        </w:rPr>
        <w:t xml:space="preserve">. </w:t>
      </w:r>
    </w:p>
    <w:p w14:paraId="0C01C62E" w14:textId="77777777" w:rsidR="00D42C35" w:rsidRPr="00D42C35" w:rsidRDefault="00D42C35" w:rsidP="00D42C35">
      <w:pPr>
        <w:pStyle w:val="NoSpacing"/>
        <w:spacing w:line="360" w:lineRule="auto"/>
        <w:ind w:left="720" w:hanging="720"/>
        <w:rPr>
          <w:rFonts w:ascii="Arial" w:hAnsi="Arial" w:cs="Arial"/>
        </w:rPr>
      </w:pPr>
      <w:r w:rsidRPr="00D42C35">
        <w:rPr>
          <w:rFonts w:ascii="Arial" w:hAnsi="Arial" w:cs="Arial"/>
        </w:rPr>
        <w:t xml:space="preserve">National Diabetes Prevention Programme. (2021). About the Programme. Retrieved from </w:t>
      </w:r>
      <w:hyperlink r:id="rId12">
        <w:r w:rsidRPr="00D42C35">
          <w:rPr>
            <w:rStyle w:val="Hyperlink"/>
            <w:rFonts w:ascii="Arial" w:eastAsia="Arial" w:hAnsi="Arial" w:cs="Arial"/>
            <w:color w:val="auto"/>
          </w:rPr>
          <w:t>https://www.diabetesprevention.org.uk/about-programme</w:t>
        </w:r>
      </w:hyperlink>
      <w:r w:rsidRPr="00D42C35">
        <w:rPr>
          <w:rFonts w:ascii="Arial" w:hAnsi="Arial" w:cs="Arial"/>
        </w:rPr>
        <w:t xml:space="preserve"> </w:t>
      </w:r>
    </w:p>
    <w:p w14:paraId="3B1C79E6" w14:textId="77777777" w:rsidR="00D42C35" w:rsidRPr="00D42C35" w:rsidRDefault="00D42C35" w:rsidP="00D42C35">
      <w:pPr>
        <w:pStyle w:val="NoSpacing"/>
        <w:spacing w:line="360" w:lineRule="auto"/>
        <w:ind w:left="720" w:hanging="720"/>
        <w:rPr>
          <w:rFonts w:ascii="Arial" w:hAnsi="Arial" w:cs="Arial"/>
        </w:rPr>
      </w:pPr>
      <w:r w:rsidRPr="00D42C35">
        <w:rPr>
          <w:rFonts w:ascii="Arial" w:hAnsi="Arial" w:cs="Arial"/>
        </w:rPr>
        <w:t xml:space="preserve">NHS Digital. (2020). Cost of Diabetes in England in 2020. Retrieved from </w:t>
      </w:r>
      <w:hyperlink r:id="rId13">
        <w:r w:rsidRPr="00D42C35">
          <w:rPr>
            <w:rStyle w:val="Hyperlink"/>
            <w:rFonts w:ascii="Arial" w:eastAsia="Arial" w:hAnsi="Arial" w:cs="Arial"/>
            <w:color w:val="auto"/>
          </w:rPr>
          <w:t>https://digital.nhs.uk/data-</w:t>
        </w:r>
      </w:hyperlink>
    </w:p>
    <w:p w14:paraId="4E7D4651" w14:textId="77777777" w:rsidR="00D42C35" w:rsidRPr="00D42C35" w:rsidRDefault="00D42C35" w:rsidP="00D42C35">
      <w:pPr>
        <w:pStyle w:val="NoSpacing"/>
        <w:spacing w:line="360" w:lineRule="auto"/>
        <w:ind w:left="720" w:hanging="720"/>
        <w:rPr>
          <w:rFonts w:ascii="Arial" w:hAnsi="Arial" w:cs="Arial"/>
        </w:rPr>
      </w:pPr>
      <w:r w:rsidRPr="00D42C35">
        <w:rPr>
          <w:rFonts w:ascii="Arial" w:hAnsi="Arial" w:cs="Arial"/>
        </w:rPr>
        <w:lastRenderedPageBreak/>
        <w:t xml:space="preserve">NHS. (2021). Type 2 Diabetes. Retrieved from </w:t>
      </w:r>
      <w:hyperlink r:id="rId14">
        <w:r w:rsidRPr="00D42C35">
          <w:rPr>
            <w:rStyle w:val="Hyperlink"/>
            <w:rFonts w:ascii="Arial" w:eastAsia="Arial" w:hAnsi="Arial" w:cs="Arial"/>
            <w:color w:val="auto"/>
          </w:rPr>
          <w:t>https://www.nhs.uk/conditions/type-2-diabetes/</w:t>
        </w:r>
      </w:hyperlink>
    </w:p>
    <w:p w14:paraId="36FF827E" w14:textId="77777777" w:rsidR="00D42C35" w:rsidRPr="00D42C35" w:rsidRDefault="00D42C35" w:rsidP="00D42C35">
      <w:pPr>
        <w:pStyle w:val="NoSpacing"/>
        <w:spacing w:line="360" w:lineRule="auto"/>
        <w:ind w:left="720" w:hanging="720"/>
        <w:rPr>
          <w:rFonts w:ascii="Arial" w:hAnsi="Arial" w:cs="Arial"/>
        </w:rPr>
      </w:pPr>
      <w:r w:rsidRPr="00D42C35">
        <w:rPr>
          <w:rFonts w:ascii="Arial" w:hAnsi="Arial" w:cs="Arial"/>
        </w:rPr>
        <w:t xml:space="preserve">‌World Health Organization. (2021). Diabetes. Retrieved from </w:t>
      </w:r>
      <w:hyperlink r:id="rId15">
        <w:r w:rsidRPr="00D42C35">
          <w:rPr>
            <w:rStyle w:val="Hyperlink"/>
            <w:rFonts w:ascii="Arial" w:eastAsia="Arial" w:hAnsi="Arial" w:cs="Arial"/>
            <w:color w:val="auto"/>
          </w:rPr>
          <w:t>https://www.who.int/news-room/fact-sheets/detail/diabetes</w:t>
        </w:r>
      </w:hyperlink>
      <w:r w:rsidRPr="00D42C35">
        <w:rPr>
          <w:rFonts w:ascii="Arial" w:hAnsi="Arial" w:cs="Arial"/>
        </w:rPr>
        <w:t xml:space="preserve"> 2. Public Health England. (2020). Diabetes in England: 2020. Retrieved from </w:t>
      </w:r>
      <w:hyperlink r:id="rId16">
        <w:r w:rsidRPr="00D42C35">
          <w:rPr>
            <w:rStyle w:val="Hyperlink"/>
            <w:rFonts w:ascii="Arial" w:eastAsia="Arial" w:hAnsi="Arial" w:cs="Arial"/>
            <w:color w:val="auto"/>
          </w:rPr>
          <w:t>https://assets.publishing.service.gov.uk/government/uploads/system/uploads/attachment_data/file/903775/Diabetes_in_England_2020.pdf 3. Diabetes UK. (2021</w:t>
        </w:r>
      </w:hyperlink>
    </w:p>
    <w:sectPr w:rsidR="00D42C35" w:rsidRPr="00D42C35">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4E401" w14:textId="77777777" w:rsidR="009B5E61" w:rsidRDefault="009B5E61" w:rsidP="00D42C35">
      <w:pPr>
        <w:spacing w:after="0" w:line="240" w:lineRule="auto"/>
      </w:pPr>
      <w:r>
        <w:separator/>
      </w:r>
    </w:p>
  </w:endnote>
  <w:endnote w:type="continuationSeparator" w:id="0">
    <w:p w14:paraId="03287B35" w14:textId="77777777" w:rsidR="009B5E61" w:rsidRDefault="009B5E61" w:rsidP="00D42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8849293"/>
      <w:docPartObj>
        <w:docPartGallery w:val="Page Numbers (Bottom of Page)"/>
        <w:docPartUnique/>
      </w:docPartObj>
    </w:sdtPr>
    <w:sdtEndPr>
      <w:rPr>
        <w:color w:val="7F7F7F" w:themeColor="background1" w:themeShade="7F"/>
        <w:spacing w:val="60"/>
      </w:rPr>
    </w:sdtEndPr>
    <w:sdtContent>
      <w:p w14:paraId="5ECA6656" w14:textId="06BDEE07" w:rsidR="00D42C35" w:rsidRDefault="00D42C35">
        <w:pPr>
          <w:pStyle w:val="Footer"/>
          <w:pBdr>
            <w:top w:val="single" w:sz="4" w:space="1" w:color="D9D9D9" w:themeColor="background1" w:themeShade="D9"/>
          </w:pBdr>
          <w:jc w:val="right"/>
        </w:pPr>
        <w:r w:rsidRPr="00D42C35">
          <w:rPr>
            <w:rFonts w:ascii="Arial" w:hAnsi="Arial" w:cs="Arial"/>
          </w:rPr>
          <w:fldChar w:fldCharType="begin"/>
        </w:r>
        <w:r w:rsidRPr="00D42C35">
          <w:rPr>
            <w:rFonts w:ascii="Arial" w:hAnsi="Arial" w:cs="Arial"/>
          </w:rPr>
          <w:instrText xml:space="preserve"> PAGE   \* MERGEFORMAT </w:instrText>
        </w:r>
        <w:r w:rsidRPr="00D42C35">
          <w:rPr>
            <w:rFonts w:ascii="Arial" w:hAnsi="Arial" w:cs="Arial"/>
          </w:rPr>
          <w:fldChar w:fldCharType="separate"/>
        </w:r>
        <w:r w:rsidRPr="00D42C35">
          <w:rPr>
            <w:rFonts w:ascii="Arial" w:hAnsi="Arial" w:cs="Arial"/>
            <w:noProof/>
          </w:rPr>
          <w:t>2</w:t>
        </w:r>
        <w:r w:rsidRPr="00D42C35">
          <w:rPr>
            <w:rFonts w:ascii="Arial" w:hAnsi="Arial" w:cs="Arial"/>
            <w:noProof/>
          </w:rPr>
          <w:fldChar w:fldCharType="end"/>
        </w:r>
        <w:r w:rsidRPr="00D42C35">
          <w:rPr>
            <w:rFonts w:ascii="Arial" w:hAnsi="Arial" w:cs="Arial"/>
          </w:rPr>
          <w:t xml:space="preserve"> | </w:t>
        </w:r>
        <w:r w:rsidRPr="00D42C35">
          <w:rPr>
            <w:rFonts w:ascii="Arial" w:hAnsi="Arial" w:cs="Arial"/>
            <w:color w:val="7F7F7F" w:themeColor="background1" w:themeShade="7F"/>
            <w:spacing w:val="60"/>
          </w:rPr>
          <w:t>Page</w:t>
        </w:r>
      </w:p>
    </w:sdtContent>
  </w:sdt>
  <w:p w14:paraId="095104B0" w14:textId="77777777" w:rsidR="00D42C35" w:rsidRDefault="00D42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C20B3" w14:textId="77777777" w:rsidR="009B5E61" w:rsidRDefault="009B5E61" w:rsidP="00D42C35">
      <w:pPr>
        <w:spacing w:after="0" w:line="240" w:lineRule="auto"/>
      </w:pPr>
      <w:r>
        <w:separator/>
      </w:r>
    </w:p>
  </w:footnote>
  <w:footnote w:type="continuationSeparator" w:id="0">
    <w:p w14:paraId="6A306C0A" w14:textId="77777777" w:rsidR="009B5E61" w:rsidRDefault="009B5E61" w:rsidP="00D42C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64302"/>
    <w:multiLevelType w:val="hybridMultilevel"/>
    <w:tmpl w:val="CBE00EE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AE726FD"/>
    <w:multiLevelType w:val="hybridMultilevel"/>
    <w:tmpl w:val="06F41F6E"/>
    <w:lvl w:ilvl="0" w:tplc="323C8B22">
      <w:numFmt w:val="bullet"/>
      <w:lvlText w:val="•"/>
      <w:lvlJc w:val="left"/>
      <w:pPr>
        <w:ind w:left="720" w:hanging="360"/>
      </w:pPr>
      <w:rPr>
        <w:rFonts w:ascii="Arial" w:eastAsia="Arial"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334070628">
    <w:abstractNumId w:val="0"/>
  </w:num>
  <w:num w:numId="2" w16cid:durableId="7118826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921269"/>
    <w:rsid w:val="009B5E61"/>
    <w:rsid w:val="00B22CCE"/>
    <w:rsid w:val="00D42C35"/>
    <w:rsid w:val="326C4F14"/>
    <w:rsid w:val="3A921269"/>
    <w:rsid w:val="3E7D4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21269"/>
  <w15:chartTrackingRefBased/>
  <w15:docId w15:val="{B58859FA-3DE7-4EE3-BD34-451E4B20F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D42C35"/>
    <w:pPr>
      <w:spacing w:after="0" w:line="240" w:lineRule="auto"/>
    </w:pPr>
  </w:style>
  <w:style w:type="paragraph" w:styleId="ListParagraph">
    <w:name w:val="List Paragraph"/>
    <w:basedOn w:val="Normal"/>
    <w:uiPriority w:val="34"/>
    <w:qFormat/>
    <w:rsid w:val="00D42C35"/>
    <w:pPr>
      <w:ind w:left="720"/>
      <w:contextualSpacing/>
    </w:pPr>
  </w:style>
  <w:style w:type="paragraph" w:styleId="Header">
    <w:name w:val="header"/>
    <w:basedOn w:val="Normal"/>
    <w:link w:val="HeaderChar"/>
    <w:uiPriority w:val="99"/>
    <w:unhideWhenUsed/>
    <w:rsid w:val="00D42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C35"/>
  </w:style>
  <w:style w:type="paragraph" w:styleId="Footer">
    <w:name w:val="footer"/>
    <w:basedOn w:val="Normal"/>
    <w:link w:val="FooterChar"/>
    <w:uiPriority w:val="99"/>
    <w:unhideWhenUsed/>
    <w:rsid w:val="00D42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C35"/>
  </w:style>
  <w:style w:type="paragraph" w:styleId="TOCHeading">
    <w:name w:val="TOC Heading"/>
    <w:basedOn w:val="Heading1"/>
    <w:next w:val="Normal"/>
    <w:uiPriority w:val="39"/>
    <w:unhideWhenUsed/>
    <w:qFormat/>
    <w:rsid w:val="00D42C35"/>
    <w:pPr>
      <w:outlineLvl w:val="9"/>
    </w:pPr>
    <w:rPr>
      <w:lang w:val="en-US"/>
    </w:rPr>
  </w:style>
  <w:style w:type="paragraph" w:styleId="TOC2">
    <w:name w:val="toc 2"/>
    <w:basedOn w:val="Normal"/>
    <w:next w:val="Normal"/>
    <w:autoRedefine/>
    <w:uiPriority w:val="39"/>
    <w:unhideWhenUsed/>
    <w:rsid w:val="00D42C35"/>
    <w:pPr>
      <w:spacing w:after="100"/>
      <w:ind w:left="220"/>
    </w:pPr>
  </w:style>
  <w:style w:type="paragraph" w:styleId="TOC3">
    <w:name w:val="toc 3"/>
    <w:basedOn w:val="Normal"/>
    <w:next w:val="Normal"/>
    <w:autoRedefine/>
    <w:uiPriority w:val="39"/>
    <w:unhideWhenUsed/>
    <w:rsid w:val="00D42C35"/>
    <w:pPr>
      <w:spacing w:after="100"/>
      <w:ind w:left="440"/>
    </w:pPr>
  </w:style>
  <w:style w:type="paragraph" w:styleId="TOC1">
    <w:name w:val="toc 1"/>
    <w:basedOn w:val="Normal"/>
    <w:next w:val="Normal"/>
    <w:autoRedefine/>
    <w:uiPriority w:val="39"/>
    <w:unhideWhenUsed/>
    <w:rsid w:val="00D42C3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diabetes/type-2/risk-factors" TargetMode="External"/><Relationship Id="rId13" Type="http://schemas.openxmlformats.org/officeDocument/2006/relationships/hyperlink" Target="https://digital.nhs.uk/data-"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iabetesprevention.org.uk/about-programm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903775/Diabetes_in_England_2020.pdf%203.%20Diabetes%20UK.%20(20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m/scholar?as_ylo=2019&amp;q=.+Enhancing+access+to+nutritious+foods+and+promoting+physical+activity+are+two+examples+of+this.+T2D+risk+can+be+decreased+by+encouraging+healthy+lifestyle+practices+including+a+well-rounded+diet+and+exercising+frequently&amp;hl=en&amp;as_sdt=0,5" TargetMode="External"/><Relationship Id="rId5" Type="http://schemas.openxmlformats.org/officeDocument/2006/relationships/webSettings" Target="webSettings.xml"/><Relationship Id="rId15" Type="http://schemas.openxmlformats.org/officeDocument/2006/relationships/hyperlink" Target="https://www.who.int/news-room/fact-sheets/detail/diabetes" TargetMode="External"/><Relationship Id="rId10" Type="http://schemas.openxmlformats.org/officeDocument/2006/relationships/hyperlink" Target="https://scholar.google.com/scholar?as_ylo=2019&amp;q=.+Heart+disease,+stroke,+renal+illness,+sciatica,+and+vision+loss+are+all+more+common+among+T2D+patients&amp;hl=en&amp;as_sdt=0,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dc.gov/diabetes/basics/type2.html" TargetMode="External"/><Relationship Id="rId14" Type="http://schemas.openxmlformats.org/officeDocument/2006/relationships/hyperlink" Target="https://www.nhs.uk/conditions/type-2-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B49A26-A9F5-4610-99A0-3278C17DA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2697</Words>
  <Characters>15378</Characters>
  <Application>Microsoft Office Word</Application>
  <DocSecurity>0</DocSecurity>
  <Lines>128</Lines>
  <Paragraphs>36</Paragraphs>
  <ScaleCrop>false</ScaleCrop>
  <Company/>
  <LinksUpToDate>false</LinksUpToDate>
  <CharactersWithSpaces>18039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Resian Roselyne</dc:creator>
  <cp:keywords/>
  <dc:description/>
  <cp:lastModifiedBy>Oumou Kairatou Diallo (2133815)</cp:lastModifiedBy>
  <cp:revision>2</cp:revision>
  <dcterms:created xsi:type="dcterms:W3CDTF">2023-04-11T00:08:00Z</dcterms:created>
  <dcterms:modified xsi:type="dcterms:W3CDTF">2023-04-11T00:08:00Z</dcterms:modified>
</cp:coreProperties>
</file>