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3F74AAD" w14:textId="77777777" w:rsidR="001D2C60" w:rsidRDefault="001D2C60" w:rsidP="003A0D1F">
      <w:pPr>
        <w:spacing w:line="276" w:lineRule="auto"/>
        <w:rPr>
          <w:b/>
          <w:bCs/>
          <w:sz w:val="28"/>
          <w:szCs w:val="24"/>
        </w:rPr>
      </w:pPr>
    </w:p>
    <w:p w14:paraId="003824EC" w14:textId="77777777" w:rsidR="001D2C60" w:rsidRDefault="001D2C60" w:rsidP="004C49E8">
      <w:pPr>
        <w:spacing w:line="276" w:lineRule="auto"/>
        <w:jc w:val="center"/>
        <w:rPr>
          <w:b/>
          <w:bCs/>
          <w:sz w:val="28"/>
          <w:szCs w:val="24"/>
        </w:rPr>
      </w:pPr>
    </w:p>
    <w:p w14:paraId="196708A4" w14:textId="20F8B4AD" w:rsidR="00547CEE" w:rsidRPr="0058255C" w:rsidRDefault="00000000" w:rsidP="004C49E8">
      <w:pPr>
        <w:spacing w:line="276" w:lineRule="auto"/>
        <w:jc w:val="center"/>
        <w:rPr>
          <w:b/>
          <w:bCs/>
          <w:sz w:val="28"/>
          <w:szCs w:val="24"/>
        </w:rPr>
      </w:pPr>
      <w:r w:rsidRPr="0058255C">
        <w:rPr>
          <w:b/>
          <w:bCs/>
          <w:noProof/>
          <w:sz w:val="28"/>
          <w:szCs w:val="24"/>
        </w:rPr>
        <w:drawing>
          <wp:inline distT="0" distB="0" distL="0" distR="0" wp14:anchorId="2686AA9D" wp14:editId="59B5C261">
            <wp:extent cx="3202379" cy="1065475"/>
            <wp:effectExtent l="0" t="0" r="0" b="1905"/>
            <wp:docPr id="196288664" name="Picture 2" descr="Prifysgol Cymru Y Drindod Dewi Sant (University of Wales Trinity Saint  David) – UniNet proj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288664" name="Picture 1" descr="Prifysgol Cymru Y Drindod Dewi Sant (University of Wales Trinity Saint  David) – UniNet project"/>
                    <pic:cNvPicPr>
                      <a:picLocks noChangeAspect="1" noChangeArrowheads="1"/>
                    </pic:cNvPicPr>
                  </pic:nvPicPr>
                  <pic:blipFill>
                    <a:blip r:embed="rId8">
                      <a:extLst>
                        <a:ext uri="{28A0092B-C50C-407E-A947-70E740481C1C}">
                          <a14:useLocalDpi xmlns:a14="http://schemas.microsoft.com/office/drawing/2010/main" val="0"/>
                        </a:ext>
                      </a:extLst>
                    </a:blip>
                    <a:stretch>
                      <a:fillRect/>
                    </a:stretch>
                  </pic:blipFill>
                  <pic:spPr bwMode="auto">
                    <a:xfrm>
                      <a:off x="0" y="0"/>
                      <a:ext cx="3217860" cy="1070626"/>
                    </a:xfrm>
                    <a:prstGeom prst="rect">
                      <a:avLst/>
                    </a:prstGeom>
                    <a:noFill/>
                    <a:ln>
                      <a:noFill/>
                    </a:ln>
                  </pic:spPr>
                </pic:pic>
              </a:graphicData>
            </a:graphic>
          </wp:inline>
        </w:drawing>
      </w:r>
    </w:p>
    <w:p w14:paraId="20C3399F" w14:textId="77777777" w:rsidR="00547CEE" w:rsidRPr="0058255C" w:rsidRDefault="00547CEE" w:rsidP="004C49E8">
      <w:pPr>
        <w:spacing w:line="276" w:lineRule="auto"/>
        <w:jc w:val="center"/>
        <w:rPr>
          <w:b/>
          <w:bCs/>
          <w:sz w:val="28"/>
          <w:szCs w:val="24"/>
        </w:rPr>
      </w:pPr>
    </w:p>
    <w:p w14:paraId="470C2773" w14:textId="77777777" w:rsidR="00547CEE" w:rsidRPr="0058255C" w:rsidRDefault="00547CEE" w:rsidP="003A0D1F">
      <w:pPr>
        <w:spacing w:line="276" w:lineRule="auto"/>
        <w:rPr>
          <w:b/>
          <w:bCs/>
          <w:sz w:val="36"/>
          <w:szCs w:val="36"/>
        </w:rPr>
      </w:pPr>
    </w:p>
    <w:p w14:paraId="46F8B9E6" w14:textId="77777777" w:rsidR="00547CEE" w:rsidRPr="00020FA0" w:rsidRDefault="00000000" w:rsidP="004C49E8">
      <w:pPr>
        <w:spacing w:line="276" w:lineRule="auto"/>
        <w:jc w:val="center"/>
        <w:rPr>
          <w:b/>
          <w:bCs/>
          <w:sz w:val="40"/>
          <w:szCs w:val="40"/>
        </w:rPr>
      </w:pPr>
      <w:r w:rsidRPr="00020FA0">
        <w:rPr>
          <w:b/>
          <w:bCs/>
          <w:sz w:val="40"/>
          <w:szCs w:val="40"/>
        </w:rPr>
        <w:t>MSc Data and Artificial Intelligence</w:t>
      </w:r>
    </w:p>
    <w:p w14:paraId="4F007A8E" w14:textId="77777777" w:rsidR="00547CEE" w:rsidRPr="0058255C" w:rsidRDefault="00547CEE" w:rsidP="004C49E8">
      <w:pPr>
        <w:spacing w:line="276" w:lineRule="auto"/>
        <w:rPr>
          <w:b/>
          <w:bCs/>
          <w:sz w:val="36"/>
          <w:szCs w:val="36"/>
        </w:rPr>
      </w:pPr>
    </w:p>
    <w:p w14:paraId="6F5C4873" w14:textId="6720EB9B" w:rsidR="00547CEE" w:rsidRPr="00020FA0" w:rsidRDefault="00000000" w:rsidP="003A0D1F">
      <w:pPr>
        <w:spacing w:line="276" w:lineRule="auto"/>
        <w:jc w:val="center"/>
        <w:rPr>
          <w:b/>
          <w:bCs/>
          <w:sz w:val="40"/>
          <w:szCs w:val="40"/>
        </w:rPr>
      </w:pPr>
      <w:r w:rsidRPr="00020FA0">
        <w:rPr>
          <w:b/>
          <w:bCs/>
          <w:sz w:val="40"/>
          <w:szCs w:val="40"/>
        </w:rPr>
        <w:t>Data Security, Governance and Compliance</w:t>
      </w:r>
    </w:p>
    <w:p w14:paraId="522BE005" w14:textId="77777777" w:rsidR="00DA40BC" w:rsidRPr="0058255C" w:rsidRDefault="00DA40BC" w:rsidP="003A0D1F">
      <w:pPr>
        <w:spacing w:line="276" w:lineRule="auto"/>
        <w:rPr>
          <w:b/>
          <w:bCs/>
          <w:sz w:val="36"/>
          <w:szCs w:val="36"/>
        </w:rPr>
      </w:pPr>
    </w:p>
    <w:p w14:paraId="42544389" w14:textId="24E3CC93" w:rsidR="00547CEE" w:rsidRPr="0058255C" w:rsidRDefault="00000000" w:rsidP="004C49E8">
      <w:pPr>
        <w:spacing w:line="276" w:lineRule="auto"/>
        <w:jc w:val="center"/>
        <w:rPr>
          <w:b/>
          <w:bCs/>
          <w:sz w:val="36"/>
          <w:szCs w:val="36"/>
        </w:rPr>
      </w:pPr>
      <w:r w:rsidRPr="0058255C">
        <w:rPr>
          <w:b/>
          <w:bCs/>
          <w:sz w:val="36"/>
          <w:szCs w:val="36"/>
        </w:rPr>
        <w:t>Module Code: ACCA7028</w:t>
      </w:r>
    </w:p>
    <w:p w14:paraId="35AFBE01" w14:textId="77777777" w:rsidR="00547CEE" w:rsidRPr="0058255C" w:rsidRDefault="00547CEE" w:rsidP="003A0D1F">
      <w:pPr>
        <w:spacing w:line="276" w:lineRule="auto"/>
        <w:rPr>
          <w:b/>
          <w:bCs/>
          <w:sz w:val="36"/>
          <w:szCs w:val="36"/>
        </w:rPr>
      </w:pPr>
    </w:p>
    <w:p w14:paraId="240CFA07" w14:textId="77777777" w:rsidR="003A0D1F" w:rsidRPr="00020FA0" w:rsidRDefault="00000000" w:rsidP="003A0D1F">
      <w:pPr>
        <w:spacing w:line="276" w:lineRule="auto"/>
        <w:jc w:val="center"/>
        <w:rPr>
          <w:b/>
          <w:bCs/>
          <w:sz w:val="40"/>
          <w:szCs w:val="40"/>
          <w:lang w:val="en-GB"/>
        </w:rPr>
      </w:pPr>
      <w:r w:rsidRPr="00020FA0">
        <w:rPr>
          <w:b/>
          <w:bCs/>
          <w:i/>
          <w:iCs/>
          <w:sz w:val="40"/>
          <w:szCs w:val="40"/>
        </w:rPr>
        <w:t xml:space="preserve">Scenario based report on </w:t>
      </w:r>
      <w:proofErr w:type="spellStart"/>
      <w:r w:rsidRPr="00020FA0">
        <w:rPr>
          <w:b/>
          <w:bCs/>
          <w:i/>
          <w:iCs/>
          <w:sz w:val="40"/>
          <w:szCs w:val="40"/>
        </w:rPr>
        <w:t>AeroLink</w:t>
      </w:r>
      <w:proofErr w:type="spellEnd"/>
      <w:r w:rsidRPr="00020FA0">
        <w:rPr>
          <w:b/>
          <w:bCs/>
          <w:i/>
          <w:iCs/>
          <w:sz w:val="40"/>
          <w:szCs w:val="40"/>
        </w:rPr>
        <w:t xml:space="preserve"> Logistics (ALL)</w:t>
      </w:r>
      <w:r w:rsidR="003A0D1F" w:rsidRPr="00020FA0">
        <w:rPr>
          <w:b/>
          <w:bCs/>
          <w:sz w:val="40"/>
          <w:szCs w:val="40"/>
          <w:lang w:val="en-GB"/>
        </w:rPr>
        <w:t>Student</w:t>
      </w:r>
    </w:p>
    <w:p w14:paraId="14975CD8" w14:textId="4CAD0105" w:rsidR="003A0D1F" w:rsidRDefault="003A0D1F" w:rsidP="003A0D1F">
      <w:pPr>
        <w:spacing w:line="276" w:lineRule="auto"/>
        <w:jc w:val="center"/>
        <w:rPr>
          <w:b/>
          <w:bCs/>
          <w:sz w:val="40"/>
          <w:szCs w:val="44"/>
          <w:lang w:val="en-GB"/>
        </w:rPr>
      </w:pPr>
      <w:r w:rsidRPr="00FD2ED6">
        <w:rPr>
          <w:b/>
          <w:bCs/>
          <w:sz w:val="40"/>
          <w:szCs w:val="44"/>
          <w:lang w:val="en-GB"/>
        </w:rPr>
        <w:t xml:space="preserve"> </w:t>
      </w:r>
    </w:p>
    <w:p w14:paraId="4AA97153" w14:textId="616D659A" w:rsidR="003A0D1F" w:rsidRPr="003A0D1F" w:rsidRDefault="003A0D1F" w:rsidP="003A0D1F">
      <w:pPr>
        <w:spacing w:line="276" w:lineRule="auto"/>
        <w:jc w:val="center"/>
        <w:rPr>
          <w:b/>
          <w:bCs/>
          <w:sz w:val="40"/>
          <w:szCs w:val="44"/>
          <w:lang w:val="en-GB"/>
        </w:rPr>
      </w:pPr>
      <w:r>
        <w:rPr>
          <w:b/>
          <w:bCs/>
          <w:sz w:val="40"/>
          <w:szCs w:val="44"/>
          <w:lang w:val="en-GB"/>
        </w:rPr>
        <w:t>Na</w:t>
      </w:r>
      <w:r w:rsidRPr="00FD2ED6">
        <w:rPr>
          <w:b/>
          <w:bCs/>
          <w:sz w:val="40"/>
          <w:szCs w:val="44"/>
          <w:lang w:val="en-GB"/>
        </w:rPr>
        <w:t>me: Chetanbharthi Atit</w:t>
      </w:r>
    </w:p>
    <w:p w14:paraId="70B3A9BD" w14:textId="77777777" w:rsidR="003A0D1F" w:rsidRPr="00FD2ED6" w:rsidRDefault="003A0D1F" w:rsidP="003A0D1F">
      <w:pPr>
        <w:jc w:val="center"/>
        <w:rPr>
          <w:b/>
          <w:bCs/>
          <w:sz w:val="40"/>
          <w:szCs w:val="44"/>
          <w:lang w:val="en-GB"/>
        </w:rPr>
      </w:pPr>
      <w:r w:rsidRPr="00FD2ED6">
        <w:rPr>
          <w:b/>
          <w:bCs/>
          <w:sz w:val="40"/>
          <w:szCs w:val="44"/>
          <w:lang w:val="en-GB"/>
        </w:rPr>
        <w:t>Student ID:2522450</w:t>
      </w:r>
    </w:p>
    <w:p w14:paraId="3783A103" w14:textId="77777777" w:rsidR="003A0D1F" w:rsidRDefault="003A0D1F" w:rsidP="003A0D1F">
      <w:pPr>
        <w:jc w:val="center"/>
        <w:rPr>
          <w:b/>
          <w:bCs/>
          <w:sz w:val="40"/>
          <w:szCs w:val="44"/>
          <w:lang w:val="en-GB"/>
        </w:rPr>
      </w:pPr>
      <w:r w:rsidRPr="00FD2ED6">
        <w:rPr>
          <w:b/>
          <w:bCs/>
          <w:sz w:val="40"/>
          <w:szCs w:val="44"/>
          <w:lang w:val="en-GB"/>
        </w:rPr>
        <w:t>Lecturer:</w:t>
      </w:r>
      <w:r w:rsidRPr="00694FFC">
        <w:rPr>
          <w:rFonts w:asciiTheme="minorHAnsi" w:hAnsiTheme="minorHAnsi" w:cstheme="minorHAnsi"/>
          <w:sz w:val="40"/>
          <w:szCs w:val="36"/>
          <w:lang w:val="en-GB"/>
        </w:rPr>
        <w:t xml:space="preserve"> </w:t>
      </w:r>
      <w:proofErr w:type="spellStart"/>
      <w:r w:rsidRPr="00694FFC">
        <w:rPr>
          <w:rFonts w:cs="Times New Roman"/>
          <w:b/>
          <w:bCs/>
          <w:sz w:val="40"/>
          <w:szCs w:val="36"/>
          <w:lang w:val="en-GB"/>
        </w:rPr>
        <w:t>Vijeyananthan</w:t>
      </w:r>
      <w:proofErr w:type="spellEnd"/>
      <w:r w:rsidRPr="00694FFC">
        <w:rPr>
          <w:rFonts w:cs="Times New Roman"/>
          <w:b/>
          <w:bCs/>
          <w:sz w:val="40"/>
          <w:szCs w:val="36"/>
          <w:lang w:val="en-GB"/>
        </w:rPr>
        <w:t xml:space="preserve"> </w:t>
      </w:r>
      <w:proofErr w:type="spellStart"/>
      <w:r w:rsidRPr="00694FFC">
        <w:rPr>
          <w:rFonts w:cs="Times New Roman"/>
          <w:b/>
          <w:bCs/>
          <w:sz w:val="40"/>
          <w:szCs w:val="36"/>
          <w:lang w:val="en-GB"/>
        </w:rPr>
        <w:t>Thayananthan</w:t>
      </w:r>
      <w:proofErr w:type="spellEnd"/>
    </w:p>
    <w:p w14:paraId="751E78B7" w14:textId="77777777" w:rsidR="003A0D1F" w:rsidRDefault="003A0D1F" w:rsidP="004C49E8">
      <w:pPr>
        <w:spacing w:line="276" w:lineRule="auto"/>
        <w:jc w:val="center"/>
        <w:rPr>
          <w:b/>
          <w:bCs/>
          <w:i/>
          <w:iCs/>
          <w:sz w:val="28"/>
          <w:szCs w:val="24"/>
        </w:rPr>
      </w:pPr>
    </w:p>
    <w:p w14:paraId="72773008" w14:textId="77777777" w:rsidR="003A0D1F" w:rsidRDefault="003A0D1F" w:rsidP="004C49E8">
      <w:pPr>
        <w:spacing w:line="276" w:lineRule="auto"/>
        <w:jc w:val="center"/>
        <w:rPr>
          <w:b/>
          <w:bCs/>
          <w:i/>
          <w:iCs/>
          <w:sz w:val="28"/>
          <w:szCs w:val="24"/>
        </w:rPr>
      </w:pPr>
    </w:p>
    <w:p w14:paraId="35D95D10" w14:textId="77777777" w:rsidR="003A0D1F" w:rsidRDefault="003A0D1F" w:rsidP="004C49E8">
      <w:pPr>
        <w:spacing w:line="276" w:lineRule="auto"/>
        <w:jc w:val="center"/>
        <w:rPr>
          <w:b/>
          <w:bCs/>
          <w:i/>
          <w:iCs/>
          <w:sz w:val="28"/>
          <w:szCs w:val="24"/>
        </w:rPr>
      </w:pPr>
    </w:p>
    <w:p w14:paraId="54A7FF82" w14:textId="77777777" w:rsidR="003A0D1F" w:rsidRDefault="003A0D1F" w:rsidP="004C49E8">
      <w:pPr>
        <w:spacing w:line="276" w:lineRule="auto"/>
        <w:jc w:val="center"/>
        <w:rPr>
          <w:b/>
          <w:bCs/>
          <w:i/>
          <w:iCs/>
          <w:sz w:val="28"/>
          <w:szCs w:val="24"/>
        </w:rPr>
      </w:pPr>
    </w:p>
    <w:p w14:paraId="01E43DDF" w14:textId="77777777" w:rsidR="003A0D1F" w:rsidRDefault="003A0D1F" w:rsidP="004C49E8">
      <w:pPr>
        <w:spacing w:line="276" w:lineRule="auto"/>
        <w:jc w:val="center"/>
        <w:rPr>
          <w:b/>
          <w:bCs/>
          <w:i/>
          <w:iCs/>
          <w:sz w:val="28"/>
          <w:szCs w:val="24"/>
        </w:rPr>
      </w:pPr>
    </w:p>
    <w:p w14:paraId="518BEF5D" w14:textId="77777777" w:rsidR="003A0D1F" w:rsidRPr="0058255C" w:rsidRDefault="003A0D1F" w:rsidP="004C49E8">
      <w:pPr>
        <w:spacing w:line="276" w:lineRule="auto"/>
        <w:jc w:val="center"/>
        <w:rPr>
          <w:b/>
          <w:bCs/>
          <w:i/>
          <w:iCs/>
          <w:sz w:val="28"/>
          <w:szCs w:val="24"/>
        </w:rPr>
      </w:pPr>
    </w:p>
    <w:p w14:paraId="0449737D" w14:textId="0FE6D269" w:rsidR="003A5264" w:rsidRPr="0058255C" w:rsidRDefault="0048364C" w:rsidP="004C49E8">
      <w:pPr>
        <w:spacing w:line="276" w:lineRule="auto"/>
        <w:jc w:val="left"/>
        <w:rPr>
          <w:b/>
          <w:bCs/>
          <w:sz w:val="28"/>
          <w:szCs w:val="24"/>
        </w:rPr>
      </w:pPr>
      <w:r w:rsidRPr="0058255C">
        <w:rPr>
          <w:b/>
          <w:bCs/>
          <w:sz w:val="28"/>
          <w:szCs w:val="24"/>
        </w:rPr>
        <w:t>ABSTRACT</w:t>
      </w:r>
    </w:p>
    <w:p w14:paraId="10E04540" w14:textId="0B907C86" w:rsidR="0011498D" w:rsidRPr="0058255C" w:rsidRDefault="0048364C" w:rsidP="0011498D">
      <w:pPr>
        <w:spacing w:line="276" w:lineRule="auto"/>
      </w:pPr>
      <w:r w:rsidRPr="0058255C">
        <w:t xml:space="preserve">The result of accelerated digital transformation necessary to meet the needs of a huge number of clients flying into the digital era, </w:t>
      </w:r>
      <w:proofErr w:type="spellStart"/>
      <w:r w:rsidRPr="0058255C">
        <w:t>AeroLink</w:t>
      </w:r>
      <w:proofErr w:type="spellEnd"/>
      <w:r w:rsidRPr="0058255C">
        <w:t xml:space="preserve"> Logistics (ALL) is now facing attackers due to its significant cybersecurity gaps. The company depends heavily on an 88% outsourced, cloud-based infrastructure and faces a significantly larger attack surface by deploying IoT sensors and remote access from all over the world using unmanaged devices. Their architectural weaknesses, combined with not having a centralised risk management program and a lack of formal compliance audits, are some of the reasons why they are a source of major Personally Identifiable Information (PII) and client shipment data breaches. </w:t>
      </w:r>
    </w:p>
    <w:p w14:paraId="06CD5CA1" w14:textId="19228E2A" w:rsidR="00547CEE" w:rsidRPr="0058255C" w:rsidRDefault="00000000" w:rsidP="0011498D">
      <w:pPr>
        <w:spacing w:line="276" w:lineRule="auto"/>
      </w:pPr>
      <w:r w:rsidRPr="0058255C">
        <w:t>These extremely varied operational vectors can be achieved only by one instrument, if any, and this is why, in this document, an instrument tailored and hybrid is requested. The proposed architecture brings together COBIT 2019 (top-down executive governance), NIST CSF 2.0 (technical defence, take proactive steps), ISO/IEC 27001 (formal regulatory compliance), and ITIL 4 (third-party service management, provide strict services). By combining this multi-layered approach with its ongoing security monitoring initiative, ALL will be able to create accountability at the Board level, protect its decentralised endpoints, force key vendor compliance and secure the continuation of operations of the ALL</w:t>
      </w:r>
      <w:r w:rsidR="001D2C60" w:rsidRPr="0058255C">
        <w:t>’s</w:t>
      </w:r>
      <w:r w:rsidRPr="0058255C">
        <w:t xml:space="preserve"> supply chain, globally.</w:t>
      </w:r>
    </w:p>
    <w:p w14:paraId="0F673EB2" w14:textId="435A2944" w:rsidR="003A5264" w:rsidRPr="0058255C" w:rsidRDefault="00DA40BC" w:rsidP="00DA40BC">
      <w:pPr>
        <w:spacing w:line="276" w:lineRule="auto"/>
        <w:rPr>
          <w:rFonts w:eastAsiaTheme="majorEastAsia" w:cstheme="majorBidi"/>
          <w:b/>
          <w:sz w:val="28"/>
          <w:szCs w:val="40"/>
        </w:rPr>
      </w:pPr>
      <w:r w:rsidRPr="0058255C">
        <w:t xml:space="preserve">The purpose of this report is to assess possible information security governance models and propose a hybrid governance model that will be able to deal with the information security issues of </w:t>
      </w:r>
      <w:proofErr w:type="spellStart"/>
      <w:r w:rsidRPr="0058255C">
        <w:t>AeroLink</w:t>
      </w:r>
      <w:proofErr w:type="spellEnd"/>
      <w:r w:rsidRPr="0058255C">
        <w:t xml:space="preserve"> Logistics. For this purpose, this report follows a qualitative analysis through scenarios, where different information security governance models such as COBIT 2019, NIST CSF 2.0, ISO/IEC 27001 and ITIL 4 are compared against the requirements of the case.</w:t>
      </w:r>
      <w:r w:rsidRPr="0058255C">
        <w:br w:type="page"/>
      </w:r>
    </w:p>
    <w:sdt>
      <w:sdtPr>
        <w:rPr>
          <w:rFonts w:ascii="Times New Roman" w:eastAsiaTheme="minorHAnsi" w:hAnsi="Times New Roman" w:cstheme="minorBidi"/>
          <w:color w:val="auto"/>
          <w:kern w:val="2"/>
          <w:sz w:val="24"/>
          <w:szCs w:val="22"/>
          <w:lang w:val="en-IN"/>
          <w14:ligatures w14:val="standardContextual"/>
        </w:rPr>
        <w:id w:val="924299743"/>
        <w:docPartObj>
          <w:docPartGallery w:val="Table of Contents"/>
          <w:docPartUnique/>
        </w:docPartObj>
      </w:sdtPr>
      <w:sdtEndPr>
        <w:rPr>
          <w:b/>
          <w:bCs/>
          <w:noProof/>
        </w:rPr>
      </w:sdtEndPr>
      <w:sdtContent>
        <w:p w14:paraId="06DCDA9B" w14:textId="77777777" w:rsidR="003A5264" w:rsidRPr="0058255C" w:rsidRDefault="00000000" w:rsidP="00DA40BC">
          <w:pPr>
            <w:pStyle w:val="TOCHeading"/>
            <w:spacing w:line="360" w:lineRule="auto"/>
            <w:jc w:val="center"/>
            <w:rPr>
              <w:sz w:val="28"/>
              <w:szCs w:val="28"/>
            </w:rPr>
          </w:pPr>
          <w:r w:rsidRPr="0058255C">
            <w:rPr>
              <w:rFonts w:ascii="Times New Roman" w:hAnsi="Times New Roman" w:cs="Times New Roman"/>
              <w:b/>
              <w:bCs/>
              <w:sz w:val="28"/>
              <w:szCs w:val="28"/>
            </w:rPr>
            <w:t>Table of Contents</w:t>
          </w:r>
        </w:p>
        <w:p w14:paraId="61BB18AA" w14:textId="77777777" w:rsidR="003A5264" w:rsidRPr="0058255C" w:rsidRDefault="00000000" w:rsidP="004C49E8">
          <w:pPr>
            <w:pStyle w:val="TOC1"/>
            <w:tabs>
              <w:tab w:val="right" w:leader="dot" w:pos="9016"/>
            </w:tabs>
            <w:spacing w:line="276" w:lineRule="auto"/>
            <w:rPr>
              <w:noProof/>
            </w:rPr>
          </w:pPr>
          <w:r w:rsidRPr="0058255C">
            <w:fldChar w:fldCharType="begin"/>
          </w:r>
          <w:r w:rsidRPr="0058255C">
            <w:instrText xml:space="preserve"> TOC \o "1-3" \h \z \u </w:instrText>
          </w:r>
          <w:r w:rsidRPr="0058255C">
            <w:fldChar w:fldCharType="separate"/>
          </w:r>
          <w:hyperlink w:anchor="_Toc234931839" w:history="1">
            <w:r w:rsidR="003A5264" w:rsidRPr="0058255C">
              <w:rPr>
                <w:rStyle w:val="Hyperlink"/>
                <w:noProof/>
              </w:rPr>
              <w:t>1. Introduction</w:t>
            </w:r>
            <w:r w:rsidR="003A5264" w:rsidRPr="0058255C">
              <w:rPr>
                <w:noProof/>
                <w:webHidden/>
              </w:rPr>
              <w:tab/>
            </w:r>
            <w:r w:rsidR="003A5264" w:rsidRPr="0058255C">
              <w:rPr>
                <w:noProof/>
                <w:webHidden/>
              </w:rPr>
              <w:fldChar w:fldCharType="begin"/>
            </w:r>
            <w:r w:rsidR="003A5264" w:rsidRPr="0058255C">
              <w:rPr>
                <w:noProof/>
                <w:webHidden/>
              </w:rPr>
              <w:instrText xml:space="preserve"> PAGEREF _Toc234931839 \h </w:instrText>
            </w:r>
            <w:r w:rsidR="003A5264" w:rsidRPr="0058255C">
              <w:rPr>
                <w:noProof/>
                <w:webHidden/>
              </w:rPr>
            </w:r>
            <w:r w:rsidR="003A5264" w:rsidRPr="0058255C">
              <w:rPr>
                <w:noProof/>
                <w:webHidden/>
              </w:rPr>
              <w:fldChar w:fldCharType="separate"/>
            </w:r>
            <w:r w:rsidR="003A5264" w:rsidRPr="0058255C">
              <w:rPr>
                <w:noProof/>
                <w:webHidden/>
              </w:rPr>
              <w:t>3</w:t>
            </w:r>
            <w:r w:rsidR="003A5264" w:rsidRPr="0058255C">
              <w:rPr>
                <w:noProof/>
                <w:webHidden/>
              </w:rPr>
              <w:fldChar w:fldCharType="end"/>
            </w:r>
          </w:hyperlink>
        </w:p>
        <w:p w14:paraId="61AE1FFA" w14:textId="77777777" w:rsidR="003A5264" w:rsidRPr="0058255C" w:rsidRDefault="003A5264" w:rsidP="004C49E8">
          <w:pPr>
            <w:pStyle w:val="TOC1"/>
            <w:tabs>
              <w:tab w:val="right" w:leader="dot" w:pos="9016"/>
            </w:tabs>
            <w:spacing w:line="276" w:lineRule="auto"/>
            <w:rPr>
              <w:noProof/>
            </w:rPr>
          </w:pPr>
          <w:hyperlink w:anchor="_Toc234931840" w:history="1">
            <w:r w:rsidRPr="0058255C">
              <w:rPr>
                <w:rStyle w:val="Hyperlink"/>
                <w:noProof/>
              </w:rPr>
              <w:t>2. Assumptions</w:t>
            </w:r>
            <w:r w:rsidRPr="0058255C">
              <w:rPr>
                <w:noProof/>
                <w:webHidden/>
              </w:rPr>
              <w:tab/>
            </w:r>
            <w:r w:rsidRPr="0058255C">
              <w:rPr>
                <w:noProof/>
                <w:webHidden/>
              </w:rPr>
              <w:fldChar w:fldCharType="begin"/>
            </w:r>
            <w:r w:rsidRPr="0058255C">
              <w:rPr>
                <w:noProof/>
                <w:webHidden/>
              </w:rPr>
              <w:instrText xml:space="preserve"> PAGEREF _Toc234931840 \h </w:instrText>
            </w:r>
            <w:r w:rsidRPr="0058255C">
              <w:rPr>
                <w:noProof/>
                <w:webHidden/>
              </w:rPr>
            </w:r>
            <w:r w:rsidRPr="0058255C">
              <w:rPr>
                <w:noProof/>
                <w:webHidden/>
              </w:rPr>
              <w:fldChar w:fldCharType="separate"/>
            </w:r>
            <w:r w:rsidRPr="0058255C">
              <w:rPr>
                <w:noProof/>
                <w:webHidden/>
              </w:rPr>
              <w:t>3</w:t>
            </w:r>
            <w:r w:rsidRPr="0058255C">
              <w:rPr>
                <w:noProof/>
                <w:webHidden/>
              </w:rPr>
              <w:fldChar w:fldCharType="end"/>
            </w:r>
          </w:hyperlink>
        </w:p>
        <w:p w14:paraId="700D9B13" w14:textId="77777777" w:rsidR="003A5264" w:rsidRPr="0058255C" w:rsidRDefault="003A5264" w:rsidP="004C49E8">
          <w:pPr>
            <w:pStyle w:val="TOC1"/>
            <w:tabs>
              <w:tab w:val="right" w:leader="dot" w:pos="9016"/>
            </w:tabs>
            <w:spacing w:line="276" w:lineRule="auto"/>
            <w:rPr>
              <w:noProof/>
            </w:rPr>
          </w:pPr>
          <w:hyperlink w:anchor="_Toc234931841" w:history="1">
            <w:r w:rsidRPr="0058255C">
              <w:rPr>
                <w:rStyle w:val="Hyperlink"/>
                <w:noProof/>
              </w:rPr>
              <w:t>3. Case Problem Analysis</w:t>
            </w:r>
            <w:r w:rsidRPr="0058255C">
              <w:rPr>
                <w:noProof/>
                <w:webHidden/>
              </w:rPr>
              <w:tab/>
            </w:r>
            <w:r w:rsidRPr="0058255C">
              <w:rPr>
                <w:noProof/>
                <w:webHidden/>
              </w:rPr>
              <w:fldChar w:fldCharType="begin"/>
            </w:r>
            <w:r w:rsidRPr="0058255C">
              <w:rPr>
                <w:noProof/>
                <w:webHidden/>
              </w:rPr>
              <w:instrText xml:space="preserve"> PAGEREF _Toc234931841 \h </w:instrText>
            </w:r>
            <w:r w:rsidRPr="0058255C">
              <w:rPr>
                <w:noProof/>
                <w:webHidden/>
              </w:rPr>
            </w:r>
            <w:r w:rsidRPr="0058255C">
              <w:rPr>
                <w:noProof/>
                <w:webHidden/>
              </w:rPr>
              <w:fldChar w:fldCharType="separate"/>
            </w:r>
            <w:r w:rsidRPr="0058255C">
              <w:rPr>
                <w:noProof/>
                <w:webHidden/>
              </w:rPr>
              <w:t>4</w:t>
            </w:r>
            <w:r w:rsidRPr="0058255C">
              <w:rPr>
                <w:noProof/>
                <w:webHidden/>
              </w:rPr>
              <w:fldChar w:fldCharType="end"/>
            </w:r>
          </w:hyperlink>
        </w:p>
        <w:p w14:paraId="55031F43" w14:textId="77777777" w:rsidR="003A5264" w:rsidRPr="0058255C" w:rsidRDefault="003A5264" w:rsidP="004C49E8">
          <w:pPr>
            <w:pStyle w:val="TOC2"/>
            <w:tabs>
              <w:tab w:val="right" w:leader="dot" w:pos="9016"/>
            </w:tabs>
            <w:spacing w:line="276" w:lineRule="auto"/>
            <w:rPr>
              <w:noProof/>
            </w:rPr>
          </w:pPr>
          <w:hyperlink w:anchor="_Toc234931842" w:history="1">
            <w:r w:rsidRPr="0058255C">
              <w:rPr>
                <w:rStyle w:val="Hyperlink"/>
                <w:noProof/>
              </w:rPr>
              <w:t>3.1. Vulnerability Categorisation</w:t>
            </w:r>
            <w:r w:rsidRPr="0058255C">
              <w:rPr>
                <w:noProof/>
                <w:webHidden/>
              </w:rPr>
              <w:tab/>
            </w:r>
            <w:r w:rsidRPr="0058255C">
              <w:rPr>
                <w:noProof/>
                <w:webHidden/>
              </w:rPr>
              <w:fldChar w:fldCharType="begin"/>
            </w:r>
            <w:r w:rsidRPr="0058255C">
              <w:rPr>
                <w:noProof/>
                <w:webHidden/>
              </w:rPr>
              <w:instrText xml:space="preserve"> PAGEREF _Toc234931842 \h </w:instrText>
            </w:r>
            <w:r w:rsidRPr="0058255C">
              <w:rPr>
                <w:noProof/>
                <w:webHidden/>
              </w:rPr>
            </w:r>
            <w:r w:rsidRPr="0058255C">
              <w:rPr>
                <w:noProof/>
                <w:webHidden/>
              </w:rPr>
              <w:fldChar w:fldCharType="separate"/>
            </w:r>
            <w:r w:rsidRPr="0058255C">
              <w:rPr>
                <w:noProof/>
                <w:webHidden/>
              </w:rPr>
              <w:t>4</w:t>
            </w:r>
            <w:r w:rsidRPr="0058255C">
              <w:rPr>
                <w:noProof/>
                <w:webHidden/>
              </w:rPr>
              <w:fldChar w:fldCharType="end"/>
            </w:r>
          </w:hyperlink>
        </w:p>
        <w:p w14:paraId="73D334D0" w14:textId="77777777" w:rsidR="003A5264" w:rsidRPr="0058255C" w:rsidRDefault="003A5264" w:rsidP="004C49E8">
          <w:pPr>
            <w:pStyle w:val="TOC2"/>
            <w:tabs>
              <w:tab w:val="right" w:leader="dot" w:pos="9016"/>
            </w:tabs>
            <w:spacing w:line="276" w:lineRule="auto"/>
            <w:rPr>
              <w:noProof/>
            </w:rPr>
          </w:pPr>
          <w:hyperlink w:anchor="_Toc234931843" w:history="1">
            <w:r w:rsidRPr="0058255C">
              <w:rPr>
                <w:rStyle w:val="Hyperlink"/>
                <w:noProof/>
              </w:rPr>
              <w:t>3.2. Critical Analysis</w:t>
            </w:r>
            <w:r w:rsidRPr="0058255C">
              <w:rPr>
                <w:noProof/>
                <w:webHidden/>
              </w:rPr>
              <w:tab/>
            </w:r>
            <w:r w:rsidRPr="0058255C">
              <w:rPr>
                <w:noProof/>
                <w:webHidden/>
              </w:rPr>
              <w:fldChar w:fldCharType="begin"/>
            </w:r>
            <w:r w:rsidRPr="0058255C">
              <w:rPr>
                <w:noProof/>
                <w:webHidden/>
              </w:rPr>
              <w:instrText xml:space="preserve"> PAGEREF _Toc234931843 \h </w:instrText>
            </w:r>
            <w:r w:rsidRPr="0058255C">
              <w:rPr>
                <w:noProof/>
                <w:webHidden/>
              </w:rPr>
            </w:r>
            <w:r w:rsidRPr="0058255C">
              <w:rPr>
                <w:noProof/>
                <w:webHidden/>
              </w:rPr>
              <w:fldChar w:fldCharType="separate"/>
            </w:r>
            <w:r w:rsidRPr="0058255C">
              <w:rPr>
                <w:noProof/>
                <w:webHidden/>
              </w:rPr>
              <w:t>5</w:t>
            </w:r>
            <w:r w:rsidRPr="0058255C">
              <w:rPr>
                <w:noProof/>
                <w:webHidden/>
              </w:rPr>
              <w:fldChar w:fldCharType="end"/>
            </w:r>
          </w:hyperlink>
        </w:p>
        <w:p w14:paraId="089E09D9" w14:textId="77777777" w:rsidR="003A5264" w:rsidRPr="0058255C" w:rsidRDefault="003A5264" w:rsidP="004C49E8">
          <w:pPr>
            <w:pStyle w:val="TOC1"/>
            <w:tabs>
              <w:tab w:val="right" w:leader="dot" w:pos="9016"/>
            </w:tabs>
            <w:spacing w:line="276" w:lineRule="auto"/>
            <w:rPr>
              <w:noProof/>
            </w:rPr>
          </w:pPr>
          <w:hyperlink w:anchor="_Toc234931844" w:history="1">
            <w:r w:rsidRPr="0058255C">
              <w:rPr>
                <w:rStyle w:val="Hyperlink"/>
                <w:noProof/>
              </w:rPr>
              <w:t>4. Framework Review and Comparison</w:t>
            </w:r>
            <w:r w:rsidRPr="0058255C">
              <w:rPr>
                <w:noProof/>
                <w:webHidden/>
              </w:rPr>
              <w:tab/>
            </w:r>
            <w:r w:rsidRPr="0058255C">
              <w:rPr>
                <w:noProof/>
                <w:webHidden/>
              </w:rPr>
              <w:fldChar w:fldCharType="begin"/>
            </w:r>
            <w:r w:rsidRPr="0058255C">
              <w:rPr>
                <w:noProof/>
                <w:webHidden/>
              </w:rPr>
              <w:instrText xml:space="preserve"> PAGEREF _Toc234931844 \h </w:instrText>
            </w:r>
            <w:r w:rsidRPr="0058255C">
              <w:rPr>
                <w:noProof/>
                <w:webHidden/>
              </w:rPr>
            </w:r>
            <w:r w:rsidRPr="0058255C">
              <w:rPr>
                <w:noProof/>
                <w:webHidden/>
              </w:rPr>
              <w:fldChar w:fldCharType="separate"/>
            </w:r>
            <w:r w:rsidRPr="0058255C">
              <w:rPr>
                <w:noProof/>
                <w:webHidden/>
              </w:rPr>
              <w:t>5</w:t>
            </w:r>
            <w:r w:rsidRPr="0058255C">
              <w:rPr>
                <w:noProof/>
                <w:webHidden/>
              </w:rPr>
              <w:fldChar w:fldCharType="end"/>
            </w:r>
          </w:hyperlink>
        </w:p>
        <w:p w14:paraId="31EC8E18" w14:textId="77777777" w:rsidR="003A5264" w:rsidRPr="0058255C" w:rsidRDefault="003A5264" w:rsidP="004C49E8">
          <w:pPr>
            <w:pStyle w:val="TOC2"/>
            <w:tabs>
              <w:tab w:val="right" w:leader="dot" w:pos="9016"/>
            </w:tabs>
            <w:spacing w:line="276" w:lineRule="auto"/>
            <w:rPr>
              <w:noProof/>
            </w:rPr>
          </w:pPr>
          <w:hyperlink w:anchor="_Toc234931845" w:history="1">
            <w:r w:rsidRPr="0058255C">
              <w:rPr>
                <w:rStyle w:val="Hyperlink"/>
                <w:noProof/>
              </w:rPr>
              <w:t>4.1. Comparative Evaluation of Frameworks</w:t>
            </w:r>
            <w:r w:rsidRPr="0058255C">
              <w:rPr>
                <w:noProof/>
                <w:webHidden/>
              </w:rPr>
              <w:tab/>
            </w:r>
            <w:r w:rsidRPr="0058255C">
              <w:rPr>
                <w:noProof/>
                <w:webHidden/>
              </w:rPr>
              <w:fldChar w:fldCharType="begin"/>
            </w:r>
            <w:r w:rsidRPr="0058255C">
              <w:rPr>
                <w:noProof/>
                <w:webHidden/>
              </w:rPr>
              <w:instrText xml:space="preserve"> PAGEREF _Toc234931845 \h </w:instrText>
            </w:r>
            <w:r w:rsidRPr="0058255C">
              <w:rPr>
                <w:noProof/>
                <w:webHidden/>
              </w:rPr>
            </w:r>
            <w:r w:rsidRPr="0058255C">
              <w:rPr>
                <w:noProof/>
                <w:webHidden/>
              </w:rPr>
              <w:fldChar w:fldCharType="separate"/>
            </w:r>
            <w:r w:rsidRPr="0058255C">
              <w:rPr>
                <w:noProof/>
                <w:webHidden/>
              </w:rPr>
              <w:t>6</w:t>
            </w:r>
            <w:r w:rsidRPr="0058255C">
              <w:rPr>
                <w:noProof/>
                <w:webHidden/>
              </w:rPr>
              <w:fldChar w:fldCharType="end"/>
            </w:r>
          </w:hyperlink>
        </w:p>
        <w:p w14:paraId="5B13F467" w14:textId="77777777" w:rsidR="003A5264" w:rsidRPr="0058255C" w:rsidRDefault="003A5264" w:rsidP="004C49E8">
          <w:pPr>
            <w:pStyle w:val="TOC2"/>
            <w:tabs>
              <w:tab w:val="right" w:leader="dot" w:pos="9016"/>
            </w:tabs>
            <w:spacing w:line="276" w:lineRule="auto"/>
            <w:rPr>
              <w:noProof/>
            </w:rPr>
          </w:pPr>
          <w:hyperlink w:anchor="_Toc234931846" w:history="1">
            <w:r w:rsidRPr="0058255C">
              <w:rPr>
                <w:rStyle w:val="Hyperlink"/>
                <w:noProof/>
              </w:rPr>
              <w:t>4.2. Framework Suitability in ALL's Operational Reality</w:t>
            </w:r>
            <w:r w:rsidRPr="0058255C">
              <w:rPr>
                <w:noProof/>
                <w:webHidden/>
              </w:rPr>
              <w:tab/>
            </w:r>
            <w:r w:rsidRPr="0058255C">
              <w:rPr>
                <w:noProof/>
                <w:webHidden/>
              </w:rPr>
              <w:fldChar w:fldCharType="begin"/>
            </w:r>
            <w:r w:rsidRPr="0058255C">
              <w:rPr>
                <w:noProof/>
                <w:webHidden/>
              </w:rPr>
              <w:instrText xml:space="preserve"> PAGEREF _Toc234931846 \h </w:instrText>
            </w:r>
            <w:r w:rsidRPr="0058255C">
              <w:rPr>
                <w:noProof/>
                <w:webHidden/>
              </w:rPr>
            </w:r>
            <w:r w:rsidRPr="0058255C">
              <w:rPr>
                <w:noProof/>
                <w:webHidden/>
              </w:rPr>
              <w:fldChar w:fldCharType="separate"/>
            </w:r>
            <w:r w:rsidRPr="0058255C">
              <w:rPr>
                <w:noProof/>
                <w:webHidden/>
              </w:rPr>
              <w:t>7</w:t>
            </w:r>
            <w:r w:rsidRPr="0058255C">
              <w:rPr>
                <w:noProof/>
                <w:webHidden/>
              </w:rPr>
              <w:fldChar w:fldCharType="end"/>
            </w:r>
          </w:hyperlink>
        </w:p>
        <w:p w14:paraId="2793EA69" w14:textId="77777777" w:rsidR="003A5264" w:rsidRPr="0058255C" w:rsidRDefault="003A5264" w:rsidP="004C49E8">
          <w:pPr>
            <w:pStyle w:val="TOC2"/>
            <w:tabs>
              <w:tab w:val="right" w:leader="dot" w:pos="9016"/>
            </w:tabs>
            <w:spacing w:line="276" w:lineRule="auto"/>
            <w:rPr>
              <w:noProof/>
            </w:rPr>
          </w:pPr>
          <w:hyperlink w:anchor="_Toc234931847" w:history="1">
            <w:r w:rsidRPr="0058255C">
              <w:rPr>
                <w:rStyle w:val="Hyperlink"/>
                <w:noProof/>
              </w:rPr>
              <w:t>4.3. Justification for a Hybrid Governance Model</w:t>
            </w:r>
            <w:r w:rsidRPr="0058255C">
              <w:rPr>
                <w:noProof/>
                <w:webHidden/>
              </w:rPr>
              <w:tab/>
            </w:r>
            <w:r w:rsidRPr="0058255C">
              <w:rPr>
                <w:noProof/>
                <w:webHidden/>
              </w:rPr>
              <w:fldChar w:fldCharType="begin"/>
            </w:r>
            <w:r w:rsidRPr="0058255C">
              <w:rPr>
                <w:noProof/>
                <w:webHidden/>
              </w:rPr>
              <w:instrText xml:space="preserve"> PAGEREF _Toc234931847 \h </w:instrText>
            </w:r>
            <w:r w:rsidRPr="0058255C">
              <w:rPr>
                <w:noProof/>
                <w:webHidden/>
              </w:rPr>
            </w:r>
            <w:r w:rsidRPr="0058255C">
              <w:rPr>
                <w:noProof/>
                <w:webHidden/>
              </w:rPr>
              <w:fldChar w:fldCharType="separate"/>
            </w:r>
            <w:r w:rsidRPr="0058255C">
              <w:rPr>
                <w:noProof/>
                <w:webHidden/>
              </w:rPr>
              <w:t>7</w:t>
            </w:r>
            <w:r w:rsidRPr="0058255C">
              <w:rPr>
                <w:noProof/>
                <w:webHidden/>
              </w:rPr>
              <w:fldChar w:fldCharType="end"/>
            </w:r>
          </w:hyperlink>
        </w:p>
        <w:p w14:paraId="7094938F" w14:textId="77777777" w:rsidR="003A5264" w:rsidRPr="0058255C" w:rsidRDefault="003A5264" w:rsidP="004C49E8">
          <w:pPr>
            <w:pStyle w:val="TOC1"/>
            <w:tabs>
              <w:tab w:val="right" w:leader="dot" w:pos="9016"/>
            </w:tabs>
            <w:spacing w:line="276" w:lineRule="auto"/>
            <w:rPr>
              <w:noProof/>
            </w:rPr>
          </w:pPr>
          <w:hyperlink w:anchor="_Toc234931848" w:history="1">
            <w:r w:rsidRPr="0058255C">
              <w:rPr>
                <w:rStyle w:val="Hyperlink"/>
                <w:noProof/>
              </w:rPr>
              <w:t>5. Proposed Security Governance Model</w:t>
            </w:r>
            <w:r w:rsidRPr="0058255C">
              <w:rPr>
                <w:noProof/>
                <w:webHidden/>
              </w:rPr>
              <w:tab/>
            </w:r>
            <w:r w:rsidRPr="0058255C">
              <w:rPr>
                <w:noProof/>
                <w:webHidden/>
              </w:rPr>
              <w:fldChar w:fldCharType="begin"/>
            </w:r>
            <w:r w:rsidRPr="0058255C">
              <w:rPr>
                <w:noProof/>
                <w:webHidden/>
              </w:rPr>
              <w:instrText xml:space="preserve"> PAGEREF _Toc234931848 \h </w:instrText>
            </w:r>
            <w:r w:rsidRPr="0058255C">
              <w:rPr>
                <w:noProof/>
                <w:webHidden/>
              </w:rPr>
            </w:r>
            <w:r w:rsidRPr="0058255C">
              <w:rPr>
                <w:noProof/>
                <w:webHidden/>
              </w:rPr>
              <w:fldChar w:fldCharType="separate"/>
            </w:r>
            <w:r w:rsidRPr="0058255C">
              <w:rPr>
                <w:noProof/>
                <w:webHidden/>
              </w:rPr>
              <w:t>8</w:t>
            </w:r>
            <w:r w:rsidRPr="0058255C">
              <w:rPr>
                <w:noProof/>
                <w:webHidden/>
              </w:rPr>
              <w:fldChar w:fldCharType="end"/>
            </w:r>
          </w:hyperlink>
        </w:p>
        <w:p w14:paraId="0EEDD7DA" w14:textId="77777777" w:rsidR="003A5264" w:rsidRPr="0058255C" w:rsidRDefault="003A5264" w:rsidP="004C49E8">
          <w:pPr>
            <w:pStyle w:val="TOC2"/>
            <w:tabs>
              <w:tab w:val="right" w:leader="dot" w:pos="9016"/>
            </w:tabs>
            <w:spacing w:line="276" w:lineRule="auto"/>
            <w:rPr>
              <w:noProof/>
            </w:rPr>
          </w:pPr>
          <w:hyperlink w:anchor="_Toc234931849" w:history="1">
            <w:r w:rsidRPr="0058255C">
              <w:rPr>
                <w:rStyle w:val="Hyperlink"/>
                <w:noProof/>
              </w:rPr>
              <w:t>5.1. Governance and Strategy</w:t>
            </w:r>
            <w:r w:rsidRPr="0058255C">
              <w:rPr>
                <w:noProof/>
                <w:webHidden/>
              </w:rPr>
              <w:tab/>
            </w:r>
            <w:r w:rsidRPr="0058255C">
              <w:rPr>
                <w:noProof/>
                <w:webHidden/>
              </w:rPr>
              <w:fldChar w:fldCharType="begin"/>
            </w:r>
            <w:r w:rsidRPr="0058255C">
              <w:rPr>
                <w:noProof/>
                <w:webHidden/>
              </w:rPr>
              <w:instrText xml:space="preserve"> PAGEREF _Toc234931849 \h </w:instrText>
            </w:r>
            <w:r w:rsidRPr="0058255C">
              <w:rPr>
                <w:noProof/>
                <w:webHidden/>
              </w:rPr>
            </w:r>
            <w:r w:rsidRPr="0058255C">
              <w:rPr>
                <w:noProof/>
                <w:webHidden/>
              </w:rPr>
              <w:fldChar w:fldCharType="separate"/>
            </w:r>
            <w:r w:rsidRPr="0058255C">
              <w:rPr>
                <w:noProof/>
                <w:webHidden/>
              </w:rPr>
              <w:t>8</w:t>
            </w:r>
            <w:r w:rsidRPr="0058255C">
              <w:rPr>
                <w:noProof/>
                <w:webHidden/>
              </w:rPr>
              <w:fldChar w:fldCharType="end"/>
            </w:r>
          </w:hyperlink>
        </w:p>
        <w:p w14:paraId="557E8642" w14:textId="77777777" w:rsidR="003A5264" w:rsidRPr="0058255C" w:rsidRDefault="003A5264" w:rsidP="004C49E8">
          <w:pPr>
            <w:pStyle w:val="TOC2"/>
            <w:tabs>
              <w:tab w:val="right" w:leader="dot" w:pos="9016"/>
            </w:tabs>
            <w:spacing w:line="276" w:lineRule="auto"/>
            <w:rPr>
              <w:noProof/>
            </w:rPr>
          </w:pPr>
          <w:hyperlink w:anchor="_Toc234931850" w:history="1">
            <w:r w:rsidRPr="0058255C">
              <w:rPr>
                <w:rStyle w:val="Hyperlink"/>
                <w:noProof/>
              </w:rPr>
              <w:t>5.2. Risk Management</w:t>
            </w:r>
            <w:r w:rsidRPr="0058255C">
              <w:rPr>
                <w:noProof/>
                <w:webHidden/>
              </w:rPr>
              <w:tab/>
            </w:r>
            <w:r w:rsidRPr="0058255C">
              <w:rPr>
                <w:noProof/>
                <w:webHidden/>
              </w:rPr>
              <w:fldChar w:fldCharType="begin"/>
            </w:r>
            <w:r w:rsidRPr="0058255C">
              <w:rPr>
                <w:noProof/>
                <w:webHidden/>
              </w:rPr>
              <w:instrText xml:space="preserve"> PAGEREF _Toc234931850 \h </w:instrText>
            </w:r>
            <w:r w:rsidRPr="0058255C">
              <w:rPr>
                <w:noProof/>
                <w:webHidden/>
              </w:rPr>
            </w:r>
            <w:r w:rsidRPr="0058255C">
              <w:rPr>
                <w:noProof/>
                <w:webHidden/>
              </w:rPr>
              <w:fldChar w:fldCharType="separate"/>
            </w:r>
            <w:r w:rsidRPr="0058255C">
              <w:rPr>
                <w:noProof/>
                <w:webHidden/>
              </w:rPr>
              <w:t>8</w:t>
            </w:r>
            <w:r w:rsidRPr="0058255C">
              <w:rPr>
                <w:noProof/>
                <w:webHidden/>
              </w:rPr>
              <w:fldChar w:fldCharType="end"/>
            </w:r>
          </w:hyperlink>
        </w:p>
        <w:p w14:paraId="71F1776D" w14:textId="77777777" w:rsidR="003A5264" w:rsidRPr="0058255C" w:rsidRDefault="003A5264" w:rsidP="004C49E8">
          <w:pPr>
            <w:pStyle w:val="TOC2"/>
            <w:tabs>
              <w:tab w:val="right" w:leader="dot" w:pos="9016"/>
            </w:tabs>
            <w:spacing w:line="276" w:lineRule="auto"/>
            <w:rPr>
              <w:noProof/>
            </w:rPr>
          </w:pPr>
          <w:hyperlink w:anchor="_Toc234931851" w:history="1">
            <w:r w:rsidRPr="0058255C">
              <w:rPr>
                <w:rStyle w:val="Hyperlink"/>
                <w:noProof/>
              </w:rPr>
              <w:t>5.3. Protection and Access Control</w:t>
            </w:r>
            <w:r w:rsidRPr="0058255C">
              <w:rPr>
                <w:noProof/>
                <w:webHidden/>
              </w:rPr>
              <w:tab/>
            </w:r>
            <w:r w:rsidRPr="0058255C">
              <w:rPr>
                <w:noProof/>
                <w:webHidden/>
              </w:rPr>
              <w:fldChar w:fldCharType="begin"/>
            </w:r>
            <w:r w:rsidRPr="0058255C">
              <w:rPr>
                <w:noProof/>
                <w:webHidden/>
              </w:rPr>
              <w:instrText xml:space="preserve"> PAGEREF _Toc234931851 \h </w:instrText>
            </w:r>
            <w:r w:rsidRPr="0058255C">
              <w:rPr>
                <w:noProof/>
                <w:webHidden/>
              </w:rPr>
            </w:r>
            <w:r w:rsidRPr="0058255C">
              <w:rPr>
                <w:noProof/>
                <w:webHidden/>
              </w:rPr>
              <w:fldChar w:fldCharType="separate"/>
            </w:r>
            <w:r w:rsidRPr="0058255C">
              <w:rPr>
                <w:noProof/>
                <w:webHidden/>
              </w:rPr>
              <w:t>8</w:t>
            </w:r>
            <w:r w:rsidRPr="0058255C">
              <w:rPr>
                <w:noProof/>
                <w:webHidden/>
              </w:rPr>
              <w:fldChar w:fldCharType="end"/>
            </w:r>
          </w:hyperlink>
        </w:p>
        <w:p w14:paraId="577F8E8D" w14:textId="77777777" w:rsidR="003A5264" w:rsidRPr="0058255C" w:rsidRDefault="003A5264" w:rsidP="004C49E8">
          <w:pPr>
            <w:pStyle w:val="TOC2"/>
            <w:tabs>
              <w:tab w:val="right" w:leader="dot" w:pos="9016"/>
            </w:tabs>
            <w:spacing w:line="276" w:lineRule="auto"/>
            <w:rPr>
              <w:noProof/>
            </w:rPr>
          </w:pPr>
          <w:hyperlink w:anchor="_Toc234931852" w:history="1">
            <w:r w:rsidRPr="0058255C">
              <w:rPr>
                <w:rStyle w:val="Hyperlink"/>
                <w:noProof/>
              </w:rPr>
              <w:t>5.4. Compliance</w:t>
            </w:r>
            <w:r w:rsidRPr="0058255C">
              <w:rPr>
                <w:noProof/>
                <w:webHidden/>
              </w:rPr>
              <w:tab/>
            </w:r>
            <w:r w:rsidRPr="0058255C">
              <w:rPr>
                <w:noProof/>
                <w:webHidden/>
              </w:rPr>
              <w:fldChar w:fldCharType="begin"/>
            </w:r>
            <w:r w:rsidRPr="0058255C">
              <w:rPr>
                <w:noProof/>
                <w:webHidden/>
              </w:rPr>
              <w:instrText xml:space="preserve"> PAGEREF _Toc234931852 \h </w:instrText>
            </w:r>
            <w:r w:rsidRPr="0058255C">
              <w:rPr>
                <w:noProof/>
                <w:webHidden/>
              </w:rPr>
            </w:r>
            <w:r w:rsidRPr="0058255C">
              <w:rPr>
                <w:noProof/>
                <w:webHidden/>
              </w:rPr>
              <w:fldChar w:fldCharType="separate"/>
            </w:r>
            <w:r w:rsidRPr="0058255C">
              <w:rPr>
                <w:noProof/>
                <w:webHidden/>
              </w:rPr>
              <w:t>9</w:t>
            </w:r>
            <w:r w:rsidRPr="0058255C">
              <w:rPr>
                <w:noProof/>
                <w:webHidden/>
              </w:rPr>
              <w:fldChar w:fldCharType="end"/>
            </w:r>
          </w:hyperlink>
        </w:p>
        <w:p w14:paraId="538C9E19" w14:textId="77777777" w:rsidR="003A5264" w:rsidRPr="0058255C" w:rsidRDefault="003A5264" w:rsidP="004C49E8">
          <w:pPr>
            <w:pStyle w:val="TOC2"/>
            <w:tabs>
              <w:tab w:val="right" w:leader="dot" w:pos="9016"/>
            </w:tabs>
            <w:spacing w:line="276" w:lineRule="auto"/>
            <w:rPr>
              <w:noProof/>
            </w:rPr>
          </w:pPr>
          <w:hyperlink w:anchor="_Toc234931853" w:history="1">
            <w:r w:rsidRPr="0058255C">
              <w:rPr>
                <w:rStyle w:val="Hyperlink"/>
                <w:noProof/>
              </w:rPr>
              <w:t>5.5. Vendor and Service Level Agreement (SLA) Management</w:t>
            </w:r>
            <w:r w:rsidRPr="0058255C">
              <w:rPr>
                <w:noProof/>
                <w:webHidden/>
              </w:rPr>
              <w:tab/>
            </w:r>
            <w:r w:rsidRPr="0058255C">
              <w:rPr>
                <w:noProof/>
                <w:webHidden/>
              </w:rPr>
              <w:fldChar w:fldCharType="begin"/>
            </w:r>
            <w:r w:rsidRPr="0058255C">
              <w:rPr>
                <w:noProof/>
                <w:webHidden/>
              </w:rPr>
              <w:instrText xml:space="preserve"> PAGEREF _Toc234931853 \h </w:instrText>
            </w:r>
            <w:r w:rsidRPr="0058255C">
              <w:rPr>
                <w:noProof/>
                <w:webHidden/>
              </w:rPr>
            </w:r>
            <w:r w:rsidRPr="0058255C">
              <w:rPr>
                <w:noProof/>
                <w:webHidden/>
              </w:rPr>
              <w:fldChar w:fldCharType="separate"/>
            </w:r>
            <w:r w:rsidRPr="0058255C">
              <w:rPr>
                <w:noProof/>
                <w:webHidden/>
              </w:rPr>
              <w:t>9</w:t>
            </w:r>
            <w:r w:rsidRPr="0058255C">
              <w:rPr>
                <w:noProof/>
                <w:webHidden/>
              </w:rPr>
              <w:fldChar w:fldCharType="end"/>
            </w:r>
          </w:hyperlink>
        </w:p>
        <w:p w14:paraId="549A0DFB" w14:textId="77777777" w:rsidR="003A5264" w:rsidRPr="0058255C" w:rsidRDefault="003A5264" w:rsidP="004C49E8">
          <w:pPr>
            <w:pStyle w:val="TOC2"/>
            <w:tabs>
              <w:tab w:val="right" w:leader="dot" w:pos="9016"/>
            </w:tabs>
            <w:spacing w:line="276" w:lineRule="auto"/>
            <w:rPr>
              <w:noProof/>
            </w:rPr>
          </w:pPr>
          <w:hyperlink w:anchor="_Toc234931854" w:history="1">
            <w:r w:rsidRPr="0058255C">
              <w:rPr>
                <w:rStyle w:val="Hyperlink"/>
                <w:noProof/>
              </w:rPr>
              <w:t>5.6. Contingency and Business Continuity</w:t>
            </w:r>
            <w:r w:rsidRPr="0058255C">
              <w:rPr>
                <w:noProof/>
                <w:webHidden/>
              </w:rPr>
              <w:tab/>
            </w:r>
            <w:r w:rsidRPr="0058255C">
              <w:rPr>
                <w:noProof/>
                <w:webHidden/>
              </w:rPr>
              <w:fldChar w:fldCharType="begin"/>
            </w:r>
            <w:r w:rsidRPr="0058255C">
              <w:rPr>
                <w:noProof/>
                <w:webHidden/>
              </w:rPr>
              <w:instrText xml:space="preserve"> PAGEREF _Toc234931854 \h </w:instrText>
            </w:r>
            <w:r w:rsidRPr="0058255C">
              <w:rPr>
                <w:noProof/>
                <w:webHidden/>
              </w:rPr>
            </w:r>
            <w:r w:rsidRPr="0058255C">
              <w:rPr>
                <w:noProof/>
                <w:webHidden/>
              </w:rPr>
              <w:fldChar w:fldCharType="separate"/>
            </w:r>
            <w:r w:rsidRPr="0058255C">
              <w:rPr>
                <w:noProof/>
                <w:webHidden/>
              </w:rPr>
              <w:t>9</w:t>
            </w:r>
            <w:r w:rsidRPr="0058255C">
              <w:rPr>
                <w:noProof/>
                <w:webHidden/>
              </w:rPr>
              <w:fldChar w:fldCharType="end"/>
            </w:r>
          </w:hyperlink>
        </w:p>
        <w:p w14:paraId="35173B6A" w14:textId="77777777" w:rsidR="003A5264" w:rsidRPr="0058255C" w:rsidRDefault="003A5264" w:rsidP="004C49E8">
          <w:pPr>
            <w:pStyle w:val="TOC2"/>
            <w:tabs>
              <w:tab w:val="right" w:leader="dot" w:pos="9016"/>
            </w:tabs>
            <w:spacing w:line="276" w:lineRule="auto"/>
            <w:rPr>
              <w:noProof/>
            </w:rPr>
          </w:pPr>
          <w:hyperlink w:anchor="_Toc234931855" w:history="1">
            <w:r w:rsidRPr="0058255C">
              <w:rPr>
                <w:rStyle w:val="Hyperlink"/>
                <w:noProof/>
              </w:rPr>
              <w:t>5.7. Implementation Roadmap and Control Mapping</w:t>
            </w:r>
            <w:r w:rsidRPr="0058255C">
              <w:rPr>
                <w:noProof/>
                <w:webHidden/>
              </w:rPr>
              <w:tab/>
            </w:r>
            <w:r w:rsidRPr="0058255C">
              <w:rPr>
                <w:noProof/>
                <w:webHidden/>
              </w:rPr>
              <w:fldChar w:fldCharType="begin"/>
            </w:r>
            <w:r w:rsidRPr="0058255C">
              <w:rPr>
                <w:noProof/>
                <w:webHidden/>
              </w:rPr>
              <w:instrText xml:space="preserve"> PAGEREF _Toc234931855 \h </w:instrText>
            </w:r>
            <w:r w:rsidRPr="0058255C">
              <w:rPr>
                <w:noProof/>
                <w:webHidden/>
              </w:rPr>
            </w:r>
            <w:r w:rsidRPr="0058255C">
              <w:rPr>
                <w:noProof/>
                <w:webHidden/>
              </w:rPr>
              <w:fldChar w:fldCharType="separate"/>
            </w:r>
            <w:r w:rsidRPr="0058255C">
              <w:rPr>
                <w:noProof/>
                <w:webHidden/>
              </w:rPr>
              <w:t>9</w:t>
            </w:r>
            <w:r w:rsidRPr="0058255C">
              <w:rPr>
                <w:noProof/>
                <w:webHidden/>
              </w:rPr>
              <w:fldChar w:fldCharType="end"/>
            </w:r>
          </w:hyperlink>
        </w:p>
        <w:p w14:paraId="574F1431" w14:textId="77777777" w:rsidR="003A5264" w:rsidRPr="0058255C" w:rsidRDefault="003A5264" w:rsidP="004C49E8">
          <w:pPr>
            <w:pStyle w:val="TOC1"/>
            <w:tabs>
              <w:tab w:val="right" w:leader="dot" w:pos="9016"/>
            </w:tabs>
            <w:spacing w:line="276" w:lineRule="auto"/>
            <w:rPr>
              <w:noProof/>
            </w:rPr>
          </w:pPr>
          <w:hyperlink w:anchor="_Toc234931856" w:history="1">
            <w:r w:rsidRPr="0058255C">
              <w:rPr>
                <w:rStyle w:val="Hyperlink"/>
                <w:noProof/>
              </w:rPr>
              <w:t>6. Continuous Updates to Regulations and Standards</w:t>
            </w:r>
            <w:r w:rsidRPr="0058255C">
              <w:rPr>
                <w:noProof/>
                <w:webHidden/>
              </w:rPr>
              <w:tab/>
            </w:r>
            <w:r w:rsidRPr="0058255C">
              <w:rPr>
                <w:noProof/>
                <w:webHidden/>
              </w:rPr>
              <w:fldChar w:fldCharType="begin"/>
            </w:r>
            <w:r w:rsidRPr="0058255C">
              <w:rPr>
                <w:noProof/>
                <w:webHidden/>
              </w:rPr>
              <w:instrText xml:space="preserve"> PAGEREF _Toc234931856 \h </w:instrText>
            </w:r>
            <w:r w:rsidRPr="0058255C">
              <w:rPr>
                <w:noProof/>
                <w:webHidden/>
              </w:rPr>
            </w:r>
            <w:r w:rsidRPr="0058255C">
              <w:rPr>
                <w:noProof/>
                <w:webHidden/>
              </w:rPr>
              <w:fldChar w:fldCharType="separate"/>
            </w:r>
            <w:r w:rsidRPr="0058255C">
              <w:rPr>
                <w:noProof/>
                <w:webHidden/>
              </w:rPr>
              <w:t>10</w:t>
            </w:r>
            <w:r w:rsidRPr="0058255C">
              <w:rPr>
                <w:noProof/>
                <w:webHidden/>
              </w:rPr>
              <w:fldChar w:fldCharType="end"/>
            </w:r>
          </w:hyperlink>
        </w:p>
        <w:p w14:paraId="0FC68EF8" w14:textId="77777777" w:rsidR="003A5264" w:rsidRPr="0058255C" w:rsidRDefault="003A5264" w:rsidP="004C49E8">
          <w:pPr>
            <w:pStyle w:val="TOC2"/>
            <w:tabs>
              <w:tab w:val="right" w:leader="dot" w:pos="9016"/>
            </w:tabs>
            <w:spacing w:line="276" w:lineRule="auto"/>
            <w:rPr>
              <w:noProof/>
            </w:rPr>
          </w:pPr>
          <w:hyperlink w:anchor="_Toc234931857" w:history="1">
            <w:r w:rsidRPr="0058255C">
              <w:rPr>
                <w:rStyle w:val="Hyperlink"/>
                <w:noProof/>
              </w:rPr>
              <w:t>6.1. The Inadequacy of Static Audits</w:t>
            </w:r>
            <w:r w:rsidRPr="0058255C">
              <w:rPr>
                <w:noProof/>
                <w:webHidden/>
              </w:rPr>
              <w:tab/>
            </w:r>
            <w:r w:rsidRPr="0058255C">
              <w:rPr>
                <w:noProof/>
                <w:webHidden/>
              </w:rPr>
              <w:fldChar w:fldCharType="begin"/>
            </w:r>
            <w:r w:rsidRPr="0058255C">
              <w:rPr>
                <w:noProof/>
                <w:webHidden/>
              </w:rPr>
              <w:instrText xml:space="preserve"> PAGEREF _Toc234931857 \h </w:instrText>
            </w:r>
            <w:r w:rsidRPr="0058255C">
              <w:rPr>
                <w:noProof/>
                <w:webHidden/>
              </w:rPr>
            </w:r>
            <w:r w:rsidRPr="0058255C">
              <w:rPr>
                <w:noProof/>
                <w:webHidden/>
              </w:rPr>
              <w:fldChar w:fldCharType="separate"/>
            </w:r>
            <w:r w:rsidRPr="0058255C">
              <w:rPr>
                <w:noProof/>
                <w:webHidden/>
              </w:rPr>
              <w:t>10</w:t>
            </w:r>
            <w:r w:rsidRPr="0058255C">
              <w:rPr>
                <w:noProof/>
                <w:webHidden/>
              </w:rPr>
              <w:fldChar w:fldCharType="end"/>
            </w:r>
          </w:hyperlink>
        </w:p>
        <w:p w14:paraId="4F677A8A" w14:textId="77777777" w:rsidR="003A5264" w:rsidRPr="0058255C" w:rsidRDefault="003A5264" w:rsidP="004C49E8">
          <w:pPr>
            <w:pStyle w:val="TOC2"/>
            <w:tabs>
              <w:tab w:val="right" w:leader="dot" w:pos="9016"/>
            </w:tabs>
            <w:spacing w:line="276" w:lineRule="auto"/>
            <w:rPr>
              <w:noProof/>
            </w:rPr>
          </w:pPr>
          <w:hyperlink w:anchor="_Toc234931858" w:history="1">
            <w:r w:rsidRPr="0058255C">
              <w:rPr>
                <w:rStyle w:val="Hyperlink"/>
                <w:noProof/>
              </w:rPr>
              <w:t>6.2. The Impact of Emerging Technologies and Evolving Threats</w:t>
            </w:r>
            <w:r w:rsidRPr="0058255C">
              <w:rPr>
                <w:noProof/>
                <w:webHidden/>
              </w:rPr>
              <w:tab/>
            </w:r>
            <w:r w:rsidRPr="0058255C">
              <w:rPr>
                <w:noProof/>
                <w:webHidden/>
              </w:rPr>
              <w:fldChar w:fldCharType="begin"/>
            </w:r>
            <w:r w:rsidRPr="0058255C">
              <w:rPr>
                <w:noProof/>
                <w:webHidden/>
              </w:rPr>
              <w:instrText xml:space="preserve"> PAGEREF _Toc234931858 \h </w:instrText>
            </w:r>
            <w:r w:rsidRPr="0058255C">
              <w:rPr>
                <w:noProof/>
                <w:webHidden/>
              </w:rPr>
            </w:r>
            <w:r w:rsidRPr="0058255C">
              <w:rPr>
                <w:noProof/>
                <w:webHidden/>
              </w:rPr>
              <w:fldChar w:fldCharType="separate"/>
            </w:r>
            <w:r w:rsidRPr="0058255C">
              <w:rPr>
                <w:noProof/>
                <w:webHidden/>
              </w:rPr>
              <w:t>11</w:t>
            </w:r>
            <w:r w:rsidRPr="0058255C">
              <w:rPr>
                <w:noProof/>
                <w:webHidden/>
              </w:rPr>
              <w:fldChar w:fldCharType="end"/>
            </w:r>
          </w:hyperlink>
        </w:p>
        <w:p w14:paraId="4FD4CDAF" w14:textId="77777777" w:rsidR="003A5264" w:rsidRPr="0058255C" w:rsidRDefault="003A5264" w:rsidP="004C49E8">
          <w:pPr>
            <w:pStyle w:val="TOC2"/>
            <w:tabs>
              <w:tab w:val="right" w:leader="dot" w:pos="9016"/>
            </w:tabs>
            <w:spacing w:line="276" w:lineRule="auto"/>
            <w:rPr>
              <w:noProof/>
            </w:rPr>
          </w:pPr>
          <w:hyperlink w:anchor="_Toc234931859" w:history="1">
            <w:r w:rsidRPr="0058255C">
              <w:rPr>
                <w:rStyle w:val="Hyperlink"/>
                <w:noProof/>
              </w:rPr>
              <w:t>6.3. Continuous Monitoring and Framework Alignment</w:t>
            </w:r>
            <w:r w:rsidRPr="0058255C">
              <w:rPr>
                <w:noProof/>
                <w:webHidden/>
              </w:rPr>
              <w:tab/>
            </w:r>
            <w:r w:rsidRPr="0058255C">
              <w:rPr>
                <w:noProof/>
                <w:webHidden/>
              </w:rPr>
              <w:fldChar w:fldCharType="begin"/>
            </w:r>
            <w:r w:rsidRPr="0058255C">
              <w:rPr>
                <w:noProof/>
                <w:webHidden/>
              </w:rPr>
              <w:instrText xml:space="preserve"> PAGEREF _Toc234931859 \h </w:instrText>
            </w:r>
            <w:r w:rsidRPr="0058255C">
              <w:rPr>
                <w:noProof/>
                <w:webHidden/>
              </w:rPr>
            </w:r>
            <w:r w:rsidRPr="0058255C">
              <w:rPr>
                <w:noProof/>
                <w:webHidden/>
              </w:rPr>
              <w:fldChar w:fldCharType="separate"/>
            </w:r>
            <w:r w:rsidRPr="0058255C">
              <w:rPr>
                <w:noProof/>
                <w:webHidden/>
              </w:rPr>
              <w:t>11</w:t>
            </w:r>
            <w:r w:rsidRPr="0058255C">
              <w:rPr>
                <w:noProof/>
                <w:webHidden/>
              </w:rPr>
              <w:fldChar w:fldCharType="end"/>
            </w:r>
          </w:hyperlink>
        </w:p>
        <w:p w14:paraId="31E38C57" w14:textId="77777777" w:rsidR="003A5264" w:rsidRPr="0058255C" w:rsidRDefault="003A5264" w:rsidP="004C49E8">
          <w:pPr>
            <w:pStyle w:val="TOC1"/>
            <w:tabs>
              <w:tab w:val="right" w:leader="dot" w:pos="9016"/>
            </w:tabs>
            <w:spacing w:line="276" w:lineRule="auto"/>
            <w:rPr>
              <w:noProof/>
            </w:rPr>
          </w:pPr>
          <w:hyperlink w:anchor="_Toc234931860" w:history="1">
            <w:r w:rsidRPr="0058255C">
              <w:rPr>
                <w:rStyle w:val="Hyperlink"/>
                <w:noProof/>
              </w:rPr>
              <w:t>7. Conclusion</w:t>
            </w:r>
            <w:r w:rsidRPr="0058255C">
              <w:rPr>
                <w:noProof/>
                <w:webHidden/>
              </w:rPr>
              <w:tab/>
            </w:r>
            <w:r w:rsidRPr="0058255C">
              <w:rPr>
                <w:noProof/>
                <w:webHidden/>
              </w:rPr>
              <w:fldChar w:fldCharType="begin"/>
            </w:r>
            <w:r w:rsidRPr="0058255C">
              <w:rPr>
                <w:noProof/>
                <w:webHidden/>
              </w:rPr>
              <w:instrText xml:space="preserve"> PAGEREF _Toc234931860 \h </w:instrText>
            </w:r>
            <w:r w:rsidRPr="0058255C">
              <w:rPr>
                <w:noProof/>
                <w:webHidden/>
              </w:rPr>
            </w:r>
            <w:r w:rsidRPr="0058255C">
              <w:rPr>
                <w:noProof/>
                <w:webHidden/>
              </w:rPr>
              <w:fldChar w:fldCharType="separate"/>
            </w:r>
            <w:r w:rsidRPr="0058255C">
              <w:rPr>
                <w:noProof/>
                <w:webHidden/>
              </w:rPr>
              <w:t>12</w:t>
            </w:r>
            <w:r w:rsidRPr="0058255C">
              <w:rPr>
                <w:noProof/>
                <w:webHidden/>
              </w:rPr>
              <w:fldChar w:fldCharType="end"/>
            </w:r>
          </w:hyperlink>
        </w:p>
        <w:p w14:paraId="018BB050" w14:textId="77777777" w:rsidR="003A5264" w:rsidRPr="0058255C" w:rsidRDefault="003A5264" w:rsidP="004C49E8">
          <w:pPr>
            <w:pStyle w:val="TOC1"/>
            <w:tabs>
              <w:tab w:val="right" w:leader="dot" w:pos="9016"/>
            </w:tabs>
            <w:spacing w:line="276" w:lineRule="auto"/>
            <w:rPr>
              <w:noProof/>
            </w:rPr>
          </w:pPr>
          <w:hyperlink w:anchor="_Toc234931861" w:history="1">
            <w:r w:rsidRPr="0058255C">
              <w:rPr>
                <w:rStyle w:val="Hyperlink"/>
                <w:noProof/>
              </w:rPr>
              <w:t>References</w:t>
            </w:r>
            <w:r w:rsidRPr="0058255C">
              <w:rPr>
                <w:noProof/>
                <w:webHidden/>
              </w:rPr>
              <w:tab/>
            </w:r>
            <w:r w:rsidRPr="0058255C">
              <w:rPr>
                <w:noProof/>
                <w:webHidden/>
              </w:rPr>
              <w:fldChar w:fldCharType="begin"/>
            </w:r>
            <w:r w:rsidRPr="0058255C">
              <w:rPr>
                <w:noProof/>
                <w:webHidden/>
              </w:rPr>
              <w:instrText xml:space="preserve"> PAGEREF _Toc234931861 \h </w:instrText>
            </w:r>
            <w:r w:rsidRPr="0058255C">
              <w:rPr>
                <w:noProof/>
                <w:webHidden/>
              </w:rPr>
            </w:r>
            <w:r w:rsidRPr="0058255C">
              <w:rPr>
                <w:noProof/>
                <w:webHidden/>
              </w:rPr>
              <w:fldChar w:fldCharType="separate"/>
            </w:r>
            <w:r w:rsidRPr="0058255C">
              <w:rPr>
                <w:noProof/>
                <w:webHidden/>
              </w:rPr>
              <w:t>13</w:t>
            </w:r>
            <w:r w:rsidRPr="0058255C">
              <w:rPr>
                <w:noProof/>
                <w:webHidden/>
              </w:rPr>
              <w:fldChar w:fldCharType="end"/>
            </w:r>
          </w:hyperlink>
        </w:p>
        <w:p w14:paraId="66F7A435" w14:textId="77777777" w:rsidR="003A5264" w:rsidRPr="0058255C" w:rsidRDefault="00000000" w:rsidP="004C49E8">
          <w:pPr>
            <w:spacing w:line="276" w:lineRule="auto"/>
          </w:pPr>
          <w:r w:rsidRPr="0058255C">
            <w:rPr>
              <w:b/>
              <w:bCs/>
              <w:noProof/>
            </w:rPr>
            <w:fldChar w:fldCharType="end"/>
          </w:r>
        </w:p>
      </w:sdtContent>
    </w:sdt>
    <w:p w14:paraId="45637978" w14:textId="77777777" w:rsidR="003A5264" w:rsidRPr="0058255C" w:rsidRDefault="00000000" w:rsidP="004C49E8">
      <w:pPr>
        <w:spacing w:line="276" w:lineRule="auto"/>
        <w:jc w:val="left"/>
        <w:rPr>
          <w:rFonts w:eastAsiaTheme="majorEastAsia" w:cstheme="majorBidi"/>
          <w:b/>
          <w:sz w:val="28"/>
          <w:szCs w:val="40"/>
        </w:rPr>
      </w:pPr>
      <w:r w:rsidRPr="0058255C">
        <w:br w:type="page"/>
      </w:r>
    </w:p>
    <w:p w14:paraId="1437CB56" w14:textId="77777777" w:rsidR="006D6268" w:rsidRPr="0058255C" w:rsidRDefault="00000000" w:rsidP="004C49E8">
      <w:pPr>
        <w:pStyle w:val="Heading1"/>
        <w:spacing w:line="276" w:lineRule="auto"/>
      </w:pPr>
      <w:bookmarkStart w:id="0" w:name="_Toc234931839"/>
      <w:r w:rsidRPr="0058255C">
        <w:t>1. Introduction</w:t>
      </w:r>
      <w:bookmarkEnd w:id="0"/>
    </w:p>
    <w:p w14:paraId="3B805472" w14:textId="1C052DB0" w:rsidR="00820825" w:rsidRPr="0058255C" w:rsidRDefault="00000000" w:rsidP="00820825">
      <w:pPr>
        <w:spacing w:line="276" w:lineRule="auto"/>
      </w:pPr>
      <w:r w:rsidRPr="0058255C">
        <w:t xml:space="preserve">Due to accelerated digital transformation in the world's supply chains, </w:t>
      </w:r>
      <w:r w:rsidR="0048364C" w:rsidRPr="0058255C">
        <w:t>it</w:t>
      </w:r>
      <w:r w:rsidRPr="0058255C">
        <w:t xml:space="preserve"> has resulted in a proliferation of the corporate cyber-attack surface on a global scale. </w:t>
      </w:r>
      <w:proofErr w:type="spellStart"/>
      <w:r w:rsidRPr="0058255C">
        <w:t>AeroLink</w:t>
      </w:r>
      <w:proofErr w:type="spellEnd"/>
      <w:r w:rsidRPr="0058255C">
        <w:t xml:space="preserve"> Logistics (ALL), one of the best examples of this transformation is a global company that serves the supply chain and logistics for worldwide operations via innovative technology including cloud-based systems, IoT (Internet of Things) tracking sensors and evaluation by Artificial Intelligence (AI) to streamline the logistics of its worldwide operations. These modern versions are fast and good to expectations due to real time distribution tracking, and frustratingly complex in others due to vectors of vulnerability. The fact that approximately 88</w:t>
      </w:r>
      <w:r w:rsidR="006D12D1" w:rsidRPr="0058255C">
        <w:t>%</w:t>
      </w:r>
      <w:r w:rsidRPr="0058255C">
        <w:t xml:space="preserve"> of ALL's critical IT infrastructure, including its most sensitive information and data, is outsourced via Infrastructure-as-a-Service (IaaS) and Software-as-a-Service (SaaS), makes this situation even worse. </w:t>
      </w:r>
    </w:p>
    <w:p w14:paraId="453467B7" w14:textId="090335EE" w:rsidR="00820825" w:rsidRPr="0058255C" w:rsidRDefault="00000000" w:rsidP="00820825">
      <w:pPr>
        <w:spacing w:line="276" w:lineRule="auto"/>
      </w:pPr>
      <w:r w:rsidRPr="0058255C">
        <w:t>These exposures of a system insecurely operating sequentially to each other have lately been seen in high-profile security breaches, and members of the decentralised system have secure access to actual customer shipping records, and the customers' Personally Identifiable Information (PII) was revealed.</w:t>
      </w:r>
    </w:p>
    <w:p w14:paraId="067BAA35" w14:textId="77777777" w:rsidR="006D6268" w:rsidRPr="0058255C" w:rsidRDefault="00000000" w:rsidP="00820825">
      <w:pPr>
        <w:spacing w:line="276" w:lineRule="auto"/>
      </w:pPr>
      <w:r w:rsidRPr="0058255C">
        <w:t xml:space="preserve">In this context, the aim of the strategic report is to deb ultrasound each model of international Information Security (IS) frameworks (historic, NIST CSF 2.0, ISO/IEC 27001 and COBIT 2019 and ITIL 4) and understand the implications of their application in the ALL environment to identify a hybrid framework that fits their needs and requirements and is aligned to the different models. This report sets out to define and delineate an appropriate trajectory towards full alignment of ALL's security program with the current governance mandate, formalisation of the Data Protection regulatory mandate (including GDPR), and mitigation of potential risks in the supply chain from third parties' interactions. </w:t>
      </w:r>
    </w:p>
    <w:p w14:paraId="513D54BF" w14:textId="77777777" w:rsidR="006D6268" w:rsidRPr="0058255C" w:rsidRDefault="00000000" w:rsidP="00560D29">
      <w:pPr>
        <w:pStyle w:val="Heading1"/>
        <w:spacing w:line="276" w:lineRule="auto"/>
      </w:pPr>
      <w:bookmarkStart w:id="1" w:name="_Toc234931840"/>
      <w:r w:rsidRPr="0058255C">
        <w:t>2. Assumptions</w:t>
      </w:r>
      <w:bookmarkEnd w:id="1"/>
      <w:r w:rsidR="002F17EE" w:rsidRPr="0058255C">
        <w:t xml:space="preserve"> </w:t>
      </w:r>
      <w:r w:rsidRPr="0058255C">
        <w:t xml:space="preserve"> </w:t>
      </w:r>
    </w:p>
    <w:p w14:paraId="38E904A5" w14:textId="77777777" w:rsidR="000B1CFF" w:rsidRPr="0058255C" w:rsidRDefault="00000000" w:rsidP="000B1CFF">
      <w:pPr>
        <w:spacing w:line="276" w:lineRule="auto"/>
      </w:pPr>
      <w:r w:rsidRPr="0058255C">
        <w:t xml:space="preserve">To define the context of a proposed security architecture, several assumptions about the context of </w:t>
      </w:r>
      <w:proofErr w:type="spellStart"/>
      <w:r w:rsidRPr="0058255C">
        <w:t>AeroLink</w:t>
      </w:r>
      <w:proofErr w:type="spellEnd"/>
      <w:r w:rsidRPr="0058255C">
        <w:t xml:space="preserve"> Logistics (ALL) operations need to be defined: </w:t>
      </w:r>
    </w:p>
    <w:p w14:paraId="5E63FEF0" w14:textId="77777777" w:rsidR="000B1CFF" w:rsidRPr="0058255C" w:rsidRDefault="00000000" w:rsidP="00560D29">
      <w:pPr>
        <w:pStyle w:val="ListParagraph"/>
        <w:numPr>
          <w:ilvl w:val="0"/>
          <w:numId w:val="11"/>
        </w:numPr>
        <w:spacing w:line="276" w:lineRule="auto"/>
      </w:pPr>
      <w:r w:rsidRPr="0058255C">
        <w:rPr>
          <w:b/>
          <w:bCs/>
        </w:rPr>
        <w:t xml:space="preserve">Organisational Size and Budget: </w:t>
      </w:r>
      <w:r w:rsidRPr="0058255C">
        <w:t xml:space="preserve">All of them count as large, multinational organisations that have various nodes in the chain, and have a limited, moderate security budget, which requires that security spending be risk-driven and cost efficient. </w:t>
      </w:r>
    </w:p>
    <w:p w14:paraId="3D382497" w14:textId="77777777" w:rsidR="000B1CFF" w:rsidRPr="0058255C" w:rsidRDefault="00000000" w:rsidP="00560D29">
      <w:pPr>
        <w:pStyle w:val="ListParagraph"/>
        <w:numPr>
          <w:ilvl w:val="0"/>
          <w:numId w:val="11"/>
        </w:numPr>
        <w:spacing w:line="276" w:lineRule="auto"/>
      </w:pPr>
      <w:r w:rsidRPr="0058255C">
        <w:rPr>
          <w:b/>
          <w:bCs/>
        </w:rPr>
        <w:t>Security Maturity</w:t>
      </w:r>
      <w:r w:rsidRPr="0058255C">
        <w:t xml:space="preserve">: The present security maturity level is LOW due to the lack of common technical security control mechanisms, non-existent policies documented in the organisation, and lack of coordination between departments. </w:t>
      </w:r>
    </w:p>
    <w:p w14:paraId="2DE081CF" w14:textId="77777777" w:rsidR="000B1CFF" w:rsidRPr="0058255C" w:rsidRDefault="00000000" w:rsidP="00560D29">
      <w:pPr>
        <w:pStyle w:val="ListParagraph"/>
        <w:numPr>
          <w:ilvl w:val="0"/>
          <w:numId w:val="11"/>
        </w:numPr>
        <w:spacing w:line="276" w:lineRule="auto"/>
      </w:pPr>
      <w:r w:rsidRPr="0058255C">
        <w:rPr>
          <w:b/>
          <w:bCs/>
        </w:rPr>
        <w:t>Outsourced Infrastructure:</w:t>
      </w:r>
      <w:r w:rsidRPr="0058255C">
        <w:t xml:space="preserve"> ALL doesn't have physical control of its primary data infrastructure, which is assumed with 88% of all IT systems using an IaaS/SaaS stack, so the primary, effective control approach is the contract-driven third-party governance. </w:t>
      </w:r>
    </w:p>
    <w:p w14:paraId="18E0AA95" w14:textId="77777777" w:rsidR="000B1CFF" w:rsidRPr="0058255C" w:rsidRDefault="00000000" w:rsidP="00560D29">
      <w:pPr>
        <w:pStyle w:val="ListParagraph"/>
        <w:numPr>
          <w:ilvl w:val="0"/>
          <w:numId w:val="11"/>
        </w:numPr>
        <w:spacing w:line="276" w:lineRule="auto"/>
      </w:pPr>
      <w:r w:rsidRPr="0058255C">
        <w:rPr>
          <w:b/>
          <w:bCs/>
        </w:rPr>
        <w:t>Regulatory Environment:</w:t>
      </w:r>
      <w:r w:rsidRPr="0058255C">
        <w:t xml:space="preserve"> Assuming that ALL is a company managing distribution networks worldwide, it is assumed that the company processes citizen data from the EU and/or UK, and compliance obligations will apply to this under the General Data Protection Regulation (GDPR), in addition to the data sovereignty laws of countries along the supply chain.</w:t>
      </w:r>
    </w:p>
    <w:p w14:paraId="2561EFCA" w14:textId="1131C792" w:rsidR="001D2C60" w:rsidRPr="0058255C" w:rsidRDefault="001D2C60" w:rsidP="001D2C60">
      <w:pPr>
        <w:pStyle w:val="Heading2"/>
      </w:pPr>
      <w:r w:rsidRPr="0058255C">
        <w:t>2.1 Methodology</w:t>
      </w:r>
    </w:p>
    <w:p w14:paraId="74503E02" w14:textId="6D603F1F" w:rsidR="00DA40BC" w:rsidRPr="0058255C" w:rsidRDefault="00DA40BC" w:rsidP="00DA40BC">
      <w:pPr>
        <w:spacing w:line="276" w:lineRule="auto"/>
      </w:pPr>
      <w:r w:rsidRPr="0058255C">
        <w:t xml:space="preserve">The current report employs a qualitative scenario analysis approach. Instead of gathering primary quantitative data, the report analyzes the cyber security issues presented in the </w:t>
      </w:r>
      <w:proofErr w:type="spellStart"/>
      <w:r w:rsidRPr="0058255C">
        <w:t>AeroLink</w:t>
      </w:r>
      <w:proofErr w:type="spellEnd"/>
      <w:r w:rsidRPr="0058255C">
        <w:t xml:space="preserve"> Logistics case study by comparing the recognized frameworks for information security governance such as COBIT 2019, NIST CSF 2.0, ISO/IEC 27001, and ITIL 4.</w:t>
      </w:r>
    </w:p>
    <w:p w14:paraId="7DFCDB6F" w14:textId="77777777" w:rsidR="006D6268" w:rsidRPr="0058255C" w:rsidRDefault="00000000" w:rsidP="004C49E8">
      <w:pPr>
        <w:pStyle w:val="Heading1"/>
        <w:spacing w:line="276" w:lineRule="auto"/>
      </w:pPr>
      <w:bookmarkStart w:id="2" w:name="_Toc234931841"/>
      <w:r w:rsidRPr="0058255C">
        <w:t>3. Case Problem Analysis</w:t>
      </w:r>
      <w:bookmarkEnd w:id="2"/>
    </w:p>
    <w:p w14:paraId="687B3233" w14:textId="12C57AC2" w:rsidR="0038368E" w:rsidRPr="0058255C" w:rsidRDefault="00000000" w:rsidP="004C49E8">
      <w:pPr>
        <w:spacing w:line="276" w:lineRule="auto"/>
      </w:pPr>
      <w:r w:rsidRPr="0058255C">
        <w:t xml:space="preserve">One critical area of misalignment in the business lives with </w:t>
      </w:r>
      <w:proofErr w:type="spellStart"/>
      <w:r w:rsidRPr="0058255C">
        <w:t>AeroLink</w:t>
      </w:r>
      <w:proofErr w:type="spellEnd"/>
      <w:r w:rsidRPr="0058255C">
        <w:t xml:space="preserve"> Logistics (ALL) and is its approach to information technology (IT) security that has failed to keep up with its fast pace of growth. The recent leaks of Personally Identifiable Information (PII) and client shipment information are not simply one-off technical errors, but indicators of fundamental, systemic issues around governance, compliance and vendor management.</w:t>
      </w:r>
    </w:p>
    <w:p w14:paraId="5941B88D" w14:textId="372D2228" w:rsidR="0038368E" w:rsidRPr="0058255C" w:rsidRDefault="00000000" w:rsidP="004C49E8">
      <w:pPr>
        <w:pStyle w:val="Heading2"/>
        <w:spacing w:line="276" w:lineRule="auto"/>
      </w:pPr>
      <w:bookmarkStart w:id="3" w:name="_Toc234931842"/>
      <w:r w:rsidRPr="0058255C">
        <w:t>3.1 Vulnerability Categorisation</w:t>
      </w:r>
      <w:bookmarkEnd w:id="3"/>
    </w:p>
    <w:p w14:paraId="4951D3E3" w14:textId="77777777" w:rsidR="0038368E" w:rsidRPr="0058255C" w:rsidRDefault="00000000" w:rsidP="004C49E8">
      <w:pPr>
        <w:spacing w:line="276" w:lineRule="auto"/>
      </w:pPr>
      <w:r w:rsidRPr="0058255C">
        <w:t xml:space="preserve">The next table summarises ALL's primary weaknesses in areas of operation, including the issues identified and the risk concerns: </w:t>
      </w:r>
    </w:p>
    <w:tbl>
      <w:tblPr>
        <w:tblStyle w:val="GridTable2-Accent1"/>
        <w:tblW w:w="0" w:type="auto"/>
        <w:tblLook w:val="04A0" w:firstRow="1" w:lastRow="0" w:firstColumn="1" w:lastColumn="0" w:noHBand="0" w:noVBand="1"/>
      </w:tblPr>
      <w:tblGrid>
        <w:gridCol w:w="1924"/>
        <w:gridCol w:w="3150"/>
        <w:gridCol w:w="3952"/>
      </w:tblGrid>
      <w:tr w:rsidR="00614C61" w:rsidRPr="0058255C" w14:paraId="1AF64FD2" w14:textId="77777777" w:rsidTr="00614C6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33A7D0F" w14:textId="77777777" w:rsidR="0038368E" w:rsidRPr="0058255C" w:rsidRDefault="00000000" w:rsidP="004C49E8">
            <w:pPr>
              <w:spacing w:after="160" w:line="276" w:lineRule="auto"/>
            </w:pPr>
            <w:r w:rsidRPr="0058255C">
              <w:t>Problem Area</w:t>
            </w:r>
          </w:p>
        </w:tc>
        <w:tc>
          <w:tcPr>
            <w:tcW w:w="0" w:type="auto"/>
            <w:hideMark/>
          </w:tcPr>
          <w:p w14:paraId="55DCA13C" w14:textId="77777777" w:rsidR="0038368E" w:rsidRPr="0058255C" w:rsidRDefault="00000000" w:rsidP="004C49E8">
            <w:pPr>
              <w:spacing w:after="160" w:line="276" w:lineRule="auto"/>
              <w:cnfStyle w:val="100000000000" w:firstRow="1" w:lastRow="0" w:firstColumn="0" w:lastColumn="0" w:oddVBand="0" w:evenVBand="0" w:oddHBand="0" w:evenHBand="0" w:firstRowFirstColumn="0" w:firstRowLastColumn="0" w:lastRowFirstColumn="0" w:lastRowLastColumn="0"/>
            </w:pPr>
            <w:proofErr w:type="spellStart"/>
            <w:r w:rsidRPr="0058255C">
              <w:t>AeroLink</w:t>
            </w:r>
            <w:proofErr w:type="spellEnd"/>
            <w:r w:rsidRPr="0058255C">
              <w:t xml:space="preserve"> Issue</w:t>
            </w:r>
          </w:p>
        </w:tc>
        <w:tc>
          <w:tcPr>
            <w:tcW w:w="0" w:type="auto"/>
            <w:hideMark/>
          </w:tcPr>
          <w:p w14:paraId="0C224D26" w14:textId="77777777" w:rsidR="0038368E" w:rsidRPr="0058255C" w:rsidRDefault="00000000" w:rsidP="004C49E8">
            <w:pPr>
              <w:spacing w:after="160" w:line="276" w:lineRule="auto"/>
              <w:cnfStyle w:val="100000000000" w:firstRow="1" w:lastRow="0" w:firstColumn="0" w:lastColumn="0" w:oddVBand="0" w:evenVBand="0" w:oddHBand="0" w:evenHBand="0" w:firstRowFirstColumn="0" w:firstRowLastColumn="0" w:lastRowFirstColumn="0" w:lastRowLastColumn="0"/>
            </w:pPr>
            <w:r w:rsidRPr="0058255C">
              <w:t>Risk Created</w:t>
            </w:r>
          </w:p>
        </w:tc>
      </w:tr>
      <w:tr w:rsidR="00614C61" w:rsidRPr="0058255C" w14:paraId="7123E143" w14:textId="77777777" w:rsidTr="00614C6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660FAC9" w14:textId="77777777" w:rsidR="00731C2C" w:rsidRPr="0058255C" w:rsidRDefault="00000000" w:rsidP="00731C2C">
            <w:pPr>
              <w:spacing w:after="160" w:line="276" w:lineRule="auto"/>
            </w:pPr>
            <w:r w:rsidRPr="0058255C">
              <w:t>Governance</w:t>
            </w:r>
          </w:p>
        </w:tc>
        <w:tc>
          <w:tcPr>
            <w:tcW w:w="0" w:type="auto"/>
            <w:hideMark/>
          </w:tcPr>
          <w:p w14:paraId="0181E683" w14:textId="77777777" w:rsidR="00731C2C" w:rsidRPr="0058255C" w:rsidRDefault="00000000" w:rsidP="00731C2C">
            <w:pPr>
              <w:spacing w:after="160" w:line="276" w:lineRule="auto"/>
              <w:cnfStyle w:val="000000100000" w:firstRow="0" w:lastRow="0" w:firstColumn="0" w:lastColumn="0" w:oddVBand="0" w:evenVBand="0" w:oddHBand="1" w:evenHBand="0" w:firstRowFirstColumn="0" w:firstRowLastColumn="0" w:lastRowFirstColumn="0" w:lastRowLastColumn="0"/>
            </w:pPr>
            <w:r w:rsidRPr="0058255C">
              <w:t xml:space="preserve">Lack of an overall security structure and undefined security roles. </w:t>
            </w:r>
          </w:p>
        </w:tc>
        <w:tc>
          <w:tcPr>
            <w:tcW w:w="0" w:type="auto"/>
            <w:hideMark/>
          </w:tcPr>
          <w:p w14:paraId="6F74DBDF" w14:textId="77777777" w:rsidR="00731C2C" w:rsidRPr="0058255C" w:rsidRDefault="00000000" w:rsidP="00731C2C">
            <w:pPr>
              <w:spacing w:after="160" w:line="276" w:lineRule="auto"/>
              <w:cnfStyle w:val="000000100000" w:firstRow="0" w:lastRow="0" w:firstColumn="0" w:lastColumn="0" w:oddVBand="0" w:evenVBand="0" w:oddHBand="1" w:evenHBand="0" w:firstRowFirstColumn="0" w:firstRowLastColumn="0" w:lastRowFirstColumn="0" w:lastRowLastColumn="0"/>
            </w:pPr>
            <w:r w:rsidRPr="0058255C">
              <w:t xml:space="preserve">Leadership vacuum that has no accountability, which impedes strategic decision making, and which has not been able to force implementation of security standards. </w:t>
            </w:r>
          </w:p>
        </w:tc>
      </w:tr>
      <w:tr w:rsidR="00614C61" w:rsidRPr="0058255C" w14:paraId="4DB639D7" w14:textId="77777777" w:rsidTr="00614C61">
        <w:tc>
          <w:tcPr>
            <w:cnfStyle w:val="001000000000" w:firstRow="0" w:lastRow="0" w:firstColumn="1" w:lastColumn="0" w:oddVBand="0" w:evenVBand="0" w:oddHBand="0" w:evenHBand="0" w:firstRowFirstColumn="0" w:firstRowLastColumn="0" w:lastRowFirstColumn="0" w:lastRowLastColumn="0"/>
            <w:tcW w:w="0" w:type="auto"/>
            <w:hideMark/>
          </w:tcPr>
          <w:p w14:paraId="0885B843" w14:textId="77777777" w:rsidR="00731C2C" w:rsidRPr="0058255C" w:rsidRDefault="00000000" w:rsidP="00731C2C">
            <w:pPr>
              <w:spacing w:after="160" w:line="276" w:lineRule="auto"/>
            </w:pPr>
            <w:r w:rsidRPr="0058255C">
              <w:t>Compliance</w:t>
            </w:r>
          </w:p>
        </w:tc>
        <w:tc>
          <w:tcPr>
            <w:tcW w:w="0" w:type="auto"/>
            <w:hideMark/>
          </w:tcPr>
          <w:p w14:paraId="0CFA8BA1" w14:textId="77777777" w:rsidR="00731C2C" w:rsidRPr="0058255C" w:rsidRDefault="00000000" w:rsidP="00731C2C">
            <w:pPr>
              <w:spacing w:after="160" w:line="276" w:lineRule="auto"/>
              <w:cnfStyle w:val="000000000000" w:firstRow="0" w:lastRow="0" w:firstColumn="0" w:lastColumn="0" w:oddVBand="0" w:evenVBand="0" w:oddHBand="0" w:evenHBand="0" w:firstRowFirstColumn="0" w:firstRowLastColumn="0" w:lastRowFirstColumn="0" w:lastRowLastColumn="0"/>
            </w:pPr>
            <w:r w:rsidRPr="0058255C">
              <w:t xml:space="preserve">The lack of a structured regime of formal, periodic audits against well-known standards such as GDPR and ISO/IEC 27001. </w:t>
            </w:r>
          </w:p>
        </w:tc>
        <w:tc>
          <w:tcPr>
            <w:tcW w:w="0" w:type="auto"/>
            <w:hideMark/>
          </w:tcPr>
          <w:p w14:paraId="02CB5631" w14:textId="77777777" w:rsidR="00731C2C" w:rsidRPr="0058255C" w:rsidRDefault="00000000" w:rsidP="00731C2C">
            <w:pPr>
              <w:spacing w:after="160" w:line="276" w:lineRule="auto"/>
              <w:cnfStyle w:val="000000000000" w:firstRow="0" w:lastRow="0" w:firstColumn="0" w:lastColumn="0" w:oddVBand="0" w:evenVBand="0" w:oddHBand="0" w:evenHBand="0" w:firstRowFirstColumn="0" w:firstRowLastColumn="0" w:lastRowFirstColumn="0" w:lastRowLastColumn="0"/>
            </w:pPr>
            <w:r w:rsidRPr="0058255C">
              <w:t xml:space="preserve">Extremely high risk of fines, liability or damage due to data breaches. </w:t>
            </w:r>
          </w:p>
        </w:tc>
      </w:tr>
      <w:tr w:rsidR="00614C61" w:rsidRPr="0058255C" w14:paraId="47056115" w14:textId="77777777" w:rsidTr="00614C6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2D5D51B" w14:textId="77777777" w:rsidR="00731C2C" w:rsidRPr="0058255C" w:rsidRDefault="00000000" w:rsidP="00731C2C">
            <w:pPr>
              <w:spacing w:after="160" w:line="276" w:lineRule="auto"/>
            </w:pPr>
            <w:r w:rsidRPr="0058255C">
              <w:t>Cloud/Vendor Risk</w:t>
            </w:r>
          </w:p>
        </w:tc>
        <w:tc>
          <w:tcPr>
            <w:tcW w:w="0" w:type="auto"/>
            <w:hideMark/>
          </w:tcPr>
          <w:p w14:paraId="405D6226" w14:textId="77777777" w:rsidR="00731C2C" w:rsidRPr="0058255C" w:rsidRDefault="00000000" w:rsidP="00731C2C">
            <w:pPr>
              <w:spacing w:after="160" w:line="276" w:lineRule="auto"/>
              <w:cnfStyle w:val="000000100000" w:firstRow="0" w:lastRow="0" w:firstColumn="0" w:lastColumn="0" w:oddVBand="0" w:evenVBand="0" w:oddHBand="1" w:evenHBand="0" w:firstRowFirstColumn="0" w:firstRowLastColumn="0" w:lastRowFirstColumn="0" w:lastRowLastColumn="0"/>
            </w:pPr>
            <w:r w:rsidRPr="0058255C">
              <w:t xml:space="preserve">High dependency on outsourcing operations – 88% of IT infrastructure is hosted through third party IaaS/SaaS products. </w:t>
            </w:r>
          </w:p>
        </w:tc>
        <w:tc>
          <w:tcPr>
            <w:tcW w:w="0" w:type="auto"/>
            <w:hideMark/>
          </w:tcPr>
          <w:p w14:paraId="598B1083" w14:textId="77777777" w:rsidR="00731C2C" w:rsidRPr="0058255C" w:rsidRDefault="00000000" w:rsidP="00731C2C">
            <w:pPr>
              <w:spacing w:after="160" w:line="276" w:lineRule="auto"/>
              <w:cnfStyle w:val="000000100000" w:firstRow="0" w:lastRow="0" w:firstColumn="0" w:lastColumn="0" w:oddVBand="0" w:evenVBand="0" w:oddHBand="1" w:evenHBand="0" w:firstRowFirstColumn="0" w:firstRowLastColumn="0" w:lastRowFirstColumn="0" w:lastRowLastColumn="0"/>
            </w:pPr>
            <w:r w:rsidRPr="0058255C">
              <w:t xml:space="preserve">Total loss of control, with less visibility of third-party vendors' security posture. </w:t>
            </w:r>
          </w:p>
        </w:tc>
      </w:tr>
      <w:tr w:rsidR="00614C61" w:rsidRPr="0058255C" w14:paraId="2D534738" w14:textId="77777777" w:rsidTr="00614C61">
        <w:tc>
          <w:tcPr>
            <w:cnfStyle w:val="001000000000" w:firstRow="0" w:lastRow="0" w:firstColumn="1" w:lastColumn="0" w:oddVBand="0" w:evenVBand="0" w:oddHBand="0" w:evenHBand="0" w:firstRowFirstColumn="0" w:firstRowLastColumn="0" w:lastRowFirstColumn="0" w:lastRowLastColumn="0"/>
            <w:tcW w:w="0" w:type="auto"/>
            <w:hideMark/>
          </w:tcPr>
          <w:p w14:paraId="346A4742" w14:textId="77777777" w:rsidR="00731C2C" w:rsidRPr="0058255C" w:rsidRDefault="00000000" w:rsidP="00731C2C">
            <w:pPr>
              <w:spacing w:after="160" w:line="276" w:lineRule="auto"/>
            </w:pPr>
            <w:r w:rsidRPr="0058255C">
              <w:t>Access Control</w:t>
            </w:r>
          </w:p>
        </w:tc>
        <w:tc>
          <w:tcPr>
            <w:tcW w:w="0" w:type="auto"/>
            <w:hideMark/>
          </w:tcPr>
          <w:p w14:paraId="6C3C86A4" w14:textId="77777777" w:rsidR="00731C2C" w:rsidRPr="0058255C" w:rsidRDefault="00000000" w:rsidP="00731C2C">
            <w:pPr>
              <w:spacing w:after="160" w:line="276" w:lineRule="auto"/>
              <w:cnfStyle w:val="000000000000" w:firstRow="0" w:lastRow="0" w:firstColumn="0" w:lastColumn="0" w:oddVBand="0" w:evenVBand="0" w:oddHBand="0" w:evenHBand="0" w:firstRowFirstColumn="0" w:firstRowLastColumn="0" w:lastRowFirstColumn="0" w:lastRowLastColumn="0"/>
            </w:pPr>
            <w:r w:rsidRPr="0058255C">
              <w:t xml:space="preserve">Allowing access over a worldwide network from owned non-business personal devices. </w:t>
            </w:r>
          </w:p>
        </w:tc>
        <w:tc>
          <w:tcPr>
            <w:tcW w:w="0" w:type="auto"/>
            <w:hideMark/>
          </w:tcPr>
          <w:p w14:paraId="69062F59" w14:textId="77777777" w:rsidR="00731C2C" w:rsidRPr="0058255C" w:rsidRDefault="00000000" w:rsidP="00731C2C">
            <w:pPr>
              <w:spacing w:after="160" w:line="276" w:lineRule="auto"/>
              <w:cnfStyle w:val="000000000000" w:firstRow="0" w:lastRow="0" w:firstColumn="0" w:lastColumn="0" w:oddVBand="0" w:evenVBand="0" w:oddHBand="0" w:evenHBand="0" w:firstRowFirstColumn="0" w:firstRowLastColumn="0" w:lastRowFirstColumn="0" w:lastRowLastColumn="0"/>
            </w:pPr>
            <w:r w:rsidRPr="0058255C">
              <w:t xml:space="preserve">Removing the network perimeter, which inevitably makes it easier to gain access and move data outside of bounds as frictionless channels. </w:t>
            </w:r>
          </w:p>
        </w:tc>
      </w:tr>
      <w:tr w:rsidR="00614C61" w:rsidRPr="0058255C" w14:paraId="22C5276B" w14:textId="77777777" w:rsidTr="00614C6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EDFF9AC" w14:textId="77777777" w:rsidR="00731C2C" w:rsidRPr="0058255C" w:rsidRDefault="00000000" w:rsidP="00731C2C">
            <w:pPr>
              <w:spacing w:after="160" w:line="276" w:lineRule="auto"/>
            </w:pPr>
            <w:r w:rsidRPr="0058255C">
              <w:t>Incident Response &amp; Continuity</w:t>
            </w:r>
          </w:p>
        </w:tc>
        <w:tc>
          <w:tcPr>
            <w:tcW w:w="0" w:type="auto"/>
            <w:hideMark/>
          </w:tcPr>
          <w:p w14:paraId="217A1C85" w14:textId="77777777" w:rsidR="00731C2C" w:rsidRPr="0058255C" w:rsidRDefault="00000000" w:rsidP="00731C2C">
            <w:pPr>
              <w:spacing w:after="160" w:line="276" w:lineRule="auto"/>
              <w:cnfStyle w:val="000000100000" w:firstRow="0" w:lastRow="0" w:firstColumn="0" w:lastColumn="0" w:oddVBand="0" w:evenVBand="0" w:oddHBand="1" w:evenHBand="0" w:firstRowFirstColumn="0" w:firstRowLastColumn="0" w:lastRowFirstColumn="0" w:lastRowLastColumn="0"/>
            </w:pPr>
            <w:r w:rsidRPr="0058255C">
              <w:t xml:space="preserve">Uncoordinated response to recent incidents and inadequate formal </w:t>
            </w:r>
            <w:proofErr w:type="gramStart"/>
            <w:r w:rsidRPr="0058255C">
              <w:t>BCP as a whole</w:t>
            </w:r>
            <w:proofErr w:type="gramEnd"/>
            <w:r w:rsidRPr="0058255C">
              <w:t>.</w:t>
            </w:r>
          </w:p>
        </w:tc>
        <w:tc>
          <w:tcPr>
            <w:tcW w:w="0" w:type="auto"/>
            <w:hideMark/>
          </w:tcPr>
          <w:p w14:paraId="64A4D67B" w14:textId="77777777" w:rsidR="00731C2C" w:rsidRPr="0058255C" w:rsidRDefault="00000000" w:rsidP="00731C2C">
            <w:pPr>
              <w:spacing w:after="160" w:line="276" w:lineRule="auto"/>
              <w:cnfStyle w:val="000000100000" w:firstRow="0" w:lastRow="0" w:firstColumn="0" w:lastColumn="0" w:oddVBand="0" w:evenVBand="0" w:oddHBand="1" w:evenHBand="0" w:firstRowFirstColumn="0" w:firstRowLastColumn="0" w:lastRowFirstColumn="0" w:lastRowLastColumn="0"/>
            </w:pPr>
            <w:r w:rsidRPr="0058255C">
              <w:t xml:space="preserve">The potential failure to effectively manage active threats, leading to a higher likelihood of events with the same impact and disruption of global logistics operations more widely. </w:t>
            </w:r>
          </w:p>
        </w:tc>
      </w:tr>
    </w:tbl>
    <w:p w14:paraId="0085FB95" w14:textId="5984173F" w:rsidR="0038368E" w:rsidRPr="0058255C" w:rsidRDefault="00000000" w:rsidP="004C49E8">
      <w:pPr>
        <w:pStyle w:val="Heading2"/>
        <w:spacing w:line="276" w:lineRule="auto"/>
      </w:pPr>
      <w:bookmarkStart w:id="4" w:name="_Toc234931843"/>
      <w:r w:rsidRPr="0058255C">
        <w:t>3.2 Critical Analysis</w:t>
      </w:r>
      <w:bookmarkEnd w:id="4"/>
    </w:p>
    <w:p w14:paraId="2F113016" w14:textId="77777777" w:rsidR="00820825" w:rsidRPr="0058255C" w:rsidRDefault="00000000" w:rsidP="00820825">
      <w:pPr>
        <w:spacing w:line="276" w:lineRule="auto"/>
      </w:pPr>
      <w:r w:rsidRPr="0058255C">
        <w:t xml:space="preserve">The vulnerabilities of ALL can be very interrelated as is illustrated in the above examples. The root cause is that there is not a consistent security governance group. Security roles are not well-defined resulting in a lack of clear leadership within the organisation to proactively manage enterprise risk and/or seek a robust Vendor Security Service Level Agreements (SLAs) and vendor cloud service [1]. </w:t>
      </w:r>
    </w:p>
    <w:p w14:paraId="416E953C" w14:textId="3C83C8C0" w:rsidR="006D6268" w:rsidRPr="0058255C" w:rsidRDefault="00000000" w:rsidP="00820825">
      <w:pPr>
        <w:spacing w:line="276" w:lineRule="auto"/>
      </w:pPr>
      <w:r w:rsidRPr="0058255C">
        <w:t>In addition, the cloud world that provides most of their infrastructure services is one where most of services are outsourced, and flexibility that remote access has granted to telecommunications providers (specifically: handling unmanaged devices) has greatly broadened their attack surface. Accessibility follows a decentralised approach without any conventional compliance management system to regulate such a lax environment would inevitably bring about the recent examples of data breaches [2].</w:t>
      </w:r>
    </w:p>
    <w:p w14:paraId="4A5FEA96" w14:textId="77777777" w:rsidR="006D6268" w:rsidRPr="0058255C" w:rsidRDefault="00000000" w:rsidP="004C49E8">
      <w:pPr>
        <w:pStyle w:val="Heading1"/>
        <w:spacing w:line="276" w:lineRule="auto"/>
      </w:pPr>
      <w:bookmarkStart w:id="5" w:name="_Toc234931844"/>
      <w:r w:rsidRPr="0058255C">
        <w:t>4. Framework Review and Comparison</w:t>
      </w:r>
      <w:bookmarkEnd w:id="5"/>
    </w:p>
    <w:p w14:paraId="5CB75F19" w14:textId="2ED95D19" w:rsidR="00567530" w:rsidRPr="0058255C" w:rsidRDefault="00000000" w:rsidP="004C49E8">
      <w:pPr>
        <w:spacing w:line="276" w:lineRule="auto"/>
      </w:pPr>
      <w:r w:rsidRPr="0058255C">
        <w:t xml:space="preserve">A thorough assessment of known industry frameworks </w:t>
      </w:r>
      <w:proofErr w:type="gramStart"/>
      <w:r w:rsidRPr="0058255C">
        <w:t>in light of</w:t>
      </w:r>
      <w:proofErr w:type="gramEnd"/>
      <w:r w:rsidRPr="0058255C">
        <w:t xml:space="preserve"> a company's operational realities is essential to effectively tackle the multi-dimensional vulnerabilities perceived at </w:t>
      </w:r>
      <w:proofErr w:type="spellStart"/>
      <w:r w:rsidRPr="0058255C">
        <w:t>AeroLink</w:t>
      </w:r>
      <w:proofErr w:type="spellEnd"/>
      <w:r w:rsidRPr="0058255C">
        <w:t xml:space="preserve"> Logistics (ALL). However, ad hoc implementations will not lead to a </w:t>
      </w:r>
      <w:r w:rsidR="0048364C" w:rsidRPr="0058255C">
        <w:t>highly distributed</w:t>
      </w:r>
      <w:r w:rsidRPr="0058255C">
        <w:t xml:space="preserve"> ecosystem with 88% cloud outsourcing and ubiquitous IoT sensors and the ability to access these from all around the world [3]. </w:t>
      </w:r>
    </w:p>
    <w:p w14:paraId="01C81D6C" w14:textId="3B7CA700" w:rsidR="00567530" w:rsidRPr="0058255C" w:rsidRDefault="00000000" w:rsidP="004C49E8">
      <w:pPr>
        <w:pStyle w:val="Heading2"/>
        <w:spacing w:line="276" w:lineRule="auto"/>
      </w:pPr>
      <w:bookmarkStart w:id="6" w:name="_Toc234931845"/>
      <w:r w:rsidRPr="0058255C">
        <w:t>4.1 Comparative Evaluation of Frameworks</w:t>
      </w:r>
      <w:bookmarkEnd w:id="6"/>
    </w:p>
    <w:p w14:paraId="751D7BD1" w14:textId="77777777" w:rsidR="00567530" w:rsidRPr="0058255C" w:rsidRDefault="00000000" w:rsidP="004C49E8">
      <w:pPr>
        <w:spacing w:line="276" w:lineRule="auto"/>
      </w:pPr>
      <w:r w:rsidRPr="0058255C">
        <w:t xml:space="preserve">As summarised below, there are four key frames of work that have different focuses, strengths and limitations </w:t>
      </w:r>
      <w:proofErr w:type="gramStart"/>
      <w:r w:rsidRPr="0058255C">
        <w:t>in regard to</w:t>
      </w:r>
      <w:proofErr w:type="gramEnd"/>
      <w:r w:rsidRPr="0058255C">
        <w:t xml:space="preserve"> ALL's operations: </w:t>
      </w:r>
    </w:p>
    <w:tbl>
      <w:tblPr>
        <w:tblStyle w:val="GridTable4-Accent5"/>
        <w:tblW w:w="0" w:type="auto"/>
        <w:tblLook w:val="04A0" w:firstRow="1" w:lastRow="0" w:firstColumn="1" w:lastColumn="0" w:noHBand="0" w:noVBand="1"/>
      </w:tblPr>
      <w:tblGrid>
        <w:gridCol w:w="1449"/>
        <w:gridCol w:w="2006"/>
        <w:gridCol w:w="2971"/>
        <w:gridCol w:w="2590"/>
      </w:tblGrid>
      <w:tr w:rsidR="00614C61" w:rsidRPr="0058255C" w14:paraId="12CCB3A2" w14:textId="77777777" w:rsidTr="00614C6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723FAFD" w14:textId="77777777" w:rsidR="00567530" w:rsidRPr="0058255C" w:rsidRDefault="00000000" w:rsidP="004C49E8">
            <w:pPr>
              <w:spacing w:after="160" w:line="276" w:lineRule="auto"/>
            </w:pPr>
            <w:r w:rsidRPr="0058255C">
              <w:t>Framework</w:t>
            </w:r>
          </w:p>
        </w:tc>
        <w:tc>
          <w:tcPr>
            <w:tcW w:w="0" w:type="auto"/>
            <w:hideMark/>
          </w:tcPr>
          <w:p w14:paraId="0A608245" w14:textId="77777777" w:rsidR="00567530" w:rsidRPr="0058255C" w:rsidRDefault="00000000" w:rsidP="004C49E8">
            <w:pPr>
              <w:spacing w:after="160" w:line="276" w:lineRule="auto"/>
              <w:cnfStyle w:val="100000000000" w:firstRow="1" w:lastRow="0" w:firstColumn="0" w:lastColumn="0" w:oddVBand="0" w:evenVBand="0" w:oddHBand="0" w:evenHBand="0" w:firstRowFirstColumn="0" w:firstRowLastColumn="0" w:lastRowFirstColumn="0" w:lastRowLastColumn="0"/>
            </w:pPr>
            <w:r w:rsidRPr="0058255C">
              <w:t>Core Focus</w:t>
            </w:r>
          </w:p>
        </w:tc>
        <w:tc>
          <w:tcPr>
            <w:tcW w:w="0" w:type="auto"/>
            <w:hideMark/>
          </w:tcPr>
          <w:p w14:paraId="33725A0C" w14:textId="77777777" w:rsidR="00567530" w:rsidRPr="0058255C" w:rsidRDefault="00000000" w:rsidP="004C49E8">
            <w:pPr>
              <w:spacing w:after="160" w:line="276" w:lineRule="auto"/>
              <w:cnfStyle w:val="100000000000" w:firstRow="1" w:lastRow="0" w:firstColumn="0" w:lastColumn="0" w:oddVBand="0" w:evenVBand="0" w:oddHBand="0" w:evenHBand="0" w:firstRowFirstColumn="0" w:firstRowLastColumn="0" w:lastRowFirstColumn="0" w:lastRowLastColumn="0"/>
            </w:pPr>
            <w:r w:rsidRPr="0058255C">
              <w:t xml:space="preserve">Strengths for </w:t>
            </w:r>
            <w:proofErr w:type="spellStart"/>
            <w:r w:rsidRPr="0058255C">
              <w:t>AeroLink</w:t>
            </w:r>
            <w:proofErr w:type="spellEnd"/>
            <w:r w:rsidRPr="0058255C">
              <w:t xml:space="preserve"> Context</w:t>
            </w:r>
          </w:p>
        </w:tc>
        <w:tc>
          <w:tcPr>
            <w:tcW w:w="0" w:type="auto"/>
            <w:hideMark/>
          </w:tcPr>
          <w:p w14:paraId="44F5550D" w14:textId="77777777" w:rsidR="00567530" w:rsidRPr="0058255C" w:rsidRDefault="00000000" w:rsidP="004C49E8">
            <w:pPr>
              <w:spacing w:after="160" w:line="276" w:lineRule="auto"/>
              <w:cnfStyle w:val="100000000000" w:firstRow="1" w:lastRow="0" w:firstColumn="0" w:lastColumn="0" w:oddVBand="0" w:evenVBand="0" w:oddHBand="0" w:evenHBand="0" w:firstRowFirstColumn="0" w:firstRowLastColumn="0" w:lastRowFirstColumn="0" w:lastRowLastColumn="0"/>
            </w:pPr>
            <w:r w:rsidRPr="0058255C">
              <w:t xml:space="preserve">Limitations for </w:t>
            </w:r>
            <w:proofErr w:type="spellStart"/>
            <w:r w:rsidRPr="0058255C">
              <w:t>AeroLink</w:t>
            </w:r>
            <w:proofErr w:type="spellEnd"/>
            <w:r w:rsidRPr="0058255C">
              <w:t xml:space="preserve"> Context</w:t>
            </w:r>
          </w:p>
        </w:tc>
      </w:tr>
      <w:tr w:rsidR="00614C61" w:rsidRPr="0058255C" w14:paraId="04898EBE" w14:textId="77777777" w:rsidTr="00614C6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2141482" w14:textId="77777777" w:rsidR="00BB30A2" w:rsidRPr="0058255C" w:rsidRDefault="00000000" w:rsidP="00BB30A2">
            <w:pPr>
              <w:spacing w:after="160" w:line="276" w:lineRule="auto"/>
            </w:pPr>
            <w:r w:rsidRPr="0058255C">
              <w:t>NIST CSF 2.0</w:t>
            </w:r>
          </w:p>
        </w:tc>
        <w:tc>
          <w:tcPr>
            <w:tcW w:w="0" w:type="auto"/>
            <w:hideMark/>
          </w:tcPr>
          <w:p w14:paraId="6763A414" w14:textId="77777777" w:rsidR="00BB30A2" w:rsidRPr="0058255C" w:rsidRDefault="00000000" w:rsidP="00BB30A2">
            <w:pPr>
              <w:spacing w:after="160" w:line="276" w:lineRule="auto"/>
              <w:cnfStyle w:val="000000100000" w:firstRow="0" w:lastRow="0" w:firstColumn="0" w:lastColumn="0" w:oddVBand="0" w:evenVBand="0" w:oddHBand="1" w:evenHBand="0" w:firstRowFirstColumn="0" w:firstRowLastColumn="0" w:lastRowFirstColumn="0" w:lastRowLastColumn="0"/>
            </w:pPr>
            <w:r w:rsidRPr="0058255C">
              <w:t xml:space="preserve">Cybersecurity risk management lifecycle (Govern, Identify, Protect, Detect, Respond, Recover). </w:t>
            </w:r>
          </w:p>
        </w:tc>
        <w:tc>
          <w:tcPr>
            <w:tcW w:w="0" w:type="auto"/>
            <w:hideMark/>
          </w:tcPr>
          <w:p w14:paraId="749A7FD5" w14:textId="77777777" w:rsidR="00BB30A2" w:rsidRPr="0058255C" w:rsidRDefault="00000000" w:rsidP="00BB30A2">
            <w:pPr>
              <w:spacing w:after="160" w:line="276" w:lineRule="auto"/>
              <w:cnfStyle w:val="000000100000" w:firstRow="0" w:lastRow="0" w:firstColumn="0" w:lastColumn="0" w:oddVBand="0" w:evenVBand="0" w:oddHBand="1" w:evenHBand="0" w:firstRowFirstColumn="0" w:firstRowLastColumn="0" w:lastRowFirstColumn="0" w:lastRowLastColumn="0"/>
            </w:pPr>
            <w:r w:rsidRPr="0058255C">
              <w:t xml:space="preserve">Provides a great process for organising technical incident response procedures [4]. The new "Govern" function explicitly addresses an ALL-leadership void and guides' action. </w:t>
            </w:r>
          </w:p>
        </w:tc>
        <w:tc>
          <w:tcPr>
            <w:tcW w:w="0" w:type="auto"/>
            <w:hideMark/>
          </w:tcPr>
          <w:p w14:paraId="66271626" w14:textId="77777777" w:rsidR="00BB30A2" w:rsidRPr="0058255C" w:rsidRDefault="00000000" w:rsidP="00BB30A2">
            <w:pPr>
              <w:spacing w:after="160" w:line="276" w:lineRule="auto"/>
              <w:cnfStyle w:val="000000100000" w:firstRow="0" w:lastRow="0" w:firstColumn="0" w:lastColumn="0" w:oddVBand="0" w:evenVBand="0" w:oddHBand="1" w:evenHBand="0" w:firstRowFirstColumn="0" w:firstRowLastColumn="0" w:lastRowFirstColumn="0" w:lastRowLastColumn="0"/>
            </w:pPr>
            <w:r w:rsidRPr="0058255C">
              <w:t xml:space="preserve">It is a voluntary technical outcomes/risk-based framework and not a certifiable regulatory standard. </w:t>
            </w:r>
          </w:p>
        </w:tc>
      </w:tr>
      <w:tr w:rsidR="00614C61" w:rsidRPr="0058255C" w14:paraId="40155479" w14:textId="77777777" w:rsidTr="00614C61">
        <w:tc>
          <w:tcPr>
            <w:cnfStyle w:val="001000000000" w:firstRow="0" w:lastRow="0" w:firstColumn="1" w:lastColumn="0" w:oddVBand="0" w:evenVBand="0" w:oddHBand="0" w:evenHBand="0" w:firstRowFirstColumn="0" w:firstRowLastColumn="0" w:lastRowFirstColumn="0" w:lastRowLastColumn="0"/>
            <w:tcW w:w="0" w:type="auto"/>
            <w:hideMark/>
          </w:tcPr>
          <w:p w14:paraId="2C35C7D2" w14:textId="77777777" w:rsidR="00BB30A2" w:rsidRPr="0058255C" w:rsidRDefault="00000000" w:rsidP="00BB30A2">
            <w:pPr>
              <w:spacing w:after="160" w:line="276" w:lineRule="auto"/>
            </w:pPr>
            <w:r w:rsidRPr="0058255C">
              <w:t>ISO/IEC 27001</w:t>
            </w:r>
          </w:p>
        </w:tc>
        <w:tc>
          <w:tcPr>
            <w:tcW w:w="0" w:type="auto"/>
            <w:hideMark/>
          </w:tcPr>
          <w:p w14:paraId="263F90FE" w14:textId="77777777" w:rsidR="00BB30A2" w:rsidRPr="0058255C" w:rsidRDefault="00000000" w:rsidP="00BB30A2">
            <w:pPr>
              <w:spacing w:after="160" w:line="276" w:lineRule="auto"/>
              <w:cnfStyle w:val="000000000000" w:firstRow="0" w:lastRow="0" w:firstColumn="0" w:lastColumn="0" w:oddVBand="0" w:evenVBand="0" w:oddHBand="0" w:evenHBand="0" w:firstRowFirstColumn="0" w:firstRowLastColumn="0" w:lastRowFirstColumn="0" w:lastRowLastColumn="0"/>
            </w:pPr>
            <w:r w:rsidRPr="0058255C">
              <w:t xml:space="preserve">Information Security Management System (ISMS) Specifications and Formal Control levels. </w:t>
            </w:r>
          </w:p>
        </w:tc>
        <w:tc>
          <w:tcPr>
            <w:tcW w:w="0" w:type="auto"/>
            <w:hideMark/>
          </w:tcPr>
          <w:p w14:paraId="6FAA219C" w14:textId="77777777" w:rsidR="00BB30A2" w:rsidRPr="0058255C" w:rsidRDefault="00000000" w:rsidP="00BB30A2">
            <w:pPr>
              <w:spacing w:after="160" w:line="276" w:lineRule="auto"/>
              <w:cnfStyle w:val="000000000000" w:firstRow="0" w:lastRow="0" w:firstColumn="0" w:lastColumn="0" w:oddVBand="0" w:evenVBand="0" w:oddHBand="0" w:evenHBand="0" w:firstRowFirstColumn="0" w:firstRowLastColumn="0" w:lastRowFirstColumn="0" w:lastRowLastColumn="0"/>
            </w:pPr>
            <w:r w:rsidRPr="0058255C">
              <w:t xml:space="preserve">Defines an auditable, internationally recognised, formalised ISMS baseline [6]. </w:t>
            </w:r>
          </w:p>
        </w:tc>
        <w:tc>
          <w:tcPr>
            <w:tcW w:w="0" w:type="auto"/>
            <w:hideMark/>
          </w:tcPr>
          <w:p w14:paraId="6CD8467F" w14:textId="77777777" w:rsidR="00BB30A2" w:rsidRPr="0058255C" w:rsidRDefault="00000000" w:rsidP="00BB30A2">
            <w:pPr>
              <w:spacing w:after="160" w:line="276" w:lineRule="auto"/>
              <w:cnfStyle w:val="000000000000" w:firstRow="0" w:lastRow="0" w:firstColumn="0" w:lastColumn="0" w:oddVBand="0" w:evenVBand="0" w:oddHBand="0" w:evenHBand="0" w:firstRowFirstColumn="0" w:firstRowLastColumn="0" w:lastRowFirstColumn="0" w:lastRowLastColumn="0"/>
            </w:pPr>
            <w:r w:rsidRPr="0058255C">
              <w:t xml:space="preserve">Very prescriptive and documentation intensive, potentially causing significant administrative pain in ALL's low matures security team. </w:t>
            </w:r>
          </w:p>
        </w:tc>
      </w:tr>
      <w:tr w:rsidR="00614C61" w:rsidRPr="0058255C" w14:paraId="2C571D35" w14:textId="77777777" w:rsidTr="00614C6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D5673D0" w14:textId="77777777" w:rsidR="00BB30A2" w:rsidRPr="0058255C" w:rsidRDefault="00000000" w:rsidP="00BB30A2">
            <w:pPr>
              <w:spacing w:after="160" w:line="276" w:lineRule="auto"/>
            </w:pPr>
            <w:r w:rsidRPr="0058255C">
              <w:t>COBIT 2019</w:t>
            </w:r>
          </w:p>
        </w:tc>
        <w:tc>
          <w:tcPr>
            <w:tcW w:w="0" w:type="auto"/>
            <w:hideMark/>
          </w:tcPr>
          <w:p w14:paraId="48A59B79" w14:textId="77777777" w:rsidR="00BB30A2" w:rsidRPr="0058255C" w:rsidRDefault="00000000" w:rsidP="00BB30A2">
            <w:pPr>
              <w:spacing w:after="160" w:line="276" w:lineRule="auto"/>
              <w:cnfStyle w:val="000000100000" w:firstRow="0" w:lastRow="0" w:firstColumn="0" w:lastColumn="0" w:oddVBand="0" w:evenVBand="0" w:oddHBand="1" w:evenHBand="0" w:firstRowFirstColumn="0" w:firstRowLastColumn="0" w:lastRowFirstColumn="0" w:lastRowLastColumn="0"/>
            </w:pPr>
            <w:r w:rsidRPr="0058255C">
              <w:t xml:space="preserve">Enterprise governance, strategic alignment and management of information and technology. </w:t>
            </w:r>
          </w:p>
        </w:tc>
        <w:tc>
          <w:tcPr>
            <w:tcW w:w="0" w:type="auto"/>
            <w:hideMark/>
          </w:tcPr>
          <w:p w14:paraId="144A518B" w14:textId="77777777" w:rsidR="00BB30A2" w:rsidRPr="0058255C" w:rsidRDefault="00000000" w:rsidP="00BB30A2">
            <w:pPr>
              <w:spacing w:after="160" w:line="276" w:lineRule="auto"/>
              <w:cnfStyle w:val="000000100000" w:firstRow="0" w:lastRow="0" w:firstColumn="0" w:lastColumn="0" w:oddVBand="0" w:evenVBand="0" w:oddHBand="1" w:evenHBand="0" w:firstRowFirstColumn="0" w:firstRowLastColumn="0" w:lastRowFirstColumn="0" w:lastRowLastColumn="0"/>
            </w:pPr>
            <w:r w:rsidRPr="0058255C">
              <w:t xml:space="preserve">Clearly addresses the lack of leadership by putting IT security under the senior level accountability [7]. </w:t>
            </w:r>
          </w:p>
        </w:tc>
        <w:tc>
          <w:tcPr>
            <w:tcW w:w="0" w:type="auto"/>
            <w:hideMark/>
          </w:tcPr>
          <w:p w14:paraId="0226FA25" w14:textId="77777777" w:rsidR="00BB30A2" w:rsidRPr="0058255C" w:rsidRDefault="00000000" w:rsidP="00BB30A2">
            <w:pPr>
              <w:spacing w:after="160" w:line="276" w:lineRule="auto"/>
              <w:cnfStyle w:val="000000100000" w:firstRow="0" w:lastRow="0" w:firstColumn="0" w:lastColumn="0" w:oddVBand="0" w:evenVBand="0" w:oddHBand="1" w:evenHBand="0" w:firstRowFirstColumn="0" w:firstRowLastColumn="0" w:lastRowFirstColumn="0" w:lastRowLastColumn="0"/>
            </w:pPr>
            <w:r w:rsidRPr="0058255C">
              <w:t xml:space="preserve">Primarily works at the strategic and managerial level, not necessarily having granular technical playbooks for real-time threat detection. </w:t>
            </w:r>
          </w:p>
        </w:tc>
      </w:tr>
      <w:tr w:rsidR="00614C61" w:rsidRPr="0058255C" w14:paraId="5B243D78" w14:textId="77777777" w:rsidTr="00614C61">
        <w:tc>
          <w:tcPr>
            <w:cnfStyle w:val="001000000000" w:firstRow="0" w:lastRow="0" w:firstColumn="1" w:lastColumn="0" w:oddVBand="0" w:evenVBand="0" w:oddHBand="0" w:evenHBand="0" w:firstRowFirstColumn="0" w:firstRowLastColumn="0" w:lastRowFirstColumn="0" w:lastRowLastColumn="0"/>
            <w:tcW w:w="0" w:type="auto"/>
            <w:hideMark/>
          </w:tcPr>
          <w:p w14:paraId="250843D6" w14:textId="77777777" w:rsidR="00BB30A2" w:rsidRPr="0058255C" w:rsidRDefault="00000000" w:rsidP="00BB30A2">
            <w:pPr>
              <w:spacing w:after="160" w:line="276" w:lineRule="auto"/>
            </w:pPr>
            <w:r w:rsidRPr="0058255C">
              <w:t>ITIL 4</w:t>
            </w:r>
          </w:p>
        </w:tc>
        <w:tc>
          <w:tcPr>
            <w:tcW w:w="0" w:type="auto"/>
            <w:hideMark/>
          </w:tcPr>
          <w:p w14:paraId="491F4175" w14:textId="77777777" w:rsidR="00BB30A2" w:rsidRPr="0058255C" w:rsidRDefault="00000000" w:rsidP="00BB30A2">
            <w:pPr>
              <w:spacing w:after="160" w:line="276" w:lineRule="auto"/>
              <w:cnfStyle w:val="000000000000" w:firstRow="0" w:lastRow="0" w:firstColumn="0" w:lastColumn="0" w:oddVBand="0" w:evenVBand="0" w:oddHBand="0" w:evenHBand="0" w:firstRowFirstColumn="0" w:firstRowLastColumn="0" w:lastRowFirstColumn="0" w:lastRowLastColumn="0"/>
            </w:pPr>
            <w:r w:rsidRPr="0058255C">
              <w:t>IT Service Management (ITSM) and IT alignment to the changing business requirements.</w:t>
            </w:r>
          </w:p>
        </w:tc>
        <w:tc>
          <w:tcPr>
            <w:tcW w:w="0" w:type="auto"/>
            <w:hideMark/>
          </w:tcPr>
          <w:p w14:paraId="4F1F01BD" w14:textId="77777777" w:rsidR="00BB30A2" w:rsidRPr="0058255C" w:rsidRDefault="00000000" w:rsidP="00BB30A2">
            <w:pPr>
              <w:spacing w:after="160" w:line="276" w:lineRule="auto"/>
              <w:cnfStyle w:val="000000000000" w:firstRow="0" w:lastRow="0" w:firstColumn="0" w:lastColumn="0" w:oddVBand="0" w:evenVBand="0" w:oddHBand="0" w:evenHBand="0" w:firstRowFirstColumn="0" w:firstRowLastColumn="0" w:lastRowFirstColumn="0" w:lastRowLastColumn="0"/>
            </w:pPr>
            <w:r w:rsidRPr="0058255C">
              <w:t>Especially important for Information Technology and Infrastructure (IT &amp; ITI) Managers of ALL's 88% outsourced IaaS/SaaS presentation and project-based business model [8] to often-underestimated and unique disciplines of Service Level Agreement (SLA).</w:t>
            </w:r>
          </w:p>
        </w:tc>
        <w:tc>
          <w:tcPr>
            <w:tcW w:w="0" w:type="auto"/>
            <w:hideMark/>
          </w:tcPr>
          <w:p w14:paraId="7392A080" w14:textId="77777777" w:rsidR="00BB30A2" w:rsidRPr="0058255C" w:rsidRDefault="00000000" w:rsidP="00BB30A2">
            <w:pPr>
              <w:spacing w:after="160" w:line="276" w:lineRule="auto"/>
              <w:cnfStyle w:val="000000000000" w:firstRow="0" w:lastRow="0" w:firstColumn="0" w:lastColumn="0" w:oddVBand="0" w:evenVBand="0" w:oddHBand="0" w:evenHBand="0" w:firstRowFirstColumn="0" w:firstRowLastColumn="0" w:lastRowFirstColumn="0" w:lastRowLastColumn="0"/>
            </w:pPr>
            <w:r w:rsidRPr="0058255C">
              <w:t>In-centric and not comprehensive cyber security framework; puts a strong emphasis on service delivery and vendor management, research into defence against advanced attack less prevalent.</w:t>
            </w:r>
          </w:p>
        </w:tc>
      </w:tr>
    </w:tbl>
    <w:p w14:paraId="1856FEE3" w14:textId="381F800B" w:rsidR="00567530" w:rsidRPr="0058255C" w:rsidRDefault="00000000" w:rsidP="004C49E8">
      <w:pPr>
        <w:pStyle w:val="Heading2"/>
        <w:spacing w:line="276" w:lineRule="auto"/>
      </w:pPr>
      <w:bookmarkStart w:id="7" w:name="_Toc234931846"/>
      <w:r w:rsidRPr="0058255C">
        <w:t>4.2 Framework Suitability in ALL's Operational Reality</w:t>
      </w:r>
      <w:bookmarkEnd w:id="7"/>
    </w:p>
    <w:p w14:paraId="5C7CF938" w14:textId="77777777" w:rsidR="007220FA" w:rsidRPr="0058255C" w:rsidRDefault="00000000" w:rsidP="007220FA">
      <w:pPr>
        <w:numPr>
          <w:ilvl w:val="0"/>
          <w:numId w:val="9"/>
        </w:numPr>
        <w:spacing w:line="276" w:lineRule="auto"/>
      </w:pPr>
      <w:r w:rsidRPr="0058255C">
        <w:rPr>
          <w:b/>
          <w:bCs/>
        </w:rPr>
        <w:t>NIST CSF 2.0</w:t>
      </w:r>
      <w:r w:rsidRPr="0058255C">
        <w:t xml:space="preserve">: This framework offers the details of technical playbooks to safeguard unmanaged endpoints remotely and to secure wide IoT deployments of sensors located in multiple time zones [9]. </w:t>
      </w:r>
    </w:p>
    <w:p w14:paraId="4171C05F" w14:textId="77777777" w:rsidR="007220FA" w:rsidRPr="0058255C" w:rsidRDefault="00000000" w:rsidP="007220FA">
      <w:pPr>
        <w:numPr>
          <w:ilvl w:val="0"/>
          <w:numId w:val="9"/>
        </w:numPr>
        <w:spacing w:line="276" w:lineRule="auto"/>
      </w:pPr>
      <w:r w:rsidRPr="0058255C">
        <w:rPr>
          <w:b/>
          <w:bCs/>
        </w:rPr>
        <w:t>Semi negotiable (ISO/IEC 27001)</w:t>
      </w:r>
      <w:r w:rsidRPr="0058255C">
        <w:t xml:space="preserve">: This is a must-have to avoid the overwhelming litigation, shareholder and public relations fabricating risks created by recent data leaks. An ISO/IEC 27001 risk treatment plan provides clients worldwide with an auditable trail of due diligence [10]. </w:t>
      </w:r>
    </w:p>
    <w:p w14:paraId="43EDCCFC" w14:textId="77777777" w:rsidR="007220FA" w:rsidRPr="0058255C" w:rsidRDefault="00000000" w:rsidP="007220FA">
      <w:pPr>
        <w:numPr>
          <w:ilvl w:val="0"/>
          <w:numId w:val="9"/>
        </w:numPr>
        <w:spacing w:line="276" w:lineRule="auto"/>
      </w:pPr>
      <w:r w:rsidRPr="0058255C">
        <w:rPr>
          <w:b/>
          <w:bCs/>
        </w:rPr>
        <w:t>COBIT 2019</w:t>
      </w:r>
      <w:r w:rsidRPr="0058255C">
        <w:t xml:space="preserve">: ALL's uncoordinated response from the different departments is due a failure of foundations: governance. COBIT 2019 considers this gap by making Cyber Security a core concept in the Enterprise Risk Management and under command of the Executive Management [11] and no longer an "orphaned" part of the IT infrastructure. </w:t>
      </w:r>
    </w:p>
    <w:p w14:paraId="14DDBC89" w14:textId="77777777" w:rsidR="00567530" w:rsidRPr="0058255C" w:rsidRDefault="00000000" w:rsidP="007220FA">
      <w:pPr>
        <w:numPr>
          <w:ilvl w:val="0"/>
          <w:numId w:val="9"/>
        </w:numPr>
        <w:spacing w:line="276" w:lineRule="auto"/>
      </w:pPr>
      <w:r w:rsidRPr="0058255C">
        <w:rPr>
          <w:b/>
          <w:bCs/>
        </w:rPr>
        <w:t>ITIL 4</w:t>
      </w:r>
      <w:r w:rsidRPr="0058255C">
        <w:t xml:space="preserve">: ALL does not own the physical infrastructure that </w:t>
      </w:r>
      <w:proofErr w:type="gramStart"/>
      <w:r w:rsidRPr="0058255C">
        <w:t>the majority of</w:t>
      </w:r>
      <w:proofErr w:type="gramEnd"/>
      <w:r w:rsidRPr="0058255C">
        <w:t xml:space="preserve"> their applications reside on, so traditional (boundary) controls are not effective. ITIL provides a framework to ensure a strict adherence to security clauses, to notify third parties when a breech has occurred and to coordinate business continuity across third-party hosts. </w:t>
      </w:r>
    </w:p>
    <w:p w14:paraId="19969735" w14:textId="107A9BC8" w:rsidR="00567530" w:rsidRPr="0058255C" w:rsidRDefault="00000000" w:rsidP="004C49E8">
      <w:pPr>
        <w:pStyle w:val="Heading2"/>
        <w:spacing w:line="276" w:lineRule="auto"/>
      </w:pPr>
      <w:bookmarkStart w:id="8" w:name="_Toc234931847"/>
      <w:r w:rsidRPr="0058255C">
        <w:t>4.3 Justification for a Hybrid Governance Model</w:t>
      </w:r>
      <w:bookmarkEnd w:id="8"/>
    </w:p>
    <w:p w14:paraId="41339203" w14:textId="70974560" w:rsidR="006D6268" w:rsidRPr="0058255C" w:rsidRDefault="00000000" w:rsidP="004C49E8">
      <w:pPr>
        <w:spacing w:line="276" w:lineRule="auto"/>
      </w:pPr>
      <w:r w:rsidRPr="0058255C">
        <w:t>Sticking to one truth model, will leave some key arch elements not covered. To overcome these gaps and achieve full maturity in the cyber space we need a multi-layered hybrid model in a strategically required way [12]. Combining these frameworks, ALL can use COBIT 2019 for the executive sponsorship, map the mandates to an ISO/IEC 27001-compliant auditable compliance layer, adopt NIST CSF 2.0 as a frontline operational playbook and cover the entire set of frameworks with a layer of ITIL 4 incident management and service frameworks [13].</w:t>
      </w:r>
    </w:p>
    <w:p w14:paraId="72755B0C" w14:textId="77777777" w:rsidR="006D6268" w:rsidRPr="0058255C" w:rsidRDefault="00000000" w:rsidP="004C49E8">
      <w:pPr>
        <w:pStyle w:val="Heading1"/>
        <w:spacing w:line="276" w:lineRule="auto"/>
      </w:pPr>
      <w:bookmarkStart w:id="9" w:name="_Toc234931848"/>
      <w:r w:rsidRPr="0058255C">
        <w:t>5. Proposed Security Governance Model</w:t>
      </w:r>
      <w:bookmarkEnd w:id="9"/>
    </w:p>
    <w:p w14:paraId="0BBD1244" w14:textId="77777777" w:rsidR="00DA40BC" w:rsidRPr="0058255C" w:rsidRDefault="00000000" w:rsidP="0015199C">
      <w:pPr>
        <w:spacing w:line="276" w:lineRule="auto"/>
      </w:pPr>
      <w:r w:rsidRPr="0058255C">
        <w:t>This would provide visibility on the development of ‘</w:t>
      </w:r>
      <w:proofErr w:type="spellStart"/>
      <w:r w:rsidRPr="0058255C">
        <w:t>AeroLink</w:t>
      </w:r>
      <w:proofErr w:type="spellEnd"/>
      <w:r w:rsidRPr="0058255C">
        <w:t xml:space="preserve"> Integrated Security Governance and Compliance Model' (AISGCM) – which is a customised architectural solution, that could cater to various gaps identified in the operational and regulatory system within </w:t>
      </w:r>
      <w:proofErr w:type="spellStart"/>
      <w:r w:rsidRPr="0058255C">
        <w:t>AeroLink</w:t>
      </w:r>
      <w:proofErr w:type="spellEnd"/>
      <w:r w:rsidRPr="0058255C">
        <w:t xml:space="preserve"> Logistics (ALL). With strategic and technical aspects covered by </w:t>
      </w:r>
      <w:proofErr w:type="spellStart"/>
      <w:r w:rsidRPr="0058255C">
        <w:t>CObit</w:t>
      </w:r>
      <w:proofErr w:type="spellEnd"/>
      <w:r w:rsidRPr="0058255C">
        <w:t xml:space="preserve"> 2019, NIST CSF 2.0, ISO/IEC 27001 and ITIL 4, ALL will be able to move beyond the disjointed and ad hoc path towards protecting a vast array of cloud and remote render sites in a uniform and proactive way. Strategic and technical activities covered by </w:t>
      </w:r>
      <w:proofErr w:type="spellStart"/>
      <w:r w:rsidRPr="0058255C">
        <w:t>CObit</w:t>
      </w:r>
      <w:proofErr w:type="spellEnd"/>
      <w:r w:rsidRPr="0058255C">
        <w:t xml:space="preserve"> 2019, NIST CSF 2.0, ISO/IEC 27001, and ITIL 4 will allow ALL to move beyond an ad hoc and disjointed journey toward protecting a myriad of cloud and remote render sites in a uniform and proactive fashion [14].</w:t>
      </w:r>
    </w:p>
    <w:p w14:paraId="1B32D306" w14:textId="02C385F2" w:rsidR="0015199C" w:rsidRPr="0058255C" w:rsidRDefault="00DA40BC" w:rsidP="00DA40BC">
      <w:pPr>
        <w:spacing w:line="276" w:lineRule="auto"/>
        <w:jc w:val="center"/>
      </w:pPr>
      <w:r w:rsidRPr="0058255C">
        <w:rPr>
          <w:noProof/>
        </w:rPr>
        <w:drawing>
          <wp:inline distT="0" distB="0" distL="0" distR="0" wp14:anchorId="1048459F" wp14:editId="3FA39CCF">
            <wp:extent cx="1593932" cy="2781443"/>
            <wp:effectExtent l="0" t="0" r="6350" b="0"/>
            <wp:docPr id="3185892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8589211" name=""/>
                    <pic:cNvPicPr/>
                  </pic:nvPicPr>
                  <pic:blipFill>
                    <a:blip r:embed="rId9"/>
                    <a:stretch>
                      <a:fillRect/>
                    </a:stretch>
                  </pic:blipFill>
                  <pic:spPr>
                    <a:xfrm>
                      <a:off x="0" y="0"/>
                      <a:ext cx="1593932" cy="2781443"/>
                    </a:xfrm>
                    <a:prstGeom prst="rect">
                      <a:avLst/>
                    </a:prstGeom>
                  </pic:spPr>
                </pic:pic>
              </a:graphicData>
            </a:graphic>
          </wp:inline>
        </w:drawing>
      </w:r>
    </w:p>
    <w:p w14:paraId="02C4F92B" w14:textId="26E2B936" w:rsidR="00DA40BC" w:rsidRPr="0058255C" w:rsidRDefault="00DA40BC" w:rsidP="00DA40BC">
      <w:pPr>
        <w:pStyle w:val="Caption"/>
        <w:jc w:val="center"/>
      </w:pPr>
      <w:r w:rsidRPr="0058255C">
        <w:t xml:space="preserve">Figure </w:t>
      </w:r>
      <w:fldSimple w:instr=" SEQ Figure \* ARABIC ">
        <w:r w:rsidRPr="0058255C">
          <w:rPr>
            <w:noProof/>
          </w:rPr>
          <w:t>1</w:t>
        </w:r>
      </w:fldSimple>
      <w:r w:rsidRPr="0058255C">
        <w:t>: Figure 1. AI-enabled Security Governance Process</w:t>
      </w:r>
    </w:p>
    <w:p w14:paraId="13F0A602" w14:textId="77777777" w:rsidR="00DA40BC" w:rsidRPr="0058255C" w:rsidRDefault="00DA40BC" w:rsidP="00DA40BC">
      <w:pPr>
        <w:spacing w:line="276" w:lineRule="auto"/>
        <w:jc w:val="center"/>
        <w:rPr>
          <w:i/>
          <w:iCs/>
        </w:rPr>
      </w:pPr>
      <w:r w:rsidRPr="0058255C">
        <w:rPr>
          <w:i/>
          <w:iCs/>
        </w:rPr>
        <w:t>(Source: Self-developed)</w:t>
      </w:r>
    </w:p>
    <w:p w14:paraId="07D643CE" w14:textId="77777777" w:rsidR="00B82F2F" w:rsidRPr="0058255C" w:rsidRDefault="00000000" w:rsidP="0015199C">
      <w:pPr>
        <w:spacing w:line="276" w:lineRule="auto"/>
      </w:pPr>
      <w:r w:rsidRPr="0058255C">
        <w:t>The architecture of the proposed system is a six-layered structure, where each layer is dependent on the other.</w:t>
      </w:r>
    </w:p>
    <w:p w14:paraId="252613AB" w14:textId="1F1F50CC" w:rsidR="007F1F00" w:rsidRPr="0058255C" w:rsidRDefault="007F1F00" w:rsidP="0015199C">
      <w:pPr>
        <w:spacing w:line="276" w:lineRule="auto"/>
      </w:pPr>
      <w:r w:rsidRPr="0058255C">
        <w:rPr>
          <w:noProof/>
        </w:rPr>
        <w:drawing>
          <wp:inline distT="0" distB="0" distL="0" distR="0" wp14:anchorId="0F6B5690" wp14:editId="6E1A3C75">
            <wp:extent cx="5486400" cy="3200400"/>
            <wp:effectExtent l="0" t="19050" r="0" b="19050"/>
            <wp:docPr id="777526858"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14:paraId="362FD89D" w14:textId="173E68CB" w:rsidR="008869D9" w:rsidRPr="0058255C" w:rsidRDefault="008869D9" w:rsidP="008869D9">
      <w:pPr>
        <w:pStyle w:val="Caption"/>
        <w:jc w:val="center"/>
      </w:pPr>
      <w:r w:rsidRPr="0058255C">
        <w:t xml:space="preserve">Figure </w:t>
      </w:r>
      <w:fldSimple w:instr=" SEQ Figure \* ARABIC ">
        <w:r w:rsidR="00DA40BC" w:rsidRPr="0058255C">
          <w:rPr>
            <w:noProof/>
          </w:rPr>
          <w:t>2</w:t>
        </w:r>
      </w:fldSimple>
      <w:r w:rsidRPr="0058255C">
        <w:t>: Proposed Security Model Diagram</w:t>
      </w:r>
    </w:p>
    <w:p w14:paraId="4F5FC2AD" w14:textId="452178B4" w:rsidR="008869D9" w:rsidRPr="0058255C" w:rsidRDefault="008869D9" w:rsidP="008869D9">
      <w:pPr>
        <w:spacing w:line="276" w:lineRule="auto"/>
        <w:jc w:val="center"/>
        <w:rPr>
          <w:i/>
          <w:iCs/>
        </w:rPr>
      </w:pPr>
      <w:r w:rsidRPr="0058255C">
        <w:rPr>
          <w:i/>
          <w:iCs/>
        </w:rPr>
        <w:t>(Source: Self-developed)</w:t>
      </w:r>
    </w:p>
    <w:p w14:paraId="41F3F946" w14:textId="4AB6F6DC" w:rsidR="00B82F2F" w:rsidRPr="0058255C" w:rsidRDefault="00000000" w:rsidP="004C49E8">
      <w:pPr>
        <w:pStyle w:val="Heading2"/>
        <w:spacing w:line="276" w:lineRule="auto"/>
      </w:pPr>
      <w:bookmarkStart w:id="10" w:name="_Toc234931849"/>
      <w:r w:rsidRPr="0058255C">
        <w:t>5.1 Governance and Strategy</w:t>
      </w:r>
      <w:bookmarkEnd w:id="10"/>
      <w:r w:rsidRPr="0058255C">
        <w:t xml:space="preserve"> </w:t>
      </w:r>
    </w:p>
    <w:p w14:paraId="47AEB830" w14:textId="77777777" w:rsidR="00B82F2F" w:rsidRPr="0058255C" w:rsidRDefault="00000000" w:rsidP="004C49E8">
      <w:pPr>
        <w:spacing w:line="276" w:lineRule="auto"/>
      </w:pPr>
      <w:r w:rsidRPr="0058255C">
        <w:t xml:space="preserve">This layer allows the enterprise down to enterprise accountability based on the tenets of COBIT 2019 and helps mitigate a pandemic leadership challenge. The challenge for ALL is to come up and running from the beginning at a high level, and to ensure via a Security Governance Committee that the cybersecurity goals are in line with the logistics strategy at the global level of an organisation [15]. Importantly, new roles will be established, such as a Chief Information Security Officer (CISO), and a Data Protection Officer (DPO), to help establish security policies consistently throughout the enterprise and ensure that there is no segmentation, friction or lack of cooperation between departments and consistent implementation of security measures throughout the geographic enterprise. </w:t>
      </w:r>
    </w:p>
    <w:p w14:paraId="14DCE767" w14:textId="68294065" w:rsidR="00B82F2F" w:rsidRPr="0058255C" w:rsidRDefault="00000000" w:rsidP="004C49E8">
      <w:pPr>
        <w:pStyle w:val="Heading2"/>
        <w:spacing w:line="276" w:lineRule="auto"/>
      </w:pPr>
      <w:bookmarkStart w:id="11" w:name="_Toc234931850"/>
      <w:r w:rsidRPr="0058255C">
        <w:t>5.2 Risk Management</w:t>
      </w:r>
      <w:bookmarkEnd w:id="11"/>
      <w:r w:rsidRPr="0058255C">
        <w:t xml:space="preserve"> </w:t>
      </w:r>
    </w:p>
    <w:p w14:paraId="79A60559" w14:textId="1C105B4D" w:rsidR="00B82F2F" w:rsidRPr="0058255C" w:rsidRDefault="00000000" w:rsidP="004C49E8">
      <w:pPr>
        <w:spacing w:line="276" w:lineRule="auto"/>
      </w:pPr>
      <w:r w:rsidRPr="0058255C">
        <w:t xml:space="preserve">All needs risk management life cycle (formalise and ongoing) not ad occurred responses. This layer mandates establishment of one central dynamic risk register, which </w:t>
      </w:r>
      <w:proofErr w:type="gramStart"/>
      <w:r w:rsidRPr="0058255C">
        <w:t>has to</w:t>
      </w:r>
      <w:proofErr w:type="gramEnd"/>
      <w:r w:rsidRPr="0058255C">
        <w:t xml:space="preserve"> keep an updated list of all IT assets, as well as of tracking sensors and data repository in cloud. Risk treatment plans </w:t>
      </w:r>
      <w:proofErr w:type="gramStart"/>
      <w:r w:rsidR="00BE1AA7" w:rsidRPr="0058255C">
        <w:t>have</w:t>
      </w:r>
      <w:r w:rsidRPr="0058255C">
        <w:t xml:space="preserve"> to</w:t>
      </w:r>
      <w:proofErr w:type="gramEnd"/>
      <w:r w:rsidRPr="0058255C">
        <w:t xml:space="preserve"> be developed and established consistent with the ISO/IEC 27001 format and prioritised on the protection of the most important assets: "the customer's Personally Identifiable Information (PII)" and "shipment manifests" [16]. </w:t>
      </w:r>
    </w:p>
    <w:p w14:paraId="42A28BC8" w14:textId="29DBE8D3" w:rsidR="00BE1AA7" w:rsidRPr="0058255C" w:rsidRDefault="00BE1AA7" w:rsidP="00BE1AA7">
      <w:pPr>
        <w:pStyle w:val="Caption"/>
      </w:pPr>
      <w:r w:rsidRPr="0058255C">
        <w:t xml:space="preserve">Table </w:t>
      </w:r>
      <w:fldSimple w:instr=" SEQ Table \* ARABIC ">
        <w:r w:rsidR="00341155" w:rsidRPr="0058255C">
          <w:rPr>
            <w:noProof/>
          </w:rPr>
          <w:t>1</w:t>
        </w:r>
      </w:fldSimple>
      <w:r w:rsidRPr="0058255C">
        <w:t>: Risk Register</w:t>
      </w:r>
    </w:p>
    <w:tbl>
      <w:tblPr>
        <w:tblStyle w:val="TableGridLight"/>
        <w:tblW w:w="0" w:type="auto"/>
        <w:tblLook w:val="04A0" w:firstRow="1" w:lastRow="0" w:firstColumn="1" w:lastColumn="0" w:noHBand="0" w:noVBand="1"/>
      </w:tblPr>
      <w:tblGrid>
        <w:gridCol w:w="777"/>
        <w:gridCol w:w="1143"/>
        <w:gridCol w:w="1352"/>
        <w:gridCol w:w="935"/>
        <w:gridCol w:w="1301"/>
        <w:gridCol w:w="1065"/>
        <w:gridCol w:w="1528"/>
        <w:gridCol w:w="915"/>
      </w:tblGrid>
      <w:tr w:rsidR="00BE1AA7" w:rsidRPr="0058255C" w14:paraId="5DC2BE05" w14:textId="77777777" w:rsidTr="00BE1AA7">
        <w:tc>
          <w:tcPr>
            <w:tcW w:w="0" w:type="auto"/>
            <w:hideMark/>
          </w:tcPr>
          <w:p w14:paraId="70A17210" w14:textId="77777777" w:rsidR="00BE1AA7" w:rsidRPr="0058255C" w:rsidRDefault="00BE1AA7" w:rsidP="00BE1AA7">
            <w:pPr>
              <w:spacing w:after="160" w:line="276" w:lineRule="auto"/>
            </w:pPr>
            <w:r w:rsidRPr="0058255C">
              <w:rPr>
                <w:b/>
                <w:bCs/>
              </w:rPr>
              <w:t>Risk ID</w:t>
            </w:r>
          </w:p>
        </w:tc>
        <w:tc>
          <w:tcPr>
            <w:tcW w:w="0" w:type="auto"/>
            <w:hideMark/>
          </w:tcPr>
          <w:p w14:paraId="7CA1C12D" w14:textId="77777777" w:rsidR="00BE1AA7" w:rsidRPr="0058255C" w:rsidRDefault="00BE1AA7" w:rsidP="00BE1AA7">
            <w:pPr>
              <w:spacing w:after="160" w:line="276" w:lineRule="auto"/>
            </w:pPr>
            <w:r w:rsidRPr="0058255C">
              <w:rPr>
                <w:b/>
                <w:bCs/>
              </w:rPr>
              <w:t>Asset</w:t>
            </w:r>
          </w:p>
        </w:tc>
        <w:tc>
          <w:tcPr>
            <w:tcW w:w="0" w:type="auto"/>
            <w:hideMark/>
          </w:tcPr>
          <w:p w14:paraId="647CD4CE" w14:textId="77777777" w:rsidR="00BE1AA7" w:rsidRPr="0058255C" w:rsidRDefault="00BE1AA7" w:rsidP="00BE1AA7">
            <w:pPr>
              <w:spacing w:after="160" w:line="276" w:lineRule="auto"/>
            </w:pPr>
            <w:r w:rsidRPr="0058255C">
              <w:rPr>
                <w:b/>
                <w:bCs/>
              </w:rPr>
              <w:t>Threat</w:t>
            </w:r>
          </w:p>
        </w:tc>
        <w:tc>
          <w:tcPr>
            <w:tcW w:w="0" w:type="auto"/>
            <w:hideMark/>
          </w:tcPr>
          <w:p w14:paraId="23FCCD9C" w14:textId="77777777" w:rsidR="00BE1AA7" w:rsidRPr="0058255C" w:rsidRDefault="00BE1AA7" w:rsidP="00BE1AA7">
            <w:pPr>
              <w:spacing w:after="160" w:line="276" w:lineRule="auto"/>
            </w:pPr>
            <w:r w:rsidRPr="0058255C">
              <w:rPr>
                <w:b/>
                <w:bCs/>
              </w:rPr>
              <w:t>Impact</w:t>
            </w:r>
          </w:p>
        </w:tc>
        <w:tc>
          <w:tcPr>
            <w:tcW w:w="0" w:type="auto"/>
            <w:hideMark/>
          </w:tcPr>
          <w:p w14:paraId="3468AD4B" w14:textId="77777777" w:rsidR="00BE1AA7" w:rsidRPr="0058255C" w:rsidRDefault="00BE1AA7" w:rsidP="00BE1AA7">
            <w:pPr>
              <w:spacing w:after="160" w:line="276" w:lineRule="auto"/>
            </w:pPr>
            <w:r w:rsidRPr="0058255C">
              <w:rPr>
                <w:b/>
                <w:bCs/>
              </w:rPr>
              <w:t>Likelihood</w:t>
            </w:r>
          </w:p>
        </w:tc>
        <w:tc>
          <w:tcPr>
            <w:tcW w:w="0" w:type="auto"/>
            <w:hideMark/>
          </w:tcPr>
          <w:p w14:paraId="2ECCE4FF" w14:textId="77777777" w:rsidR="00BE1AA7" w:rsidRPr="0058255C" w:rsidRDefault="00BE1AA7" w:rsidP="00BE1AA7">
            <w:pPr>
              <w:spacing w:after="160" w:line="276" w:lineRule="auto"/>
            </w:pPr>
            <w:r w:rsidRPr="0058255C">
              <w:rPr>
                <w:b/>
                <w:bCs/>
              </w:rPr>
              <w:t>Risk</w:t>
            </w:r>
          </w:p>
        </w:tc>
        <w:tc>
          <w:tcPr>
            <w:tcW w:w="0" w:type="auto"/>
            <w:hideMark/>
          </w:tcPr>
          <w:p w14:paraId="0579E0CF" w14:textId="77777777" w:rsidR="00BE1AA7" w:rsidRPr="0058255C" w:rsidRDefault="00BE1AA7" w:rsidP="00BE1AA7">
            <w:pPr>
              <w:spacing w:after="160" w:line="276" w:lineRule="auto"/>
            </w:pPr>
            <w:r w:rsidRPr="0058255C">
              <w:rPr>
                <w:b/>
                <w:bCs/>
              </w:rPr>
              <w:t>Mitigation</w:t>
            </w:r>
          </w:p>
        </w:tc>
        <w:tc>
          <w:tcPr>
            <w:tcW w:w="0" w:type="auto"/>
            <w:hideMark/>
          </w:tcPr>
          <w:p w14:paraId="2FB21455" w14:textId="77777777" w:rsidR="00BE1AA7" w:rsidRPr="0058255C" w:rsidRDefault="00BE1AA7" w:rsidP="00BE1AA7">
            <w:pPr>
              <w:spacing w:after="160" w:line="276" w:lineRule="auto"/>
            </w:pPr>
            <w:r w:rsidRPr="0058255C">
              <w:rPr>
                <w:b/>
                <w:bCs/>
              </w:rPr>
              <w:t>Owner</w:t>
            </w:r>
          </w:p>
        </w:tc>
      </w:tr>
      <w:tr w:rsidR="00BE1AA7" w:rsidRPr="0058255C" w14:paraId="6A31766F" w14:textId="77777777" w:rsidTr="00BE1AA7">
        <w:tc>
          <w:tcPr>
            <w:tcW w:w="0" w:type="auto"/>
            <w:hideMark/>
          </w:tcPr>
          <w:p w14:paraId="1300A80D" w14:textId="77777777" w:rsidR="00BE1AA7" w:rsidRPr="0058255C" w:rsidRDefault="00BE1AA7" w:rsidP="00BE1AA7">
            <w:pPr>
              <w:spacing w:after="160" w:line="276" w:lineRule="auto"/>
            </w:pPr>
            <w:r w:rsidRPr="0058255C">
              <w:rPr>
                <w:b/>
                <w:bCs/>
              </w:rPr>
              <w:t>RSK-01</w:t>
            </w:r>
          </w:p>
        </w:tc>
        <w:tc>
          <w:tcPr>
            <w:tcW w:w="0" w:type="auto"/>
            <w:hideMark/>
          </w:tcPr>
          <w:p w14:paraId="1B3BB339" w14:textId="77777777" w:rsidR="00BE1AA7" w:rsidRPr="0058255C" w:rsidRDefault="00BE1AA7" w:rsidP="00BE1AA7">
            <w:pPr>
              <w:spacing w:after="160" w:line="276" w:lineRule="auto"/>
            </w:pPr>
            <w:r w:rsidRPr="0058255C">
              <w:t xml:space="preserve">PII &amp; Manifests </w:t>
            </w:r>
          </w:p>
        </w:tc>
        <w:tc>
          <w:tcPr>
            <w:tcW w:w="0" w:type="auto"/>
            <w:hideMark/>
          </w:tcPr>
          <w:p w14:paraId="5C574388" w14:textId="77777777" w:rsidR="00BE1AA7" w:rsidRPr="0058255C" w:rsidRDefault="00BE1AA7" w:rsidP="00BE1AA7">
            <w:pPr>
              <w:spacing w:after="160" w:line="276" w:lineRule="auto"/>
            </w:pPr>
            <w:r w:rsidRPr="0058255C">
              <w:t xml:space="preserve">Unmanaged remote access </w:t>
            </w:r>
          </w:p>
        </w:tc>
        <w:tc>
          <w:tcPr>
            <w:tcW w:w="0" w:type="auto"/>
            <w:hideMark/>
          </w:tcPr>
          <w:p w14:paraId="1AC6B098" w14:textId="77777777" w:rsidR="00BE1AA7" w:rsidRPr="0058255C" w:rsidRDefault="00BE1AA7" w:rsidP="00BE1AA7">
            <w:pPr>
              <w:spacing w:after="160" w:line="276" w:lineRule="auto"/>
            </w:pPr>
            <w:r w:rsidRPr="0058255C">
              <w:t>Critical</w:t>
            </w:r>
          </w:p>
        </w:tc>
        <w:tc>
          <w:tcPr>
            <w:tcW w:w="0" w:type="auto"/>
            <w:hideMark/>
          </w:tcPr>
          <w:p w14:paraId="5371782E" w14:textId="77777777" w:rsidR="00BE1AA7" w:rsidRPr="0058255C" w:rsidRDefault="00BE1AA7" w:rsidP="00BE1AA7">
            <w:pPr>
              <w:spacing w:after="160" w:line="276" w:lineRule="auto"/>
            </w:pPr>
            <w:r w:rsidRPr="0058255C">
              <w:t>High</w:t>
            </w:r>
          </w:p>
        </w:tc>
        <w:tc>
          <w:tcPr>
            <w:tcW w:w="0" w:type="auto"/>
            <w:hideMark/>
          </w:tcPr>
          <w:p w14:paraId="431C690F" w14:textId="77777777" w:rsidR="00BE1AA7" w:rsidRPr="0058255C" w:rsidRDefault="00BE1AA7" w:rsidP="00BE1AA7">
            <w:pPr>
              <w:spacing w:after="160" w:line="276" w:lineRule="auto"/>
            </w:pPr>
            <w:r w:rsidRPr="0058255C">
              <w:rPr>
                <w:b/>
                <w:bCs/>
              </w:rPr>
              <w:t>Critical</w:t>
            </w:r>
          </w:p>
        </w:tc>
        <w:tc>
          <w:tcPr>
            <w:tcW w:w="0" w:type="auto"/>
            <w:hideMark/>
          </w:tcPr>
          <w:p w14:paraId="33F730F4" w14:textId="77777777" w:rsidR="00BE1AA7" w:rsidRPr="0058255C" w:rsidRDefault="00BE1AA7" w:rsidP="00BE1AA7">
            <w:pPr>
              <w:spacing w:after="160" w:line="276" w:lineRule="auto"/>
            </w:pPr>
            <w:r w:rsidRPr="0058255C">
              <w:t xml:space="preserve">Zero-Trust, MFA, ISO/GDPR audits </w:t>
            </w:r>
          </w:p>
        </w:tc>
        <w:tc>
          <w:tcPr>
            <w:tcW w:w="0" w:type="auto"/>
            <w:hideMark/>
          </w:tcPr>
          <w:p w14:paraId="2D1DC593" w14:textId="77777777" w:rsidR="00BE1AA7" w:rsidRPr="0058255C" w:rsidRDefault="00BE1AA7" w:rsidP="00BE1AA7">
            <w:pPr>
              <w:spacing w:after="160" w:line="276" w:lineRule="auto"/>
            </w:pPr>
            <w:r w:rsidRPr="0058255C">
              <w:t>CISO / DPO</w:t>
            </w:r>
          </w:p>
        </w:tc>
      </w:tr>
      <w:tr w:rsidR="00BE1AA7" w:rsidRPr="0058255C" w14:paraId="2156A793" w14:textId="77777777" w:rsidTr="00BE1AA7">
        <w:tc>
          <w:tcPr>
            <w:tcW w:w="0" w:type="auto"/>
            <w:hideMark/>
          </w:tcPr>
          <w:p w14:paraId="06997EF5" w14:textId="77777777" w:rsidR="00BE1AA7" w:rsidRPr="0058255C" w:rsidRDefault="00BE1AA7" w:rsidP="00BE1AA7">
            <w:pPr>
              <w:spacing w:after="160" w:line="276" w:lineRule="auto"/>
            </w:pPr>
            <w:r w:rsidRPr="0058255C">
              <w:rPr>
                <w:b/>
                <w:bCs/>
              </w:rPr>
              <w:t>RSK-02</w:t>
            </w:r>
          </w:p>
        </w:tc>
        <w:tc>
          <w:tcPr>
            <w:tcW w:w="0" w:type="auto"/>
            <w:hideMark/>
          </w:tcPr>
          <w:p w14:paraId="49A82F6E" w14:textId="77777777" w:rsidR="00BE1AA7" w:rsidRPr="0058255C" w:rsidRDefault="00BE1AA7" w:rsidP="00BE1AA7">
            <w:pPr>
              <w:spacing w:after="160" w:line="276" w:lineRule="auto"/>
            </w:pPr>
            <w:r w:rsidRPr="0058255C">
              <w:t xml:space="preserve">Cloud Infra (88%) </w:t>
            </w:r>
          </w:p>
        </w:tc>
        <w:tc>
          <w:tcPr>
            <w:tcW w:w="0" w:type="auto"/>
            <w:hideMark/>
          </w:tcPr>
          <w:p w14:paraId="5430722A" w14:textId="77777777" w:rsidR="00BE1AA7" w:rsidRPr="0058255C" w:rsidRDefault="00BE1AA7" w:rsidP="00BE1AA7">
            <w:pPr>
              <w:spacing w:after="160" w:line="276" w:lineRule="auto"/>
            </w:pPr>
            <w:r w:rsidRPr="0058255C">
              <w:t xml:space="preserve">Poor vendor visibility </w:t>
            </w:r>
          </w:p>
        </w:tc>
        <w:tc>
          <w:tcPr>
            <w:tcW w:w="0" w:type="auto"/>
            <w:hideMark/>
          </w:tcPr>
          <w:p w14:paraId="6198A1FA" w14:textId="77777777" w:rsidR="00BE1AA7" w:rsidRPr="0058255C" w:rsidRDefault="00BE1AA7" w:rsidP="00BE1AA7">
            <w:pPr>
              <w:spacing w:after="160" w:line="276" w:lineRule="auto"/>
            </w:pPr>
            <w:r w:rsidRPr="0058255C">
              <w:t>High</w:t>
            </w:r>
          </w:p>
        </w:tc>
        <w:tc>
          <w:tcPr>
            <w:tcW w:w="0" w:type="auto"/>
            <w:hideMark/>
          </w:tcPr>
          <w:p w14:paraId="378AE32A" w14:textId="77777777" w:rsidR="00BE1AA7" w:rsidRPr="0058255C" w:rsidRDefault="00BE1AA7" w:rsidP="00BE1AA7">
            <w:pPr>
              <w:spacing w:after="160" w:line="276" w:lineRule="auto"/>
            </w:pPr>
            <w:r w:rsidRPr="0058255C">
              <w:t>High</w:t>
            </w:r>
          </w:p>
        </w:tc>
        <w:tc>
          <w:tcPr>
            <w:tcW w:w="0" w:type="auto"/>
            <w:hideMark/>
          </w:tcPr>
          <w:p w14:paraId="663998F3" w14:textId="77777777" w:rsidR="00BE1AA7" w:rsidRPr="0058255C" w:rsidRDefault="00BE1AA7" w:rsidP="00BE1AA7">
            <w:pPr>
              <w:spacing w:after="160" w:line="276" w:lineRule="auto"/>
            </w:pPr>
            <w:r w:rsidRPr="0058255C">
              <w:rPr>
                <w:b/>
                <w:bCs/>
              </w:rPr>
              <w:t>High</w:t>
            </w:r>
          </w:p>
        </w:tc>
        <w:tc>
          <w:tcPr>
            <w:tcW w:w="0" w:type="auto"/>
            <w:hideMark/>
          </w:tcPr>
          <w:p w14:paraId="4AAD822F" w14:textId="77777777" w:rsidR="00BE1AA7" w:rsidRPr="0058255C" w:rsidRDefault="00BE1AA7" w:rsidP="00BE1AA7">
            <w:pPr>
              <w:spacing w:after="160" w:line="276" w:lineRule="auto"/>
            </w:pPr>
            <w:r w:rsidRPr="0058255C">
              <w:t xml:space="preserve">Strict SLA security &amp; audit terms </w:t>
            </w:r>
          </w:p>
        </w:tc>
        <w:tc>
          <w:tcPr>
            <w:tcW w:w="0" w:type="auto"/>
            <w:hideMark/>
          </w:tcPr>
          <w:p w14:paraId="7D683217" w14:textId="77777777" w:rsidR="00BE1AA7" w:rsidRPr="0058255C" w:rsidRDefault="00BE1AA7" w:rsidP="00BE1AA7">
            <w:pPr>
              <w:spacing w:after="160" w:line="276" w:lineRule="auto"/>
            </w:pPr>
            <w:r w:rsidRPr="0058255C">
              <w:t>Sec. Comm.</w:t>
            </w:r>
          </w:p>
        </w:tc>
      </w:tr>
      <w:tr w:rsidR="00BE1AA7" w:rsidRPr="0058255C" w14:paraId="26B2E3FC" w14:textId="77777777" w:rsidTr="00BE1AA7">
        <w:tc>
          <w:tcPr>
            <w:tcW w:w="0" w:type="auto"/>
            <w:hideMark/>
          </w:tcPr>
          <w:p w14:paraId="146778C3" w14:textId="77777777" w:rsidR="00BE1AA7" w:rsidRPr="0058255C" w:rsidRDefault="00BE1AA7" w:rsidP="00BE1AA7">
            <w:pPr>
              <w:spacing w:after="160" w:line="276" w:lineRule="auto"/>
            </w:pPr>
            <w:r w:rsidRPr="0058255C">
              <w:rPr>
                <w:b/>
                <w:bCs/>
              </w:rPr>
              <w:t>RSK-03</w:t>
            </w:r>
          </w:p>
        </w:tc>
        <w:tc>
          <w:tcPr>
            <w:tcW w:w="0" w:type="auto"/>
            <w:hideMark/>
          </w:tcPr>
          <w:p w14:paraId="609099D1" w14:textId="77777777" w:rsidR="00BE1AA7" w:rsidRPr="0058255C" w:rsidRDefault="00BE1AA7" w:rsidP="00BE1AA7">
            <w:pPr>
              <w:spacing w:after="160" w:line="276" w:lineRule="auto"/>
            </w:pPr>
            <w:r w:rsidRPr="0058255C">
              <w:t xml:space="preserve">IoT Sensors </w:t>
            </w:r>
          </w:p>
        </w:tc>
        <w:tc>
          <w:tcPr>
            <w:tcW w:w="0" w:type="auto"/>
            <w:hideMark/>
          </w:tcPr>
          <w:p w14:paraId="2669E3FC" w14:textId="77777777" w:rsidR="00BE1AA7" w:rsidRPr="0058255C" w:rsidRDefault="00BE1AA7" w:rsidP="00BE1AA7">
            <w:pPr>
              <w:spacing w:after="160" w:line="276" w:lineRule="auto"/>
            </w:pPr>
            <w:r w:rsidRPr="0058255C">
              <w:t xml:space="preserve">Firmware exploits </w:t>
            </w:r>
          </w:p>
        </w:tc>
        <w:tc>
          <w:tcPr>
            <w:tcW w:w="0" w:type="auto"/>
            <w:hideMark/>
          </w:tcPr>
          <w:p w14:paraId="475BF417" w14:textId="77777777" w:rsidR="00BE1AA7" w:rsidRPr="0058255C" w:rsidRDefault="00BE1AA7" w:rsidP="00BE1AA7">
            <w:pPr>
              <w:spacing w:after="160" w:line="276" w:lineRule="auto"/>
            </w:pPr>
            <w:r w:rsidRPr="0058255C">
              <w:t>High</w:t>
            </w:r>
          </w:p>
        </w:tc>
        <w:tc>
          <w:tcPr>
            <w:tcW w:w="0" w:type="auto"/>
            <w:hideMark/>
          </w:tcPr>
          <w:p w14:paraId="2DB00361" w14:textId="77777777" w:rsidR="00BE1AA7" w:rsidRPr="0058255C" w:rsidRDefault="00BE1AA7" w:rsidP="00BE1AA7">
            <w:pPr>
              <w:spacing w:after="160" w:line="276" w:lineRule="auto"/>
            </w:pPr>
            <w:r w:rsidRPr="0058255C">
              <w:t>Medium</w:t>
            </w:r>
          </w:p>
        </w:tc>
        <w:tc>
          <w:tcPr>
            <w:tcW w:w="0" w:type="auto"/>
            <w:hideMark/>
          </w:tcPr>
          <w:p w14:paraId="547E5EBA" w14:textId="77777777" w:rsidR="00BE1AA7" w:rsidRPr="0058255C" w:rsidRDefault="00BE1AA7" w:rsidP="00BE1AA7">
            <w:pPr>
              <w:spacing w:after="160" w:line="276" w:lineRule="auto"/>
            </w:pPr>
            <w:r w:rsidRPr="0058255C">
              <w:rPr>
                <w:b/>
                <w:bCs/>
              </w:rPr>
              <w:t>High</w:t>
            </w:r>
          </w:p>
        </w:tc>
        <w:tc>
          <w:tcPr>
            <w:tcW w:w="0" w:type="auto"/>
            <w:hideMark/>
          </w:tcPr>
          <w:p w14:paraId="0F04F225" w14:textId="77777777" w:rsidR="00BE1AA7" w:rsidRPr="0058255C" w:rsidRDefault="00BE1AA7" w:rsidP="00BE1AA7">
            <w:pPr>
              <w:spacing w:after="160" w:line="276" w:lineRule="auto"/>
            </w:pPr>
            <w:r w:rsidRPr="0058255C">
              <w:t xml:space="preserve">Network segmentation, monitoring </w:t>
            </w:r>
          </w:p>
        </w:tc>
        <w:tc>
          <w:tcPr>
            <w:tcW w:w="0" w:type="auto"/>
            <w:hideMark/>
          </w:tcPr>
          <w:p w14:paraId="4BCA307C" w14:textId="77777777" w:rsidR="00BE1AA7" w:rsidRPr="0058255C" w:rsidRDefault="00BE1AA7" w:rsidP="00BE1AA7">
            <w:pPr>
              <w:spacing w:after="160" w:line="276" w:lineRule="auto"/>
            </w:pPr>
            <w:r w:rsidRPr="0058255C">
              <w:t>IT Ops</w:t>
            </w:r>
          </w:p>
        </w:tc>
      </w:tr>
      <w:tr w:rsidR="00BE1AA7" w:rsidRPr="0058255C" w14:paraId="172F41EC" w14:textId="77777777" w:rsidTr="00BE1AA7">
        <w:tc>
          <w:tcPr>
            <w:tcW w:w="0" w:type="auto"/>
            <w:hideMark/>
          </w:tcPr>
          <w:p w14:paraId="37E0F358" w14:textId="77777777" w:rsidR="00BE1AA7" w:rsidRPr="0058255C" w:rsidRDefault="00BE1AA7" w:rsidP="00BE1AA7">
            <w:pPr>
              <w:spacing w:after="160" w:line="276" w:lineRule="auto"/>
            </w:pPr>
            <w:r w:rsidRPr="0058255C">
              <w:rPr>
                <w:b/>
                <w:bCs/>
              </w:rPr>
              <w:t>RSK-04</w:t>
            </w:r>
          </w:p>
        </w:tc>
        <w:tc>
          <w:tcPr>
            <w:tcW w:w="0" w:type="auto"/>
            <w:hideMark/>
          </w:tcPr>
          <w:p w14:paraId="4BE444AB" w14:textId="77777777" w:rsidR="00BE1AA7" w:rsidRPr="0058255C" w:rsidRDefault="00BE1AA7" w:rsidP="00BE1AA7">
            <w:pPr>
              <w:spacing w:after="160" w:line="276" w:lineRule="auto"/>
            </w:pPr>
            <w:r w:rsidRPr="0058255C">
              <w:t xml:space="preserve">AI Analytics </w:t>
            </w:r>
          </w:p>
        </w:tc>
        <w:tc>
          <w:tcPr>
            <w:tcW w:w="0" w:type="auto"/>
            <w:hideMark/>
          </w:tcPr>
          <w:p w14:paraId="0F2B3BD3" w14:textId="77777777" w:rsidR="00BE1AA7" w:rsidRPr="0058255C" w:rsidRDefault="00BE1AA7" w:rsidP="00BE1AA7">
            <w:pPr>
              <w:spacing w:after="160" w:line="276" w:lineRule="auto"/>
            </w:pPr>
            <w:r w:rsidRPr="0058255C">
              <w:t xml:space="preserve">Data poisoning </w:t>
            </w:r>
          </w:p>
        </w:tc>
        <w:tc>
          <w:tcPr>
            <w:tcW w:w="0" w:type="auto"/>
            <w:hideMark/>
          </w:tcPr>
          <w:p w14:paraId="08A2D01E" w14:textId="77777777" w:rsidR="00BE1AA7" w:rsidRPr="0058255C" w:rsidRDefault="00BE1AA7" w:rsidP="00BE1AA7">
            <w:pPr>
              <w:spacing w:after="160" w:line="276" w:lineRule="auto"/>
            </w:pPr>
            <w:r w:rsidRPr="0058255C">
              <w:t>High</w:t>
            </w:r>
          </w:p>
        </w:tc>
        <w:tc>
          <w:tcPr>
            <w:tcW w:w="0" w:type="auto"/>
            <w:hideMark/>
          </w:tcPr>
          <w:p w14:paraId="6916C6CB" w14:textId="77777777" w:rsidR="00BE1AA7" w:rsidRPr="0058255C" w:rsidRDefault="00BE1AA7" w:rsidP="00BE1AA7">
            <w:pPr>
              <w:spacing w:after="160" w:line="276" w:lineRule="auto"/>
            </w:pPr>
            <w:r w:rsidRPr="0058255C">
              <w:t>Low</w:t>
            </w:r>
          </w:p>
        </w:tc>
        <w:tc>
          <w:tcPr>
            <w:tcW w:w="0" w:type="auto"/>
            <w:hideMark/>
          </w:tcPr>
          <w:p w14:paraId="29D546EB" w14:textId="77777777" w:rsidR="00BE1AA7" w:rsidRPr="0058255C" w:rsidRDefault="00BE1AA7" w:rsidP="00BE1AA7">
            <w:pPr>
              <w:spacing w:after="160" w:line="276" w:lineRule="auto"/>
            </w:pPr>
            <w:r w:rsidRPr="0058255C">
              <w:rPr>
                <w:b/>
                <w:bCs/>
              </w:rPr>
              <w:t>Medium</w:t>
            </w:r>
          </w:p>
        </w:tc>
        <w:tc>
          <w:tcPr>
            <w:tcW w:w="0" w:type="auto"/>
            <w:hideMark/>
          </w:tcPr>
          <w:p w14:paraId="760E71CC" w14:textId="77777777" w:rsidR="00BE1AA7" w:rsidRPr="0058255C" w:rsidRDefault="00BE1AA7" w:rsidP="00BE1AA7">
            <w:pPr>
              <w:spacing w:after="160" w:line="276" w:lineRule="auto"/>
            </w:pPr>
            <w:r w:rsidRPr="0058255C">
              <w:t xml:space="preserve">Threat modelling, integrity audits </w:t>
            </w:r>
          </w:p>
        </w:tc>
        <w:tc>
          <w:tcPr>
            <w:tcW w:w="0" w:type="auto"/>
            <w:hideMark/>
          </w:tcPr>
          <w:p w14:paraId="23308371" w14:textId="77777777" w:rsidR="00BE1AA7" w:rsidRPr="0058255C" w:rsidRDefault="00BE1AA7" w:rsidP="00BE1AA7">
            <w:pPr>
              <w:spacing w:after="160" w:line="276" w:lineRule="auto"/>
            </w:pPr>
            <w:r w:rsidRPr="0058255C">
              <w:t>CISO</w:t>
            </w:r>
          </w:p>
        </w:tc>
      </w:tr>
      <w:tr w:rsidR="00BE1AA7" w:rsidRPr="0058255C" w14:paraId="678C08D6" w14:textId="77777777" w:rsidTr="00BE1AA7">
        <w:tc>
          <w:tcPr>
            <w:tcW w:w="0" w:type="auto"/>
            <w:hideMark/>
          </w:tcPr>
          <w:p w14:paraId="0B00B33C" w14:textId="77777777" w:rsidR="00BE1AA7" w:rsidRPr="0058255C" w:rsidRDefault="00BE1AA7" w:rsidP="00BE1AA7">
            <w:pPr>
              <w:spacing w:after="160" w:line="276" w:lineRule="auto"/>
            </w:pPr>
            <w:r w:rsidRPr="0058255C">
              <w:rPr>
                <w:b/>
                <w:bCs/>
              </w:rPr>
              <w:t>RSK-05</w:t>
            </w:r>
          </w:p>
        </w:tc>
        <w:tc>
          <w:tcPr>
            <w:tcW w:w="0" w:type="auto"/>
            <w:hideMark/>
          </w:tcPr>
          <w:p w14:paraId="34E8B6A0" w14:textId="77777777" w:rsidR="00BE1AA7" w:rsidRPr="0058255C" w:rsidRDefault="00BE1AA7" w:rsidP="00BE1AA7">
            <w:pPr>
              <w:spacing w:after="160" w:line="276" w:lineRule="auto"/>
            </w:pPr>
            <w:r w:rsidRPr="0058255C">
              <w:t xml:space="preserve">Supply Chain </w:t>
            </w:r>
          </w:p>
        </w:tc>
        <w:tc>
          <w:tcPr>
            <w:tcW w:w="0" w:type="auto"/>
            <w:hideMark/>
          </w:tcPr>
          <w:p w14:paraId="5EB2E9F2" w14:textId="77777777" w:rsidR="00BE1AA7" w:rsidRPr="0058255C" w:rsidRDefault="00BE1AA7" w:rsidP="00BE1AA7">
            <w:pPr>
              <w:spacing w:after="160" w:line="276" w:lineRule="auto"/>
            </w:pPr>
            <w:r w:rsidRPr="0058255C">
              <w:t xml:space="preserve">No formal BCP/DR </w:t>
            </w:r>
          </w:p>
        </w:tc>
        <w:tc>
          <w:tcPr>
            <w:tcW w:w="0" w:type="auto"/>
            <w:hideMark/>
          </w:tcPr>
          <w:p w14:paraId="10C5D03E" w14:textId="77777777" w:rsidR="00BE1AA7" w:rsidRPr="0058255C" w:rsidRDefault="00BE1AA7" w:rsidP="00BE1AA7">
            <w:pPr>
              <w:spacing w:after="160" w:line="276" w:lineRule="auto"/>
            </w:pPr>
            <w:r w:rsidRPr="0058255C">
              <w:t>Critical</w:t>
            </w:r>
          </w:p>
        </w:tc>
        <w:tc>
          <w:tcPr>
            <w:tcW w:w="0" w:type="auto"/>
            <w:hideMark/>
          </w:tcPr>
          <w:p w14:paraId="0FD2A082" w14:textId="77777777" w:rsidR="00BE1AA7" w:rsidRPr="0058255C" w:rsidRDefault="00BE1AA7" w:rsidP="00BE1AA7">
            <w:pPr>
              <w:spacing w:after="160" w:line="276" w:lineRule="auto"/>
            </w:pPr>
            <w:r w:rsidRPr="0058255C">
              <w:t>Medium</w:t>
            </w:r>
          </w:p>
        </w:tc>
        <w:tc>
          <w:tcPr>
            <w:tcW w:w="0" w:type="auto"/>
            <w:hideMark/>
          </w:tcPr>
          <w:p w14:paraId="1E6467BB" w14:textId="77777777" w:rsidR="00BE1AA7" w:rsidRPr="0058255C" w:rsidRDefault="00BE1AA7" w:rsidP="00BE1AA7">
            <w:pPr>
              <w:spacing w:after="160" w:line="276" w:lineRule="auto"/>
            </w:pPr>
            <w:r w:rsidRPr="0058255C">
              <w:rPr>
                <w:b/>
                <w:bCs/>
              </w:rPr>
              <w:t>High</w:t>
            </w:r>
          </w:p>
        </w:tc>
        <w:tc>
          <w:tcPr>
            <w:tcW w:w="0" w:type="auto"/>
            <w:hideMark/>
          </w:tcPr>
          <w:p w14:paraId="0CEC35DF" w14:textId="77777777" w:rsidR="00BE1AA7" w:rsidRPr="0058255C" w:rsidRDefault="00BE1AA7" w:rsidP="00BE1AA7">
            <w:pPr>
              <w:spacing w:after="160" w:line="276" w:lineRule="auto"/>
            </w:pPr>
            <w:r w:rsidRPr="0058255C">
              <w:t xml:space="preserve">Formal BCP &amp; DR table-top tests </w:t>
            </w:r>
          </w:p>
        </w:tc>
        <w:tc>
          <w:tcPr>
            <w:tcW w:w="0" w:type="auto"/>
            <w:hideMark/>
          </w:tcPr>
          <w:p w14:paraId="5CDB63AF" w14:textId="77777777" w:rsidR="00BE1AA7" w:rsidRPr="0058255C" w:rsidRDefault="00BE1AA7" w:rsidP="00BE1AA7">
            <w:pPr>
              <w:spacing w:after="160" w:line="276" w:lineRule="auto"/>
            </w:pPr>
            <w:r w:rsidRPr="0058255C">
              <w:t>Ops Dir.</w:t>
            </w:r>
          </w:p>
        </w:tc>
      </w:tr>
    </w:tbl>
    <w:p w14:paraId="71282A9B" w14:textId="119840CE" w:rsidR="00B82F2F" w:rsidRPr="0058255C" w:rsidRDefault="00000000" w:rsidP="004C49E8">
      <w:pPr>
        <w:pStyle w:val="Heading2"/>
        <w:spacing w:line="276" w:lineRule="auto"/>
      </w:pPr>
      <w:bookmarkStart w:id="12" w:name="_Toc234931851"/>
      <w:r w:rsidRPr="0058255C">
        <w:t>5.3 Protection and Access Control</w:t>
      </w:r>
      <w:bookmarkEnd w:id="12"/>
      <w:r w:rsidRPr="0058255C">
        <w:t xml:space="preserve"> </w:t>
      </w:r>
    </w:p>
    <w:p w14:paraId="2CF75F24" w14:textId="6764CBD6" w:rsidR="00B82F2F" w:rsidRPr="0058255C" w:rsidRDefault="00000000" w:rsidP="004C49E8">
      <w:pPr>
        <w:spacing w:line="276" w:lineRule="auto"/>
      </w:pPr>
      <w:r w:rsidRPr="0058255C">
        <w:t xml:space="preserve">This layer tackles numerous severe risks associated with devices everywhere and </w:t>
      </w:r>
      <w:proofErr w:type="gramStart"/>
      <w:r w:rsidRPr="0058255C">
        <w:t>unmanaged, and</w:t>
      </w:r>
      <w:proofErr w:type="gramEnd"/>
      <w:r w:rsidRPr="0058255C">
        <w:t xml:space="preserve"> is the “Protect” and “Detect” of the NIST CSF 2.0. ALL needs to provide Multi-Factor Authentication (MFA) that natively works with Zero-Trust conditional access architecture [17]. </w:t>
      </w:r>
    </w:p>
    <w:p w14:paraId="1163A884" w14:textId="1ED42DFB" w:rsidR="00341155" w:rsidRPr="0058255C" w:rsidRDefault="00341155" w:rsidP="00341155">
      <w:pPr>
        <w:pStyle w:val="Caption"/>
      </w:pPr>
      <w:r w:rsidRPr="0058255C">
        <w:t xml:space="preserve">Table </w:t>
      </w:r>
      <w:fldSimple w:instr=" SEQ Table \* ARABIC ">
        <w:r w:rsidRPr="0058255C">
          <w:rPr>
            <w:noProof/>
          </w:rPr>
          <w:t>2</w:t>
        </w:r>
      </w:fldSimple>
      <w:r w:rsidRPr="0058255C">
        <w:t>: Control Mapping Table</w:t>
      </w:r>
    </w:p>
    <w:tbl>
      <w:tblPr>
        <w:tblStyle w:val="GridTable6Colorful"/>
        <w:tblW w:w="0" w:type="auto"/>
        <w:tblLook w:val="04A0" w:firstRow="1" w:lastRow="0" w:firstColumn="1" w:lastColumn="0" w:noHBand="0" w:noVBand="1"/>
      </w:tblPr>
      <w:tblGrid>
        <w:gridCol w:w="2166"/>
        <w:gridCol w:w="1720"/>
        <w:gridCol w:w="1923"/>
        <w:gridCol w:w="3207"/>
      </w:tblGrid>
      <w:tr w:rsidR="00341155" w:rsidRPr="0058255C" w14:paraId="07794DC7" w14:textId="77777777" w:rsidTr="0034115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3308E87" w14:textId="77777777" w:rsidR="00341155" w:rsidRPr="0058255C" w:rsidRDefault="00341155" w:rsidP="00341155">
            <w:pPr>
              <w:spacing w:after="160" w:line="276" w:lineRule="auto"/>
            </w:pPr>
            <w:r w:rsidRPr="0058255C">
              <w:t>Security Control</w:t>
            </w:r>
          </w:p>
        </w:tc>
        <w:tc>
          <w:tcPr>
            <w:tcW w:w="0" w:type="auto"/>
            <w:hideMark/>
          </w:tcPr>
          <w:p w14:paraId="58D8AF3A" w14:textId="77777777" w:rsidR="00341155" w:rsidRPr="0058255C" w:rsidRDefault="00341155" w:rsidP="00341155">
            <w:pPr>
              <w:spacing w:after="160" w:line="276" w:lineRule="auto"/>
              <w:cnfStyle w:val="100000000000" w:firstRow="1" w:lastRow="0" w:firstColumn="0" w:lastColumn="0" w:oddVBand="0" w:evenVBand="0" w:oddHBand="0" w:evenHBand="0" w:firstRowFirstColumn="0" w:firstRowLastColumn="0" w:lastRowFirstColumn="0" w:lastRowLastColumn="0"/>
            </w:pPr>
            <w:r w:rsidRPr="0058255C">
              <w:t>NIST CSF 2.0 Alignment</w:t>
            </w:r>
          </w:p>
        </w:tc>
        <w:tc>
          <w:tcPr>
            <w:tcW w:w="0" w:type="auto"/>
            <w:hideMark/>
          </w:tcPr>
          <w:p w14:paraId="0BC72A47" w14:textId="77777777" w:rsidR="00341155" w:rsidRPr="0058255C" w:rsidRDefault="00341155" w:rsidP="00341155">
            <w:pPr>
              <w:spacing w:after="160" w:line="276" w:lineRule="auto"/>
              <w:cnfStyle w:val="100000000000" w:firstRow="1" w:lastRow="0" w:firstColumn="0" w:lastColumn="0" w:oddVBand="0" w:evenVBand="0" w:oddHBand="0" w:evenHBand="0" w:firstRowFirstColumn="0" w:firstRowLastColumn="0" w:lastRowFirstColumn="0" w:lastRowLastColumn="0"/>
            </w:pPr>
            <w:r w:rsidRPr="0058255C">
              <w:t>Risk Addressed</w:t>
            </w:r>
          </w:p>
        </w:tc>
        <w:tc>
          <w:tcPr>
            <w:tcW w:w="0" w:type="auto"/>
            <w:hideMark/>
          </w:tcPr>
          <w:p w14:paraId="72AD8FFA" w14:textId="77777777" w:rsidR="00341155" w:rsidRPr="0058255C" w:rsidRDefault="00341155" w:rsidP="00341155">
            <w:pPr>
              <w:spacing w:after="160" w:line="276" w:lineRule="auto"/>
              <w:cnfStyle w:val="100000000000" w:firstRow="1" w:lastRow="0" w:firstColumn="0" w:lastColumn="0" w:oddVBand="0" w:evenVBand="0" w:oddHBand="0" w:evenHBand="0" w:firstRowFirstColumn="0" w:firstRowLastColumn="0" w:lastRowFirstColumn="0" w:lastRowLastColumn="0"/>
            </w:pPr>
            <w:r w:rsidRPr="0058255C">
              <w:t>Implementation Detail</w:t>
            </w:r>
          </w:p>
        </w:tc>
      </w:tr>
      <w:tr w:rsidR="00341155" w:rsidRPr="0058255C" w14:paraId="775CAB92" w14:textId="77777777" w:rsidTr="0034115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3A98AC2" w14:textId="77777777" w:rsidR="00341155" w:rsidRPr="0058255C" w:rsidRDefault="00341155" w:rsidP="00341155">
            <w:pPr>
              <w:spacing w:after="160" w:line="276" w:lineRule="auto"/>
            </w:pPr>
            <w:r w:rsidRPr="0058255C">
              <w:t>MFA &amp; Zero-Trust Architecture</w:t>
            </w:r>
          </w:p>
        </w:tc>
        <w:tc>
          <w:tcPr>
            <w:tcW w:w="0" w:type="auto"/>
            <w:hideMark/>
          </w:tcPr>
          <w:p w14:paraId="2A3D088C" w14:textId="77777777" w:rsidR="00341155" w:rsidRPr="0058255C" w:rsidRDefault="00341155" w:rsidP="00341155">
            <w:pPr>
              <w:spacing w:after="160" w:line="276" w:lineRule="auto"/>
              <w:cnfStyle w:val="000000100000" w:firstRow="0" w:lastRow="0" w:firstColumn="0" w:lastColumn="0" w:oddVBand="0" w:evenVBand="0" w:oddHBand="1" w:evenHBand="0" w:firstRowFirstColumn="0" w:firstRowLastColumn="0" w:lastRowFirstColumn="0" w:lastRowLastColumn="0"/>
            </w:pPr>
            <w:r w:rsidRPr="0058255C">
              <w:t xml:space="preserve">Protect </w:t>
            </w:r>
          </w:p>
        </w:tc>
        <w:tc>
          <w:tcPr>
            <w:tcW w:w="0" w:type="auto"/>
            <w:hideMark/>
          </w:tcPr>
          <w:p w14:paraId="027DB50F" w14:textId="77777777" w:rsidR="00341155" w:rsidRPr="0058255C" w:rsidRDefault="00341155" w:rsidP="00341155">
            <w:pPr>
              <w:spacing w:after="160" w:line="276" w:lineRule="auto"/>
              <w:cnfStyle w:val="000000100000" w:firstRow="0" w:lastRow="0" w:firstColumn="0" w:lastColumn="0" w:oddVBand="0" w:evenVBand="0" w:oddHBand="1" w:evenHBand="0" w:firstRowFirstColumn="0" w:firstRowLastColumn="0" w:lastRowFirstColumn="0" w:lastRowLastColumn="0"/>
            </w:pPr>
            <w:r w:rsidRPr="0058255C">
              <w:t xml:space="preserve">Unmanaged remote access </w:t>
            </w:r>
          </w:p>
        </w:tc>
        <w:tc>
          <w:tcPr>
            <w:tcW w:w="0" w:type="auto"/>
            <w:hideMark/>
          </w:tcPr>
          <w:p w14:paraId="2B97BDE4" w14:textId="77777777" w:rsidR="00341155" w:rsidRPr="0058255C" w:rsidRDefault="00341155" w:rsidP="00341155">
            <w:pPr>
              <w:spacing w:after="160" w:line="276" w:lineRule="auto"/>
              <w:cnfStyle w:val="000000100000" w:firstRow="0" w:lastRow="0" w:firstColumn="0" w:lastColumn="0" w:oddVBand="0" w:evenVBand="0" w:oddHBand="1" w:evenHBand="0" w:firstRowFirstColumn="0" w:firstRowLastColumn="0" w:lastRowFirstColumn="0" w:lastRowLastColumn="0"/>
            </w:pPr>
            <w:r w:rsidRPr="0058255C">
              <w:t xml:space="preserve">Continuous assessment of context, device health, and identity. </w:t>
            </w:r>
          </w:p>
        </w:tc>
      </w:tr>
      <w:tr w:rsidR="00341155" w:rsidRPr="0058255C" w14:paraId="6DEB956A" w14:textId="77777777" w:rsidTr="00341155">
        <w:tc>
          <w:tcPr>
            <w:cnfStyle w:val="001000000000" w:firstRow="0" w:lastRow="0" w:firstColumn="1" w:lastColumn="0" w:oddVBand="0" w:evenVBand="0" w:oddHBand="0" w:evenHBand="0" w:firstRowFirstColumn="0" w:firstRowLastColumn="0" w:lastRowFirstColumn="0" w:lastRowLastColumn="0"/>
            <w:tcW w:w="0" w:type="auto"/>
            <w:hideMark/>
          </w:tcPr>
          <w:p w14:paraId="392EE56B" w14:textId="77777777" w:rsidR="00341155" w:rsidRPr="0058255C" w:rsidRDefault="00341155" w:rsidP="00341155">
            <w:pPr>
              <w:spacing w:after="160" w:line="276" w:lineRule="auto"/>
            </w:pPr>
            <w:r w:rsidRPr="0058255C">
              <w:t>Network Segmentation</w:t>
            </w:r>
          </w:p>
        </w:tc>
        <w:tc>
          <w:tcPr>
            <w:tcW w:w="0" w:type="auto"/>
            <w:hideMark/>
          </w:tcPr>
          <w:p w14:paraId="57240A91" w14:textId="77777777" w:rsidR="00341155" w:rsidRPr="0058255C" w:rsidRDefault="00341155" w:rsidP="00341155">
            <w:pPr>
              <w:spacing w:after="160" w:line="276" w:lineRule="auto"/>
              <w:cnfStyle w:val="000000000000" w:firstRow="0" w:lastRow="0" w:firstColumn="0" w:lastColumn="0" w:oddVBand="0" w:evenVBand="0" w:oddHBand="0" w:evenHBand="0" w:firstRowFirstColumn="0" w:firstRowLastColumn="0" w:lastRowFirstColumn="0" w:lastRowLastColumn="0"/>
            </w:pPr>
            <w:r w:rsidRPr="0058255C">
              <w:t xml:space="preserve">Detect / Protect </w:t>
            </w:r>
          </w:p>
        </w:tc>
        <w:tc>
          <w:tcPr>
            <w:tcW w:w="0" w:type="auto"/>
            <w:hideMark/>
          </w:tcPr>
          <w:p w14:paraId="1CB64E92" w14:textId="77777777" w:rsidR="00341155" w:rsidRPr="0058255C" w:rsidRDefault="00341155" w:rsidP="00341155">
            <w:pPr>
              <w:spacing w:after="160" w:line="276" w:lineRule="auto"/>
              <w:cnfStyle w:val="000000000000" w:firstRow="0" w:lastRow="0" w:firstColumn="0" w:lastColumn="0" w:oddVBand="0" w:evenVBand="0" w:oddHBand="0" w:evenHBand="0" w:firstRowFirstColumn="0" w:firstRowLastColumn="0" w:lastRowFirstColumn="0" w:lastRowLastColumn="0"/>
            </w:pPr>
            <w:r w:rsidRPr="0058255C">
              <w:t xml:space="preserve">Compromised IoT sensors </w:t>
            </w:r>
          </w:p>
        </w:tc>
        <w:tc>
          <w:tcPr>
            <w:tcW w:w="0" w:type="auto"/>
            <w:hideMark/>
          </w:tcPr>
          <w:p w14:paraId="18F0EE1D" w14:textId="77777777" w:rsidR="00341155" w:rsidRPr="0058255C" w:rsidRDefault="00341155" w:rsidP="00341155">
            <w:pPr>
              <w:spacing w:after="160" w:line="276" w:lineRule="auto"/>
              <w:cnfStyle w:val="000000000000" w:firstRow="0" w:lastRow="0" w:firstColumn="0" w:lastColumn="0" w:oddVBand="0" w:evenVBand="0" w:oddHBand="0" w:evenHBand="0" w:firstRowFirstColumn="0" w:firstRowLastColumn="0" w:lastRowFirstColumn="0" w:lastRowLastColumn="0"/>
            </w:pPr>
            <w:r w:rsidRPr="0058255C">
              <w:t xml:space="preserve">Isolate sensors from corporate databases to minimize blast radius. </w:t>
            </w:r>
          </w:p>
        </w:tc>
      </w:tr>
    </w:tbl>
    <w:p w14:paraId="2909B209" w14:textId="18FAD7B6" w:rsidR="00B82F2F" w:rsidRPr="0058255C" w:rsidRDefault="00000000" w:rsidP="004C49E8">
      <w:pPr>
        <w:pStyle w:val="Heading2"/>
        <w:spacing w:line="276" w:lineRule="auto"/>
      </w:pPr>
      <w:bookmarkStart w:id="13" w:name="_Toc234931852"/>
      <w:r w:rsidRPr="0058255C">
        <w:t>5.4 Compliance</w:t>
      </w:r>
      <w:bookmarkEnd w:id="13"/>
      <w:r w:rsidRPr="0058255C">
        <w:t xml:space="preserve"> </w:t>
      </w:r>
    </w:p>
    <w:p w14:paraId="73FFC175" w14:textId="77777777" w:rsidR="00B82F2F" w:rsidRPr="0058255C" w:rsidRDefault="00000000" w:rsidP="004C49E8">
      <w:pPr>
        <w:spacing w:line="276" w:lineRule="auto"/>
      </w:pPr>
      <w:r w:rsidRPr="0058255C">
        <w:t xml:space="preserve">ALL needs to follow the due course of formalisation of their regulatory alignment to address the drastic legal and financial liability suffered due to the above data breaches. In this layer immediate action is required including thorough gap assessments, in line with ISO/IEC 27001, and thorough audits of GDPR alignment [15]. This ensures that all European supply chain PII processing is clear and lawful and will provide an audit trail reassuring all stakeholders and logistics partners around the world. </w:t>
      </w:r>
    </w:p>
    <w:p w14:paraId="35AD9C91" w14:textId="6A320F6C" w:rsidR="00B82F2F" w:rsidRPr="0058255C" w:rsidRDefault="00000000" w:rsidP="004C49E8">
      <w:pPr>
        <w:pStyle w:val="Heading2"/>
        <w:spacing w:line="276" w:lineRule="auto"/>
      </w:pPr>
      <w:bookmarkStart w:id="14" w:name="_Toc234931853"/>
      <w:r w:rsidRPr="0058255C">
        <w:t>5.5 Vendor and Service Level Agreement (SLA) Management</w:t>
      </w:r>
      <w:bookmarkEnd w:id="14"/>
      <w:r w:rsidRPr="0058255C">
        <w:t xml:space="preserve"> </w:t>
      </w:r>
    </w:p>
    <w:p w14:paraId="605C3247" w14:textId="77777777" w:rsidR="00B82F2F" w:rsidRPr="0058255C" w:rsidRDefault="00000000" w:rsidP="004C49E8">
      <w:pPr>
        <w:spacing w:line="276" w:lineRule="auto"/>
      </w:pPr>
      <w:r w:rsidRPr="0058255C">
        <w:t xml:space="preserve">The single most important attack vectors are external IaaS providers, and SaaS providers with 88% of ALL's infrastructure relying on these. To be able to control and standardise the IT related services, it is essential to have this layer there to govern and standardise the ITIL service management disciplines subject to signed vendor contracts [14]. All existing SLAs would need to be renegotiated and tightened up with explicit security obligations, audit rights, data encryption requirements, and the penalties imposed to announcement of data breaches. These SLA terms are ALL's main technical perimeters as physical control of servers is out of the question; the burden falls back on hosting providers.  </w:t>
      </w:r>
    </w:p>
    <w:p w14:paraId="4C01B232" w14:textId="1D8685D1" w:rsidR="00B82F2F" w:rsidRPr="0058255C" w:rsidRDefault="00000000" w:rsidP="004C49E8">
      <w:pPr>
        <w:pStyle w:val="Heading2"/>
        <w:spacing w:line="276" w:lineRule="auto"/>
      </w:pPr>
      <w:bookmarkStart w:id="15" w:name="_Toc234931854"/>
      <w:r w:rsidRPr="0058255C">
        <w:t>5.6 Contingency and Business Continuity</w:t>
      </w:r>
      <w:bookmarkEnd w:id="15"/>
      <w:r w:rsidRPr="0058255C">
        <w:t xml:space="preserve"> </w:t>
      </w:r>
    </w:p>
    <w:p w14:paraId="4716863E" w14:textId="77777777" w:rsidR="001D2C60" w:rsidRPr="0058255C" w:rsidRDefault="00000000" w:rsidP="004C49E8">
      <w:pPr>
        <w:spacing w:line="276" w:lineRule="auto"/>
      </w:pPr>
      <w:r w:rsidRPr="0058255C">
        <w:t>ALL must have Business Continuity Planning (BCP) and incident response plans in place to make its global value chains operational resilient. This means that disaster recovery programs are in writing and are carried out based on ‘table-top exercises' regularly. With this preparation in place, crucial logistics tracking information can be quickly restored from these secure and perpetually stored backup files that provide a snapshot of the most recent copy of the data at a point when that data is not accessible, during time of severe cyber incidents or even during outages by third party logistics vendors.</w:t>
      </w:r>
    </w:p>
    <w:p w14:paraId="2B491F7F" w14:textId="77777777" w:rsidR="00DA40BC" w:rsidRPr="0058255C" w:rsidRDefault="001D2C60" w:rsidP="001D2C60">
      <w:pPr>
        <w:pStyle w:val="Heading2"/>
      </w:pPr>
      <w:r w:rsidRPr="0058255C">
        <w:t>5.7 AI-Enabled Security Governance</w:t>
      </w:r>
    </w:p>
    <w:p w14:paraId="781E1149" w14:textId="2CC14D9A" w:rsidR="00B82F2F" w:rsidRPr="0058255C" w:rsidRDefault="00DA40BC" w:rsidP="00DA40BC">
      <w:pPr>
        <w:spacing w:line="276" w:lineRule="auto"/>
      </w:pPr>
      <w:r w:rsidRPr="0058255C">
        <w:t xml:space="preserve">As far as making the proposed governance model more efficient, it is recommended that </w:t>
      </w:r>
      <w:proofErr w:type="spellStart"/>
      <w:r w:rsidRPr="0058255C">
        <w:t>AeroLink</w:t>
      </w:r>
      <w:proofErr w:type="spellEnd"/>
      <w:r w:rsidRPr="0058255C">
        <w:t xml:space="preserve"> Logistics incorporates the capabilities of AI-driven cyber security along with the chosen models [14]. The usage of Artificial Intelligence will have a great effect on threat detection, response, and compliance monitoring. </w:t>
      </w:r>
    </w:p>
    <w:p w14:paraId="30BA3E81" w14:textId="6D2D2A2E" w:rsidR="00B82F2F" w:rsidRPr="0058255C" w:rsidRDefault="00000000" w:rsidP="00EC3B90">
      <w:pPr>
        <w:pStyle w:val="Heading2"/>
        <w:spacing w:line="276" w:lineRule="auto"/>
      </w:pPr>
      <w:bookmarkStart w:id="16" w:name="_Toc234931855"/>
      <w:r w:rsidRPr="0058255C">
        <w:t>5.</w:t>
      </w:r>
      <w:r w:rsidR="001D2C60" w:rsidRPr="0058255C">
        <w:t>8</w:t>
      </w:r>
      <w:r w:rsidRPr="0058255C">
        <w:t xml:space="preserve"> Implementation Roadmap and Control Mapping</w:t>
      </w:r>
      <w:bookmarkEnd w:id="16"/>
    </w:p>
    <w:tbl>
      <w:tblPr>
        <w:tblStyle w:val="GridTable4-Accent2"/>
        <w:tblW w:w="0" w:type="auto"/>
        <w:tblLook w:val="04A0" w:firstRow="1" w:lastRow="0" w:firstColumn="1" w:lastColumn="0" w:noHBand="0" w:noVBand="1"/>
      </w:tblPr>
      <w:tblGrid>
        <w:gridCol w:w="1376"/>
        <w:gridCol w:w="2143"/>
        <w:gridCol w:w="2768"/>
        <w:gridCol w:w="2729"/>
      </w:tblGrid>
      <w:tr w:rsidR="00614C61" w:rsidRPr="0058255C" w14:paraId="70156280" w14:textId="77777777" w:rsidTr="00614C6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3FCB6B9" w14:textId="77777777" w:rsidR="00B82F2F" w:rsidRPr="0058255C" w:rsidRDefault="00000000" w:rsidP="004C49E8">
            <w:pPr>
              <w:spacing w:after="160" w:line="276" w:lineRule="auto"/>
            </w:pPr>
            <w:r w:rsidRPr="0058255C">
              <w:t>Timeframe</w:t>
            </w:r>
          </w:p>
        </w:tc>
        <w:tc>
          <w:tcPr>
            <w:tcW w:w="0" w:type="auto"/>
            <w:hideMark/>
          </w:tcPr>
          <w:p w14:paraId="40FACB92" w14:textId="77777777" w:rsidR="00B82F2F" w:rsidRPr="0058255C" w:rsidRDefault="00000000" w:rsidP="004C49E8">
            <w:pPr>
              <w:spacing w:after="160" w:line="276" w:lineRule="auto"/>
              <w:cnfStyle w:val="100000000000" w:firstRow="1" w:lastRow="0" w:firstColumn="0" w:lastColumn="0" w:oddVBand="0" w:evenVBand="0" w:oddHBand="0" w:evenHBand="0" w:firstRowFirstColumn="0" w:firstRowLastColumn="0" w:lastRowFirstColumn="0" w:lastRowLastColumn="0"/>
            </w:pPr>
            <w:r w:rsidRPr="0058255C">
              <w:t>Identified Risk / Vulnerability</w:t>
            </w:r>
          </w:p>
        </w:tc>
        <w:tc>
          <w:tcPr>
            <w:tcW w:w="0" w:type="auto"/>
            <w:hideMark/>
          </w:tcPr>
          <w:p w14:paraId="70607D52" w14:textId="77777777" w:rsidR="00B82F2F" w:rsidRPr="0058255C" w:rsidRDefault="00000000" w:rsidP="004C49E8">
            <w:pPr>
              <w:spacing w:after="160" w:line="276" w:lineRule="auto"/>
              <w:cnfStyle w:val="100000000000" w:firstRow="1" w:lastRow="0" w:firstColumn="0" w:lastColumn="0" w:oddVBand="0" w:evenVBand="0" w:oddHBand="0" w:evenHBand="0" w:firstRowFirstColumn="0" w:firstRowLastColumn="0" w:lastRowFirstColumn="0" w:lastRowLastColumn="0"/>
            </w:pPr>
            <w:r w:rsidRPr="0058255C">
              <w:t>Priority Action &amp; Control Implementation</w:t>
            </w:r>
          </w:p>
        </w:tc>
        <w:tc>
          <w:tcPr>
            <w:tcW w:w="0" w:type="auto"/>
            <w:hideMark/>
          </w:tcPr>
          <w:p w14:paraId="40B4B876" w14:textId="77777777" w:rsidR="00B82F2F" w:rsidRPr="0058255C" w:rsidRDefault="00000000" w:rsidP="004C49E8">
            <w:pPr>
              <w:spacing w:after="160" w:line="276" w:lineRule="auto"/>
              <w:cnfStyle w:val="100000000000" w:firstRow="1" w:lastRow="0" w:firstColumn="0" w:lastColumn="0" w:oddVBand="0" w:evenVBand="0" w:oddHBand="0" w:evenHBand="0" w:firstRowFirstColumn="0" w:firstRowLastColumn="0" w:lastRowFirstColumn="0" w:lastRowLastColumn="0"/>
            </w:pPr>
            <w:r w:rsidRPr="0058255C">
              <w:t>Expected Outcome</w:t>
            </w:r>
          </w:p>
        </w:tc>
      </w:tr>
      <w:tr w:rsidR="00614C61" w:rsidRPr="0058255C" w14:paraId="42A6B89F" w14:textId="77777777" w:rsidTr="00614C6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F70CE52" w14:textId="77777777" w:rsidR="00C141D2" w:rsidRPr="0058255C" w:rsidRDefault="00000000" w:rsidP="00C141D2">
            <w:pPr>
              <w:spacing w:after="160" w:line="276" w:lineRule="auto"/>
            </w:pPr>
            <w:r w:rsidRPr="0058255C">
              <w:t>0–3 Months</w:t>
            </w:r>
          </w:p>
        </w:tc>
        <w:tc>
          <w:tcPr>
            <w:tcW w:w="0" w:type="auto"/>
            <w:hideMark/>
          </w:tcPr>
          <w:p w14:paraId="25A80984" w14:textId="77777777" w:rsidR="00C141D2" w:rsidRPr="0058255C" w:rsidRDefault="00000000" w:rsidP="00C141D2">
            <w:pPr>
              <w:spacing w:after="160" w:line="276" w:lineRule="auto"/>
              <w:cnfStyle w:val="000000100000" w:firstRow="0" w:lastRow="0" w:firstColumn="0" w:lastColumn="0" w:oddVBand="0" w:evenVBand="0" w:oddHBand="1" w:evenHBand="0" w:firstRowFirstColumn="0" w:firstRowLastColumn="0" w:lastRowFirstColumn="0" w:lastRowLastColumn="0"/>
            </w:pPr>
            <w:r w:rsidRPr="0058255C">
              <w:t xml:space="preserve">Forbidden access through uncontrolled worldwide devices; Zero governance. </w:t>
            </w:r>
          </w:p>
        </w:tc>
        <w:tc>
          <w:tcPr>
            <w:tcW w:w="0" w:type="auto"/>
            <w:hideMark/>
          </w:tcPr>
          <w:p w14:paraId="3A81CBD2" w14:textId="77777777" w:rsidR="00C141D2" w:rsidRPr="0058255C" w:rsidRDefault="00000000" w:rsidP="00C141D2">
            <w:pPr>
              <w:spacing w:after="160" w:line="276" w:lineRule="auto"/>
              <w:cnfStyle w:val="000000100000" w:firstRow="0" w:lastRow="0" w:firstColumn="0" w:lastColumn="0" w:oddVBand="0" w:evenVBand="0" w:oddHBand="1" w:evenHBand="0" w:firstRowFirstColumn="0" w:firstRowLastColumn="0" w:lastRowFirstColumn="0" w:lastRowLastColumn="0"/>
            </w:pPr>
            <w:r w:rsidRPr="0058255C">
              <w:t xml:space="preserve">Appoint CISO/DPO, implement corporate risk register and enterprise-wide MFA and Zero Trust [17]. </w:t>
            </w:r>
          </w:p>
        </w:tc>
        <w:tc>
          <w:tcPr>
            <w:tcW w:w="0" w:type="auto"/>
            <w:hideMark/>
          </w:tcPr>
          <w:p w14:paraId="2074F9FA" w14:textId="77777777" w:rsidR="00C141D2" w:rsidRPr="0058255C" w:rsidRDefault="00000000" w:rsidP="00C141D2">
            <w:pPr>
              <w:spacing w:after="160" w:line="276" w:lineRule="auto"/>
              <w:cnfStyle w:val="000000100000" w:firstRow="0" w:lastRow="0" w:firstColumn="0" w:lastColumn="0" w:oddVBand="0" w:evenVBand="0" w:oddHBand="1" w:evenHBand="0" w:firstRowFirstColumn="0" w:firstRowLastColumn="0" w:lastRowFirstColumn="0" w:lastRowLastColumn="0"/>
            </w:pPr>
            <w:r w:rsidRPr="0058255C">
              <w:t xml:space="preserve">Quick control of any compromised network access and the creation of an accountability structure. </w:t>
            </w:r>
          </w:p>
        </w:tc>
      </w:tr>
      <w:tr w:rsidR="00614C61" w:rsidRPr="0058255C" w14:paraId="174594BE" w14:textId="77777777" w:rsidTr="00614C61">
        <w:tc>
          <w:tcPr>
            <w:cnfStyle w:val="001000000000" w:firstRow="0" w:lastRow="0" w:firstColumn="1" w:lastColumn="0" w:oddVBand="0" w:evenVBand="0" w:oddHBand="0" w:evenHBand="0" w:firstRowFirstColumn="0" w:firstRowLastColumn="0" w:lastRowFirstColumn="0" w:lastRowLastColumn="0"/>
            <w:tcW w:w="0" w:type="auto"/>
            <w:hideMark/>
          </w:tcPr>
          <w:p w14:paraId="11058C92" w14:textId="77777777" w:rsidR="00C141D2" w:rsidRPr="0058255C" w:rsidRDefault="00000000" w:rsidP="00C141D2">
            <w:pPr>
              <w:spacing w:after="160" w:line="276" w:lineRule="auto"/>
            </w:pPr>
            <w:r w:rsidRPr="0058255C">
              <w:t>3–6 Months</w:t>
            </w:r>
          </w:p>
        </w:tc>
        <w:tc>
          <w:tcPr>
            <w:tcW w:w="0" w:type="auto"/>
            <w:hideMark/>
          </w:tcPr>
          <w:p w14:paraId="1CEE8A98" w14:textId="77777777" w:rsidR="00C141D2" w:rsidRPr="0058255C" w:rsidRDefault="00000000" w:rsidP="00C141D2">
            <w:pPr>
              <w:spacing w:after="160" w:line="276" w:lineRule="auto"/>
              <w:cnfStyle w:val="000000000000" w:firstRow="0" w:lastRow="0" w:firstColumn="0" w:lastColumn="0" w:oddVBand="0" w:evenVBand="0" w:oddHBand="0" w:evenHBand="0" w:firstRowFirstColumn="0" w:firstRowLastColumn="0" w:lastRowFirstColumn="0" w:lastRowLastColumn="0"/>
            </w:pPr>
            <w:r w:rsidRPr="0058255C">
              <w:t xml:space="preserve">Failure to meet regulations; Lack of accountability and oversight of vendors. </w:t>
            </w:r>
          </w:p>
        </w:tc>
        <w:tc>
          <w:tcPr>
            <w:tcW w:w="0" w:type="auto"/>
            <w:hideMark/>
          </w:tcPr>
          <w:p w14:paraId="06479CA0" w14:textId="77777777" w:rsidR="00C141D2" w:rsidRPr="0058255C" w:rsidRDefault="00000000" w:rsidP="00C141D2">
            <w:pPr>
              <w:spacing w:after="160" w:line="276" w:lineRule="auto"/>
              <w:cnfStyle w:val="000000000000" w:firstRow="0" w:lastRow="0" w:firstColumn="0" w:lastColumn="0" w:oddVBand="0" w:evenVBand="0" w:oddHBand="0" w:evenHBand="0" w:firstRowFirstColumn="0" w:firstRowLastColumn="0" w:lastRowFirstColumn="0" w:lastRowLastColumn="0"/>
            </w:pPr>
            <w:r w:rsidRPr="0058255C">
              <w:t xml:space="preserve">ISO 27001 &amp; GDPR Gap Assessments; Renegotiate cloud vendor SLAs with high security and audit clauses. </w:t>
            </w:r>
          </w:p>
        </w:tc>
        <w:tc>
          <w:tcPr>
            <w:tcW w:w="0" w:type="auto"/>
            <w:hideMark/>
          </w:tcPr>
          <w:p w14:paraId="04504A78" w14:textId="77777777" w:rsidR="00C141D2" w:rsidRPr="0058255C" w:rsidRDefault="00000000" w:rsidP="00C141D2">
            <w:pPr>
              <w:spacing w:after="160" w:line="276" w:lineRule="auto"/>
              <w:cnfStyle w:val="000000000000" w:firstRow="0" w:lastRow="0" w:firstColumn="0" w:lastColumn="0" w:oddVBand="0" w:evenVBand="0" w:oddHBand="0" w:evenHBand="0" w:firstRowFirstColumn="0" w:firstRowLastColumn="0" w:lastRowFirstColumn="0" w:lastRowLastColumn="0"/>
            </w:pPr>
            <w:r w:rsidRPr="0058255C">
              <w:t xml:space="preserve">Structured levels of governance maturity, third party accountability and compliance with laws. </w:t>
            </w:r>
          </w:p>
        </w:tc>
      </w:tr>
      <w:tr w:rsidR="00614C61" w:rsidRPr="0058255C" w14:paraId="071B4917" w14:textId="77777777" w:rsidTr="00614C6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3680ADF" w14:textId="77777777" w:rsidR="00C141D2" w:rsidRPr="0058255C" w:rsidRDefault="00000000" w:rsidP="00C141D2">
            <w:pPr>
              <w:spacing w:after="160" w:line="276" w:lineRule="auto"/>
            </w:pPr>
            <w:r w:rsidRPr="0058255C">
              <w:t>6–12 Months</w:t>
            </w:r>
          </w:p>
        </w:tc>
        <w:tc>
          <w:tcPr>
            <w:tcW w:w="0" w:type="auto"/>
            <w:hideMark/>
          </w:tcPr>
          <w:p w14:paraId="297602A7" w14:textId="77777777" w:rsidR="00C141D2" w:rsidRPr="0058255C" w:rsidRDefault="00000000" w:rsidP="00C141D2">
            <w:pPr>
              <w:spacing w:after="160" w:line="276" w:lineRule="auto"/>
              <w:cnfStyle w:val="000000100000" w:firstRow="0" w:lastRow="0" w:firstColumn="0" w:lastColumn="0" w:oddVBand="0" w:evenVBand="0" w:oddHBand="1" w:evenHBand="0" w:firstRowFirstColumn="0" w:firstRowLastColumn="0" w:lastRowFirstColumn="0" w:lastRowLastColumn="0"/>
            </w:pPr>
            <w:r w:rsidRPr="0058255C">
              <w:t xml:space="preserve">Compromise of IoT sensors; Poor incident response. </w:t>
            </w:r>
          </w:p>
        </w:tc>
        <w:tc>
          <w:tcPr>
            <w:tcW w:w="0" w:type="auto"/>
            <w:hideMark/>
          </w:tcPr>
          <w:p w14:paraId="2F507AE3" w14:textId="77777777" w:rsidR="00C141D2" w:rsidRPr="0058255C" w:rsidRDefault="00000000" w:rsidP="00C141D2">
            <w:pPr>
              <w:spacing w:after="160" w:line="276" w:lineRule="auto"/>
              <w:cnfStyle w:val="000000100000" w:firstRow="0" w:lastRow="0" w:firstColumn="0" w:lastColumn="0" w:oddVBand="0" w:evenVBand="0" w:oddHBand="1" w:evenHBand="0" w:firstRowFirstColumn="0" w:firstRowLastColumn="0" w:lastRowFirstColumn="0" w:lastRowLastColumn="0"/>
            </w:pPr>
            <w:r w:rsidRPr="0058255C">
              <w:t xml:space="preserve">Enable IoT network segmentation; Do SIEM monitoring; Formal BCP and DR tests. </w:t>
            </w:r>
          </w:p>
        </w:tc>
        <w:tc>
          <w:tcPr>
            <w:tcW w:w="0" w:type="auto"/>
            <w:hideMark/>
          </w:tcPr>
          <w:p w14:paraId="3D873579" w14:textId="77777777" w:rsidR="00C141D2" w:rsidRPr="0058255C" w:rsidRDefault="00000000" w:rsidP="00C141D2">
            <w:pPr>
              <w:spacing w:after="160" w:line="276" w:lineRule="auto"/>
              <w:cnfStyle w:val="000000100000" w:firstRow="0" w:lastRow="0" w:firstColumn="0" w:lastColumn="0" w:oddVBand="0" w:evenVBand="0" w:oddHBand="1" w:evenHBand="0" w:firstRowFirstColumn="0" w:firstRowLastColumn="0" w:lastRowFirstColumn="0" w:lastRowLastColumn="0"/>
            </w:pPr>
            <w:r w:rsidRPr="0058255C">
              <w:t xml:space="preserve">A consistently high level of operational improvement and proven incident response/recovery resilience. </w:t>
            </w:r>
          </w:p>
        </w:tc>
      </w:tr>
      <w:tr w:rsidR="00614C61" w:rsidRPr="0058255C" w14:paraId="7263EA84" w14:textId="77777777" w:rsidTr="00614C61">
        <w:tc>
          <w:tcPr>
            <w:cnfStyle w:val="001000000000" w:firstRow="0" w:lastRow="0" w:firstColumn="1" w:lastColumn="0" w:oddVBand="0" w:evenVBand="0" w:oddHBand="0" w:evenHBand="0" w:firstRowFirstColumn="0" w:firstRowLastColumn="0" w:lastRowFirstColumn="0" w:lastRowLastColumn="0"/>
            <w:tcW w:w="0" w:type="auto"/>
            <w:hideMark/>
          </w:tcPr>
          <w:p w14:paraId="3CCF9A93" w14:textId="77777777" w:rsidR="00C141D2" w:rsidRPr="0058255C" w:rsidRDefault="00000000" w:rsidP="00C141D2">
            <w:pPr>
              <w:spacing w:after="160" w:line="276" w:lineRule="auto"/>
            </w:pPr>
            <w:r w:rsidRPr="0058255C">
              <w:t>12+ Months</w:t>
            </w:r>
          </w:p>
        </w:tc>
        <w:tc>
          <w:tcPr>
            <w:tcW w:w="0" w:type="auto"/>
            <w:hideMark/>
          </w:tcPr>
          <w:p w14:paraId="0369BB1E" w14:textId="77777777" w:rsidR="00C141D2" w:rsidRPr="0058255C" w:rsidRDefault="00000000" w:rsidP="00C141D2">
            <w:pPr>
              <w:spacing w:after="160" w:line="276" w:lineRule="auto"/>
              <w:cnfStyle w:val="000000000000" w:firstRow="0" w:lastRow="0" w:firstColumn="0" w:lastColumn="0" w:oddVBand="0" w:evenVBand="0" w:oddHBand="0" w:evenHBand="0" w:firstRowFirstColumn="0" w:firstRowLastColumn="0" w:lastRowFirstColumn="0" w:lastRowLastColumn="0"/>
            </w:pPr>
            <w:r w:rsidRPr="0058255C">
              <w:t xml:space="preserve">Changes in the abuse of the supply chain; Security for the long-term. </w:t>
            </w:r>
          </w:p>
        </w:tc>
        <w:tc>
          <w:tcPr>
            <w:tcW w:w="0" w:type="auto"/>
            <w:hideMark/>
          </w:tcPr>
          <w:p w14:paraId="0A3C2CD8" w14:textId="77777777" w:rsidR="00C141D2" w:rsidRPr="0058255C" w:rsidRDefault="00000000" w:rsidP="00C141D2">
            <w:pPr>
              <w:spacing w:after="160" w:line="276" w:lineRule="auto"/>
              <w:cnfStyle w:val="000000000000" w:firstRow="0" w:lastRow="0" w:firstColumn="0" w:lastColumn="0" w:oddVBand="0" w:evenVBand="0" w:oddHBand="0" w:evenHBand="0" w:firstRowFirstColumn="0" w:firstRowLastColumn="0" w:lastRowFirstColumn="0" w:lastRowLastColumn="0"/>
            </w:pPr>
            <w:r w:rsidRPr="0058255C">
              <w:t xml:space="preserve">Plan for formal ISO/IEC 27001 certification; Conduct regular policy reviews and Continuous AI/IoT threat modelling. </w:t>
            </w:r>
          </w:p>
        </w:tc>
        <w:tc>
          <w:tcPr>
            <w:tcW w:w="0" w:type="auto"/>
            <w:hideMark/>
          </w:tcPr>
          <w:p w14:paraId="4190FDC3" w14:textId="77777777" w:rsidR="00C141D2" w:rsidRPr="0058255C" w:rsidRDefault="00000000" w:rsidP="00C141D2">
            <w:pPr>
              <w:spacing w:after="160" w:line="276" w:lineRule="auto"/>
              <w:cnfStyle w:val="000000000000" w:firstRow="0" w:lastRow="0" w:firstColumn="0" w:lastColumn="0" w:oddVBand="0" w:evenVBand="0" w:oddHBand="0" w:evenHBand="0" w:firstRowFirstColumn="0" w:firstRowLastColumn="0" w:lastRowFirstColumn="0" w:lastRowLastColumn="0"/>
            </w:pPr>
            <w:r w:rsidRPr="0058255C">
              <w:t>Continued operation reliability and recognised compliance government audit.</w:t>
            </w:r>
          </w:p>
        </w:tc>
      </w:tr>
    </w:tbl>
    <w:p w14:paraId="7E28D17F" w14:textId="77777777" w:rsidR="006D6268" w:rsidRPr="0058255C" w:rsidRDefault="00000000" w:rsidP="004C49E8">
      <w:pPr>
        <w:pStyle w:val="Heading1"/>
        <w:spacing w:line="276" w:lineRule="auto"/>
      </w:pPr>
      <w:bookmarkStart w:id="17" w:name="_Toc234931856"/>
      <w:r w:rsidRPr="0058255C">
        <w:t>6. Continuous Updates to Regulations and Standards</w:t>
      </w:r>
      <w:bookmarkEnd w:id="17"/>
    </w:p>
    <w:p w14:paraId="7EF9E59A" w14:textId="77777777" w:rsidR="00B41315" w:rsidRPr="0058255C" w:rsidRDefault="00000000" w:rsidP="004C49E8">
      <w:pPr>
        <w:spacing w:line="276" w:lineRule="auto"/>
      </w:pPr>
      <w:r w:rsidRPr="0058255C">
        <w:t xml:space="preserve">In the digital economy these days, cybersecurity governance and regulatory compliance is more than a 'checkbox' exercise in administration. In the context of an organisation such as </w:t>
      </w:r>
      <w:proofErr w:type="spellStart"/>
      <w:r w:rsidRPr="0058255C">
        <w:t>AeroLink</w:t>
      </w:r>
      <w:proofErr w:type="spellEnd"/>
      <w:r w:rsidRPr="0058255C">
        <w:t xml:space="preserve"> Logistics (ALL), where the digital sphere continually evolves, compliance needs to be thought of not just as a regulatory hurdle but as a day-to-day operational imperative that safeguards client trust, upholds legal standing and ensures supply chain continuity around the globe. </w:t>
      </w:r>
    </w:p>
    <w:p w14:paraId="53EA3783" w14:textId="3EF4C494" w:rsidR="00B41315" w:rsidRPr="0058255C" w:rsidRDefault="00000000" w:rsidP="004C49E8">
      <w:pPr>
        <w:pStyle w:val="Heading2"/>
        <w:spacing w:line="276" w:lineRule="auto"/>
      </w:pPr>
      <w:bookmarkStart w:id="18" w:name="_Toc234931857"/>
      <w:r w:rsidRPr="0058255C">
        <w:t>6.1 Inadequacy of Static Audits</w:t>
      </w:r>
      <w:bookmarkEnd w:id="18"/>
      <w:r w:rsidRPr="0058255C">
        <w:t xml:space="preserve"> </w:t>
      </w:r>
    </w:p>
    <w:p w14:paraId="5B606C16" w14:textId="77777777" w:rsidR="00B41315" w:rsidRPr="0058255C" w:rsidRDefault="00000000" w:rsidP="004C49E8">
      <w:pPr>
        <w:spacing w:line="276" w:lineRule="auto"/>
      </w:pPr>
      <w:r w:rsidRPr="0058255C">
        <w:t xml:space="preserve">Normally, companies have implemented a one-year security audit to confirm their security measures. But once a year approach is fundamentally wrong when it comes to ALL's dynamic operating environment. ALL has around 88% of its IT infrastructure outsourced to cloud and a workforce, globally accessing the systems using unmanaged remote devices means the network perimeter, and attack surface, change </w:t>
      </w:r>
      <w:proofErr w:type="gramStart"/>
      <w:r w:rsidRPr="0058255C">
        <w:t>on a daily basis</w:t>
      </w:r>
      <w:proofErr w:type="gramEnd"/>
      <w:r w:rsidRPr="0058255C">
        <w:t xml:space="preserve">. A Static audit only measures at one time and one look at security. After audit, for example, a new zero-day vulnerability on a SaaS app or incorrect configuration of an RDP system, may not be identified or patched for several months and compromise the integrity of PII data for clients and hackers for shipment data. [19] </w:t>
      </w:r>
    </w:p>
    <w:p w14:paraId="1D1F7D7B" w14:textId="4F263A55" w:rsidR="00B41315" w:rsidRPr="0058255C" w:rsidRDefault="00000000" w:rsidP="004C49E8">
      <w:pPr>
        <w:pStyle w:val="Heading2"/>
        <w:spacing w:line="276" w:lineRule="auto"/>
      </w:pPr>
      <w:bookmarkStart w:id="19" w:name="_Toc234931858"/>
      <w:r w:rsidRPr="0058255C">
        <w:t>6.2 Impact of Emerging Technologies and Evolving Threats</w:t>
      </w:r>
      <w:bookmarkEnd w:id="19"/>
      <w:r w:rsidRPr="0058255C">
        <w:t xml:space="preserve"> </w:t>
      </w:r>
    </w:p>
    <w:p w14:paraId="5C1DAA54" w14:textId="21EEC800" w:rsidR="00C655E9" w:rsidRPr="0058255C" w:rsidRDefault="00000000" w:rsidP="00A61E4A">
      <w:pPr>
        <w:spacing w:line="276" w:lineRule="auto"/>
      </w:pPr>
      <w:r w:rsidRPr="0058255C">
        <w:t xml:space="preserve">New technologies in all the logistics improve logistics </w:t>
      </w:r>
      <w:r w:rsidR="004133B7" w:rsidRPr="0058255C">
        <w:t>processes but</w:t>
      </w:r>
      <w:r w:rsidRPr="0058255C">
        <w:t xml:space="preserve"> put ALL under new security demands. One important drawback of wide-spread adoption of IoT tracking sensors is the lack of total built-in security </w:t>
      </w:r>
      <w:r w:rsidR="004133B7" w:rsidRPr="0058255C">
        <w:t>features and</w:t>
      </w:r>
      <w:r w:rsidRPr="0058255C">
        <w:t xml:space="preserve"> having to rely on them to be continuously monitored and update their firmware </w:t>
      </w:r>
      <w:proofErr w:type="gramStart"/>
      <w:r w:rsidRPr="0058255C">
        <w:t>in order to</w:t>
      </w:r>
      <w:proofErr w:type="gramEnd"/>
      <w:r w:rsidRPr="0058255C">
        <w:t xml:space="preserve"> prevent attack on the network [20]. </w:t>
      </w:r>
    </w:p>
    <w:p w14:paraId="791C3FC3" w14:textId="3AAACFB9" w:rsidR="00B41315" w:rsidRPr="0058255C" w:rsidRDefault="00000000" w:rsidP="00A61E4A">
      <w:pPr>
        <w:spacing w:line="276" w:lineRule="auto"/>
      </w:pPr>
      <w:r w:rsidRPr="0058255C">
        <w:t xml:space="preserve">Moreover, the use of AI-powered analytics by ALL </w:t>
      </w:r>
      <w:proofErr w:type="gramStart"/>
      <w:r w:rsidRPr="0058255C">
        <w:t>opens up</w:t>
      </w:r>
      <w:proofErr w:type="gramEnd"/>
      <w:r w:rsidRPr="0058255C">
        <w:t xml:space="preserve"> new attacks such as data poisoning, allowing those with bad intentions to corrupt the data, and adversarial manipulation, which may tamper with AI algorithms to take automated decisions out of control or misroute logistics. Meanwhile, the regulatory landscape is shifting all over the world in response to developments in technology. Data protection regulatory frameworks like the GDPR have requirements for the use of personal data in AI models, whilst the security in the complex digital supply chain is controlled by data protection authorities, who will enforce it and regularly update the regulations to keep pace with new products, markets and applications [21]. </w:t>
      </w:r>
    </w:p>
    <w:p w14:paraId="4BC72795" w14:textId="08989D2F" w:rsidR="00B41315" w:rsidRPr="0058255C" w:rsidRDefault="00000000" w:rsidP="004C49E8">
      <w:pPr>
        <w:pStyle w:val="Heading2"/>
        <w:spacing w:line="276" w:lineRule="auto"/>
      </w:pPr>
      <w:bookmarkStart w:id="20" w:name="_Toc234931859"/>
      <w:r w:rsidRPr="0058255C">
        <w:t>6.3 Continuous Monitoring and Framework Alignment</w:t>
      </w:r>
      <w:bookmarkEnd w:id="20"/>
      <w:r w:rsidRPr="0058255C">
        <w:t xml:space="preserve"> </w:t>
      </w:r>
    </w:p>
    <w:p w14:paraId="32464FD4" w14:textId="269BE30A" w:rsidR="006D6268" w:rsidRPr="0058255C" w:rsidRDefault="00000000" w:rsidP="00A61E4A">
      <w:pPr>
        <w:spacing w:line="276" w:lineRule="auto"/>
      </w:pPr>
      <w:r w:rsidRPr="0058255C">
        <w:t xml:space="preserve">In this ever-evolving threat landscape, however, ALL needs to be transformed from a reactive auditing and compliance auditing process to continuous monitoring and proactive risk management. Therefore, it is important to welcome flexible and evolving and to involve ideas like those of the NIST Cybersecurity Framework (CSF) 2.0. On the other hand, modernised frameworks, which are more concerned about how companies need to navigate the intricacies of digital supply chains, distributed IT environments and so much granularity over cloud security [22], are more in this part of their evolution. Constant monitoring has become part of ALL's culture and ensures verification of technical controls against a constant risk. </w:t>
      </w:r>
    </w:p>
    <w:p w14:paraId="4E71438B" w14:textId="77777777" w:rsidR="006D6268" w:rsidRPr="0058255C" w:rsidRDefault="00000000" w:rsidP="004C49E8">
      <w:pPr>
        <w:pStyle w:val="Heading1"/>
        <w:spacing w:line="276" w:lineRule="auto"/>
      </w:pPr>
      <w:bookmarkStart w:id="21" w:name="_Toc234931860"/>
      <w:r w:rsidRPr="0058255C">
        <w:t>7. Conclusion</w:t>
      </w:r>
      <w:bookmarkEnd w:id="21"/>
    </w:p>
    <w:p w14:paraId="6A3908EE" w14:textId="71C4B305" w:rsidR="00304CE2" w:rsidRPr="0058255C" w:rsidRDefault="00000000" w:rsidP="00304CE2">
      <w:pPr>
        <w:spacing w:line="276" w:lineRule="auto"/>
      </w:pPr>
      <w:proofErr w:type="spellStart"/>
      <w:r w:rsidRPr="0058255C">
        <w:t>AeroLink</w:t>
      </w:r>
      <w:proofErr w:type="spellEnd"/>
      <w:r w:rsidRPr="0058255C">
        <w:t xml:space="preserve"> Logistics (ALL), moving from a disjointed, reactive IT environment towards a centralised and strategic approach to security governance today. The fact that ALL is a complex fabric of digital as per the examples in this report with an 88% outsourced cloud, a multitude of unmanaged remote endpoints and vulnerable IoT deployments cannot be secured by any single industry standard. </w:t>
      </w:r>
    </w:p>
    <w:p w14:paraId="29187FB5" w14:textId="77777777" w:rsidR="00304CE2" w:rsidRPr="0058255C" w:rsidRDefault="00000000" w:rsidP="00304CE2">
      <w:pPr>
        <w:spacing w:line="276" w:lineRule="auto"/>
      </w:pPr>
      <w:r w:rsidRPr="0058255C">
        <w:t xml:space="preserve">Therefore, there is a greater need for hybrid system of governance. This multi-layered blueprint brings together COBIT 2019 for Executive accountability, NIST CSF 2.0 to manage the front lines of your technical operations to third parties, ISO/IEC 27001 for legally </w:t>
      </w:r>
      <w:proofErr w:type="spellStart"/>
      <w:r w:rsidRPr="0058255C">
        <w:t>auditble</w:t>
      </w:r>
      <w:proofErr w:type="spellEnd"/>
      <w:r w:rsidRPr="0058255C">
        <w:t xml:space="preserve"> compliance and ITIL 4 for strict third-party Service Level Agreement (SLA) management, and these all work together to systematically tackle your organisation's vulnerabilities. </w:t>
      </w:r>
    </w:p>
    <w:p w14:paraId="2BE81627" w14:textId="52D5E1E6" w:rsidR="003A5264" w:rsidRPr="0058255C" w:rsidRDefault="00000000" w:rsidP="00304CE2">
      <w:pPr>
        <w:spacing w:line="276" w:lineRule="auto"/>
      </w:pPr>
      <w:r w:rsidRPr="0058255C">
        <w:t>Overall, it can help to ensure continued good governance of the unmanaged endpoints throughout the world and strong liability can be placed on external cloud vendors. Moving forward, ALL is prepared to leverage the framework to sustain its global supply chain and logistics activities, as well as increase its future security and contain the ever-evolving threat and regulatory environment.</w:t>
      </w:r>
      <w:r w:rsidR="00513292" w:rsidRPr="0058255C">
        <w:t xml:space="preserve"> </w:t>
      </w:r>
      <w:r w:rsidR="00DA40BC" w:rsidRPr="0058255C">
        <w:t>Future research should be oriented towards developing AI-driven cybersecurity governance via threat intelligence, automatic compliance checks and security posturing in the cloud.</w:t>
      </w:r>
    </w:p>
    <w:p w14:paraId="01A69004" w14:textId="77777777" w:rsidR="00304CE2" w:rsidRPr="0058255C" w:rsidRDefault="00000000">
      <w:pPr>
        <w:spacing w:line="259" w:lineRule="auto"/>
        <w:jc w:val="left"/>
        <w:rPr>
          <w:rFonts w:eastAsiaTheme="majorEastAsia" w:cstheme="majorBidi"/>
          <w:b/>
          <w:sz w:val="28"/>
          <w:szCs w:val="40"/>
        </w:rPr>
      </w:pPr>
      <w:bookmarkStart w:id="22" w:name="_Toc234931861"/>
      <w:r w:rsidRPr="0058255C">
        <w:br w:type="page"/>
      </w:r>
    </w:p>
    <w:p w14:paraId="6DEFA59E" w14:textId="581D26C1" w:rsidR="0004104F" w:rsidRPr="0058255C" w:rsidRDefault="00000000" w:rsidP="004C49E8">
      <w:pPr>
        <w:pStyle w:val="Heading1"/>
        <w:spacing w:line="276" w:lineRule="auto"/>
      </w:pPr>
      <w:r w:rsidRPr="0058255C">
        <w:t>References</w:t>
      </w:r>
      <w:bookmarkEnd w:id="22"/>
      <w:r w:rsidR="00307668" w:rsidRPr="0058255C">
        <w:t xml:space="preserve"> </w:t>
      </w:r>
    </w:p>
    <w:p w14:paraId="53E084CD" w14:textId="0BE41335" w:rsidR="00DB1F02" w:rsidRPr="0058255C" w:rsidRDefault="00DB1F02" w:rsidP="00DB1F02">
      <w:pPr>
        <w:spacing w:line="276" w:lineRule="auto"/>
      </w:pPr>
      <w:r w:rsidRPr="0058255C">
        <w:t xml:space="preserve">[1] P. </w:t>
      </w:r>
      <w:proofErr w:type="spellStart"/>
      <w:r w:rsidRPr="0058255C">
        <w:t>Tiitto</w:t>
      </w:r>
      <w:proofErr w:type="spellEnd"/>
      <w:r w:rsidRPr="0058255C">
        <w:t xml:space="preserve">, "Service level agreements: quality assurance in a public sector organisation," 2025. urn: </w:t>
      </w:r>
      <w:proofErr w:type="gramStart"/>
      <w:r w:rsidRPr="0058255C">
        <w:t>urn:nbn</w:t>
      </w:r>
      <w:proofErr w:type="gramEnd"/>
      <w:r w:rsidRPr="0058255C">
        <w:t>:</w:t>
      </w:r>
      <w:proofErr w:type="gramStart"/>
      <w:r w:rsidRPr="0058255C">
        <w:t>fi:amk</w:t>
      </w:r>
      <w:proofErr w:type="gramEnd"/>
      <w:r w:rsidRPr="0058255C">
        <w:t xml:space="preserve">-2025-898204. Available: </w:t>
      </w:r>
      <w:hyperlink r:id="rId15" w:history="1">
        <w:r w:rsidRPr="0058255C">
          <w:rPr>
            <w:rStyle w:val="Hyperlink"/>
          </w:rPr>
          <w:t>https://urn.fi/URN:NBN:fi:amk-2025-898204</w:t>
        </w:r>
      </w:hyperlink>
      <w:r w:rsidRPr="0058255C">
        <w:t xml:space="preserve"> </w:t>
      </w:r>
    </w:p>
    <w:p w14:paraId="67537CA5" w14:textId="64104E43" w:rsidR="00DB1F02" w:rsidRPr="0058255C" w:rsidRDefault="00DB1F02" w:rsidP="00DB1F02">
      <w:pPr>
        <w:spacing w:line="276" w:lineRule="auto"/>
      </w:pPr>
      <w:r w:rsidRPr="0058255C">
        <w:t xml:space="preserve">[2] O. M. </w:t>
      </w:r>
      <w:proofErr w:type="spellStart"/>
      <w:r w:rsidRPr="0058255C">
        <w:t>Oluoha</w:t>
      </w:r>
      <w:proofErr w:type="spellEnd"/>
      <w:r w:rsidRPr="0058255C">
        <w:t xml:space="preserve">, A. </w:t>
      </w:r>
      <w:proofErr w:type="spellStart"/>
      <w:r w:rsidRPr="0058255C">
        <w:t>Odeshina</w:t>
      </w:r>
      <w:proofErr w:type="spellEnd"/>
      <w:r w:rsidRPr="0058255C">
        <w:t xml:space="preserve">, O. Reis, F. </w:t>
      </w:r>
      <w:proofErr w:type="spellStart"/>
      <w:r w:rsidRPr="0058255C">
        <w:t>Okpeke</w:t>
      </w:r>
      <w:proofErr w:type="spellEnd"/>
      <w:r w:rsidRPr="0058255C">
        <w:t xml:space="preserve">, V. Attipoe, and O. H. </w:t>
      </w:r>
      <w:proofErr w:type="spellStart"/>
      <w:r w:rsidRPr="0058255C">
        <w:t>Orieno</w:t>
      </w:r>
      <w:proofErr w:type="spellEnd"/>
      <w:r w:rsidRPr="0058255C">
        <w:t xml:space="preserve">, "A unified framework for risk-based access control and identity management in compliance-critical environments," </w:t>
      </w:r>
      <w:r w:rsidRPr="0058255C">
        <w:rPr>
          <w:i/>
          <w:iCs/>
        </w:rPr>
        <w:t>J. Frontiers Multidisciplinary Res.</w:t>
      </w:r>
      <w:r w:rsidRPr="0058255C">
        <w:t xml:space="preserve">, vol. 3, no. 1, pp. 23–34, 2022. </w:t>
      </w:r>
      <w:proofErr w:type="spellStart"/>
      <w:r w:rsidRPr="0058255C">
        <w:t>doi</w:t>
      </w:r>
      <w:proofErr w:type="spellEnd"/>
      <w:r w:rsidRPr="0058255C">
        <w:t xml:space="preserve">: 10.54660/IJFMR.2022.3.1.23. Available: </w:t>
      </w:r>
      <w:hyperlink r:id="rId16" w:history="1">
        <w:r w:rsidRPr="0058255C">
          <w:rPr>
            <w:rStyle w:val="Hyperlink"/>
          </w:rPr>
          <w:t>https://doi.org/10.54660/IJFMR.2022.3.1.23</w:t>
        </w:r>
      </w:hyperlink>
      <w:r w:rsidRPr="0058255C">
        <w:t xml:space="preserve"> </w:t>
      </w:r>
    </w:p>
    <w:p w14:paraId="08E1AD6C" w14:textId="0B6CB0CC" w:rsidR="00DB1F02" w:rsidRPr="0058255C" w:rsidRDefault="00DB1F02" w:rsidP="00DB1F02">
      <w:pPr>
        <w:spacing w:line="276" w:lineRule="auto"/>
      </w:pPr>
      <w:r w:rsidRPr="0058255C">
        <w:t xml:space="preserve">[3] M. Almutairi and F. T. Sheldon, "IoT–cloud integration security: A survey of challenges, solutions, and directions," </w:t>
      </w:r>
      <w:r w:rsidRPr="0058255C">
        <w:rPr>
          <w:i/>
          <w:iCs/>
        </w:rPr>
        <w:t>Electronics</w:t>
      </w:r>
      <w:r w:rsidRPr="0058255C">
        <w:t xml:space="preserve">, vol. 14, no. 7, p. 1394, 2025. </w:t>
      </w:r>
      <w:proofErr w:type="spellStart"/>
      <w:r w:rsidRPr="0058255C">
        <w:t>doi</w:t>
      </w:r>
      <w:proofErr w:type="spellEnd"/>
      <w:r w:rsidRPr="0058255C">
        <w:t xml:space="preserve">: 10.3390/electronics14071394. Available: </w:t>
      </w:r>
      <w:hyperlink r:id="rId17" w:history="1">
        <w:r w:rsidRPr="0058255C">
          <w:rPr>
            <w:rStyle w:val="Hyperlink"/>
          </w:rPr>
          <w:t>https://doi.org/10.3390/electronics14071394</w:t>
        </w:r>
      </w:hyperlink>
      <w:r w:rsidRPr="0058255C">
        <w:t xml:space="preserve"> </w:t>
      </w:r>
    </w:p>
    <w:p w14:paraId="54C6B5CA" w14:textId="1D945514" w:rsidR="00DB1F02" w:rsidRPr="0058255C" w:rsidRDefault="00DB1F02" w:rsidP="00DB1F02">
      <w:pPr>
        <w:spacing w:line="276" w:lineRule="auto"/>
      </w:pPr>
      <w:r w:rsidRPr="0058255C">
        <w:t xml:space="preserve">[4] M. Parmar and A. Miles, "Cyber security frameworks (CSFs): An assessment between the NIST CSF v2.0 and EU standards," in </w:t>
      </w:r>
      <w:r w:rsidRPr="0058255C">
        <w:rPr>
          <w:i/>
          <w:iCs/>
        </w:rPr>
        <w:t>2024 Security for Space Systems (3S)</w:t>
      </w:r>
      <w:r w:rsidRPr="0058255C">
        <w:t xml:space="preserve">, IEEE, May 2024, pp. 1–7. Available: </w:t>
      </w:r>
      <w:hyperlink r:id="rId18" w:history="1">
        <w:r w:rsidRPr="0058255C">
          <w:rPr>
            <w:rStyle w:val="Hyperlink"/>
          </w:rPr>
          <w:t>https://doi.org/10.1109/3S63260.2024.10693964</w:t>
        </w:r>
      </w:hyperlink>
      <w:r w:rsidRPr="0058255C">
        <w:rPr>
          <w:i/>
          <w:iCs/>
        </w:rPr>
        <w:t xml:space="preserve"> </w:t>
      </w:r>
    </w:p>
    <w:p w14:paraId="6638F101" w14:textId="36E38698" w:rsidR="00DB1F02" w:rsidRPr="0058255C" w:rsidRDefault="00DB1F02" w:rsidP="00DB1F02">
      <w:pPr>
        <w:spacing w:line="276" w:lineRule="auto"/>
      </w:pPr>
      <w:r w:rsidRPr="0058255C">
        <w:t xml:space="preserve">[5] J. A. Smith, E. R. Johnson, M. T. Brown, S. L. Davis, and E. William, "Program Governance Alignment with NIST Frameworks," 2024. </w:t>
      </w:r>
      <w:proofErr w:type="spellStart"/>
      <w:r w:rsidRPr="0058255C">
        <w:t>doi</w:t>
      </w:r>
      <w:proofErr w:type="spellEnd"/>
      <w:r w:rsidRPr="0058255C">
        <w:t xml:space="preserve">: 10.13140/RG.2.2.14660.39503. Available: </w:t>
      </w:r>
      <w:hyperlink r:id="rId19" w:history="1">
        <w:r w:rsidRPr="0058255C">
          <w:rPr>
            <w:rStyle w:val="Hyperlink"/>
          </w:rPr>
          <w:t>https://doi.org/10.13140/RG.2.2.14660.39503</w:t>
        </w:r>
      </w:hyperlink>
      <w:r w:rsidRPr="0058255C">
        <w:t xml:space="preserve"> </w:t>
      </w:r>
    </w:p>
    <w:p w14:paraId="31829F69" w14:textId="27AEB312" w:rsidR="00DB1F02" w:rsidRPr="0058255C" w:rsidRDefault="00DB1F02" w:rsidP="00DB1F02">
      <w:pPr>
        <w:spacing w:line="276" w:lineRule="auto"/>
      </w:pPr>
      <w:r w:rsidRPr="0058255C">
        <w:t xml:space="preserve">[6] M. </w:t>
      </w:r>
      <w:proofErr w:type="spellStart"/>
      <w:r w:rsidRPr="0058255C">
        <w:t>Paparizarei</w:t>
      </w:r>
      <w:proofErr w:type="spellEnd"/>
      <w:r w:rsidRPr="0058255C">
        <w:t xml:space="preserve">, "Analysis of security standards," 2024. handle: 123456789/9076. Available: </w:t>
      </w:r>
      <w:hyperlink r:id="rId20" w:history="1">
        <w:r w:rsidRPr="0058255C">
          <w:rPr>
            <w:rStyle w:val="Hyperlink"/>
          </w:rPr>
          <w:t>http://hdl.handle.net/123456789/9076</w:t>
        </w:r>
      </w:hyperlink>
      <w:r w:rsidRPr="0058255C">
        <w:t xml:space="preserve"> </w:t>
      </w:r>
    </w:p>
    <w:p w14:paraId="7B2A5622" w14:textId="77777777" w:rsidR="00DB1F02" w:rsidRPr="0058255C" w:rsidRDefault="00DB1F02" w:rsidP="00DB1F02">
      <w:pPr>
        <w:spacing w:line="276" w:lineRule="auto"/>
      </w:pPr>
      <w:r w:rsidRPr="0058255C">
        <w:t xml:space="preserve">[7] B. Metin, S. B. Sevim, and M. Wynn, "Cybersecurity Strategy Development: Towards an Integrated Approach Based on COBIT and ISO 27000 Series Standards," </w:t>
      </w:r>
      <w:r w:rsidRPr="0058255C">
        <w:rPr>
          <w:i/>
          <w:iCs/>
        </w:rPr>
        <w:t>Standards</w:t>
      </w:r>
      <w:r w:rsidRPr="0058255C">
        <w:t xml:space="preserve">, vol. 5, no. 4, p. 33, 2025. </w:t>
      </w:r>
      <w:proofErr w:type="spellStart"/>
      <w:r w:rsidRPr="0058255C">
        <w:t>doi</w:t>
      </w:r>
      <w:proofErr w:type="spellEnd"/>
      <w:r w:rsidRPr="0058255C">
        <w:t xml:space="preserve">: 10.3390/standards5040033. Available: </w:t>
      </w:r>
      <w:hyperlink r:id="rId21" w:tgtFrame="_new" w:history="1">
        <w:r w:rsidRPr="0058255C">
          <w:rPr>
            <w:rStyle w:val="Hyperlink"/>
          </w:rPr>
          <w:t>https://doi.org/10.3390/standards5040033</w:t>
        </w:r>
      </w:hyperlink>
    </w:p>
    <w:p w14:paraId="22375223" w14:textId="5917F3AA" w:rsidR="00DB1F02" w:rsidRPr="0058255C" w:rsidRDefault="00DB1F02" w:rsidP="00DB1F02">
      <w:pPr>
        <w:spacing w:line="276" w:lineRule="auto"/>
      </w:pPr>
      <w:r w:rsidRPr="0058255C">
        <w:t xml:space="preserve">[8] M. </w:t>
      </w:r>
      <w:proofErr w:type="spellStart"/>
      <w:r w:rsidRPr="0058255C">
        <w:t>Alojail</w:t>
      </w:r>
      <w:proofErr w:type="spellEnd"/>
      <w:r w:rsidRPr="0058255C">
        <w:t xml:space="preserve">, "ITIL usage, and use of ITIL recommended practices and the IT outsourcing relationship quality," Ph.D. dissertation, RMIT University, 2024. </w:t>
      </w:r>
      <w:proofErr w:type="spellStart"/>
      <w:r w:rsidRPr="0058255C">
        <w:t>doi</w:t>
      </w:r>
      <w:proofErr w:type="spellEnd"/>
      <w:r w:rsidRPr="0058255C">
        <w:t xml:space="preserve">: 10.25439/rmt.27351378. Available: </w:t>
      </w:r>
      <w:hyperlink r:id="rId22" w:history="1">
        <w:r w:rsidRPr="0058255C">
          <w:rPr>
            <w:rStyle w:val="Hyperlink"/>
          </w:rPr>
          <w:t>https://doi.org/10.25439/rmt.27351378</w:t>
        </w:r>
      </w:hyperlink>
      <w:r w:rsidRPr="0058255C">
        <w:t xml:space="preserve"> </w:t>
      </w:r>
    </w:p>
    <w:p w14:paraId="3F56BEE3" w14:textId="405655F0" w:rsidR="00DB1F02" w:rsidRPr="0058255C" w:rsidRDefault="00DB1F02" w:rsidP="00DB1F02">
      <w:pPr>
        <w:spacing w:line="276" w:lineRule="auto"/>
      </w:pPr>
      <w:r w:rsidRPr="0058255C">
        <w:t xml:space="preserve">[9] C. Varol, "Enhancing and Adapting Security Risk Assessment Strategies on Critical Infrastructure Utilizing IoT Devices using NIST Cybersecurity Framework 2.0," Institute for Homeland Security, 2024. handle: 20.500.11875/4982. Available: </w:t>
      </w:r>
      <w:hyperlink r:id="rId23" w:history="1">
        <w:r w:rsidRPr="0058255C">
          <w:rPr>
            <w:rStyle w:val="Hyperlink"/>
          </w:rPr>
          <w:t>http://hdl.handle.net/20.500.11875/4982</w:t>
        </w:r>
      </w:hyperlink>
      <w:r w:rsidRPr="0058255C">
        <w:t xml:space="preserve"> </w:t>
      </w:r>
    </w:p>
    <w:p w14:paraId="7DE5F0D0" w14:textId="15524553" w:rsidR="00DB1F02" w:rsidRPr="0058255C" w:rsidRDefault="00DB1F02" w:rsidP="00DB1F02">
      <w:pPr>
        <w:spacing w:line="276" w:lineRule="auto"/>
      </w:pPr>
      <w:r w:rsidRPr="0058255C">
        <w:t xml:space="preserve">[10] M. O. Faruq, "Vendor risk management in cloud-centric architectures: A systematic review of SOC 2, FedRAMP, and ISO 27001 practices," </w:t>
      </w:r>
      <w:r w:rsidRPr="0058255C">
        <w:rPr>
          <w:i/>
          <w:iCs/>
        </w:rPr>
        <w:t>Int. J. Bus. Econ. Insights</w:t>
      </w:r>
      <w:r w:rsidRPr="0058255C">
        <w:t xml:space="preserve">, vol. 4, no. 1, pp. 1–32, 2024. </w:t>
      </w:r>
      <w:proofErr w:type="spellStart"/>
      <w:r w:rsidRPr="0058255C">
        <w:t>doi</w:t>
      </w:r>
      <w:proofErr w:type="spellEnd"/>
      <w:r w:rsidRPr="0058255C">
        <w:t xml:space="preserve">: 10.63125/j64vb122. Available: </w:t>
      </w:r>
      <w:hyperlink r:id="rId24" w:history="1">
        <w:r w:rsidRPr="0058255C">
          <w:rPr>
            <w:rStyle w:val="Hyperlink"/>
          </w:rPr>
          <w:t>https://doi.org/10.63125/j64vb122</w:t>
        </w:r>
      </w:hyperlink>
      <w:r w:rsidRPr="0058255C">
        <w:t xml:space="preserve"> </w:t>
      </w:r>
    </w:p>
    <w:p w14:paraId="79546068" w14:textId="77777777" w:rsidR="00DB1F02" w:rsidRDefault="00DB1F02" w:rsidP="00DB1F02">
      <w:pPr>
        <w:spacing w:line="276" w:lineRule="auto"/>
      </w:pPr>
      <w:r w:rsidRPr="0058255C">
        <w:t xml:space="preserve">[11] T. J. Faulk Jr., "Senior Executives’ Strategic Edicts for Consistent Information Technology Metrics over Asset Management," Ph.D. dissertation, Walden University, 2024. ProQuest ID: 50e44e354effb60f866130d7d307bc50. Available: </w:t>
      </w:r>
      <w:hyperlink r:id="rId25" w:tgtFrame="_new" w:history="1">
        <w:r w:rsidRPr="0058255C">
          <w:rPr>
            <w:rStyle w:val="Hyperlink"/>
          </w:rPr>
          <w:t>https://www.proquest.com/</w:t>
        </w:r>
      </w:hyperlink>
    </w:p>
    <w:p w14:paraId="5B3A0AB1" w14:textId="77777777" w:rsidR="00201FF5" w:rsidRPr="0058255C" w:rsidRDefault="00201FF5" w:rsidP="00DB1F02">
      <w:pPr>
        <w:spacing w:line="276" w:lineRule="auto"/>
      </w:pPr>
    </w:p>
    <w:p w14:paraId="350377EF" w14:textId="5E2801AD" w:rsidR="00DB1F02" w:rsidRPr="0058255C" w:rsidRDefault="00DB1F02" w:rsidP="00DB1F02">
      <w:pPr>
        <w:spacing w:line="276" w:lineRule="auto"/>
      </w:pPr>
      <w:r w:rsidRPr="0058255C">
        <w:t xml:space="preserve">[12] M. Usman, "First Steps to Cyber Maturity: A NIST CSF 2.0-Inspired Guideline for SMEs Bridging High-Risk Mitigation and Build Foundation for Compliance," 2025. urn: </w:t>
      </w:r>
      <w:proofErr w:type="gramStart"/>
      <w:r w:rsidRPr="0058255C">
        <w:t>urn:nbn</w:t>
      </w:r>
      <w:proofErr w:type="gramEnd"/>
      <w:r w:rsidRPr="0058255C">
        <w:t>:</w:t>
      </w:r>
      <w:proofErr w:type="gramStart"/>
      <w:r w:rsidRPr="0058255C">
        <w:t>se:ltu</w:t>
      </w:r>
      <w:proofErr w:type="gramEnd"/>
      <w:r w:rsidRPr="0058255C">
        <w:t xml:space="preserve">:diva-114857. Available: </w:t>
      </w:r>
      <w:hyperlink r:id="rId26" w:history="1">
        <w:r w:rsidRPr="0058255C">
          <w:rPr>
            <w:rStyle w:val="Hyperlink"/>
          </w:rPr>
          <w:t>https://urn.kb.se/resolve?urn=urn:nbn:se:ltu:diva-114857</w:t>
        </w:r>
      </w:hyperlink>
      <w:r w:rsidRPr="0058255C">
        <w:t xml:space="preserve"> </w:t>
      </w:r>
    </w:p>
    <w:p w14:paraId="611CD2EE" w14:textId="7A7CA8D6" w:rsidR="00DB1F02" w:rsidRPr="0058255C" w:rsidRDefault="00DB1F02" w:rsidP="00DB1F02">
      <w:pPr>
        <w:spacing w:line="276" w:lineRule="auto"/>
      </w:pPr>
      <w:r w:rsidRPr="0058255C">
        <w:t xml:space="preserve">[13] P. Dhanabal, "Demystifying ITIL-based incident management in cloud environments," </w:t>
      </w:r>
      <w:r w:rsidRPr="0058255C">
        <w:rPr>
          <w:i/>
          <w:iCs/>
        </w:rPr>
        <w:t xml:space="preserve">J. </w:t>
      </w:r>
      <w:proofErr w:type="spellStart"/>
      <w:r w:rsidRPr="0058255C">
        <w:rPr>
          <w:i/>
          <w:iCs/>
        </w:rPr>
        <w:t>Comput</w:t>
      </w:r>
      <w:proofErr w:type="spellEnd"/>
      <w:r w:rsidRPr="0058255C">
        <w:rPr>
          <w:i/>
          <w:iCs/>
        </w:rPr>
        <w:t>. Sci. Technol. Stud.</w:t>
      </w:r>
      <w:r w:rsidRPr="0058255C">
        <w:t xml:space="preserve">, vol. 7, no. 8, pp. 892–903, 2025. </w:t>
      </w:r>
      <w:proofErr w:type="spellStart"/>
      <w:r w:rsidRPr="0058255C">
        <w:t>doi</w:t>
      </w:r>
      <w:proofErr w:type="spellEnd"/>
      <w:r w:rsidRPr="0058255C">
        <w:t xml:space="preserve">: 10.32996/jcsts.2025.7.8.104. Available: </w:t>
      </w:r>
      <w:hyperlink r:id="rId27" w:history="1">
        <w:r w:rsidRPr="0058255C">
          <w:rPr>
            <w:rStyle w:val="Hyperlink"/>
          </w:rPr>
          <w:t>https://doi.org/10.32996/jcsts.2025.7.8.104</w:t>
        </w:r>
      </w:hyperlink>
      <w:r w:rsidRPr="0058255C">
        <w:t xml:space="preserve"> </w:t>
      </w:r>
    </w:p>
    <w:p w14:paraId="29D4DCC3" w14:textId="6AF09D21" w:rsidR="00DB1F02" w:rsidRPr="0058255C" w:rsidRDefault="00DB1F02" w:rsidP="00DB1F02">
      <w:pPr>
        <w:spacing w:line="276" w:lineRule="auto"/>
      </w:pPr>
      <w:r w:rsidRPr="0058255C">
        <w:t xml:space="preserve">[14] F. Zerbini, "The cloud revolution in the ERP industry: business model transformation and organisational impacts," 2024. handle: 10589/246980. Available: </w:t>
      </w:r>
      <w:hyperlink r:id="rId28" w:history="1">
        <w:r w:rsidRPr="0058255C">
          <w:rPr>
            <w:rStyle w:val="Hyperlink"/>
          </w:rPr>
          <w:t>http://hdl.handle.net/10589/246980</w:t>
        </w:r>
      </w:hyperlink>
      <w:r w:rsidRPr="0058255C">
        <w:t xml:space="preserve"> </w:t>
      </w:r>
    </w:p>
    <w:p w14:paraId="6625F8AF" w14:textId="2B875880" w:rsidR="00DB1F02" w:rsidRPr="0058255C" w:rsidRDefault="00DB1F02" w:rsidP="00DB1F02">
      <w:pPr>
        <w:spacing w:line="276" w:lineRule="auto"/>
      </w:pPr>
      <w:r w:rsidRPr="0058255C">
        <w:t xml:space="preserve">[15] K. B. Oh, G. Hoang, J. Sturdy, and S. S. Guo, "Strategic Cybersecurity Governance," in </w:t>
      </w:r>
      <w:r w:rsidRPr="0058255C">
        <w:rPr>
          <w:i/>
          <w:iCs/>
        </w:rPr>
        <w:t>Cybersecurity Governance: An Enterprise Risk Management Strategy for Cyber Risk Control</w:t>
      </w:r>
      <w:r w:rsidRPr="0058255C">
        <w:t xml:space="preserve">, Singapore: Springer Nature Singapore, 2025, pp. 215–260. </w:t>
      </w:r>
      <w:proofErr w:type="spellStart"/>
      <w:r w:rsidRPr="0058255C">
        <w:t>doi</w:t>
      </w:r>
      <w:proofErr w:type="spellEnd"/>
      <w:r w:rsidRPr="0058255C">
        <w:t xml:space="preserve">: 10.1007/978-981-95-3865-2_10. Available: </w:t>
      </w:r>
      <w:hyperlink r:id="rId29" w:history="1">
        <w:r w:rsidRPr="0058255C">
          <w:rPr>
            <w:rStyle w:val="Hyperlink"/>
          </w:rPr>
          <w:t>https://doi.org/10.1007/978-981-95-3865-2_10</w:t>
        </w:r>
      </w:hyperlink>
      <w:r w:rsidRPr="0058255C">
        <w:t xml:space="preserve"> </w:t>
      </w:r>
    </w:p>
    <w:p w14:paraId="59C2353A" w14:textId="62A7CC25" w:rsidR="00DB1F02" w:rsidRPr="0058255C" w:rsidRDefault="00DB1F02" w:rsidP="00DB1F02">
      <w:pPr>
        <w:spacing w:line="276" w:lineRule="auto"/>
      </w:pPr>
      <w:r w:rsidRPr="0058255C">
        <w:t xml:space="preserve">[16] W. S. Basri and A. L. Ayu, "Risk Management in Information Systems: Applying ISO 31000: 2018 and ISO/IEC 27001: 2022 Controls at PMI's Central Clinic," </w:t>
      </w:r>
      <w:r w:rsidRPr="0058255C">
        <w:rPr>
          <w:i/>
          <w:iCs/>
        </w:rPr>
        <w:t>Int. J. Appl. Inf. Manage.</w:t>
      </w:r>
      <w:r w:rsidRPr="0058255C">
        <w:t xml:space="preserve">, vol. 4, no. 1, pp. 1–13, 2024. </w:t>
      </w:r>
      <w:proofErr w:type="spellStart"/>
      <w:r w:rsidRPr="0058255C">
        <w:t>doi</w:t>
      </w:r>
      <w:proofErr w:type="spellEnd"/>
      <w:r w:rsidRPr="0058255C">
        <w:t>: 10.47738/</w:t>
      </w:r>
      <w:proofErr w:type="gramStart"/>
      <w:r w:rsidRPr="0058255C">
        <w:t>ijaim.v</w:t>
      </w:r>
      <w:proofErr w:type="gramEnd"/>
      <w:r w:rsidRPr="0058255C">
        <w:t xml:space="preserve">4i1.70. Available: </w:t>
      </w:r>
      <w:hyperlink r:id="rId30" w:history="1">
        <w:r w:rsidRPr="0058255C">
          <w:rPr>
            <w:rStyle w:val="Hyperlink"/>
          </w:rPr>
          <w:t>https://doi.org/10.47738/ijaim.v4i1.70</w:t>
        </w:r>
      </w:hyperlink>
      <w:r w:rsidRPr="0058255C">
        <w:t xml:space="preserve"> </w:t>
      </w:r>
    </w:p>
    <w:p w14:paraId="0A80E23E" w14:textId="77777777" w:rsidR="00DB1F02" w:rsidRPr="0058255C" w:rsidRDefault="00DB1F02" w:rsidP="00DB1F02">
      <w:pPr>
        <w:spacing w:line="276" w:lineRule="auto"/>
      </w:pPr>
      <w:r w:rsidRPr="0058255C">
        <w:t xml:space="preserve">[17] M. R. Alappat, "Multifactor authentication using zero trust," Rochester Institute of Technology, 2023. RIT Repository ID: 12639. Available: </w:t>
      </w:r>
      <w:hyperlink r:id="rId31" w:tgtFrame="_new" w:history="1">
        <w:r w:rsidRPr="0058255C">
          <w:rPr>
            <w:rStyle w:val="Hyperlink"/>
          </w:rPr>
          <w:t>https://repository.rit.edu/</w:t>
        </w:r>
      </w:hyperlink>
    </w:p>
    <w:p w14:paraId="0D7414C8" w14:textId="71CB48A2" w:rsidR="00DB1F02" w:rsidRPr="0058255C" w:rsidRDefault="00DB1F02" w:rsidP="00DB1F02">
      <w:pPr>
        <w:spacing w:line="276" w:lineRule="auto"/>
      </w:pPr>
      <w:r w:rsidRPr="0058255C">
        <w:t xml:space="preserve">[18] C. Amadi, "From Compliance Audit to Continuous Control: Implementing AI-Based Security Posture Management to Ensure Real-Time Adherence to NIST Cybersecurity Frameworks in CI," </w:t>
      </w:r>
      <w:r w:rsidRPr="0058255C">
        <w:rPr>
          <w:i/>
          <w:iCs/>
        </w:rPr>
        <w:t>SSRN Electron. J.</w:t>
      </w:r>
      <w:r w:rsidRPr="0058255C">
        <w:t xml:space="preserve">, May 2025. </w:t>
      </w:r>
      <w:proofErr w:type="spellStart"/>
      <w:r w:rsidRPr="0058255C">
        <w:t>doi</w:t>
      </w:r>
      <w:proofErr w:type="spellEnd"/>
      <w:r w:rsidRPr="0058255C">
        <w:t xml:space="preserve">: 10.2139/ssrn.5940974. Available: </w:t>
      </w:r>
      <w:hyperlink r:id="rId32" w:history="1">
        <w:r w:rsidRPr="0058255C">
          <w:rPr>
            <w:rStyle w:val="Hyperlink"/>
          </w:rPr>
          <w:t>https://doi.org/10.2139/ssrn.5940974</w:t>
        </w:r>
      </w:hyperlink>
      <w:r w:rsidRPr="0058255C">
        <w:t xml:space="preserve"> </w:t>
      </w:r>
    </w:p>
    <w:p w14:paraId="394DEF3C" w14:textId="1C4C87BD" w:rsidR="00DB1F02" w:rsidRPr="0058255C" w:rsidRDefault="00DB1F02" w:rsidP="00DB1F02">
      <w:pPr>
        <w:spacing w:line="276" w:lineRule="auto"/>
      </w:pPr>
      <w:r w:rsidRPr="0058255C">
        <w:t xml:space="preserve">[19] A. S. Reddy, "Zero-Day Threat Protection: Advanced Cybersecurity Measures for Cloud-Based Guidewire Implementations," </w:t>
      </w:r>
      <w:r w:rsidRPr="0058255C">
        <w:rPr>
          <w:i/>
          <w:iCs/>
        </w:rPr>
        <w:t>Int. J. Sci. Res. (IJSR)</w:t>
      </w:r>
      <w:r w:rsidRPr="0058255C">
        <w:t xml:space="preserve">, vol. 12, no. 9, pp. 2219–2231, 2023. Available: </w:t>
      </w:r>
      <w:hyperlink r:id="rId33" w:tgtFrame="_blank" w:history="1">
        <w:r w:rsidR="00480C9A" w:rsidRPr="0058255C">
          <w:rPr>
            <w:rStyle w:val="Hyperlink"/>
          </w:rPr>
          <w:t>https://doi.org/10.21275/sr23092085343 </w:t>
        </w:r>
      </w:hyperlink>
    </w:p>
    <w:p w14:paraId="7DDF9B92" w14:textId="06AE745C" w:rsidR="00DB1F02" w:rsidRPr="0058255C" w:rsidRDefault="00DB1F02" w:rsidP="00DB1F02">
      <w:pPr>
        <w:spacing w:line="276" w:lineRule="auto"/>
      </w:pPr>
      <w:r w:rsidRPr="0058255C">
        <w:t xml:space="preserve">[20] X. T. Feng, X. G. Zhu, Q.-L. Han, W. Zhou, S. Wen, and Y. Xiang, "Detecting vulnerability on IoT device firmware: A survey," </w:t>
      </w:r>
      <w:r w:rsidRPr="0058255C">
        <w:rPr>
          <w:i/>
          <w:iCs/>
        </w:rPr>
        <w:t>IEEE/CAA J. Autom. Sin.</w:t>
      </w:r>
      <w:r w:rsidRPr="0058255C">
        <w:t xml:space="preserve">, vol. 10, no. 1, pp. 25–41, Jan. 2023. </w:t>
      </w:r>
      <w:proofErr w:type="spellStart"/>
      <w:r w:rsidRPr="0058255C">
        <w:t>doi</w:t>
      </w:r>
      <w:proofErr w:type="spellEnd"/>
      <w:r w:rsidRPr="0058255C">
        <w:t xml:space="preserve">: 10.1109/JAS.2022.105860. Available: </w:t>
      </w:r>
      <w:hyperlink r:id="rId34" w:history="1">
        <w:r w:rsidRPr="0058255C">
          <w:rPr>
            <w:rStyle w:val="Hyperlink"/>
          </w:rPr>
          <w:t>https://doi.org/10.1109/JAS.2022.105860</w:t>
        </w:r>
      </w:hyperlink>
      <w:r w:rsidRPr="0058255C">
        <w:t xml:space="preserve"> </w:t>
      </w:r>
    </w:p>
    <w:p w14:paraId="06603AE3" w14:textId="77777777" w:rsidR="00DB1F02" w:rsidRPr="0058255C" w:rsidRDefault="00DB1F02" w:rsidP="00DB1F02">
      <w:pPr>
        <w:spacing w:line="276" w:lineRule="auto"/>
      </w:pPr>
      <w:r w:rsidRPr="0058255C">
        <w:t xml:space="preserve">[21] G. O. Mbah, "Data privacy in the era of AI: Navigating regulatory landscapes for global businesses," </w:t>
      </w:r>
      <w:r w:rsidRPr="0058255C">
        <w:rPr>
          <w:i/>
          <w:iCs/>
        </w:rPr>
        <w:t>Int. J. Sci. Res. Archive</w:t>
      </w:r>
      <w:r w:rsidRPr="0058255C">
        <w:t xml:space="preserve">, vol. 13, no. 2, pp. 2040–2058, 2024. </w:t>
      </w:r>
      <w:proofErr w:type="spellStart"/>
      <w:r w:rsidRPr="0058255C">
        <w:t>doi</w:t>
      </w:r>
      <w:proofErr w:type="spellEnd"/>
      <w:r w:rsidRPr="0058255C">
        <w:t xml:space="preserve">: 10.30574/ijsra.2024.13.2.2396. Available: </w:t>
      </w:r>
      <w:hyperlink r:id="rId35" w:tgtFrame="_new" w:history="1">
        <w:r w:rsidRPr="0058255C">
          <w:rPr>
            <w:rStyle w:val="Hyperlink"/>
          </w:rPr>
          <w:t>https://doi.org/10.30574/ijsra.2024.13.2.2396</w:t>
        </w:r>
      </w:hyperlink>
    </w:p>
    <w:p w14:paraId="6128A3A7" w14:textId="63215E5F" w:rsidR="00480C9A" w:rsidRPr="003A5264" w:rsidRDefault="00DB1F02" w:rsidP="004C49E8">
      <w:pPr>
        <w:spacing w:line="276" w:lineRule="auto"/>
      </w:pPr>
      <w:r w:rsidRPr="0058255C">
        <w:t xml:space="preserve">[22] A. </w:t>
      </w:r>
      <w:proofErr w:type="spellStart"/>
      <w:r w:rsidRPr="0058255C">
        <w:t>Dimakopoulou</w:t>
      </w:r>
      <w:proofErr w:type="spellEnd"/>
      <w:r w:rsidRPr="0058255C">
        <w:t xml:space="preserve"> and K. </w:t>
      </w:r>
      <w:proofErr w:type="spellStart"/>
      <w:r w:rsidRPr="0058255C">
        <w:t>Rantos</w:t>
      </w:r>
      <w:proofErr w:type="spellEnd"/>
      <w:r w:rsidRPr="0058255C">
        <w:t xml:space="preserve">, "Comprehensive analysis of maritime cybersecurity landscape based on the NIST CSF v2.0," </w:t>
      </w:r>
      <w:r w:rsidRPr="0058255C">
        <w:rPr>
          <w:i/>
          <w:iCs/>
        </w:rPr>
        <w:t>J. Mar. Sci. Eng.</w:t>
      </w:r>
      <w:r w:rsidRPr="0058255C">
        <w:t xml:space="preserve">, vol. 12, no. 6, Art. no. 919, 2024. </w:t>
      </w:r>
      <w:proofErr w:type="spellStart"/>
      <w:r w:rsidRPr="0058255C">
        <w:t>doi</w:t>
      </w:r>
      <w:proofErr w:type="spellEnd"/>
      <w:r w:rsidRPr="0058255C">
        <w:t xml:space="preserve">: 10.3390/jmse12060919. Available: </w:t>
      </w:r>
      <w:hyperlink r:id="rId36" w:history="1">
        <w:r w:rsidRPr="0058255C">
          <w:rPr>
            <w:rStyle w:val="Hyperlink"/>
          </w:rPr>
          <w:t>https://doi.org/10.3390/jmse12060919</w:t>
        </w:r>
      </w:hyperlink>
    </w:p>
    <w:sectPr w:rsidR="00480C9A" w:rsidRPr="003A5264" w:rsidSect="00EF5DA4">
      <w:footerReference w:type="default" r:id="rId37"/>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8842971" w14:textId="77777777" w:rsidR="00D1710D" w:rsidRDefault="00D1710D">
      <w:pPr>
        <w:spacing w:after="0" w:line="240" w:lineRule="auto"/>
      </w:pPr>
      <w:r>
        <w:separator/>
      </w:r>
    </w:p>
  </w:endnote>
  <w:endnote w:type="continuationSeparator" w:id="0">
    <w:p w14:paraId="7CC7B252" w14:textId="77777777" w:rsidR="00D1710D" w:rsidRDefault="00D1710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Shruti">
    <w:panose1 w:val="02000500000000000000"/>
    <w:charset w:val="00"/>
    <w:family w:val="swiss"/>
    <w:pitch w:val="variable"/>
    <w:sig w:usb0="0004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08514133"/>
      <w:docPartObj>
        <w:docPartGallery w:val="Page Numbers (Bottom of Page)"/>
        <w:docPartUnique/>
      </w:docPartObj>
    </w:sdtPr>
    <w:sdtContent>
      <w:p w14:paraId="4D9D6B45" w14:textId="091E4579" w:rsidR="003A5264" w:rsidRDefault="0048364C">
        <w:pPr>
          <w:pStyle w:val="Footer"/>
        </w:pPr>
        <w:r>
          <w:rPr>
            <w:noProof/>
          </w:rPr>
          <mc:AlternateContent>
            <mc:Choice Requires="wps">
              <w:drawing>
                <wp:anchor distT="0" distB="0" distL="114300" distR="114300" simplePos="0" relativeHeight="251660288" behindDoc="0" locked="0" layoutInCell="1" allowOverlap="1" wp14:anchorId="1F0D41B2" wp14:editId="2EDBA9DB">
                  <wp:simplePos x="0" y="0"/>
                  <wp:positionH relativeFrom="margin">
                    <wp:align>center</wp:align>
                  </wp:positionH>
                  <wp:positionV relativeFrom="bottomMargin">
                    <wp:align>center</wp:align>
                  </wp:positionV>
                  <wp:extent cx="551815" cy="238760"/>
                  <wp:effectExtent l="19050" t="19050" r="19685" b="18415"/>
                  <wp:wrapNone/>
                  <wp:docPr id="159292806" name="Double Bracket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51815" cy="238760"/>
                          </a:xfrm>
                          <a:prstGeom prst="bracketPair">
                            <a:avLst>
                              <a:gd name="adj" fmla="val 16667"/>
                            </a:avLst>
                          </a:prstGeom>
                          <a:solidFill>
                            <a:srgbClr val="FFFFFF"/>
                          </a:solidFill>
                          <a:ln w="28575">
                            <a:solidFill>
                              <a:srgbClr val="808080"/>
                            </a:solidFill>
                            <a:round/>
                            <a:headEnd/>
                            <a:tailEnd/>
                          </a:ln>
                        </wps:spPr>
                        <wps:txbx>
                          <w:txbxContent>
                            <w:p w14:paraId="7A109F3B" w14:textId="77777777" w:rsidR="0048364C" w:rsidRDefault="0048364C">
                              <w:pPr>
                                <w:jc w:val="center"/>
                              </w:pPr>
                              <w:r>
                                <w:fldChar w:fldCharType="begin"/>
                              </w:r>
                              <w:r>
                                <w:instrText xml:space="preserve"> PAGE    \* MERGEFORMAT </w:instrText>
                              </w:r>
                              <w:r>
                                <w:fldChar w:fldCharType="separate"/>
                              </w:r>
                              <w:r>
                                <w:rPr>
                                  <w:noProof/>
                                </w:rPr>
                                <w:t>2</w:t>
                              </w:r>
                              <w:r>
                                <w:rPr>
                                  <w:noProof/>
                                </w:rPr>
                                <w:fldChar w:fldCharType="end"/>
                              </w:r>
                            </w:p>
                          </w:txbxContent>
                        </wps:txbx>
                        <wps:bodyPr rot="0" vert="horz" wrap="square" lIns="91440" tIns="0" rIns="91440" bIns="0" anchor="t" anchorCtr="0" upright="1">
                          <a:noAutofit/>
                        </wps:bodyPr>
                      </wps:wsp>
                    </a:graphicData>
                  </a:graphic>
                  <wp14:sizeRelH relativeFrom="margin">
                    <wp14:pctWidth>10000</wp14:pctWidth>
                  </wp14:sizeRelH>
                  <wp14:sizeRelV relativeFrom="bottomMargin">
                    <wp14:pctHeight>0</wp14:pctHeight>
                  </wp14:sizeRelV>
                </wp:anchor>
              </w:drawing>
            </mc:Choice>
            <mc:Fallback>
              <w:pict>
                <v:shapetype w14:anchorId="1F0D41B2" id="_x0000_t185" coordsize="21600,21600" o:spt="185" adj="3600" path="m@0,nfqx0@0l0@2qy@0,21600em@1,nfqx21600@0l21600@2qy@1,21600em@0,nsqx0@0l0@2qy@0,21600l@1,21600qx21600@2l21600@0qy@1,xe" filled="f">
                  <v:formulas>
                    <v:f eqn="val #0"/>
                    <v:f eqn="sum width 0 #0"/>
                    <v:f eqn="sum height 0 #0"/>
                    <v:f eqn="prod @0 2929 10000"/>
                    <v:f eqn="sum width 0 @3"/>
                    <v:f eqn="sum height 0 @3"/>
                    <v:f eqn="val width"/>
                    <v:f eqn="val height"/>
                    <v:f eqn="prod width 1 2"/>
                    <v:f eqn="prod height 1 2"/>
                  </v:formulas>
                  <v:path o:extrusionok="f" gradientshapeok="t" limo="10800,10800" o:connecttype="custom" o:connectlocs="@8,0;0,@9;@8,@7;@6,@9" textboxrect="@3,@3,@4,@5"/>
                  <v:handles>
                    <v:h position="#0,topLeft" switch="" xrange="0,10800"/>
                  </v:handles>
                </v:shapetype>
                <v:shape id="Double Bracket 2" o:spid="_x0000_s1026" type="#_x0000_t185" style="position:absolute;left:0;text-align:left;margin-left:0;margin-top:0;width:43.45pt;height:18.8pt;z-index:251660288;visibility:visible;mso-wrap-style:square;mso-width-percent:100;mso-height-percent:0;mso-wrap-distance-left:9pt;mso-wrap-distance-top:0;mso-wrap-distance-right:9pt;mso-wrap-distance-bottom:0;mso-position-horizontal:center;mso-position-horizontal-relative:margin;mso-position-vertical:center;mso-position-vertical-relative:bottom-margin-area;mso-width-percent:100;mso-height-percent:0;mso-width-relative:margin;mso-height-relative:bottom-margin-area;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" filled="t" strokecolor="gray" strokeweight="2.25pt">
                  <v:textbox inset=",0,,0">
                    <w:txbxContent>
                      <w:p w14:paraId="7A109F3B" w14:textId="77777777" w:rsidR="0048364C" w:rsidRDefault="0048364C">
                        <w:pPr>
                          <w:jc w:val="center"/>
                        </w:pPr>
                        <w:r>
                          <w:fldChar w:fldCharType="begin"/>
                        </w:r>
                        <w:r>
                          <w:instrText xml:space="preserve"> PAGE    \* MERGEFORMAT </w:instrText>
                        </w:r>
                        <w:r>
                          <w:fldChar w:fldCharType="separate"/>
                        </w:r>
                        <w:r>
                          <w:rPr>
                            <w:noProof/>
                          </w:rPr>
                          <w:t>2</w:t>
                        </w:r>
                        <w:r>
                          <w:rPr>
                            <w:noProof/>
                          </w:rPr>
                          <w:fldChar w:fldCharType="end"/>
                        </w:r>
                      </w:p>
                    </w:txbxContent>
                  </v:textbox>
                  <w10:wrap anchorx="margin" anchory="margin"/>
                </v:shape>
              </w:pict>
            </mc:Fallback>
          </mc:AlternateContent>
        </w:r>
        <w:r>
          <w:rPr>
            <w:noProof/>
          </w:rPr>
          <mc:AlternateContent>
            <mc:Choice Requires="wps">
              <w:drawing>
                <wp:anchor distT="0" distB="0" distL="114300" distR="114300" simplePos="0" relativeHeight="251659264" behindDoc="0" locked="0" layoutInCell="1" allowOverlap="1" wp14:anchorId="5A9DFD70" wp14:editId="12E3986C">
                  <wp:simplePos x="0" y="0"/>
                  <wp:positionH relativeFrom="margin">
                    <wp:align>center</wp:align>
                  </wp:positionH>
                  <wp:positionV relativeFrom="bottomMargin">
                    <wp:align>center</wp:align>
                  </wp:positionV>
                  <wp:extent cx="5518150" cy="0"/>
                  <wp:effectExtent l="9525" t="9525" r="6350" b="9525"/>
                  <wp:wrapNone/>
                  <wp:docPr id="1575568461" name="Straight Arrow Connector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518150" cy="0"/>
                          </a:xfrm>
                          <a:prstGeom prst="straightConnector1">
                            <a:avLst/>
                          </a:prstGeom>
                          <a:noFill/>
                          <a:ln w="12700">
                            <a:solidFill>
                              <a:srgbClr val="80808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bottomMargin">
                    <wp14:pctHeight>0</wp14:pctHeight>
                  </wp14:sizeRelV>
                </wp:anchor>
              </w:drawing>
            </mc:Choice>
            <mc:Fallback xmlns:w16cei="http://schemas.microsoft.com/office/word/2026/wordml/cei">
              <w:pict>
                <v:shapetype w14:anchorId="51DD92C8" id="_x0000_t32" coordsize="21600,21600" o:spt="32" o:oned="t" path="m,l21600,21600e" filled="f">
                  <v:path arrowok="t" fillok="f" o:connecttype="none"/>
                  <o:lock v:ext="edit" shapetype="t"/>
                </v:shapetype>
                <v:shape id="Straight Arrow Connector 1" o:spid="_x0000_s1026" type="#_x0000_t32" style="position:absolute;margin-left:0;margin-top:0;width:434.5pt;height:0;z-index:251659264;visibility:visible;mso-wrap-style:square;mso-width-percent:0;mso-height-percent:0;mso-wrap-distance-left:9pt;mso-wrap-distance-top:0;mso-wrap-distance-right:9pt;mso-wrap-distance-bottom:0;mso-position-horizontal:center;mso-position-horizontal-relative:margin;mso-position-vertical:center;mso-position-vertical-relative:bottom-margin-area;mso-width-percent:0;mso-height-percent:0;mso-width-relative:page;mso-height-relative:bottom-margin-area"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" strokecolor="gray" strokeweight="1pt">
                  <w10:wrap anchorx="margin" anchory="margin"/>
                </v:shape>
              </w:pict>
            </mc:Fallback>
          </mc:AlternateContent>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5007256" w14:textId="77777777" w:rsidR="00D1710D" w:rsidRDefault="00D1710D">
      <w:pPr>
        <w:spacing w:after="0" w:line="240" w:lineRule="auto"/>
      </w:pPr>
      <w:r>
        <w:separator/>
      </w:r>
    </w:p>
  </w:footnote>
  <w:footnote w:type="continuationSeparator" w:id="0">
    <w:p w14:paraId="651DA0BF" w14:textId="77777777" w:rsidR="00D1710D" w:rsidRDefault="00D1710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3A2E45"/>
    <w:multiLevelType w:val="hybridMultilevel"/>
    <w:tmpl w:val="A176BC02"/>
    <w:lvl w:ilvl="0" w:tplc="75F25452">
      <w:start w:val="1"/>
      <w:numFmt w:val="bullet"/>
      <w:lvlText w:val=""/>
      <w:lvlJc w:val="left"/>
      <w:pPr>
        <w:ind w:left="720" w:hanging="360"/>
      </w:pPr>
      <w:rPr>
        <w:rFonts w:ascii="Symbol" w:hAnsi="Symbol" w:hint="default"/>
      </w:rPr>
    </w:lvl>
    <w:lvl w:ilvl="1" w:tplc="2B082EBE" w:tentative="1">
      <w:start w:val="1"/>
      <w:numFmt w:val="bullet"/>
      <w:lvlText w:val="o"/>
      <w:lvlJc w:val="left"/>
      <w:pPr>
        <w:ind w:left="1440" w:hanging="360"/>
      </w:pPr>
      <w:rPr>
        <w:rFonts w:ascii="Courier New" w:hAnsi="Courier New" w:cs="Courier New" w:hint="default"/>
      </w:rPr>
    </w:lvl>
    <w:lvl w:ilvl="2" w:tplc="78AE32DE" w:tentative="1">
      <w:start w:val="1"/>
      <w:numFmt w:val="bullet"/>
      <w:lvlText w:val=""/>
      <w:lvlJc w:val="left"/>
      <w:pPr>
        <w:ind w:left="2160" w:hanging="360"/>
      </w:pPr>
      <w:rPr>
        <w:rFonts w:ascii="Wingdings" w:hAnsi="Wingdings" w:hint="default"/>
      </w:rPr>
    </w:lvl>
    <w:lvl w:ilvl="3" w:tplc="FA0C2CFC" w:tentative="1">
      <w:start w:val="1"/>
      <w:numFmt w:val="bullet"/>
      <w:lvlText w:val=""/>
      <w:lvlJc w:val="left"/>
      <w:pPr>
        <w:ind w:left="2880" w:hanging="360"/>
      </w:pPr>
      <w:rPr>
        <w:rFonts w:ascii="Symbol" w:hAnsi="Symbol" w:hint="default"/>
      </w:rPr>
    </w:lvl>
    <w:lvl w:ilvl="4" w:tplc="18862554" w:tentative="1">
      <w:start w:val="1"/>
      <w:numFmt w:val="bullet"/>
      <w:lvlText w:val="o"/>
      <w:lvlJc w:val="left"/>
      <w:pPr>
        <w:ind w:left="3600" w:hanging="360"/>
      </w:pPr>
      <w:rPr>
        <w:rFonts w:ascii="Courier New" w:hAnsi="Courier New" w:cs="Courier New" w:hint="default"/>
      </w:rPr>
    </w:lvl>
    <w:lvl w:ilvl="5" w:tplc="89C2679E" w:tentative="1">
      <w:start w:val="1"/>
      <w:numFmt w:val="bullet"/>
      <w:lvlText w:val=""/>
      <w:lvlJc w:val="left"/>
      <w:pPr>
        <w:ind w:left="4320" w:hanging="360"/>
      </w:pPr>
      <w:rPr>
        <w:rFonts w:ascii="Wingdings" w:hAnsi="Wingdings" w:hint="default"/>
      </w:rPr>
    </w:lvl>
    <w:lvl w:ilvl="6" w:tplc="8ADE126A" w:tentative="1">
      <w:start w:val="1"/>
      <w:numFmt w:val="bullet"/>
      <w:lvlText w:val=""/>
      <w:lvlJc w:val="left"/>
      <w:pPr>
        <w:ind w:left="5040" w:hanging="360"/>
      </w:pPr>
      <w:rPr>
        <w:rFonts w:ascii="Symbol" w:hAnsi="Symbol" w:hint="default"/>
      </w:rPr>
    </w:lvl>
    <w:lvl w:ilvl="7" w:tplc="D8500FFE" w:tentative="1">
      <w:start w:val="1"/>
      <w:numFmt w:val="bullet"/>
      <w:lvlText w:val="o"/>
      <w:lvlJc w:val="left"/>
      <w:pPr>
        <w:ind w:left="5760" w:hanging="360"/>
      </w:pPr>
      <w:rPr>
        <w:rFonts w:ascii="Courier New" w:hAnsi="Courier New" w:cs="Courier New" w:hint="default"/>
      </w:rPr>
    </w:lvl>
    <w:lvl w:ilvl="8" w:tplc="C142B2F6" w:tentative="1">
      <w:start w:val="1"/>
      <w:numFmt w:val="bullet"/>
      <w:lvlText w:val=""/>
      <w:lvlJc w:val="left"/>
      <w:pPr>
        <w:ind w:left="6480" w:hanging="360"/>
      </w:pPr>
      <w:rPr>
        <w:rFonts w:ascii="Wingdings" w:hAnsi="Wingdings" w:hint="default"/>
      </w:rPr>
    </w:lvl>
  </w:abstractNum>
  <w:abstractNum w:abstractNumId="1" w15:restartNumberingAfterBreak="0">
    <w:nsid w:val="1364171D"/>
    <w:multiLevelType w:val="multilevel"/>
    <w:tmpl w:val="EDB858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E7D35BE"/>
    <w:multiLevelType w:val="hybridMultilevel"/>
    <w:tmpl w:val="A95CE33C"/>
    <w:lvl w:ilvl="0" w:tplc="A120E42A">
      <w:start w:val="1"/>
      <w:numFmt w:val="bullet"/>
      <w:lvlText w:val=""/>
      <w:lvlJc w:val="left"/>
      <w:pPr>
        <w:ind w:left="720" w:hanging="360"/>
      </w:pPr>
      <w:rPr>
        <w:rFonts w:ascii="Wingdings" w:hAnsi="Wingdings" w:hint="default"/>
      </w:rPr>
    </w:lvl>
    <w:lvl w:ilvl="1" w:tplc="C4AA3CE8" w:tentative="1">
      <w:start w:val="1"/>
      <w:numFmt w:val="bullet"/>
      <w:lvlText w:val="o"/>
      <w:lvlJc w:val="left"/>
      <w:pPr>
        <w:ind w:left="1440" w:hanging="360"/>
      </w:pPr>
      <w:rPr>
        <w:rFonts w:ascii="Courier New" w:hAnsi="Courier New" w:cs="Courier New" w:hint="default"/>
      </w:rPr>
    </w:lvl>
    <w:lvl w:ilvl="2" w:tplc="07F46466" w:tentative="1">
      <w:start w:val="1"/>
      <w:numFmt w:val="bullet"/>
      <w:lvlText w:val=""/>
      <w:lvlJc w:val="left"/>
      <w:pPr>
        <w:ind w:left="2160" w:hanging="360"/>
      </w:pPr>
      <w:rPr>
        <w:rFonts w:ascii="Wingdings" w:hAnsi="Wingdings" w:hint="default"/>
      </w:rPr>
    </w:lvl>
    <w:lvl w:ilvl="3" w:tplc="FC88AA28" w:tentative="1">
      <w:start w:val="1"/>
      <w:numFmt w:val="bullet"/>
      <w:lvlText w:val=""/>
      <w:lvlJc w:val="left"/>
      <w:pPr>
        <w:ind w:left="2880" w:hanging="360"/>
      </w:pPr>
      <w:rPr>
        <w:rFonts w:ascii="Symbol" w:hAnsi="Symbol" w:hint="default"/>
      </w:rPr>
    </w:lvl>
    <w:lvl w:ilvl="4" w:tplc="4A1200DE" w:tentative="1">
      <w:start w:val="1"/>
      <w:numFmt w:val="bullet"/>
      <w:lvlText w:val="o"/>
      <w:lvlJc w:val="left"/>
      <w:pPr>
        <w:ind w:left="3600" w:hanging="360"/>
      </w:pPr>
      <w:rPr>
        <w:rFonts w:ascii="Courier New" w:hAnsi="Courier New" w:cs="Courier New" w:hint="default"/>
      </w:rPr>
    </w:lvl>
    <w:lvl w:ilvl="5" w:tplc="B548FDAC" w:tentative="1">
      <w:start w:val="1"/>
      <w:numFmt w:val="bullet"/>
      <w:lvlText w:val=""/>
      <w:lvlJc w:val="left"/>
      <w:pPr>
        <w:ind w:left="4320" w:hanging="360"/>
      </w:pPr>
      <w:rPr>
        <w:rFonts w:ascii="Wingdings" w:hAnsi="Wingdings" w:hint="default"/>
      </w:rPr>
    </w:lvl>
    <w:lvl w:ilvl="6" w:tplc="73446552" w:tentative="1">
      <w:start w:val="1"/>
      <w:numFmt w:val="bullet"/>
      <w:lvlText w:val=""/>
      <w:lvlJc w:val="left"/>
      <w:pPr>
        <w:ind w:left="5040" w:hanging="360"/>
      </w:pPr>
      <w:rPr>
        <w:rFonts w:ascii="Symbol" w:hAnsi="Symbol" w:hint="default"/>
      </w:rPr>
    </w:lvl>
    <w:lvl w:ilvl="7" w:tplc="6F545BE0" w:tentative="1">
      <w:start w:val="1"/>
      <w:numFmt w:val="bullet"/>
      <w:lvlText w:val="o"/>
      <w:lvlJc w:val="left"/>
      <w:pPr>
        <w:ind w:left="5760" w:hanging="360"/>
      </w:pPr>
      <w:rPr>
        <w:rFonts w:ascii="Courier New" w:hAnsi="Courier New" w:cs="Courier New" w:hint="default"/>
      </w:rPr>
    </w:lvl>
    <w:lvl w:ilvl="8" w:tplc="34A89EC4" w:tentative="1">
      <w:start w:val="1"/>
      <w:numFmt w:val="bullet"/>
      <w:lvlText w:val=""/>
      <w:lvlJc w:val="left"/>
      <w:pPr>
        <w:ind w:left="6480" w:hanging="360"/>
      </w:pPr>
      <w:rPr>
        <w:rFonts w:ascii="Wingdings" w:hAnsi="Wingdings" w:hint="default"/>
      </w:rPr>
    </w:lvl>
  </w:abstractNum>
  <w:abstractNum w:abstractNumId="3" w15:restartNumberingAfterBreak="0">
    <w:nsid w:val="30D77356"/>
    <w:multiLevelType w:val="multilevel"/>
    <w:tmpl w:val="D458E8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42B2540"/>
    <w:multiLevelType w:val="multilevel"/>
    <w:tmpl w:val="74903F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5070695"/>
    <w:multiLevelType w:val="multilevel"/>
    <w:tmpl w:val="7084E2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2B27285"/>
    <w:multiLevelType w:val="multilevel"/>
    <w:tmpl w:val="6A70B5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DC97003"/>
    <w:multiLevelType w:val="multilevel"/>
    <w:tmpl w:val="FED4A4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F27599A"/>
    <w:multiLevelType w:val="multilevel"/>
    <w:tmpl w:val="665E89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B945F9F"/>
    <w:multiLevelType w:val="multilevel"/>
    <w:tmpl w:val="377AAB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F7F0F68"/>
    <w:multiLevelType w:val="multilevel"/>
    <w:tmpl w:val="98BE3C1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0288291">
    <w:abstractNumId w:val="7"/>
  </w:num>
  <w:num w:numId="2" w16cid:durableId="766853459">
    <w:abstractNumId w:val="4"/>
  </w:num>
  <w:num w:numId="3" w16cid:durableId="1595086529">
    <w:abstractNumId w:val="6"/>
  </w:num>
  <w:num w:numId="4" w16cid:durableId="1597399046">
    <w:abstractNumId w:val="1"/>
  </w:num>
  <w:num w:numId="5" w16cid:durableId="323780428">
    <w:abstractNumId w:val="10"/>
  </w:num>
  <w:num w:numId="6" w16cid:durableId="667631864">
    <w:abstractNumId w:val="9"/>
  </w:num>
  <w:num w:numId="7" w16cid:durableId="1135676818">
    <w:abstractNumId w:val="3"/>
  </w:num>
  <w:num w:numId="8" w16cid:durableId="1232622218">
    <w:abstractNumId w:val="5"/>
  </w:num>
  <w:num w:numId="9" w16cid:durableId="1070617210">
    <w:abstractNumId w:val="8"/>
  </w:num>
  <w:num w:numId="10" w16cid:durableId="480583254">
    <w:abstractNumId w:val="0"/>
  </w:num>
  <w:num w:numId="11" w16cid:durableId="204984035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2C26"/>
    <w:rsid w:val="00020FA0"/>
    <w:rsid w:val="0004104F"/>
    <w:rsid w:val="00043F41"/>
    <w:rsid w:val="00055A1D"/>
    <w:rsid w:val="000727DD"/>
    <w:rsid w:val="000B1CFF"/>
    <w:rsid w:val="000C28A0"/>
    <w:rsid w:val="0011498D"/>
    <w:rsid w:val="00145177"/>
    <w:rsid w:val="0015199C"/>
    <w:rsid w:val="00157815"/>
    <w:rsid w:val="00165406"/>
    <w:rsid w:val="001C26AD"/>
    <w:rsid w:val="001D2C60"/>
    <w:rsid w:val="001E2E95"/>
    <w:rsid w:val="00201F25"/>
    <w:rsid w:val="00201FF5"/>
    <w:rsid w:val="002473E6"/>
    <w:rsid w:val="00282C26"/>
    <w:rsid w:val="002E35A5"/>
    <w:rsid w:val="002F17EE"/>
    <w:rsid w:val="00304CE2"/>
    <w:rsid w:val="00307668"/>
    <w:rsid w:val="00341155"/>
    <w:rsid w:val="0038368E"/>
    <w:rsid w:val="003A0D1F"/>
    <w:rsid w:val="003A5264"/>
    <w:rsid w:val="003C74FB"/>
    <w:rsid w:val="003E24BD"/>
    <w:rsid w:val="004133B7"/>
    <w:rsid w:val="00443A91"/>
    <w:rsid w:val="00453B3D"/>
    <w:rsid w:val="004667D9"/>
    <w:rsid w:val="004775E4"/>
    <w:rsid w:val="00480C9A"/>
    <w:rsid w:val="0048364C"/>
    <w:rsid w:val="004C49E8"/>
    <w:rsid w:val="004D2F01"/>
    <w:rsid w:val="004F632D"/>
    <w:rsid w:val="00513292"/>
    <w:rsid w:val="00547CEE"/>
    <w:rsid w:val="00560D29"/>
    <w:rsid w:val="00567530"/>
    <w:rsid w:val="0058255C"/>
    <w:rsid w:val="00611C95"/>
    <w:rsid w:val="00614C61"/>
    <w:rsid w:val="0068154C"/>
    <w:rsid w:val="006C51D9"/>
    <w:rsid w:val="006C5CBE"/>
    <w:rsid w:val="006D12D1"/>
    <w:rsid w:val="006D6268"/>
    <w:rsid w:val="007220FA"/>
    <w:rsid w:val="00731C2C"/>
    <w:rsid w:val="00755043"/>
    <w:rsid w:val="007C5C31"/>
    <w:rsid w:val="007F1F00"/>
    <w:rsid w:val="00820825"/>
    <w:rsid w:val="00832BE3"/>
    <w:rsid w:val="008635A1"/>
    <w:rsid w:val="008869D9"/>
    <w:rsid w:val="00893816"/>
    <w:rsid w:val="008B0D54"/>
    <w:rsid w:val="008E7A8C"/>
    <w:rsid w:val="0092072D"/>
    <w:rsid w:val="00931CFB"/>
    <w:rsid w:val="009857C8"/>
    <w:rsid w:val="00A61E4A"/>
    <w:rsid w:val="00AB6915"/>
    <w:rsid w:val="00AD029B"/>
    <w:rsid w:val="00AD41D7"/>
    <w:rsid w:val="00AE23CB"/>
    <w:rsid w:val="00AF24FB"/>
    <w:rsid w:val="00B02FA4"/>
    <w:rsid w:val="00B15C83"/>
    <w:rsid w:val="00B41315"/>
    <w:rsid w:val="00B55C95"/>
    <w:rsid w:val="00B65BAF"/>
    <w:rsid w:val="00B6620B"/>
    <w:rsid w:val="00B82F2F"/>
    <w:rsid w:val="00BB30A2"/>
    <w:rsid w:val="00BB5FB4"/>
    <w:rsid w:val="00BB7CBC"/>
    <w:rsid w:val="00BE1AA7"/>
    <w:rsid w:val="00C0489F"/>
    <w:rsid w:val="00C141D2"/>
    <w:rsid w:val="00C175FC"/>
    <w:rsid w:val="00C201A8"/>
    <w:rsid w:val="00C655E9"/>
    <w:rsid w:val="00C739ED"/>
    <w:rsid w:val="00C93966"/>
    <w:rsid w:val="00CB12F4"/>
    <w:rsid w:val="00CC0124"/>
    <w:rsid w:val="00CF70F5"/>
    <w:rsid w:val="00D021D5"/>
    <w:rsid w:val="00D103AD"/>
    <w:rsid w:val="00D11EBF"/>
    <w:rsid w:val="00D1710D"/>
    <w:rsid w:val="00D87971"/>
    <w:rsid w:val="00DA40BC"/>
    <w:rsid w:val="00DB1F02"/>
    <w:rsid w:val="00E255B6"/>
    <w:rsid w:val="00E70752"/>
    <w:rsid w:val="00E81B50"/>
    <w:rsid w:val="00E965DC"/>
    <w:rsid w:val="00EC3B90"/>
    <w:rsid w:val="00EF59B0"/>
    <w:rsid w:val="00EF5DA4"/>
    <w:rsid w:val="00F57005"/>
    <w:rsid w:val="00F60912"/>
    <w:rsid w:val="00F76B5D"/>
    <w:rsid w:val="00FC6F4B"/>
  </w:rsids>
  <m:mathPr>
    <m:mathFont m:val="Cambria Math"/>
    <m:brkBin m:val="before"/>
    <m:brkBinSub m:val="--"/>
    <m:smallFrac m:val="0"/>
    <m:dispDef/>
    <m:lMargin m:val="0"/>
    <m:rMargin m:val="0"/>
    <m:defJc m:val="centerGroup"/>
    <m:wrapIndent m:val="1440"/>
    <m:intLim m:val="subSup"/>
    <m:naryLim m:val="undOvr"/>
  </m:mathPr>
  <w:themeFontLang w:val="en-IN" w:bidi="gu-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603DC1C"/>
  <w15:chartTrackingRefBased/>
  <w15:docId w15:val="{D8B457C3-320C-4CE4-B298-4EACB011B0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53B3D"/>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48364C"/>
    <w:pPr>
      <w:keepNext/>
      <w:keepLines/>
      <w:spacing w:before="360" w:after="80"/>
      <w:jc w:val="center"/>
      <w:outlineLvl w:val="0"/>
    </w:pPr>
    <w:rPr>
      <w:rFonts w:eastAsiaTheme="majorEastAsia" w:cstheme="majorBidi"/>
      <w:b/>
      <w:sz w:val="28"/>
      <w:szCs w:val="40"/>
    </w:rPr>
  </w:style>
  <w:style w:type="paragraph" w:styleId="Heading2">
    <w:name w:val="heading 2"/>
    <w:basedOn w:val="Normal"/>
    <w:next w:val="Normal"/>
    <w:link w:val="Heading2Char"/>
    <w:uiPriority w:val="9"/>
    <w:unhideWhenUsed/>
    <w:qFormat/>
    <w:rsid w:val="0048364C"/>
    <w:pPr>
      <w:keepNext/>
      <w:keepLines/>
      <w:spacing w:before="240" w:after="240"/>
      <w:outlineLvl w:val="1"/>
    </w:pPr>
    <w:rPr>
      <w:rFonts w:eastAsiaTheme="majorEastAsia" w:cstheme="majorBidi"/>
      <w:b/>
      <w:sz w:val="26"/>
      <w:szCs w:val="32"/>
    </w:rPr>
  </w:style>
  <w:style w:type="paragraph" w:styleId="Heading3">
    <w:name w:val="heading 3"/>
    <w:basedOn w:val="Normal"/>
    <w:next w:val="Normal"/>
    <w:link w:val="Heading3Char"/>
    <w:uiPriority w:val="9"/>
    <w:semiHidden/>
    <w:unhideWhenUsed/>
    <w:qFormat/>
    <w:rsid w:val="00AD41D7"/>
    <w:pPr>
      <w:keepNext/>
      <w:keepLines/>
      <w:spacing w:before="160" w:after="80"/>
      <w:outlineLvl w:val="2"/>
    </w:pPr>
    <w:rPr>
      <w:rFonts w:eastAsiaTheme="majorEastAsia" w:cstheme="majorBidi"/>
      <w:b/>
      <w:i/>
      <w:sz w:val="26"/>
      <w:szCs w:val="28"/>
    </w:rPr>
  </w:style>
  <w:style w:type="paragraph" w:styleId="Heading4">
    <w:name w:val="heading 4"/>
    <w:basedOn w:val="Normal"/>
    <w:next w:val="Normal"/>
    <w:link w:val="Heading4Char"/>
    <w:uiPriority w:val="9"/>
    <w:semiHidden/>
    <w:unhideWhenUsed/>
    <w:qFormat/>
    <w:rsid w:val="00282C26"/>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282C26"/>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282C26"/>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282C26"/>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282C26"/>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282C26"/>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8364C"/>
    <w:rPr>
      <w:rFonts w:ascii="Times New Roman" w:eastAsiaTheme="majorEastAsia" w:hAnsi="Times New Roman" w:cstheme="majorBidi"/>
      <w:b/>
      <w:sz w:val="28"/>
      <w:szCs w:val="40"/>
    </w:rPr>
  </w:style>
  <w:style w:type="character" w:customStyle="1" w:styleId="Heading2Char">
    <w:name w:val="Heading 2 Char"/>
    <w:basedOn w:val="DefaultParagraphFont"/>
    <w:link w:val="Heading2"/>
    <w:uiPriority w:val="9"/>
    <w:rsid w:val="0048364C"/>
    <w:rPr>
      <w:rFonts w:ascii="Times New Roman" w:eastAsiaTheme="majorEastAsia" w:hAnsi="Times New Roman" w:cstheme="majorBidi"/>
      <w:b/>
      <w:sz w:val="26"/>
      <w:szCs w:val="32"/>
    </w:rPr>
  </w:style>
  <w:style w:type="character" w:customStyle="1" w:styleId="Heading3Char">
    <w:name w:val="Heading 3 Char"/>
    <w:basedOn w:val="DefaultParagraphFont"/>
    <w:link w:val="Heading3"/>
    <w:uiPriority w:val="9"/>
    <w:semiHidden/>
    <w:rsid w:val="00AD41D7"/>
    <w:rPr>
      <w:rFonts w:ascii="Times New Roman" w:eastAsiaTheme="majorEastAsia" w:hAnsi="Times New Roman" w:cstheme="majorBidi"/>
      <w:b/>
      <w:i/>
      <w:sz w:val="26"/>
      <w:szCs w:val="28"/>
    </w:rPr>
  </w:style>
  <w:style w:type="character" w:customStyle="1" w:styleId="Heading4Char">
    <w:name w:val="Heading 4 Char"/>
    <w:basedOn w:val="DefaultParagraphFont"/>
    <w:link w:val="Heading4"/>
    <w:uiPriority w:val="9"/>
    <w:semiHidden/>
    <w:rsid w:val="00282C26"/>
    <w:rPr>
      <w:rFonts w:eastAsiaTheme="majorEastAsia" w:cstheme="majorBidi"/>
      <w:i/>
      <w:iCs/>
      <w:color w:val="2F5496" w:themeColor="accent1" w:themeShade="BF"/>
      <w:sz w:val="24"/>
    </w:rPr>
  </w:style>
  <w:style w:type="character" w:customStyle="1" w:styleId="Heading5Char">
    <w:name w:val="Heading 5 Char"/>
    <w:basedOn w:val="DefaultParagraphFont"/>
    <w:link w:val="Heading5"/>
    <w:uiPriority w:val="9"/>
    <w:semiHidden/>
    <w:rsid w:val="00282C26"/>
    <w:rPr>
      <w:rFonts w:eastAsiaTheme="majorEastAsia" w:cstheme="majorBidi"/>
      <w:color w:val="2F5496" w:themeColor="accent1" w:themeShade="BF"/>
      <w:sz w:val="24"/>
    </w:rPr>
  </w:style>
  <w:style w:type="character" w:customStyle="1" w:styleId="Heading6Char">
    <w:name w:val="Heading 6 Char"/>
    <w:basedOn w:val="DefaultParagraphFont"/>
    <w:link w:val="Heading6"/>
    <w:uiPriority w:val="9"/>
    <w:semiHidden/>
    <w:rsid w:val="00282C26"/>
    <w:rPr>
      <w:rFonts w:eastAsiaTheme="majorEastAsia" w:cstheme="majorBidi"/>
      <w:i/>
      <w:iCs/>
      <w:color w:val="595959" w:themeColor="text1" w:themeTint="A6"/>
      <w:sz w:val="24"/>
    </w:rPr>
  </w:style>
  <w:style w:type="character" w:customStyle="1" w:styleId="Heading7Char">
    <w:name w:val="Heading 7 Char"/>
    <w:basedOn w:val="DefaultParagraphFont"/>
    <w:link w:val="Heading7"/>
    <w:uiPriority w:val="9"/>
    <w:semiHidden/>
    <w:rsid w:val="00282C26"/>
    <w:rPr>
      <w:rFonts w:eastAsiaTheme="majorEastAsia" w:cstheme="majorBidi"/>
      <w:color w:val="595959" w:themeColor="text1" w:themeTint="A6"/>
      <w:sz w:val="24"/>
    </w:rPr>
  </w:style>
  <w:style w:type="character" w:customStyle="1" w:styleId="Heading8Char">
    <w:name w:val="Heading 8 Char"/>
    <w:basedOn w:val="DefaultParagraphFont"/>
    <w:link w:val="Heading8"/>
    <w:uiPriority w:val="9"/>
    <w:semiHidden/>
    <w:rsid w:val="00282C26"/>
    <w:rPr>
      <w:rFonts w:eastAsiaTheme="majorEastAsia" w:cstheme="majorBidi"/>
      <w:i/>
      <w:iCs/>
      <w:color w:val="272727" w:themeColor="text1" w:themeTint="D8"/>
      <w:sz w:val="24"/>
    </w:rPr>
  </w:style>
  <w:style w:type="character" w:customStyle="1" w:styleId="Heading9Char">
    <w:name w:val="Heading 9 Char"/>
    <w:basedOn w:val="DefaultParagraphFont"/>
    <w:link w:val="Heading9"/>
    <w:uiPriority w:val="9"/>
    <w:semiHidden/>
    <w:rsid w:val="00282C26"/>
    <w:rPr>
      <w:rFonts w:eastAsiaTheme="majorEastAsia" w:cstheme="majorBidi"/>
      <w:color w:val="272727" w:themeColor="text1" w:themeTint="D8"/>
      <w:sz w:val="24"/>
    </w:rPr>
  </w:style>
  <w:style w:type="paragraph" w:styleId="Title">
    <w:name w:val="Title"/>
    <w:basedOn w:val="Normal"/>
    <w:next w:val="Normal"/>
    <w:link w:val="TitleChar"/>
    <w:uiPriority w:val="10"/>
    <w:rsid w:val="00282C2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82C2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82C26"/>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82C2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rsid w:val="00282C26"/>
    <w:pPr>
      <w:spacing w:before="160"/>
      <w:jc w:val="center"/>
    </w:pPr>
    <w:rPr>
      <w:i/>
      <w:iCs/>
      <w:color w:val="404040" w:themeColor="text1" w:themeTint="BF"/>
    </w:rPr>
  </w:style>
  <w:style w:type="character" w:customStyle="1" w:styleId="QuoteChar">
    <w:name w:val="Quote Char"/>
    <w:basedOn w:val="DefaultParagraphFont"/>
    <w:link w:val="Quote"/>
    <w:uiPriority w:val="29"/>
    <w:rsid w:val="00282C26"/>
    <w:rPr>
      <w:rFonts w:ascii="Times New Roman" w:hAnsi="Times New Roman"/>
      <w:i/>
      <w:iCs/>
      <w:color w:val="404040" w:themeColor="text1" w:themeTint="BF"/>
      <w:sz w:val="24"/>
    </w:rPr>
  </w:style>
  <w:style w:type="paragraph" w:styleId="ListParagraph">
    <w:name w:val="List Paragraph"/>
    <w:basedOn w:val="Normal"/>
    <w:uiPriority w:val="34"/>
    <w:qFormat/>
    <w:rsid w:val="00282C26"/>
    <w:pPr>
      <w:ind w:left="720"/>
      <w:contextualSpacing/>
    </w:pPr>
  </w:style>
  <w:style w:type="character" w:styleId="IntenseEmphasis">
    <w:name w:val="Intense Emphasis"/>
    <w:basedOn w:val="DefaultParagraphFont"/>
    <w:uiPriority w:val="21"/>
    <w:qFormat/>
    <w:rsid w:val="00282C26"/>
    <w:rPr>
      <w:i/>
      <w:iCs/>
      <w:color w:val="2F5496" w:themeColor="accent1" w:themeShade="BF"/>
    </w:rPr>
  </w:style>
  <w:style w:type="paragraph" w:styleId="IntenseQuote">
    <w:name w:val="Intense Quote"/>
    <w:basedOn w:val="Normal"/>
    <w:next w:val="Normal"/>
    <w:link w:val="IntenseQuoteChar"/>
    <w:uiPriority w:val="30"/>
    <w:qFormat/>
    <w:rsid w:val="00282C26"/>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282C26"/>
    <w:rPr>
      <w:rFonts w:ascii="Times New Roman" w:hAnsi="Times New Roman"/>
      <w:i/>
      <w:iCs/>
      <w:color w:val="2F5496" w:themeColor="accent1" w:themeShade="BF"/>
      <w:sz w:val="24"/>
    </w:rPr>
  </w:style>
  <w:style w:type="character" w:styleId="IntenseReference">
    <w:name w:val="Intense Reference"/>
    <w:basedOn w:val="DefaultParagraphFont"/>
    <w:uiPriority w:val="32"/>
    <w:qFormat/>
    <w:rsid w:val="00282C26"/>
    <w:rPr>
      <w:b/>
      <w:bCs/>
      <w:smallCaps/>
      <w:color w:val="2F5496" w:themeColor="accent1" w:themeShade="BF"/>
      <w:spacing w:val="5"/>
    </w:rPr>
  </w:style>
  <w:style w:type="table" w:styleId="TableGridLight">
    <w:name w:val="Grid Table Light"/>
    <w:basedOn w:val="TableNormal"/>
    <w:uiPriority w:val="40"/>
    <w:rsid w:val="0038368E"/>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NormalWeb">
    <w:name w:val="Normal (Web)"/>
    <w:basedOn w:val="Normal"/>
    <w:uiPriority w:val="99"/>
    <w:semiHidden/>
    <w:unhideWhenUsed/>
    <w:rsid w:val="00567530"/>
    <w:rPr>
      <w:rFonts w:cs="Times New Roman"/>
      <w:szCs w:val="24"/>
    </w:rPr>
  </w:style>
  <w:style w:type="paragraph" w:styleId="Header">
    <w:name w:val="header"/>
    <w:basedOn w:val="Normal"/>
    <w:link w:val="HeaderChar"/>
    <w:uiPriority w:val="99"/>
    <w:unhideWhenUsed/>
    <w:rsid w:val="003A5264"/>
    <w:pPr>
      <w:tabs>
        <w:tab w:val="center" w:pos="4513"/>
        <w:tab w:val="right" w:pos="9026"/>
      </w:tabs>
      <w:spacing w:after="0" w:line="240" w:lineRule="auto"/>
    </w:pPr>
  </w:style>
  <w:style w:type="character" w:customStyle="1" w:styleId="HeaderChar">
    <w:name w:val="Header Char"/>
    <w:basedOn w:val="DefaultParagraphFont"/>
    <w:link w:val="Header"/>
    <w:uiPriority w:val="99"/>
    <w:rsid w:val="003A5264"/>
    <w:rPr>
      <w:rFonts w:ascii="Times New Roman" w:hAnsi="Times New Roman"/>
      <w:sz w:val="24"/>
    </w:rPr>
  </w:style>
  <w:style w:type="paragraph" w:styleId="Footer">
    <w:name w:val="footer"/>
    <w:basedOn w:val="Normal"/>
    <w:link w:val="FooterChar"/>
    <w:uiPriority w:val="99"/>
    <w:unhideWhenUsed/>
    <w:rsid w:val="003A5264"/>
    <w:pPr>
      <w:tabs>
        <w:tab w:val="center" w:pos="4513"/>
        <w:tab w:val="right" w:pos="9026"/>
      </w:tabs>
      <w:spacing w:after="0" w:line="240" w:lineRule="auto"/>
    </w:pPr>
  </w:style>
  <w:style w:type="character" w:customStyle="1" w:styleId="FooterChar">
    <w:name w:val="Footer Char"/>
    <w:basedOn w:val="DefaultParagraphFont"/>
    <w:link w:val="Footer"/>
    <w:uiPriority w:val="99"/>
    <w:rsid w:val="003A5264"/>
    <w:rPr>
      <w:rFonts w:ascii="Times New Roman" w:hAnsi="Times New Roman"/>
      <w:sz w:val="24"/>
    </w:rPr>
  </w:style>
  <w:style w:type="paragraph" w:styleId="TOCHeading">
    <w:name w:val="TOC Heading"/>
    <w:basedOn w:val="Heading1"/>
    <w:next w:val="Normal"/>
    <w:uiPriority w:val="39"/>
    <w:unhideWhenUsed/>
    <w:rsid w:val="003A5264"/>
    <w:pPr>
      <w:spacing w:before="240" w:after="0" w:line="259" w:lineRule="auto"/>
      <w:jc w:val="left"/>
      <w:outlineLvl w:val="9"/>
    </w:pPr>
    <w:rPr>
      <w:rFonts w:asciiTheme="majorHAnsi" w:hAnsiTheme="majorHAnsi"/>
      <w:b w:val="0"/>
      <w:color w:val="2F5496" w:themeColor="accent1" w:themeShade="BF"/>
      <w:kern w:val="0"/>
      <w:sz w:val="32"/>
      <w:szCs w:val="32"/>
      <w:lang w:val="en-US"/>
      <w14:ligatures w14:val="none"/>
    </w:rPr>
  </w:style>
  <w:style w:type="paragraph" w:styleId="TOC1">
    <w:name w:val="toc 1"/>
    <w:basedOn w:val="Normal"/>
    <w:next w:val="Normal"/>
    <w:autoRedefine/>
    <w:uiPriority w:val="39"/>
    <w:unhideWhenUsed/>
    <w:rsid w:val="003A5264"/>
    <w:pPr>
      <w:spacing w:after="100"/>
    </w:pPr>
  </w:style>
  <w:style w:type="paragraph" w:styleId="TOC2">
    <w:name w:val="toc 2"/>
    <w:basedOn w:val="Normal"/>
    <w:next w:val="Normal"/>
    <w:autoRedefine/>
    <w:uiPriority w:val="39"/>
    <w:unhideWhenUsed/>
    <w:rsid w:val="003A5264"/>
    <w:pPr>
      <w:spacing w:after="100"/>
      <w:ind w:left="240"/>
    </w:pPr>
  </w:style>
  <w:style w:type="character" w:styleId="Hyperlink">
    <w:name w:val="Hyperlink"/>
    <w:basedOn w:val="DefaultParagraphFont"/>
    <w:uiPriority w:val="99"/>
    <w:unhideWhenUsed/>
    <w:rsid w:val="003A5264"/>
    <w:rPr>
      <w:color w:val="0563C1" w:themeColor="hyperlink"/>
      <w:u w:val="single"/>
    </w:rPr>
  </w:style>
  <w:style w:type="table" w:styleId="GridTable2-Accent1">
    <w:name w:val="Grid Table 2 Accent 1"/>
    <w:basedOn w:val="TableNormal"/>
    <w:uiPriority w:val="47"/>
    <w:rsid w:val="004C49E8"/>
    <w:pPr>
      <w:spacing w:after="0" w:line="240" w:lineRule="auto"/>
    </w:pPr>
    <w:tblPr>
      <w:tblStyleRowBandSize w:val="1"/>
      <w:tblStyleColBandSize w:val="1"/>
      <w:tblBorders>
        <w:top w:val="single" w:sz="2" w:space="0" w:color="8EAADB" w:themeColor="accent1" w:themeTint="99"/>
        <w:bottom w:val="single" w:sz="2" w:space="0" w:color="8EAADB" w:themeColor="accent1" w:themeTint="99"/>
        <w:insideH w:val="single" w:sz="2" w:space="0" w:color="8EAADB" w:themeColor="accent1" w:themeTint="99"/>
        <w:insideV w:val="single" w:sz="2" w:space="0" w:color="8EAADB" w:themeColor="accent1" w:themeTint="99"/>
      </w:tblBorders>
    </w:tblPr>
    <w:tblStylePr w:type="firstRow">
      <w:rPr>
        <w:b/>
        <w:bCs/>
      </w:rPr>
      <w:tblPr/>
      <w:tcPr>
        <w:tcBorders>
          <w:top w:val="nil"/>
          <w:bottom w:val="single" w:sz="12" w:space="0" w:color="8EAADB" w:themeColor="accent1" w:themeTint="99"/>
          <w:insideH w:val="nil"/>
          <w:insideV w:val="nil"/>
        </w:tcBorders>
        <w:shd w:val="clear" w:color="auto" w:fill="FFFFFF" w:themeFill="background1"/>
      </w:tcPr>
    </w:tblStylePr>
    <w:tblStylePr w:type="lastRow">
      <w:rPr>
        <w:b/>
        <w:bCs/>
      </w:rPr>
      <w:tblPr/>
      <w:tcPr>
        <w:tcBorders>
          <w:top w:val="double" w:sz="2" w:space="0" w:color="8EAADB"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styleId="GridTable4-Accent5">
    <w:name w:val="Grid Table 4 Accent 5"/>
    <w:basedOn w:val="TableNormal"/>
    <w:uiPriority w:val="49"/>
    <w:rsid w:val="004C49E8"/>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GridTable4-Accent2">
    <w:name w:val="Grid Table 4 Accent 2"/>
    <w:basedOn w:val="TableNormal"/>
    <w:uiPriority w:val="49"/>
    <w:rsid w:val="004C49E8"/>
    <w:pPr>
      <w:spacing w:after="0" w:line="240" w:lineRule="auto"/>
    </w:p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color w:val="FFFFFF" w:themeColor="background1"/>
      </w:rPr>
      <w:tblPr/>
      <w:tcPr>
        <w:tcBorders>
          <w:top w:val="single" w:sz="4" w:space="0" w:color="ED7D31" w:themeColor="accent2"/>
          <w:left w:val="single" w:sz="4" w:space="0" w:color="ED7D31" w:themeColor="accent2"/>
          <w:bottom w:val="single" w:sz="4" w:space="0" w:color="ED7D31" w:themeColor="accent2"/>
          <w:right w:val="single" w:sz="4" w:space="0" w:color="ED7D31" w:themeColor="accent2"/>
          <w:insideH w:val="nil"/>
          <w:insideV w:val="nil"/>
        </w:tcBorders>
        <w:shd w:val="clear" w:color="auto" w:fill="ED7D31" w:themeFill="accent2"/>
      </w:tcPr>
    </w:tblStylePr>
    <w:tblStylePr w:type="lastRow">
      <w:rPr>
        <w:b/>
        <w:bCs/>
      </w:rPr>
      <w:tblPr/>
      <w:tcPr>
        <w:tcBorders>
          <w:top w:val="double" w:sz="4" w:space="0" w:color="ED7D31" w:themeColor="accent2"/>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character" w:styleId="CommentReference">
    <w:name w:val="annotation reference"/>
    <w:basedOn w:val="DefaultParagraphFont"/>
    <w:uiPriority w:val="99"/>
    <w:semiHidden/>
    <w:unhideWhenUsed/>
    <w:rsid w:val="0048364C"/>
    <w:rPr>
      <w:sz w:val="16"/>
      <w:szCs w:val="16"/>
    </w:rPr>
  </w:style>
  <w:style w:type="paragraph" w:styleId="CommentText">
    <w:name w:val="annotation text"/>
    <w:basedOn w:val="Normal"/>
    <w:link w:val="CommentTextChar"/>
    <w:uiPriority w:val="99"/>
    <w:unhideWhenUsed/>
    <w:rsid w:val="0048364C"/>
    <w:pPr>
      <w:spacing w:line="240" w:lineRule="auto"/>
    </w:pPr>
    <w:rPr>
      <w:sz w:val="20"/>
      <w:szCs w:val="20"/>
    </w:rPr>
  </w:style>
  <w:style w:type="character" w:customStyle="1" w:styleId="CommentTextChar">
    <w:name w:val="Comment Text Char"/>
    <w:basedOn w:val="DefaultParagraphFont"/>
    <w:link w:val="CommentText"/>
    <w:uiPriority w:val="99"/>
    <w:rsid w:val="0048364C"/>
    <w:rPr>
      <w:rFonts w:ascii="Times New Roman" w:hAnsi="Times New Roman"/>
      <w:sz w:val="20"/>
      <w:szCs w:val="20"/>
    </w:rPr>
  </w:style>
  <w:style w:type="paragraph" w:styleId="CommentSubject">
    <w:name w:val="annotation subject"/>
    <w:basedOn w:val="CommentText"/>
    <w:next w:val="CommentText"/>
    <w:link w:val="CommentSubjectChar"/>
    <w:uiPriority w:val="99"/>
    <w:semiHidden/>
    <w:unhideWhenUsed/>
    <w:rsid w:val="0048364C"/>
    <w:rPr>
      <w:b/>
      <w:bCs/>
    </w:rPr>
  </w:style>
  <w:style w:type="character" w:customStyle="1" w:styleId="CommentSubjectChar">
    <w:name w:val="Comment Subject Char"/>
    <w:basedOn w:val="CommentTextChar"/>
    <w:link w:val="CommentSubject"/>
    <w:uiPriority w:val="99"/>
    <w:semiHidden/>
    <w:rsid w:val="0048364C"/>
    <w:rPr>
      <w:rFonts w:ascii="Times New Roman" w:hAnsi="Times New Roman"/>
      <w:b/>
      <w:bCs/>
      <w:sz w:val="20"/>
      <w:szCs w:val="20"/>
    </w:rPr>
  </w:style>
  <w:style w:type="paragraph" w:styleId="Caption">
    <w:name w:val="caption"/>
    <w:basedOn w:val="Normal"/>
    <w:next w:val="Normal"/>
    <w:uiPriority w:val="35"/>
    <w:unhideWhenUsed/>
    <w:rsid w:val="008869D9"/>
    <w:pPr>
      <w:spacing w:after="200" w:line="240" w:lineRule="auto"/>
    </w:pPr>
    <w:rPr>
      <w:i/>
      <w:iCs/>
      <w:color w:val="44546A" w:themeColor="text2"/>
      <w:sz w:val="18"/>
      <w:szCs w:val="18"/>
    </w:rPr>
  </w:style>
  <w:style w:type="table" w:styleId="GridTable6Colorful">
    <w:name w:val="Grid Table 6 Colorful"/>
    <w:basedOn w:val="TableNormal"/>
    <w:uiPriority w:val="51"/>
    <w:rsid w:val="00341155"/>
    <w:pPr>
      <w:spacing w:after="0" w:line="240" w:lineRule="auto"/>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bottom w:val="single" w:sz="12" w:space="0" w:color="666666" w:themeColor="text1" w:themeTint="99"/>
        </w:tcBorders>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character" w:styleId="UnresolvedMention">
    <w:name w:val="Unresolved Mention"/>
    <w:basedOn w:val="DefaultParagraphFont"/>
    <w:uiPriority w:val="99"/>
    <w:semiHidden/>
    <w:unhideWhenUsed/>
    <w:rsid w:val="00DB1F0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diagramColors" Target="diagrams/colors1.xml"/><Relationship Id="rId18" Type="http://schemas.openxmlformats.org/officeDocument/2006/relationships/hyperlink" Target="https://doi.org/10.1109/3S63260.2024.10693964" TargetMode="External"/><Relationship Id="rId26" Type="http://schemas.openxmlformats.org/officeDocument/2006/relationships/hyperlink" Target="https://urn.kb.se/resolve?urn=urn:nbn:se:ltu:diva-114857" TargetMode="External"/><Relationship Id="rId39" Type="http://schemas.openxmlformats.org/officeDocument/2006/relationships/theme" Target="theme/theme1.xml"/><Relationship Id="rId21" Type="http://schemas.openxmlformats.org/officeDocument/2006/relationships/hyperlink" Target="https://doi.org/10.3390/standards5040033" TargetMode="External"/><Relationship Id="rId34" Type="http://schemas.openxmlformats.org/officeDocument/2006/relationships/hyperlink" Target="https://doi.org/10.1109/JAS.2022.105860" TargetMode="External"/><Relationship Id="rId7" Type="http://schemas.openxmlformats.org/officeDocument/2006/relationships/endnotes" Target="endnotes.xml"/><Relationship Id="rId12" Type="http://schemas.openxmlformats.org/officeDocument/2006/relationships/diagramQuickStyle" Target="diagrams/quickStyle1.xml"/><Relationship Id="rId17" Type="http://schemas.openxmlformats.org/officeDocument/2006/relationships/hyperlink" Target="https://doi.org/10.3390/electronics14071394" TargetMode="External"/><Relationship Id="rId25" Type="http://schemas.openxmlformats.org/officeDocument/2006/relationships/hyperlink" Target="https://www.proquest.com/" TargetMode="External"/><Relationship Id="rId33" Type="http://schemas.openxmlformats.org/officeDocument/2006/relationships/hyperlink" Target="https://doi.org/10.21275/sr23092085343" TargetMode="External"/><Relationship Id="rId38"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doi.org/10.54660/IJFMR.2022.3.1.23" TargetMode="External"/><Relationship Id="rId20" Type="http://schemas.openxmlformats.org/officeDocument/2006/relationships/hyperlink" Target="http://hdl.handle.net/123456789/9076" TargetMode="External"/><Relationship Id="rId29" Type="http://schemas.openxmlformats.org/officeDocument/2006/relationships/hyperlink" Target="https://doi.org/10.1007/978-981-95-3865-2_10"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Layout" Target="diagrams/layout1.xml"/><Relationship Id="rId24" Type="http://schemas.openxmlformats.org/officeDocument/2006/relationships/hyperlink" Target="https://doi.org/10.63125/j64vb122" TargetMode="External"/><Relationship Id="rId32" Type="http://schemas.openxmlformats.org/officeDocument/2006/relationships/hyperlink" Target="https://doi.org/10.2139/ssrn.5940974" TargetMode="External"/><Relationship Id="rId37"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urn.fi/URN:NBN:fi:amk-2025-898204" TargetMode="External"/><Relationship Id="rId23" Type="http://schemas.openxmlformats.org/officeDocument/2006/relationships/hyperlink" Target="http://hdl.handle.net/20.500.11875/4982" TargetMode="External"/><Relationship Id="rId28" Type="http://schemas.openxmlformats.org/officeDocument/2006/relationships/hyperlink" Target="http://hdl.handle.net/10589/246980" TargetMode="External"/><Relationship Id="rId36" Type="http://schemas.openxmlformats.org/officeDocument/2006/relationships/hyperlink" Target="https://doi.org/10.3390/jmse12060919" TargetMode="External"/><Relationship Id="rId10" Type="http://schemas.openxmlformats.org/officeDocument/2006/relationships/diagramData" Target="diagrams/data1.xml"/><Relationship Id="rId19" Type="http://schemas.openxmlformats.org/officeDocument/2006/relationships/hyperlink" Target="https://doi.org/10.13140/RG.2.2.14660.39503" TargetMode="External"/><Relationship Id="rId31" Type="http://schemas.openxmlformats.org/officeDocument/2006/relationships/hyperlink" Target="https://repository.rit.edu/" TargetMode="External"/><Relationship Id="rId4" Type="http://schemas.openxmlformats.org/officeDocument/2006/relationships/settings" Target="settings.xml"/><Relationship Id="rId9" Type="http://schemas.openxmlformats.org/officeDocument/2006/relationships/image" Target="media/image2.png"/><Relationship Id="rId14" Type="http://schemas.microsoft.com/office/2007/relationships/diagramDrawing" Target="diagrams/drawing1.xml"/><Relationship Id="rId22" Type="http://schemas.openxmlformats.org/officeDocument/2006/relationships/hyperlink" Target="https://doi.org/10.25439/rmt.27351378" TargetMode="External"/><Relationship Id="rId27" Type="http://schemas.openxmlformats.org/officeDocument/2006/relationships/hyperlink" Target="https://doi.org/10.32996/jcsts.2025.7.8.104" TargetMode="External"/><Relationship Id="rId30" Type="http://schemas.openxmlformats.org/officeDocument/2006/relationships/hyperlink" Target="https://doi.org/10.47738/ijaim.v4i1.70" TargetMode="External"/><Relationship Id="rId35" Type="http://schemas.openxmlformats.org/officeDocument/2006/relationships/hyperlink" Target="https://doi.org/10.30574/ijsra.2024.13.2.2396" TargetMode="External"/><Relationship Id="rId8" Type="http://schemas.openxmlformats.org/officeDocument/2006/relationships/image" Target="media/image1.png"/><Relationship Id="rId3" Type="http://schemas.openxmlformats.org/officeDocument/2006/relationships/styles" Target="styles.xml"/></Relationships>
</file>

<file path=word/diagrams/colors1.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F6DD157C-D9E3-42DA-A718-1240E8896D0A}" type="doc">
      <dgm:prSet loTypeId="urn:microsoft.com/office/officeart/2005/8/layout/pyramid2" loCatId="pyramid" qsTypeId="urn:microsoft.com/office/officeart/2005/8/quickstyle/simple1" qsCatId="simple" csTypeId="urn:microsoft.com/office/officeart/2005/8/colors/colorful5" csCatId="colorful" phldr="1"/>
      <dgm:spPr/>
    </dgm:pt>
    <dgm:pt modelId="{3241EEBE-6178-49C7-851A-0D13146585FF}">
      <dgm:prSet phldrT="[Text]"/>
      <dgm:spPr/>
      <dgm:t>
        <a:bodyPr/>
        <a:lstStyle/>
        <a:p>
          <a:pPr>
            <a:buNone/>
          </a:pPr>
          <a:r>
            <a:rPr lang="en-IN"/>
            <a:t>Governance and Strategy</a:t>
          </a:r>
        </a:p>
      </dgm:t>
    </dgm:pt>
    <dgm:pt modelId="{F6B1F03A-D539-42E4-9924-87819C7DF22A}" type="parTrans" cxnId="{A942F96D-5223-473A-AD4F-EB07851BAA8D}">
      <dgm:prSet/>
      <dgm:spPr/>
      <dgm:t>
        <a:bodyPr/>
        <a:lstStyle/>
        <a:p>
          <a:endParaRPr lang="en-IN"/>
        </a:p>
      </dgm:t>
    </dgm:pt>
    <dgm:pt modelId="{7E393580-56FA-407E-9D4B-F608E1D1489A}" type="sibTrans" cxnId="{A942F96D-5223-473A-AD4F-EB07851BAA8D}">
      <dgm:prSet/>
      <dgm:spPr/>
      <dgm:t>
        <a:bodyPr/>
        <a:lstStyle/>
        <a:p>
          <a:endParaRPr lang="en-IN"/>
        </a:p>
      </dgm:t>
    </dgm:pt>
    <dgm:pt modelId="{49A3C80A-EF05-45A1-9F59-F34CFAEC4E5F}">
      <dgm:prSet phldrT="[Text]"/>
      <dgm:spPr/>
      <dgm:t>
        <a:bodyPr/>
        <a:lstStyle/>
        <a:p>
          <a:pPr>
            <a:buNone/>
          </a:pPr>
          <a:r>
            <a:rPr lang="en-IN"/>
            <a:t>Risk Management</a:t>
          </a:r>
        </a:p>
      </dgm:t>
    </dgm:pt>
    <dgm:pt modelId="{73287100-D2CB-4770-ACA0-95DB3C0A1597}" type="parTrans" cxnId="{4424CA8D-5873-414B-ACDA-86ED83EFF3FD}">
      <dgm:prSet/>
      <dgm:spPr/>
      <dgm:t>
        <a:bodyPr/>
        <a:lstStyle/>
        <a:p>
          <a:endParaRPr lang="en-IN"/>
        </a:p>
      </dgm:t>
    </dgm:pt>
    <dgm:pt modelId="{3F248A79-F658-4545-AC09-333BAC42C82C}" type="sibTrans" cxnId="{4424CA8D-5873-414B-ACDA-86ED83EFF3FD}">
      <dgm:prSet/>
      <dgm:spPr/>
      <dgm:t>
        <a:bodyPr/>
        <a:lstStyle/>
        <a:p>
          <a:endParaRPr lang="en-IN"/>
        </a:p>
      </dgm:t>
    </dgm:pt>
    <dgm:pt modelId="{9D0147CB-7E4D-4944-BC59-A255BDE1E211}">
      <dgm:prSet phldrT="[Text]"/>
      <dgm:spPr/>
      <dgm:t>
        <a:bodyPr/>
        <a:lstStyle/>
        <a:p>
          <a:pPr>
            <a:buNone/>
          </a:pPr>
          <a:r>
            <a:rPr lang="en-IN"/>
            <a:t>Protection and Access Control</a:t>
          </a:r>
        </a:p>
      </dgm:t>
    </dgm:pt>
    <dgm:pt modelId="{223B777C-0B4A-4DFA-BF40-D192DC61D756}" type="parTrans" cxnId="{3B0BEC92-A41F-42CD-9BB9-07CFB8E1F7A8}">
      <dgm:prSet/>
      <dgm:spPr/>
      <dgm:t>
        <a:bodyPr/>
        <a:lstStyle/>
        <a:p>
          <a:endParaRPr lang="en-IN"/>
        </a:p>
      </dgm:t>
    </dgm:pt>
    <dgm:pt modelId="{7B6D0E92-A496-44C4-AC82-6EA5DF06787E}" type="sibTrans" cxnId="{3B0BEC92-A41F-42CD-9BB9-07CFB8E1F7A8}">
      <dgm:prSet/>
      <dgm:spPr/>
      <dgm:t>
        <a:bodyPr/>
        <a:lstStyle/>
        <a:p>
          <a:endParaRPr lang="en-IN"/>
        </a:p>
      </dgm:t>
    </dgm:pt>
    <dgm:pt modelId="{B23F16AD-413B-430B-BE3E-BABCF08D4DC4}">
      <dgm:prSet phldrT="[Text]"/>
      <dgm:spPr/>
      <dgm:t>
        <a:bodyPr/>
        <a:lstStyle/>
        <a:p>
          <a:pPr>
            <a:buNone/>
          </a:pPr>
          <a:r>
            <a:rPr lang="en-IN"/>
            <a:t>Compliance</a:t>
          </a:r>
        </a:p>
      </dgm:t>
    </dgm:pt>
    <dgm:pt modelId="{5C7DA26A-A092-44D4-A83C-E5937DC44787}" type="parTrans" cxnId="{19C36A9E-E84D-4D00-AF5A-43882DC51A13}">
      <dgm:prSet/>
      <dgm:spPr/>
      <dgm:t>
        <a:bodyPr/>
        <a:lstStyle/>
        <a:p>
          <a:endParaRPr lang="en-IN"/>
        </a:p>
      </dgm:t>
    </dgm:pt>
    <dgm:pt modelId="{00A7CBD1-3833-4E26-B246-9F0F86F2F016}" type="sibTrans" cxnId="{19C36A9E-E84D-4D00-AF5A-43882DC51A13}">
      <dgm:prSet/>
      <dgm:spPr/>
      <dgm:t>
        <a:bodyPr/>
        <a:lstStyle/>
        <a:p>
          <a:endParaRPr lang="en-IN"/>
        </a:p>
      </dgm:t>
    </dgm:pt>
    <dgm:pt modelId="{C0E83FCA-ED17-4A57-9244-511FCF11A4A9}">
      <dgm:prSet phldrT="[Text]"/>
      <dgm:spPr/>
      <dgm:t>
        <a:bodyPr/>
        <a:lstStyle/>
        <a:p>
          <a:pPr>
            <a:buNone/>
          </a:pPr>
          <a:r>
            <a:rPr lang="en-IN"/>
            <a:t>Vendor and Service Level Agreement (SLA) Management</a:t>
          </a:r>
        </a:p>
      </dgm:t>
    </dgm:pt>
    <dgm:pt modelId="{7DB73946-B0F5-4ABF-9862-B2F6AEB194FA}" type="parTrans" cxnId="{400FAB8D-8446-4033-8D7B-0736033D443C}">
      <dgm:prSet/>
      <dgm:spPr/>
      <dgm:t>
        <a:bodyPr/>
        <a:lstStyle/>
        <a:p>
          <a:endParaRPr lang="en-IN"/>
        </a:p>
      </dgm:t>
    </dgm:pt>
    <dgm:pt modelId="{56BFA02A-0C1B-4909-93E4-8E2E4B455B5F}" type="sibTrans" cxnId="{400FAB8D-8446-4033-8D7B-0736033D443C}">
      <dgm:prSet/>
      <dgm:spPr/>
      <dgm:t>
        <a:bodyPr/>
        <a:lstStyle/>
        <a:p>
          <a:endParaRPr lang="en-IN"/>
        </a:p>
      </dgm:t>
    </dgm:pt>
    <dgm:pt modelId="{EF3A7058-8B87-4AB0-A670-D74217CBDEB6}">
      <dgm:prSet phldrT="[Text]"/>
      <dgm:spPr/>
      <dgm:t>
        <a:bodyPr/>
        <a:lstStyle/>
        <a:p>
          <a:pPr>
            <a:buNone/>
          </a:pPr>
          <a:r>
            <a:rPr lang="en-IN"/>
            <a:t>Contingency and Business Continuity</a:t>
          </a:r>
        </a:p>
      </dgm:t>
    </dgm:pt>
    <dgm:pt modelId="{C0E27084-91EF-4AF4-AC83-3C2EF44D2597}" type="parTrans" cxnId="{8C03A74C-8409-41CA-99E2-BA84CDA8C3E9}">
      <dgm:prSet/>
      <dgm:spPr/>
      <dgm:t>
        <a:bodyPr/>
        <a:lstStyle/>
        <a:p>
          <a:endParaRPr lang="en-IN"/>
        </a:p>
      </dgm:t>
    </dgm:pt>
    <dgm:pt modelId="{F8847B33-CFC8-4E82-918E-0E769E5E8552}" type="sibTrans" cxnId="{8C03A74C-8409-41CA-99E2-BA84CDA8C3E9}">
      <dgm:prSet/>
      <dgm:spPr/>
      <dgm:t>
        <a:bodyPr/>
        <a:lstStyle/>
        <a:p>
          <a:endParaRPr lang="en-IN"/>
        </a:p>
      </dgm:t>
    </dgm:pt>
    <dgm:pt modelId="{96A8FE8E-56AB-42AB-94FA-22A12AAA39B7}" type="pres">
      <dgm:prSet presAssocID="{F6DD157C-D9E3-42DA-A718-1240E8896D0A}" presName="compositeShape" presStyleCnt="0">
        <dgm:presLayoutVars>
          <dgm:dir/>
          <dgm:resizeHandles/>
        </dgm:presLayoutVars>
      </dgm:prSet>
      <dgm:spPr/>
    </dgm:pt>
    <dgm:pt modelId="{200BFC91-ADB6-41EA-8FAB-D1B11C8B54EA}" type="pres">
      <dgm:prSet presAssocID="{F6DD157C-D9E3-42DA-A718-1240E8896D0A}" presName="pyramid" presStyleLbl="node1" presStyleIdx="0" presStyleCnt="1"/>
      <dgm:spPr/>
    </dgm:pt>
    <dgm:pt modelId="{3533C7FF-7615-496F-890A-CDE13B3D8C8D}" type="pres">
      <dgm:prSet presAssocID="{F6DD157C-D9E3-42DA-A718-1240E8896D0A}" presName="theList" presStyleCnt="0"/>
      <dgm:spPr/>
    </dgm:pt>
    <dgm:pt modelId="{3E84B2C1-D8F5-4E1E-896B-148551931186}" type="pres">
      <dgm:prSet presAssocID="{3241EEBE-6178-49C7-851A-0D13146585FF}" presName="aNode" presStyleLbl="fgAcc1" presStyleIdx="0" presStyleCnt="6">
        <dgm:presLayoutVars>
          <dgm:bulletEnabled val="1"/>
        </dgm:presLayoutVars>
      </dgm:prSet>
      <dgm:spPr/>
    </dgm:pt>
    <dgm:pt modelId="{4A4E922E-83CC-4F0D-ABDB-843B809DD5CA}" type="pres">
      <dgm:prSet presAssocID="{3241EEBE-6178-49C7-851A-0D13146585FF}" presName="aSpace" presStyleCnt="0"/>
      <dgm:spPr/>
    </dgm:pt>
    <dgm:pt modelId="{AB25ADAC-F257-4D51-8822-65DC2C514449}" type="pres">
      <dgm:prSet presAssocID="{49A3C80A-EF05-45A1-9F59-F34CFAEC4E5F}" presName="aNode" presStyleLbl="fgAcc1" presStyleIdx="1" presStyleCnt="6">
        <dgm:presLayoutVars>
          <dgm:bulletEnabled val="1"/>
        </dgm:presLayoutVars>
      </dgm:prSet>
      <dgm:spPr/>
    </dgm:pt>
    <dgm:pt modelId="{7BC49A52-1407-472D-BD59-2CF9BF501160}" type="pres">
      <dgm:prSet presAssocID="{49A3C80A-EF05-45A1-9F59-F34CFAEC4E5F}" presName="aSpace" presStyleCnt="0"/>
      <dgm:spPr/>
    </dgm:pt>
    <dgm:pt modelId="{5E0F77F6-2C34-42F2-BBC5-4B2C7FFD04FC}" type="pres">
      <dgm:prSet presAssocID="{9D0147CB-7E4D-4944-BC59-A255BDE1E211}" presName="aNode" presStyleLbl="fgAcc1" presStyleIdx="2" presStyleCnt="6">
        <dgm:presLayoutVars>
          <dgm:bulletEnabled val="1"/>
        </dgm:presLayoutVars>
      </dgm:prSet>
      <dgm:spPr/>
    </dgm:pt>
    <dgm:pt modelId="{EB77E290-4FDE-43FB-832C-254455ECAB64}" type="pres">
      <dgm:prSet presAssocID="{9D0147CB-7E4D-4944-BC59-A255BDE1E211}" presName="aSpace" presStyleCnt="0"/>
      <dgm:spPr/>
    </dgm:pt>
    <dgm:pt modelId="{9EFDF070-27CC-48FD-BC0E-D6E57DFE919D}" type="pres">
      <dgm:prSet presAssocID="{B23F16AD-413B-430B-BE3E-BABCF08D4DC4}" presName="aNode" presStyleLbl="fgAcc1" presStyleIdx="3" presStyleCnt="6">
        <dgm:presLayoutVars>
          <dgm:bulletEnabled val="1"/>
        </dgm:presLayoutVars>
      </dgm:prSet>
      <dgm:spPr/>
    </dgm:pt>
    <dgm:pt modelId="{24CB5311-50CD-4211-A560-BCE323AF2430}" type="pres">
      <dgm:prSet presAssocID="{B23F16AD-413B-430B-BE3E-BABCF08D4DC4}" presName="aSpace" presStyleCnt="0"/>
      <dgm:spPr/>
    </dgm:pt>
    <dgm:pt modelId="{B7E896F8-892A-4F13-AECA-9F4C49C6A43E}" type="pres">
      <dgm:prSet presAssocID="{C0E83FCA-ED17-4A57-9244-511FCF11A4A9}" presName="aNode" presStyleLbl="fgAcc1" presStyleIdx="4" presStyleCnt="6">
        <dgm:presLayoutVars>
          <dgm:bulletEnabled val="1"/>
        </dgm:presLayoutVars>
      </dgm:prSet>
      <dgm:spPr/>
    </dgm:pt>
    <dgm:pt modelId="{9D791792-71F1-4EA1-9D81-B5156B2460B4}" type="pres">
      <dgm:prSet presAssocID="{C0E83FCA-ED17-4A57-9244-511FCF11A4A9}" presName="aSpace" presStyleCnt="0"/>
      <dgm:spPr/>
    </dgm:pt>
    <dgm:pt modelId="{7F6809C4-96D8-406C-BA49-42D7CD2AFCEE}" type="pres">
      <dgm:prSet presAssocID="{EF3A7058-8B87-4AB0-A670-D74217CBDEB6}" presName="aNode" presStyleLbl="fgAcc1" presStyleIdx="5" presStyleCnt="6">
        <dgm:presLayoutVars>
          <dgm:bulletEnabled val="1"/>
        </dgm:presLayoutVars>
      </dgm:prSet>
      <dgm:spPr/>
    </dgm:pt>
    <dgm:pt modelId="{1ED7760B-61F6-47EC-93E4-139D7A510338}" type="pres">
      <dgm:prSet presAssocID="{EF3A7058-8B87-4AB0-A670-D74217CBDEB6}" presName="aSpace" presStyleCnt="0"/>
      <dgm:spPr/>
    </dgm:pt>
  </dgm:ptLst>
  <dgm:cxnLst>
    <dgm:cxn modelId="{20B2A01A-47BF-4731-857B-0B748B068543}" type="presOf" srcId="{F6DD157C-D9E3-42DA-A718-1240E8896D0A}" destId="{96A8FE8E-56AB-42AB-94FA-22A12AAA39B7}" srcOrd="0" destOrd="0" presId="urn:microsoft.com/office/officeart/2005/8/layout/pyramid2"/>
    <dgm:cxn modelId="{402D281E-0EA3-4AFA-9625-7B023E52F48E}" type="presOf" srcId="{B23F16AD-413B-430B-BE3E-BABCF08D4DC4}" destId="{9EFDF070-27CC-48FD-BC0E-D6E57DFE919D}" srcOrd="0" destOrd="0" presId="urn:microsoft.com/office/officeart/2005/8/layout/pyramid2"/>
    <dgm:cxn modelId="{BB826F27-CE7B-43FD-9BBB-C3EBC23CC06A}" type="presOf" srcId="{3241EEBE-6178-49C7-851A-0D13146585FF}" destId="{3E84B2C1-D8F5-4E1E-896B-148551931186}" srcOrd="0" destOrd="0" presId="urn:microsoft.com/office/officeart/2005/8/layout/pyramid2"/>
    <dgm:cxn modelId="{30D09E2E-EDA9-42DE-A6D8-82B886252A0D}" type="presOf" srcId="{9D0147CB-7E4D-4944-BC59-A255BDE1E211}" destId="{5E0F77F6-2C34-42F2-BBC5-4B2C7FFD04FC}" srcOrd="0" destOrd="0" presId="urn:microsoft.com/office/officeart/2005/8/layout/pyramid2"/>
    <dgm:cxn modelId="{0813EB37-A75C-4C6E-818D-F87F0D45DCA7}" type="presOf" srcId="{EF3A7058-8B87-4AB0-A670-D74217CBDEB6}" destId="{7F6809C4-96D8-406C-BA49-42D7CD2AFCEE}" srcOrd="0" destOrd="0" presId="urn:microsoft.com/office/officeart/2005/8/layout/pyramid2"/>
    <dgm:cxn modelId="{8C03A74C-8409-41CA-99E2-BA84CDA8C3E9}" srcId="{F6DD157C-D9E3-42DA-A718-1240E8896D0A}" destId="{EF3A7058-8B87-4AB0-A670-D74217CBDEB6}" srcOrd="5" destOrd="0" parTransId="{C0E27084-91EF-4AF4-AC83-3C2EF44D2597}" sibTransId="{F8847B33-CFC8-4E82-918E-0E769E5E8552}"/>
    <dgm:cxn modelId="{A942F96D-5223-473A-AD4F-EB07851BAA8D}" srcId="{F6DD157C-D9E3-42DA-A718-1240E8896D0A}" destId="{3241EEBE-6178-49C7-851A-0D13146585FF}" srcOrd="0" destOrd="0" parTransId="{F6B1F03A-D539-42E4-9924-87819C7DF22A}" sibTransId="{7E393580-56FA-407E-9D4B-F608E1D1489A}"/>
    <dgm:cxn modelId="{1F5E6379-C6EC-411F-B183-028CD6BEB8F9}" type="presOf" srcId="{C0E83FCA-ED17-4A57-9244-511FCF11A4A9}" destId="{B7E896F8-892A-4F13-AECA-9F4C49C6A43E}" srcOrd="0" destOrd="0" presId="urn:microsoft.com/office/officeart/2005/8/layout/pyramid2"/>
    <dgm:cxn modelId="{400FAB8D-8446-4033-8D7B-0736033D443C}" srcId="{F6DD157C-D9E3-42DA-A718-1240E8896D0A}" destId="{C0E83FCA-ED17-4A57-9244-511FCF11A4A9}" srcOrd="4" destOrd="0" parTransId="{7DB73946-B0F5-4ABF-9862-B2F6AEB194FA}" sibTransId="{56BFA02A-0C1B-4909-93E4-8E2E4B455B5F}"/>
    <dgm:cxn modelId="{4424CA8D-5873-414B-ACDA-86ED83EFF3FD}" srcId="{F6DD157C-D9E3-42DA-A718-1240E8896D0A}" destId="{49A3C80A-EF05-45A1-9F59-F34CFAEC4E5F}" srcOrd="1" destOrd="0" parTransId="{73287100-D2CB-4770-ACA0-95DB3C0A1597}" sibTransId="{3F248A79-F658-4545-AC09-333BAC42C82C}"/>
    <dgm:cxn modelId="{3B0BEC92-A41F-42CD-9BB9-07CFB8E1F7A8}" srcId="{F6DD157C-D9E3-42DA-A718-1240E8896D0A}" destId="{9D0147CB-7E4D-4944-BC59-A255BDE1E211}" srcOrd="2" destOrd="0" parTransId="{223B777C-0B4A-4DFA-BF40-D192DC61D756}" sibTransId="{7B6D0E92-A496-44C4-AC82-6EA5DF06787E}"/>
    <dgm:cxn modelId="{19C36A9E-E84D-4D00-AF5A-43882DC51A13}" srcId="{F6DD157C-D9E3-42DA-A718-1240E8896D0A}" destId="{B23F16AD-413B-430B-BE3E-BABCF08D4DC4}" srcOrd="3" destOrd="0" parTransId="{5C7DA26A-A092-44D4-A83C-E5937DC44787}" sibTransId="{00A7CBD1-3833-4E26-B246-9F0F86F2F016}"/>
    <dgm:cxn modelId="{6FB359D6-4C8F-43B2-B67D-44513EC22988}" type="presOf" srcId="{49A3C80A-EF05-45A1-9F59-F34CFAEC4E5F}" destId="{AB25ADAC-F257-4D51-8822-65DC2C514449}" srcOrd="0" destOrd="0" presId="urn:microsoft.com/office/officeart/2005/8/layout/pyramid2"/>
    <dgm:cxn modelId="{643224AC-7889-452F-BBE8-A13418A8A19D}" type="presParOf" srcId="{96A8FE8E-56AB-42AB-94FA-22A12AAA39B7}" destId="{200BFC91-ADB6-41EA-8FAB-D1B11C8B54EA}" srcOrd="0" destOrd="0" presId="urn:microsoft.com/office/officeart/2005/8/layout/pyramid2"/>
    <dgm:cxn modelId="{7BA68149-8562-44D9-B3C8-4D5FFFDF0B53}" type="presParOf" srcId="{96A8FE8E-56AB-42AB-94FA-22A12AAA39B7}" destId="{3533C7FF-7615-496F-890A-CDE13B3D8C8D}" srcOrd="1" destOrd="0" presId="urn:microsoft.com/office/officeart/2005/8/layout/pyramid2"/>
    <dgm:cxn modelId="{0787126D-D602-47C3-BE38-594C71C76B3B}" type="presParOf" srcId="{3533C7FF-7615-496F-890A-CDE13B3D8C8D}" destId="{3E84B2C1-D8F5-4E1E-896B-148551931186}" srcOrd="0" destOrd="0" presId="urn:microsoft.com/office/officeart/2005/8/layout/pyramid2"/>
    <dgm:cxn modelId="{E2F86482-725D-40A3-AF71-C4048789758E}" type="presParOf" srcId="{3533C7FF-7615-496F-890A-CDE13B3D8C8D}" destId="{4A4E922E-83CC-4F0D-ABDB-843B809DD5CA}" srcOrd="1" destOrd="0" presId="urn:microsoft.com/office/officeart/2005/8/layout/pyramid2"/>
    <dgm:cxn modelId="{C181A8D8-430B-49E6-8C52-AA72442CE134}" type="presParOf" srcId="{3533C7FF-7615-496F-890A-CDE13B3D8C8D}" destId="{AB25ADAC-F257-4D51-8822-65DC2C514449}" srcOrd="2" destOrd="0" presId="urn:microsoft.com/office/officeart/2005/8/layout/pyramid2"/>
    <dgm:cxn modelId="{DEDD1A54-3014-43D6-B141-36EDA1E8187D}" type="presParOf" srcId="{3533C7FF-7615-496F-890A-CDE13B3D8C8D}" destId="{7BC49A52-1407-472D-BD59-2CF9BF501160}" srcOrd="3" destOrd="0" presId="urn:microsoft.com/office/officeart/2005/8/layout/pyramid2"/>
    <dgm:cxn modelId="{0CC223A7-8828-46E0-9267-882872F0E7A3}" type="presParOf" srcId="{3533C7FF-7615-496F-890A-CDE13B3D8C8D}" destId="{5E0F77F6-2C34-42F2-BBC5-4B2C7FFD04FC}" srcOrd="4" destOrd="0" presId="urn:microsoft.com/office/officeart/2005/8/layout/pyramid2"/>
    <dgm:cxn modelId="{6FA66397-10B3-4EDC-9409-89841E7A070B}" type="presParOf" srcId="{3533C7FF-7615-496F-890A-CDE13B3D8C8D}" destId="{EB77E290-4FDE-43FB-832C-254455ECAB64}" srcOrd="5" destOrd="0" presId="urn:microsoft.com/office/officeart/2005/8/layout/pyramid2"/>
    <dgm:cxn modelId="{374A5E82-E61C-4821-9506-F70180058523}" type="presParOf" srcId="{3533C7FF-7615-496F-890A-CDE13B3D8C8D}" destId="{9EFDF070-27CC-48FD-BC0E-D6E57DFE919D}" srcOrd="6" destOrd="0" presId="urn:microsoft.com/office/officeart/2005/8/layout/pyramid2"/>
    <dgm:cxn modelId="{844547B2-E36C-44F0-9010-DE5876546F88}" type="presParOf" srcId="{3533C7FF-7615-496F-890A-CDE13B3D8C8D}" destId="{24CB5311-50CD-4211-A560-BCE323AF2430}" srcOrd="7" destOrd="0" presId="urn:microsoft.com/office/officeart/2005/8/layout/pyramid2"/>
    <dgm:cxn modelId="{D8F9B7D8-F5A2-443F-9112-47E3C94D5407}" type="presParOf" srcId="{3533C7FF-7615-496F-890A-CDE13B3D8C8D}" destId="{B7E896F8-892A-4F13-AECA-9F4C49C6A43E}" srcOrd="8" destOrd="0" presId="urn:microsoft.com/office/officeart/2005/8/layout/pyramid2"/>
    <dgm:cxn modelId="{53D505B1-38EC-4755-A5B3-A66BD2EC053E}" type="presParOf" srcId="{3533C7FF-7615-496F-890A-CDE13B3D8C8D}" destId="{9D791792-71F1-4EA1-9D81-B5156B2460B4}" srcOrd="9" destOrd="0" presId="urn:microsoft.com/office/officeart/2005/8/layout/pyramid2"/>
    <dgm:cxn modelId="{E4106DD7-A112-47DD-ABFF-1823E940AB0A}" type="presParOf" srcId="{3533C7FF-7615-496F-890A-CDE13B3D8C8D}" destId="{7F6809C4-96D8-406C-BA49-42D7CD2AFCEE}" srcOrd="10" destOrd="0" presId="urn:microsoft.com/office/officeart/2005/8/layout/pyramid2"/>
    <dgm:cxn modelId="{343DBE44-F2D1-4EC5-95CF-5FD81B996B03}" type="presParOf" srcId="{3533C7FF-7615-496F-890A-CDE13B3D8C8D}" destId="{1ED7760B-61F6-47EC-93E4-139D7A510338}" srcOrd="11" destOrd="0" presId="urn:microsoft.com/office/officeart/2005/8/layout/pyramid2"/>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00BFC91-ADB6-41EA-8FAB-D1B11C8B54EA}">
      <dsp:nvSpPr>
        <dsp:cNvPr id="0" name=""/>
        <dsp:cNvSpPr/>
      </dsp:nvSpPr>
      <dsp:spPr>
        <a:xfrm>
          <a:off x="902969" y="0"/>
          <a:ext cx="3200400" cy="3200400"/>
        </a:xfrm>
        <a:prstGeom prst="triangle">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3E84B2C1-D8F5-4E1E-896B-148551931186}">
      <dsp:nvSpPr>
        <dsp:cNvPr id="0" name=""/>
        <dsp:cNvSpPr/>
      </dsp:nvSpPr>
      <dsp:spPr>
        <a:xfrm>
          <a:off x="2503170" y="321758"/>
          <a:ext cx="2080260" cy="378797"/>
        </a:xfrm>
        <a:prstGeom prst="roundRect">
          <a:avLst/>
        </a:prstGeom>
        <a:solidFill>
          <a:schemeClr val="lt1">
            <a:alpha val="90000"/>
            <a:hueOff val="0"/>
            <a:satOff val="0"/>
            <a:lumOff val="0"/>
            <a:alphaOff val="0"/>
          </a:schemeClr>
        </a:solidFill>
        <a:ln w="12700" cap="flat" cmpd="sng" algn="ctr">
          <a:solidFill>
            <a:schemeClr val="accent5">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IN" sz="900" kern="1200"/>
            <a:t>Governance and Strategy</a:t>
          </a:r>
        </a:p>
      </dsp:txBody>
      <dsp:txXfrm>
        <a:off x="2521661" y="340249"/>
        <a:ext cx="2043278" cy="341815"/>
      </dsp:txXfrm>
    </dsp:sp>
    <dsp:sp modelId="{AB25ADAC-F257-4D51-8822-65DC2C514449}">
      <dsp:nvSpPr>
        <dsp:cNvPr id="0" name=""/>
        <dsp:cNvSpPr/>
      </dsp:nvSpPr>
      <dsp:spPr>
        <a:xfrm>
          <a:off x="2503170" y="747905"/>
          <a:ext cx="2080260" cy="378797"/>
        </a:xfrm>
        <a:prstGeom prst="roundRect">
          <a:avLst/>
        </a:prstGeom>
        <a:solidFill>
          <a:schemeClr val="lt1">
            <a:alpha val="90000"/>
            <a:hueOff val="0"/>
            <a:satOff val="0"/>
            <a:lumOff val="0"/>
            <a:alphaOff val="0"/>
          </a:schemeClr>
        </a:solidFill>
        <a:ln w="12700" cap="flat" cmpd="sng" algn="ctr">
          <a:solidFill>
            <a:schemeClr val="accent5">
              <a:hueOff val="-1351709"/>
              <a:satOff val="-3484"/>
              <a:lumOff val="-2353"/>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IN" sz="900" kern="1200"/>
            <a:t>Risk Management</a:t>
          </a:r>
        </a:p>
      </dsp:txBody>
      <dsp:txXfrm>
        <a:off x="2521661" y="766396"/>
        <a:ext cx="2043278" cy="341815"/>
      </dsp:txXfrm>
    </dsp:sp>
    <dsp:sp modelId="{5E0F77F6-2C34-42F2-BBC5-4B2C7FFD04FC}">
      <dsp:nvSpPr>
        <dsp:cNvPr id="0" name=""/>
        <dsp:cNvSpPr/>
      </dsp:nvSpPr>
      <dsp:spPr>
        <a:xfrm>
          <a:off x="2503170" y="1174052"/>
          <a:ext cx="2080260" cy="378797"/>
        </a:xfrm>
        <a:prstGeom prst="roundRect">
          <a:avLst/>
        </a:prstGeom>
        <a:solidFill>
          <a:schemeClr val="lt1">
            <a:alpha val="90000"/>
            <a:hueOff val="0"/>
            <a:satOff val="0"/>
            <a:lumOff val="0"/>
            <a:alphaOff val="0"/>
          </a:schemeClr>
        </a:solidFill>
        <a:ln w="12700" cap="flat" cmpd="sng" algn="ctr">
          <a:solidFill>
            <a:schemeClr val="accent5">
              <a:hueOff val="-2703417"/>
              <a:satOff val="-6968"/>
              <a:lumOff val="-4706"/>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IN" sz="900" kern="1200"/>
            <a:t>Protection and Access Control</a:t>
          </a:r>
        </a:p>
      </dsp:txBody>
      <dsp:txXfrm>
        <a:off x="2521661" y="1192543"/>
        <a:ext cx="2043278" cy="341815"/>
      </dsp:txXfrm>
    </dsp:sp>
    <dsp:sp modelId="{9EFDF070-27CC-48FD-BC0E-D6E57DFE919D}">
      <dsp:nvSpPr>
        <dsp:cNvPr id="0" name=""/>
        <dsp:cNvSpPr/>
      </dsp:nvSpPr>
      <dsp:spPr>
        <a:xfrm>
          <a:off x="2503170" y="1600199"/>
          <a:ext cx="2080260" cy="378797"/>
        </a:xfrm>
        <a:prstGeom prst="roundRect">
          <a:avLst/>
        </a:prstGeom>
        <a:solidFill>
          <a:schemeClr val="lt1">
            <a:alpha val="90000"/>
            <a:hueOff val="0"/>
            <a:satOff val="0"/>
            <a:lumOff val="0"/>
            <a:alphaOff val="0"/>
          </a:schemeClr>
        </a:solidFill>
        <a:ln w="12700" cap="flat" cmpd="sng" algn="ctr">
          <a:solidFill>
            <a:schemeClr val="accent5">
              <a:hueOff val="-4055126"/>
              <a:satOff val="-10451"/>
              <a:lumOff val="-7059"/>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IN" sz="900" kern="1200"/>
            <a:t>Compliance</a:t>
          </a:r>
        </a:p>
      </dsp:txBody>
      <dsp:txXfrm>
        <a:off x="2521661" y="1618690"/>
        <a:ext cx="2043278" cy="341815"/>
      </dsp:txXfrm>
    </dsp:sp>
    <dsp:sp modelId="{B7E896F8-892A-4F13-AECA-9F4C49C6A43E}">
      <dsp:nvSpPr>
        <dsp:cNvPr id="0" name=""/>
        <dsp:cNvSpPr/>
      </dsp:nvSpPr>
      <dsp:spPr>
        <a:xfrm>
          <a:off x="2503170" y="2026347"/>
          <a:ext cx="2080260" cy="378797"/>
        </a:xfrm>
        <a:prstGeom prst="roundRect">
          <a:avLst/>
        </a:prstGeom>
        <a:solidFill>
          <a:schemeClr val="lt1">
            <a:alpha val="90000"/>
            <a:hueOff val="0"/>
            <a:satOff val="0"/>
            <a:lumOff val="0"/>
            <a:alphaOff val="0"/>
          </a:schemeClr>
        </a:solidFill>
        <a:ln w="12700" cap="flat" cmpd="sng" algn="ctr">
          <a:solidFill>
            <a:schemeClr val="accent5">
              <a:hueOff val="-5406834"/>
              <a:satOff val="-13935"/>
              <a:lumOff val="-9412"/>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IN" sz="900" kern="1200"/>
            <a:t>Vendor and Service Level Agreement (SLA) Management</a:t>
          </a:r>
        </a:p>
      </dsp:txBody>
      <dsp:txXfrm>
        <a:off x="2521661" y="2044838"/>
        <a:ext cx="2043278" cy="341815"/>
      </dsp:txXfrm>
    </dsp:sp>
    <dsp:sp modelId="{7F6809C4-96D8-406C-BA49-42D7CD2AFCEE}">
      <dsp:nvSpPr>
        <dsp:cNvPr id="0" name=""/>
        <dsp:cNvSpPr/>
      </dsp:nvSpPr>
      <dsp:spPr>
        <a:xfrm>
          <a:off x="2503170" y="2452494"/>
          <a:ext cx="2080260" cy="378797"/>
        </a:xfrm>
        <a:prstGeom prst="roundRect">
          <a:avLst/>
        </a:prstGeom>
        <a:solidFill>
          <a:schemeClr val="lt1">
            <a:alpha val="90000"/>
            <a:hueOff val="0"/>
            <a:satOff val="0"/>
            <a:lumOff val="0"/>
            <a:alphaOff val="0"/>
          </a:schemeClr>
        </a:solidFill>
        <a:ln w="12700" cap="flat" cmpd="sng" algn="ctr">
          <a:solidFill>
            <a:schemeClr val="accent5">
              <a:hueOff val="-6758543"/>
              <a:satOff val="-17419"/>
              <a:lumOff val="-11765"/>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IN" sz="900" kern="1200"/>
            <a:t>Contingency and Business Continuity</a:t>
          </a:r>
        </a:p>
      </dsp:txBody>
      <dsp:txXfrm>
        <a:off x="2521661" y="2470985"/>
        <a:ext cx="2043278" cy="341815"/>
      </dsp:txXfrm>
    </dsp:sp>
  </dsp:spTree>
</dsp:drawing>
</file>

<file path=word/diagrams/layout1.xml><?xml version="1.0" encoding="utf-8"?>
<dgm:layoutDef xmlns:dgm="http://schemas.openxmlformats.org/drawingml/2006/diagram" xmlns:a="http://schemas.openxmlformats.org/drawingml/2006/main" uniqueId="urn:microsoft.com/office/officeart/2005/8/layout/pyramid2">
  <dgm:title val=""/>
  <dgm:desc val=""/>
  <dgm:catLst>
    <dgm:cat type="pyramid" pri="3000"/>
    <dgm:cat type="list" pri="21000"/>
    <dgm:cat type="convert" pri="17000"/>
  </dgm:catLst>
  <dgm:sampData useDef="1">
    <dgm:dataModel>
      <dgm:ptLst/>
      <dgm:bg/>
      <dgm:whole/>
    </dgm:dataModel>
  </dgm:sampData>
  <dgm:styleData useDef="1">
    <dgm:dataModel>
      <dgm:ptLst/>
      <dgm:bg/>
      <dgm:whole/>
    </dgm:dataModel>
  </dgm:styleData>
  <dgm:clrData useDef="1">
    <dgm:dataModel>
      <dgm:ptLst/>
      <dgm:bg/>
      <dgm:whole/>
    </dgm:dataModel>
  </dgm:clrData>
  <dgm:layoutNode name="compositeShape">
    <dgm:alg type="composite"/>
    <dgm:shape xmlns:r="http://schemas.openxmlformats.org/officeDocument/2006/relationships" r:blip="">
      <dgm:adjLst/>
    </dgm:shape>
    <dgm:presOf/>
    <dgm:varLst>
      <dgm:dir/>
      <dgm:resizeHandles/>
    </dgm:varLst>
    <dgm:choose name="Name0">
      <dgm:if name="Name1" func="var" arg="dir" op="equ" val="norm">
        <dgm:constrLst>
          <dgm:constr type="w" for="ch" forName="pyramid" refType="h"/>
          <dgm:constr type="h" for="ch" forName="pyramid" refType="h"/>
          <dgm:constr type="h" for="ch" forName="theList" refType="h" fact="0.8"/>
          <dgm:constr type="w" for="ch" forName="theList" refType="h" fact="0.65"/>
          <dgm:constr type="ctrY" for="ch" forName="theList" refType="h" refFor="ch" refForName="pyramid" fact="0.5"/>
          <dgm:constr type="l" for="ch" forName="theList" refType="w" refFor="ch" refForName="pyramid" fact="0.5"/>
          <dgm:constr type="h" for="des" forName="aSpace" refType="h" fact="0.1"/>
        </dgm:constrLst>
      </dgm:if>
      <dgm:else name="Name2">
        <dgm:constrLst>
          <dgm:constr type="w" for="ch" forName="pyramid" refType="h"/>
          <dgm:constr type="h" for="ch" forName="pyramid" refType="h"/>
          <dgm:constr type="h" for="ch" forName="theList" refType="h" fact="0.8"/>
          <dgm:constr type="w" for="ch" forName="theList" refType="h" fact="0.65"/>
          <dgm:constr type="ctrY" for="ch" forName="theList" refType="h" refFor="ch" refForName="pyramid" fact="0.5"/>
          <dgm:constr type="r" for="ch" forName="theList" refType="w" refFor="ch" refForName="pyramid" fact="0.5"/>
          <dgm:constr type="h" for="des" forName="aSpace" refType="h" fact="0.1"/>
        </dgm:constrLst>
      </dgm:else>
    </dgm:choose>
    <dgm:ruleLst/>
    <dgm:choose name="Name3">
      <dgm:if name="Name4" axis="ch" ptType="node" func="cnt" op="gte" val="1">
        <dgm:layoutNode name="pyramid" styleLbl="node1">
          <dgm:alg type="sp"/>
          <dgm:shape xmlns:r="http://schemas.openxmlformats.org/officeDocument/2006/relationships" type="triangle" r:blip="">
            <dgm:adjLst/>
          </dgm:shape>
          <dgm:presOf/>
          <dgm:constrLst/>
          <dgm:ruleLst/>
        </dgm:layoutNode>
        <dgm:layoutNode name="theList">
          <dgm:alg type="lin">
            <dgm:param type="linDir" val="fromT"/>
          </dgm:alg>
          <dgm:shape xmlns:r="http://schemas.openxmlformats.org/officeDocument/2006/relationships" r:blip="">
            <dgm:adjLst/>
          </dgm:shape>
          <dgm:presOf/>
          <dgm:constrLst>
            <dgm:constr type="w" for="ch" forName="aNode" refType="w"/>
            <dgm:constr type="h" for="ch" forName="aNode" refType="h"/>
            <dgm:constr type="primFontSz" for="ch" ptType="node" op="equ"/>
          </dgm:constrLst>
          <dgm:ruleLst/>
          <dgm:forEach name="aNodeForEach" axis="ch" ptType="node">
            <dgm:layoutNode name="aNode" styleLbl="fgAcc1">
              <dgm:varLst>
                <dgm:bulletEnabled val="1"/>
              </dgm:varLst>
              <dgm:alg type="tx"/>
              <dgm:shape xmlns:r="http://schemas.openxmlformats.org/officeDocument/2006/relationships" type="roundRect" r:blip="">
                <dgm:adjLst/>
              </dgm:shape>
              <dgm:presOf axis="desOrSelf" ptType="node"/>
              <dgm:constrLst>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aSpace">
              <dgm:alg type="sp"/>
              <dgm:shape xmlns:r="http://schemas.openxmlformats.org/officeDocument/2006/relationships" r:blip="">
                <dgm:adjLst/>
              </dgm:shape>
              <dgm:presOf/>
              <dgm:constrLst/>
              <dgm:ruleLst/>
            </dgm:layoutNode>
          </dgm:forEach>
        </dgm:layoutNode>
      </dgm:if>
      <dgm:else name="Name5"/>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0CE4C984-C904-440C-8232-B4823F7331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TotalTime>
  <Pages>15</Pages>
  <Words>5053</Words>
  <Characters>28807</Characters>
  <Application>Microsoft Office Word</Application>
  <DocSecurity>0</DocSecurity>
  <Lines>240</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33793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 .</dc:creator>
  <cp:lastModifiedBy>Chetanbharthi Mohanbharthi Atit (2522450)</cp:lastModifiedBy>
  <cp:revision>5</cp:revision>
  <dcterms:created xsi:type="dcterms:W3CDTF">2026-07-29T19:08:00Z</dcterms:created>
  <dcterms:modified xsi:type="dcterms:W3CDTF">2026-07-29T19:23:00Z</dcterms:modified>
</cp:coreProperties>
</file>