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F1419" w14:textId="77777777" w:rsidR="00D465D5" w:rsidRPr="009C04C0" w:rsidRDefault="00D465D5" w:rsidP="009C04C0">
      <w:pPr>
        <w:rPr>
          <w:b/>
          <w:bCs/>
          <w:sz w:val="38"/>
          <w:szCs w:val="38"/>
        </w:rPr>
      </w:pPr>
    </w:p>
    <w:p w14:paraId="3392D80D" w14:textId="77777777" w:rsidR="00D465D5" w:rsidRPr="009C04C0" w:rsidRDefault="00D465D5" w:rsidP="009C04C0">
      <w:pPr>
        <w:jc w:val="center"/>
        <w:rPr>
          <w:b/>
          <w:bCs/>
          <w:sz w:val="38"/>
          <w:szCs w:val="38"/>
        </w:rPr>
      </w:pPr>
    </w:p>
    <w:p w14:paraId="237743D1" w14:textId="77777777" w:rsidR="00D465D5" w:rsidRPr="009C04C0" w:rsidRDefault="00D465D5" w:rsidP="009C04C0">
      <w:pPr>
        <w:jc w:val="center"/>
        <w:rPr>
          <w:b/>
          <w:bCs/>
          <w:sz w:val="38"/>
          <w:szCs w:val="38"/>
        </w:rPr>
      </w:pPr>
      <w:r w:rsidRPr="009C04C0">
        <w:rPr>
          <w:b/>
          <w:bCs/>
          <w:sz w:val="38"/>
          <w:szCs w:val="38"/>
        </w:rPr>
        <w:t>Module code and title- LCHS4003 and Introduction to Health and Social Care</w:t>
      </w:r>
    </w:p>
    <w:p w14:paraId="31715B47" w14:textId="77777777" w:rsidR="00D465D5" w:rsidRPr="009C04C0" w:rsidRDefault="00D465D5" w:rsidP="009C04C0">
      <w:pPr>
        <w:jc w:val="center"/>
        <w:rPr>
          <w:b/>
          <w:bCs/>
          <w:sz w:val="38"/>
          <w:szCs w:val="38"/>
        </w:rPr>
      </w:pPr>
      <w:r w:rsidRPr="009C04C0">
        <w:rPr>
          <w:b/>
          <w:bCs/>
          <w:sz w:val="38"/>
          <w:szCs w:val="38"/>
        </w:rPr>
        <w:t xml:space="preserve">Assignment title- Written Assignment </w:t>
      </w:r>
    </w:p>
    <w:p w14:paraId="64C78F07" w14:textId="2D472215" w:rsidR="00D465D5" w:rsidRPr="009C04C0" w:rsidRDefault="00D465D5" w:rsidP="009C04C0">
      <w:pPr>
        <w:jc w:val="center"/>
        <w:rPr>
          <w:b/>
          <w:bCs/>
          <w:sz w:val="38"/>
          <w:szCs w:val="38"/>
        </w:rPr>
      </w:pPr>
      <w:r w:rsidRPr="009C04C0">
        <w:rPr>
          <w:b/>
          <w:bCs/>
          <w:sz w:val="38"/>
          <w:szCs w:val="38"/>
        </w:rPr>
        <w:t>Student name</w:t>
      </w:r>
      <w:r w:rsidR="002634F1">
        <w:rPr>
          <w:b/>
          <w:bCs/>
          <w:sz w:val="38"/>
          <w:szCs w:val="38"/>
        </w:rPr>
        <w:t xml:space="preserve"> </w:t>
      </w:r>
      <w:r w:rsidRPr="009C04C0">
        <w:rPr>
          <w:b/>
          <w:bCs/>
          <w:sz w:val="38"/>
          <w:szCs w:val="38"/>
        </w:rPr>
        <w:t xml:space="preserve">- </w:t>
      </w:r>
      <w:r w:rsidR="009C04C0">
        <w:rPr>
          <w:b/>
          <w:bCs/>
          <w:sz w:val="38"/>
          <w:szCs w:val="38"/>
        </w:rPr>
        <w:t xml:space="preserve"> </w:t>
      </w:r>
      <w:r w:rsidR="00CC2B5C">
        <w:rPr>
          <w:b/>
          <w:bCs/>
          <w:sz w:val="38"/>
          <w:szCs w:val="38"/>
        </w:rPr>
        <w:t>Laura Victoria Nicolaescu</w:t>
      </w:r>
    </w:p>
    <w:p w14:paraId="56C6F062" w14:textId="396E5882" w:rsidR="00D465D5" w:rsidRPr="009C04C0" w:rsidRDefault="00D465D5" w:rsidP="009C04C0">
      <w:pPr>
        <w:jc w:val="center"/>
        <w:rPr>
          <w:b/>
          <w:bCs/>
          <w:sz w:val="38"/>
          <w:szCs w:val="38"/>
        </w:rPr>
      </w:pPr>
      <w:r w:rsidRPr="009C04C0">
        <w:rPr>
          <w:b/>
          <w:bCs/>
          <w:sz w:val="38"/>
          <w:szCs w:val="38"/>
        </w:rPr>
        <w:t>Student number-</w:t>
      </w:r>
      <w:r w:rsidR="00486099">
        <w:rPr>
          <w:b/>
          <w:bCs/>
          <w:sz w:val="38"/>
          <w:szCs w:val="38"/>
        </w:rPr>
        <w:t xml:space="preserve"> 251</w:t>
      </w:r>
      <w:r w:rsidR="00CC6DE9">
        <w:rPr>
          <w:b/>
          <w:bCs/>
          <w:sz w:val="38"/>
          <w:szCs w:val="38"/>
        </w:rPr>
        <w:t>2067</w:t>
      </w:r>
    </w:p>
    <w:p w14:paraId="2900CE92" w14:textId="7F6E8C91" w:rsidR="00D465D5" w:rsidRPr="009C04C0" w:rsidRDefault="00D465D5" w:rsidP="009C04C0">
      <w:pPr>
        <w:jc w:val="center"/>
        <w:rPr>
          <w:b/>
          <w:bCs/>
          <w:sz w:val="38"/>
          <w:szCs w:val="38"/>
        </w:rPr>
      </w:pPr>
      <w:r w:rsidRPr="009C04C0">
        <w:rPr>
          <w:b/>
          <w:bCs/>
          <w:sz w:val="38"/>
          <w:szCs w:val="38"/>
        </w:rPr>
        <w:t xml:space="preserve">Lecturer’s name- </w:t>
      </w:r>
      <w:proofErr w:type="spellStart"/>
      <w:r w:rsidR="004A362E">
        <w:rPr>
          <w:b/>
          <w:bCs/>
          <w:sz w:val="38"/>
          <w:szCs w:val="38"/>
        </w:rPr>
        <w:t>Tsiwani</w:t>
      </w:r>
      <w:proofErr w:type="spellEnd"/>
      <w:r w:rsidR="004A362E">
        <w:rPr>
          <w:b/>
          <w:bCs/>
          <w:sz w:val="38"/>
          <w:szCs w:val="38"/>
        </w:rPr>
        <w:t xml:space="preserve"> </w:t>
      </w:r>
      <w:proofErr w:type="spellStart"/>
      <w:r w:rsidR="004A362E">
        <w:rPr>
          <w:b/>
          <w:bCs/>
          <w:sz w:val="38"/>
          <w:szCs w:val="38"/>
        </w:rPr>
        <w:t>Khumalo</w:t>
      </w:r>
      <w:proofErr w:type="spellEnd"/>
    </w:p>
    <w:p w14:paraId="1F019141" w14:textId="77777777" w:rsidR="00D465D5" w:rsidRPr="009C04C0" w:rsidRDefault="00D465D5" w:rsidP="009C04C0"/>
    <w:p w14:paraId="1A2E38C4" w14:textId="77777777" w:rsidR="00D465D5" w:rsidRPr="009C04C0" w:rsidRDefault="00D465D5" w:rsidP="009C04C0">
      <w:pPr>
        <w:pStyle w:val="Heading1"/>
      </w:pPr>
      <w:bookmarkStart w:id="0" w:name="_8u8d4zjrr5iu" w:colFirst="0" w:colLast="0"/>
      <w:bookmarkEnd w:id="0"/>
      <w:r w:rsidRPr="009C04C0">
        <w:br w:type="page"/>
      </w:r>
    </w:p>
    <w:p w14:paraId="7A447BFC" w14:textId="7233AA33" w:rsidR="00D465D5" w:rsidRPr="009C04C0" w:rsidRDefault="00D465D5" w:rsidP="009C04C0">
      <w:pPr>
        <w:jc w:val="center"/>
        <w:rPr>
          <w:b/>
          <w:bCs/>
        </w:rPr>
      </w:pPr>
      <w:r w:rsidRPr="009C04C0">
        <w:rPr>
          <w:b/>
          <w:bCs/>
        </w:rPr>
        <w:t xml:space="preserve">Executive Summary </w:t>
      </w:r>
      <w:r w:rsidR="009C04C0" w:rsidRPr="009C04C0">
        <w:rPr>
          <w:b/>
          <w:bCs/>
        </w:rPr>
        <w:t xml:space="preserve"> </w:t>
      </w:r>
    </w:p>
    <w:p w14:paraId="1B894521" w14:textId="757EACB1" w:rsidR="00D465D5" w:rsidRPr="009C04C0" w:rsidRDefault="00D465D5" w:rsidP="009C04C0">
      <w:r w:rsidRPr="009C04C0">
        <w:t xml:space="preserve">The topic of the UK’s health and social care system has been examined by aligning the case study of Mrs Thompson. Effective communication can ensure accurate pain assessment, drive treatment compliance and prevent turmoil, and its teaching process has been illustrated through the COMFORT model.  Strong administrative skills enable healthcare professionals to handle complex healthcare laws and clinical terminologies. Record keeping has been identified as an important administrative-skills that help health care professionals in maintaining necessary adjustments in the treatment plan. The importance of the Data Protection Act 2018 (DPA 2018), the Mental Capacity Act 2005 (MCA), and Care Quality Commission (CQC) guidance in handling vulnerable dementia patients has also been identified. </w:t>
      </w:r>
      <w:r w:rsidRPr="009C04C0">
        <w:br w:type="page"/>
      </w:r>
      <w:bookmarkStart w:id="1" w:name="_vxbaj7e0dtp6" w:colFirst="0" w:colLast="0"/>
      <w:bookmarkEnd w:id="1"/>
    </w:p>
    <w:sdt>
      <w:sdtPr>
        <w:rPr>
          <w:rFonts w:ascii="Arial" w:eastAsia="Times New Roman" w:hAnsi="Arial" w:cs="Times New Roman"/>
          <w:color w:val="auto"/>
          <w:sz w:val="22"/>
          <w:szCs w:val="24"/>
          <w:lang w:val="en-GB" w:eastAsia="en-GB"/>
        </w:rPr>
        <w:id w:val="-651213664"/>
        <w:docPartObj>
          <w:docPartGallery w:val="Table of Contents"/>
          <w:docPartUnique/>
        </w:docPartObj>
      </w:sdtPr>
      <w:sdtEndPr>
        <w:rPr>
          <w:b/>
          <w:bCs/>
        </w:rPr>
      </w:sdtEndPr>
      <w:sdtContent>
        <w:p w14:paraId="7C2DB3B0" w14:textId="4BC8ACC0" w:rsidR="00D465D5" w:rsidRPr="009C04C0" w:rsidRDefault="00D465D5" w:rsidP="009C04C0">
          <w:pPr>
            <w:pStyle w:val="TOCHeading"/>
            <w:spacing w:before="0"/>
            <w:rPr>
              <w:lang w:val="en-GB"/>
            </w:rPr>
          </w:pPr>
          <w:r w:rsidRPr="009C04C0">
            <w:rPr>
              <w:lang w:val="en-GB"/>
            </w:rPr>
            <w:t>Table of Contents</w:t>
          </w:r>
        </w:p>
        <w:p w14:paraId="5C56E3FE" w14:textId="0C4F084C" w:rsidR="009C04C0" w:rsidRDefault="00D465D5">
          <w:pPr>
            <w:pStyle w:val="TOC1"/>
            <w:tabs>
              <w:tab w:val="right" w:leader="dot" w:pos="9350"/>
            </w:tabs>
            <w:rPr>
              <w:rFonts w:asciiTheme="minorHAnsi" w:eastAsiaTheme="minorEastAsia" w:hAnsiTheme="minorHAnsi" w:cstheme="minorBidi"/>
              <w:noProof/>
              <w:kern w:val="2"/>
              <w:sz w:val="24"/>
              <w14:ligatures w14:val="standardContextual"/>
            </w:rPr>
          </w:pPr>
          <w:r w:rsidRPr="009C04C0">
            <w:fldChar w:fldCharType="begin"/>
          </w:r>
          <w:r w:rsidRPr="009C04C0">
            <w:instrText xml:space="preserve"> TOC \o "1-3" \h \z \u </w:instrText>
          </w:r>
          <w:r w:rsidRPr="009C04C0">
            <w:fldChar w:fldCharType="separate"/>
          </w:r>
          <w:hyperlink w:anchor="_Toc235453790" w:history="1">
            <w:r w:rsidR="009C04C0" w:rsidRPr="00CA5FF7">
              <w:rPr>
                <w:rStyle w:val="Hyperlink"/>
                <w:noProof/>
              </w:rPr>
              <w:t>Introduction</w:t>
            </w:r>
            <w:r w:rsidR="009C04C0">
              <w:rPr>
                <w:noProof/>
                <w:webHidden/>
              </w:rPr>
              <w:tab/>
            </w:r>
            <w:r w:rsidR="009C04C0">
              <w:rPr>
                <w:noProof/>
                <w:webHidden/>
              </w:rPr>
              <w:fldChar w:fldCharType="begin"/>
            </w:r>
            <w:r w:rsidR="009C04C0">
              <w:rPr>
                <w:noProof/>
                <w:webHidden/>
              </w:rPr>
              <w:instrText xml:space="preserve"> PAGEREF _Toc235453790 \h </w:instrText>
            </w:r>
            <w:r w:rsidR="009C04C0">
              <w:rPr>
                <w:noProof/>
                <w:webHidden/>
              </w:rPr>
            </w:r>
            <w:r w:rsidR="009C04C0">
              <w:rPr>
                <w:noProof/>
                <w:webHidden/>
              </w:rPr>
              <w:fldChar w:fldCharType="separate"/>
            </w:r>
            <w:r w:rsidR="009C04C0">
              <w:rPr>
                <w:noProof/>
                <w:webHidden/>
              </w:rPr>
              <w:t>4</w:t>
            </w:r>
            <w:r w:rsidR="009C04C0">
              <w:rPr>
                <w:noProof/>
                <w:webHidden/>
              </w:rPr>
              <w:fldChar w:fldCharType="end"/>
            </w:r>
          </w:hyperlink>
        </w:p>
        <w:p w14:paraId="0C756CA8" w14:textId="7FDF6FCB" w:rsidR="009C04C0" w:rsidRDefault="009C04C0">
          <w:pPr>
            <w:pStyle w:val="TOC1"/>
            <w:tabs>
              <w:tab w:val="right" w:leader="dot" w:pos="9350"/>
            </w:tabs>
            <w:rPr>
              <w:rFonts w:asciiTheme="minorHAnsi" w:eastAsiaTheme="minorEastAsia" w:hAnsiTheme="minorHAnsi" w:cstheme="minorBidi"/>
              <w:noProof/>
              <w:kern w:val="2"/>
              <w:sz w:val="24"/>
              <w14:ligatures w14:val="standardContextual"/>
            </w:rPr>
          </w:pPr>
          <w:hyperlink w:anchor="_Toc235453791" w:history="1">
            <w:r w:rsidRPr="00CA5FF7">
              <w:rPr>
                <w:rStyle w:val="Hyperlink"/>
                <w:noProof/>
              </w:rPr>
              <w:t>1. Discussing the importance of effective communication within the context of Mrs. Thompson’s care</w:t>
            </w:r>
            <w:r>
              <w:rPr>
                <w:noProof/>
                <w:webHidden/>
              </w:rPr>
              <w:tab/>
            </w:r>
            <w:r>
              <w:rPr>
                <w:noProof/>
                <w:webHidden/>
              </w:rPr>
              <w:fldChar w:fldCharType="begin"/>
            </w:r>
            <w:r>
              <w:rPr>
                <w:noProof/>
                <w:webHidden/>
              </w:rPr>
              <w:instrText xml:space="preserve"> PAGEREF _Toc235453791 \h </w:instrText>
            </w:r>
            <w:r>
              <w:rPr>
                <w:noProof/>
                <w:webHidden/>
              </w:rPr>
            </w:r>
            <w:r>
              <w:rPr>
                <w:noProof/>
                <w:webHidden/>
              </w:rPr>
              <w:fldChar w:fldCharType="separate"/>
            </w:r>
            <w:r>
              <w:rPr>
                <w:noProof/>
                <w:webHidden/>
              </w:rPr>
              <w:t>5</w:t>
            </w:r>
            <w:r>
              <w:rPr>
                <w:noProof/>
                <w:webHidden/>
              </w:rPr>
              <w:fldChar w:fldCharType="end"/>
            </w:r>
          </w:hyperlink>
        </w:p>
        <w:p w14:paraId="0FD6134B" w14:textId="15ADBF4F" w:rsidR="009C04C0" w:rsidRDefault="009C04C0">
          <w:pPr>
            <w:pStyle w:val="TOC1"/>
            <w:tabs>
              <w:tab w:val="right" w:leader="dot" w:pos="9350"/>
            </w:tabs>
            <w:rPr>
              <w:rFonts w:asciiTheme="minorHAnsi" w:eastAsiaTheme="minorEastAsia" w:hAnsiTheme="minorHAnsi" w:cstheme="minorBidi"/>
              <w:noProof/>
              <w:kern w:val="2"/>
              <w:sz w:val="24"/>
              <w14:ligatures w14:val="standardContextual"/>
            </w:rPr>
          </w:pPr>
          <w:hyperlink w:anchor="_Toc235453792" w:history="1">
            <w:r w:rsidRPr="00CA5FF7">
              <w:rPr>
                <w:rStyle w:val="Hyperlink"/>
                <w:noProof/>
              </w:rPr>
              <w:t>2. Importance of good administrative skills within professional practice within the context of Mrs. Thompson’s care</w:t>
            </w:r>
            <w:r>
              <w:rPr>
                <w:noProof/>
                <w:webHidden/>
              </w:rPr>
              <w:tab/>
            </w:r>
            <w:r>
              <w:rPr>
                <w:noProof/>
                <w:webHidden/>
              </w:rPr>
              <w:fldChar w:fldCharType="begin"/>
            </w:r>
            <w:r>
              <w:rPr>
                <w:noProof/>
                <w:webHidden/>
              </w:rPr>
              <w:instrText xml:space="preserve"> PAGEREF _Toc235453792 \h </w:instrText>
            </w:r>
            <w:r>
              <w:rPr>
                <w:noProof/>
                <w:webHidden/>
              </w:rPr>
            </w:r>
            <w:r>
              <w:rPr>
                <w:noProof/>
                <w:webHidden/>
              </w:rPr>
              <w:fldChar w:fldCharType="separate"/>
            </w:r>
            <w:r>
              <w:rPr>
                <w:noProof/>
                <w:webHidden/>
              </w:rPr>
              <w:t>7</w:t>
            </w:r>
            <w:r>
              <w:rPr>
                <w:noProof/>
                <w:webHidden/>
              </w:rPr>
              <w:fldChar w:fldCharType="end"/>
            </w:r>
          </w:hyperlink>
        </w:p>
        <w:p w14:paraId="22AEE8CF" w14:textId="660CB051" w:rsidR="009C04C0" w:rsidRDefault="009C04C0">
          <w:pPr>
            <w:pStyle w:val="TOC1"/>
            <w:tabs>
              <w:tab w:val="right" w:leader="dot" w:pos="9350"/>
            </w:tabs>
            <w:rPr>
              <w:rFonts w:asciiTheme="minorHAnsi" w:eastAsiaTheme="minorEastAsia" w:hAnsiTheme="minorHAnsi" w:cstheme="minorBidi"/>
              <w:noProof/>
              <w:kern w:val="2"/>
              <w:sz w:val="24"/>
              <w14:ligatures w14:val="standardContextual"/>
            </w:rPr>
          </w:pPr>
          <w:hyperlink w:anchor="_Toc235453793" w:history="1">
            <w:r w:rsidRPr="00CA5FF7">
              <w:rPr>
                <w:rStyle w:val="Hyperlink"/>
                <w:noProof/>
              </w:rPr>
              <w:t>3. Importance of working collaboratively with other professionals</w:t>
            </w:r>
            <w:r>
              <w:rPr>
                <w:noProof/>
                <w:webHidden/>
              </w:rPr>
              <w:tab/>
            </w:r>
            <w:r>
              <w:rPr>
                <w:noProof/>
                <w:webHidden/>
              </w:rPr>
              <w:fldChar w:fldCharType="begin"/>
            </w:r>
            <w:r>
              <w:rPr>
                <w:noProof/>
                <w:webHidden/>
              </w:rPr>
              <w:instrText xml:space="preserve"> PAGEREF _Toc235453793 \h </w:instrText>
            </w:r>
            <w:r>
              <w:rPr>
                <w:noProof/>
                <w:webHidden/>
              </w:rPr>
            </w:r>
            <w:r>
              <w:rPr>
                <w:noProof/>
                <w:webHidden/>
              </w:rPr>
              <w:fldChar w:fldCharType="separate"/>
            </w:r>
            <w:r>
              <w:rPr>
                <w:noProof/>
                <w:webHidden/>
              </w:rPr>
              <w:t>9</w:t>
            </w:r>
            <w:r>
              <w:rPr>
                <w:noProof/>
                <w:webHidden/>
              </w:rPr>
              <w:fldChar w:fldCharType="end"/>
            </w:r>
          </w:hyperlink>
        </w:p>
        <w:p w14:paraId="2B260865" w14:textId="7953DC34" w:rsidR="009C04C0" w:rsidRDefault="009C04C0">
          <w:pPr>
            <w:pStyle w:val="TOC1"/>
            <w:tabs>
              <w:tab w:val="right" w:leader="dot" w:pos="9350"/>
            </w:tabs>
            <w:rPr>
              <w:rFonts w:asciiTheme="minorHAnsi" w:eastAsiaTheme="minorEastAsia" w:hAnsiTheme="minorHAnsi" w:cstheme="minorBidi"/>
              <w:noProof/>
              <w:kern w:val="2"/>
              <w:sz w:val="24"/>
              <w14:ligatures w14:val="standardContextual"/>
            </w:rPr>
          </w:pPr>
          <w:hyperlink w:anchor="_Toc235453794" w:history="1">
            <w:r w:rsidRPr="00CA5FF7">
              <w:rPr>
                <w:rStyle w:val="Hyperlink"/>
                <w:noProof/>
              </w:rPr>
              <w:t>Conclusion</w:t>
            </w:r>
            <w:r>
              <w:rPr>
                <w:noProof/>
                <w:webHidden/>
              </w:rPr>
              <w:tab/>
            </w:r>
            <w:r>
              <w:rPr>
                <w:noProof/>
                <w:webHidden/>
              </w:rPr>
              <w:fldChar w:fldCharType="begin"/>
            </w:r>
            <w:r>
              <w:rPr>
                <w:noProof/>
                <w:webHidden/>
              </w:rPr>
              <w:instrText xml:space="preserve"> PAGEREF _Toc235453794 \h </w:instrText>
            </w:r>
            <w:r>
              <w:rPr>
                <w:noProof/>
                <w:webHidden/>
              </w:rPr>
            </w:r>
            <w:r>
              <w:rPr>
                <w:noProof/>
                <w:webHidden/>
              </w:rPr>
              <w:fldChar w:fldCharType="separate"/>
            </w:r>
            <w:r>
              <w:rPr>
                <w:noProof/>
                <w:webHidden/>
              </w:rPr>
              <w:t>10</w:t>
            </w:r>
            <w:r>
              <w:rPr>
                <w:noProof/>
                <w:webHidden/>
              </w:rPr>
              <w:fldChar w:fldCharType="end"/>
            </w:r>
          </w:hyperlink>
        </w:p>
        <w:p w14:paraId="6D1CD132" w14:textId="58967EF2" w:rsidR="009C04C0" w:rsidRDefault="009C04C0">
          <w:pPr>
            <w:pStyle w:val="TOC1"/>
            <w:tabs>
              <w:tab w:val="right" w:leader="dot" w:pos="9350"/>
            </w:tabs>
            <w:rPr>
              <w:rFonts w:asciiTheme="minorHAnsi" w:eastAsiaTheme="minorEastAsia" w:hAnsiTheme="minorHAnsi" w:cstheme="minorBidi"/>
              <w:noProof/>
              <w:kern w:val="2"/>
              <w:sz w:val="24"/>
              <w14:ligatures w14:val="standardContextual"/>
            </w:rPr>
          </w:pPr>
          <w:hyperlink w:anchor="_Toc235453795" w:history="1">
            <w:r w:rsidRPr="00CA5FF7">
              <w:rPr>
                <w:rStyle w:val="Hyperlink"/>
                <w:noProof/>
              </w:rPr>
              <w:t>References</w:t>
            </w:r>
            <w:r>
              <w:rPr>
                <w:noProof/>
                <w:webHidden/>
              </w:rPr>
              <w:tab/>
            </w:r>
            <w:r>
              <w:rPr>
                <w:noProof/>
                <w:webHidden/>
              </w:rPr>
              <w:fldChar w:fldCharType="begin"/>
            </w:r>
            <w:r>
              <w:rPr>
                <w:noProof/>
                <w:webHidden/>
              </w:rPr>
              <w:instrText xml:space="preserve"> PAGEREF _Toc235453795 \h </w:instrText>
            </w:r>
            <w:r>
              <w:rPr>
                <w:noProof/>
                <w:webHidden/>
              </w:rPr>
            </w:r>
            <w:r>
              <w:rPr>
                <w:noProof/>
                <w:webHidden/>
              </w:rPr>
              <w:fldChar w:fldCharType="separate"/>
            </w:r>
            <w:r>
              <w:rPr>
                <w:noProof/>
                <w:webHidden/>
              </w:rPr>
              <w:t>11</w:t>
            </w:r>
            <w:r>
              <w:rPr>
                <w:noProof/>
                <w:webHidden/>
              </w:rPr>
              <w:fldChar w:fldCharType="end"/>
            </w:r>
          </w:hyperlink>
        </w:p>
        <w:p w14:paraId="005369B1" w14:textId="05926873" w:rsidR="00D465D5" w:rsidRPr="009C04C0" w:rsidRDefault="00D465D5" w:rsidP="009C04C0">
          <w:r w:rsidRPr="009C04C0">
            <w:rPr>
              <w:b/>
              <w:bCs/>
            </w:rPr>
            <w:fldChar w:fldCharType="end"/>
          </w:r>
        </w:p>
      </w:sdtContent>
    </w:sdt>
    <w:p w14:paraId="58552997" w14:textId="39A57514" w:rsidR="00D465D5" w:rsidRPr="009C04C0" w:rsidRDefault="00D465D5" w:rsidP="009C04C0">
      <w:pPr>
        <w:spacing w:line="480" w:lineRule="auto"/>
        <w:rPr>
          <w:b/>
          <w:bCs/>
          <w:sz w:val="28"/>
          <w:szCs w:val="28"/>
        </w:rPr>
      </w:pPr>
    </w:p>
    <w:p w14:paraId="01CBFBAC" w14:textId="77777777" w:rsidR="00D465D5" w:rsidRPr="009C04C0" w:rsidRDefault="00D465D5" w:rsidP="009C04C0">
      <w:pPr>
        <w:spacing w:line="480" w:lineRule="auto"/>
        <w:rPr>
          <w:b/>
          <w:bCs/>
          <w:sz w:val="28"/>
          <w:szCs w:val="28"/>
        </w:rPr>
      </w:pPr>
      <w:r w:rsidRPr="009C04C0">
        <w:br w:type="page"/>
      </w:r>
    </w:p>
    <w:p w14:paraId="57AA524F" w14:textId="7C166274" w:rsidR="00D465D5" w:rsidRPr="009C04C0" w:rsidRDefault="00D465D5" w:rsidP="009C04C0">
      <w:pPr>
        <w:pStyle w:val="Heading1"/>
      </w:pPr>
      <w:bookmarkStart w:id="2" w:name="_Toc235453790"/>
      <w:r w:rsidRPr="009C04C0">
        <w:t>Introduction</w:t>
      </w:r>
      <w:bookmarkEnd w:id="2"/>
      <w:r w:rsidRPr="009C04C0">
        <w:t xml:space="preserve"> </w:t>
      </w:r>
    </w:p>
    <w:p w14:paraId="3C247FB5" w14:textId="6184C6D4" w:rsidR="00D465D5" w:rsidRPr="009C04C0" w:rsidRDefault="00D465D5" w:rsidP="009C04C0">
      <w:r w:rsidRPr="009C04C0">
        <w:t xml:space="preserve">A universal, publicly funded model is the UK’s health and social care system, where social care involves local authority management while health care is generally free at the point of use (Tikkanen et al., 2026). This system operates as a unified entity across Scotland, England, Northern Ireland, and Wales and originated with the launch of the National Health Service (NHS) in 1948 as one of a series of restructures originating in the 1942 government white paper, the Beveridge report (Tikkanen et al., 2026). However, the rising complexity of long-term health conditions among the ageing population has strained limited resources. Conversely, nurses within the health and social care system face challenges including overwork, low pay and understaffing, leading to low staff morale, which directly affects system capacity (Tikkanen et al., 2026). The purpose of the assignment is to analyse the case study of </w:t>
      </w:r>
      <w:r w:rsidR="00724DF8" w:rsidRPr="009C04C0">
        <w:t>Mrs.</w:t>
      </w:r>
      <w:r w:rsidRPr="009C04C0">
        <w:t xml:space="preserve"> Thompson, an 84-year-old patient with pneumonia and dementia, to understand the UK’s health and social care system. </w:t>
      </w:r>
    </w:p>
    <w:p w14:paraId="5F4428E1" w14:textId="77777777" w:rsidR="00D465D5" w:rsidRPr="009C04C0" w:rsidRDefault="00D465D5" w:rsidP="009C04C0"/>
    <w:p w14:paraId="54E12FAE" w14:textId="77777777" w:rsidR="00D465D5" w:rsidRPr="009C04C0" w:rsidRDefault="00D465D5" w:rsidP="009C04C0">
      <w:pPr>
        <w:pStyle w:val="Heading1"/>
      </w:pPr>
      <w:bookmarkStart w:id="3" w:name="_pul0daevn6mw" w:colFirst="0" w:colLast="0"/>
      <w:bookmarkEnd w:id="3"/>
      <w:r w:rsidRPr="009C04C0">
        <w:br w:type="page"/>
      </w:r>
    </w:p>
    <w:p w14:paraId="5DEF0E49" w14:textId="66DA8F20" w:rsidR="00D465D5" w:rsidRPr="009C04C0" w:rsidRDefault="00D465D5" w:rsidP="009C04C0">
      <w:pPr>
        <w:pStyle w:val="Heading1"/>
      </w:pPr>
      <w:bookmarkStart w:id="4" w:name="_90ixdurrjk7n" w:colFirst="0" w:colLast="0"/>
      <w:bookmarkStart w:id="5" w:name="_Toc235453791"/>
      <w:bookmarkEnd w:id="4"/>
      <w:r w:rsidRPr="009C04C0">
        <w:t xml:space="preserve">1. Discussing the importance of effective communication within the context of </w:t>
      </w:r>
      <w:r w:rsidR="00724DF8" w:rsidRPr="009C04C0">
        <w:t>Mrs.</w:t>
      </w:r>
      <w:r w:rsidRPr="009C04C0">
        <w:t xml:space="preserve"> Thompson’s care</w:t>
      </w:r>
      <w:bookmarkEnd w:id="5"/>
      <w:r w:rsidRPr="009C04C0">
        <w:t xml:space="preserve"> </w:t>
      </w:r>
    </w:p>
    <w:p w14:paraId="3703EBD3" w14:textId="25B8A196" w:rsidR="00D465D5" w:rsidRPr="009C04C0" w:rsidRDefault="00D465D5" w:rsidP="009C04C0">
      <w:r w:rsidRPr="009C04C0">
        <w:t xml:space="preserve">Communication between the caregiver and the patient, especially for the elderly patient like </w:t>
      </w:r>
      <w:r w:rsidR="00724DF8" w:rsidRPr="009C04C0">
        <w:t>Mrs.</w:t>
      </w:r>
      <w:r w:rsidRPr="009C04C0">
        <w:t xml:space="preserve"> Thompson, is crucial to ensure accurate pain assessment, drive treatment compliance and prevent turmoil.  As  </w:t>
      </w:r>
      <w:r w:rsidR="00724DF8" w:rsidRPr="009C04C0">
        <w:t>Mrs.</w:t>
      </w:r>
      <w:r w:rsidRPr="009C04C0">
        <w:t xml:space="preserve"> Thompson has dementia, that means she struggles to explain symptoms like shortness of breath, chest pain or tiredness. Effective patient-centred communication can allow care providers to understand non-verbal cues, ensuring timely medical intervention for pneumonia. On the other hand, pneumonia can cause hypoxia, increasing confusion and anxiety in dementia patients. This requires a calm and slow tone of communication to prevent the patient from feeling panicked (</w:t>
      </w:r>
      <w:r w:rsidRPr="009C04C0">
        <w:rPr>
          <w:highlight w:val="white"/>
        </w:rPr>
        <w:t>Kellett and Holland, 2025</w:t>
      </w:r>
      <w:r w:rsidRPr="009C04C0">
        <w:t xml:space="preserve">).  </w:t>
      </w:r>
    </w:p>
    <w:p w14:paraId="2C7AC74F" w14:textId="77777777" w:rsidR="00D465D5" w:rsidRPr="009C04C0" w:rsidRDefault="00D465D5" w:rsidP="009C04C0">
      <w:pPr>
        <w:rPr>
          <w:u w:val="single"/>
        </w:rPr>
      </w:pPr>
      <w:r w:rsidRPr="009C04C0">
        <w:rPr>
          <w:b/>
          <w:bCs/>
          <w:u w:val="single"/>
        </w:rPr>
        <w:t xml:space="preserve">The process of effective communication </w:t>
      </w:r>
    </w:p>
    <w:p w14:paraId="7D3CEA60" w14:textId="77777777" w:rsidR="00D465D5" w:rsidRPr="009C04C0" w:rsidRDefault="00D465D5" w:rsidP="009C04C0">
      <w:pPr>
        <w:rPr>
          <w:b/>
          <w:bCs/>
        </w:rPr>
      </w:pPr>
      <w:r w:rsidRPr="009C04C0">
        <w:rPr>
          <w:b/>
          <w:bCs/>
        </w:rPr>
        <w:t xml:space="preserve">Account for culture and language </w:t>
      </w:r>
    </w:p>
    <w:p w14:paraId="24F86C6C" w14:textId="77777777" w:rsidR="00D465D5" w:rsidRPr="009C04C0" w:rsidRDefault="00D465D5" w:rsidP="009C04C0">
      <w:r w:rsidRPr="009C04C0">
        <w:t xml:space="preserve">Dementia often harms a patient’s ability to process new information and their thought process.  Thus, using the patient’s native language and respecting cultural customs can reduce confusion and resistance to treatment for acute pneumonia. Explaining treatments to patients’ families in their preferred language can ensure they understand the care plan as primary decision-makers. Under the Equality Act 2010, service providers need to make adjustments to prevent disabled people from being treated unfairly (Heinze et al., 2024). Translating medical information into the patient’s native language with the help of interpreters is legally aligned with the Equality Act 2010 while improving patients’ mental condition and overall health.  </w:t>
      </w:r>
    </w:p>
    <w:p w14:paraId="69643556" w14:textId="77777777" w:rsidR="00D465D5" w:rsidRPr="009C04C0" w:rsidRDefault="00D465D5" w:rsidP="009C04C0">
      <w:pPr>
        <w:rPr>
          <w:b/>
          <w:bCs/>
        </w:rPr>
      </w:pPr>
      <w:r w:rsidRPr="009C04C0">
        <w:rPr>
          <w:b/>
          <w:bCs/>
        </w:rPr>
        <w:t>Value Non-verbal cues</w:t>
      </w:r>
    </w:p>
    <w:p w14:paraId="445F16BC" w14:textId="0DF7D142" w:rsidR="00D465D5" w:rsidRPr="009C04C0" w:rsidRDefault="00D465D5" w:rsidP="009C04C0">
      <w:r w:rsidRPr="009C04C0">
        <w:t xml:space="preserve">In the context of dementia, patients heavily depend on facial expression, body language, and eye contact to convey their intent, making non-verbal cues an important communication strategy. Conversely, speaking can expend vital energy in pneumonia patients and requires non-verbal communication to reduce the physical struggle of talking. Under the Equality Act 2010, caregivers need to provide equal treatment and dignity for disabled people like </w:t>
      </w:r>
      <w:r w:rsidR="00724DF8" w:rsidRPr="009C04C0">
        <w:t>Mrs.</w:t>
      </w:r>
      <w:r w:rsidRPr="009C04C0">
        <w:t xml:space="preserve"> Thompson by using slow and gentle gestures to show respect to the patient's age (Heinze et al., 2024). This allows patients to remain an active participant in their care process. For families, seeing the care team seamlessly smile and handle their loved one during the care service builds trust and ensures that the service user’s emotional and physical comfort is valued. </w:t>
      </w:r>
    </w:p>
    <w:p w14:paraId="0EF7F2C1" w14:textId="77777777" w:rsidR="00D465D5" w:rsidRPr="009C04C0" w:rsidRDefault="00D465D5" w:rsidP="009C04C0">
      <w:pPr>
        <w:rPr>
          <w:b/>
          <w:bCs/>
          <w:u w:val="single"/>
        </w:rPr>
      </w:pPr>
      <w:r w:rsidRPr="009C04C0">
        <w:rPr>
          <w:b/>
          <w:bCs/>
          <w:u w:val="single"/>
        </w:rPr>
        <w:t xml:space="preserve">Comfort Model for effective communication teaching session </w:t>
      </w:r>
    </w:p>
    <w:p w14:paraId="5928A264" w14:textId="77777777" w:rsidR="00D465D5" w:rsidRPr="009C04C0" w:rsidRDefault="00D465D5" w:rsidP="009C04C0">
      <w:r w:rsidRPr="009C04C0">
        <w:t>A teaching session for the care staff using the COMFORT model is as follows:</w:t>
      </w:r>
    </w:p>
    <w:p w14:paraId="06EAACB9" w14:textId="77777777" w:rsidR="00D465D5" w:rsidRPr="009C04C0" w:rsidRDefault="00D465D5" w:rsidP="009C04C0">
      <w:pPr>
        <w:rPr>
          <w:b/>
          <w:bCs/>
        </w:rPr>
      </w:pPr>
      <w:r w:rsidRPr="009C04C0">
        <w:rPr>
          <w:b/>
          <w:bCs/>
        </w:rPr>
        <w:t xml:space="preserve">Connect </w:t>
      </w:r>
    </w:p>
    <w:p w14:paraId="73F0F93D" w14:textId="77777777" w:rsidR="00D465D5" w:rsidRPr="009C04C0" w:rsidRDefault="00D465D5" w:rsidP="009C04C0">
      <w:r w:rsidRPr="009C04C0">
        <w:t xml:space="preserve">For taking care of an 84-year-old pneumonia and dementia patient, staff need to document the patient’s primary language-specific cultural beliefs regarding pain and illness to connect with the patient initially.   </w:t>
      </w:r>
    </w:p>
    <w:p w14:paraId="7E9696A9" w14:textId="77777777" w:rsidR="00D465D5" w:rsidRPr="009C04C0" w:rsidRDefault="00D465D5" w:rsidP="009C04C0">
      <w:pPr>
        <w:rPr>
          <w:b/>
          <w:bCs/>
        </w:rPr>
      </w:pPr>
      <w:r w:rsidRPr="009C04C0">
        <w:rPr>
          <w:b/>
          <w:bCs/>
        </w:rPr>
        <w:t xml:space="preserve">Options </w:t>
      </w:r>
    </w:p>
    <w:p w14:paraId="721EDB2F" w14:textId="77777777" w:rsidR="00D465D5" w:rsidRPr="009C04C0" w:rsidRDefault="00D465D5" w:rsidP="009C04C0">
      <w:r w:rsidRPr="009C04C0">
        <w:t xml:space="preserve">Staff education on using simple language requires tailoring communication to the patient's native language by offering basic choices of food instead of asking open-ended questions. </w:t>
      </w:r>
    </w:p>
    <w:p w14:paraId="24CB9BC7" w14:textId="77777777" w:rsidR="00D465D5" w:rsidRPr="009C04C0" w:rsidRDefault="00D465D5" w:rsidP="009C04C0">
      <w:pPr>
        <w:rPr>
          <w:b/>
          <w:bCs/>
        </w:rPr>
      </w:pPr>
      <w:r w:rsidRPr="009C04C0">
        <w:rPr>
          <w:b/>
          <w:bCs/>
        </w:rPr>
        <w:t xml:space="preserve">Making Meaning </w:t>
      </w:r>
    </w:p>
    <w:p w14:paraId="3223E4F4" w14:textId="77777777" w:rsidR="00D465D5" w:rsidRPr="009C04C0" w:rsidRDefault="00D465D5" w:rsidP="009C04C0">
      <w:pPr>
        <w:rPr>
          <w:b/>
          <w:bCs/>
        </w:rPr>
      </w:pPr>
      <w:r w:rsidRPr="009C04C0">
        <w:t>Instructing staff to look for the reason behind the patient’s behaviours by learning about facial expression, vocalisation and body language is crucial for dementia care and making meaningful treatments.</w:t>
      </w:r>
    </w:p>
    <w:p w14:paraId="26133F4E" w14:textId="77777777" w:rsidR="00D465D5" w:rsidRPr="009C04C0" w:rsidRDefault="00D465D5" w:rsidP="009C04C0">
      <w:pPr>
        <w:rPr>
          <w:b/>
          <w:bCs/>
        </w:rPr>
      </w:pPr>
      <w:r w:rsidRPr="009C04C0">
        <w:rPr>
          <w:b/>
          <w:bCs/>
        </w:rPr>
        <w:t xml:space="preserve">Family caregiver </w:t>
      </w:r>
    </w:p>
    <w:p w14:paraId="4B7064EF" w14:textId="77777777" w:rsidR="00D465D5" w:rsidRPr="009C04C0" w:rsidRDefault="00D465D5" w:rsidP="009C04C0">
      <w:r w:rsidRPr="009C04C0">
        <w:t xml:space="preserve">Training staff to involve patients’ families as partners to get essential information on patients' cultural background and language preferences for effective communication and treatment. </w:t>
      </w:r>
    </w:p>
    <w:p w14:paraId="31DCF73F" w14:textId="77777777" w:rsidR="00D465D5" w:rsidRPr="009C04C0" w:rsidRDefault="00D465D5" w:rsidP="009C04C0">
      <w:pPr>
        <w:rPr>
          <w:b/>
          <w:bCs/>
        </w:rPr>
      </w:pPr>
      <w:r w:rsidRPr="009C04C0">
        <w:rPr>
          <w:b/>
          <w:bCs/>
        </w:rPr>
        <w:t xml:space="preserve">Opening </w:t>
      </w:r>
    </w:p>
    <w:p w14:paraId="0505FE3D" w14:textId="77777777" w:rsidR="00D465D5" w:rsidRPr="009C04C0" w:rsidRDefault="00D465D5" w:rsidP="009C04C0">
      <w:r w:rsidRPr="009C04C0">
        <w:t xml:space="preserve">Advise care staff to stay open with the changing goals of care for a chronic condition like dementia, as treatment often shifts from curative to comfort care-focused. </w:t>
      </w:r>
    </w:p>
    <w:p w14:paraId="51F70F2D" w14:textId="77777777" w:rsidR="00D465D5" w:rsidRPr="009C04C0" w:rsidRDefault="00D465D5" w:rsidP="009C04C0">
      <w:pPr>
        <w:rPr>
          <w:b/>
          <w:bCs/>
        </w:rPr>
      </w:pPr>
      <w:r w:rsidRPr="009C04C0">
        <w:rPr>
          <w:b/>
          <w:bCs/>
        </w:rPr>
        <w:t xml:space="preserve">Relating </w:t>
      </w:r>
    </w:p>
    <w:p w14:paraId="0E0E00DA" w14:textId="77777777" w:rsidR="00D465D5" w:rsidRPr="009C04C0" w:rsidRDefault="00D465D5" w:rsidP="009C04C0">
      <w:r w:rsidRPr="009C04C0">
        <w:t>Staff need to adjust their communication pace to match the patient’s processing speed, aligning with the Equality Act 2010.</w:t>
      </w:r>
    </w:p>
    <w:p w14:paraId="4A4353F5" w14:textId="77777777" w:rsidR="00D465D5" w:rsidRPr="009C04C0" w:rsidRDefault="00D465D5" w:rsidP="009C04C0">
      <w:pPr>
        <w:rPr>
          <w:b/>
          <w:bCs/>
        </w:rPr>
      </w:pPr>
      <w:r w:rsidRPr="009C04C0">
        <w:rPr>
          <w:b/>
          <w:bCs/>
        </w:rPr>
        <w:t xml:space="preserve">Team </w:t>
      </w:r>
    </w:p>
    <w:p w14:paraId="13F8B0A7" w14:textId="77777777" w:rsidR="00D465D5" w:rsidRPr="009C04C0" w:rsidRDefault="00D465D5" w:rsidP="009C04C0">
      <w:r w:rsidRPr="009C04C0">
        <w:t xml:space="preserve">Care employees are required to share patients’ special communication insight with family, docs and therapists to facilitate entire interdisciplinary collaboration care. </w:t>
      </w:r>
    </w:p>
    <w:p w14:paraId="469DB78E" w14:textId="77777777" w:rsidR="00D465D5" w:rsidRPr="009C04C0" w:rsidRDefault="00D465D5" w:rsidP="009C04C0">
      <w:pPr>
        <w:rPr>
          <w:b/>
          <w:bCs/>
        </w:rPr>
      </w:pPr>
    </w:p>
    <w:p w14:paraId="74137F5A" w14:textId="77777777" w:rsidR="00D465D5" w:rsidRPr="009C04C0" w:rsidRDefault="00D465D5" w:rsidP="009C04C0"/>
    <w:p w14:paraId="2B098A9F" w14:textId="77777777" w:rsidR="00D465D5" w:rsidRPr="009C04C0" w:rsidRDefault="00D465D5" w:rsidP="009C04C0">
      <w:pPr>
        <w:pStyle w:val="Heading1"/>
      </w:pPr>
      <w:bookmarkStart w:id="6" w:name="_kuz1k7ak5hm3" w:colFirst="0" w:colLast="0"/>
      <w:bookmarkEnd w:id="6"/>
      <w:r w:rsidRPr="009C04C0">
        <w:br w:type="page"/>
      </w:r>
    </w:p>
    <w:p w14:paraId="2817B108" w14:textId="7A63F945" w:rsidR="00D465D5" w:rsidRPr="009C04C0" w:rsidRDefault="00D465D5" w:rsidP="009C04C0">
      <w:pPr>
        <w:pStyle w:val="Heading1"/>
      </w:pPr>
      <w:bookmarkStart w:id="7" w:name="_ux4e5n4g6j6i" w:colFirst="0" w:colLast="0"/>
      <w:bookmarkStart w:id="8" w:name="_Toc235453792"/>
      <w:bookmarkEnd w:id="7"/>
      <w:r w:rsidRPr="009C04C0">
        <w:t xml:space="preserve">2. Importance of good administrative skills within professional practice within the context of </w:t>
      </w:r>
      <w:r w:rsidR="00724DF8" w:rsidRPr="009C04C0">
        <w:t>Mrs.</w:t>
      </w:r>
      <w:r w:rsidRPr="009C04C0">
        <w:t xml:space="preserve"> Thompson’s care</w:t>
      </w:r>
      <w:bookmarkEnd w:id="8"/>
      <w:r w:rsidRPr="009C04C0">
        <w:t xml:space="preserve"> </w:t>
      </w:r>
    </w:p>
    <w:p w14:paraId="2FEF4D62" w14:textId="77777777" w:rsidR="00D465D5" w:rsidRPr="009C04C0" w:rsidRDefault="00D465D5" w:rsidP="009C04C0">
      <w:r w:rsidRPr="009C04C0">
        <w:t>Complex administrative processes of the health care system require strong administrative knowledge of healthcare laws and clinical terminologies to maintain patient safety. Record keeping is also identified as a core administrative skill that enables health and social care professionals to systematically collect, organise, store, and retrieve patient information.</w:t>
      </w:r>
    </w:p>
    <w:p w14:paraId="0A787B67" w14:textId="77777777" w:rsidR="00D465D5" w:rsidRPr="009C04C0" w:rsidRDefault="00D465D5" w:rsidP="009C04C0">
      <w:pPr>
        <w:rPr>
          <w:b/>
          <w:bCs/>
        </w:rPr>
      </w:pPr>
      <w:r w:rsidRPr="009C04C0">
        <w:rPr>
          <w:b/>
          <w:bCs/>
        </w:rPr>
        <w:t xml:space="preserve">Administrative skills' importance in the context of Mrs Thompson's care </w:t>
      </w:r>
    </w:p>
    <w:p w14:paraId="4B22C6E1" w14:textId="6DFBC65C" w:rsidR="00D465D5" w:rsidRPr="009C04C0" w:rsidRDefault="00D465D5" w:rsidP="009C04C0">
      <w:r w:rsidRPr="009C04C0">
        <w:t xml:space="preserve">The case study of </w:t>
      </w:r>
      <w:r w:rsidR="00724DF8" w:rsidRPr="009C04C0">
        <w:t>Mrs.</w:t>
      </w:r>
      <w:r w:rsidRPr="009C04C0">
        <w:t xml:space="preserve"> Thompson presents that the 84-year-old woman is recovering from a serious respiratory infection and has mild dementia that leads to short-term memory loss. Additionally, missing two days of medication increased the confusion and disrupted her ability to self-manage, which also increased her risk of living alone. To safeguard against vulnerability in </w:t>
      </w:r>
      <w:r w:rsidR="00724DF8" w:rsidRPr="009C04C0">
        <w:t>Mrs.</w:t>
      </w:r>
      <w:r w:rsidRPr="009C04C0">
        <w:t xml:space="preserve"> Thompson's case, the domiciliary care team requires accurate record-keeping, such as Medication Administration Record (MAR) charts. By creating the charts, the professionals can spot patterns of health deterioration and identify necessary medication reviews to ensure medication safety (Stolic et al, 2022). Risk management with clear paper trails is also required, as it enables the care service and local council to assess the risk and make necessary adjustments in the treatment plan.  </w:t>
      </w:r>
    </w:p>
    <w:p w14:paraId="103482E1" w14:textId="77777777" w:rsidR="00D465D5" w:rsidRPr="009C04C0" w:rsidRDefault="00D465D5" w:rsidP="009C04C0">
      <w:pPr>
        <w:rPr>
          <w:b/>
          <w:bCs/>
        </w:rPr>
      </w:pPr>
      <w:r w:rsidRPr="009C04C0">
        <w:rPr>
          <w:b/>
          <w:bCs/>
        </w:rPr>
        <w:t>Record keeping and applying the principles of the Data Protection Act 2018</w:t>
      </w:r>
    </w:p>
    <w:p w14:paraId="498D9CBF" w14:textId="77777777" w:rsidR="00D465D5" w:rsidRPr="009C04C0" w:rsidRDefault="00D465D5" w:rsidP="009C04C0">
      <w:r w:rsidRPr="009C04C0">
        <w:t xml:space="preserve">The domiciliary care team is primarily responsible for the official record-keeping process and needs to document clinical findings to diagnose and treat. Applying the principles of the Data Protection Act 2018 (DPA 2018), the domiciliary care team can conduct tailored care with patients' legal rights to privacy and autonomy (Carradinha et al., 2025). Following DPA 2018, healthcare professionals process the personal data of patients legally and explain clearly to the patient about the use of their information and can maintain fairness (Martínez et al., 2026). Recording the data with strict regulatory standards, the professionals daily manage their data and ensure patient privacy that can reduce unnecessary breaches by recording only relevant information. This can help the clinician care provider reduce medication confusion and can modify patient records. </w:t>
      </w:r>
    </w:p>
    <w:p w14:paraId="58C32F44" w14:textId="77777777" w:rsidR="00D465D5" w:rsidRPr="009C04C0" w:rsidRDefault="00D465D5" w:rsidP="009C04C0">
      <w:pPr>
        <w:rPr>
          <w:b/>
          <w:bCs/>
        </w:rPr>
      </w:pPr>
      <w:r w:rsidRPr="009C04C0">
        <w:rPr>
          <w:b/>
          <w:bCs/>
        </w:rPr>
        <w:t>Relevant legislation and any policy frameworks in the health and social care sector</w:t>
      </w:r>
    </w:p>
    <w:p w14:paraId="52F92269" w14:textId="1F31424C" w:rsidR="00D465D5" w:rsidRPr="009C04C0" w:rsidRDefault="00D465D5" w:rsidP="009C04C0">
      <w:r w:rsidRPr="009C04C0">
        <w:t xml:space="preserve">Mental Capacity Act 2005 (MCA) and Care Act 2014 are identified as core legislation within health and social care (Stokes et al, 2025). Following the legislation, the domiciliary care professionals can support </w:t>
      </w:r>
      <w:r w:rsidR="00724DF8" w:rsidRPr="009C04C0">
        <w:t>Mrs.</w:t>
      </w:r>
      <w:r w:rsidRPr="009C04C0">
        <w:t xml:space="preserve"> Thompson to make their own decisions to retain maximum independence and can provide statutory rights to a care assessment. Following the legislation, the professionals can make reasonable adjustments to accommodate the patient's needs and ensure access to facilities and health care services. Moreover, following the Care Quality Commission (CQC) guidance, domiciliary care teams can ensure that care records reflect that all practical steps have been taken to support </w:t>
      </w:r>
      <w:r w:rsidR="00724DF8" w:rsidRPr="009C04C0">
        <w:t>Mrs.</w:t>
      </w:r>
      <w:r w:rsidRPr="009C04C0">
        <w:t xml:space="preserve"> Thompson. Additionally, the patient can make their own decisions and can improve post-discharge care of the individual's autonomy and human rights.    </w:t>
      </w:r>
    </w:p>
    <w:p w14:paraId="3AAA06C3" w14:textId="77777777" w:rsidR="00D465D5" w:rsidRPr="009C04C0" w:rsidRDefault="00D465D5" w:rsidP="009C04C0"/>
    <w:p w14:paraId="27D240E8" w14:textId="77777777" w:rsidR="00D465D5" w:rsidRPr="009C04C0" w:rsidRDefault="00D465D5" w:rsidP="009C04C0">
      <w:r w:rsidRPr="009C04C0">
        <w:br w:type="page"/>
      </w:r>
    </w:p>
    <w:p w14:paraId="4810C47F" w14:textId="77777777" w:rsidR="00D465D5" w:rsidRPr="009C04C0" w:rsidRDefault="00D465D5" w:rsidP="009C04C0">
      <w:pPr>
        <w:pStyle w:val="Heading1"/>
      </w:pPr>
      <w:bookmarkStart w:id="9" w:name="_4tlagqq7iqrv" w:colFirst="0" w:colLast="0"/>
      <w:bookmarkStart w:id="10" w:name="_Toc235453793"/>
      <w:bookmarkEnd w:id="9"/>
      <w:r w:rsidRPr="009C04C0">
        <w:t>3. Importance of working collaboratively with other professionals</w:t>
      </w:r>
      <w:bookmarkEnd w:id="10"/>
      <w:r w:rsidRPr="009C04C0">
        <w:t xml:space="preserve"> </w:t>
      </w:r>
    </w:p>
    <w:p w14:paraId="464F092A" w14:textId="709BC0A5" w:rsidR="00D465D5" w:rsidRPr="009C04C0" w:rsidRDefault="00D465D5" w:rsidP="009C04C0">
      <w:r w:rsidRPr="009C04C0">
        <w:t xml:space="preserve">Collaborative working within the UK health and social care service is vital for delivering holistic person-centred care.  Working with professionals individually breaks down professional bias, and multidisciplinary teams can streamline complex patient discharges that improve the quality of life for vulnerable individuals. In the context of </w:t>
      </w:r>
      <w:r w:rsidR="00724DF8" w:rsidRPr="009C04C0">
        <w:t>Mrs.</w:t>
      </w:r>
      <w:r w:rsidRPr="009C04C0">
        <w:t xml:space="preserve"> Thompson's care, the domiciliary care providers can benefit by making partnerships with the general practitioner (GP), community nurse and local councils to work collaboratively. GPs and community nurses are vital for diagnosis as they assess educators and manage physical health issues that </w:t>
      </w:r>
      <w:r w:rsidR="00724DF8" w:rsidRPr="009C04C0">
        <w:t>Mrs.</w:t>
      </w:r>
      <w:r w:rsidRPr="009C04C0">
        <w:t xml:space="preserve"> Thompson cannot communicate themselves. Domiciliary carers can also notice the behavioural changes and can report to the GPs and nurses to protect the patient regarding their medication. Collaboration working with domiciliary care, general practitioners and community nurses, professionals can constantly monitor </w:t>
      </w:r>
      <w:r w:rsidR="00724DF8" w:rsidRPr="009C04C0">
        <w:t>Mrs.</w:t>
      </w:r>
      <w:r w:rsidRPr="009C04C0">
        <w:t xml:space="preserve"> Thompson's medication routine, handle behavioural symptoms and reduce the confusion level regarding daily medication.     </w:t>
      </w:r>
    </w:p>
    <w:p w14:paraId="611F5F9B" w14:textId="77777777" w:rsidR="00D465D5" w:rsidRPr="009C04C0" w:rsidRDefault="00D465D5" w:rsidP="009C04C0">
      <w:pPr>
        <w:rPr>
          <w:b/>
          <w:bCs/>
        </w:rPr>
      </w:pPr>
      <w:r w:rsidRPr="009C04C0">
        <w:rPr>
          <w:b/>
          <w:bCs/>
        </w:rPr>
        <w:t xml:space="preserve">Approaches to foster effective collaboration </w:t>
      </w:r>
    </w:p>
    <w:p w14:paraId="0BA3A4DD" w14:textId="77777777" w:rsidR="00D465D5" w:rsidRPr="009C04C0" w:rsidRDefault="00D465D5" w:rsidP="009C04C0">
      <w:r w:rsidRPr="009C04C0">
        <w:t>A standardised communication channel can be an effective strategy for fostering collaboration among the care team by centring on critical patient data. This allows for clear multidisciplinary consultancy and standardised information delivery. The healthcare team can use a secure communication platform like Accurx to prevent medical errors and reduce mental pressure (</w:t>
      </w:r>
      <w:r w:rsidRPr="009C04C0">
        <w:rPr>
          <w:highlight w:val="white"/>
        </w:rPr>
        <w:t>Jones, 2025</w:t>
      </w:r>
      <w:r w:rsidRPr="009C04C0">
        <w:t>). This ensures every provider operates from a secure and up-to-date treatment plan.</w:t>
      </w:r>
    </w:p>
    <w:p w14:paraId="1FF866D0" w14:textId="77777777" w:rsidR="00D465D5" w:rsidRPr="009C04C0" w:rsidRDefault="00D465D5" w:rsidP="009C04C0">
      <w:r w:rsidRPr="009C04C0">
        <w:rPr>
          <w:b/>
          <w:bCs/>
        </w:rPr>
        <w:t>Strategies for addressing and overcoming common challenges of multi-agency working</w:t>
      </w:r>
      <w:r w:rsidRPr="009C04C0">
        <w:t xml:space="preserve"> </w:t>
      </w:r>
    </w:p>
    <w:p w14:paraId="178CF9B4" w14:textId="77777777" w:rsidR="00D465D5" w:rsidRPr="009C04C0" w:rsidRDefault="00D465D5" w:rsidP="009C04C0">
      <w:r w:rsidRPr="009C04C0">
        <w:t>Different working hours, procedures and professional focus are common challenges of multi-agency working, leading to communication breakdown and professional role ambiguity. A formal role mapping exercise can be an effective strategy for preventing conflict among the multiagency team to allow them to understand their exact responsibility (Herbert et al., 2026),</w:t>
      </w:r>
    </w:p>
    <w:p w14:paraId="16543474" w14:textId="77777777" w:rsidR="00D465D5" w:rsidRPr="009C04C0" w:rsidRDefault="00D465D5" w:rsidP="009C04C0"/>
    <w:p w14:paraId="376CF340" w14:textId="77777777" w:rsidR="00D465D5" w:rsidRPr="009C04C0" w:rsidRDefault="00D465D5" w:rsidP="009C04C0">
      <w:pPr>
        <w:pStyle w:val="Heading1"/>
      </w:pPr>
      <w:bookmarkStart w:id="11" w:name="_gwonxtaj4n1j" w:colFirst="0" w:colLast="0"/>
      <w:bookmarkEnd w:id="11"/>
      <w:r w:rsidRPr="009C04C0">
        <w:br w:type="page"/>
      </w:r>
    </w:p>
    <w:p w14:paraId="69BC9F10" w14:textId="77777777" w:rsidR="00D465D5" w:rsidRPr="009C04C0" w:rsidRDefault="00D465D5" w:rsidP="009C04C0">
      <w:pPr>
        <w:pStyle w:val="Heading1"/>
      </w:pPr>
      <w:bookmarkStart w:id="12" w:name="_dyszi9mepfwz" w:colFirst="0" w:colLast="0"/>
      <w:bookmarkStart w:id="13" w:name="_Toc235453794"/>
      <w:bookmarkEnd w:id="12"/>
      <w:r w:rsidRPr="009C04C0">
        <w:t>Conclusion</w:t>
      </w:r>
      <w:bookmarkEnd w:id="13"/>
    </w:p>
    <w:p w14:paraId="042F073A" w14:textId="78DAED45" w:rsidR="00D465D5" w:rsidRPr="009C04C0" w:rsidRDefault="00D465D5" w:rsidP="009C04C0">
      <w:r w:rsidRPr="009C04C0">
        <w:t xml:space="preserve">The origin of the UK health and social care system, with the launch of the National Health Service (NHS) in 1948, has been identified as a qualified entity across Scotland, Northern Ireland, Wales and England. However, the healthcare system faced challenges due to low pay and was directly affected by system capacity. Examining the case of </w:t>
      </w:r>
      <w:r w:rsidR="00724DF8" w:rsidRPr="009C04C0">
        <w:t>Mrs.</w:t>
      </w:r>
      <w:r w:rsidRPr="009C04C0">
        <w:t xml:space="preserve"> Thompson, the consequences of a mild dementia patient have been identified that occur due to medication confusion. The importance of quality care 2010 for the health and social care workers to prevent disabled people from being treated unfairly has been identified. Following the principles, healthcare providers provide equal treatment to disabled people who face difficulty in talking. DPA 2018, in enabling the multidisciplinary care team to conclude tailored care for </w:t>
      </w:r>
      <w:r w:rsidR="00724DF8" w:rsidRPr="009C04C0">
        <w:t>Mrs.</w:t>
      </w:r>
      <w:r w:rsidRPr="009C04C0">
        <w:t xml:space="preserve"> Thompson, maintaining transparency has been identified. The importance of collaborative working with GPs, community nurses, and local councils in continuously monitoring </w:t>
      </w:r>
      <w:r w:rsidR="00724DF8" w:rsidRPr="009C04C0">
        <w:t>Mrs.</w:t>
      </w:r>
      <w:r w:rsidRPr="009C04C0">
        <w:t xml:space="preserve"> Thompson's medication routine has been identified. </w:t>
      </w:r>
      <w:r w:rsidRPr="009C04C0">
        <w:br w:type="page"/>
      </w:r>
    </w:p>
    <w:p w14:paraId="1B34EA74" w14:textId="77777777" w:rsidR="00D465D5" w:rsidRPr="009C04C0" w:rsidRDefault="00D465D5" w:rsidP="009C04C0">
      <w:pPr>
        <w:pStyle w:val="Heading1"/>
      </w:pPr>
      <w:bookmarkStart w:id="14" w:name="_l8skcux77hl3" w:colFirst="0" w:colLast="0"/>
      <w:bookmarkStart w:id="15" w:name="_Toc235453795"/>
      <w:bookmarkEnd w:id="14"/>
      <w:r w:rsidRPr="009C04C0">
        <w:t>References</w:t>
      </w:r>
      <w:bookmarkEnd w:id="15"/>
      <w:r w:rsidRPr="009C04C0">
        <w:t xml:space="preserve"> </w:t>
      </w:r>
    </w:p>
    <w:p w14:paraId="68FFC852" w14:textId="77777777" w:rsidR="00651810" w:rsidRPr="009C04C0" w:rsidRDefault="00651810" w:rsidP="00651810">
      <w:proofErr w:type="spellStart"/>
      <w:r w:rsidRPr="00651810">
        <w:rPr>
          <w:highlight w:val="white"/>
        </w:rPr>
        <w:t>Carradinha</w:t>
      </w:r>
      <w:proofErr w:type="spellEnd"/>
      <w:r w:rsidRPr="00651810">
        <w:rPr>
          <w:highlight w:val="white"/>
        </w:rPr>
        <w:t xml:space="preserve">, M., Mendes, V.I., Moura, R.P., Silva, N.P., Rocha, L., Gonçalves, J., Antunes, I., Schiza, E., Pattichis, C.S., Zanini, A. and Pajić, V., (2025). Telemedicine and the European Health Data Space: a new paradigm for healthcare in the EU. </w:t>
      </w:r>
      <w:r w:rsidRPr="00651810">
        <w:rPr>
          <w:i/>
          <w:iCs/>
          <w:highlight w:val="white"/>
        </w:rPr>
        <w:t>Frontiers in Digital Health</w:t>
      </w:r>
      <w:r w:rsidRPr="00651810">
        <w:rPr>
          <w:highlight w:val="white"/>
        </w:rPr>
        <w:t xml:space="preserve">, </w:t>
      </w:r>
      <w:r w:rsidRPr="00651810">
        <w:rPr>
          <w:i/>
          <w:iCs/>
          <w:highlight w:val="white"/>
        </w:rPr>
        <w:t>7</w:t>
      </w:r>
      <w:r w:rsidRPr="00651810">
        <w:rPr>
          <w:highlight w:val="white"/>
        </w:rPr>
        <w:t>, p.1713758.</w:t>
      </w:r>
      <w:r w:rsidRPr="009C04C0">
        <w:t xml:space="preserve"> </w:t>
      </w:r>
    </w:p>
    <w:p w14:paraId="37B4E0D5" w14:textId="77777777" w:rsidR="00651810" w:rsidRPr="009C04C0" w:rsidRDefault="00651810" w:rsidP="00651810">
      <w:r w:rsidRPr="009C04C0">
        <w:t xml:space="preserve">Heinze, N., Jones, L., Bertiz, F., Saunders, E. and Gomes, R.S., (2024). How does the UK public think and feel about people with visual impairment: a review of existing evidence. </w:t>
      </w:r>
      <w:r w:rsidRPr="00651810">
        <w:rPr>
          <w:i/>
          <w:iCs/>
        </w:rPr>
        <w:t>Frontiers in Psychology</w:t>
      </w:r>
      <w:r w:rsidRPr="009C04C0">
        <w:t xml:space="preserve">, </w:t>
      </w:r>
      <w:r w:rsidRPr="00651810">
        <w:rPr>
          <w:i/>
          <w:iCs/>
        </w:rPr>
        <w:t>15</w:t>
      </w:r>
      <w:r w:rsidRPr="009C04C0">
        <w:t xml:space="preserve">, p.1359074. </w:t>
      </w:r>
    </w:p>
    <w:p w14:paraId="31222C90" w14:textId="77777777" w:rsidR="00651810" w:rsidRPr="009C04C0" w:rsidRDefault="00651810" w:rsidP="00651810">
      <w:r w:rsidRPr="009C04C0">
        <w:t xml:space="preserve">Herbert, J.L., Tindal, R.A., Mitchell, M., Warrington, C., Bovarnick, S. and Parker, N., (2026). Measuring collaboration quality in the context of Barnahus and Children's Advocacy Centres: a thematic and measure review. </w:t>
      </w:r>
      <w:r w:rsidRPr="00651810">
        <w:rPr>
          <w:i/>
          <w:iCs/>
        </w:rPr>
        <w:t>Children and Youth Services Review</w:t>
      </w:r>
      <w:r w:rsidRPr="009C04C0">
        <w:t xml:space="preserve">, p.109077. </w:t>
      </w:r>
    </w:p>
    <w:p w14:paraId="07145A58" w14:textId="77777777" w:rsidR="00651810" w:rsidRPr="009C04C0" w:rsidRDefault="00651810" w:rsidP="00651810">
      <w:r w:rsidRPr="00651810">
        <w:rPr>
          <w:highlight w:val="white"/>
        </w:rPr>
        <w:t xml:space="preserve">Jones, L., (2025). The maternal 6-to-8 week postnatal check. </w:t>
      </w:r>
      <w:r w:rsidRPr="00651810">
        <w:rPr>
          <w:i/>
          <w:iCs/>
          <w:highlight w:val="white"/>
        </w:rPr>
        <w:t>InnovAiT</w:t>
      </w:r>
      <w:r w:rsidRPr="00651810">
        <w:rPr>
          <w:highlight w:val="white"/>
        </w:rPr>
        <w:t xml:space="preserve">, </w:t>
      </w:r>
      <w:r w:rsidRPr="00651810">
        <w:rPr>
          <w:i/>
          <w:iCs/>
          <w:highlight w:val="white"/>
        </w:rPr>
        <w:t>18</w:t>
      </w:r>
      <w:r w:rsidRPr="00651810">
        <w:rPr>
          <w:highlight w:val="white"/>
        </w:rPr>
        <w:t>(6), pp.317-324.</w:t>
      </w:r>
      <w:r w:rsidRPr="009C04C0">
        <w:t xml:space="preserve"> </w:t>
      </w:r>
    </w:p>
    <w:p w14:paraId="32DAA721" w14:textId="77777777" w:rsidR="00651810" w:rsidRPr="009C04C0" w:rsidRDefault="00651810" w:rsidP="00651810">
      <w:r w:rsidRPr="00651810">
        <w:rPr>
          <w:highlight w:val="white"/>
        </w:rPr>
        <w:t xml:space="preserve">Kellett, J. and Holland, M., (2025). The interpretation of vital signs and other vital bedside information: Expanding the paradigm. </w:t>
      </w:r>
      <w:r w:rsidRPr="00651810">
        <w:rPr>
          <w:i/>
          <w:iCs/>
          <w:highlight w:val="white"/>
        </w:rPr>
        <w:t>Textbook of rapid response systems: Concept and implementation</w:t>
      </w:r>
      <w:r w:rsidRPr="00651810">
        <w:rPr>
          <w:highlight w:val="white"/>
        </w:rPr>
        <w:t>, pp.77-110.</w:t>
      </w:r>
      <w:r w:rsidRPr="009C04C0">
        <w:t xml:space="preserve"> </w:t>
      </w:r>
    </w:p>
    <w:p w14:paraId="094A6992" w14:textId="77777777" w:rsidR="00651810" w:rsidRPr="009C04C0" w:rsidRDefault="00651810" w:rsidP="00651810">
      <w:r w:rsidRPr="00651810">
        <w:rPr>
          <w:highlight w:val="white"/>
        </w:rPr>
        <w:t xml:space="preserve">Martínez, R.M., de Marco, A., Blanquer, I. and Martí-Bonmatí, L.,(2026). Building trust and privacy in cross-border health data sharing for European cancer research. </w:t>
      </w:r>
      <w:r w:rsidRPr="00651810">
        <w:rPr>
          <w:i/>
          <w:iCs/>
          <w:highlight w:val="white"/>
        </w:rPr>
        <w:t>Radiology Advances</w:t>
      </w:r>
      <w:r w:rsidRPr="00651810">
        <w:rPr>
          <w:highlight w:val="white"/>
        </w:rPr>
        <w:t xml:space="preserve">, </w:t>
      </w:r>
      <w:r w:rsidRPr="00651810">
        <w:rPr>
          <w:i/>
          <w:iCs/>
          <w:highlight w:val="white"/>
        </w:rPr>
        <w:t>3</w:t>
      </w:r>
      <w:r w:rsidRPr="00651810">
        <w:rPr>
          <w:highlight w:val="white"/>
        </w:rPr>
        <w:t>(2), p.umag018.</w:t>
      </w:r>
      <w:r w:rsidRPr="009C04C0">
        <w:t xml:space="preserve"> </w:t>
      </w:r>
    </w:p>
    <w:p w14:paraId="06C0AB95" w14:textId="77777777" w:rsidR="00651810" w:rsidRPr="009C04C0" w:rsidRDefault="00651810" w:rsidP="00651810">
      <w:r w:rsidRPr="00651810">
        <w:rPr>
          <w:highlight w:val="white"/>
        </w:rPr>
        <w:t xml:space="preserve">Stokes, L., Maden, M., Williams, N., Jacob, N., Scott, S., Shepherd, V., Gates, C., Jones, L., Barker, S., Hunter, M.C. and Smith, G., (2025). Barriers and facilitators to implementation of mental capacity legislation in care homes for older adults in the United Kingdom: a mixed-methods systematic review. </w:t>
      </w:r>
      <w:r w:rsidRPr="00651810">
        <w:rPr>
          <w:i/>
          <w:iCs/>
          <w:highlight w:val="white"/>
        </w:rPr>
        <w:t>Age and ageing</w:t>
      </w:r>
      <w:r w:rsidRPr="00651810">
        <w:rPr>
          <w:highlight w:val="white"/>
        </w:rPr>
        <w:t xml:space="preserve">, </w:t>
      </w:r>
      <w:r w:rsidRPr="00651810">
        <w:rPr>
          <w:i/>
          <w:iCs/>
          <w:highlight w:val="white"/>
        </w:rPr>
        <w:t>54</w:t>
      </w:r>
      <w:r w:rsidRPr="00651810">
        <w:rPr>
          <w:highlight w:val="white"/>
        </w:rPr>
        <w:t>(5), p.afaf119.</w:t>
      </w:r>
      <w:r w:rsidRPr="00651810">
        <w:rPr>
          <w:sz w:val="24"/>
        </w:rPr>
        <w:t xml:space="preserve"> </w:t>
      </w:r>
    </w:p>
    <w:p w14:paraId="288326AE" w14:textId="77777777" w:rsidR="00651810" w:rsidRPr="009C04C0" w:rsidRDefault="00651810" w:rsidP="00651810">
      <w:r w:rsidRPr="00651810">
        <w:rPr>
          <w:highlight w:val="white"/>
        </w:rPr>
        <w:t xml:space="preserve">Stolic, S., Ng, L., Southern, J. and Sheridan, G., (2022). Medication errors by nursing students on clinical practice: An integrative review. </w:t>
      </w:r>
      <w:r w:rsidRPr="00651810">
        <w:rPr>
          <w:i/>
          <w:iCs/>
          <w:highlight w:val="white"/>
        </w:rPr>
        <w:t>Nurse Education Today</w:t>
      </w:r>
      <w:r w:rsidRPr="00651810">
        <w:rPr>
          <w:highlight w:val="white"/>
        </w:rPr>
        <w:t xml:space="preserve">, </w:t>
      </w:r>
      <w:r w:rsidRPr="00651810">
        <w:rPr>
          <w:i/>
          <w:iCs/>
          <w:highlight w:val="white"/>
        </w:rPr>
        <w:t>112</w:t>
      </w:r>
      <w:r w:rsidRPr="00651810">
        <w:rPr>
          <w:highlight w:val="white"/>
        </w:rPr>
        <w:t>, p.105325.</w:t>
      </w:r>
      <w:r w:rsidRPr="009C04C0">
        <w:t xml:space="preserve"> </w:t>
      </w:r>
    </w:p>
    <w:p w14:paraId="4A6FB9DA" w14:textId="77777777" w:rsidR="00651810" w:rsidRPr="009C04C0" w:rsidRDefault="00651810" w:rsidP="00651810">
      <w:r w:rsidRPr="009C04C0">
        <w:t xml:space="preserve">Tikkanen, R., Osborn, R., Mossialos, E., Djordjevic, A. and Wharton, G.A. (2026). </w:t>
      </w:r>
      <w:r w:rsidRPr="00651810">
        <w:rPr>
          <w:i/>
          <w:iCs/>
        </w:rPr>
        <w:t>International Health Care System Profiles: England</w:t>
      </w:r>
      <w:r w:rsidRPr="009C04C0">
        <w:t xml:space="preserve">. [online] </w:t>
      </w:r>
      <w:r w:rsidRPr="00651810">
        <w:rPr>
          <w:i/>
          <w:iCs/>
        </w:rPr>
        <w:t>The Commonwealth Fund</w:t>
      </w:r>
      <w:r w:rsidRPr="009C04C0">
        <w:t xml:space="preserve">. Available at: </w:t>
      </w:r>
      <w:hyperlink r:id="rId8">
        <w:r w:rsidRPr="00651810">
          <w:rPr>
            <w:color w:val="1155CC"/>
            <w:u w:val="single"/>
          </w:rPr>
          <w:t>https://www.commonwealthfund.org/international-health-policy-center/countries/england</w:t>
        </w:r>
      </w:hyperlink>
      <w:r w:rsidRPr="009C04C0">
        <w:t xml:space="preserve"> [Accessed 19 07 2026].</w:t>
      </w:r>
    </w:p>
    <w:p w14:paraId="2A37CAFE" w14:textId="77777777" w:rsidR="00D465D5" w:rsidRPr="009C04C0" w:rsidRDefault="00D465D5" w:rsidP="009C04C0"/>
    <w:p w14:paraId="39733CD4" w14:textId="77777777" w:rsidR="00D465D5" w:rsidRPr="009C04C0" w:rsidRDefault="00D465D5" w:rsidP="009C04C0"/>
    <w:p w14:paraId="0000001F" w14:textId="12B96070" w:rsidR="004C417B" w:rsidRPr="00916764" w:rsidRDefault="004C417B" w:rsidP="009C04C0"/>
    <w:sectPr w:rsidR="004C417B" w:rsidRPr="00916764" w:rsidSect="00D465D5">
      <w:headerReference w:type="default" r:id="rId9"/>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8E390" w14:textId="77777777" w:rsidR="005D4E15" w:rsidRPr="009C04C0" w:rsidRDefault="005D4E15" w:rsidP="00D465D5">
      <w:pPr>
        <w:spacing w:line="240" w:lineRule="auto"/>
      </w:pPr>
      <w:r w:rsidRPr="009C04C0">
        <w:separator/>
      </w:r>
    </w:p>
  </w:endnote>
  <w:endnote w:type="continuationSeparator" w:id="0">
    <w:p w14:paraId="12072ACF" w14:textId="77777777" w:rsidR="005D4E15" w:rsidRPr="009C04C0" w:rsidRDefault="005D4E15" w:rsidP="00D465D5">
      <w:pPr>
        <w:spacing w:line="240" w:lineRule="auto"/>
      </w:pPr>
      <w:r w:rsidRPr="009C04C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97555AF7-1F8C-4EF8-A751-BE0D269D852E}"/>
  </w:font>
  <w:font w:name="Cambria">
    <w:panose1 w:val="02040503050406030204"/>
    <w:charset w:val="00"/>
    <w:family w:val="roman"/>
    <w:pitch w:val="variable"/>
    <w:sig w:usb0="E00006FF" w:usb1="420024FF" w:usb2="02000000" w:usb3="00000000" w:csb0="0000019F" w:csb1="00000000"/>
    <w:embedRegular r:id="rId2" w:fontKey="{2AAB89EB-69EC-4C96-865F-38312A20AFC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5954151"/>
      <w:docPartObj>
        <w:docPartGallery w:val="Page Numbers (Bottom of Page)"/>
        <w:docPartUnique/>
      </w:docPartObj>
    </w:sdtPr>
    <w:sdtContent>
      <w:sdt>
        <w:sdtPr>
          <w:id w:val="-1769616900"/>
          <w:docPartObj>
            <w:docPartGallery w:val="Page Numbers (Top of Page)"/>
            <w:docPartUnique/>
          </w:docPartObj>
        </w:sdtPr>
        <w:sdtContent>
          <w:p w14:paraId="28F0CEBB" w14:textId="7CED47CD" w:rsidR="00D465D5" w:rsidRPr="009C04C0" w:rsidRDefault="00D465D5">
            <w:pPr>
              <w:pStyle w:val="Footer"/>
              <w:jc w:val="right"/>
            </w:pPr>
            <w:r w:rsidRPr="009C04C0">
              <w:t xml:space="preserve">Page </w:t>
            </w:r>
            <w:r w:rsidRPr="009C04C0">
              <w:rPr>
                <w:b/>
                <w:bCs/>
                <w:sz w:val="24"/>
              </w:rPr>
              <w:fldChar w:fldCharType="begin"/>
            </w:r>
            <w:r w:rsidRPr="009C04C0">
              <w:rPr>
                <w:b/>
                <w:bCs/>
              </w:rPr>
              <w:instrText xml:space="preserve"> PAGE </w:instrText>
            </w:r>
            <w:r w:rsidRPr="009C04C0">
              <w:rPr>
                <w:b/>
                <w:bCs/>
                <w:sz w:val="24"/>
              </w:rPr>
              <w:fldChar w:fldCharType="separate"/>
            </w:r>
            <w:r w:rsidRPr="009C04C0">
              <w:rPr>
                <w:b/>
                <w:bCs/>
              </w:rPr>
              <w:t>2</w:t>
            </w:r>
            <w:r w:rsidRPr="009C04C0">
              <w:rPr>
                <w:b/>
                <w:bCs/>
                <w:sz w:val="24"/>
              </w:rPr>
              <w:fldChar w:fldCharType="end"/>
            </w:r>
            <w:r w:rsidRPr="009C04C0">
              <w:t xml:space="preserve"> of </w:t>
            </w:r>
            <w:r w:rsidRPr="009C04C0">
              <w:rPr>
                <w:b/>
                <w:bCs/>
                <w:sz w:val="24"/>
              </w:rPr>
              <w:fldChar w:fldCharType="begin"/>
            </w:r>
            <w:r w:rsidRPr="009C04C0">
              <w:rPr>
                <w:b/>
                <w:bCs/>
              </w:rPr>
              <w:instrText xml:space="preserve"> NUMPAGES  </w:instrText>
            </w:r>
            <w:r w:rsidRPr="009C04C0">
              <w:rPr>
                <w:b/>
                <w:bCs/>
                <w:sz w:val="24"/>
              </w:rPr>
              <w:fldChar w:fldCharType="separate"/>
            </w:r>
            <w:r w:rsidRPr="009C04C0">
              <w:rPr>
                <w:b/>
                <w:bCs/>
              </w:rPr>
              <w:t>2</w:t>
            </w:r>
            <w:r w:rsidRPr="009C04C0">
              <w:rPr>
                <w:b/>
                <w:bCs/>
                <w:sz w:val="24"/>
              </w:rPr>
              <w:fldChar w:fldCharType="end"/>
            </w:r>
          </w:p>
        </w:sdtContent>
      </w:sdt>
    </w:sdtContent>
  </w:sdt>
  <w:p w14:paraId="6333E338" w14:textId="77777777" w:rsidR="00D465D5" w:rsidRPr="009C04C0" w:rsidRDefault="00D46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B8720" w14:textId="77777777" w:rsidR="005D4E15" w:rsidRPr="009C04C0" w:rsidRDefault="005D4E15" w:rsidP="00D465D5">
      <w:pPr>
        <w:spacing w:line="240" w:lineRule="auto"/>
      </w:pPr>
      <w:r w:rsidRPr="009C04C0">
        <w:separator/>
      </w:r>
    </w:p>
  </w:footnote>
  <w:footnote w:type="continuationSeparator" w:id="0">
    <w:p w14:paraId="4ED76F96" w14:textId="77777777" w:rsidR="005D4E15" w:rsidRPr="009C04C0" w:rsidRDefault="005D4E15" w:rsidP="00D465D5">
      <w:pPr>
        <w:spacing w:line="240" w:lineRule="auto"/>
      </w:pPr>
      <w:r w:rsidRPr="009C04C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8019C9" w14:textId="38A5CEF4" w:rsidR="00D465D5" w:rsidRPr="009C04C0" w:rsidRDefault="00D465D5" w:rsidP="00D465D5">
    <w:pPr>
      <w:pStyle w:val="Header"/>
      <w:jc w:val="right"/>
    </w:pPr>
    <w:r w:rsidRPr="009C04C0">
      <w:t xml:space="preserve"> Introduction to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1257C"/>
    <w:multiLevelType w:val="hybridMultilevel"/>
    <w:tmpl w:val="7BE0CB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A460843"/>
    <w:multiLevelType w:val="hybridMultilevel"/>
    <w:tmpl w:val="4A668D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5818D8"/>
    <w:multiLevelType w:val="hybridMultilevel"/>
    <w:tmpl w:val="B09AB50C"/>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616208335">
    <w:abstractNumId w:val="0"/>
  </w:num>
  <w:num w:numId="2" w16cid:durableId="719937991">
    <w:abstractNumId w:val="1"/>
  </w:num>
  <w:num w:numId="3" w16cid:durableId="1033572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417B"/>
    <w:rsid w:val="000175DE"/>
    <w:rsid w:val="00095221"/>
    <w:rsid w:val="001B1AE6"/>
    <w:rsid w:val="002634F1"/>
    <w:rsid w:val="002F6940"/>
    <w:rsid w:val="004009C7"/>
    <w:rsid w:val="00486099"/>
    <w:rsid w:val="004A362E"/>
    <w:rsid w:val="004A66A5"/>
    <w:rsid w:val="004C417B"/>
    <w:rsid w:val="005D4E15"/>
    <w:rsid w:val="006025C4"/>
    <w:rsid w:val="00651810"/>
    <w:rsid w:val="006B3395"/>
    <w:rsid w:val="00721BE1"/>
    <w:rsid w:val="00724DF8"/>
    <w:rsid w:val="007475EF"/>
    <w:rsid w:val="00916764"/>
    <w:rsid w:val="009C04C0"/>
    <w:rsid w:val="00A616EA"/>
    <w:rsid w:val="00CC2B5C"/>
    <w:rsid w:val="00CC6DE9"/>
    <w:rsid w:val="00D465D5"/>
    <w:rsid w:val="00F54ECF"/>
    <w:rsid w:val="00F72A45"/>
    <w:rsid w:val="00FF3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F5D1F"/>
  <w15:docId w15:val="{4447E0A8-7100-4240-854A-395EAD232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5D5"/>
    <w:pPr>
      <w:spacing w:line="360" w:lineRule="auto"/>
    </w:pPr>
    <w:rPr>
      <w:rFonts w:ascii="Arial" w:hAnsi="Arial"/>
      <w:sz w:val="22"/>
      <w:lang w:val="en-GB"/>
    </w:rPr>
  </w:style>
  <w:style w:type="paragraph" w:styleId="Heading1">
    <w:name w:val="heading 1"/>
    <w:basedOn w:val="Normal"/>
    <w:next w:val="Normal"/>
    <w:autoRedefine/>
    <w:uiPriority w:val="9"/>
    <w:qFormat/>
    <w:pPr>
      <w:keepNext/>
      <w:keepLines/>
      <w:outlineLvl w:val="0"/>
    </w:pPr>
    <w:rPr>
      <w:b/>
      <w:bCs/>
      <w:sz w:val="28"/>
      <w:szCs w:val="28"/>
    </w:rPr>
  </w:style>
  <w:style w:type="paragraph" w:styleId="Heading2">
    <w:name w:val="heading 2"/>
    <w:basedOn w:val="Normal"/>
    <w:next w:val="Normal"/>
    <w:autoRedefine/>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ListParagraph">
    <w:name w:val="List Paragraph"/>
    <w:basedOn w:val="Normal"/>
    <w:uiPriority w:val="34"/>
    <w:qFormat/>
    <w:rsid w:val="00D465D5"/>
    <w:pPr>
      <w:ind w:left="720"/>
      <w:contextualSpacing/>
    </w:pPr>
  </w:style>
  <w:style w:type="paragraph" w:styleId="Header">
    <w:name w:val="header"/>
    <w:basedOn w:val="Normal"/>
    <w:link w:val="HeaderChar"/>
    <w:uiPriority w:val="99"/>
    <w:unhideWhenUsed/>
    <w:rsid w:val="00D465D5"/>
    <w:pPr>
      <w:tabs>
        <w:tab w:val="center" w:pos="4513"/>
        <w:tab w:val="right" w:pos="9026"/>
      </w:tabs>
      <w:spacing w:line="240" w:lineRule="auto"/>
    </w:pPr>
  </w:style>
  <w:style w:type="character" w:customStyle="1" w:styleId="HeaderChar">
    <w:name w:val="Header Char"/>
    <w:basedOn w:val="DefaultParagraphFont"/>
    <w:link w:val="Header"/>
    <w:uiPriority w:val="99"/>
    <w:rsid w:val="00D465D5"/>
    <w:rPr>
      <w:rFonts w:ascii="Arial" w:hAnsi="Arial"/>
      <w:sz w:val="22"/>
    </w:rPr>
  </w:style>
  <w:style w:type="paragraph" w:styleId="Footer">
    <w:name w:val="footer"/>
    <w:basedOn w:val="Normal"/>
    <w:link w:val="FooterChar"/>
    <w:uiPriority w:val="99"/>
    <w:unhideWhenUsed/>
    <w:rsid w:val="00D465D5"/>
    <w:pPr>
      <w:tabs>
        <w:tab w:val="center" w:pos="4513"/>
        <w:tab w:val="right" w:pos="9026"/>
      </w:tabs>
      <w:spacing w:line="240" w:lineRule="auto"/>
    </w:pPr>
  </w:style>
  <w:style w:type="character" w:customStyle="1" w:styleId="FooterChar">
    <w:name w:val="Footer Char"/>
    <w:basedOn w:val="DefaultParagraphFont"/>
    <w:link w:val="Footer"/>
    <w:uiPriority w:val="99"/>
    <w:rsid w:val="00D465D5"/>
    <w:rPr>
      <w:rFonts w:ascii="Arial" w:hAnsi="Arial"/>
      <w:sz w:val="22"/>
    </w:rPr>
  </w:style>
  <w:style w:type="paragraph" w:styleId="TOCHeading">
    <w:name w:val="TOC Heading"/>
    <w:basedOn w:val="Heading1"/>
    <w:next w:val="Normal"/>
    <w:uiPriority w:val="39"/>
    <w:unhideWhenUsed/>
    <w:qFormat/>
    <w:rsid w:val="00D465D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465D5"/>
    <w:pPr>
      <w:spacing w:after="100"/>
    </w:pPr>
  </w:style>
  <w:style w:type="character" w:styleId="Hyperlink">
    <w:name w:val="Hyperlink"/>
    <w:basedOn w:val="DefaultParagraphFont"/>
    <w:uiPriority w:val="99"/>
    <w:unhideWhenUsed/>
    <w:rsid w:val="00D465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ommonwealthfund.org/international-health-policy-center/countries/england"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34E4BA-3D1D-4879-8DC0-11C6978C23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2307</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Cosmin</cp:lastModifiedBy>
  <cp:revision>7</cp:revision>
  <dcterms:created xsi:type="dcterms:W3CDTF">2026-07-20T20:46:00Z</dcterms:created>
  <dcterms:modified xsi:type="dcterms:W3CDTF">2026-07-20T20:48:00Z</dcterms:modified>
</cp:coreProperties>
</file>