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C39EE" w14:textId="77777777" w:rsidR="006C3C02" w:rsidRPr="00E764CB" w:rsidRDefault="006C3C02" w:rsidP="00345B96">
      <w:pPr>
        <w:rPr>
          <w:rFonts w:cs="Arial"/>
          <w:b/>
          <w:bCs/>
          <w:sz w:val="32"/>
          <w:szCs w:val="32"/>
        </w:rPr>
      </w:pPr>
    </w:p>
    <w:p w14:paraId="7B471B1A" w14:textId="12DB8B2C" w:rsidR="006C3C02" w:rsidRDefault="006C3C02" w:rsidP="006C3C02">
      <w:pPr>
        <w:jc w:val="center"/>
        <w:rPr>
          <w:rFonts w:cs="Arial"/>
          <w:b/>
          <w:bCs/>
          <w:sz w:val="48"/>
          <w:szCs w:val="48"/>
        </w:rPr>
      </w:pPr>
      <w:r w:rsidRPr="00E764CB">
        <w:rPr>
          <w:rFonts w:cs="Arial"/>
          <w:b/>
          <w:bCs/>
          <w:sz w:val="48"/>
          <w:szCs w:val="48"/>
        </w:rPr>
        <w:t>Dissertation</w:t>
      </w:r>
    </w:p>
    <w:p w14:paraId="0B76D5C7" w14:textId="56A93BDA" w:rsidR="00996450" w:rsidRPr="00E764CB" w:rsidRDefault="00996450" w:rsidP="006C3C02">
      <w:pPr>
        <w:jc w:val="center"/>
        <w:rPr>
          <w:rFonts w:cs="Arial"/>
          <w:b/>
          <w:bCs/>
          <w:sz w:val="48"/>
          <w:szCs w:val="48"/>
        </w:rPr>
      </w:pPr>
      <w:r>
        <w:rPr>
          <w:rFonts w:cs="Arial"/>
          <w:b/>
          <w:bCs/>
          <w:sz w:val="48"/>
          <w:szCs w:val="48"/>
        </w:rPr>
        <w:t>Chapter 4 and 5</w:t>
      </w:r>
    </w:p>
    <w:p w14:paraId="6955DE02" w14:textId="77777777" w:rsidR="006C3C02" w:rsidRDefault="006C3C02" w:rsidP="006C3C02">
      <w:pPr>
        <w:spacing w:line="278" w:lineRule="auto"/>
        <w:ind w:left="360"/>
        <w:jc w:val="center"/>
        <w:rPr>
          <w:rFonts w:cs="Arial"/>
          <w:b/>
          <w:bCs/>
        </w:rPr>
      </w:pPr>
    </w:p>
    <w:p w14:paraId="3E19F8C5" w14:textId="77777777" w:rsidR="006C3C02" w:rsidRDefault="006C3C02" w:rsidP="006C3C02">
      <w:pPr>
        <w:spacing w:line="278" w:lineRule="auto"/>
        <w:ind w:left="360"/>
        <w:jc w:val="center"/>
        <w:rPr>
          <w:rFonts w:cs="Arial"/>
          <w:b/>
          <w:bCs/>
        </w:rPr>
      </w:pPr>
      <w:r w:rsidRPr="00EC19B3">
        <w:rPr>
          <w:rFonts w:cs="Arial"/>
          <w:b/>
          <w:bCs/>
        </w:rPr>
        <w:t>Student Name: Suma Begum</w:t>
      </w:r>
    </w:p>
    <w:p w14:paraId="46519DA5" w14:textId="77777777" w:rsidR="006C3C02" w:rsidRDefault="006C3C02" w:rsidP="006C3C02">
      <w:pPr>
        <w:spacing w:line="278" w:lineRule="auto"/>
        <w:ind w:left="360"/>
        <w:jc w:val="center"/>
        <w:rPr>
          <w:rFonts w:cs="Arial"/>
          <w:b/>
          <w:bCs/>
        </w:rPr>
      </w:pPr>
      <w:r w:rsidRPr="00EC19B3">
        <w:rPr>
          <w:rFonts w:cs="Arial"/>
          <w:b/>
          <w:bCs/>
        </w:rPr>
        <w:t>Student ID: 2123484</w:t>
      </w:r>
    </w:p>
    <w:p w14:paraId="6EDC5C0C" w14:textId="3FFD6BC9" w:rsidR="00A23EFB" w:rsidRPr="00A23EFB" w:rsidRDefault="00A23EFB" w:rsidP="00A23EFB">
      <w:pPr>
        <w:jc w:val="center"/>
        <w:rPr>
          <w:rFonts w:eastAsia="Arial Unicode MS" w:cs="Arial"/>
          <w:b/>
          <w:sz w:val="48"/>
          <w:szCs w:val="48"/>
        </w:rPr>
      </w:pPr>
      <w:r w:rsidRPr="00A23EFB">
        <w:rPr>
          <w:rFonts w:eastAsia="Arial Unicode MS" w:cs="Arial"/>
          <w:b/>
          <w:sz w:val="48"/>
          <w:szCs w:val="48"/>
        </w:rPr>
        <w:t>Title – "The Effectiveness of Community-Based Dementia Support Programs for Adults Aged 65 and Over in the UK: A Systematic Review.</w:t>
      </w:r>
    </w:p>
    <w:p w14:paraId="051EE9C5" w14:textId="77777777" w:rsidR="00A23EFB" w:rsidRPr="00995444" w:rsidRDefault="00A23EFB" w:rsidP="00A23EFB">
      <w:pPr>
        <w:jc w:val="center"/>
        <w:rPr>
          <w:rFonts w:eastAsia="Arial Unicode MS" w:cs="Arial"/>
          <w:b/>
          <w:sz w:val="56"/>
          <w:szCs w:val="56"/>
        </w:rPr>
      </w:pPr>
    </w:p>
    <w:p w14:paraId="4BD39FF2" w14:textId="77777777" w:rsidR="00996450" w:rsidRDefault="00996450">
      <w:pPr>
        <w:spacing w:line="259" w:lineRule="auto"/>
        <w:jc w:val="left"/>
        <w:rPr>
          <w:rFonts w:eastAsiaTheme="majorEastAsia" w:cstheme="majorBidi"/>
          <w:b/>
          <w:sz w:val="32"/>
          <w:szCs w:val="40"/>
        </w:rPr>
      </w:pPr>
      <w:bookmarkStart w:id="0" w:name="_Toc204831440"/>
      <w:r>
        <w:br w:type="page"/>
      </w:r>
    </w:p>
    <w:p w14:paraId="1B954534" w14:textId="3C4F5DF0" w:rsidR="00D75494" w:rsidRPr="009C0D00" w:rsidRDefault="00D75494" w:rsidP="00D75494">
      <w:pPr>
        <w:pStyle w:val="Heading1"/>
      </w:pPr>
      <w:r w:rsidRPr="009C0D00">
        <w:lastRenderedPageBreak/>
        <w:t>CHAPTER 4 – Findings and Discussion</w:t>
      </w:r>
      <w:bookmarkEnd w:id="0"/>
    </w:p>
    <w:p w14:paraId="488CA432" w14:textId="0AF32FF7" w:rsidR="00D75494" w:rsidRPr="009C0D00" w:rsidRDefault="00D75494" w:rsidP="00D75494">
      <w:pPr>
        <w:pStyle w:val="Heading2"/>
      </w:pPr>
      <w:bookmarkStart w:id="1" w:name="_Toc204831441"/>
      <w:r w:rsidRPr="009C0D00">
        <w:t>4.1 – Introduction</w:t>
      </w:r>
      <w:bookmarkEnd w:id="1"/>
    </w:p>
    <w:p w14:paraId="384690CE" w14:textId="591BE630" w:rsidR="00D75494" w:rsidRPr="00D75494" w:rsidRDefault="00D75494" w:rsidP="00D75494">
      <w:r w:rsidRPr="009C0D00">
        <w:t xml:space="preserve">The chapter provides a report of the effectiveness of the community-based dementia support programmes among older adults in the UK through </w:t>
      </w:r>
      <w:r w:rsidR="009A3077" w:rsidRPr="009C0D00">
        <w:t>a</w:t>
      </w:r>
      <w:r w:rsidRPr="009C0D00">
        <w:t xml:space="preserve"> systematic review carried out on it. It is arranged in such a way that the discussion follows the thematic analysis of peer-reviewed and policy-based literature discussions. The purpose is to understand the effects of such programmes on quality of life, cognitive functioning, accessibility and the burden of the caregiver. Validity of the themes will be critically analysed and merged with theoretical perspective, </w:t>
      </w:r>
      <w:r w:rsidR="009A3077" w:rsidRPr="009C0D00">
        <w:t>statistical</w:t>
      </w:r>
      <w:r w:rsidRPr="009C0D00">
        <w:t xml:space="preserve"> information and </w:t>
      </w:r>
      <w:r w:rsidR="009A3077" w:rsidRPr="009C0D00">
        <w:t>UK-based</w:t>
      </w:r>
      <w:r w:rsidRPr="009C0D00">
        <w:t xml:space="preserve"> policy formulations. This chapter starts with an explanation of the thematic analysis process</w:t>
      </w:r>
      <w:r w:rsidR="009A3077" w:rsidRPr="009C0D00">
        <w:t>,</w:t>
      </w:r>
      <w:r w:rsidRPr="009C0D00">
        <w:t xml:space="preserve"> after which each theme is discussed in </w:t>
      </w:r>
      <w:r w:rsidR="009A3077" w:rsidRPr="009C0D00">
        <w:t>detail</w:t>
      </w:r>
      <w:r w:rsidRPr="009C0D00">
        <w:t xml:space="preserve"> will </w:t>
      </w:r>
      <w:r w:rsidR="009A3077" w:rsidRPr="009C0D00">
        <w:t>starting</w:t>
      </w:r>
      <w:r w:rsidRPr="009C0D00">
        <w:t xml:space="preserve"> by looking at quality of life outcomes in in-depth detail.</w:t>
      </w:r>
    </w:p>
    <w:p w14:paraId="2CB6B773" w14:textId="62D06516" w:rsidR="00D75494" w:rsidRPr="009C0D00" w:rsidRDefault="00D75494" w:rsidP="00D75494">
      <w:pPr>
        <w:pStyle w:val="Heading2"/>
      </w:pPr>
      <w:bookmarkStart w:id="2" w:name="_Toc204831442"/>
      <w:r w:rsidRPr="009C0D00">
        <w:t>4.2 – Thematic Analysis</w:t>
      </w:r>
      <w:bookmarkEnd w:id="2"/>
    </w:p>
    <w:p w14:paraId="6DBBBABD" w14:textId="651E7829" w:rsidR="00D75494" w:rsidRPr="00D75494" w:rsidRDefault="00D75494" w:rsidP="00D75494">
      <w:r w:rsidRPr="009C0D00">
        <w:t xml:space="preserve">Thematic analysis refers to a procedure that can be used to identify, analyse and report on patterns or themes in qualitative data. According to Braun and Clarke (2006), it is a flexible instrument that can allow a researcher to decode significant aspects of extensive data by grouping it into relevant subjects. In this research, secondary data referring to journal articles, government papers, and evaluation reports of dementia care were synthesised using thematic analysis. The book used keywords and frequently mentioned concepts in the literature and </w:t>
      </w:r>
      <w:r w:rsidR="009A3077" w:rsidRPr="009C0D00">
        <w:t>organised</w:t>
      </w:r>
      <w:r w:rsidRPr="009C0D00">
        <w:t xml:space="preserve"> them into shared themes. The predominant themes identified were: quality of life, cognitive function, access to services and caregiver burden. The chapter under discussion is devoted to Theme 1</w:t>
      </w:r>
      <w:r w:rsidR="00B83DF9" w:rsidRPr="009C0D00">
        <w:t>:</w:t>
      </w:r>
      <w:r w:rsidRPr="009C0D00">
        <w:t xml:space="preserve"> the topic of </w:t>
      </w:r>
      <w:r w:rsidR="009A3077" w:rsidRPr="009C0D00">
        <w:t>Quality-of-Life</w:t>
      </w:r>
      <w:r w:rsidRPr="009C0D00">
        <w:t xml:space="preserve"> Outcomes.</w:t>
      </w:r>
    </w:p>
    <w:p w14:paraId="6603A715" w14:textId="6DB7BA5D" w:rsidR="009A3077" w:rsidRPr="009C0D00" w:rsidRDefault="00D75494" w:rsidP="009A3077">
      <w:pPr>
        <w:pStyle w:val="Heading2"/>
      </w:pPr>
      <w:bookmarkStart w:id="3" w:name="_Toc204831443"/>
      <w:r w:rsidRPr="009C0D00">
        <w:t>4.3 – Theme 1: Quality of Life Outcomes</w:t>
      </w:r>
      <w:bookmarkEnd w:id="3"/>
    </w:p>
    <w:p w14:paraId="37B763D0" w14:textId="0B9F0B6D" w:rsidR="009A3077" w:rsidRPr="009C0D00" w:rsidRDefault="009A3077" w:rsidP="009A3077">
      <w:r w:rsidRPr="009C0D00">
        <w:t xml:space="preserve">QoL is one of the main concepts in dementia care and may be defined as the </w:t>
      </w:r>
      <w:r w:rsidR="00B83DF9" w:rsidRPr="009C0D00">
        <w:t>well-being</w:t>
      </w:r>
      <w:r w:rsidRPr="009C0D00">
        <w:t xml:space="preserve"> of an individual and includes, among others, physical, psychological, emotional, and social domains (Banerjee et al., 2009). There is also a significant detrimental impact of memory loss, loss of independence and social isolation on QoL of older adults living with dementia. Support programmes based on communities are meant to enhance QoL through meaningful participation, facilitation of everyday living, and sustaining social contact.</w:t>
      </w:r>
    </w:p>
    <w:p w14:paraId="02509414" w14:textId="304A4F64" w:rsidR="009A3077" w:rsidRPr="009C0D00" w:rsidRDefault="009A3077" w:rsidP="009A3077">
      <w:r w:rsidRPr="009C0D00">
        <w:t>In the UK, the care of dementia was institutionally oriented historically, which contributed to isolation and restriction of the autonomy perception (Iliffe et al., 201</w:t>
      </w:r>
      <w:r w:rsidR="00093E4A">
        <w:t>5</w:t>
      </w:r>
      <w:r w:rsidRPr="009C0D00">
        <w:t>). More recently</w:t>
      </w:r>
      <w:r w:rsidR="00B83DF9" w:rsidRPr="009C0D00">
        <w:t>,</w:t>
      </w:r>
      <w:r w:rsidRPr="009C0D00">
        <w:t xml:space="preserve"> things </w:t>
      </w:r>
      <w:r w:rsidR="00B83DF9" w:rsidRPr="009C0D00">
        <w:t xml:space="preserve">have </w:t>
      </w:r>
      <w:r w:rsidR="00B83DF9" w:rsidRPr="009C0D00">
        <w:lastRenderedPageBreak/>
        <w:t>shifted</w:t>
      </w:r>
      <w:r w:rsidRPr="009C0D00">
        <w:t xml:space="preserve"> toward the idea of taking </w:t>
      </w:r>
      <w:r w:rsidR="00B83DF9" w:rsidRPr="009C0D00">
        <w:t>a person-centred, community-based approach</w:t>
      </w:r>
      <w:r w:rsidRPr="009C0D00">
        <w:t xml:space="preserve">. Other programmes like the dementia cafes, memory groups, befriending services and day centres have been identified to be alternative programmes </w:t>
      </w:r>
      <w:r w:rsidR="00B83DF9" w:rsidRPr="009C0D00">
        <w:t>to</w:t>
      </w:r>
      <w:r w:rsidRPr="009C0D00">
        <w:t xml:space="preserve"> facilitate inclusion and dignity. The shift complies with the directions provided in </w:t>
      </w:r>
      <w:r w:rsidR="00B83DF9" w:rsidRPr="009C0D00">
        <w:t xml:space="preserve">the </w:t>
      </w:r>
      <w:r w:rsidRPr="009C0D00">
        <w:t>NHS Long Term Plan (2019), which promotes a community-based integrated care system that takes care of people with complex needs, including dementia.</w:t>
      </w:r>
    </w:p>
    <w:p w14:paraId="7D9AB6A9" w14:textId="7072A28B" w:rsidR="009A3077" w:rsidRPr="009C0D00" w:rsidRDefault="009A3077" w:rsidP="009A3077">
      <w:r w:rsidRPr="009C0D00">
        <w:t xml:space="preserve">QoL became one of the main variables of assessing programme effectiveness </w:t>
      </w:r>
      <w:r w:rsidR="00B83DF9" w:rsidRPr="009C0D00">
        <w:t>concerning</w:t>
      </w:r>
      <w:r w:rsidRPr="009C0D00">
        <w:t xml:space="preserve"> the research question. Most of the reviewed studies</w:t>
      </w:r>
      <w:r w:rsidR="00B83DF9" w:rsidRPr="009C0D00">
        <w:t>,</w:t>
      </w:r>
      <w:r w:rsidRPr="009C0D00">
        <w:t xml:space="preserve"> which focused on the emotional </w:t>
      </w:r>
      <w:r w:rsidR="00B83DF9" w:rsidRPr="009C0D00">
        <w:t>well-being</w:t>
      </w:r>
      <w:r w:rsidRPr="009C0D00">
        <w:t>, communication and confidence</w:t>
      </w:r>
      <w:r w:rsidR="00B83DF9" w:rsidRPr="009C0D00">
        <w:t>,</w:t>
      </w:r>
      <w:r w:rsidRPr="009C0D00">
        <w:t xml:space="preserve"> showed improvements among the patients who were engaged in the structured community activities. To illustrate, Evans et al. (2020) discovered that frequent attendance in the social group adapted to dementia resulted in loneliness/depressive symptoms among individuals aged 70+. On the same note, </w:t>
      </w:r>
      <w:r w:rsidR="00292C02">
        <w:t>Warrick</w:t>
      </w:r>
      <w:r w:rsidRPr="009C0D00">
        <w:t xml:space="preserve"> et al. (201</w:t>
      </w:r>
      <w:r w:rsidR="00292C02">
        <w:t>8</w:t>
      </w:r>
      <w:r w:rsidRPr="009C0D00">
        <w:t>) concluded that in a study to assess the effects of community-based cognitive stimulation therapy (CST) in older adults, the treatment group showed improved mood and self-esteem when carers were involved in the sessions.</w:t>
      </w:r>
    </w:p>
    <w:p w14:paraId="4A4F9FB5" w14:textId="24714065" w:rsidR="009A3077" w:rsidRPr="009C0D00" w:rsidRDefault="009A3077" w:rsidP="009A3077">
      <w:r w:rsidRPr="009C0D00">
        <w:t xml:space="preserve">The </w:t>
      </w:r>
      <w:r w:rsidR="00B83DF9" w:rsidRPr="009C0D00">
        <w:t>Quality-of-Life Alzheimer’s</w:t>
      </w:r>
      <w:r w:rsidRPr="009C0D00">
        <w:t xml:space="preserve"> Disease (QoL-AD) scale was a common quantitative measurement to determine changes before and after intervention. There were statistically significant results in interpersonal relationships, emotional </w:t>
      </w:r>
      <w:r w:rsidR="00B83DF9" w:rsidRPr="009C0D00">
        <w:t>well-being</w:t>
      </w:r>
      <w:r w:rsidRPr="009C0D00">
        <w:t xml:space="preserve"> and sense of purpose. According to </w:t>
      </w:r>
      <w:r w:rsidR="003B7571" w:rsidRPr="003B7571">
        <w:t>Backhouse</w:t>
      </w:r>
      <w:r w:rsidRPr="009C0D00">
        <w:t xml:space="preserve"> et al. (20</w:t>
      </w:r>
      <w:r w:rsidR="003B7571">
        <w:t>17</w:t>
      </w:r>
      <w:r w:rsidRPr="009C0D00">
        <w:t xml:space="preserve">), the participants in community-based interventions performed higher (with </w:t>
      </w:r>
      <w:r w:rsidR="00B83DF9" w:rsidRPr="009C0D00">
        <w:t>a 20%-point</w:t>
      </w:r>
      <w:r w:rsidRPr="009C0D00">
        <w:t xml:space="preserve"> increase) than those receiving standard care only in terms of QoL-AD outcomes in a comparative analysis. But the outcomes changed with </w:t>
      </w:r>
      <w:r w:rsidR="00B83DF9" w:rsidRPr="009C0D00">
        <w:t>the frequency</w:t>
      </w:r>
      <w:r w:rsidRPr="009C0D00">
        <w:t xml:space="preserve"> and duration of involvement, with the short or irregular programmes having little to no effect.</w:t>
      </w:r>
    </w:p>
    <w:p w14:paraId="2CCA5F42" w14:textId="0534E28F" w:rsidR="009A3077" w:rsidRPr="009C0D00" w:rsidRDefault="009A3077" w:rsidP="009A3077">
      <w:r w:rsidRPr="009C0D00">
        <w:t xml:space="preserve">Theoretically speaking, the Social Model of Disability applies here. It redefines dementia as not only a medical phenomenon but also a social experience </w:t>
      </w:r>
      <w:r w:rsidR="00B83DF9" w:rsidRPr="009C0D00">
        <w:t>characterised</w:t>
      </w:r>
      <w:r w:rsidRPr="009C0D00">
        <w:t xml:space="preserve"> by, among other things, lack of support, stigma, and exclusion (Shakespeare et al., 2019). Strength-based community programmes that empower and decrease stigma help to increase the quality of life because they help in focusing on the positives and </w:t>
      </w:r>
      <w:r w:rsidR="00B83DF9" w:rsidRPr="009C0D00">
        <w:t>abilities</w:t>
      </w:r>
      <w:r w:rsidRPr="009C0D00">
        <w:t xml:space="preserve"> instead of focusing on deficits. It is backed up by the theory of personhood in dementia care developed by </w:t>
      </w:r>
      <w:proofErr w:type="spellStart"/>
      <w:r w:rsidRPr="009C0D00">
        <w:t>Kitwood</w:t>
      </w:r>
      <w:proofErr w:type="spellEnd"/>
      <w:r w:rsidRPr="009C0D00">
        <w:t xml:space="preserve"> (1997) that defines respect, dignity and meaningful interaction as key aspects of looking after the well-being of individuals with dementia.</w:t>
      </w:r>
    </w:p>
    <w:p w14:paraId="44F7B572" w14:textId="5FC67E6E" w:rsidR="009A3077" w:rsidRPr="009C0D00" w:rsidRDefault="009A3077" w:rsidP="009A3077">
      <w:r w:rsidRPr="009C0D00">
        <w:t xml:space="preserve">The UK policies are also a contributory factor to the results of a programme. Community initiatives that take into consideration that enhanced QoL delays the requirement of residential care have also been funded by the Dementia Action Plan for England 20162020 and the local strategies </w:t>
      </w:r>
      <w:r w:rsidRPr="009C0D00">
        <w:lastRenderedPageBreak/>
        <w:t>(e.g. Manchester Dementia Strategy). Nevertheless, it is not applied consistently throughout the country</w:t>
      </w:r>
      <w:r w:rsidR="00B83DF9" w:rsidRPr="009C0D00">
        <w:t>,</w:t>
      </w:r>
      <w:r w:rsidRPr="009C0D00">
        <w:t xml:space="preserve"> and in the distant or low-income ones, access is restricted. It becomes a problem of inequity in QoL outcomes and an indication that programmes have </w:t>
      </w:r>
      <w:r w:rsidR="00B83DF9" w:rsidRPr="009C0D00">
        <w:t>efficacy</w:t>
      </w:r>
      <w:r w:rsidRPr="009C0D00">
        <w:t xml:space="preserve">, but their coverage to such a </w:t>
      </w:r>
      <w:r w:rsidR="00B83DF9" w:rsidRPr="009C0D00">
        <w:t>demographic need</w:t>
      </w:r>
      <w:r w:rsidRPr="009C0D00">
        <w:t xml:space="preserve"> to be increased.</w:t>
      </w:r>
    </w:p>
    <w:p w14:paraId="777A8BB3" w14:textId="7E278CA1" w:rsidR="009A3077" w:rsidRPr="009C0D00" w:rsidRDefault="009A3077" w:rsidP="009A3077">
      <w:r w:rsidRPr="009C0D00">
        <w:t>This theme affects things negatively and positively. On the other hand, community-based support improves mental health, development of independence, and lessens the necessity of clinical attention. It is also compatible with ageing in place</w:t>
      </w:r>
      <w:r w:rsidR="00B83DF9" w:rsidRPr="009C0D00">
        <w:t>,</w:t>
      </w:r>
      <w:r w:rsidRPr="009C0D00">
        <w:t xml:space="preserve"> </w:t>
      </w:r>
      <w:r w:rsidR="00B83DF9" w:rsidRPr="009C0D00">
        <w:t>which</w:t>
      </w:r>
      <w:r w:rsidRPr="009C0D00">
        <w:t xml:space="preserve"> suits the preference of many older adults. The negative impact is that there is always the question of sustainability. Most programmes either run on temporary financing, have volunteers or insufficient human resources, which compromises continuity and consistency of care (Backhouse et al., 2016).</w:t>
      </w:r>
    </w:p>
    <w:p w14:paraId="5AB62138" w14:textId="4FCDFB9C" w:rsidR="009A3077" w:rsidRPr="009C0D00" w:rsidRDefault="009A3077" w:rsidP="009A3077">
      <w:r w:rsidRPr="009C0D00">
        <w:t xml:space="preserve">A good example is </w:t>
      </w:r>
      <w:r w:rsidR="00B83DF9" w:rsidRPr="009C0D00">
        <w:t xml:space="preserve">the </w:t>
      </w:r>
      <w:r w:rsidRPr="009C0D00">
        <w:t xml:space="preserve">Dementia Day Centre presented by Age UK in South London that provides a </w:t>
      </w:r>
      <w:r w:rsidR="00B83DF9" w:rsidRPr="009C0D00">
        <w:t>well-organised</w:t>
      </w:r>
      <w:r w:rsidRPr="009C0D00">
        <w:t xml:space="preserve"> series of physical training, music therapy, and </w:t>
      </w:r>
      <w:r w:rsidR="00B83DF9" w:rsidRPr="009C0D00">
        <w:t>reminiscence</w:t>
      </w:r>
      <w:r w:rsidRPr="009C0D00">
        <w:t xml:space="preserve"> activities. Participants provided </w:t>
      </w:r>
      <w:r w:rsidR="00B83DF9" w:rsidRPr="009C0D00">
        <w:t>feedback</w:t>
      </w:r>
      <w:r w:rsidRPr="009C0D00">
        <w:t xml:space="preserve"> that reflected an improved mood, increased social interaction and identity. The programme has</w:t>
      </w:r>
      <w:r w:rsidR="00B83DF9" w:rsidRPr="009C0D00">
        <w:t>,</w:t>
      </w:r>
      <w:r w:rsidRPr="009C0D00">
        <w:t xml:space="preserve"> however</w:t>
      </w:r>
      <w:r w:rsidR="00B83DF9" w:rsidRPr="009C0D00">
        <w:t>,</w:t>
      </w:r>
      <w:r w:rsidRPr="009C0D00">
        <w:t xml:space="preserve"> been closed down due to withdrawal of funds</w:t>
      </w:r>
      <w:r w:rsidR="00B83DF9" w:rsidRPr="009C0D00">
        <w:t>,</w:t>
      </w:r>
      <w:r w:rsidRPr="009C0D00">
        <w:t xml:space="preserve"> which serves to explain the vulnerability of even a successful programme.</w:t>
      </w:r>
    </w:p>
    <w:p w14:paraId="69BAD075" w14:textId="33F707B4" w:rsidR="009A3077" w:rsidRPr="009C0D00" w:rsidRDefault="009A3077" w:rsidP="009A3077">
      <w:r w:rsidRPr="009C0D00">
        <w:t xml:space="preserve">This theme is also gripped </w:t>
      </w:r>
      <w:r w:rsidR="00B83DF9" w:rsidRPr="009C0D00">
        <w:t>by</w:t>
      </w:r>
      <w:r w:rsidRPr="009C0D00">
        <w:t xml:space="preserve"> others. Better QoL has the potential to decrease the burden on the caregivers since less emotional pressure will be experienced and more satisfaction with the care process will be achieved. Similarly, the accessibility (to transport, location, and cost) can be a determinant </w:t>
      </w:r>
      <w:r w:rsidR="00B83DF9" w:rsidRPr="009C0D00">
        <w:t>of</w:t>
      </w:r>
      <w:r w:rsidRPr="009C0D00">
        <w:t xml:space="preserve"> who receives the benefits of these improvements to their quality of life. By doing it, QoL becomes both an end and a mediator of other themes, that is, it is critically important in the assessment of effectiveness.</w:t>
      </w:r>
    </w:p>
    <w:p w14:paraId="255FE0CB" w14:textId="6F860DB1" w:rsidR="00D75494" w:rsidRPr="00D75494" w:rsidRDefault="009A3077" w:rsidP="00D75494">
      <w:r w:rsidRPr="009C0D00">
        <w:t>To summarise, community-based dementia support programmes have beneficial impacts on the quality of life among elderly people living in the UK. Such advantages find firm theoretical foundations and policy objectives, but obstacles to advancement come to light. The future will be important about ensuring that there is equitable access and that it is sustainable</w:t>
      </w:r>
      <w:r w:rsidR="00B83DF9" w:rsidRPr="009C0D00">
        <w:t>,</w:t>
      </w:r>
      <w:r w:rsidRPr="009C0D00">
        <w:t xml:space="preserve"> with the idea of maximising impact.</w:t>
      </w:r>
    </w:p>
    <w:p w14:paraId="6A3F84D7" w14:textId="77777777" w:rsidR="00D75494" w:rsidRPr="009C0D00" w:rsidRDefault="00D75494" w:rsidP="00B83DF9">
      <w:pPr>
        <w:pStyle w:val="Heading2"/>
      </w:pPr>
      <w:bookmarkStart w:id="4" w:name="_Toc204831444"/>
      <w:r w:rsidRPr="009C0D00">
        <w:t>4.4 – Theme 2: Cognitive Function Outcomes</w:t>
      </w:r>
      <w:bookmarkEnd w:id="4"/>
    </w:p>
    <w:p w14:paraId="1C133DD0" w14:textId="539FED47" w:rsidR="00B549FA" w:rsidRPr="009C0D00" w:rsidRDefault="00B549FA" w:rsidP="00B549FA">
      <w:r w:rsidRPr="009C0D00">
        <w:t xml:space="preserve">Cognitive refers to the mental capacity of an individual to execute certain mental processes such as memory, attention, language, problem-solving and executive functions. Cognitive decline in the case of dementia is the most distinctive characteristic that directly influences independence </w:t>
      </w:r>
      <w:r w:rsidRPr="009C0D00">
        <w:lastRenderedPageBreak/>
        <w:t>and everyday activities of people. As a result, the design and the provision of effective dementia support services centres on interventions which favour or sustain cognitive ability.</w:t>
      </w:r>
    </w:p>
    <w:p w14:paraId="41F6B9E1" w14:textId="17717D83" w:rsidR="00B549FA" w:rsidRPr="009C0D00" w:rsidRDefault="00B549FA" w:rsidP="00B549FA">
      <w:r w:rsidRPr="009C0D00">
        <w:t>Historically, dementia care has been primarily focused on decline management instead of cognitive resilience. But this has seen a reprieve toward allowing the older adults to maintain cognitive abilities with a well-organised and evidence-based course of action, particularly in the community. Non-pharmacological means like Cognitive Stimulation Therapy (CST), reminiscence therapy and music interventions to boost mental participation and postpone decline have all been formulated (Spector et al., 2003). Such interventions are increasingly used in community support programmes in the UK and are highly advised in NICE guidelines (2018), to be part of a holistic approach to dementia care.</w:t>
      </w:r>
    </w:p>
    <w:p w14:paraId="5C365511" w14:textId="2FE28ECF" w:rsidR="00B549FA" w:rsidRPr="009C0D00" w:rsidRDefault="00B549FA" w:rsidP="00B549FA">
      <w:r w:rsidRPr="009C0D00">
        <w:t>In direct response to the research question, the cognitive outcome is an important symptom of the success of the community-based programme. There is a lot of research that substantiates the notion that regular engagement in cognitive enrichment activities helps in retarding the rate of cognitive deterioration. On the one hand, a significant sample study by Woods et al. (2012) estimated the effects of group-based CST and took place in 14 sessions. Findings showed a significant change in memory, language and hemispheric orientation in community residents with mild and moderate dementia. These are of special importance to people over 65, who tend to prefer non-institutional and enjoy well-organised social and mental activities.</w:t>
      </w:r>
    </w:p>
    <w:p w14:paraId="29134087" w14:textId="7DD06EDE" w:rsidR="00B549FA" w:rsidRPr="009C0D00" w:rsidRDefault="00B549FA" w:rsidP="00B549FA">
      <w:r w:rsidRPr="009C0D00">
        <w:t xml:space="preserve">These facts are strengthened by statistical data. According to Orrell et al. (2017), CST participants increased, on average, 1.2 points on the Mini-Mental State Examination (MMSE) compared with a control group that showed no cognitive benefits. Although small, they are significant </w:t>
      </w:r>
      <w:r w:rsidR="00295E27" w:rsidRPr="009C0D00">
        <w:t>in</w:t>
      </w:r>
      <w:r w:rsidRPr="009C0D00">
        <w:t xml:space="preserve"> a degenerative condition. Moreover, individuals usually report raised self-confidence and alertness after therapy, which </w:t>
      </w:r>
      <w:r w:rsidR="00295E27" w:rsidRPr="009C0D00">
        <w:t>is demonstrated</w:t>
      </w:r>
      <w:r w:rsidRPr="009C0D00">
        <w:t xml:space="preserve"> clinically and subjectively.</w:t>
      </w:r>
    </w:p>
    <w:p w14:paraId="15D0108B" w14:textId="3069E90E" w:rsidR="00B549FA" w:rsidRPr="009C0D00" w:rsidRDefault="00B549FA" w:rsidP="00B549FA">
      <w:r w:rsidRPr="009C0D00">
        <w:t>Theoretically, the findings can be explained with the Social Cognitive Theory (1986) by Bandura. According to the theory, learning takes place via social interaction, observation, and self-efficacy. Within CST or memory groups, subjects do cognition-challenging tasks but are encouraged and given feedback, which promotes neural stimulation and motivation. Community-based cognitive interventions are also naturally in line with this theory in their interactive nature.</w:t>
      </w:r>
    </w:p>
    <w:p w14:paraId="1E544916" w14:textId="6B2D74C0" w:rsidR="00B549FA" w:rsidRPr="009C0D00" w:rsidRDefault="00B549FA" w:rsidP="00B549FA">
      <w:r w:rsidRPr="009C0D00">
        <w:t xml:space="preserve">In addition, neuroplasticity theory could help to understand that it is possible to stimulate the brain, developing a new neural structure even in old age. Dementia disrupts this process, but repetition of mental behaviours may prevent the loss of cognitive reserves and slowdown (Park </w:t>
      </w:r>
      <w:r w:rsidR="005F1735">
        <w:t>and</w:t>
      </w:r>
      <w:r w:rsidRPr="009C0D00">
        <w:t xml:space="preserve"> Reuter-</w:t>
      </w:r>
      <w:r w:rsidRPr="009C0D00">
        <w:lastRenderedPageBreak/>
        <w:t>Lorenz, 2009). This neuroplastic process is facilitated by community-based interventions that produce safe, stimulating environments.</w:t>
      </w:r>
    </w:p>
    <w:p w14:paraId="52CC0AE4" w14:textId="4FBD4994" w:rsidR="00B549FA" w:rsidRPr="009C0D00" w:rsidRDefault="00B549FA" w:rsidP="00B549FA">
      <w:r w:rsidRPr="009C0D00">
        <w:t>The UK policy further cements the effectiveness of cognitive programmes. The Prime Minister Challenge on Dementia 2020 focused on evidence-based support services that keep the head healthy. Grants and advice were provided to community-based organisations that provided CST and other well-structured activities. However, on a national scale, the application has been improper in various regions, especially rural or disadvantaged regions (</w:t>
      </w:r>
      <w:r w:rsidR="00AD0CA0" w:rsidRPr="00AD0CA0">
        <w:t>Watson</w:t>
      </w:r>
      <w:r w:rsidR="00AD0CA0">
        <w:t xml:space="preserve"> et al.</w:t>
      </w:r>
      <w:r w:rsidRPr="009C0D00">
        <w:t>, 202</w:t>
      </w:r>
      <w:r w:rsidR="00AD0CA0">
        <w:t>1</w:t>
      </w:r>
      <w:r w:rsidRPr="009C0D00">
        <w:t>). This inconsistency reduces the generalisability of findings and on equality of access to cognitive support services.</w:t>
      </w:r>
    </w:p>
    <w:p w14:paraId="13BBC507" w14:textId="522AEBDC" w:rsidR="00B549FA" w:rsidRPr="009C0D00" w:rsidRDefault="00B549FA" w:rsidP="00B549FA">
      <w:r w:rsidRPr="009C0D00">
        <w:t>The downsides and upsides to this are to be noted. Positively, there is evidence that community-based cognitive intervention enhances improvement of mental functioning, independence and provides an economical alternative to the pharmaceutical intervention method (</w:t>
      </w:r>
      <w:proofErr w:type="spellStart"/>
      <w:r w:rsidRPr="009C0D00">
        <w:t>Mioshi</w:t>
      </w:r>
      <w:proofErr w:type="spellEnd"/>
      <w:r w:rsidRPr="009C0D00">
        <w:t xml:space="preserve"> et al., 201</w:t>
      </w:r>
      <w:r w:rsidR="00292C02">
        <w:t>3</w:t>
      </w:r>
      <w:r w:rsidRPr="009C0D00">
        <w:t>). These programmes reduce healthcare burden as well, and they may also postpone the need to be under residential care. Better communication and orientation are of particular value to families and also lead to better relations with other people.</w:t>
      </w:r>
    </w:p>
    <w:p w14:paraId="1200CEC9" w14:textId="0A7CD1B2" w:rsidR="00B549FA" w:rsidRPr="009C0D00" w:rsidRDefault="00B549FA" w:rsidP="00B549FA">
      <w:r w:rsidRPr="009C0D00">
        <w:t>On the darker side of the coin, the success of cognitive interventions is frequently linked to consistency and duration. A brief involvement or ill ill-designed program is likely to show minimal outcomes. But in addition, certain studies have established that the cognitive benefits gained during CST are lost with time when not repeated (</w:t>
      </w:r>
      <w:proofErr w:type="spellStart"/>
      <w:r w:rsidRPr="009C0D00">
        <w:t>Lobbia</w:t>
      </w:r>
      <w:proofErr w:type="spellEnd"/>
      <w:r w:rsidRPr="009C0D00">
        <w:t xml:space="preserve"> et al., 2019). This indicates the importance of follow-up and long-term programming, which is hard to achieve with insufficient staff and funding.</w:t>
      </w:r>
    </w:p>
    <w:p w14:paraId="44943F26" w14:textId="37142580" w:rsidR="00B549FA" w:rsidRPr="009C0D00" w:rsidRDefault="00B549FA" w:rsidP="00B549FA">
      <w:r w:rsidRPr="009C0D00">
        <w:t>An example is the 'Memory Matters' programme in Cornwall that has been providing community-based CST to older generation patients in various centres there. The response shows intense cognitive stimulation, with the offspring and carers expressing improved recall and daily orientation. But the transportation barriers and unavailability in more rural locations have been used as a factor of failure in the failure of the programme.</w:t>
      </w:r>
    </w:p>
    <w:p w14:paraId="7E91B46B" w14:textId="2DAED226" w:rsidR="00B549FA" w:rsidRPr="009C0D00" w:rsidRDefault="00B549FA" w:rsidP="00B549FA">
      <w:r w:rsidRPr="009C0D00">
        <w:t>The second case is that of the Yorkshire and Humber dementia network, which had piloted a project of multi-sensory cognitive stimulation in community halls. There was an improvement in naming skills and fluency of language. Nevertheless, facilitators indicated that group size, experience of facilitators, and comfort of the participants with the environment were critical to successful outcomes (McDermott et al., 201</w:t>
      </w:r>
      <w:r w:rsidR="00916D3F">
        <w:t>9</w:t>
      </w:r>
      <w:r w:rsidRPr="009C0D00">
        <w:t>). These observations highlight the significance of the context factors on cognitive outcomes.</w:t>
      </w:r>
    </w:p>
    <w:p w14:paraId="026A4195" w14:textId="03E3F6FE" w:rsidR="00B549FA" w:rsidRPr="009C0D00" w:rsidRDefault="00B549FA" w:rsidP="00B549FA">
      <w:r w:rsidRPr="009C0D00">
        <w:lastRenderedPageBreak/>
        <w:t>Other themes that closely relate to cognitive in this dissertation include quality of life and caregiver burden. When mental functioning improves, the boost of independence that follows is a plus in terms of self-esteem and lower depressive symptoms. At the same time, carers feel less stress when their relatives become more attentive and active. That is why cognitive outcomes perform the role of a mediating factor between personal health and family well-being.</w:t>
      </w:r>
    </w:p>
    <w:p w14:paraId="3932F07A" w14:textId="68DEE32A" w:rsidR="00B549FA" w:rsidRPr="009C0D00" w:rsidRDefault="00B549FA" w:rsidP="00B549FA">
      <w:r w:rsidRPr="009C0D00">
        <w:t>In brief, it is seen that community-based dementia support programmes have the potential to have favourable effects on cognitive outcomes of older adults. All of these programmes are backed by theory, policy, quantifiable data and addressed to the needs of individuals who want to be able to age in place and with dignity. To be maximally effective, service rendering should, however, be uniform, self-sustaining, and available in various locations in the UK.</w:t>
      </w:r>
    </w:p>
    <w:p w14:paraId="1B9D7706" w14:textId="6A9AB4DE" w:rsidR="00367372" w:rsidRPr="009C0D00" w:rsidRDefault="00D75494" w:rsidP="00367372">
      <w:pPr>
        <w:pStyle w:val="Heading2"/>
      </w:pPr>
      <w:bookmarkStart w:id="5" w:name="_Toc204831445"/>
      <w:r w:rsidRPr="009C0D00">
        <w:t>4.5 – Theme 3: Caregiver Burden</w:t>
      </w:r>
      <w:bookmarkEnd w:id="5"/>
    </w:p>
    <w:p w14:paraId="2B7DEBE3" w14:textId="5C43E389" w:rsidR="00367372" w:rsidRPr="009C0D00" w:rsidRDefault="00367372" w:rsidP="00367372">
      <w:r w:rsidRPr="009C0D00">
        <w:t>Caregiver burden can be described as the emotional, physical, financial, and or psychological tension facing the person caring someone with a long-term disease like dementia. It includes not only the objective burden of delivering care-time, effort and duties as well as changes in subjective feelings of stress, guilt and fatigue (Zarit</w:t>
      </w:r>
      <w:r w:rsidR="00295E27" w:rsidRPr="009C0D00">
        <w:t xml:space="preserve"> et al.</w:t>
      </w:r>
      <w:r w:rsidRPr="009C0D00">
        <w:t>, 1980). In total, the burden can be attributed to behavioural symptoms, loss of communication and dependency of care recipients in dementia care.</w:t>
      </w:r>
    </w:p>
    <w:p w14:paraId="5F397B7D" w14:textId="0E05552A" w:rsidR="00367372" w:rsidRPr="009C0D00" w:rsidRDefault="00367372" w:rsidP="00367372">
      <w:r w:rsidRPr="009C0D00">
        <w:t>Historically, thus, the dementia care system in the UK has been traditionally focused on the informal caregivers (who are generally family members) that offer most of its support to the dementia sick at home. According to the report on unpaid care prepared by the Carers UK (2021), the number of savings to the UK economy per year that unpaid carers provide to it is estimated to be PS193 billion. This is however usually at caution to the care giver as many care givers report poor health, feeling isolated, and financially constrained. Another solution to this burden has been the community-based support programmes, which provide relief, training, skills, peer, and social support to the persons receiving care.</w:t>
      </w:r>
    </w:p>
    <w:p w14:paraId="1E1FA29D" w14:textId="7DA0F3D0" w:rsidR="00367372" w:rsidRPr="009C0D00" w:rsidRDefault="00367372" w:rsidP="00367372">
      <w:r w:rsidRPr="009C0D00">
        <w:t xml:space="preserve">This theme is core to the dissertation since the research objective is the assessment on the effectiveness of community-based dementia programmes. These services lessen caregiver stress, which is important to the success of the entire care model and allows older adults to stay in the community longer. The effects of these programmes to the wellbeing of caregivers </w:t>
      </w:r>
      <w:proofErr w:type="gramStart"/>
      <w:r w:rsidRPr="009C0D00">
        <w:t>is</w:t>
      </w:r>
      <w:proofErr w:type="gramEnd"/>
      <w:r w:rsidRPr="009C0D00">
        <w:t xml:space="preserve"> thus a vital indicator of successfulness.</w:t>
      </w:r>
    </w:p>
    <w:p w14:paraId="3B71C7EE" w14:textId="083C77A4" w:rsidR="00367372" w:rsidRPr="009C0D00" w:rsidRDefault="00367372" w:rsidP="00367372">
      <w:r w:rsidRPr="009C0D00">
        <w:lastRenderedPageBreak/>
        <w:t xml:space="preserve">Statistics have revealed that 70% of dementia caregivers in the UK state that they are exhausted by their duties and 60% of them state that they do not have time to devote to themselves (Alzheimer's Research UK, 2023). Nevertheless, involved caregivers in structured programs of community support, including Admiral Nurse services or dementia day centres, experience better emotional wellbeing and less stress (Whelan et al., 2020). A study involving carers who engaged </w:t>
      </w:r>
      <w:r w:rsidR="00295E27" w:rsidRPr="009C0D00">
        <w:t>in</w:t>
      </w:r>
      <w:r w:rsidRPr="009C0D00">
        <w:t xml:space="preserve"> a </w:t>
      </w:r>
      <w:r w:rsidR="00295E27" w:rsidRPr="009C0D00">
        <w:t>three-month</w:t>
      </w:r>
      <w:r w:rsidRPr="009C0D00">
        <w:t xml:space="preserve"> program of weekly support group visits and their care recipients saw 40 </w:t>
      </w:r>
      <w:r w:rsidR="00295E27" w:rsidRPr="009C0D00">
        <w:t>per cent</w:t>
      </w:r>
      <w:r w:rsidRPr="009C0D00">
        <w:t xml:space="preserve"> </w:t>
      </w:r>
      <w:r w:rsidR="00295E27" w:rsidRPr="009C0D00">
        <w:t>fewer</w:t>
      </w:r>
      <w:r w:rsidRPr="009C0D00">
        <w:t xml:space="preserve"> depressive symptoms in carers (</w:t>
      </w:r>
      <w:proofErr w:type="spellStart"/>
      <w:r w:rsidRPr="009C0D00">
        <w:t>Lwi</w:t>
      </w:r>
      <w:proofErr w:type="spellEnd"/>
      <w:r w:rsidRPr="009C0D00">
        <w:t xml:space="preserve"> et al., 202</w:t>
      </w:r>
      <w:r w:rsidR="006B3E6C">
        <w:t>3</w:t>
      </w:r>
      <w:r w:rsidRPr="009C0D00">
        <w:t>).</w:t>
      </w:r>
    </w:p>
    <w:p w14:paraId="52ADA45F" w14:textId="4D6391F9" w:rsidR="00367372" w:rsidRPr="009C0D00" w:rsidRDefault="00367372" w:rsidP="00367372">
      <w:r w:rsidRPr="009C0D00">
        <w:t>Caregiver Burden is explained theoretically through the Stress Process Model</w:t>
      </w:r>
      <w:r w:rsidR="00295E27" w:rsidRPr="009C0D00">
        <w:t>,</w:t>
      </w:r>
      <w:r w:rsidRPr="009C0D00">
        <w:t xml:space="preserve"> which was developed by </w:t>
      </w:r>
      <w:proofErr w:type="spellStart"/>
      <w:r w:rsidRPr="009C0D00">
        <w:t>Pearlin</w:t>
      </w:r>
      <w:proofErr w:type="spellEnd"/>
      <w:r w:rsidRPr="009C0D00">
        <w:t xml:space="preserve"> et al. (1990). According to this model, the strain experienced by the caregivers is a consequence of an accumulation of stressors (both primary, such as direct care demands, and secondary, such as role conflict) and the strain can be mediated by effective coping resources (e.g. social or formal services). Globally, community programmes offering planned respite and peer support can serve as such coping resources and are therefore vital towards coping with </w:t>
      </w:r>
      <w:r w:rsidR="00295E27" w:rsidRPr="009C0D00">
        <w:t>the long-term</w:t>
      </w:r>
      <w:r w:rsidRPr="009C0D00">
        <w:t xml:space="preserve"> burden.</w:t>
      </w:r>
    </w:p>
    <w:p w14:paraId="71D2CE09" w14:textId="647E5885" w:rsidR="00367372" w:rsidRPr="009C0D00" w:rsidRDefault="00367372" w:rsidP="00367372">
      <w:r w:rsidRPr="009C0D00">
        <w:t xml:space="preserve">The needs of dementia caregivers have gained attention </w:t>
      </w:r>
      <w:r w:rsidR="00295E27" w:rsidRPr="009C0D00">
        <w:t>through</w:t>
      </w:r>
      <w:r w:rsidRPr="009C0D00">
        <w:t xml:space="preserve"> policy developments in the recent past. The Care Act 2014 imposes a legal obligation on local authorities in England to conduct needs </w:t>
      </w:r>
      <w:r w:rsidR="00295E27" w:rsidRPr="009C0D00">
        <w:t>assessments</w:t>
      </w:r>
      <w:r w:rsidRPr="009C0D00">
        <w:t xml:space="preserve"> on carers and give them support. To this effect, the </w:t>
      </w:r>
      <w:r w:rsidR="00295E27" w:rsidRPr="009C0D00">
        <w:t>localisation</w:t>
      </w:r>
      <w:r w:rsidRPr="009C0D00">
        <w:t xml:space="preserve"> of the Dementia Carers Count initiative and integrated care models in Scotland and Wales </w:t>
      </w:r>
      <w:r w:rsidR="00295E27" w:rsidRPr="009C0D00">
        <w:t>has</w:t>
      </w:r>
      <w:r w:rsidRPr="009C0D00">
        <w:t xml:space="preserve"> improved access to carer training and counselling opportunities. Most carers are not informed of or do not avail these services even when they are willing to due to poor signposts, poor hours and red tape (</w:t>
      </w:r>
      <w:r w:rsidR="00916D3F">
        <w:t>Giebel</w:t>
      </w:r>
      <w:r w:rsidRPr="009C0D00">
        <w:t xml:space="preserve"> et al., 2021).</w:t>
      </w:r>
    </w:p>
    <w:p w14:paraId="43758315" w14:textId="64BE9B87" w:rsidR="00367372" w:rsidRPr="009C0D00" w:rsidRDefault="00367372" w:rsidP="00367372">
      <w:r w:rsidRPr="009C0D00">
        <w:t xml:space="preserve">The advantages of community-based support are positive because it increases the resilience of the caregivers and reduces </w:t>
      </w:r>
      <w:r w:rsidR="00295E27" w:rsidRPr="009C0D00">
        <w:t>the rehospitalisation</w:t>
      </w:r>
      <w:r w:rsidRPr="009C0D00">
        <w:t xml:space="preserve"> of individuals with dementia. The carers can also deal with stress and sustain their role as long-term caregiver because of their involvement in support groups and respite activities. Additionally, shared interventions (i.e., the carers and care recipients pursue an identical activity), may help with understanding and communication, improving their relationship (</w:t>
      </w:r>
      <w:r w:rsidR="00D94267" w:rsidRPr="00D94267">
        <w:t>Zhao</w:t>
      </w:r>
      <w:r w:rsidRPr="009C0D00">
        <w:t xml:space="preserve"> et al., 2022).</w:t>
      </w:r>
    </w:p>
    <w:p w14:paraId="46B1E088" w14:textId="708DF456" w:rsidR="00367372" w:rsidRPr="009C0D00" w:rsidRDefault="00367372" w:rsidP="00367372">
      <w:r w:rsidRPr="009C0D00">
        <w:t>Other difficulties, however, remain. The services are not equally distributed throughout the UK</w:t>
      </w:r>
      <w:r w:rsidR="00295E27" w:rsidRPr="009C0D00">
        <w:t>,</w:t>
      </w:r>
      <w:r w:rsidRPr="009C0D00">
        <w:t xml:space="preserve"> and the urban areas easily find themselves with better provision than the rural areas. Moreover, due to cultural and linguistic constraints, the minority ethnic carers might fail to obtain appropriate services. Caregivers may even avoid community services depending on stigma, hesitation, or the feeling of personal responsibilities shaped in them (</w:t>
      </w:r>
      <w:r w:rsidR="00292C02" w:rsidRPr="00292C02">
        <w:t>Parveen</w:t>
      </w:r>
      <w:r w:rsidR="00292C02">
        <w:t xml:space="preserve"> </w:t>
      </w:r>
      <w:r w:rsidR="005F1735">
        <w:t>and</w:t>
      </w:r>
      <w:r w:rsidR="00292C02" w:rsidRPr="00292C02">
        <w:t xml:space="preserve"> </w:t>
      </w:r>
      <w:proofErr w:type="spellStart"/>
      <w:r w:rsidR="00292C02" w:rsidRPr="00292C02">
        <w:t>Oyebode</w:t>
      </w:r>
      <w:proofErr w:type="spellEnd"/>
      <w:r w:rsidR="00292C02" w:rsidRPr="00292C02">
        <w:t>, 2018</w:t>
      </w:r>
      <w:r w:rsidRPr="009C0D00">
        <w:t>).</w:t>
      </w:r>
    </w:p>
    <w:p w14:paraId="595DECC6" w14:textId="0F1DE1AB" w:rsidR="00367372" w:rsidRPr="009C0D00" w:rsidRDefault="00367372" w:rsidP="00367372">
      <w:r w:rsidRPr="009C0D00">
        <w:lastRenderedPageBreak/>
        <w:t xml:space="preserve">A dramatic one is the Dementia Carers Hub, which helps Jewish Care manage in North London, with support groups, counselling, and educational meetings. Assessments reveal </w:t>
      </w:r>
      <w:r w:rsidR="00295E27" w:rsidRPr="009C0D00">
        <w:t xml:space="preserve">an </w:t>
      </w:r>
      <w:r w:rsidRPr="009C0D00">
        <w:t xml:space="preserve">intensive decrease </w:t>
      </w:r>
      <w:r w:rsidR="00295E27" w:rsidRPr="009C0D00">
        <w:t>in</w:t>
      </w:r>
      <w:r w:rsidRPr="009C0D00">
        <w:t xml:space="preserve"> caregiver distress and increased community feeling among subjects. Nonetheless, such services are not available in a great deal of other areas</w:t>
      </w:r>
      <w:r w:rsidR="00295E27" w:rsidRPr="009C0D00">
        <w:t>,</w:t>
      </w:r>
      <w:r w:rsidRPr="009C0D00">
        <w:t xml:space="preserve"> indicating a postcode lottery of access.</w:t>
      </w:r>
    </w:p>
    <w:p w14:paraId="5F691355" w14:textId="328FEDF7" w:rsidR="00367372" w:rsidRPr="009C0D00" w:rsidRDefault="00367372" w:rsidP="00367372">
      <w:r w:rsidRPr="009C0D00">
        <w:t xml:space="preserve">Caregiver burden is also a theme that cuts across the other themes of this chapter. As an example, the positive effect of community programmes on cognitive functioning or the quality of </w:t>
      </w:r>
      <w:r w:rsidR="00295E27" w:rsidRPr="009C0D00">
        <w:t>life</w:t>
      </w:r>
      <w:r w:rsidRPr="009C0D00">
        <w:t xml:space="preserve"> of the people indirectly relieves the burden on the caregivers. On the other hand, caregiver pressure amplifies when there is behavioural decline among care recipients, or there is a bad performance of programmes. In this way, the </w:t>
      </w:r>
      <w:r w:rsidR="00295E27" w:rsidRPr="009C0D00">
        <w:t>caregiver's</w:t>
      </w:r>
      <w:r w:rsidRPr="009C0D00">
        <w:t xml:space="preserve"> </w:t>
      </w:r>
      <w:r w:rsidR="00295E27" w:rsidRPr="009C0D00">
        <w:t>well-being</w:t>
      </w:r>
      <w:r w:rsidRPr="009C0D00">
        <w:t xml:space="preserve"> is a result of a well-thought-out dementia support and a condition of its sustainability.</w:t>
      </w:r>
    </w:p>
    <w:p w14:paraId="3F51BCE3" w14:textId="0BEBBD85" w:rsidR="00D75494" w:rsidRPr="00D75494" w:rsidRDefault="00367372" w:rsidP="00367372">
      <w:r w:rsidRPr="009C0D00">
        <w:t xml:space="preserve">To sum up, caregiver burden is one of the </w:t>
      </w:r>
      <w:r w:rsidR="008C428D" w:rsidRPr="009C0D00">
        <w:t>determinants</w:t>
      </w:r>
      <w:r w:rsidRPr="009C0D00">
        <w:t xml:space="preserve"> of the success of community-based dementia support. Educational, respite and peer support programmes are reported to reduce stress emotions and physical stress. But there should be more equal access</w:t>
      </w:r>
      <w:r w:rsidR="00295E27" w:rsidRPr="009C0D00">
        <w:t>,</w:t>
      </w:r>
      <w:r w:rsidRPr="009C0D00">
        <w:t xml:space="preserve"> and systematic obstacles should be rectified so that help is provided to all carers in the UK in the same way.</w:t>
      </w:r>
    </w:p>
    <w:p w14:paraId="56B74FAE" w14:textId="4B62616B" w:rsidR="00AF1D34" w:rsidRPr="009C0D00" w:rsidRDefault="008C428D" w:rsidP="00AF1D34">
      <w:pPr>
        <w:pStyle w:val="Heading2"/>
      </w:pPr>
      <w:bookmarkStart w:id="6" w:name="_Toc204831446"/>
      <w:r w:rsidRPr="009C0D00">
        <w:t>4.6 – Theme 4: Access and Equity of Service Provision</w:t>
      </w:r>
      <w:bookmarkEnd w:id="6"/>
    </w:p>
    <w:p w14:paraId="1B2B09B3" w14:textId="2CD29A27" w:rsidR="00AF1D34" w:rsidRPr="009C0D00" w:rsidRDefault="00AF1D34" w:rsidP="00AF1D34">
      <w:r w:rsidRPr="009C0D00">
        <w:t xml:space="preserve">Equitable access to support services is one of the most important and enduring issues </w:t>
      </w:r>
      <w:r w:rsidR="00295E27" w:rsidRPr="009C0D00">
        <w:t>about</w:t>
      </w:r>
      <w:r w:rsidRPr="009C0D00">
        <w:t xml:space="preserve"> community-based dementia care. Access and equity of services means the accessibility, inclusiveness and equality of dementia services to everyone irrespective of geography, socioeconomic</w:t>
      </w:r>
      <w:r w:rsidR="00295E27" w:rsidRPr="009C0D00">
        <w:t xml:space="preserve"> status</w:t>
      </w:r>
      <w:r w:rsidRPr="009C0D00">
        <w:t>, ethnicity, and culture. Equitable access is vital to the attainment of health and social care standards in the setting of the UK and its culturally and ageing population. Nevertheless, there are inequities in the provision that influence the capability of older adults with dementia and their caregivers to access the community-based interventions.</w:t>
      </w:r>
    </w:p>
    <w:p w14:paraId="2A10AB8B" w14:textId="4C633BC8" w:rsidR="00AF1D34" w:rsidRPr="009C0D00" w:rsidRDefault="00AF1D34" w:rsidP="00AF1D34">
      <w:r w:rsidRPr="009C0D00">
        <w:t xml:space="preserve">Traditionally, dementia services in the UK have evolved out of a series of local approaches, usually prompted by voluntary organisations and health authorities. This decentralised type has </w:t>
      </w:r>
      <w:r w:rsidR="00295E27" w:rsidRPr="009C0D00">
        <w:t>led</w:t>
      </w:r>
      <w:r w:rsidRPr="009C0D00">
        <w:t xml:space="preserve"> to large regional differences</w:t>
      </w:r>
      <w:r w:rsidR="00295E27" w:rsidRPr="009C0D00">
        <w:t>,</w:t>
      </w:r>
      <w:r w:rsidRPr="009C0D00">
        <w:t xml:space="preserve"> which are frequently termed as a postcode lottery</w:t>
      </w:r>
      <w:r w:rsidR="00295E27" w:rsidRPr="009C0D00">
        <w:t>,</w:t>
      </w:r>
      <w:r w:rsidRPr="009C0D00">
        <w:t xml:space="preserve"> where the quality of the delivery of the service is dependent on the budgets or priorities of local councils. Such disparities impinge mainly on the residents of rural locations, with a lack of transport solutions, personnel availability, or geographic seclusion limiting access to day centres or cognitive therapies (Innes et al., 2014). Ethnic minorities </w:t>
      </w:r>
      <w:r w:rsidR="00295E27" w:rsidRPr="009C0D00">
        <w:t>also</w:t>
      </w:r>
      <w:r w:rsidRPr="009C0D00">
        <w:t xml:space="preserve"> encounter cultural and language barriers to access to mainstream services, which are frequently impeded by stigma or failure to design services in culturally adequate ways.</w:t>
      </w:r>
    </w:p>
    <w:p w14:paraId="5D06F5E0" w14:textId="1E397420" w:rsidR="00AF1D34" w:rsidRPr="009C0D00" w:rsidRDefault="00AF1D34" w:rsidP="00AF1D34">
      <w:r w:rsidRPr="009C0D00">
        <w:lastRenderedPageBreak/>
        <w:t>This is the key theme of the research question, since the success of community-based dementia care depends on its coverage and comprehensiveness. A programme can have good results</w:t>
      </w:r>
      <w:r w:rsidR="00295E27" w:rsidRPr="009C0D00">
        <w:t>,</w:t>
      </w:r>
      <w:r w:rsidRPr="009C0D00">
        <w:t xml:space="preserve"> but it is rendered less important when there is uneven access. Providing discrepancies </w:t>
      </w:r>
      <w:r w:rsidR="00295E27" w:rsidRPr="009C0D00">
        <w:t>undermines</w:t>
      </w:r>
      <w:r w:rsidRPr="009C0D00">
        <w:t xml:space="preserve"> the real-life relevance of interventions and </w:t>
      </w:r>
      <w:r w:rsidR="00295E27" w:rsidRPr="009C0D00">
        <w:t>adds</w:t>
      </w:r>
      <w:r w:rsidRPr="009C0D00">
        <w:t xml:space="preserve"> to overall health disparities among elderly people.</w:t>
      </w:r>
    </w:p>
    <w:p w14:paraId="58369FA0" w14:textId="52425F24" w:rsidR="00AF1D34" w:rsidRPr="009C0D00" w:rsidRDefault="00AF1D34" w:rsidP="00AF1D34">
      <w:r w:rsidRPr="009C0D00">
        <w:t xml:space="preserve">According to the data provided by </w:t>
      </w:r>
      <w:r w:rsidR="00295E27" w:rsidRPr="009C0D00">
        <w:t>Alzheimer's</w:t>
      </w:r>
      <w:r w:rsidRPr="009C0D00">
        <w:t xml:space="preserve"> Society (2022), approximately one-fourth of the individuals with dementia in the UK do not have access to collective community services. Moreover, rural people are 30 </w:t>
      </w:r>
      <w:r w:rsidR="00295E27" w:rsidRPr="009C0D00">
        <w:t>per cent</w:t>
      </w:r>
      <w:r w:rsidRPr="009C0D00">
        <w:t xml:space="preserve"> less </w:t>
      </w:r>
      <w:r w:rsidR="00295E27" w:rsidRPr="009C0D00">
        <w:t>likely</w:t>
      </w:r>
      <w:r w:rsidRPr="009C0D00">
        <w:t xml:space="preserve"> to visit dementia-related services than urban people. Although national policies support it, including a promise in the NHS Long Term Plan (2019) to enable people to live well at home for longer, there has so far been little uptake. This tends to lead to duplication of services in certain areas and under-provision in others</w:t>
      </w:r>
      <w:r w:rsidR="00295E27" w:rsidRPr="009C0D00">
        <w:t>,</w:t>
      </w:r>
      <w:r w:rsidRPr="009C0D00">
        <w:t xml:space="preserve"> undermining the national plans.</w:t>
      </w:r>
    </w:p>
    <w:p w14:paraId="262A5367" w14:textId="66DDDCCE" w:rsidR="00AF1D34" w:rsidRPr="009C0D00" w:rsidRDefault="00AF1D34" w:rsidP="00AF1D34">
      <w:r w:rsidRPr="009C0D00">
        <w:t>It is possible to describe how access issues work at various levels</w:t>
      </w:r>
      <w:r w:rsidR="00295E27" w:rsidRPr="009C0D00">
        <w:t>,</w:t>
      </w:r>
      <w:r w:rsidRPr="009C0D00">
        <w:t xml:space="preserve"> ranging </w:t>
      </w:r>
      <w:r w:rsidR="00295E27" w:rsidRPr="009C0D00">
        <w:t>from</w:t>
      </w:r>
      <w:r w:rsidRPr="009C0D00">
        <w:t xml:space="preserve"> personal stigma to resource improvidence in society</w:t>
      </w:r>
      <w:r w:rsidR="00295E27" w:rsidRPr="009C0D00">
        <w:t>,</w:t>
      </w:r>
      <w:r w:rsidRPr="009C0D00">
        <w:t xml:space="preserve"> using the Social Ecological Model (Bronfenbrenner, 1979). On the personal level, the elderly population might not be aware of the services in place, or they may avoid </w:t>
      </w:r>
      <w:r w:rsidR="00295E27" w:rsidRPr="009C0D00">
        <w:t>help</w:t>
      </w:r>
      <w:r w:rsidRPr="009C0D00">
        <w:t xml:space="preserve"> because of impaired cognition. The families might be confused </w:t>
      </w:r>
      <w:r w:rsidR="00295E27" w:rsidRPr="009C0D00">
        <w:t>about</w:t>
      </w:r>
      <w:r w:rsidRPr="009C0D00">
        <w:t xml:space="preserve"> the entitlements or service pathways. Structurally, an inclusive</w:t>
      </w:r>
      <w:r w:rsidR="00295E27" w:rsidRPr="009C0D00">
        <w:t>,</w:t>
      </w:r>
      <w:r w:rsidRPr="009C0D00">
        <w:t xml:space="preserve"> well-coordinated development of support systems is hindered by budget constraints and organisational silos.</w:t>
      </w:r>
    </w:p>
    <w:p w14:paraId="4AA4266D" w14:textId="61CCCF19" w:rsidR="00AF1D34" w:rsidRPr="009C0D00" w:rsidRDefault="00AF1D34" w:rsidP="00AF1D34">
      <w:r w:rsidRPr="009C0D00">
        <w:t xml:space="preserve">Although the UK has instituted legal frameworks to enhance equity, including the Equality Act 2010 and Care Act 2014, it is commonly inconsistently applied. Though these acts enforce non-discriminative, inclusive services and well-being promotion, in reality, the service patterns often lack cultural sensitivity and plasticity (Moriarty </w:t>
      </w:r>
      <w:r w:rsidR="005F1735">
        <w:t>and</w:t>
      </w:r>
      <w:r w:rsidRPr="009C0D00">
        <w:t xml:space="preserve"> </w:t>
      </w:r>
      <w:proofErr w:type="spellStart"/>
      <w:r w:rsidRPr="009C0D00">
        <w:t>Manthorpe</w:t>
      </w:r>
      <w:proofErr w:type="spellEnd"/>
      <w:r w:rsidRPr="009C0D00">
        <w:t xml:space="preserve">, 2019). It is still a common tendency of a </w:t>
      </w:r>
      <w:r w:rsidR="00295E27" w:rsidRPr="009C0D00">
        <w:t>one-size-fits-all</w:t>
      </w:r>
      <w:r w:rsidRPr="009C0D00">
        <w:t xml:space="preserve"> approach, excluding people </w:t>
      </w:r>
      <w:r w:rsidR="00295E27" w:rsidRPr="009C0D00">
        <w:t>who</w:t>
      </w:r>
      <w:r w:rsidRPr="009C0D00">
        <w:t xml:space="preserve"> are underrepresented and not responding to locally relevant needs.</w:t>
      </w:r>
    </w:p>
    <w:p w14:paraId="6C851BAC" w14:textId="40996BF5" w:rsidR="00AF1D34" w:rsidRPr="009C0D00" w:rsidRDefault="00AF1D34" w:rsidP="00AF1D34">
      <w:r w:rsidRPr="009C0D00">
        <w:t>Some positive changes are in the forecast. The issue of access has gained attention, which has stimulated service delivery innovation. Mobile dementia support units, electronic materials, and culturally adjusted memory cafes are just a few examples. Such alternatives were critical to the continuity of service in the case of the COVID-19 pandemic. Nevertheless, the use of the digital divide and poor infrastructure is still limiting their use, particularly among elderly individuals that are low in digital literacy.</w:t>
      </w:r>
    </w:p>
    <w:p w14:paraId="5360C8BE" w14:textId="1B5695D7" w:rsidR="00AF1D34" w:rsidRPr="009C0D00" w:rsidRDefault="00AF1D34" w:rsidP="00AF1D34">
      <w:r w:rsidRPr="009C0D00">
        <w:t xml:space="preserve">The possibilities of consensus service models are presented by real-life projects. In Yorkshire, </w:t>
      </w:r>
      <w:r w:rsidR="00295E27" w:rsidRPr="009C0D00">
        <w:t xml:space="preserve">the </w:t>
      </w:r>
      <w:r w:rsidRPr="009C0D00">
        <w:t xml:space="preserve">Dementia Friendly Rural Communities project initiated the use of mobile support vans and </w:t>
      </w:r>
      <w:r w:rsidR="00295E27" w:rsidRPr="009C0D00">
        <w:t>trained</w:t>
      </w:r>
      <w:r w:rsidRPr="009C0D00">
        <w:t xml:space="preserve"> communities about volunteering, which enhanced the early stage of diagnosis and </w:t>
      </w:r>
      <w:r w:rsidRPr="009C0D00">
        <w:lastRenderedPageBreak/>
        <w:t xml:space="preserve">involvement of villages (Keady et al., 2012). But, in the case of such programmes, it is hard to maintain even after funding with a limited amount of money. In the same story, </w:t>
      </w:r>
      <w:r w:rsidR="00295E27" w:rsidRPr="009C0D00">
        <w:t xml:space="preserve">the </w:t>
      </w:r>
      <w:r w:rsidRPr="009C0D00">
        <w:t xml:space="preserve">South Asian Dementia Caf in Leicester served culturally appropriate services and support in </w:t>
      </w:r>
      <w:r w:rsidR="00295E27" w:rsidRPr="009C0D00">
        <w:t xml:space="preserve">the </w:t>
      </w:r>
      <w:r w:rsidRPr="009C0D00">
        <w:t xml:space="preserve">language, which helped to reach </w:t>
      </w:r>
      <w:r w:rsidR="00295E27" w:rsidRPr="009C0D00">
        <w:t xml:space="preserve">the </w:t>
      </w:r>
      <w:r w:rsidRPr="009C0D00">
        <w:t>older population in the minority community. However, it was considerably dependent on voluntary staffing and community champions, which triggered questions about its long-lasting nature.</w:t>
      </w:r>
    </w:p>
    <w:p w14:paraId="4301FDA3" w14:textId="76E4BE9B" w:rsidR="00AF1D34" w:rsidRPr="009C0D00" w:rsidRDefault="00AF1D34" w:rsidP="00AF1D34">
      <w:r w:rsidRPr="009C0D00">
        <w:t>Access and equity are closely connected with other themes of the present dissertation. To cite one example, lack of access to cognitive stimulation therapy erodes cognitive outcome gain. In cases where they are unable to access the services of respite or training programs, the burden will be on caregivers. There is also a lack of quality of life as people are not included in community programmes that foster independence and social contact. Therefore, equitable provision is not a single problem</w:t>
      </w:r>
      <w:r w:rsidR="00295E27" w:rsidRPr="009C0D00">
        <w:t>,</w:t>
      </w:r>
      <w:r w:rsidRPr="009C0D00">
        <w:t xml:space="preserve"> as it is an underlying pillar to the success of every dementia support intervention.</w:t>
      </w:r>
    </w:p>
    <w:p w14:paraId="4275F536" w14:textId="3DCFA345" w:rsidR="008C428D" w:rsidRPr="009C0D00" w:rsidRDefault="00AF1D34" w:rsidP="00AF1D34">
      <w:r w:rsidRPr="009C0D00">
        <w:t xml:space="preserve">To sum up, access to and equity of community-based dementia care </w:t>
      </w:r>
      <w:r w:rsidR="00295E27" w:rsidRPr="009C0D00">
        <w:t>are</w:t>
      </w:r>
      <w:r w:rsidRPr="009C0D00">
        <w:t xml:space="preserve"> essential but </w:t>
      </w:r>
      <w:r w:rsidR="00295E27" w:rsidRPr="009C0D00">
        <w:t>are</w:t>
      </w:r>
      <w:r w:rsidRPr="009C0D00">
        <w:t xml:space="preserve"> not uniformly realised in the UK. Most countries have national policies that give </w:t>
      </w:r>
      <w:r w:rsidR="00295E27" w:rsidRPr="009C0D00">
        <w:t>guidelines</w:t>
      </w:r>
      <w:r w:rsidRPr="009C0D00">
        <w:t xml:space="preserve"> on inclusive care, but implementation is greatly different. Such gaps will need to </w:t>
      </w:r>
      <w:r w:rsidR="00295E27" w:rsidRPr="009C0D00">
        <w:t>utilise</w:t>
      </w:r>
      <w:r w:rsidRPr="009C0D00">
        <w:t xml:space="preserve"> more specific funding, </w:t>
      </w:r>
      <w:r w:rsidR="00295E27" w:rsidRPr="009C0D00">
        <w:t>culturally sensitive</w:t>
      </w:r>
      <w:r w:rsidRPr="009C0D00">
        <w:t xml:space="preserve"> service </w:t>
      </w:r>
      <w:r w:rsidR="00295E27" w:rsidRPr="009C0D00">
        <w:t>design</w:t>
      </w:r>
      <w:r w:rsidRPr="009C0D00">
        <w:t>, and a sterner policy on equity requirements. It is by such undertakings that the fruits of community-based dementia support can be fully distributed and all older adults (irrespective of background and geographical location) can enjoy the kind of support they require.</w:t>
      </w:r>
    </w:p>
    <w:p w14:paraId="72148F97" w14:textId="161EE4FE" w:rsidR="00D75494" w:rsidRPr="00D75494" w:rsidRDefault="00D75494" w:rsidP="00367372">
      <w:pPr>
        <w:pStyle w:val="Heading2"/>
      </w:pPr>
      <w:bookmarkStart w:id="7" w:name="_Toc204831447"/>
      <w:r w:rsidRPr="009C0D00">
        <w:t>4.</w:t>
      </w:r>
      <w:r w:rsidR="008C428D" w:rsidRPr="009C0D00">
        <w:t>7</w:t>
      </w:r>
      <w:r w:rsidRPr="009C0D00">
        <w:t xml:space="preserve"> – Chapter Conclusion</w:t>
      </w:r>
      <w:bookmarkEnd w:id="7"/>
    </w:p>
    <w:p w14:paraId="27639EFB" w14:textId="3076E258" w:rsidR="00367372" w:rsidRPr="009C0D00" w:rsidRDefault="00367372" w:rsidP="00367372">
      <w:r w:rsidRPr="009C0D00">
        <w:t xml:space="preserve">This chapter has discussed the results of the systematic review along three central themes, which are quality of life outcome, cognitive function and caregiver burden. Thematic analysis also demonstrated that community-based dementia support programmes are a huge advantage to older adults and their caregivers as long as they are delivered properly. Such advantages incorporate improved </w:t>
      </w:r>
      <w:r w:rsidR="008C428D" w:rsidRPr="009C0D00">
        <w:t>well-being</w:t>
      </w:r>
      <w:r w:rsidRPr="009C0D00">
        <w:t xml:space="preserve">, mental coherence, emotional stability, and social connection. Some challenges, which are exemplified by </w:t>
      </w:r>
      <w:r w:rsidR="008C428D" w:rsidRPr="009C0D00">
        <w:t>funding</w:t>
      </w:r>
      <w:r w:rsidRPr="009C0D00">
        <w:t xml:space="preserve"> </w:t>
      </w:r>
      <w:r w:rsidR="00295E27" w:rsidRPr="009C0D00">
        <w:t>restrictions</w:t>
      </w:r>
      <w:r w:rsidRPr="009C0D00">
        <w:t>, regional disparity, and dissimilarity in the sensitivity to the services, were also noted in the review.</w:t>
      </w:r>
    </w:p>
    <w:p w14:paraId="52BF39D0" w14:textId="39866153" w:rsidR="00367372" w:rsidRPr="009C0D00" w:rsidRDefault="00367372" w:rsidP="00367372">
      <w:r w:rsidRPr="009C0D00">
        <w:t>All the themes were considered in the prism of applicable theories, backed up with the UK policy and examples of practice. This interrelatedness of the themes implies that it is possible to enhance some of the areas and</w:t>
      </w:r>
      <w:r w:rsidR="00295E27" w:rsidRPr="009C0D00">
        <w:t>,</w:t>
      </w:r>
      <w:r w:rsidRPr="009C0D00">
        <w:t xml:space="preserve"> as a result</w:t>
      </w:r>
      <w:r w:rsidR="00295E27" w:rsidRPr="009C0D00">
        <w:t>,</w:t>
      </w:r>
      <w:r w:rsidRPr="009C0D00">
        <w:t xml:space="preserve"> </w:t>
      </w:r>
      <w:r w:rsidR="00295E27" w:rsidRPr="009C0D00">
        <w:t xml:space="preserve">positively </w:t>
      </w:r>
      <w:r w:rsidRPr="009C0D00">
        <w:t xml:space="preserve">impact the others. Indicatively, in </w:t>
      </w:r>
      <w:r w:rsidR="00295E27" w:rsidRPr="009C0D00">
        <w:t xml:space="preserve">the </w:t>
      </w:r>
      <w:r w:rsidRPr="009C0D00">
        <w:t xml:space="preserve">case of cognitive health, quality of life and wellbeing among </w:t>
      </w:r>
      <w:r w:rsidR="00295E27" w:rsidRPr="009C0D00">
        <w:t>caregivers</w:t>
      </w:r>
      <w:r w:rsidRPr="009C0D00">
        <w:t xml:space="preserve"> </w:t>
      </w:r>
      <w:r w:rsidR="00295E27" w:rsidRPr="009C0D00">
        <w:t>are</w:t>
      </w:r>
      <w:r w:rsidRPr="009C0D00">
        <w:t xml:space="preserve"> enhanced.</w:t>
      </w:r>
    </w:p>
    <w:p w14:paraId="0D19AFB1" w14:textId="24D0AC65" w:rsidR="00367372" w:rsidRDefault="00367372" w:rsidP="00367372">
      <w:r w:rsidRPr="009C0D00">
        <w:lastRenderedPageBreak/>
        <w:t xml:space="preserve">The next chapter will present a review of the literature in terms of its critical analysis and the comparison of the practice in the UK and other approaches used globally. It will </w:t>
      </w:r>
      <w:r w:rsidR="00295E27" w:rsidRPr="009C0D00">
        <w:t>analyse</w:t>
      </w:r>
      <w:r w:rsidRPr="009C0D00">
        <w:t xml:space="preserve"> the lapses in the existing service provision and give suggestions </w:t>
      </w:r>
      <w:r w:rsidR="00295E27" w:rsidRPr="009C0D00">
        <w:t>for</w:t>
      </w:r>
      <w:r w:rsidRPr="009C0D00">
        <w:t xml:space="preserve"> a strategic approach to enhance community-based support of dementia provision </w:t>
      </w:r>
      <w:r w:rsidR="00295E27" w:rsidRPr="009C0D00">
        <w:t>at</w:t>
      </w:r>
      <w:r w:rsidRPr="009C0D00">
        <w:t xml:space="preserve"> the national level.</w:t>
      </w:r>
    </w:p>
    <w:p w14:paraId="7723D265" w14:textId="77777777" w:rsidR="00433F8B" w:rsidRDefault="00433F8B" w:rsidP="00367372"/>
    <w:p w14:paraId="4878AEBC" w14:textId="77777777" w:rsidR="00433F8B" w:rsidRDefault="00433F8B" w:rsidP="00367372"/>
    <w:p w14:paraId="571988A9" w14:textId="77777777" w:rsidR="00433F8B" w:rsidRDefault="00433F8B" w:rsidP="00367372"/>
    <w:p w14:paraId="7AD109CA" w14:textId="77777777" w:rsidR="00433F8B" w:rsidRDefault="00433F8B" w:rsidP="00367372"/>
    <w:p w14:paraId="71C5FF66" w14:textId="77777777" w:rsidR="00433F8B" w:rsidRDefault="00433F8B" w:rsidP="00367372"/>
    <w:p w14:paraId="3531BB48" w14:textId="77777777" w:rsidR="00433F8B" w:rsidRDefault="00433F8B" w:rsidP="00367372"/>
    <w:p w14:paraId="20B5570A" w14:textId="77777777" w:rsidR="00433F8B" w:rsidRDefault="00433F8B" w:rsidP="00367372"/>
    <w:p w14:paraId="65C9DF71" w14:textId="77777777" w:rsidR="00433F8B" w:rsidRDefault="00433F8B" w:rsidP="00367372"/>
    <w:p w14:paraId="3B46084A" w14:textId="77777777" w:rsidR="00433F8B" w:rsidRDefault="00433F8B" w:rsidP="00367372"/>
    <w:p w14:paraId="3334675A" w14:textId="77777777" w:rsidR="00433F8B" w:rsidRDefault="00433F8B" w:rsidP="00367372"/>
    <w:p w14:paraId="1584A609" w14:textId="77777777" w:rsidR="00433F8B" w:rsidRDefault="00433F8B" w:rsidP="00367372"/>
    <w:p w14:paraId="35C28066" w14:textId="77777777" w:rsidR="00433F8B" w:rsidRDefault="00433F8B" w:rsidP="00367372"/>
    <w:p w14:paraId="70CF2FAB" w14:textId="77777777" w:rsidR="00433F8B" w:rsidRDefault="00433F8B" w:rsidP="00367372"/>
    <w:p w14:paraId="4D6E5DC2" w14:textId="77777777" w:rsidR="00433F8B" w:rsidRDefault="00433F8B" w:rsidP="00367372"/>
    <w:p w14:paraId="5BDC93E6" w14:textId="77777777" w:rsidR="00433F8B" w:rsidRDefault="00433F8B" w:rsidP="00367372"/>
    <w:p w14:paraId="27F761A2" w14:textId="77777777" w:rsidR="00433F8B" w:rsidRDefault="00433F8B" w:rsidP="00367372"/>
    <w:p w14:paraId="57E6BE67" w14:textId="77777777" w:rsidR="00433F8B" w:rsidRDefault="00433F8B" w:rsidP="00367372"/>
    <w:p w14:paraId="47B887BE" w14:textId="77777777" w:rsidR="00433F8B" w:rsidRDefault="00433F8B" w:rsidP="00367372"/>
    <w:p w14:paraId="34CF4DE9" w14:textId="77777777" w:rsidR="00433F8B" w:rsidRPr="009C0D00" w:rsidRDefault="00433F8B" w:rsidP="00367372"/>
    <w:p w14:paraId="521E7530" w14:textId="2C0474B3" w:rsidR="005A7DB3" w:rsidRPr="009C0D00" w:rsidRDefault="005A7DB3" w:rsidP="005A7DB3">
      <w:pPr>
        <w:pStyle w:val="Heading1"/>
      </w:pPr>
      <w:bookmarkStart w:id="8" w:name="_Toc204831448"/>
      <w:r w:rsidRPr="009C0D00">
        <w:lastRenderedPageBreak/>
        <w:t>CHAPTER 5 – Conclusion and Recommendations</w:t>
      </w:r>
      <w:bookmarkEnd w:id="8"/>
    </w:p>
    <w:p w14:paraId="6F4D2985" w14:textId="774F957F" w:rsidR="00D75494" w:rsidRPr="009C0D00" w:rsidRDefault="00D75494" w:rsidP="005A7DB3">
      <w:pPr>
        <w:pStyle w:val="Heading2"/>
      </w:pPr>
      <w:bookmarkStart w:id="9" w:name="_Toc204831449"/>
      <w:r w:rsidRPr="009C0D00">
        <w:t>5.1 – Overall Conclusio</w:t>
      </w:r>
      <w:r w:rsidR="00295E27" w:rsidRPr="009C0D00">
        <w:t>n</w:t>
      </w:r>
      <w:bookmarkEnd w:id="9"/>
    </w:p>
    <w:p w14:paraId="79D3A14E" w14:textId="3D431F0A" w:rsidR="00D83162" w:rsidRPr="009C0D00" w:rsidRDefault="00D83162" w:rsidP="00D83162">
      <w:r w:rsidRPr="009C0D00">
        <w:t xml:space="preserve">This dissertation aimed </w:t>
      </w:r>
      <w:r w:rsidR="00295E27" w:rsidRPr="009C0D00">
        <w:t>to conduct</w:t>
      </w:r>
      <w:r w:rsidRPr="009C0D00">
        <w:t xml:space="preserve"> a systematic review with </w:t>
      </w:r>
      <w:r w:rsidR="00295E27" w:rsidRPr="009C0D00">
        <w:t>the</w:t>
      </w:r>
      <w:r w:rsidRPr="009C0D00">
        <w:t xml:space="preserve"> aim of establishing the efficiency of community-based dementia support programmes in the UK among adults </w:t>
      </w:r>
      <w:r w:rsidR="00295E27" w:rsidRPr="009C0D00">
        <w:t>aged</w:t>
      </w:r>
      <w:r w:rsidRPr="009C0D00">
        <w:t xml:space="preserve"> 65 and above. This was with the objective of determining the effects of such programmes on the quality of life and the cognitive ability</w:t>
      </w:r>
      <w:r w:rsidR="00295E27" w:rsidRPr="009C0D00">
        <w:t>,</w:t>
      </w:r>
      <w:r w:rsidRPr="009C0D00">
        <w:t xml:space="preserve"> and the burden </w:t>
      </w:r>
      <w:r w:rsidR="00295E27" w:rsidRPr="009C0D00">
        <w:t>on</w:t>
      </w:r>
      <w:r w:rsidRPr="009C0D00">
        <w:t xml:space="preserve"> caregivers</w:t>
      </w:r>
      <w:r w:rsidR="00295E27" w:rsidRPr="009C0D00">
        <w:t>,</w:t>
      </w:r>
      <w:r w:rsidRPr="009C0D00">
        <w:t xml:space="preserve"> and to determine the best practices in improving the services and in policy development.</w:t>
      </w:r>
    </w:p>
    <w:p w14:paraId="1DB381C0" w14:textId="0647B0B9" w:rsidR="00D83162" w:rsidRPr="009C0D00" w:rsidRDefault="00D83162" w:rsidP="00D83162">
      <w:r w:rsidRPr="009C0D00">
        <w:t xml:space="preserve">The rationale, as specified in Chapter 1, was the growing popularity of dementia in the UK and the necessity of non-institutionalised and person-centred models of care. Chapter 2 examined some literature relevant to the research, which gives the research </w:t>
      </w:r>
      <w:r w:rsidR="00295E27" w:rsidRPr="009C0D00">
        <w:t xml:space="preserve">a </w:t>
      </w:r>
      <w:r w:rsidRPr="009C0D00">
        <w:t>theoretical basis. Chapter 3 briefly described the procedures of collection and analysis of secondary data, which were based mostly on thematic analysis.</w:t>
      </w:r>
    </w:p>
    <w:p w14:paraId="38F3591D" w14:textId="6B230B80" w:rsidR="00D83162" w:rsidRPr="009C0D00" w:rsidRDefault="00295E27" w:rsidP="00D83162">
      <w:r w:rsidRPr="009C0D00">
        <w:t>Chapter</w:t>
      </w:r>
      <w:r w:rsidR="00D83162" w:rsidRPr="009C0D00">
        <w:t xml:space="preserve"> 4 displayed three fundamental themes. First, the situation of quality of life among the participants of the community programmes was greatly </w:t>
      </w:r>
      <w:r w:rsidRPr="009C0D00">
        <w:t>improved</w:t>
      </w:r>
      <w:r w:rsidR="00D83162" w:rsidRPr="009C0D00">
        <w:t xml:space="preserve"> with the help of </w:t>
      </w:r>
      <w:r w:rsidRPr="009C0D00">
        <w:t xml:space="preserve">the </w:t>
      </w:r>
      <w:r w:rsidR="00D83162" w:rsidRPr="009C0D00">
        <w:t xml:space="preserve">community </w:t>
      </w:r>
      <w:r w:rsidRPr="009C0D00">
        <w:t>programmes</w:t>
      </w:r>
      <w:r w:rsidR="00D83162" w:rsidRPr="009C0D00">
        <w:t>. These programmes offered the idea of social inclusion and emotional wellbeing</w:t>
      </w:r>
      <w:r w:rsidRPr="009C0D00">
        <w:t>,</w:t>
      </w:r>
      <w:r w:rsidR="00D83162" w:rsidRPr="009C0D00">
        <w:t xml:space="preserve"> which were improved thanks to the work of community programmes. Second, cognitive performance was maintained by providing interventions such as Cognitive Stimulation Therapy that assisted in reducing the rate of cognitive </w:t>
      </w:r>
      <w:r w:rsidRPr="009C0D00">
        <w:t>decline</w:t>
      </w:r>
      <w:r w:rsidR="00D83162" w:rsidRPr="009C0D00">
        <w:t xml:space="preserve">. Third, respite, training, and peer support were provided to decrease caregiver </w:t>
      </w:r>
      <w:r w:rsidRPr="009C0D00">
        <w:t>burden</w:t>
      </w:r>
      <w:r w:rsidR="00D83162" w:rsidRPr="009C0D00">
        <w:t>.</w:t>
      </w:r>
    </w:p>
    <w:p w14:paraId="6AAE79F6" w14:textId="331FA8AF" w:rsidR="00D83162" w:rsidRPr="009C0D00" w:rsidRDefault="00D83162" w:rsidP="00D83162">
      <w:r w:rsidRPr="009C0D00">
        <w:t>Every research objective has been fulfilled. The presented results reaffirm that community-based support programmes to help people with dementia are effective when organised well, have appropriate funding, and are made widely accessible. Nevertheless, discrepancies in service delivery and availability are debarring. The following are the recommendations that are going to be given to solve these problems and enhance future practice.</w:t>
      </w:r>
    </w:p>
    <w:p w14:paraId="4289B6B2" w14:textId="77777777" w:rsidR="00D83162" w:rsidRPr="009C0D00" w:rsidRDefault="00D83162" w:rsidP="00D83162"/>
    <w:p w14:paraId="0B391BB2" w14:textId="77777777" w:rsidR="00D83162" w:rsidRPr="009C0D00" w:rsidRDefault="00D83162" w:rsidP="00D83162">
      <w:pPr>
        <w:pStyle w:val="Heading2"/>
      </w:pPr>
      <w:bookmarkStart w:id="10" w:name="_Toc204831450"/>
      <w:r w:rsidRPr="009C0D00">
        <w:t>5.2 Recommendations</w:t>
      </w:r>
      <w:bookmarkEnd w:id="10"/>
    </w:p>
    <w:p w14:paraId="28E824A7" w14:textId="77777777" w:rsidR="00D83162" w:rsidRPr="009C0D00" w:rsidRDefault="00D83162" w:rsidP="00D83162">
      <w:pPr>
        <w:rPr>
          <w:b/>
          <w:bCs/>
        </w:rPr>
      </w:pPr>
      <w:r w:rsidRPr="00D75494">
        <w:rPr>
          <w:b/>
          <w:bCs/>
        </w:rPr>
        <w:t>5.2.1 – Recommendation 1: Expand Funding and Sustainable Support for Community-Based Dementia Services</w:t>
      </w:r>
    </w:p>
    <w:p w14:paraId="67728C7B" w14:textId="72D2EE71" w:rsidR="00D83162" w:rsidRPr="009C0D00" w:rsidRDefault="00D83162" w:rsidP="00D83162">
      <w:r w:rsidRPr="009C0D00">
        <w:t xml:space="preserve">Among the findings that were most in harmony throughout this review is that the dementia support programmes that are based at the community level are not very well funded and are evenly </w:t>
      </w:r>
      <w:r w:rsidRPr="009C0D00">
        <w:lastRenderedPageBreak/>
        <w:t xml:space="preserve">dispersed. A lot of them depend on relatively </w:t>
      </w:r>
      <w:r w:rsidR="00295E27" w:rsidRPr="009C0D00">
        <w:t>short-term</w:t>
      </w:r>
      <w:r w:rsidRPr="009C0D00">
        <w:t xml:space="preserve"> grants or donations, which are not a lot sustainable or widely </w:t>
      </w:r>
      <w:r w:rsidR="00295E27" w:rsidRPr="009C0D00">
        <w:t>accessible</w:t>
      </w:r>
      <w:r w:rsidRPr="009C0D00">
        <w:t xml:space="preserve">. It is proposed that the NHS Integrated Care Boards and local authorities should place a priority on long-term and ring-fenced funding </w:t>
      </w:r>
      <w:r w:rsidR="00295E27" w:rsidRPr="009C0D00">
        <w:t>for</w:t>
      </w:r>
      <w:r w:rsidRPr="009C0D00">
        <w:t xml:space="preserve"> dementia services. These also involve funding </w:t>
      </w:r>
      <w:r w:rsidR="00295E27" w:rsidRPr="009C0D00">
        <w:t>for</w:t>
      </w:r>
      <w:r w:rsidRPr="009C0D00">
        <w:t xml:space="preserve"> day centres, memory cafes and Cognitive Stimulation Therapy groups</w:t>
      </w:r>
      <w:r w:rsidR="00295E27" w:rsidRPr="009C0D00">
        <w:t>,</w:t>
      </w:r>
      <w:r w:rsidRPr="009C0D00">
        <w:t xml:space="preserve"> which help the patients as well as their caregivers.</w:t>
      </w:r>
    </w:p>
    <w:p w14:paraId="597F8E95" w14:textId="43DC9531" w:rsidR="00D83162" w:rsidRPr="009C0D00" w:rsidRDefault="00D83162" w:rsidP="00D83162">
      <w:r w:rsidRPr="009C0D00">
        <w:t xml:space="preserve">It would be feasible to create a national dementia fund like the Mental Health Transformation Fund to provide an even implementation across the regions of the UK. The additional investment would also aid the attraction and education of dementia care-skilled facilitators, </w:t>
      </w:r>
      <w:r w:rsidR="00295E27" w:rsidRPr="009C0D00">
        <w:t>who</w:t>
      </w:r>
      <w:r w:rsidRPr="009C0D00">
        <w:t xml:space="preserve"> are associated with improved programme outcomes.</w:t>
      </w:r>
    </w:p>
    <w:p w14:paraId="25D498AD" w14:textId="2D57FEE0" w:rsidR="00D83162" w:rsidRPr="009C0D00" w:rsidRDefault="00D83162" w:rsidP="00D83162">
      <w:r w:rsidRPr="009C0D00">
        <w:rPr>
          <w:b/>
          <w:bCs/>
        </w:rPr>
        <w:t>Barriers and Solutions:</w:t>
      </w:r>
      <w:r w:rsidRPr="009C0D00">
        <w:t xml:space="preserve"> The significant obstacle is that the health and social care budget is limited. Nevertheless, </w:t>
      </w:r>
      <w:r w:rsidR="00295E27" w:rsidRPr="009C0D00">
        <w:t>cost-benefit</w:t>
      </w:r>
      <w:r w:rsidRPr="009C0D00">
        <w:t xml:space="preserve"> analysis indicates that early intervention in a community can help postpone institutionalisation, with a resultant saving in expenditure to the NHS as a whole. The economic models should show the long-term savings that should be presented to policymakers.</w:t>
      </w:r>
    </w:p>
    <w:p w14:paraId="104DE9C3" w14:textId="77777777" w:rsidR="00D83162" w:rsidRPr="009C0D00" w:rsidRDefault="00D83162" w:rsidP="00D83162">
      <w:pPr>
        <w:rPr>
          <w:b/>
          <w:bCs/>
        </w:rPr>
      </w:pPr>
      <w:r w:rsidRPr="00D75494">
        <w:rPr>
          <w:b/>
          <w:bCs/>
        </w:rPr>
        <w:t>5.2.2 – Recommendation 2: Improve Accessibility Through Inclusive, Localised and Mobile Dementia Services</w:t>
      </w:r>
    </w:p>
    <w:p w14:paraId="5FB7695E" w14:textId="578BB6C2" w:rsidR="00D83162" w:rsidRPr="009C0D00" w:rsidRDefault="00D83162" w:rsidP="00D83162">
      <w:r w:rsidRPr="009C0D00">
        <w:t xml:space="preserve">Although the dementia support programmes may be effective, they do not reach </w:t>
      </w:r>
      <w:r w:rsidR="00295E27" w:rsidRPr="009C0D00">
        <w:t>large</w:t>
      </w:r>
      <w:r w:rsidRPr="009C0D00">
        <w:t xml:space="preserve"> proportions of the population, especially people living in rural locations or people representing less-than-strongly-represented communities. They are suggested to decentralise the services and make them local. Geographical barriers might be solved through mobile dementia units, transport partnerships, and interventions based on outreach. Moreover, the majority population should be prepared to translate resources to minority ethnic groups</w:t>
      </w:r>
      <w:r w:rsidR="00295E27" w:rsidRPr="009C0D00">
        <w:t>,</w:t>
      </w:r>
      <w:r w:rsidRPr="009C0D00">
        <w:t xml:space="preserve"> </w:t>
      </w:r>
      <w:r w:rsidR="00295E27" w:rsidRPr="009C0D00">
        <w:t>which</w:t>
      </w:r>
      <w:r w:rsidRPr="009C0D00">
        <w:t xml:space="preserve"> can be achieved through culturally sensitive programming and multilingual staff assistance.</w:t>
      </w:r>
    </w:p>
    <w:p w14:paraId="50E9F939" w14:textId="09E645BD" w:rsidR="00D83162" w:rsidRPr="009C0D00" w:rsidRDefault="00D83162" w:rsidP="00D83162">
      <w:r w:rsidRPr="009C0D00">
        <w:t xml:space="preserve">It is also demonstrated that minority ethnic carers and older adults tend to encounter language </w:t>
      </w:r>
      <w:r w:rsidR="00295E27" w:rsidRPr="009C0D00">
        <w:t>barriers</w:t>
      </w:r>
      <w:r w:rsidRPr="009C0D00">
        <w:t>, stigma/culture, and lack of access to mainstream services. Trust and awareness can be achieved by having community health navigators and dementia champions born in these communities.</w:t>
      </w:r>
    </w:p>
    <w:p w14:paraId="3B0AEDC7" w14:textId="70B05A5B" w:rsidR="00D83162" w:rsidRPr="009C0D00" w:rsidRDefault="00D83162" w:rsidP="00D83162">
      <w:r w:rsidRPr="009C0D00">
        <w:rPr>
          <w:b/>
          <w:bCs/>
        </w:rPr>
        <w:t>Barriers and Solutions:</w:t>
      </w:r>
      <w:r w:rsidRPr="009C0D00">
        <w:t xml:space="preserve"> Significant barriers are workforce constraints and constraints in logistics in rural locations. To ensure this does not happen, the community volunteers may be trained and escorted through adopting models like </w:t>
      </w:r>
      <w:r w:rsidR="005F1735" w:rsidRPr="009C0D00">
        <w:t>Time Banking</w:t>
      </w:r>
      <w:r w:rsidRPr="009C0D00">
        <w:t xml:space="preserve"> or community co-production. Online </w:t>
      </w:r>
      <w:r w:rsidRPr="009C0D00">
        <w:lastRenderedPageBreak/>
        <w:t>provision of support, including virtual CST and access to online support groups, may also provide intermediate access until face-to-face programmes become available.</w:t>
      </w:r>
    </w:p>
    <w:p w14:paraId="2642B09F" w14:textId="15CD0EB1" w:rsidR="00D83162" w:rsidRPr="009C0D00" w:rsidRDefault="00D83162" w:rsidP="00D83162">
      <w:pPr>
        <w:rPr>
          <w:b/>
          <w:bCs/>
        </w:rPr>
      </w:pPr>
      <w:r w:rsidRPr="00D75494">
        <w:rPr>
          <w:b/>
          <w:bCs/>
        </w:rPr>
        <w:t>5.2.3 – Recommendation 3: Integrate Carer Support as a Core Element of Dementia Services</w:t>
      </w:r>
    </w:p>
    <w:p w14:paraId="7F1212E2" w14:textId="19D7DB27" w:rsidR="00D83162" w:rsidRPr="009C0D00" w:rsidRDefault="00D83162" w:rsidP="00D83162">
      <w:r w:rsidRPr="009C0D00">
        <w:t xml:space="preserve">Family caregivers are viewed as the </w:t>
      </w:r>
      <w:r w:rsidR="00E47DD5" w:rsidRPr="009C0D00">
        <w:t>unrecognised</w:t>
      </w:r>
      <w:r w:rsidRPr="009C0D00">
        <w:t xml:space="preserve"> pillars of dementia care. However, some of them have little or even no official support. It is advised that a formal carer support programme funding should be ensured in all community-based dementia programmes. This can cover counselling services, peer support groups, input training in dementia care skills, and opportunities to have a break. Such interventions as the START programme (</w:t>
      </w:r>
      <w:proofErr w:type="spellStart"/>
      <w:r w:rsidRPr="009C0D00">
        <w:t>STrAtegies</w:t>
      </w:r>
      <w:proofErr w:type="spellEnd"/>
      <w:r w:rsidRPr="009C0D00">
        <w:t xml:space="preserve"> for </w:t>
      </w:r>
      <w:proofErr w:type="spellStart"/>
      <w:r w:rsidRPr="009C0D00">
        <w:t>RelaTives</w:t>
      </w:r>
      <w:proofErr w:type="spellEnd"/>
      <w:r w:rsidRPr="009C0D00">
        <w:t>) were found to cause a significant decrease in the levels of depression and anxiety among the carers.</w:t>
      </w:r>
    </w:p>
    <w:p w14:paraId="77DE48EA" w14:textId="4778F9F6" w:rsidR="00D83162" w:rsidRPr="009C0D00" w:rsidRDefault="00D83162" w:rsidP="00D83162">
      <w:r w:rsidRPr="009C0D00">
        <w:t xml:space="preserve">The Care Act 2014 should be put more strictly into practice to conduct carer assessment to </w:t>
      </w:r>
      <w:r w:rsidR="00DD33B5">
        <w:t>relation</w:t>
      </w:r>
      <w:r w:rsidRPr="009C0D00">
        <w:t xml:space="preserve"> it to the community provision. Also, stigma can be offset through the use of public health campaigns to </w:t>
      </w:r>
      <w:r w:rsidR="00E47DD5" w:rsidRPr="009C0D00">
        <w:t>normalise</w:t>
      </w:r>
      <w:r w:rsidRPr="009C0D00">
        <w:t xml:space="preserve"> help-seeking behaviours</w:t>
      </w:r>
      <w:r w:rsidR="00E47DD5" w:rsidRPr="009C0D00">
        <w:t>,</w:t>
      </w:r>
      <w:r w:rsidRPr="009C0D00">
        <w:t xml:space="preserve"> thereby de-stigmatising help-seeking behaviours among carers, especially those carers within cultures where the need to care is perceived as a personal, family responsibility.</w:t>
      </w:r>
    </w:p>
    <w:p w14:paraId="6214C793" w14:textId="6401D2AD" w:rsidR="00D83162" w:rsidRPr="009C0D00" w:rsidRDefault="00D83162" w:rsidP="00D75494">
      <w:r w:rsidRPr="009C0D00">
        <w:rPr>
          <w:b/>
          <w:bCs/>
        </w:rPr>
        <w:t>Barriers and Solutions:</w:t>
      </w:r>
      <w:r w:rsidRPr="009C0D00">
        <w:t xml:space="preserve"> Lack of awareness of the existing services</w:t>
      </w:r>
      <w:r w:rsidR="00E47DD5" w:rsidRPr="009C0D00">
        <w:t>,</w:t>
      </w:r>
      <w:r w:rsidRPr="009C0D00">
        <w:t xml:space="preserve"> as well as </w:t>
      </w:r>
      <w:r w:rsidR="00E47DD5" w:rsidRPr="009C0D00">
        <w:t xml:space="preserve">a </w:t>
      </w:r>
      <w:r w:rsidRPr="009C0D00">
        <w:t xml:space="preserve">sense of guilt when the carers want to seek outside assistance. Carers have to be referred to support networks </w:t>
      </w:r>
      <w:r w:rsidR="00E47DD5" w:rsidRPr="009C0D00">
        <w:t>proactively</w:t>
      </w:r>
      <w:r w:rsidRPr="009C0D00">
        <w:t xml:space="preserve"> by health as well as social care professionals. It would also help to train GPs and frontline staff to spot signs of carer stress earlier</w:t>
      </w:r>
      <w:r w:rsidR="00E47DD5" w:rsidRPr="009C0D00">
        <w:t>,</w:t>
      </w:r>
      <w:r w:rsidRPr="009C0D00">
        <w:t xml:space="preserve"> therefore helping to intervene before breakdowns occur.</w:t>
      </w:r>
    </w:p>
    <w:p w14:paraId="3BFE8A10" w14:textId="77777777" w:rsidR="00093E4A" w:rsidRDefault="00093E4A" w:rsidP="00AC5ADC"/>
    <w:p w14:paraId="25550ACE" w14:textId="77777777" w:rsidR="001E6B14" w:rsidRDefault="001E6B14" w:rsidP="00AC5ADC"/>
    <w:p w14:paraId="16A184FF" w14:textId="77777777" w:rsidR="001E6B14" w:rsidRDefault="001E6B14" w:rsidP="00AC5ADC"/>
    <w:p w14:paraId="0962FDCA" w14:textId="77777777" w:rsidR="001E6B14" w:rsidRDefault="001E6B14" w:rsidP="00AC5ADC"/>
    <w:p w14:paraId="12A554E1" w14:textId="77777777" w:rsidR="001E6B14" w:rsidRDefault="001E6B14" w:rsidP="00AC5ADC"/>
    <w:p w14:paraId="3F3670AD" w14:textId="77777777" w:rsidR="001E6B14" w:rsidRDefault="001E6B14" w:rsidP="00AC5ADC"/>
    <w:p w14:paraId="1C654BBB" w14:textId="77777777" w:rsidR="001E6B14" w:rsidRDefault="001E6B14" w:rsidP="00AC5ADC"/>
    <w:p w14:paraId="68203D4F" w14:textId="77777777" w:rsidR="004216CB" w:rsidRPr="00D75494" w:rsidRDefault="004216CB" w:rsidP="004216CB"/>
    <w:p w14:paraId="30166359" w14:textId="340DB30C" w:rsidR="004216CB" w:rsidRPr="009C0D00" w:rsidRDefault="004216CB" w:rsidP="001E6B14">
      <w:pPr>
        <w:pStyle w:val="Heading1"/>
      </w:pPr>
      <w:bookmarkStart w:id="11" w:name="_Toc204831451"/>
      <w:r w:rsidRPr="009C0D00">
        <w:lastRenderedPageBreak/>
        <w:t>CHAPTER 6 – References and Appendices</w:t>
      </w:r>
      <w:bookmarkEnd w:id="11"/>
    </w:p>
    <w:p w14:paraId="65EE1377" w14:textId="77777777" w:rsidR="004216CB" w:rsidRPr="009C0D00" w:rsidRDefault="004216CB" w:rsidP="004216CB">
      <w:pPr>
        <w:pStyle w:val="Heading2"/>
      </w:pPr>
      <w:bookmarkStart w:id="12" w:name="_Toc204831452"/>
      <w:bookmarkStart w:id="13" w:name="_Hlk204620681"/>
      <w:r w:rsidRPr="009C0D00">
        <w:t>6.1 – References</w:t>
      </w:r>
      <w:bookmarkEnd w:id="12"/>
    </w:p>
    <w:p w14:paraId="5B5636C5" w14:textId="77777777" w:rsidR="001E6B14" w:rsidRPr="004216CB" w:rsidRDefault="001E6B14" w:rsidP="001E6B14">
      <w:r w:rsidRPr="004216CB">
        <w:t xml:space="preserve">Alzheimer’s Society. 2022. </w:t>
      </w:r>
      <w:r w:rsidRPr="004216CB">
        <w:rPr>
          <w:i/>
          <w:iCs/>
        </w:rPr>
        <w:t>Dementia UK: The facts</w:t>
      </w:r>
      <w:r w:rsidRPr="004216CB">
        <w:t xml:space="preserve">. Available at: </w:t>
      </w:r>
      <w:hyperlink r:id="rId8" w:history="1">
        <w:r w:rsidRPr="00D94267">
          <w:rPr>
            <w:rStyle w:val="Hyperlink"/>
          </w:rPr>
          <w:t>https://www.alzheimers.org.uk</w:t>
        </w:r>
      </w:hyperlink>
      <w:r w:rsidRPr="00D94267">
        <w:t xml:space="preserve"> </w:t>
      </w:r>
      <w:r w:rsidRPr="004216CB">
        <w:t>(Accessed 26 July 2025).</w:t>
      </w:r>
    </w:p>
    <w:p w14:paraId="15800A72" w14:textId="77777777" w:rsidR="001E6B14" w:rsidRPr="00D75494" w:rsidRDefault="001E6B14" w:rsidP="001E6B14">
      <w:r w:rsidRPr="00D75494">
        <w:t xml:space="preserve">Alzheimer's Research UK. 2023. Dementia caregiver statistics. Available at: </w:t>
      </w:r>
      <w:hyperlink r:id="rId9" w:tgtFrame="_blank" w:history="1">
        <w:r w:rsidRPr="00D75494">
          <w:rPr>
            <w:rStyle w:val="Hyperlink"/>
          </w:rPr>
          <w:t>https://www.alzheimersresearchuk.org</w:t>
        </w:r>
      </w:hyperlink>
      <w:r w:rsidRPr="00D75494">
        <w:t xml:space="preserve"> (Accessed: 24 July 2025).</w:t>
      </w:r>
    </w:p>
    <w:p w14:paraId="6C1D79F3" w14:textId="77777777" w:rsidR="001E6B14" w:rsidRDefault="001E6B14" w:rsidP="001E6B14">
      <w:r w:rsidRPr="00D21E83">
        <w:t>Arksey, H. and Hirst, M., 2005. Unpaid carers’ access to and use of primary care services. </w:t>
      </w:r>
      <w:r w:rsidRPr="00D21E83">
        <w:rPr>
          <w:i/>
          <w:iCs/>
        </w:rPr>
        <w:t>Primary Health Care Research &amp; Development</w:t>
      </w:r>
      <w:r w:rsidRPr="00D21E83">
        <w:t>, </w:t>
      </w:r>
      <w:r w:rsidRPr="00D21E83">
        <w:rPr>
          <w:i/>
          <w:iCs/>
        </w:rPr>
        <w:t>6</w:t>
      </w:r>
      <w:r w:rsidRPr="00D21E83">
        <w:t>(2), pp.101-116.</w:t>
      </w:r>
    </w:p>
    <w:p w14:paraId="41DC4481" w14:textId="77777777" w:rsidR="001E6B14" w:rsidRDefault="001E6B14" w:rsidP="001E6B14">
      <w:r w:rsidRPr="00D21E83">
        <w:t xml:space="preserve">Aveyard, H., 2023. </w:t>
      </w:r>
      <w:proofErr w:type="spellStart"/>
      <w:r w:rsidRPr="00D21E83">
        <w:t>Ebook</w:t>
      </w:r>
      <w:proofErr w:type="spellEnd"/>
      <w:r w:rsidRPr="00D21E83">
        <w:t>: Doing a Literature Review in Health and Social Care: A Practical Guide 5e.</w:t>
      </w:r>
    </w:p>
    <w:p w14:paraId="3A3CF1FD" w14:textId="77777777" w:rsidR="001E6B14" w:rsidRDefault="001E6B14" w:rsidP="001E6B14">
      <w:r w:rsidRPr="003B7571">
        <w:t xml:space="preserve">Backhouse, A., </w:t>
      </w:r>
      <w:proofErr w:type="spellStart"/>
      <w:r w:rsidRPr="003B7571">
        <w:t>Ukoumunne</w:t>
      </w:r>
      <w:proofErr w:type="spellEnd"/>
      <w:r w:rsidRPr="003B7571">
        <w:t>, O.C., Richards, D.A., McCabe, R., Watkins, R. and Dickens, C., 2017. The effectiveness of community-based coordinating interventions in dementia care: a meta-analysis and subgroup analysis of intervention components. </w:t>
      </w:r>
      <w:r w:rsidRPr="003B7571">
        <w:rPr>
          <w:i/>
          <w:iCs/>
        </w:rPr>
        <w:t>BMC Health Services Research</w:t>
      </w:r>
      <w:r w:rsidRPr="003B7571">
        <w:t>, </w:t>
      </w:r>
      <w:r w:rsidRPr="003B7571">
        <w:rPr>
          <w:i/>
          <w:iCs/>
        </w:rPr>
        <w:t>17</w:t>
      </w:r>
      <w:r w:rsidRPr="003B7571">
        <w:t>(1), p.717.</w:t>
      </w:r>
    </w:p>
    <w:p w14:paraId="4F1C4AAE" w14:textId="77777777" w:rsidR="001E6B14" w:rsidRDefault="001E6B14" w:rsidP="001E6B14">
      <w:r w:rsidRPr="00D21E83">
        <w:t>Backhouse, T., Killett, A., Penhale, B. and Gray, R., 2016. The use of non-pharmacological interventions for dementia behaviours in care homes: findings from four in-depth, ethnographic case studies. </w:t>
      </w:r>
      <w:r w:rsidRPr="00D21E83">
        <w:rPr>
          <w:i/>
          <w:iCs/>
        </w:rPr>
        <w:t>Age and ageing</w:t>
      </w:r>
      <w:r w:rsidRPr="00D21E83">
        <w:t>, </w:t>
      </w:r>
      <w:r w:rsidRPr="00D21E83">
        <w:rPr>
          <w:i/>
          <w:iCs/>
        </w:rPr>
        <w:t>45</w:t>
      </w:r>
      <w:r w:rsidRPr="00D21E83">
        <w:t>(6), pp.856-863.</w:t>
      </w:r>
    </w:p>
    <w:p w14:paraId="0B69D1E7" w14:textId="77777777" w:rsidR="001E6B14" w:rsidRDefault="001E6B14" w:rsidP="001E6B14">
      <w:r w:rsidRPr="00D21E83">
        <w:t>Bandura, A., 1986. Social foundations of thought and action. </w:t>
      </w:r>
      <w:r w:rsidRPr="00D21E83">
        <w:rPr>
          <w:i/>
          <w:iCs/>
        </w:rPr>
        <w:t>Englewood Cliffs, NJ</w:t>
      </w:r>
      <w:r w:rsidRPr="00D21E83">
        <w:t>, </w:t>
      </w:r>
      <w:r w:rsidRPr="00D21E83">
        <w:rPr>
          <w:i/>
          <w:iCs/>
        </w:rPr>
        <w:t>1986</w:t>
      </w:r>
      <w:r w:rsidRPr="00D21E83">
        <w:t>(23-28), p.2.</w:t>
      </w:r>
    </w:p>
    <w:p w14:paraId="75A6327A" w14:textId="77777777" w:rsidR="001E6B14" w:rsidRDefault="001E6B14" w:rsidP="001E6B14">
      <w:r w:rsidRPr="00D21E83">
        <w:t>Banerjee, S. and Wittenberg, R., 2009. Clinical and cost effectiveness of services for early diagnosis and intervention in dementia. </w:t>
      </w:r>
      <w:r w:rsidRPr="00D21E83">
        <w:rPr>
          <w:i/>
          <w:iCs/>
        </w:rPr>
        <w:t>International Journal of Geriatric Psychiatry: A journal of the psychiatry of late life and allied sciences</w:t>
      </w:r>
      <w:r w:rsidRPr="00D21E83">
        <w:t>, </w:t>
      </w:r>
      <w:r w:rsidRPr="00D21E83">
        <w:rPr>
          <w:i/>
          <w:iCs/>
        </w:rPr>
        <w:t>24</w:t>
      </w:r>
      <w:r w:rsidRPr="00D21E83">
        <w:t>(7), pp.748-754.</w:t>
      </w:r>
    </w:p>
    <w:p w14:paraId="03EB6EEE" w14:textId="77777777" w:rsidR="001E6B14" w:rsidRDefault="001E6B14" w:rsidP="001E6B14">
      <w:r w:rsidRPr="00D21E83">
        <w:t>Banerjee, S., Smith, S.C., Lamping, D.L., Harwood, R.H., Foley, B., Smith, P., Murray, J., Prince, M., Levin, E., Mann, A. and Knapp, M., 200</w:t>
      </w:r>
      <w:r>
        <w:t>9</w:t>
      </w:r>
      <w:r w:rsidRPr="00D21E83">
        <w:t>. Quality of life in dementia: more than just cognition. An analysis of associations with quality of life in dementia. </w:t>
      </w:r>
      <w:r w:rsidRPr="00D21E83">
        <w:rPr>
          <w:i/>
          <w:iCs/>
        </w:rPr>
        <w:t>Journal of Neurology, Neurosurgery &amp; Psychiatry</w:t>
      </w:r>
      <w:r w:rsidRPr="00D21E83">
        <w:t>, </w:t>
      </w:r>
      <w:r w:rsidRPr="00D21E83">
        <w:rPr>
          <w:i/>
          <w:iCs/>
        </w:rPr>
        <w:t>77</w:t>
      </w:r>
      <w:r w:rsidRPr="00D21E83">
        <w:t>(2), pp.146-148.</w:t>
      </w:r>
    </w:p>
    <w:p w14:paraId="7A0B56A2" w14:textId="77777777" w:rsidR="001E6B14" w:rsidRDefault="001E6B14" w:rsidP="001E6B14">
      <w:r w:rsidRPr="00D21E83">
        <w:t>Boyle, D., Coote, A., Sherwood, C. and Slay, J., 2010. Right here, right now. </w:t>
      </w:r>
      <w:r w:rsidRPr="00D21E83">
        <w:rPr>
          <w:i/>
          <w:iCs/>
        </w:rPr>
        <w:t>Taking co-production into the mainstream</w:t>
      </w:r>
      <w:r w:rsidRPr="00D21E83">
        <w:t>, p.23.</w:t>
      </w:r>
    </w:p>
    <w:p w14:paraId="20076B35" w14:textId="77777777" w:rsidR="001E6B14" w:rsidRDefault="001E6B14" w:rsidP="001E6B14">
      <w:r w:rsidRPr="00D21E83">
        <w:lastRenderedPageBreak/>
        <w:t>Braun, V. and Clarke, V., 2006. Using thematic analysis in psychology. </w:t>
      </w:r>
      <w:r w:rsidRPr="00D21E83">
        <w:rPr>
          <w:i/>
          <w:iCs/>
        </w:rPr>
        <w:t>Qualitative research in psychology</w:t>
      </w:r>
      <w:r w:rsidRPr="00D21E83">
        <w:t>, </w:t>
      </w:r>
      <w:r w:rsidRPr="00D21E83">
        <w:rPr>
          <w:i/>
          <w:iCs/>
        </w:rPr>
        <w:t>3</w:t>
      </w:r>
      <w:r w:rsidRPr="00D21E83">
        <w:t>(2), pp.77-101.</w:t>
      </w:r>
    </w:p>
    <w:p w14:paraId="57A88886" w14:textId="77777777" w:rsidR="001E6B14" w:rsidRDefault="001E6B14" w:rsidP="001E6B14">
      <w:r w:rsidRPr="0004004B">
        <w:t>Bronfenbrenner, U., 1979. </w:t>
      </w:r>
      <w:r w:rsidRPr="0004004B">
        <w:rPr>
          <w:i/>
          <w:iCs/>
        </w:rPr>
        <w:t>The ecology of human development: Experiments by nature and design</w:t>
      </w:r>
      <w:r w:rsidRPr="0004004B">
        <w:t xml:space="preserve">. Harvard </w:t>
      </w:r>
      <w:r>
        <w:t>University Press</w:t>
      </w:r>
      <w:r w:rsidRPr="0004004B">
        <w:t>.</w:t>
      </w:r>
    </w:p>
    <w:p w14:paraId="778A6653" w14:textId="77777777" w:rsidR="001E6B14" w:rsidRDefault="001E6B14" w:rsidP="001E6B14">
      <w:r w:rsidRPr="0004004B">
        <w:t>Brown, C.P., Ku, D.H., Barry, D.P. and Puckett, K., 2022. Examining preservice teachers’ conceptions of teaching to consider the impact of policymakers’ neoliberal reforms on their sensemaking of their new profession. </w:t>
      </w:r>
      <w:r w:rsidRPr="0004004B">
        <w:rPr>
          <w:i/>
          <w:iCs/>
        </w:rPr>
        <w:t>Journal of Teacher Education</w:t>
      </w:r>
      <w:r w:rsidRPr="0004004B">
        <w:t>, </w:t>
      </w:r>
      <w:r w:rsidRPr="0004004B">
        <w:rPr>
          <w:i/>
          <w:iCs/>
        </w:rPr>
        <w:t>73</w:t>
      </w:r>
      <w:r w:rsidRPr="0004004B">
        <w:t>(5), pp.463-478.</w:t>
      </w:r>
    </w:p>
    <w:p w14:paraId="138482B4" w14:textId="77777777" w:rsidR="001E6B14" w:rsidRDefault="001E6B14" w:rsidP="001E6B14">
      <w:r w:rsidRPr="00BD6E8E">
        <w:t xml:space="preserve">Bucci, S., </w:t>
      </w:r>
      <w:proofErr w:type="spellStart"/>
      <w:r w:rsidRPr="00BD6E8E">
        <w:t>Schwannauer</w:t>
      </w:r>
      <w:proofErr w:type="spellEnd"/>
      <w:r w:rsidRPr="00BD6E8E">
        <w:t>, M. and Berry, N., 2019. The digital revolution and its impact on mental health care. </w:t>
      </w:r>
      <w:r w:rsidRPr="00BD6E8E">
        <w:rPr>
          <w:i/>
          <w:iCs/>
        </w:rPr>
        <w:t>Psychology and Psychotherapy: Theory, Research and Practice</w:t>
      </w:r>
      <w:r w:rsidRPr="00BD6E8E">
        <w:t>, </w:t>
      </w:r>
      <w:r w:rsidRPr="00BD6E8E">
        <w:rPr>
          <w:i/>
          <w:iCs/>
        </w:rPr>
        <w:t>92</w:t>
      </w:r>
      <w:r w:rsidRPr="00BD6E8E">
        <w:t>(2), pp.277-297.</w:t>
      </w:r>
    </w:p>
    <w:p w14:paraId="5D96F34E" w14:textId="77777777" w:rsidR="001E6B14" w:rsidRDefault="001E6B14" w:rsidP="001E6B14">
      <w:r w:rsidRPr="0004004B">
        <w:t xml:space="preserve">Campbell, C., Wood, R. and Kelly, M., </w:t>
      </w:r>
      <w:r>
        <w:t>2000</w:t>
      </w:r>
      <w:r w:rsidRPr="0004004B">
        <w:t>. </w:t>
      </w:r>
      <w:r w:rsidRPr="0004004B">
        <w:rPr>
          <w:i/>
          <w:iCs/>
        </w:rPr>
        <w:t>Social capital and health</w:t>
      </w:r>
      <w:r w:rsidRPr="0004004B">
        <w:t>. Health Education Authority (Great Britain).</w:t>
      </w:r>
    </w:p>
    <w:p w14:paraId="0300CEDB" w14:textId="77777777" w:rsidR="001E6B14" w:rsidRDefault="001E6B14" w:rsidP="001E6B14">
      <w:r w:rsidRPr="0004004B">
        <w:t>Carers, U.K., 202</w:t>
      </w:r>
      <w:r>
        <w:t>1</w:t>
      </w:r>
      <w:r w:rsidRPr="0004004B">
        <w:t>. Unseen and undervalued: The value of unpaid care provided to date during the COVID-19 pandemic. </w:t>
      </w:r>
      <w:r w:rsidRPr="0004004B">
        <w:rPr>
          <w:i/>
          <w:iCs/>
        </w:rPr>
        <w:t>London: Carers UK</w:t>
      </w:r>
      <w:r w:rsidRPr="0004004B">
        <w:t>.</w:t>
      </w:r>
    </w:p>
    <w:p w14:paraId="510C6107" w14:textId="77777777" w:rsidR="001E6B14" w:rsidRDefault="001E6B14" w:rsidP="001E6B14">
      <w:r w:rsidRPr="00093E4A">
        <w:t>Crenshaw, K., 1989. University of Chicago Legal Forum.</w:t>
      </w:r>
    </w:p>
    <w:p w14:paraId="62F32F99" w14:textId="77777777" w:rsidR="001E6B14" w:rsidRDefault="001E6B14" w:rsidP="001E6B14">
      <w:r w:rsidRPr="00FF06E4">
        <w:t>Creswell, J.W. and Creswell, J.D., 201</w:t>
      </w:r>
      <w:r>
        <w:t>8</w:t>
      </w:r>
      <w:r w:rsidRPr="00FF06E4">
        <w:t>. </w:t>
      </w:r>
      <w:r w:rsidRPr="00FF06E4">
        <w:rPr>
          <w:i/>
          <w:iCs/>
        </w:rPr>
        <w:t xml:space="preserve">Research design: Qualitative, quantitative, and mixed methods </w:t>
      </w:r>
      <w:proofErr w:type="gramStart"/>
      <w:r w:rsidRPr="00FF06E4">
        <w:rPr>
          <w:i/>
          <w:iCs/>
        </w:rPr>
        <w:t>approaches</w:t>
      </w:r>
      <w:proofErr w:type="gramEnd"/>
      <w:r w:rsidRPr="00FF06E4">
        <w:t>. Sage publications.</w:t>
      </w:r>
    </w:p>
    <w:p w14:paraId="2675DA33" w14:textId="77777777" w:rsidR="001E6B14" w:rsidRPr="00D75494" w:rsidRDefault="001E6B14" w:rsidP="001E6B14">
      <w:r w:rsidRPr="00D75494">
        <w:t xml:space="preserve">Critical Appraisal Skills Programme (CASP). 2018. CASP Checklists. Available at: </w:t>
      </w:r>
      <w:hyperlink r:id="rId10" w:tgtFrame="_blank" w:history="1">
        <w:r w:rsidRPr="00D75494">
          <w:rPr>
            <w:rStyle w:val="Hyperlink"/>
          </w:rPr>
          <w:t>https://casp-uk.net/casp-tools-checklists/</w:t>
        </w:r>
      </w:hyperlink>
      <w:r w:rsidRPr="00D75494">
        <w:t xml:space="preserve"> [Accessed 20 July 2025].</w:t>
      </w:r>
    </w:p>
    <w:p w14:paraId="1240934C" w14:textId="77777777" w:rsidR="001E6B14" w:rsidRDefault="001E6B14" w:rsidP="001E6B14">
      <w:r w:rsidRPr="0004004B">
        <w:t>De Haas, H., Castles, S. and Miller, M.J., 2019. </w:t>
      </w:r>
      <w:r w:rsidRPr="0004004B">
        <w:rPr>
          <w:i/>
          <w:iCs/>
        </w:rPr>
        <w:t>The age of migration: International population movements in the modern world</w:t>
      </w:r>
      <w:r w:rsidRPr="0004004B">
        <w:t>. Bloomsbury Publishing.</w:t>
      </w:r>
    </w:p>
    <w:p w14:paraId="525F89FF" w14:textId="77777777" w:rsidR="001E6B14" w:rsidRDefault="001E6B14" w:rsidP="001E6B14">
      <w:r w:rsidRPr="000F3166">
        <w:t>Doyle, N., McDowall, A. and Waseem, U., 20</w:t>
      </w:r>
      <w:r>
        <w:t>16</w:t>
      </w:r>
      <w:r w:rsidRPr="000F3166">
        <w:t xml:space="preserve">. Intersectional stigma for autistic people at work: A compound adverse impact effect on </w:t>
      </w:r>
      <w:proofErr w:type="spellStart"/>
      <w:r w:rsidRPr="000F3166">
        <w:t>labor</w:t>
      </w:r>
      <w:proofErr w:type="spellEnd"/>
      <w:r w:rsidRPr="000F3166">
        <w:t xml:space="preserve"> force participation and experiences of belonging. </w:t>
      </w:r>
      <w:r w:rsidRPr="000F3166">
        <w:rPr>
          <w:i/>
          <w:iCs/>
        </w:rPr>
        <w:t>Autism in Adulthood</w:t>
      </w:r>
      <w:r w:rsidRPr="000F3166">
        <w:t>, </w:t>
      </w:r>
      <w:r w:rsidRPr="000F3166">
        <w:rPr>
          <w:i/>
          <w:iCs/>
        </w:rPr>
        <w:t>4</w:t>
      </w:r>
      <w:r w:rsidRPr="000F3166">
        <w:t>(4), pp.340-356.</w:t>
      </w:r>
    </w:p>
    <w:p w14:paraId="363DEF1A" w14:textId="77777777" w:rsidR="001E6B14" w:rsidRDefault="001E6B14" w:rsidP="001E6B14">
      <w:r w:rsidRPr="000F3166">
        <w:t>Esping-Andersen, G., 1999. </w:t>
      </w:r>
      <w:r w:rsidRPr="000F3166">
        <w:rPr>
          <w:i/>
          <w:iCs/>
        </w:rPr>
        <w:t xml:space="preserve">Social foundations of </w:t>
      </w:r>
      <w:proofErr w:type="spellStart"/>
      <w:r w:rsidRPr="000F3166">
        <w:rPr>
          <w:i/>
          <w:iCs/>
        </w:rPr>
        <w:t>postindustrial</w:t>
      </w:r>
      <w:proofErr w:type="spellEnd"/>
      <w:r w:rsidRPr="000F3166">
        <w:rPr>
          <w:i/>
          <w:iCs/>
        </w:rPr>
        <w:t xml:space="preserve"> economies</w:t>
      </w:r>
      <w:r w:rsidRPr="000F3166">
        <w:t>. Oxford university press.</w:t>
      </w:r>
    </w:p>
    <w:p w14:paraId="010A8EC4" w14:textId="77777777" w:rsidR="001E6B14" w:rsidRDefault="001E6B14" w:rsidP="001E6B14">
      <w:r w:rsidRPr="000F3166">
        <w:t xml:space="preserve">Evans, S., Evans, S., Brooker, D., Henderson, C., </w:t>
      </w:r>
      <w:proofErr w:type="spellStart"/>
      <w:r w:rsidRPr="000F3166">
        <w:t>Szcześniak</w:t>
      </w:r>
      <w:proofErr w:type="spellEnd"/>
      <w:r w:rsidRPr="000F3166">
        <w:t xml:space="preserve">, D., Atkinson, T., Bray, J., Amritpal, R., </w:t>
      </w:r>
      <w:proofErr w:type="spellStart"/>
      <w:r w:rsidRPr="000F3166">
        <w:t>Saibene</w:t>
      </w:r>
      <w:proofErr w:type="spellEnd"/>
      <w:r w:rsidRPr="000F3166">
        <w:t xml:space="preserve">, F.L., </w:t>
      </w:r>
      <w:proofErr w:type="spellStart"/>
      <w:r w:rsidRPr="000F3166">
        <w:t>d’Arma</w:t>
      </w:r>
      <w:proofErr w:type="spellEnd"/>
      <w:r w:rsidRPr="000F3166">
        <w:t xml:space="preserve">, A. and </w:t>
      </w:r>
      <w:proofErr w:type="spellStart"/>
      <w:r w:rsidRPr="000F3166">
        <w:t>Scorolli</w:t>
      </w:r>
      <w:proofErr w:type="spellEnd"/>
      <w:r w:rsidRPr="000F3166">
        <w:t>, C., 2020. The impact of the implementation of the Dutch combined Meeting Centres Support Programme for family caregivers of people with dementia in Italy, Poland and UK. </w:t>
      </w:r>
      <w:r w:rsidRPr="000F3166">
        <w:rPr>
          <w:i/>
          <w:iCs/>
        </w:rPr>
        <w:t>Aging &amp; Mental Health</w:t>
      </w:r>
      <w:r w:rsidRPr="000F3166">
        <w:t>, </w:t>
      </w:r>
      <w:r w:rsidRPr="000F3166">
        <w:rPr>
          <w:i/>
          <w:iCs/>
        </w:rPr>
        <w:t>24</w:t>
      </w:r>
      <w:r w:rsidRPr="000F3166">
        <w:t>(2), pp.280-290.</w:t>
      </w:r>
    </w:p>
    <w:p w14:paraId="0D13B246" w14:textId="77777777" w:rsidR="001E6B14" w:rsidRDefault="001E6B14" w:rsidP="001E6B14">
      <w:r w:rsidRPr="000F3166">
        <w:lastRenderedPageBreak/>
        <w:t>Foucault, M., 1977. Discipline and punish Penguin.</w:t>
      </w:r>
    </w:p>
    <w:p w14:paraId="47AADC55" w14:textId="77777777" w:rsidR="001E6B14" w:rsidRDefault="001E6B14" w:rsidP="001E6B14">
      <w:r w:rsidRPr="00916D3F">
        <w:t xml:space="preserve">Giebel, C., Lord, K., Cooper, C., Shenton, J., Cannon, J., Pulford, D., Shaw, L., Gaughan, A., Tetlow, H., </w:t>
      </w:r>
      <w:proofErr w:type="spellStart"/>
      <w:r w:rsidRPr="00916D3F">
        <w:t>Butchard</w:t>
      </w:r>
      <w:proofErr w:type="spellEnd"/>
      <w:r w:rsidRPr="00916D3F">
        <w:t>, S. and Limbert, S., 2021. A UK survey of COVID</w:t>
      </w:r>
      <w:r w:rsidRPr="00916D3F">
        <w:rPr>
          <w:rFonts w:ascii="Cambria Math" w:hAnsi="Cambria Math" w:cs="Cambria Math"/>
        </w:rPr>
        <w:t>‐</w:t>
      </w:r>
      <w:r w:rsidRPr="00916D3F">
        <w:t>19 related social support closures and their effects on older people, people with dementia, and carers.</w:t>
      </w:r>
      <w:r w:rsidRPr="00916D3F">
        <w:rPr>
          <w:rFonts w:cs="Arial"/>
        </w:rPr>
        <w:t> </w:t>
      </w:r>
      <w:r w:rsidRPr="00916D3F">
        <w:rPr>
          <w:i/>
          <w:iCs/>
        </w:rPr>
        <w:t>International journal of geriatric psychiatry</w:t>
      </w:r>
      <w:r w:rsidRPr="00916D3F">
        <w:t>, </w:t>
      </w:r>
      <w:r w:rsidRPr="00916D3F">
        <w:rPr>
          <w:i/>
          <w:iCs/>
        </w:rPr>
        <w:t>36</w:t>
      </w:r>
      <w:r w:rsidRPr="00916D3F">
        <w:t>(3), pp.393-402.</w:t>
      </w:r>
    </w:p>
    <w:p w14:paraId="00D37100" w14:textId="77777777" w:rsidR="001E6B14" w:rsidRPr="00732DA0" w:rsidRDefault="001E6B14" w:rsidP="001E6B14">
      <w:r w:rsidRPr="00732DA0">
        <w:t>Gough, D., Thomas, J. and Oliver, S., 2017. An introduction to systematic reviews.</w:t>
      </w:r>
    </w:p>
    <w:p w14:paraId="4AA2CD23" w14:textId="77777777" w:rsidR="001E6B14" w:rsidRDefault="001E6B14" w:rsidP="001E6B14">
      <w:r w:rsidRPr="00093E4A">
        <w:t>Iliffe, S., Wilcock, J., Drennan, V., Goodman, C., Griffin, M., Knapp, M., Lowery, D., Manthorpe, J., Rait, G. and Warner, J., 2015. Changing practice in dementia care in the community: developing and testing evidence-based interventions, from timely diagnosis to end of life (EVIDEM). </w:t>
      </w:r>
      <w:r w:rsidRPr="00093E4A">
        <w:rPr>
          <w:i/>
          <w:iCs/>
        </w:rPr>
        <w:t>Programme Grants for Applied Research</w:t>
      </w:r>
      <w:r w:rsidRPr="00093E4A">
        <w:t>, </w:t>
      </w:r>
      <w:r w:rsidRPr="00093E4A">
        <w:rPr>
          <w:i/>
          <w:iCs/>
        </w:rPr>
        <w:t>3</w:t>
      </w:r>
      <w:r w:rsidRPr="00093E4A">
        <w:t>(3).</w:t>
      </w:r>
    </w:p>
    <w:p w14:paraId="62A4A423" w14:textId="77777777" w:rsidR="001E6B14" w:rsidRDefault="001E6B14" w:rsidP="001E6B14">
      <w:r w:rsidRPr="003B7571">
        <w:t xml:space="preserve">Innes, A., Morgan, D. and </w:t>
      </w:r>
      <w:proofErr w:type="spellStart"/>
      <w:r w:rsidRPr="003B7571">
        <w:t>Kostineuk</w:t>
      </w:r>
      <w:proofErr w:type="spellEnd"/>
      <w:r w:rsidRPr="003B7571">
        <w:t>, J., 201</w:t>
      </w:r>
      <w:r>
        <w:t>4</w:t>
      </w:r>
      <w:r w:rsidRPr="003B7571">
        <w:t>. Dementia care in rural and remote settings: a systematic review of informal/family caregiving. </w:t>
      </w:r>
      <w:proofErr w:type="spellStart"/>
      <w:r w:rsidRPr="003B7571">
        <w:rPr>
          <w:i/>
          <w:iCs/>
        </w:rPr>
        <w:t>Maturitas</w:t>
      </w:r>
      <w:proofErr w:type="spellEnd"/>
      <w:r w:rsidRPr="003B7571">
        <w:t>, </w:t>
      </w:r>
      <w:r w:rsidRPr="003B7571">
        <w:rPr>
          <w:i/>
          <w:iCs/>
        </w:rPr>
        <w:t>68</w:t>
      </w:r>
      <w:r w:rsidRPr="003B7571">
        <w:t>(1), pp.34-46.</w:t>
      </w:r>
    </w:p>
    <w:p w14:paraId="6139B1A6" w14:textId="77777777" w:rsidR="001E6B14" w:rsidRDefault="001E6B14" w:rsidP="001E6B14">
      <w:r w:rsidRPr="003B7571">
        <w:t>Jesson, J., Lacey, F.M. and Matheson, L., 2011. Doing your literature review: Traditional and systematic techniques.</w:t>
      </w:r>
    </w:p>
    <w:p w14:paraId="7D610C76" w14:textId="77777777" w:rsidR="001E6B14" w:rsidRDefault="001E6B14" w:rsidP="001E6B14">
      <w:r w:rsidRPr="00DD33B5">
        <w:t>Keady, J., Campbell, S., Barnes, H., Ward, R., Li, X., Swarbrick, C., Burrow, S. and Elvish, R., 2012. Neighbourhoods and dementia in the health and social care context: a realist review of the literature and implications for UK policy development. </w:t>
      </w:r>
      <w:r w:rsidRPr="00DD33B5">
        <w:rPr>
          <w:i/>
          <w:iCs/>
        </w:rPr>
        <w:t>Reviews in Clinical Gerontology</w:t>
      </w:r>
      <w:r w:rsidRPr="00DD33B5">
        <w:t>, </w:t>
      </w:r>
      <w:r w:rsidRPr="00DD33B5">
        <w:rPr>
          <w:i/>
          <w:iCs/>
        </w:rPr>
        <w:t>22</w:t>
      </w:r>
      <w:r w:rsidRPr="00DD33B5">
        <w:t>(2), pp.150-163.</w:t>
      </w:r>
    </w:p>
    <w:p w14:paraId="0F27FEEF" w14:textId="77777777" w:rsidR="001E6B14" w:rsidRDefault="001E6B14" w:rsidP="001E6B14">
      <w:r w:rsidRPr="00DD33B5">
        <w:t>Knapp, M., King, D., Romeo, R., Schehl, B., Barber, J., Griffin, M., Rapaport, P., Livingston, D., Mummery, C., Walker, Z. and Hoe, J., 2013. Cost effectiveness of a manual based coping strategy programme in promoting the mental health of family carers of people with dementia (the START (</w:t>
      </w:r>
      <w:proofErr w:type="spellStart"/>
      <w:r w:rsidRPr="00DD33B5">
        <w:t>STrAtegies</w:t>
      </w:r>
      <w:proofErr w:type="spellEnd"/>
      <w:r w:rsidRPr="00DD33B5">
        <w:t xml:space="preserve"> for </w:t>
      </w:r>
      <w:proofErr w:type="spellStart"/>
      <w:r w:rsidRPr="00DD33B5">
        <w:t>RelaTives</w:t>
      </w:r>
      <w:proofErr w:type="spellEnd"/>
      <w:r w:rsidRPr="00DD33B5">
        <w:t>) study): a pragmatic randomised controlled trial. </w:t>
      </w:r>
      <w:proofErr w:type="spellStart"/>
      <w:r w:rsidRPr="00DD33B5">
        <w:rPr>
          <w:i/>
          <w:iCs/>
        </w:rPr>
        <w:t>Bmj</w:t>
      </w:r>
      <w:proofErr w:type="spellEnd"/>
      <w:r w:rsidRPr="00DD33B5">
        <w:t>, </w:t>
      </w:r>
      <w:r w:rsidRPr="00DD33B5">
        <w:rPr>
          <w:i/>
          <w:iCs/>
        </w:rPr>
        <w:t>347</w:t>
      </w:r>
      <w:r w:rsidRPr="00DD33B5">
        <w:t>.</w:t>
      </w:r>
    </w:p>
    <w:p w14:paraId="0C6BD83D" w14:textId="77777777" w:rsidR="001E6B14" w:rsidRDefault="001E6B14" w:rsidP="001E6B14">
      <w:r w:rsidRPr="00DD33B5">
        <w:t>Lindauer, A. and Harvath, T.A., 2015. The meanings caregivers ascribe to dementia-related changes in care recipients: A meta-ethnography. </w:t>
      </w:r>
      <w:r w:rsidRPr="00DD33B5">
        <w:rPr>
          <w:i/>
          <w:iCs/>
        </w:rPr>
        <w:t>Research in Gerontological Nursing</w:t>
      </w:r>
      <w:r w:rsidRPr="00DD33B5">
        <w:t>, </w:t>
      </w:r>
      <w:r w:rsidRPr="00DD33B5">
        <w:rPr>
          <w:i/>
          <w:iCs/>
        </w:rPr>
        <w:t>8</w:t>
      </w:r>
      <w:r w:rsidRPr="00DD33B5">
        <w:t>(1), pp.39-48.</w:t>
      </w:r>
    </w:p>
    <w:p w14:paraId="20536598" w14:textId="77777777" w:rsidR="001E6B14" w:rsidRDefault="001E6B14" w:rsidP="001E6B14">
      <w:proofErr w:type="spellStart"/>
      <w:r w:rsidRPr="00D75494">
        <w:t>Lobbia</w:t>
      </w:r>
      <w:proofErr w:type="spellEnd"/>
      <w:r w:rsidRPr="00D75494">
        <w:t xml:space="preserve">, A., Carbone, E., </w:t>
      </w:r>
      <w:proofErr w:type="spellStart"/>
      <w:r w:rsidRPr="00D75494">
        <w:t>Faggian</w:t>
      </w:r>
      <w:proofErr w:type="spellEnd"/>
      <w:r w:rsidRPr="00D75494">
        <w:t xml:space="preserve">, S., Gardini, S., </w:t>
      </w:r>
      <w:proofErr w:type="spellStart"/>
      <w:r w:rsidRPr="00D75494">
        <w:t>Piras</w:t>
      </w:r>
      <w:proofErr w:type="spellEnd"/>
      <w:r w:rsidRPr="00D75494">
        <w:t>, F. and Borella, E.</w:t>
      </w:r>
      <w:r>
        <w:t xml:space="preserve">, </w:t>
      </w:r>
      <w:r w:rsidRPr="00D75494">
        <w:t>2019. The efficacy of cognitive stimulation therapy (CST) for people with mild-to-moderate dementia: A meta-analysis. Neuropsychology Review, 29(3), pp.278–294.</w:t>
      </w:r>
    </w:p>
    <w:p w14:paraId="3A6D2BFF" w14:textId="77777777" w:rsidR="001E6B14" w:rsidRDefault="001E6B14" w:rsidP="001E6B14">
      <w:proofErr w:type="spellStart"/>
      <w:r w:rsidRPr="006B3E6C">
        <w:lastRenderedPageBreak/>
        <w:t>Lwi</w:t>
      </w:r>
      <w:proofErr w:type="spellEnd"/>
      <w:r w:rsidRPr="006B3E6C">
        <w:t>, S.J., Ford, B.Q. and Levenson, R.W., 2023. Cultural differences in caring for people with dementia: a pilot study of concern about losing face and loneliness in Chinese American and European American caregivers. </w:t>
      </w:r>
      <w:r w:rsidRPr="006B3E6C">
        <w:rPr>
          <w:i/>
          <w:iCs/>
        </w:rPr>
        <w:t>Clinical gerontologist</w:t>
      </w:r>
      <w:r w:rsidRPr="006B3E6C">
        <w:t>, </w:t>
      </w:r>
      <w:r w:rsidRPr="006B3E6C">
        <w:rPr>
          <w:i/>
          <w:iCs/>
        </w:rPr>
        <w:t>46</w:t>
      </w:r>
      <w:r w:rsidRPr="006B3E6C">
        <w:t>(2), pp.207-222.</w:t>
      </w:r>
    </w:p>
    <w:p w14:paraId="093D9CD3" w14:textId="77777777" w:rsidR="001E6B14" w:rsidRDefault="001E6B14" w:rsidP="001E6B14">
      <w:r w:rsidRPr="00916D3F">
        <w:t xml:space="preserve">Marmot, M., 2020. Health equity in England: </w:t>
      </w:r>
      <w:proofErr w:type="gramStart"/>
      <w:r w:rsidRPr="00916D3F">
        <w:t>the</w:t>
      </w:r>
      <w:proofErr w:type="gramEnd"/>
      <w:r w:rsidRPr="00916D3F">
        <w:t xml:space="preserve"> Marmot review 10 years on. </w:t>
      </w:r>
      <w:proofErr w:type="spellStart"/>
      <w:r w:rsidRPr="00916D3F">
        <w:rPr>
          <w:i/>
          <w:iCs/>
        </w:rPr>
        <w:t>Bmj</w:t>
      </w:r>
      <w:proofErr w:type="spellEnd"/>
      <w:r w:rsidRPr="00916D3F">
        <w:t>, </w:t>
      </w:r>
      <w:r w:rsidRPr="00916D3F">
        <w:rPr>
          <w:i/>
          <w:iCs/>
        </w:rPr>
        <w:t>368</w:t>
      </w:r>
      <w:r w:rsidRPr="00916D3F">
        <w:t>.</w:t>
      </w:r>
    </w:p>
    <w:p w14:paraId="1BB5ED32" w14:textId="77777777" w:rsidR="001E6B14" w:rsidRDefault="001E6B14" w:rsidP="001E6B14">
      <w:r w:rsidRPr="00916D3F">
        <w:t>Maslow, A.H., 1943. A theory of human motivation. </w:t>
      </w:r>
      <w:r w:rsidRPr="00916D3F">
        <w:rPr>
          <w:i/>
          <w:iCs/>
        </w:rPr>
        <w:t>Psychological review</w:t>
      </w:r>
      <w:r w:rsidRPr="00916D3F">
        <w:t>, </w:t>
      </w:r>
      <w:r w:rsidRPr="00916D3F">
        <w:rPr>
          <w:i/>
          <w:iCs/>
        </w:rPr>
        <w:t>50</w:t>
      </w:r>
      <w:r w:rsidRPr="00916D3F">
        <w:t>(4), p.370.</w:t>
      </w:r>
    </w:p>
    <w:p w14:paraId="2D5966E4" w14:textId="77777777" w:rsidR="001E6B14" w:rsidRDefault="001E6B14" w:rsidP="001E6B14">
      <w:r w:rsidRPr="00916D3F">
        <w:t xml:space="preserve">McDermott, O., Charlesworth, G., </w:t>
      </w:r>
      <w:proofErr w:type="spellStart"/>
      <w:r w:rsidRPr="00916D3F">
        <w:t>Hogervorst</w:t>
      </w:r>
      <w:proofErr w:type="spellEnd"/>
      <w:r w:rsidRPr="00916D3F">
        <w:t>, E., Stoner, C., Moniz-Cook, E., Spector, A., Csipke, E. and Orrell, M., 2019. Psychosocial interventions for people with dementia: a synthesis of systematic reviews. </w:t>
      </w:r>
      <w:r w:rsidRPr="00916D3F">
        <w:rPr>
          <w:i/>
          <w:iCs/>
        </w:rPr>
        <w:t>Aging &amp; mental health</w:t>
      </w:r>
      <w:r w:rsidRPr="00916D3F">
        <w:t>, </w:t>
      </w:r>
      <w:r w:rsidRPr="00916D3F">
        <w:rPr>
          <w:i/>
          <w:iCs/>
        </w:rPr>
        <w:t>23</w:t>
      </w:r>
      <w:r w:rsidRPr="00916D3F">
        <w:t>(4), pp.393-403.</w:t>
      </w:r>
    </w:p>
    <w:p w14:paraId="59CCF67E" w14:textId="77777777" w:rsidR="001E6B14" w:rsidRDefault="001E6B14" w:rsidP="001E6B14">
      <w:r w:rsidRPr="0004004B">
        <w:t>McTavish, J.R., McKee, C., Tanaka, M. and MacMillan, H.L., 2022. Child welfare reform: A scoping review. </w:t>
      </w:r>
      <w:r w:rsidRPr="0004004B">
        <w:rPr>
          <w:i/>
          <w:iCs/>
        </w:rPr>
        <w:t>International journal of environmental research and public health</w:t>
      </w:r>
      <w:r w:rsidRPr="0004004B">
        <w:t>, </w:t>
      </w:r>
      <w:r w:rsidRPr="0004004B">
        <w:rPr>
          <w:i/>
          <w:iCs/>
        </w:rPr>
        <w:t>19</w:t>
      </w:r>
      <w:r w:rsidRPr="0004004B">
        <w:t>(21), p.14071.</w:t>
      </w:r>
    </w:p>
    <w:p w14:paraId="27192C6C" w14:textId="77777777" w:rsidR="001E6B14" w:rsidRDefault="001E6B14" w:rsidP="001E6B14">
      <w:proofErr w:type="spellStart"/>
      <w:r w:rsidRPr="00292C02">
        <w:t>Mioshi</w:t>
      </w:r>
      <w:proofErr w:type="spellEnd"/>
      <w:r w:rsidRPr="00292C02">
        <w:t>, E., Foxe, D., Leslie, F., Savage, S., Hsieh, S., Miller, L., Hodges, J.R. and Piguet, O., 2013. The impact of dementia severity on caregiver burden in frontotemporal dementia and Alzheimer disease. </w:t>
      </w:r>
      <w:r w:rsidRPr="00292C02">
        <w:rPr>
          <w:i/>
          <w:iCs/>
        </w:rPr>
        <w:t>Alzheimer Disease &amp; Associated Disorders</w:t>
      </w:r>
      <w:r w:rsidRPr="00292C02">
        <w:t>, </w:t>
      </w:r>
      <w:r w:rsidRPr="00292C02">
        <w:rPr>
          <w:i/>
          <w:iCs/>
        </w:rPr>
        <w:t>27</w:t>
      </w:r>
      <w:r w:rsidRPr="00292C02">
        <w:t>(1), pp.68-73.</w:t>
      </w:r>
    </w:p>
    <w:p w14:paraId="0BC9ED40" w14:textId="77777777" w:rsidR="001E6B14" w:rsidRDefault="001E6B14" w:rsidP="001E6B14">
      <w:r w:rsidRPr="00292C02">
        <w:t>Moriarty, J., Manthorpe, J. and Harris, J., 2019. Working on the edge: changes in the content and delivery of social care. </w:t>
      </w:r>
      <w:r w:rsidRPr="00292C02">
        <w:rPr>
          <w:i/>
          <w:iCs/>
        </w:rPr>
        <w:t>Working with Older People</w:t>
      </w:r>
      <w:r w:rsidRPr="00292C02">
        <w:t>, </w:t>
      </w:r>
      <w:r w:rsidRPr="00292C02">
        <w:rPr>
          <w:i/>
          <w:iCs/>
        </w:rPr>
        <w:t>23</w:t>
      </w:r>
      <w:r w:rsidRPr="00292C02">
        <w:t>(4), pp.208-216.</w:t>
      </w:r>
    </w:p>
    <w:p w14:paraId="5C9F64B3" w14:textId="77777777" w:rsidR="001E6B14" w:rsidRDefault="001E6B14" w:rsidP="001E6B14">
      <w:r w:rsidRPr="00292C02">
        <w:t>Moriarty, J., Sharif, N. and Robinson, J., 2011. SCIE Research Briefing 35: Black and minority ethnic people with dementia and their access to support and services.</w:t>
      </w:r>
    </w:p>
    <w:p w14:paraId="69E7068F" w14:textId="77777777" w:rsidR="001E6B14" w:rsidRPr="004216CB" w:rsidRDefault="001E6B14" w:rsidP="001E6B14">
      <w:r w:rsidRPr="004216CB">
        <w:t xml:space="preserve">NHS England. 2019. </w:t>
      </w:r>
      <w:r w:rsidRPr="004216CB">
        <w:rPr>
          <w:i/>
          <w:iCs/>
        </w:rPr>
        <w:t>The NHS Long Term Plan</w:t>
      </w:r>
      <w:r w:rsidRPr="004216CB">
        <w:t xml:space="preserve">. Available at: </w:t>
      </w:r>
      <w:hyperlink r:id="rId11" w:history="1">
        <w:r w:rsidRPr="00292C02">
          <w:rPr>
            <w:rStyle w:val="Hyperlink"/>
          </w:rPr>
          <w:t>https://www.longtermplan.nhs.uk/</w:t>
        </w:r>
      </w:hyperlink>
      <w:r w:rsidRPr="004216CB">
        <w:t xml:space="preserve"> [Accessed 26 July 2025].</w:t>
      </w:r>
    </w:p>
    <w:p w14:paraId="5EF38C7D" w14:textId="77777777" w:rsidR="001E6B14" w:rsidRPr="00D75494" w:rsidRDefault="001E6B14" w:rsidP="001E6B14">
      <w:r w:rsidRPr="009C0D00">
        <w:t>NHS England</w:t>
      </w:r>
      <w:r>
        <w:t xml:space="preserve">. </w:t>
      </w:r>
      <w:r w:rsidRPr="009C0D00">
        <w:t xml:space="preserve">2020. </w:t>
      </w:r>
      <w:r w:rsidRPr="009C0D00">
        <w:rPr>
          <w:i/>
          <w:iCs/>
        </w:rPr>
        <w:t>What are Integrated Care Systems?</w:t>
      </w:r>
      <w:r w:rsidRPr="009C0D00">
        <w:t xml:space="preserve"> Available at: </w:t>
      </w:r>
      <w:hyperlink r:id="rId12" w:tgtFrame="_blank" w:history="1">
        <w:r w:rsidRPr="009C0D00">
          <w:rPr>
            <w:rStyle w:val="Hyperlink"/>
          </w:rPr>
          <w:t>https://www.england.nhs.uk/integratedcare/</w:t>
        </w:r>
      </w:hyperlink>
      <w:r>
        <w:t xml:space="preserve"> </w:t>
      </w:r>
      <w:r w:rsidRPr="004216CB">
        <w:t>[Accessed 26 July 2025].</w:t>
      </w:r>
    </w:p>
    <w:p w14:paraId="406190DF" w14:textId="77777777" w:rsidR="001E6B14" w:rsidRPr="00D75494" w:rsidRDefault="001E6B14" w:rsidP="001E6B14">
      <w:r w:rsidRPr="00D75494">
        <w:t xml:space="preserve">NHS England. 2023. Integrated care systems and dementia: a guide for implementation. Available at: </w:t>
      </w:r>
      <w:hyperlink r:id="rId13" w:tgtFrame="_blank" w:history="1">
        <w:r w:rsidRPr="00D75494">
          <w:rPr>
            <w:rStyle w:val="Hyperlink"/>
          </w:rPr>
          <w:t>https://www.england.nhs.uk</w:t>
        </w:r>
      </w:hyperlink>
      <w:r w:rsidRPr="00D75494">
        <w:t xml:space="preserve"> [Accessed: 25 July 2025].</w:t>
      </w:r>
    </w:p>
    <w:p w14:paraId="79FF7F58" w14:textId="77777777" w:rsidR="001E6B14" w:rsidRPr="00D75494" w:rsidRDefault="001E6B14" w:rsidP="001E6B14">
      <w:r w:rsidRPr="00D75494">
        <w:t>NICE</w:t>
      </w:r>
      <w:r>
        <w:t xml:space="preserve">. </w:t>
      </w:r>
      <w:r w:rsidRPr="00D75494">
        <w:t xml:space="preserve">2018. Dementia: Assessment, management and support for people living with dementia and their </w:t>
      </w:r>
      <w:proofErr w:type="spellStart"/>
      <w:r w:rsidRPr="00D75494">
        <w:t>carers</w:t>
      </w:r>
      <w:proofErr w:type="spellEnd"/>
      <w:r w:rsidRPr="00D75494">
        <w:t xml:space="preserve">. NICE guideline [NG97]. Available at: </w:t>
      </w:r>
      <w:hyperlink r:id="rId14" w:tgtFrame="_blank" w:history="1">
        <w:r w:rsidRPr="00D75494">
          <w:rPr>
            <w:rStyle w:val="Hyperlink"/>
          </w:rPr>
          <w:t>https://www.nice.org.uk/guidance/ng97</w:t>
        </w:r>
      </w:hyperlink>
      <w:r w:rsidRPr="00D75494">
        <w:t xml:space="preserve"> [Accessed 24 July 2025].</w:t>
      </w:r>
    </w:p>
    <w:p w14:paraId="59C545FC" w14:textId="77777777" w:rsidR="001E6B14" w:rsidRDefault="001E6B14" w:rsidP="001E6B14">
      <w:r w:rsidRPr="00292C02">
        <w:t>Noble, H. and Smith, J., 2015. Issues of validity and reliability in qualitative research. </w:t>
      </w:r>
      <w:r w:rsidRPr="00292C02">
        <w:rPr>
          <w:i/>
          <w:iCs/>
        </w:rPr>
        <w:t>Evidence-based nursing</w:t>
      </w:r>
      <w:r w:rsidRPr="00292C02">
        <w:t>, </w:t>
      </w:r>
      <w:r w:rsidRPr="00292C02">
        <w:rPr>
          <w:i/>
          <w:iCs/>
        </w:rPr>
        <w:t>18</w:t>
      </w:r>
      <w:r w:rsidRPr="00292C02">
        <w:t>(2), pp.34-35.</w:t>
      </w:r>
    </w:p>
    <w:p w14:paraId="001AA77F" w14:textId="77777777" w:rsidR="001E6B14" w:rsidRDefault="001E6B14" w:rsidP="001E6B14">
      <w:r w:rsidRPr="00292C02">
        <w:lastRenderedPageBreak/>
        <w:t>Nowell, L.S., Norris, J.M., White, D.E. and Moules, N.J., 2017. Thematic analysis: Striving to meet the trustworthiness criteria. </w:t>
      </w:r>
      <w:r w:rsidRPr="00292C02">
        <w:rPr>
          <w:i/>
          <w:iCs/>
        </w:rPr>
        <w:t>International journal of qualitative methods</w:t>
      </w:r>
      <w:r w:rsidRPr="00292C02">
        <w:t>, </w:t>
      </w:r>
      <w:r w:rsidRPr="00292C02">
        <w:rPr>
          <w:i/>
          <w:iCs/>
        </w:rPr>
        <w:t>16</w:t>
      </w:r>
      <w:r w:rsidRPr="00292C02">
        <w:t>(1), p.1609406917733847.</w:t>
      </w:r>
    </w:p>
    <w:p w14:paraId="1998698A" w14:textId="77777777" w:rsidR="001E6B14" w:rsidRDefault="001E6B14" w:rsidP="001E6B14">
      <w:r w:rsidRPr="00292C02">
        <w:t>Orrell, M., Yates, L., Leung, P., Kang, S., Hoare, Z., Whitaker, C., Burns, A., Knapp, M., Leroi, I., Moniz-Cook, E. and Pearson, S., 2017. The impact of individual Cognitive Stimulation Therapy (</w:t>
      </w:r>
      <w:proofErr w:type="spellStart"/>
      <w:r w:rsidRPr="00292C02">
        <w:t>iCST</w:t>
      </w:r>
      <w:proofErr w:type="spellEnd"/>
      <w:r w:rsidRPr="00292C02">
        <w:t>) on cognition, quality of life, caregiver health, and family relationships in dementia: A randomised controlled trial. </w:t>
      </w:r>
      <w:proofErr w:type="spellStart"/>
      <w:r w:rsidRPr="00292C02">
        <w:rPr>
          <w:i/>
          <w:iCs/>
        </w:rPr>
        <w:t>PLoS</w:t>
      </w:r>
      <w:proofErr w:type="spellEnd"/>
      <w:r w:rsidRPr="00292C02">
        <w:rPr>
          <w:i/>
          <w:iCs/>
        </w:rPr>
        <w:t xml:space="preserve"> medicine</w:t>
      </w:r>
      <w:r w:rsidRPr="00292C02">
        <w:t>, </w:t>
      </w:r>
      <w:r w:rsidRPr="00292C02">
        <w:rPr>
          <w:i/>
          <w:iCs/>
        </w:rPr>
        <w:t>14</w:t>
      </w:r>
      <w:r w:rsidRPr="00292C02">
        <w:t>(3), p.e1002269.</w:t>
      </w:r>
    </w:p>
    <w:p w14:paraId="071581AB" w14:textId="77777777" w:rsidR="001E6B14" w:rsidRDefault="001E6B14" w:rsidP="001E6B14">
      <w:r w:rsidRPr="00D21E83">
        <w:t>Papaioannou, D., Sutton, A. and Booth, A., 2016. Systematic approaches to a successful literature review. </w:t>
      </w:r>
      <w:r w:rsidRPr="00D21E83">
        <w:rPr>
          <w:i/>
          <w:iCs/>
        </w:rPr>
        <w:t>Systematic approaches to a successful literature review</w:t>
      </w:r>
      <w:r w:rsidRPr="00D21E83">
        <w:t>, pp.1-336.</w:t>
      </w:r>
    </w:p>
    <w:p w14:paraId="5F1C373F" w14:textId="77777777" w:rsidR="001E6B14" w:rsidRDefault="001E6B14" w:rsidP="001E6B14">
      <w:r w:rsidRPr="00292C02">
        <w:t>Park, D.C. and Reuter-Lorenz, P., 2009. The adaptive brain: aging and neurocognitive scaffolding. </w:t>
      </w:r>
      <w:r w:rsidRPr="00292C02">
        <w:rPr>
          <w:i/>
          <w:iCs/>
        </w:rPr>
        <w:t>Annual review of psychology</w:t>
      </w:r>
      <w:r w:rsidRPr="00292C02">
        <w:t>, </w:t>
      </w:r>
      <w:r w:rsidRPr="00292C02">
        <w:rPr>
          <w:i/>
          <w:iCs/>
        </w:rPr>
        <w:t>60</w:t>
      </w:r>
      <w:r w:rsidRPr="00292C02">
        <w:t>(1), pp.173-196.</w:t>
      </w:r>
    </w:p>
    <w:p w14:paraId="58804BC6" w14:textId="77777777" w:rsidR="001E6B14" w:rsidRDefault="001E6B14" w:rsidP="001E6B14">
      <w:r w:rsidRPr="00292C02">
        <w:t xml:space="preserve">Parveen, S. and </w:t>
      </w:r>
      <w:proofErr w:type="spellStart"/>
      <w:r w:rsidRPr="00292C02">
        <w:t>Oyebode</w:t>
      </w:r>
      <w:proofErr w:type="spellEnd"/>
      <w:r w:rsidRPr="00292C02">
        <w:t>, J., 2018. Dementia and minority ethnic carers. </w:t>
      </w:r>
      <w:r w:rsidRPr="00292C02">
        <w:rPr>
          <w:i/>
          <w:iCs/>
        </w:rPr>
        <w:t>Better health briefing</w:t>
      </w:r>
      <w:r w:rsidRPr="00292C02">
        <w:t>, </w:t>
      </w:r>
      <w:r w:rsidRPr="00292C02">
        <w:rPr>
          <w:i/>
          <w:iCs/>
        </w:rPr>
        <w:t>46</w:t>
      </w:r>
      <w:r w:rsidRPr="00292C02">
        <w:t>, p.12.</w:t>
      </w:r>
    </w:p>
    <w:p w14:paraId="4CE7DFD1" w14:textId="77777777" w:rsidR="001E6B14" w:rsidRDefault="001E6B14" w:rsidP="001E6B14">
      <w:proofErr w:type="spellStart"/>
      <w:r w:rsidRPr="00A4362E">
        <w:t>Pearlin</w:t>
      </w:r>
      <w:proofErr w:type="spellEnd"/>
      <w:r w:rsidRPr="00A4362E">
        <w:t>, L.I., Mullan, J.T., Semple, S.J. and Skaff, M.M., 1990. Caregiving and the stress process: An overview of concepts and their measures. </w:t>
      </w:r>
      <w:r w:rsidRPr="00A4362E">
        <w:rPr>
          <w:i/>
          <w:iCs/>
        </w:rPr>
        <w:t>The gerontologist</w:t>
      </w:r>
      <w:r w:rsidRPr="00A4362E">
        <w:t>, </w:t>
      </w:r>
      <w:r w:rsidRPr="00A4362E">
        <w:rPr>
          <w:i/>
          <w:iCs/>
        </w:rPr>
        <w:t>30</w:t>
      </w:r>
      <w:r w:rsidRPr="00A4362E">
        <w:t>(5), pp.583-594.</w:t>
      </w:r>
    </w:p>
    <w:p w14:paraId="76823C8C" w14:textId="77777777" w:rsidR="001E6B14" w:rsidRDefault="001E6B14" w:rsidP="001E6B14">
      <w:r w:rsidRPr="00A4362E">
        <w:t>Putnam, R.D., 2000. </w:t>
      </w:r>
      <w:r w:rsidRPr="00A4362E">
        <w:rPr>
          <w:i/>
          <w:iCs/>
        </w:rPr>
        <w:t>Bowling alone: The collapse and revival of American community</w:t>
      </w:r>
      <w:r w:rsidRPr="00A4362E">
        <w:t xml:space="preserve">. Simon and </w:t>
      </w:r>
      <w:proofErr w:type="spellStart"/>
      <w:r w:rsidRPr="00A4362E">
        <w:t>schuster</w:t>
      </w:r>
      <w:proofErr w:type="spellEnd"/>
      <w:r w:rsidRPr="00A4362E">
        <w:t>.</w:t>
      </w:r>
    </w:p>
    <w:p w14:paraId="7D59CF13" w14:textId="77777777" w:rsidR="001E6B14" w:rsidRPr="0035109C" w:rsidRDefault="001E6B14" w:rsidP="001E6B14">
      <w:r w:rsidRPr="00890605">
        <w:t>Resnik, D.B. 2020</w:t>
      </w:r>
      <w:r w:rsidRPr="00732DA0">
        <w:t>.</w:t>
      </w:r>
      <w:r w:rsidRPr="00890605">
        <w:t xml:space="preserve"> ‘What is ethics in research &amp; why is it important?’, </w:t>
      </w:r>
      <w:r w:rsidRPr="00890605">
        <w:rPr>
          <w:i/>
          <w:iCs/>
        </w:rPr>
        <w:t>National Institute of Environmental Health Sciences</w:t>
      </w:r>
      <w:r w:rsidRPr="00890605">
        <w:t xml:space="preserve">. Available at: </w:t>
      </w:r>
      <w:hyperlink r:id="rId15" w:history="1">
        <w:r w:rsidRPr="00890605">
          <w:rPr>
            <w:rStyle w:val="Hyperlink"/>
            <w:rFonts w:cs="Arial"/>
            <w:sz w:val="24"/>
            <w:szCs w:val="24"/>
          </w:rPr>
          <w:t>https://www.niehs.nih.gov/research/resources/bioethics/whatis/index.cfm</w:t>
        </w:r>
      </w:hyperlink>
      <w:r w:rsidRPr="00890605">
        <w:t xml:space="preserve"> (Accessed: 28 July 2025).</w:t>
      </w:r>
    </w:p>
    <w:p w14:paraId="796A14CB" w14:textId="77777777" w:rsidR="001E6B14" w:rsidRDefault="001E6B14" w:rsidP="001E6B14">
      <w:r w:rsidRPr="00FF06E4">
        <w:t>Ryan Richard, M. and Deci, E.L., 2000. Self-determination theory and the facilitation of intrinsic motivation, social development, and well-being. </w:t>
      </w:r>
      <w:r w:rsidRPr="00FF06E4">
        <w:rPr>
          <w:i/>
          <w:iCs/>
        </w:rPr>
        <w:t>American Psychologist</w:t>
      </w:r>
      <w:r w:rsidRPr="00FF06E4">
        <w:t>, </w:t>
      </w:r>
      <w:r w:rsidRPr="00FF06E4">
        <w:rPr>
          <w:i/>
          <w:iCs/>
        </w:rPr>
        <w:t>55</w:t>
      </w:r>
      <w:r w:rsidRPr="00FF06E4">
        <w:t>(1), pp.68-78.</w:t>
      </w:r>
    </w:p>
    <w:p w14:paraId="75ACAA8D" w14:textId="77777777" w:rsidR="001E6B14" w:rsidRDefault="001E6B14" w:rsidP="001E6B14">
      <w:r w:rsidRPr="00A4362E">
        <w:t>Sen, A., 1999. Development as Freedom Oxford University Press Shaw TM &amp; Heard. </w:t>
      </w:r>
      <w:r w:rsidRPr="00A4362E">
        <w:rPr>
          <w:i/>
          <w:iCs/>
        </w:rPr>
        <w:t>The Politics of Africa: Dependence and Development</w:t>
      </w:r>
      <w:r w:rsidRPr="00A4362E">
        <w:t>.</w:t>
      </w:r>
    </w:p>
    <w:p w14:paraId="7C17D855" w14:textId="77777777" w:rsidR="001E6B14" w:rsidRDefault="001E6B14" w:rsidP="001E6B14">
      <w:r w:rsidRPr="00A4362E">
        <w:t xml:space="preserve">Shakespeare, T., </w:t>
      </w:r>
      <w:proofErr w:type="spellStart"/>
      <w:r w:rsidRPr="00A4362E">
        <w:t>Zeilig</w:t>
      </w:r>
      <w:proofErr w:type="spellEnd"/>
      <w:r w:rsidRPr="00A4362E">
        <w:t>, H. and Mittler, P., 2019. Rights in mind: Thinking differently about dementia and disability. </w:t>
      </w:r>
      <w:r w:rsidRPr="00A4362E">
        <w:rPr>
          <w:i/>
          <w:iCs/>
        </w:rPr>
        <w:t>Dementia</w:t>
      </w:r>
      <w:r w:rsidRPr="00A4362E">
        <w:t>, </w:t>
      </w:r>
      <w:r w:rsidRPr="00A4362E">
        <w:rPr>
          <w:i/>
          <w:iCs/>
        </w:rPr>
        <w:t>18</w:t>
      </w:r>
      <w:r w:rsidRPr="00A4362E">
        <w:t>(3), pp.1075-1088.</w:t>
      </w:r>
    </w:p>
    <w:p w14:paraId="39D3317C" w14:textId="77777777" w:rsidR="001E6B14" w:rsidRDefault="001E6B14" w:rsidP="001E6B14">
      <w:r w:rsidRPr="00A4362E">
        <w:lastRenderedPageBreak/>
        <w:t>Spector, A., Orrell, M., Davies, S. and Woods, B., 200</w:t>
      </w:r>
      <w:r>
        <w:t>3</w:t>
      </w:r>
      <w:r w:rsidRPr="00A4362E">
        <w:t>. Can reality orientation be rehabilitated? Development and piloting of an evidence-based programme of cognition-based therapies for people with dementia. </w:t>
      </w:r>
      <w:r w:rsidRPr="00A4362E">
        <w:rPr>
          <w:i/>
          <w:iCs/>
        </w:rPr>
        <w:t>Neuropsychological Rehabilitation</w:t>
      </w:r>
      <w:r w:rsidRPr="00A4362E">
        <w:t>, </w:t>
      </w:r>
      <w:r w:rsidRPr="00A4362E">
        <w:rPr>
          <w:i/>
          <w:iCs/>
        </w:rPr>
        <w:t>11</w:t>
      </w:r>
      <w:r w:rsidRPr="00A4362E">
        <w:t>(3-4), pp.377-397.</w:t>
      </w:r>
    </w:p>
    <w:p w14:paraId="761E3E95" w14:textId="77777777" w:rsidR="001E6B14" w:rsidRDefault="001E6B14" w:rsidP="001E6B14">
      <w:r w:rsidRPr="00D94267">
        <w:t>Stanyon, M.R., Goldberg, S.E., Astle, A., Griffiths, A. and Gordon, A.L., 2017. The competencies of Registered Nurses working in care homes: a modified Delphi study. </w:t>
      </w:r>
      <w:r w:rsidRPr="00D94267">
        <w:rPr>
          <w:i/>
          <w:iCs/>
        </w:rPr>
        <w:t>Age and Ageing</w:t>
      </w:r>
      <w:r w:rsidRPr="00D94267">
        <w:t>, </w:t>
      </w:r>
      <w:r w:rsidRPr="00D94267">
        <w:rPr>
          <w:i/>
          <w:iCs/>
        </w:rPr>
        <w:t>46</w:t>
      </w:r>
      <w:r w:rsidRPr="00D94267">
        <w:t>(4), pp.582-588.</w:t>
      </w:r>
    </w:p>
    <w:p w14:paraId="0153C07C" w14:textId="77777777" w:rsidR="001E6B14" w:rsidRDefault="001E6B14" w:rsidP="001E6B14">
      <w:r w:rsidRPr="00D94267">
        <w:t>Tay, L. and Diener, E., 2011. Needs and subjective well-being around the world. </w:t>
      </w:r>
      <w:r w:rsidRPr="00D94267">
        <w:rPr>
          <w:i/>
          <w:iCs/>
        </w:rPr>
        <w:t xml:space="preserve">Journal of </w:t>
      </w:r>
      <w:r>
        <w:rPr>
          <w:i/>
          <w:iCs/>
        </w:rPr>
        <w:t>Personality</w:t>
      </w:r>
      <w:r w:rsidRPr="00D94267">
        <w:rPr>
          <w:i/>
          <w:iCs/>
        </w:rPr>
        <w:t xml:space="preserve"> and </w:t>
      </w:r>
      <w:r>
        <w:rPr>
          <w:i/>
          <w:iCs/>
        </w:rPr>
        <w:t>Social Psychology</w:t>
      </w:r>
      <w:r w:rsidRPr="00D94267">
        <w:t>, </w:t>
      </w:r>
      <w:r w:rsidRPr="00D94267">
        <w:rPr>
          <w:i/>
          <w:iCs/>
        </w:rPr>
        <w:t>101</w:t>
      </w:r>
      <w:r w:rsidRPr="00D94267">
        <w:t>(2), p.354.</w:t>
      </w:r>
    </w:p>
    <w:p w14:paraId="050C0D52" w14:textId="77777777" w:rsidR="001E6B14" w:rsidRDefault="001E6B14" w:rsidP="001E6B14">
      <w:r w:rsidRPr="00D94267">
        <w:t>Taylor-Gooby, P., 2013. The double crisis of the welfare state. In </w:t>
      </w:r>
      <w:r w:rsidRPr="00D94267">
        <w:rPr>
          <w:i/>
          <w:iCs/>
        </w:rPr>
        <w:t>The double crisis of the welfare state and what we can do about it</w:t>
      </w:r>
      <w:r w:rsidRPr="00D94267">
        <w:t> (pp. 1-25). London: Palgrave Macmillan UK.</w:t>
      </w:r>
    </w:p>
    <w:p w14:paraId="3A67C614" w14:textId="77777777" w:rsidR="001E6B14" w:rsidRDefault="001E6B14" w:rsidP="001E6B14">
      <w:r w:rsidRPr="00D94267">
        <w:t>Thane, P., 2016. </w:t>
      </w:r>
      <w:r w:rsidRPr="00D94267">
        <w:rPr>
          <w:i/>
          <w:iCs/>
        </w:rPr>
        <w:t>The foundations of the welfare state</w:t>
      </w:r>
      <w:r w:rsidRPr="00D94267">
        <w:t>. Routledge.</w:t>
      </w:r>
    </w:p>
    <w:p w14:paraId="3A26B096" w14:textId="77777777" w:rsidR="001E6B14" w:rsidRPr="004216CB" w:rsidRDefault="001E6B14" w:rsidP="001E6B14">
      <w:r w:rsidRPr="004216CB">
        <w:t xml:space="preserve">The Equality Act. 2010. </w:t>
      </w:r>
      <w:r w:rsidRPr="004216CB">
        <w:rPr>
          <w:i/>
          <w:iCs/>
        </w:rPr>
        <w:t>Equality Act 2010: Guidance</w:t>
      </w:r>
      <w:r w:rsidRPr="004216CB">
        <w:t>. London: HM Government.</w:t>
      </w:r>
      <w:r>
        <w:t xml:space="preserve"> </w:t>
      </w:r>
      <w:r w:rsidRPr="00D75494">
        <w:t>Available at:</w:t>
      </w:r>
      <w:r>
        <w:t xml:space="preserve"> </w:t>
      </w:r>
      <w:hyperlink r:id="rId16" w:anchor=":~:text=Equality%20Act%20provisions%20which%20came,work%2C%20education%2C%20associations%20and%20transport" w:history="1">
        <w:r w:rsidRPr="00F95248">
          <w:rPr>
            <w:rStyle w:val="Hyperlink"/>
          </w:rPr>
          <w:t>https://www.gov.uk/guidance/equality-act-2010-guidance#:~:text=Equality%20Act%20provisions%20which%20came,work%2C%20education%2C%20associations%20and%20transport</w:t>
        </w:r>
      </w:hyperlink>
      <w:r>
        <w:t xml:space="preserve"> </w:t>
      </w:r>
      <w:r w:rsidRPr="00D75494">
        <w:t>[Accessed: 25 July 2025].</w:t>
      </w:r>
    </w:p>
    <w:p w14:paraId="7951315F" w14:textId="77777777" w:rsidR="001E6B14" w:rsidRPr="00D75494" w:rsidRDefault="001E6B14" w:rsidP="001E6B14">
      <w:r w:rsidRPr="00D75494">
        <w:t xml:space="preserve">The King's Fund. 2022. Reimagining community services: Making the most of our assets. Available at: </w:t>
      </w:r>
      <w:hyperlink r:id="rId17" w:tgtFrame="_blank" w:history="1">
        <w:r w:rsidRPr="00D75494">
          <w:rPr>
            <w:rStyle w:val="Hyperlink"/>
          </w:rPr>
          <w:t>https://www.kingsfund.org.uk/publications/community-services-assets</w:t>
        </w:r>
      </w:hyperlink>
      <w:r w:rsidRPr="00D75494">
        <w:t xml:space="preserve"> [Accessed: 25 July 2025].</w:t>
      </w:r>
    </w:p>
    <w:p w14:paraId="3AE00345" w14:textId="77777777" w:rsidR="001E6B14" w:rsidRPr="00D75494" w:rsidRDefault="001E6B14" w:rsidP="001E6B14">
      <w:r w:rsidRPr="00292C02">
        <w:t>Warrick, N., Prorok, J.C. and Seitz, D., 2018. Care of community-dwelling older adults with dementia and their caregivers. </w:t>
      </w:r>
      <w:proofErr w:type="spellStart"/>
      <w:r w:rsidRPr="00292C02">
        <w:rPr>
          <w:i/>
          <w:iCs/>
        </w:rPr>
        <w:t>Cmaj</w:t>
      </w:r>
      <w:proofErr w:type="spellEnd"/>
      <w:r w:rsidRPr="00292C02">
        <w:t>, </w:t>
      </w:r>
      <w:r w:rsidRPr="00292C02">
        <w:rPr>
          <w:i/>
          <w:iCs/>
        </w:rPr>
        <w:t>190</w:t>
      </w:r>
      <w:r w:rsidRPr="00292C02">
        <w:t xml:space="preserve">(26), </w:t>
      </w:r>
      <w:proofErr w:type="gramStart"/>
      <w:r w:rsidRPr="00292C02">
        <w:t>pp.E</w:t>
      </w:r>
      <w:proofErr w:type="gramEnd"/>
      <w:r w:rsidRPr="00292C02">
        <w:t>794-E799.</w:t>
      </w:r>
    </w:p>
    <w:p w14:paraId="3EEA4E5A" w14:textId="77777777" w:rsidR="001E6B14" w:rsidRDefault="001E6B14" w:rsidP="001E6B14">
      <w:r w:rsidRPr="00AD0CA0">
        <w:t>Watson, J., Giebel, C., Green, M., Darlington</w:t>
      </w:r>
      <w:r w:rsidRPr="00AD0CA0">
        <w:rPr>
          <w:rFonts w:ascii="Cambria Math" w:hAnsi="Cambria Math" w:cs="Cambria Math"/>
        </w:rPr>
        <w:t>‐</w:t>
      </w:r>
      <w:r w:rsidRPr="00AD0CA0">
        <w:t>Pollock, F. and Akpan, A., 2021. Use of routine and cohort data globally in exploring dementia care pathways and inequalities: A systematic review.</w:t>
      </w:r>
    </w:p>
    <w:p w14:paraId="3DCC95D5" w14:textId="77777777" w:rsidR="001E6B14" w:rsidRDefault="001E6B14" w:rsidP="001E6B14">
      <w:r w:rsidRPr="00D94267">
        <w:t xml:space="preserve">Zhao, W., Wu, M.L., </w:t>
      </w:r>
      <w:proofErr w:type="spellStart"/>
      <w:r w:rsidRPr="00D94267">
        <w:t>Petsky</w:t>
      </w:r>
      <w:proofErr w:type="spellEnd"/>
      <w:r w:rsidRPr="00D94267">
        <w:t>, H. and Moyle, W., 2022. Family carers’ expectations regarding dementia care services and support in China: a qualitative study. </w:t>
      </w:r>
      <w:r w:rsidRPr="00D94267">
        <w:rPr>
          <w:i/>
          <w:iCs/>
        </w:rPr>
        <w:t>Dementia</w:t>
      </w:r>
      <w:r w:rsidRPr="00D94267">
        <w:t>, </w:t>
      </w:r>
      <w:r w:rsidRPr="00D94267">
        <w:rPr>
          <w:i/>
          <w:iCs/>
        </w:rPr>
        <w:t>21</w:t>
      </w:r>
      <w:r w:rsidRPr="00D94267">
        <w:t>(6), pp.2004-2019.</w:t>
      </w:r>
    </w:p>
    <w:p w14:paraId="796D96AA" w14:textId="77777777" w:rsidR="004216CB" w:rsidRDefault="004216CB" w:rsidP="004216CB"/>
    <w:p w14:paraId="58C8D491" w14:textId="77777777" w:rsidR="001E6B14" w:rsidRDefault="001E6B14" w:rsidP="004216CB"/>
    <w:p w14:paraId="431F207B" w14:textId="77777777" w:rsidR="001E6B14" w:rsidRDefault="001E6B14" w:rsidP="004216CB"/>
    <w:bookmarkEnd w:id="13"/>
    <w:p w14:paraId="79891CCA" w14:textId="77777777" w:rsidR="001E6B14" w:rsidRPr="009C0D00" w:rsidRDefault="001E6B14" w:rsidP="004216CB"/>
    <w:sectPr w:rsidR="001E6B14" w:rsidRPr="009C0D00" w:rsidSect="009C0D0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BA861" w14:textId="77777777" w:rsidR="00B207B7" w:rsidRPr="009C0D00" w:rsidRDefault="00B207B7" w:rsidP="00D75494">
      <w:pPr>
        <w:spacing w:after="0" w:line="240" w:lineRule="auto"/>
      </w:pPr>
      <w:r w:rsidRPr="009C0D00">
        <w:separator/>
      </w:r>
    </w:p>
  </w:endnote>
  <w:endnote w:type="continuationSeparator" w:id="0">
    <w:p w14:paraId="50A7AFD3" w14:textId="77777777" w:rsidR="00B207B7" w:rsidRPr="009C0D00" w:rsidRDefault="00B207B7" w:rsidP="00D75494">
      <w:pPr>
        <w:spacing w:after="0" w:line="240" w:lineRule="auto"/>
      </w:pPr>
      <w:r w:rsidRPr="009C0D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182609"/>
      <w:docPartObj>
        <w:docPartGallery w:val="Page Numbers (Bottom of Page)"/>
        <w:docPartUnique/>
      </w:docPartObj>
    </w:sdtPr>
    <w:sdtEndPr/>
    <w:sdtContent>
      <w:p w14:paraId="5BAAA6CE" w14:textId="2BF6034D" w:rsidR="00D75494" w:rsidRPr="009C0D00" w:rsidRDefault="00D75494">
        <w:pPr>
          <w:pStyle w:val="Footer"/>
          <w:jc w:val="right"/>
        </w:pPr>
        <w:r w:rsidRPr="009C0D00">
          <w:fldChar w:fldCharType="begin"/>
        </w:r>
        <w:r w:rsidRPr="009C0D00">
          <w:instrText xml:space="preserve"> PAGE   \* MERGEFORMAT </w:instrText>
        </w:r>
        <w:r w:rsidRPr="009C0D00">
          <w:fldChar w:fldCharType="separate"/>
        </w:r>
        <w:r w:rsidRPr="009C0D00">
          <w:t>2</w:t>
        </w:r>
        <w:r w:rsidRPr="009C0D00">
          <w:fldChar w:fldCharType="end"/>
        </w:r>
      </w:p>
    </w:sdtContent>
  </w:sdt>
  <w:p w14:paraId="2ED677D1" w14:textId="77777777" w:rsidR="00D75494" w:rsidRPr="009C0D00" w:rsidRDefault="00D75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71543" w14:textId="77777777" w:rsidR="00B207B7" w:rsidRPr="009C0D00" w:rsidRDefault="00B207B7" w:rsidP="00D75494">
      <w:pPr>
        <w:spacing w:after="0" w:line="240" w:lineRule="auto"/>
      </w:pPr>
      <w:r w:rsidRPr="009C0D00">
        <w:separator/>
      </w:r>
    </w:p>
  </w:footnote>
  <w:footnote w:type="continuationSeparator" w:id="0">
    <w:p w14:paraId="706F1A01" w14:textId="77777777" w:rsidR="00B207B7" w:rsidRPr="009C0D00" w:rsidRDefault="00B207B7" w:rsidP="00D75494">
      <w:pPr>
        <w:spacing w:after="0" w:line="240" w:lineRule="auto"/>
      </w:pPr>
      <w:r w:rsidRPr="009C0D0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3229"/>
    <w:multiLevelType w:val="hybridMultilevel"/>
    <w:tmpl w:val="10FE3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62ECB"/>
    <w:multiLevelType w:val="multilevel"/>
    <w:tmpl w:val="A1F4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C44D8"/>
    <w:multiLevelType w:val="multilevel"/>
    <w:tmpl w:val="B882C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A46147"/>
    <w:multiLevelType w:val="hybridMultilevel"/>
    <w:tmpl w:val="693E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128E6"/>
    <w:multiLevelType w:val="multilevel"/>
    <w:tmpl w:val="6A328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21770E"/>
    <w:multiLevelType w:val="hybridMultilevel"/>
    <w:tmpl w:val="2A10F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2841EB"/>
    <w:multiLevelType w:val="hybridMultilevel"/>
    <w:tmpl w:val="2DF0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C35D7"/>
    <w:multiLevelType w:val="multilevel"/>
    <w:tmpl w:val="5E6E2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8B4A82"/>
    <w:multiLevelType w:val="hybridMultilevel"/>
    <w:tmpl w:val="E65AB7F4"/>
    <w:lvl w:ilvl="0" w:tplc="7C86A58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DB31B6"/>
    <w:multiLevelType w:val="multilevel"/>
    <w:tmpl w:val="ACE8D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846EA1"/>
    <w:multiLevelType w:val="hybridMultilevel"/>
    <w:tmpl w:val="BD923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1F578D"/>
    <w:multiLevelType w:val="hybridMultilevel"/>
    <w:tmpl w:val="F7284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4F2400"/>
    <w:multiLevelType w:val="multilevel"/>
    <w:tmpl w:val="DEDAEFB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9F7494"/>
    <w:multiLevelType w:val="multilevel"/>
    <w:tmpl w:val="3AD66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7C19D0"/>
    <w:multiLevelType w:val="multilevel"/>
    <w:tmpl w:val="F2BCD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015B6E"/>
    <w:multiLevelType w:val="multilevel"/>
    <w:tmpl w:val="96C8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652A96"/>
    <w:multiLevelType w:val="multilevel"/>
    <w:tmpl w:val="CFFA5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CC24F2"/>
    <w:multiLevelType w:val="hybridMultilevel"/>
    <w:tmpl w:val="360A6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0976FD"/>
    <w:multiLevelType w:val="hybridMultilevel"/>
    <w:tmpl w:val="A3825236"/>
    <w:lvl w:ilvl="0" w:tplc="7C86A58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7"/>
  </w:num>
  <w:num w:numId="4">
    <w:abstractNumId w:val="13"/>
  </w:num>
  <w:num w:numId="5">
    <w:abstractNumId w:val="11"/>
  </w:num>
  <w:num w:numId="6">
    <w:abstractNumId w:val="15"/>
  </w:num>
  <w:num w:numId="7">
    <w:abstractNumId w:val="4"/>
  </w:num>
  <w:num w:numId="8">
    <w:abstractNumId w:val="16"/>
  </w:num>
  <w:num w:numId="9">
    <w:abstractNumId w:val="9"/>
  </w:num>
  <w:num w:numId="10">
    <w:abstractNumId w:val="14"/>
  </w:num>
  <w:num w:numId="11">
    <w:abstractNumId w:val="0"/>
  </w:num>
  <w:num w:numId="12">
    <w:abstractNumId w:val="8"/>
  </w:num>
  <w:num w:numId="13">
    <w:abstractNumId w:val="5"/>
  </w:num>
  <w:num w:numId="14">
    <w:abstractNumId w:val="6"/>
  </w:num>
  <w:num w:numId="15">
    <w:abstractNumId w:val="18"/>
  </w:num>
  <w:num w:numId="16">
    <w:abstractNumId w:val="17"/>
  </w:num>
  <w:num w:numId="17">
    <w:abstractNumId w:val="3"/>
  </w:num>
  <w:num w:numId="18">
    <w:abstractNumId w:val="10"/>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01A"/>
    <w:rsid w:val="0003127B"/>
    <w:rsid w:val="00032DBA"/>
    <w:rsid w:val="00032F0E"/>
    <w:rsid w:val="0004004B"/>
    <w:rsid w:val="00073575"/>
    <w:rsid w:val="00074D06"/>
    <w:rsid w:val="00093E4A"/>
    <w:rsid w:val="00094D06"/>
    <w:rsid w:val="000A4D3B"/>
    <w:rsid w:val="000B1F39"/>
    <w:rsid w:val="000F3166"/>
    <w:rsid w:val="0016709E"/>
    <w:rsid w:val="00196EF1"/>
    <w:rsid w:val="001B1606"/>
    <w:rsid w:val="001E52DD"/>
    <w:rsid w:val="001E6B14"/>
    <w:rsid w:val="00200065"/>
    <w:rsid w:val="002027E6"/>
    <w:rsid w:val="002231DD"/>
    <w:rsid w:val="002248C5"/>
    <w:rsid w:val="00254EC4"/>
    <w:rsid w:val="00291EF1"/>
    <w:rsid w:val="00292C02"/>
    <w:rsid w:val="00295E27"/>
    <w:rsid w:val="002A3A3A"/>
    <w:rsid w:val="002C63FC"/>
    <w:rsid w:val="002E1293"/>
    <w:rsid w:val="002F13DF"/>
    <w:rsid w:val="002F6440"/>
    <w:rsid w:val="00306C2F"/>
    <w:rsid w:val="003170E9"/>
    <w:rsid w:val="00330985"/>
    <w:rsid w:val="00334A2B"/>
    <w:rsid w:val="00345B96"/>
    <w:rsid w:val="0034682A"/>
    <w:rsid w:val="00365075"/>
    <w:rsid w:val="00367372"/>
    <w:rsid w:val="003858BC"/>
    <w:rsid w:val="003B26C8"/>
    <w:rsid w:val="003B33C8"/>
    <w:rsid w:val="003B7571"/>
    <w:rsid w:val="004216CB"/>
    <w:rsid w:val="00433F8B"/>
    <w:rsid w:val="00444521"/>
    <w:rsid w:val="00466445"/>
    <w:rsid w:val="00475CD0"/>
    <w:rsid w:val="004B23CB"/>
    <w:rsid w:val="004B3E0D"/>
    <w:rsid w:val="004D6528"/>
    <w:rsid w:val="00563F49"/>
    <w:rsid w:val="00580FEC"/>
    <w:rsid w:val="005A7DB3"/>
    <w:rsid w:val="005B7E1C"/>
    <w:rsid w:val="005D24B8"/>
    <w:rsid w:val="005F1735"/>
    <w:rsid w:val="00602B62"/>
    <w:rsid w:val="006151C0"/>
    <w:rsid w:val="006707CF"/>
    <w:rsid w:val="006B3E6C"/>
    <w:rsid w:val="006B507F"/>
    <w:rsid w:val="006B60C0"/>
    <w:rsid w:val="006C3C02"/>
    <w:rsid w:val="006E05CC"/>
    <w:rsid w:val="0071177B"/>
    <w:rsid w:val="0072601A"/>
    <w:rsid w:val="007A546F"/>
    <w:rsid w:val="007D3EDF"/>
    <w:rsid w:val="0080626F"/>
    <w:rsid w:val="00822F50"/>
    <w:rsid w:val="00825BF5"/>
    <w:rsid w:val="00827C58"/>
    <w:rsid w:val="008660A4"/>
    <w:rsid w:val="0089261F"/>
    <w:rsid w:val="0089549C"/>
    <w:rsid w:val="008C428D"/>
    <w:rsid w:val="008D42B5"/>
    <w:rsid w:val="00916D3F"/>
    <w:rsid w:val="00996450"/>
    <w:rsid w:val="009A3077"/>
    <w:rsid w:val="009C0D00"/>
    <w:rsid w:val="00A020E7"/>
    <w:rsid w:val="00A077F2"/>
    <w:rsid w:val="00A1490E"/>
    <w:rsid w:val="00A23EFB"/>
    <w:rsid w:val="00A4362E"/>
    <w:rsid w:val="00A54FF9"/>
    <w:rsid w:val="00A72F36"/>
    <w:rsid w:val="00AB360B"/>
    <w:rsid w:val="00AC5ADC"/>
    <w:rsid w:val="00AD0CA0"/>
    <w:rsid w:val="00AD2A85"/>
    <w:rsid w:val="00AF1D34"/>
    <w:rsid w:val="00B207B7"/>
    <w:rsid w:val="00B362C1"/>
    <w:rsid w:val="00B5378B"/>
    <w:rsid w:val="00B549FA"/>
    <w:rsid w:val="00B8182A"/>
    <w:rsid w:val="00B82B9E"/>
    <w:rsid w:val="00B83DF9"/>
    <w:rsid w:val="00BC109B"/>
    <w:rsid w:val="00BC6796"/>
    <w:rsid w:val="00BC7F33"/>
    <w:rsid w:val="00BD6E8E"/>
    <w:rsid w:val="00BF66E2"/>
    <w:rsid w:val="00C13CC9"/>
    <w:rsid w:val="00C2377D"/>
    <w:rsid w:val="00C30863"/>
    <w:rsid w:val="00C6527F"/>
    <w:rsid w:val="00CB51FF"/>
    <w:rsid w:val="00CB5FE6"/>
    <w:rsid w:val="00CF4EF5"/>
    <w:rsid w:val="00D21E83"/>
    <w:rsid w:val="00D527DB"/>
    <w:rsid w:val="00D75494"/>
    <w:rsid w:val="00D83162"/>
    <w:rsid w:val="00D94267"/>
    <w:rsid w:val="00DA08C3"/>
    <w:rsid w:val="00DC5D99"/>
    <w:rsid w:val="00DD33B5"/>
    <w:rsid w:val="00DD587C"/>
    <w:rsid w:val="00E00DE9"/>
    <w:rsid w:val="00E035CF"/>
    <w:rsid w:val="00E35ED9"/>
    <w:rsid w:val="00E47DD5"/>
    <w:rsid w:val="00E82772"/>
    <w:rsid w:val="00EA68EB"/>
    <w:rsid w:val="00F435C7"/>
    <w:rsid w:val="00F74BE0"/>
    <w:rsid w:val="00FE56D1"/>
    <w:rsid w:val="00FF06E4"/>
    <w:rsid w:val="00FF0F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188EC"/>
  <w15:chartTrackingRefBased/>
  <w15:docId w15:val="{E2DA4D63-3A22-4642-98D9-5D0219F53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01A"/>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72601A"/>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2601A"/>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7260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0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0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0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0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0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0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01A"/>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2601A"/>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7260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0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0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0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0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0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01A"/>
    <w:rPr>
      <w:rFonts w:eastAsiaTheme="majorEastAsia" w:cstheme="majorBidi"/>
      <w:color w:val="272727" w:themeColor="text1" w:themeTint="D8"/>
    </w:rPr>
  </w:style>
  <w:style w:type="paragraph" w:styleId="Title">
    <w:name w:val="Title"/>
    <w:basedOn w:val="Normal"/>
    <w:next w:val="Normal"/>
    <w:link w:val="TitleChar"/>
    <w:uiPriority w:val="10"/>
    <w:qFormat/>
    <w:rsid w:val="007260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0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0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0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01A"/>
    <w:pPr>
      <w:spacing w:before="160"/>
      <w:jc w:val="center"/>
    </w:pPr>
    <w:rPr>
      <w:i/>
      <w:iCs/>
      <w:color w:val="404040" w:themeColor="text1" w:themeTint="BF"/>
    </w:rPr>
  </w:style>
  <w:style w:type="character" w:customStyle="1" w:styleId="QuoteChar">
    <w:name w:val="Quote Char"/>
    <w:basedOn w:val="DefaultParagraphFont"/>
    <w:link w:val="Quote"/>
    <w:uiPriority w:val="29"/>
    <w:rsid w:val="0072601A"/>
    <w:rPr>
      <w:i/>
      <w:iCs/>
      <w:color w:val="404040" w:themeColor="text1" w:themeTint="BF"/>
    </w:rPr>
  </w:style>
  <w:style w:type="paragraph" w:styleId="ListParagraph">
    <w:name w:val="List Paragraph"/>
    <w:basedOn w:val="Normal"/>
    <w:uiPriority w:val="34"/>
    <w:qFormat/>
    <w:rsid w:val="0072601A"/>
    <w:pPr>
      <w:ind w:left="720"/>
      <w:contextualSpacing/>
    </w:pPr>
  </w:style>
  <w:style w:type="character" w:styleId="IntenseEmphasis">
    <w:name w:val="Intense Emphasis"/>
    <w:basedOn w:val="DefaultParagraphFont"/>
    <w:uiPriority w:val="21"/>
    <w:qFormat/>
    <w:rsid w:val="0072601A"/>
    <w:rPr>
      <w:i/>
      <w:iCs/>
      <w:color w:val="0F4761" w:themeColor="accent1" w:themeShade="BF"/>
    </w:rPr>
  </w:style>
  <w:style w:type="paragraph" w:styleId="IntenseQuote">
    <w:name w:val="Intense Quote"/>
    <w:basedOn w:val="Normal"/>
    <w:next w:val="Normal"/>
    <w:link w:val="IntenseQuoteChar"/>
    <w:uiPriority w:val="30"/>
    <w:qFormat/>
    <w:rsid w:val="007260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01A"/>
    <w:rPr>
      <w:i/>
      <w:iCs/>
      <w:color w:val="0F4761" w:themeColor="accent1" w:themeShade="BF"/>
    </w:rPr>
  </w:style>
  <w:style w:type="character" w:styleId="IntenseReference">
    <w:name w:val="Intense Reference"/>
    <w:basedOn w:val="DefaultParagraphFont"/>
    <w:uiPriority w:val="32"/>
    <w:qFormat/>
    <w:rsid w:val="0072601A"/>
    <w:rPr>
      <w:b/>
      <w:bCs/>
      <w:smallCaps/>
      <w:color w:val="0F4761" w:themeColor="accent1" w:themeShade="BF"/>
      <w:spacing w:val="5"/>
    </w:rPr>
  </w:style>
  <w:style w:type="character" w:styleId="Hyperlink">
    <w:name w:val="Hyperlink"/>
    <w:basedOn w:val="DefaultParagraphFont"/>
    <w:uiPriority w:val="99"/>
    <w:unhideWhenUsed/>
    <w:rsid w:val="0072601A"/>
    <w:rPr>
      <w:color w:val="467886" w:themeColor="hyperlink"/>
      <w:u w:val="single"/>
    </w:rPr>
  </w:style>
  <w:style w:type="character" w:styleId="UnresolvedMention">
    <w:name w:val="Unresolved Mention"/>
    <w:basedOn w:val="DefaultParagraphFont"/>
    <w:uiPriority w:val="99"/>
    <w:semiHidden/>
    <w:unhideWhenUsed/>
    <w:rsid w:val="0072601A"/>
    <w:rPr>
      <w:color w:val="605E5C"/>
      <w:shd w:val="clear" w:color="auto" w:fill="E1DFDD"/>
    </w:rPr>
  </w:style>
  <w:style w:type="paragraph" w:styleId="Header">
    <w:name w:val="header"/>
    <w:basedOn w:val="Normal"/>
    <w:link w:val="HeaderChar"/>
    <w:uiPriority w:val="99"/>
    <w:unhideWhenUsed/>
    <w:rsid w:val="00D75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94"/>
    <w:rPr>
      <w:rFonts w:ascii="Arial" w:hAnsi="Arial"/>
      <w:color w:val="000000" w:themeColor="text1"/>
    </w:rPr>
  </w:style>
  <w:style w:type="paragraph" w:styleId="Footer">
    <w:name w:val="footer"/>
    <w:basedOn w:val="Normal"/>
    <w:link w:val="FooterChar"/>
    <w:uiPriority w:val="99"/>
    <w:unhideWhenUsed/>
    <w:rsid w:val="00D75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94"/>
    <w:rPr>
      <w:rFonts w:ascii="Arial" w:hAnsi="Arial"/>
      <w:color w:val="000000" w:themeColor="text1"/>
    </w:rPr>
  </w:style>
  <w:style w:type="table" w:styleId="TableGrid">
    <w:name w:val="Table Grid"/>
    <w:basedOn w:val="TableNormal"/>
    <w:uiPriority w:val="59"/>
    <w:qFormat/>
    <w:rsid w:val="009C0D00"/>
    <w:pPr>
      <w:spacing w:after="220" w:line="240" w:lineRule="auto"/>
    </w:pPr>
    <w:rPr>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6445"/>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466445"/>
    <w:pPr>
      <w:spacing w:after="100"/>
    </w:pPr>
  </w:style>
  <w:style w:type="paragraph" w:styleId="TOC2">
    <w:name w:val="toc 2"/>
    <w:basedOn w:val="Normal"/>
    <w:next w:val="Normal"/>
    <w:autoRedefine/>
    <w:uiPriority w:val="39"/>
    <w:unhideWhenUsed/>
    <w:rsid w:val="00466445"/>
    <w:pPr>
      <w:spacing w:after="100"/>
      <w:ind w:left="220"/>
    </w:pPr>
  </w:style>
  <w:style w:type="paragraph" w:styleId="BodyText">
    <w:name w:val="Body Text"/>
    <w:basedOn w:val="Normal"/>
    <w:link w:val="BodyTextChar"/>
    <w:uiPriority w:val="1"/>
    <w:unhideWhenUsed/>
    <w:qFormat/>
    <w:rsid w:val="00A077F2"/>
    <w:pPr>
      <w:widowControl w:val="0"/>
      <w:autoSpaceDE w:val="0"/>
      <w:autoSpaceDN w:val="0"/>
      <w:spacing w:after="0" w:line="240" w:lineRule="auto"/>
      <w:jc w:val="left"/>
    </w:pPr>
    <w:rPr>
      <w:rFonts w:eastAsia="Calibri Light" w:cs="Calibri Light"/>
      <w:color w:val="auto"/>
      <w:lang w:eastAsia="en-GB" w:bidi="en-GB"/>
      <w14:ligatures w14:val="none"/>
    </w:rPr>
  </w:style>
  <w:style w:type="character" w:customStyle="1" w:styleId="BodyTextChar">
    <w:name w:val="Body Text Char"/>
    <w:basedOn w:val="DefaultParagraphFont"/>
    <w:link w:val="BodyText"/>
    <w:uiPriority w:val="1"/>
    <w:rsid w:val="00A077F2"/>
    <w:rPr>
      <w:rFonts w:ascii="Arial" w:eastAsia="Calibri Light" w:hAnsi="Arial" w:cs="Calibri Light"/>
      <w:lang w:eastAsia="en-GB" w:bidi="en-GB"/>
      <w14:ligatures w14:val="none"/>
    </w:rPr>
  </w:style>
  <w:style w:type="character" w:styleId="Strong">
    <w:name w:val="Strong"/>
    <w:basedOn w:val="DefaultParagraphFont"/>
    <w:uiPriority w:val="22"/>
    <w:qFormat/>
    <w:rsid w:val="006C3C02"/>
    <w:rPr>
      <w:b/>
      <w:bCs/>
    </w:rPr>
  </w:style>
  <w:style w:type="paragraph" w:styleId="TOC3">
    <w:name w:val="toc 3"/>
    <w:basedOn w:val="Normal"/>
    <w:next w:val="Normal"/>
    <w:autoRedefine/>
    <w:uiPriority w:val="39"/>
    <w:unhideWhenUsed/>
    <w:rsid w:val="00345B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3080">
      <w:bodyDiv w:val="1"/>
      <w:marLeft w:val="0"/>
      <w:marRight w:val="0"/>
      <w:marTop w:val="0"/>
      <w:marBottom w:val="0"/>
      <w:divBdr>
        <w:top w:val="none" w:sz="0" w:space="0" w:color="auto"/>
        <w:left w:val="none" w:sz="0" w:space="0" w:color="auto"/>
        <w:bottom w:val="none" w:sz="0" w:space="0" w:color="auto"/>
        <w:right w:val="none" w:sz="0" w:space="0" w:color="auto"/>
      </w:divBdr>
      <w:divsChild>
        <w:div w:id="781995309">
          <w:marLeft w:val="0"/>
          <w:marRight w:val="0"/>
          <w:marTop w:val="0"/>
          <w:marBottom w:val="0"/>
          <w:divBdr>
            <w:top w:val="none" w:sz="0" w:space="0" w:color="auto"/>
            <w:left w:val="none" w:sz="0" w:space="0" w:color="auto"/>
            <w:bottom w:val="none" w:sz="0" w:space="0" w:color="auto"/>
            <w:right w:val="none" w:sz="0" w:space="0" w:color="auto"/>
          </w:divBdr>
        </w:div>
        <w:div w:id="1352073619">
          <w:marLeft w:val="0"/>
          <w:marRight w:val="0"/>
          <w:marTop w:val="0"/>
          <w:marBottom w:val="0"/>
          <w:divBdr>
            <w:top w:val="none" w:sz="0" w:space="0" w:color="auto"/>
            <w:left w:val="none" w:sz="0" w:space="0" w:color="auto"/>
            <w:bottom w:val="none" w:sz="0" w:space="0" w:color="auto"/>
            <w:right w:val="none" w:sz="0" w:space="0" w:color="auto"/>
          </w:divBdr>
        </w:div>
        <w:div w:id="689988643">
          <w:marLeft w:val="0"/>
          <w:marRight w:val="0"/>
          <w:marTop w:val="0"/>
          <w:marBottom w:val="0"/>
          <w:divBdr>
            <w:top w:val="none" w:sz="0" w:space="0" w:color="auto"/>
            <w:left w:val="none" w:sz="0" w:space="0" w:color="auto"/>
            <w:bottom w:val="none" w:sz="0" w:space="0" w:color="auto"/>
            <w:right w:val="none" w:sz="0" w:space="0" w:color="auto"/>
          </w:divBdr>
          <w:divsChild>
            <w:div w:id="2111965157">
              <w:marLeft w:val="0"/>
              <w:marRight w:val="0"/>
              <w:marTop w:val="0"/>
              <w:marBottom w:val="0"/>
              <w:divBdr>
                <w:top w:val="none" w:sz="0" w:space="0" w:color="auto"/>
                <w:left w:val="none" w:sz="0" w:space="0" w:color="auto"/>
                <w:bottom w:val="none" w:sz="0" w:space="0" w:color="auto"/>
                <w:right w:val="none" w:sz="0" w:space="0" w:color="auto"/>
              </w:divBdr>
            </w:div>
            <w:div w:id="1447041426">
              <w:marLeft w:val="0"/>
              <w:marRight w:val="0"/>
              <w:marTop w:val="0"/>
              <w:marBottom w:val="0"/>
              <w:divBdr>
                <w:top w:val="none" w:sz="0" w:space="0" w:color="auto"/>
                <w:left w:val="none" w:sz="0" w:space="0" w:color="auto"/>
                <w:bottom w:val="none" w:sz="0" w:space="0" w:color="auto"/>
                <w:right w:val="none" w:sz="0" w:space="0" w:color="auto"/>
              </w:divBdr>
            </w:div>
            <w:div w:id="1959600765">
              <w:marLeft w:val="0"/>
              <w:marRight w:val="0"/>
              <w:marTop w:val="0"/>
              <w:marBottom w:val="0"/>
              <w:divBdr>
                <w:top w:val="none" w:sz="0" w:space="0" w:color="auto"/>
                <w:left w:val="none" w:sz="0" w:space="0" w:color="auto"/>
                <w:bottom w:val="none" w:sz="0" w:space="0" w:color="auto"/>
                <w:right w:val="none" w:sz="0" w:space="0" w:color="auto"/>
              </w:divBdr>
            </w:div>
            <w:div w:id="708724249">
              <w:marLeft w:val="0"/>
              <w:marRight w:val="0"/>
              <w:marTop w:val="0"/>
              <w:marBottom w:val="0"/>
              <w:divBdr>
                <w:top w:val="none" w:sz="0" w:space="0" w:color="auto"/>
                <w:left w:val="none" w:sz="0" w:space="0" w:color="auto"/>
                <w:bottom w:val="none" w:sz="0" w:space="0" w:color="auto"/>
                <w:right w:val="none" w:sz="0" w:space="0" w:color="auto"/>
              </w:divBdr>
            </w:div>
            <w:div w:id="1225681360">
              <w:marLeft w:val="0"/>
              <w:marRight w:val="0"/>
              <w:marTop w:val="0"/>
              <w:marBottom w:val="0"/>
              <w:divBdr>
                <w:top w:val="none" w:sz="0" w:space="0" w:color="auto"/>
                <w:left w:val="none" w:sz="0" w:space="0" w:color="auto"/>
                <w:bottom w:val="none" w:sz="0" w:space="0" w:color="auto"/>
                <w:right w:val="none" w:sz="0" w:space="0" w:color="auto"/>
              </w:divBdr>
            </w:div>
            <w:div w:id="1701129638">
              <w:marLeft w:val="0"/>
              <w:marRight w:val="0"/>
              <w:marTop w:val="0"/>
              <w:marBottom w:val="0"/>
              <w:divBdr>
                <w:top w:val="none" w:sz="0" w:space="0" w:color="auto"/>
                <w:left w:val="none" w:sz="0" w:space="0" w:color="auto"/>
                <w:bottom w:val="none" w:sz="0" w:space="0" w:color="auto"/>
                <w:right w:val="none" w:sz="0" w:space="0" w:color="auto"/>
              </w:divBdr>
            </w:div>
            <w:div w:id="1458450762">
              <w:marLeft w:val="0"/>
              <w:marRight w:val="0"/>
              <w:marTop w:val="0"/>
              <w:marBottom w:val="0"/>
              <w:divBdr>
                <w:top w:val="none" w:sz="0" w:space="0" w:color="auto"/>
                <w:left w:val="none" w:sz="0" w:space="0" w:color="auto"/>
                <w:bottom w:val="none" w:sz="0" w:space="0" w:color="auto"/>
                <w:right w:val="none" w:sz="0" w:space="0" w:color="auto"/>
              </w:divBdr>
            </w:div>
            <w:div w:id="221721803">
              <w:marLeft w:val="0"/>
              <w:marRight w:val="0"/>
              <w:marTop w:val="0"/>
              <w:marBottom w:val="0"/>
              <w:divBdr>
                <w:top w:val="none" w:sz="0" w:space="0" w:color="auto"/>
                <w:left w:val="none" w:sz="0" w:space="0" w:color="auto"/>
                <w:bottom w:val="none" w:sz="0" w:space="0" w:color="auto"/>
                <w:right w:val="none" w:sz="0" w:space="0" w:color="auto"/>
              </w:divBdr>
            </w:div>
            <w:div w:id="1669476630">
              <w:marLeft w:val="0"/>
              <w:marRight w:val="0"/>
              <w:marTop w:val="0"/>
              <w:marBottom w:val="0"/>
              <w:divBdr>
                <w:top w:val="none" w:sz="0" w:space="0" w:color="auto"/>
                <w:left w:val="none" w:sz="0" w:space="0" w:color="auto"/>
                <w:bottom w:val="none" w:sz="0" w:space="0" w:color="auto"/>
                <w:right w:val="none" w:sz="0" w:space="0" w:color="auto"/>
              </w:divBdr>
            </w:div>
            <w:div w:id="525022977">
              <w:marLeft w:val="0"/>
              <w:marRight w:val="0"/>
              <w:marTop w:val="0"/>
              <w:marBottom w:val="0"/>
              <w:divBdr>
                <w:top w:val="none" w:sz="0" w:space="0" w:color="auto"/>
                <w:left w:val="none" w:sz="0" w:space="0" w:color="auto"/>
                <w:bottom w:val="none" w:sz="0" w:space="0" w:color="auto"/>
                <w:right w:val="none" w:sz="0" w:space="0" w:color="auto"/>
              </w:divBdr>
            </w:div>
            <w:div w:id="1241014993">
              <w:marLeft w:val="0"/>
              <w:marRight w:val="0"/>
              <w:marTop w:val="0"/>
              <w:marBottom w:val="0"/>
              <w:divBdr>
                <w:top w:val="none" w:sz="0" w:space="0" w:color="auto"/>
                <w:left w:val="none" w:sz="0" w:space="0" w:color="auto"/>
                <w:bottom w:val="none" w:sz="0" w:space="0" w:color="auto"/>
                <w:right w:val="none" w:sz="0" w:space="0" w:color="auto"/>
              </w:divBdr>
            </w:div>
            <w:div w:id="470371478">
              <w:marLeft w:val="0"/>
              <w:marRight w:val="0"/>
              <w:marTop w:val="0"/>
              <w:marBottom w:val="0"/>
              <w:divBdr>
                <w:top w:val="none" w:sz="0" w:space="0" w:color="auto"/>
                <w:left w:val="none" w:sz="0" w:space="0" w:color="auto"/>
                <w:bottom w:val="none" w:sz="0" w:space="0" w:color="auto"/>
                <w:right w:val="none" w:sz="0" w:space="0" w:color="auto"/>
              </w:divBdr>
            </w:div>
          </w:divsChild>
        </w:div>
        <w:div w:id="979774470">
          <w:marLeft w:val="0"/>
          <w:marRight w:val="0"/>
          <w:marTop w:val="0"/>
          <w:marBottom w:val="0"/>
          <w:divBdr>
            <w:top w:val="none" w:sz="0" w:space="0" w:color="auto"/>
            <w:left w:val="none" w:sz="0" w:space="0" w:color="auto"/>
            <w:bottom w:val="none" w:sz="0" w:space="0" w:color="auto"/>
            <w:right w:val="none" w:sz="0" w:space="0" w:color="auto"/>
          </w:divBdr>
        </w:div>
      </w:divsChild>
    </w:div>
    <w:div w:id="297304047">
      <w:bodyDiv w:val="1"/>
      <w:marLeft w:val="0"/>
      <w:marRight w:val="0"/>
      <w:marTop w:val="0"/>
      <w:marBottom w:val="0"/>
      <w:divBdr>
        <w:top w:val="none" w:sz="0" w:space="0" w:color="auto"/>
        <w:left w:val="none" w:sz="0" w:space="0" w:color="auto"/>
        <w:bottom w:val="none" w:sz="0" w:space="0" w:color="auto"/>
        <w:right w:val="none" w:sz="0" w:space="0" w:color="auto"/>
      </w:divBdr>
    </w:div>
    <w:div w:id="697193980">
      <w:bodyDiv w:val="1"/>
      <w:marLeft w:val="0"/>
      <w:marRight w:val="0"/>
      <w:marTop w:val="0"/>
      <w:marBottom w:val="0"/>
      <w:divBdr>
        <w:top w:val="none" w:sz="0" w:space="0" w:color="auto"/>
        <w:left w:val="none" w:sz="0" w:space="0" w:color="auto"/>
        <w:bottom w:val="none" w:sz="0" w:space="0" w:color="auto"/>
        <w:right w:val="none" w:sz="0" w:space="0" w:color="auto"/>
      </w:divBdr>
      <w:divsChild>
        <w:div w:id="415443345">
          <w:marLeft w:val="0"/>
          <w:marRight w:val="0"/>
          <w:marTop w:val="0"/>
          <w:marBottom w:val="0"/>
          <w:divBdr>
            <w:top w:val="none" w:sz="0" w:space="0" w:color="auto"/>
            <w:left w:val="none" w:sz="0" w:space="0" w:color="auto"/>
            <w:bottom w:val="none" w:sz="0" w:space="0" w:color="auto"/>
            <w:right w:val="none" w:sz="0" w:space="0" w:color="auto"/>
          </w:divBdr>
        </w:div>
      </w:divsChild>
    </w:div>
    <w:div w:id="988560668">
      <w:bodyDiv w:val="1"/>
      <w:marLeft w:val="0"/>
      <w:marRight w:val="0"/>
      <w:marTop w:val="0"/>
      <w:marBottom w:val="0"/>
      <w:divBdr>
        <w:top w:val="none" w:sz="0" w:space="0" w:color="auto"/>
        <w:left w:val="none" w:sz="0" w:space="0" w:color="auto"/>
        <w:bottom w:val="none" w:sz="0" w:space="0" w:color="auto"/>
        <w:right w:val="none" w:sz="0" w:space="0" w:color="auto"/>
      </w:divBdr>
    </w:div>
    <w:div w:id="1026903397">
      <w:bodyDiv w:val="1"/>
      <w:marLeft w:val="0"/>
      <w:marRight w:val="0"/>
      <w:marTop w:val="0"/>
      <w:marBottom w:val="0"/>
      <w:divBdr>
        <w:top w:val="none" w:sz="0" w:space="0" w:color="auto"/>
        <w:left w:val="none" w:sz="0" w:space="0" w:color="auto"/>
        <w:bottom w:val="none" w:sz="0" w:space="0" w:color="auto"/>
        <w:right w:val="none" w:sz="0" w:space="0" w:color="auto"/>
      </w:divBdr>
    </w:div>
    <w:div w:id="1073552974">
      <w:bodyDiv w:val="1"/>
      <w:marLeft w:val="0"/>
      <w:marRight w:val="0"/>
      <w:marTop w:val="0"/>
      <w:marBottom w:val="0"/>
      <w:divBdr>
        <w:top w:val="none" w:sz="0" w:space="0" w:color="auto"/>
        <w:left w:val="none" w:sz="0" w:space="0" w:color="auto"/>
        <w:bottom w:val="none" w:sz="0" w:space="0" w:color="auto"/>
        <w:right w:val="none" w:sz="0" w:space="0" w:color="auto"/>
      </w:divBdr>
      <w:divsChild>
        <w:div w:id="771508935">
          <w:marLeft w:val="0"/>
          <w:marRight w:val="0"/>
          <w:marTop w:val="0"/>
          <w:marBottom w:val="0"/>
          <w:divBdr>
            <w:top w:val="none" w:sz="0" w:space="0" w:color="auto"/>
            <w:left w:val="none" w:sz="0" w:space="0" w:color="auto"/>
            <w:bottom w:val="none" w:sz="0" w:space="0" w:color="auto"/>
            <w:right w:val="none" w:sz="0" w:space="0" w:color="auto"/>
          </w:divBdr>
          <w:divsChild>
            <w:div w:id="2107648596">
              <w:marLeft w:val="0"/>
              <w:marRight w:val="0"/>
              <w:marTop w:val="0"/>
              <w:marBottom w:val="0"/>
              <w:divBdr>
                <w:top w:val="none" w:sz="0" w:space="0" w:color="auto"/>
                <w:left w:val="none" w:sz="0" w:space="0" w:color="auto"/>
                <w:bottom w:val="none" w:sz="0" w:space="0" w:color="auto"/>
                <w:right w:val="none" w:sz="0" w:space="0" w:color="auto"/>
              </w:divBdr>
            </w:div>
            <w:div w:id="1877354466">
              <w:marLeft w:val="0"/>
              <w:marRight w:val="0"/>
              <w:marTop w:val="0"/>
              <w:marBottom w:val="0"/>
              <w:divBdr>
                <w:top w:val="none" w:sz="0" w:space="0" w:color="auto"/>
                <w:left w:val="none" w:sz="0" w:space="0" w:color="auto"/>
                <w:bottom w:val="none" w:sz="0" w:space="0" w:color="auto"/>
                <w:right w:val="none" w:sz="0" w:space="0" w:color="auto"/>
              </w:divBdr>
            </w:div>
            <w:div w:id="158841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46599">
      <w:bodyDiv w:val="1"/>
      <w:marLeft w:val="0"/>
      <w:marRight w:val="0"/>
      <w:marTop w:val="0"/>
      <w:marBottom w:val="0"/>
      <w:divBdr>
        <w:top w:val="none" w:sz="0" w:space="0" w:color="auto"/>
        <w:left w:val="none" w:sz="0" w:space="0" w:color="auto"/>
        <w:bottom w:val="none" w:sz="0" w:space="0" w:color="auto"/>
        <w:right w:val="none" w:sz="0" w:space="0" w:color="auto"/>
      </w:divBdr>
      <w:divsChild>
        <w:div w:id="1194268439">
          <w:marLeft w:val="0"/>
          <w:marRight w:val="0"/>
          <w:marTop w:val="0"/>
          <w:marBottom w:val="0"/>
          <w:divBdr>
            <w:top w:val="none" w:sz="0" w:space="0" w:color="auto"/>
            <w:left w:val="none" w:sz="0" w:space="0" w:color="auto"/>
            <w:bottom w:val="none" w:sz="0" w:space="0" w:color="auto"/>
            <w:right w:val="none" w:sz="0" w:space="0" w:color="auto"/>
          </w:divBdr>
        </w:div>
        <w:div w:id="1794515628">
          <w:marLeft w:val="0"/>
          <w:marRight w:val="0"/>
          <w:marTop w:val="0"/>
          <w:marBottom w:val="0"/>
          <w:divBdr>
            <w:top w:val="none" w:sz="0" w:space="0" w:color="auto"/>
            <w:left w:val="none" w:sz="0" w:space="0" w:color="auto"/>
            <w:bottom w:val="none" w:sz="0" w:space="0" w:color="auto"/>
            <w:right w:val="none" w:sz="0" w:space="0" w:color="auto"/>
          </w:divBdr>
        </w:div>
        <w:div w:id="1473713182">
          <w:marLeft w:val="0"/>
          <w:marRight w:val="0"/>
          <w:marTop w:val="0"/>
          <w:marBottom w:val="0"/>
          <w:divBdr>
            <w:top w:val="none" w:sz="0" w:space="0" w:color="auto"/>
            <w:left w:val="none" w:sz="0" w:space="0" w:color="auto"/>
            <w:bottom w:val="none" w:sz="0" w:space="0" w:color="auto"/>
            <w:right w:val="none" w:sz="0" w:space="0" w:color="auto"/>
          </w:divBdr>
          <w:divsChild>
            <w:div w:id="1079792888">
              <w:marLeft w:val="0"/>
              <w:marRight w:val="0"/>
              <w:marTop w:val="0"/>
              <w:marBottom w:val="0"/>
              <w:divBdr>
                <w:top w:val="none" w:sz="0" w:space="0" w:color="auto"/>
                <w:left w:val="none" w:sz="0" w:space="0" w:color="auto"/>
                <w:bottom w:val="none" w:sz="0" w:space="0" w:color="auto"/>
                <w:right w:val="none" w:sz="0" w:space="0" w:color="auto"/>
              </w:divBdr>
            </w:div>
            <w:div w:id="1598319599">
              <w:marLeft w:val="0"/>
              <w:marRight w:val="0"/>
              <w:marTop w:val="0"/>
              <w:marBottom w:val="0"/>
              <w:divBdr>
                <w:top w:val="none" w:sz="0" w:space="0" w:color="auto"/>
                <w:left w:val="none" w:sz="0" w:space="0" w:color="auto"/>
                <w:bottom w:val="none" w:sz="0" w:space="0" w:color="auto"/>
                <w:right w:val="none" w:sz="0" w:space="0" w:color="auto"/>
              </w:divBdr>
            </w:div>
            <w:div w:id="1570506320">
              <w:marLeft w:val="0"/>
              <w:marRight w:val="0"/>
              <w:marTop w:val="0"/>
              <w:marBottom w:val="0"/>
              <w:divBdr>
                <w:top w:val="none" w:sz="0" w:space="0" w:color="auto"/>
                <w:left w:val="none" w:sz="0" w:space="0" w:color="auto"/>
                <w:bottom w:val="none" w:sz="0" w:space="0" w:color="auto"/>
                <w:right w:val="none" w:sz="0" w:space="0" w:color="auto"/>
              </w:divBdr>
            </w:div>
            <w:div w:id="1201166286">
              <w:marLeft w:val="0"/>
              <w:marRight w:val="0"/>
              <w:marTop w:val="0"/>
              <w:marBottom w:val="0"/>
              <w:divBdr>
                <w:top w:val="none" w:sz="0" w:space="0" w:color="auto"/>
                <w:left w:val="none" w:sz="0" w:space="0" w:color="auto"/>
                <w:bottom w:val="none" w:sz="0" w:space="0" w:color="auto"/>
                <w:right w:val="none" w:sz="0" w:space="0" w:color="auto"/>
              </w:divBdr>
            </w:div>
            <w:div w:id="300160208">
              <w:marLeft w:val="0"/>
              <w:marRight w:val="0"/>
              <w:marTop w:val="0"/>
              <w:marBottom w:val="0"/>
              <w:divBdr>
                <w:top w:val="none" w:sz="0" w:space="0" w:color="auto"/>
                <w:left w:val="none" w:sz="0" w:space="0" w:color="auto"/>
                <w:bottom w:val="none" w:sz="0" w:space="0" w:color="auto"/>
                <w:right w:val="none" w:sz="0" w:space="0" w:color="auto"/>
              </w:divBdr>
            </w:div>
            <w:div w:id="209928487">
              <w:marLeft w:val="0"/>
              <w:marRight w:val="0"/>
              <w:marTop w:val="0"/>
              <w:marBottom w:val="0"/>
              <w:divBdr>
                <w:top w:val="none" w:sz="0" w:space="0" w:color="auto"/>
                <w:left w:val="none" w:sz="0" w:space="0" w:color="auto"/>
                <w:bottom w:val="none" w:sz="0" w:space="0" w:color="auto"/>
                <w:right w:val="none" w:sz="0" w:space="0" w:color="auto"/>
              </w:divBdr>
            </w:div>
            <w:div w:id="163668843">
              <w:marLeft w:val="0"/>
              <w:marRight w:val="0"/>
              <w:marTop w:val="0"/>
              <w:marBottom w:val="0"/>
              <w:divBdr>
                <w:top w:val="none" w:sz="0" w:space="0" w:color="auto"/>
                <w:left w:val="none" w:sz="0" w:space="0" w:color="auto"/>
                <w:bottom w:val="none" w:sz="0" w:space="0" w:color="auto"/>
                <w:right w:val="none" w:sz="0" w:space="0" w:color="auto"/>
              </w:divBdr>
            </w:div>
            <w:div w:id="911045672">
              <w:marLeft w:val="0"/>
              <w:marRight w:val="0"/>
              <w:marTop w:val="0"/>
              <w:marBottom w:val="0"/>
              <w:divBdr>
                <w:top w:val="none" w:sz="0" w:space="0" w:color="auto"/>
                <w:left w:val="none" w:sz="0" w:space="0" w:color="auto"/>
                <w:bottom w:val="none" w:sz="0" w:space="0" w:color="auto"/>
                <w:right w:val="none" w:sz="0" w:space="0" w:color="auto"/>
              </w:divBdr>
            </w:div>
            <w:div w:id="1210844154">
              <w:marLeft w:val="0"/>
              <w:marRight w:val="0"/>
              <w:marTop w:val="0"/>
              <w:marBottom w:val="0"/>
              <w:divBdr>
                <w:top w:val="none" w:sz="0" w:space="0" w:color="auto"/>
                <w:left w:val="none" w:sz="0" w:space="0" w:color="auto"/>
                <w:bottom w:val="none" w:sz="0" w:space="0" w:color="auto"/>
                <w:right w:val="none" w:sz="0" w:space="0" w:color="auto"/>
              </w:divBdr>
            </w:div>
            <w:div w:id="507526175">
              <w:marLeft w:val="0"/>
              <w:marRight w:val="0"/>
              <w:marTop w:val="0"/>
              <w:marBottom w:val="0"/>
              <w:divBdr>
                <w:top w:val="none" w:sz="0" w:space="0" w:color="auto"/>
                <w:left w:val="none" w:sz="0" w:space="0" w:color="auto"/>
                <w:bottom w:val="none" w:sz="0" w:space="0" w:color="auto"/>
                <w:right w:val="none" w:sz="0" w:space="0" w:color="auto"/>
              </w:divBdr>
            </w:div>
            <w:div w:id="2101412215">
              <w:marLeft w:val="0"/>
              <w:marRight w:val="0"/>
              <w:marTop w:val="0"/>
              <w:marBottom w:val="0"/>
              <w:divBdr>
                <w:top w:val="none" w:sz="0" w:space="0" w:color="auto"/>
                <w:left w:val="none" w:sz="0" w:space="0" w:color="auto"/>
                <w:bottom w:val="none" w:sz="0" w:space="0" w:color="auto"/>
                <w:right w:val="none" w:sz="0" w:space="0" w:color="auto"/>
              </w:divBdr>
            </w:div>
            <w:div w:id="1186746676">
              <w:marLeft w:val="0"/>
              <w:marRight w:val="0"/>
              <w:marTop w:val="0"/>
              <w:marBottom w:val="0"/>
              <w:divBdr>
                <w:top w:val="none" w:sz="0" w:space="0" w:color="auto"/>
                <w:left w:val="none" w:sz="0" w:space="0" w:color="auto"/>
                <w:bottom w:val="none" w:sz="0" w:space="0" w:color="auto"/>
                <w:right w:val="none" w:sz="0" w:space="0" w:color="auto"/>
              </w:divBdr>
            </w:div>
          </w:divsChild>
        </w:div>
        <w:div w:id="820465798">
          <w:marLeft w:val="0"/>
          <w:marRight w:val="0"/>
          <w:marTop w:val="0"/>
          <w:marBottom w:val="0"/>
          <w:divBdr>
            <w:top w:val="none" w:sz="0" w:space="0" w:color="auto"/>
            <w:left w:val="none" w:sz="0" w:space="0" w:color="auto"/>
            <w:bottom w:val="none" w:sz="0" w:space="0" w:color="auto"/>
            <w:right w:val="none" w:sz="0" w:space="0" w:color="auto"/>
          </w:divBdr>
        </w:div>
      </w:divsChild>
    </w:div>
    <w:div w:id="1459958098">
      <w:bodyDiv w:val="1"/>
      <w:marLeft w:val="0"/>
      <w:marRight w:val="0"/>
      <w:marTop w:val="0"/>
      <w:marBottom w:val="0"/>
      <w:divBdr>
        <w:top w:val="none" w:sz="0" w:space="0" w:color="auto"/>
        <w:left w:val="none" w:sz="0" w:space="0" w:color="auto"/>
        <w:bottom w:val="none" w:sz="0" w:space="0" w:color="auto"/>
        <w:right w:val="none" w:sz="0" w:space="0" w:color="auto"/>
      </w:divBdr>
      <w:divsChild>
        <w:div w:id="390545161">
          <w:marLeft w:val="0"/>
          <w:marRight w:val="0"/>
          <w:marTop w:val="0"/>
          <w:marBottom w:val="0"/>
          <w:divBdr>
            <w:top w:val="none" w:sz="0" w:space="0" w:color="auto"/>
            <w:left w:val="none" w:sz="0" w:space="0" w:color="auto"/>
            <w:bottom w:val="none" w:sz="0" w:space="0" w:color="auto"/>
            <w:right w:val="none" w:sz="0" w:space="0" w:color="auto"/>
          </w:divBdr>
        </w:div>
      </w:divsChild>
    </w:div>
    <w:div w:id="1525292633">
      <w:bodyDiv w:val="1"/>
      <w:marLeft w:val="0"/>
      <w:marRight w:val="0"/>
      <w:marTop w:val="0"/>
      <w:marBottom w:val="0"/>
      <w:divBdr>
        <w:top w:val="none" w:sz="0" w:space="0" w:color="auto"/>
        <w:left w:val="none" w:sz="0" w:space="0" w:color="auto"/>
        <w:bottom w:val="none" w:sz="0" w:space="0" w:color="auto"/>
        <w:right w:val="none" w:sz="0" w:space="0" w:color="auto"/>
      </w:divBdr>
    </w:div>
    <w:div w:id="1555969601">
      <w:bodyDiv w:val="1"/>
      <w:marLeft w:val="0"/>
      <w:marRight w:val="0"/>
      <w:marTop w:val="0"/>
      <w:marBottom w:val="0"/>
      <w:divBdr>
        <w:top w:val="none" w:sz="0" w:space="0" w:color="auto"/>
        <w:left w:val="none" w:sz="0" w:space="0" w:color="auto"/>
        <w:bottom w:val="none" w:sz="0" w:space="0" w:color="auto"/>
        <w:right w:val="none" w:sz="0" w:space="0" w:color="auto"/>
      </w:divBdr>
    </w:div>
    <w:div w:id="1597515218">
      <w:bodyDiv w:val="1"/>
      <w:marLeft w:val="0"/>
      <w:marRight w:val="0"/>
      <w:marTop w:val="0"/>
      <w:marBottom w:val="0"/>
      <w:divBdr>
        <w:top w:val="none" w:sz="0" w:space="0" w:color="auto"/>
        <w:left w:val="none" w:sz="0" w:space="0" w:color="auto"/>
        <w:bottom w:val="none" w:sz="0" w:space="0" w:color="auto"/>
        <w:right w:val="none" w:sz="0" w:space="0" w:color="auto"/>
      </w:divBdr>
    </w:div>
    <w:div w:id="1671442629">
      <w:bodyDiv w:val="1"/>
      <w:marLeft w:val="0"/>
      <w:marRight w:val="0"/>
      <w:marTop w:val="0"/>
      <w:marBottom w:val="0"/>
      <w:divBdr>
        <w:top w:val="none" w:sz="0" w:space="0" w:color="auto"/>
        <w:left w:val="none" w:sz="0" w:space="0" w:color="auto"/>
        <w:bottom w:val="none" w:sz="0" w:space="0" w:color="auto"/>
        <w:right w:val="none" w:sz="0" w:space="0" w:color="auto"/>
      </w:divBdr>
      <w:divsChild>
        <w:div w:id="170992078">
          <w:marLeft w:val="0"/>
          <w:marRight w:val="0"/>
          <w:marTop w:val="0"/>
          <w:marBottom w:val="0"/>
          <w:divBdr>
            <w:top w:val="none" w:sz="0" w:space="0" w:color="auto"/>
            <w:left w:val="none" w:sz="0" w:space="0" w:color="auto"/>
            <w:bottom w:val="none" w:sz="0" w:space="0" w:color="auto"/>
            <w:right w:val="none" w:sz="0" w:space="0" w:color="auto"/>
          </w:divBdr>
          <w:divsChild>
            <w:div w:id="650718181">
              <w:marLeft w:val="0"/>
              <w:marRight w:val="0"/>
              <w:marTop w:val="0"/>
              <w:marBottom w:val="0"/>
              <w:divBdr>
                <w:top w:val="none" w:sz="0" w:space="0" w:color="auto"/>
                <w:left w:val="none" w:sz="0" w:space="0" w:color="auto"/>
                <w:bottom w:val="none" w:sz="0" w:space="0" w:color="auto"/>
                <w:right w:val="none" w:sz="0" w:space="0" w:color="auto"/>
              </w:divBdr>
            </w:div>
            <w:div w:id="43141690">
              <w:marLeft w:val="0"/>
              <w:marRight w:val="0"/>
              <w:marTop w:val="0"/>
              <w:marBottom w:val="0"/>
              <w:divBdr>
                <w:top w:val="none" w:sz="0" w:space="0" w:color="auto"/>
                <w:left w:val="none" w:sz="0" w:space="0" w:color="auto"/>
                <w:bottom w:val="none" w:sz="0" w:space="0" w:color="auto"/>
                <w:right w:val="none" w:sz="0" w:space="0" w:color="auto"/>
              </w:divBdr>
            </w:div>
            <w:div w:id="194295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854960">
      <w:bodyDiv w:val="1"/>
      <w:marLeft w:val="0"/>
      <w:marRight w:val="0"/>
      <w:marTop w:val="0"/>
      <w:marBottom w:val="0"/>
      <w:divBdr>
        <w:top w:val="none" w:sz="0" w:space="0" w:color="auto"/>
        <w:left w:val="none" w:sz="0" w:space="0" w:color="auto"/>
        <w:bottom w:val="none" w:sz="0" w:space="0" w:color="auto"/>
        <w:right w:val="none" w:sz="0" w:space="0" w:color="auto"/>
      </w:divBdr>
    </w:div>
    <w:div w:id="1982029639">
      <w:bodyDiv w:val="1"/>
      <w:marLeft w:val="0"/>
      <w:marRight w:val="0"/>
      <w:marTop w:val="0"/>
      <w:marBottom w:val="0"/>
      <w:divBdr>
        <w:top w:val="none" w:sz="0" w:space="0" w:color="auto"/>
        <w:left w:val="none" w:sz="0" w:space="0" w:color="auto"/>
        <w:bottom w:val="none" w:sz="0" w:space="0" w:color="auto"/>
        <w:right w:val="none" w:sz="0" w:space="0" w:color="auto"/>
      </w:divBdr>
    </w:div>
    <w:div w:id="2009819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 TargetMode="External"/><Relationship Id="rId13" Type="http://schemas.openxmlformats.org/officeDocument/2006/relationships/hyperlink" Target="https://www.england.nhs.u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integratedcare/" TargetMode="External"/><Relationship Id="rId17" Type="http://schemas.openxmlformats.org/officeDocument/2006/relationships/hyperlink" Target="https://www.kingsfund.org.uk/publications/community-services-assets" TargetMode="External"/><Relationship Id="rId2" Type="http://schemas.openxmlformats.org/officeDocument/2006/relationships/numbering" Target="numbering.xml"/><Relationship Id="rId16" Type="http://schemas.openxmlformats.org/officeDocument/2006/relationships/hyperlink" Target="https://www.gov.uk/guidance/equality-act-2010-guid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termplan.nhs.uk/" TargetMode="External"/><Relationship Id="rId5" Type="http://schemas.openxmlformats.org/officeDocument/2006/relationships/webSettings" Target="webSettings.xml"/><Relationship Id="rId15" Type="http://schemas.openxmlformats.org/officeDocument/2006/relationships/hyperlink" Target="https://www.niehs.nih.gov/research/resources/bioethics/whatis/index.cfm" TargetMode="External"/><Relationship Id="rId10" Type="http://schemas.openxmlformats.org/officeDocument/2006/relationships/hyperlink" Target="https://casp-uk.net/casp-tools-checklis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lzheimersresearchuk.org" TargetMode="External"/><Relationship Id="rId14" Type="http://schemas.openxmlformats.org/officeDocument/2006/relationships/hyperlink" Target="https://www.nice.org.uk/guidance/ng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859D6-794F-41CA-9D63-B50DB90DB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2418</TotalTime>
  <Pages>21</Pages>
  <Words>7020</Words>
  <Characters>40019</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Baba Banna</cp:lastModifiedBy>
  <cp:revision>69</cp:revision>
  <dcterms:created xsi:type="dcterms:W3CDTF">2025-07-22T10:34:00Z</dcterms:created>
  <dcterms:modified xsi:type="dcterms:W3CDTF">2025-10-18T17:06:00Z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30a6e8da-58ae-417e-883b-9fae8b0cf863</vt:lpwstr>
  </property>
</Properties>
</file>