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DF5EB" w14:textId="622A5A1D" w:rsidR="005F07F8" w:rsidRPr="00D5071F" w:rsidRDefault="00F21F3C" w:rsidP="005F07F8">
      <w:pPr>
        <w:rPr>
          <w:sz w:val="22"/>
          <w:szCs w:val="22"/>
        </w:rPr>
      </w:pPr>
      <w:r w:rsidRPr="00D5071F">
        <w:rPr>
          <w:sz w:val="22"/>
          <w:szCs w:val="22"/>
        </w:rPr>
        <w:t>The concept of inner peace</w:t>
      </w:r>
      <w:r w:rsidR="000E160D" w:rsidRPr="00D5071F">
        <w:rPr>
          <w:sz w:val="22"/>
          <w:szCs w:val="22"/>
        </w:rPr>
        <w:t xml:space="preserve"> has a wide range of origins, </w:t>
      </w:r>
      <w:r w:rsidR="00261547" w:rsidRPr="00D5071F">
        <w:rPr>
          <w:sz w:val="22"/>
          <w:szCs w:val="22"/>
        </w:rPr>
        <w:t>though for the most part, inner peace is more of a central value in Eastern States than it is in Western ones.</w:t>
      </w:r>
      <w:r w:rsidR="007E2A4A" w:rsidRPr="00D5071F">
        <w:rPr>
          <w:sz w:val="22"/>
          <w:szCs w:val="22"/>
        </w:rPr>
        <w:t xml:space="preserve"> This is apparent when considering Eastern Religions such as Buddhism, which prioritises inner peace as the </w:t>
      </w:r>
      <w:r w:rsidR="00D8289C" w:rsidRPr="00D5071F">
        <w:rPr>
          <w:sz w:val="22"/>
          <w:szCs w:val="22"/>
        </w:rPr>
        <w:t>pathway</w:t>
      </w:r>
      <w:r w:rsidR="007E2A4A" w:rsidRPr="00D5071F">
        <w:rPr>
          <w:sz w:val="22"/>
          <w:szCs w:val="22"/>
        </w:rPr>
        <w:t xml:space="preserve"> to a peaceful public </w:t>
      </w:r>
      <w:r w:rsidR="005F07F8" w:rsidRPr="00D5071F">
        <w:rPr>
          <w:sz w:val="22"/>
          <w:szCs w:val="22"/>
        </w:rPr>
        <w:t>realm</w:t>
      </w:r>
      <w:r w:rsidR="007E2A4A" w:rsidRPr="00D5071F">
        <w:rPr>
          <w:sz w:val="22"/>
          <w:szCs w:val="22"/>
        </w:rPr>
        <w:t>.</w:t>
      </w:r>
      <w:r w:rsidR="007E2A4A" w:rsidRPr="00D5071F">
        <w:rPr>
          <w:rStyle w:val="FootnoteReference"/>
          <w:sz w:val="22"/>
          <w:szCs w:val="22"/>
        </w:rPr>
        <w:footnoteReference w:id="1"/>
      </w:r>
      <w:r w:rsidR="005F07F8" w:rsidRPr="00D5071F">
        <w:rPr>
          <w:sz w:val="22"/>
          <w:szCs w:val="22"/>
        </w:rPr>
        <w:t xml:space="preserve"> Similarly, there are many ways to define a state of inner peace</w:t>
      </w:r>
      <w:r w:rsidR="002F7368">
        <w:rPr>
          <w:sz w:val="22"/>
          <w:szCs w:val="22"/>
        </w:rPr>
        <w:t>. T</w:t>
      </w:r>
      <w:r w:rsidR="005F07F8" w:rsidRPr="00D5071F">
        <w:rPr>
          <w:sz w:val="22"/>
          <w:szCs w:val="22"/>
        </w:rPr>
        <w:t xml:space="preserve">his is because what could be considered a peaceful state of mind may differ greatly between individuals. Inner peace is defined by </w:t>
      </w:r>
      <w:r w:rsidR="005F07F8" w:rsidRPr="00D5071F">
        <w:rPr>
          <w:i/>
          <w:iCs/>
          <w:sz w:val="22"/>
          <w:szCs w:val="22"/>
        </w:rPr>
        <w:t>Webster’s Third New International Dictionary</w:t>
      </w:r>
      <w:r w:rsidR="005F07F8" w:rsidRPr="00D5071F">
        <w:rPr>
          <w:sz w:val="22"/>
          <w:szCs w:val="22"/>
        </w:rPr>
        <w:t xml:space="preserve"> as a ‘mental or spiritual condition marked by freedom from disquieting or oppressive thoughts or emotions’</w:t>
      </w:r>
      <w:r w:rsidR="004A009E">
        <w:rPr>
          <w:sz w:val="22"/>
          <w:szCs w:val="22"/>
        </w:rPr>
        <w:t>.</w:t>
      </w:r>
      <w:r w:rsidR="005F07F8" w:rsidRPr="00D5071F">
        <w:rPr>
          <w:rStyle w:val="FootnoteReference"/>
          <w:sz w:val="22"/>
          <w:szCs w:val="22"/>
        </w:rPr>
        <w:footnoteReference w:id="2"/>
      </w:r>
      <w:r w:rsidR="005F07F8" w:rsidRPr="00D5071F">
        <w:rPr>
          <w:sz w:val="22"/>
          <w:szCs w:val="22"/>
        </w:rPr>
        <w:t xml:space="preserve"> This essay will attempt to observe the concept of inner peace, with this definition in mind, and consider whether a true state of inner peace can be defined in this manner, and perhaps more importantly</w:t>
      </w:r>
      <w:r w:rsidR="00BA7CA5" w:rsidRPr="00D5071F">
        <w:rPr>
          <w:sz w:val="22"/>
          <w:szCs w:val="22"/>
        </w:rPr>
        <w:t>,</w:t>
      </w:r>
      <w:r w:rsidR="005F07F8" w:rsidRPr="00D5071F">
        <w:rPr>
          <w:sz w:val="22"/>
          <w:szCs w:val="22"/>
        </w:rPr>
        <w:t xml:space="preserve"> whether a state of</w:t>
      </w:r>
      <w:r w:rsidR="00F208FC" w:rsidRPr="00D5071F">
        <w:rPr>
          <w:sz w:val="22"/>
          <w:szCs w:val="22"/>
        </w:rPr>
        <w:t xml:space="preserve"> true</w:t>
      </w:r>
      <w:r w:rsidR="005F07F8" w:rsidRPr="00D5071F">
        <w:rPr>
          <w:sz w:val="22"/>
          <w:szCs w:val="22"/>
        </w:rPr>
        <w:t xml:space="preserve"> inner peace</w:t>
      </w:r>
      <w:r w:rsidR="00AB122E">
        <w:rPr>
          <w:sz w:val="22"/>
          <w:szCs w:val="22"/>
        </w:rPr>
        <w:t xml:space="preserve"> </w:t>
      </w:r>
      <w:r w:rsidR="005F07F8" w:rsidRPr="00D5071F">
        <w:rPr>
          <w:sz w:val="22"/>
          <w:szCs w:val="22"/>
        </w:rPr>
        <w:t>is even possible to exist</w:t>
      </w:r>
      <w:r w:rsidR="00AB122E" w:rsidRPr="00AB122E">
        <w:rPr>
          <w:sz w:val="22"/>
          <w:szCs w:val="22"/>
        </w:rPr>
        <w:t xml:space="preserve"> </w:t>
      </w:r>
      <w:r w:rsidR="00AB122E">
        <w:rPr>
          <w:sz w:val="22"/>
          <w:szCs w:val="22"/>
        </w:rPr>
        <w:t>in the human mind</w:t>
      </w:r>
      <w:r w:rsidR="00F208FC" w:rsidRPr="00D5071F">
        <w:rPr>
          <w:sz w:val="22"/>
          <w:szCs w:val="22"/>
        </w:rPr>
        <w:t>.</w:t>
      </w:r>
    </w:p>
    <w:p w14:paraId="16254A21" w14:textId="63A8E6D0" w:rsidR="00D5071F" w:rsidRPr="00D5071F" w:rsidRDefault="00BA7CA5">
      <w:pPr>
        <w:rPr>
          <w:sz w:val="22"/>
          <w:szCs w:val="22"/>
        </w:rPr>
      </w:pPr>
      <w:r w:rsidRPr="00D5071F">
        <w:rPr>
          <w:sz w:val="22"/>
          <w:szCs w:val="22"/>
        </w:rPr>
        <w:t>Firstly, when considering a state of true inner peace, one must consider how inner peace is perceived by scholars and philosophers</w:t>
      </w:r>
      <w:r w:rsidR="00B229D0" w:rsidRPr="00D5071F">
        <w:rPr>
          <w:sz w:val="22"/>
          <w:szCs w:val="22"/>
        </w:rPr>
        <w:t>. Marcus Aurelius, the Roman Emperor from the years 161 – 180 is known for his works which attempt to provide insight into achieving a clear, peaceful mind. Aurelius states that ‘By tranquillity I understand a decent orderly disposition and carriage, free from all confusion and tumultuousness.’</w:t>
      </w:r>
      <w:r w:rsidR="00B229D0" w:rsidRPr="00D5071F">
        <w:rPr>
          <w:rStyle w:val="FootnoteReference"/>
          <w:sz w:val="22"/>
          <w:szCs w:val="22"/>
        </w:rPr>
        <w:footnoteReference w:id="3"/>
      </w:r>
      <w:r w:rsidR="00B229D0" w:rsidRPr="00D5071F">
        <w:rPr>
          <w:sz w:val="22"/>
          <w:szCs w:val="22"/>
        </w:rPr>
        <w:t xml:space="preserve"> </w:t>
      </w:r>
      <w:r w:rsidR="00B416CB" w:rsidRPr="00D5071F">
        <w:rPr>
          <w:sz w:val="22"/>
          <w:szCs w:val="22"/>
        </w:rPr>
        <w:t>Here, Aurelius is stating that tranquillity, or inner peace is affected by external factors, no only within one’s own mind, but external factors also. Aurelius’s solution to this factor is that one must ‘refresh and renew thyself’</w:t>
      </w:r>
      <w:r w:rsidR="00B416CB" w:rsidRPr="00D5071F">
        <w:rPr>
          <w:rStyle w:val="FootnoteReference"/>
          <w:sz w:val="22"/>
          <w:szCs w:val="22"/>
        </w:rPr>
        <w:footnoteReference w:id="4"/>
      </w:r>
      <w:r w:rsidR="00B416CB" w:rsidRPr="00D5071F">
        <w:rPr>
          <w:sz w:val="22"/>
          <w:szCs w:val="22"/>
        </w:rPr>
        <w:t xml:space="preserve"> in order to clear their mind. </w:t>
      </w:r>
      <w:r w:rsidR="007128D9" w:rsidRPr="00D5071F">
        <w:rPr>
          <w:sz w:val="22"/>
          <w:szCs w:val="22"/>
        </w:rPr>
        <w:t>T</w:t>
      </w:r>
      <w:r w:rsidR="00B416CB" w:rsidRPr="00D5071F">
        <w:rPr>
          <w:sz w:val="22"/>
          <w:szCs w:val="22"/>
        </w:rPr>
        <w:t>his is no doubt a correct observation by Aurelius,</w:t>
      </w:r>
      <w:r w:rsidR="007128D9" w:rsidRPr="00D5071F">
        <w:rPr>
          <w:sz w:val="22"/>
          <w:szCs w:val="22"/>
        </w:rPr>
        <w:t xml:space="preserve"> and for a man in his own position as an Emperor, he no doubt has access to the means to retreat from these stressful situations in order to allow him to clear his mind. However,</w:t>
      </w:r>
      <w:r w:rsidR="00B416CB" w:rsidRPr="00D5071F">
        <w:rPr>
          <w:sz w:val="22"/>
          <w:szCs w:val="22"/>
        </w:rPr>
        <w:t xml:space="preserve"> one must question about</w:t>
      </w:r>
      <w:r w:rsidR="00106E6A">
        <w:rPr>
          <w:sz w:val="22"/>
          <w:szCs w:val="22"/>
        </w:rPr>
        <w:t xml:space="preserve"> those </w:t>
      </w:r>
      <w:r w:rsidR="00B416CB" w:rsidRPr="00D5071F">
        <w:rPr>
          <w:sz w:val="22"/>
          <w:szCs w:val="22"/>
        </w:rPr>
        <w:t>instances where one may be unable to escape external factors impacting their mind</w:t>
      </w:r>
      <w:r w:rsidR="007128D9" w:rsidRPr="00D5071F">
        <w:rPr>
          <w:sz w:val="22"/>
          <w:szCs w:val="22"/>
        </w:rPr>
        <w:t>. For example, consider instances where</w:t>
      </w:r>
      <w:r w:rsidR="00106E6A">
        <w:rPr>
          <w:sz w:val="22"/>
          <w:szCs w:val="22"/>
        </w:rPr>
        <w:t xml:space="preserve"> an indivudual</w:t>
      </w:r>
      <w:r w:rsidR="007128D9" w:rsidRPr="00D5071F">
        <w:rPr>
          <w:sz w:val="22"/>
          <w:szCs w:val="22"/>
        </w:rPr>
        <w:t xml:space="preserve"> may be imprisoned, or maybe even those with care-giving responsibilities where they are unable to physically remove themselves from these situations, how are these individuals expected to achieve inner peace, or are they expected to put up with their struggles? Thus in this instance, is peace only achievable for some individuals and not all? Whilst</w:t>
      </w:r>
      <w:r w:rsidR="00D5071F">
        <w:rPr>
          <w:sz w:val="22"/>
          <w:szCs w:val="22"/>
        </w:rPr>
        <w:t xml:space="preserve"> this </w:t>
      </w:r>
      <w:r w:rsidR="00D5071F" w:rsidRPr="00D5071F">
        <w:rPr>
          <w:sz w:val="22"/>
          <w:szCs w:val="22"/>
        </w:rPr>
        <w:t>solution to achieving inner peace</w:t>
      </w:r>
      <w:r w:rsidR="00D5071F">
        <w:rPr>
          <w:sz w:val="22"/>
          <w:szCs w:val="22"/>
        </w:rPr>
        <w:t xml:space="preserve"> presented by</w:t>
      </w:r>
      <w:r w:rsidR="007128D9" w:rsidRPr="00D5071F">
        <w:rPr>
          <w:sz w:val="22"/>
          <w:szCs w:val="22"/>
        </w:rPr>
        <w:t xml:space="preserve"> Aurelius’ is certainly an ideal one, it must be considered that it is not always practical, neither always possible for all individuals.</w:t>
      </w:r>
      <w:r w:rsidR="00B92D5C">
        <w:rPr>
          <w:sz w:val="22"/>
          <w:szCs w:val="22"/>
        </w:rPr>
        <w:t xml:space="preserve"> Furthermore,</w:t>
      </w:r>
      <w:r w:rsidR="00D67D90">
        <w:rPr>
          <w:sz w:val="22"/>
          <w:szCs w:val="22"/>
        </w:rPr>
        <w:t xml:space="preserve"> Professor of Peace research at the University of Oslo,</w:t>
      </w:r>
      <w:r w:rsidR="00B92D5C">
        <w:rPr>
          <w:sz w:val="22"/>
          <w:szCs w:val="22"/>
        </w:rPr>
        <w:t xml:space="preserve"> Johan Galtung</w:t>
      </w:r>
      <w:r w:rsidR="0030592C">
        <w:rPr>
          <w:sz w:val="22"/>
          <w:szCs w:val="22"/>
        </w:rPr>
        <w:t>,</w:t>
      </w:r>
      <w:r w:rsidR="00B92D5C">
        <w:rPr>
          <w:sz w:val="22"/>
          <w:szCs w:val="22"/>
        </w:rPr>
        <w:t xml:space="preserve"> states that peace comes in two forms, positive and negative. Positive peace in simple terms</w:t>
      </w:r>
      <w:r w:rsidR="0030592C">
        <w:rPr>
          <w:sz w:val="22"/>
          <w:szCs w:val="22"/>
        </w:rPr>
        <w:t xml:space="preserve"> is</w:t>
      </w:r>
      <w:r w:rsidR="00B92D5C">
        <w:rPr>
          <w:sz w:val="22"/>
          <w:szCs w:val="22"/>
        </w:rPr>
        <w:t xml:space="preserve"> a long lasting peace, whilst negative peace is </w:t>
      </w:r>
      <w:r w:rsidR="00106E6A">
        <w:rPr>
          <w:sz w:val="22"/>
          <w:szCs w:val="22"/>
        </w:rPr>
        <w:t xml:space="preserve">simply </w:t>
      </w:r>
      <w:r w:rsidR="00B92D5C">
        <w:rPr>
          <w:sz w:val="22"/>
          <w:szCs w:val="22"/>
        </w:rPr>
        <w:t>the absence of direct violence.</w:t>
      </w:r>
      <w:r w:rsidR="00B92D5C">
        <w:rPr>
          <w:rStyle w:val="FootnoteReference"/>
          <w:sz w:val="22"/>
          <w:szCs w:val="22"/>
        </w:rPr>
        <w:footnoteReference w:id="5"/>
      </w:r>
      <w:r w:rsidR="00B92D5C">
        <w:rPr>
          <w:sz w:val="22"/>
          <w:szCs w:val="22"/>
        </w:rPr>
        <w:t xml:space="preserve"> Could it be argued in this instance that for those whom are in positions where they are unable to truly leave a situation as they will inevitably have to return to it,</w:t>
      </w:r>
      <w:r w:rsidR="00106E6A">
        <w:rPr>
          <w:sz w:val="22"/>
          <w:szCs w:val="22"/>
        </w:rPr>
        <w:t xml:space="preserve"> or are outright forced to remain in it,</w:t>
      </w:r>
      <w:r w:rsidR="00B92D5C">
        <w:rPr>
          <w:sz w:val="22"/>
          <w:szCs w:val="22"/>
        </w:rPr>
        <w:t xml:space="preserve"> are physically incapable of achieving positive peace? Therefore, it could be argued once more that</w:t>
      </w:r>
      <w:r w:rsidR="00DA5DFD">
        <w:rPr>
          <w:sz w:val="22"/>
          <w:szCs w:val="22"/>
        </w:rPr>
        <w:t xml:space="preserve"> in these instances,</w:t>
      </w:r>
      <w:r w:rsidR="00B92D5C">
        <w:rPr>
          <w:sz w:val="22"/>
          <w:szCs w:val="22"/>
        </w:rPr>
        <w:t xml:space="preserve"> it is impossible for such individuals to achieve inner peace.</w:t>
      </w:r>
    </w:p>
    <w:p w14:paraId="3F3650FE" w14:textId="6A08C853" w:rsidR="005F07F8" w:rsidRPr="00D5071F" w:rsidRDefault="00D5071F">
      <w:pPr>
        <w:rPr>
          <w:sz w:val="22"/>
          <w:szCs w:val="22"/>
        </w:rPr>
      </w:pPr>
      <w:r w:rsidRPr="00D5071F">
        <w:rPr>
          <w:sz w:val="22"/>
          <w:szCs w:val="22"/>
        </w:rPr>
        <w:t>Another form of escape which some may use to achieve inner peace is that of meditation, which Aurelius also stresses the importance of throughout his works.</w:t>
      </w:r>
      <w:r w:rsidRPr="00D5071F">
        <w:rPr>
          <w:rStyle w:val="FootnoteReference"/>
          <w:sz w:val="22"/>
          <w:szCs w:val="22"/>
        </w:rPr>
        <w:footnoteReference w:id="6"/>
      </w:r>
      <w:r>
        <w:rPr>
          <w:sz w:val="22"/>
          <w:szCs w:val="22"/>
        </w:rPr>
        <w:t xml:space="preserve"> Meditation is less of a physical removal from a situation, and instead more of a mental one.</w:t>
      </w:r>
      <w:r w:rsidR="0065394C">
        <w:rPr>
          <w:sz w:val="22"/>
          <w:szCs w:val="22"/>
        </w:rPr>
        <w:t xml:space="preserve"> The Fourteenth Dalai Lama states that inner peace is achieved by an inner discipline, where one identifies negative inner factors which can </w:t>
      </w:r>
      <w:r w:rsidR="0065394C">
        <w:rPr>
          <w:sz w:val="22"/>
          <w:szCs w:val="22"/>
        </w:rPr>
        <w:lastRenderedPageBreak/>
        <w:t>cause suffering, and lets go of them, allowing the individual to achieve inner happiness, which by extension is a state of inner peace.</w:t>
      </w:r>
      <w:r w:rsidR="0065394C">
        <w:rPr>
          <w:rStyle w:val="FootnoteReference"/>
          <w:sz w:val="22"/>
          <w:szCs w:val="22"/>
        </w:rPr>
        <w:footnoteReference w:id="7"/>
      </w:r>
      <w:r w:rsidR="000A6014">
        <w:rPr>
          <w:sz w:val="22"/>
          <w:szCs w:val="22"/>
        </w:rPr>
        <w:t xml:space="preserve"> Though the Dalai Lama acknowledges that there are many ways in which this process can begin, the mentality and reasoning behind it always remains the same for every individual, and this removal of negative emotion is, in itself, a form of meditation.</w:t>
      </w:r>
      <w:r w:rsidR="000A6014">
        <w:rPr>
          <w:rStyle w:val="FootnoteReference"/>
          <w:sz w:val="22"/>
          <w:szCs w:val="22"/>
        </w:rPr>
        <w:footnoteReference w:id="8"/>
      </w:r>
      <w:r w:rsidR="000A6014">
        <w:rPr>
          <w:sz w:val="22"/>
          <w:szCs w:val="22"/>
        </w:rPr>
        <w:t xml:space="preserve"> Once more, whilst </w:t>
      </w:r>
      <w:r w:rsidR="002F7368">
        <w:rPr>
          <w:sz w:val="22"/>
          <w:szCs w:val="22"/>
        </w:rPr>
        <w:t xml:space="preserve">the </w:t>
      </w:r>
      <w:r w:rsidR="000A6014">
        <w:rPr>
          <w:sz w:val="22"/>
          <w:szCs w:val="22"/>
        </w:rPr>
        <w:t>state of mental removal is likely effective in achieving inner peace, it requires one to be capable of clearing their mind, and focus solely on their own thoughts. This could certainly prove challenging for individuals who are in a highly stressful situation, or who have not necessarily been trained how to effectively free themselves from these negative emotions, though it could be argued that everyone copes in these situations in their own manners</w:t>
      </w:r>
      <w:r w:rsidR="000501C2">
        <w:rPr>
          <w:sz w:val="22"/>
          <w:szCs w:val="22"/>
        </w:rPr>
        <w:t>, it raises the question of how one begins this pathway to inner peace. Additionally, it once more raises the thought of whether this applies to all, or simply to some individuals.</w:t>
      </w:r>
    </w:p>
    <w:p w14:paraId="2D9C0A0A" w14:textId="68475851" w:rsidR="008060C7" w:rsidRPr="008102CA" w:rsidRDefault="008102CA">
      <w:pPr>
        <w:rPr>
          <w:sz w:val="22"/>
          <w:szCs w:val="22"/>
        </w:rPr>
      </w:pPr>
      <w:r w:rsidRPr="008102CA">
        <w:rPr>
          <w:sz w:val="22"/>
          <w:szCs w:val="22"/>
        </w:rPr>
        <w:t>Confucius, an ancient Chinese philosopher states that ‘the gentleman makes peace with destiny by way of rightness, and so his mind is large and generous.’</w:t>
      </w:r>
      <w:r w:rsidRPr="008102CA">
        <w:rPr>
          <w:rStyle w:val="FootnoteReference"/>
          <w:sz w:val="22"/>
          <w:szCs w:val="22"/>
        </w:rPr>
        <w:footnoteReference w:id="9"/>
      </w:r>
      <w:r w:rsidRPr="008102CA">
        <w:rPr>
          <w:sz w:val="22"/>
          <w:szCs w:val="22"/>
        </w:rPr>
        <w:t xml:space="preserve"> By this statement, Confucius means that in order for a man to be at peace, he must be confident</w:t>
      </w:r>
      <w:r w:rsidR="00106E6A">
        <w:rPr>
          <w:sz w:val="22"/>
          <w:szCs w:val="22"/>
        </w:rPr>
        <w:t xml:space="preserve"> in his own mind</w:t>
      </w:r>
      <w:r>
        <w:rPr>
          <w:sz w:val="22"/>
          <w:szCs w:val="22"/>
        </w:rPr>
        <w:t>, but he must also</w:t>
      </w:r>
      <w:r w:rsidRPr="008102CA">
        <w:rPr>
          <w:sz w:val="22"/>
          <w:szCs w:val="22"/>
        </w:rPr>
        <w:t xml:space="preserve"> be open minded</w:t>
      </w:r>
      <w:r>
        <w:rPr>
          <w:sz w:val="22"/>
          <w:szCs w:val="22"/>
        </w:rPr>
        <w:t>. However, this perspective raises the point</w:t>
      </w:r>
      <w:r w:rsidR="00472FF8">
        <w:rPr>
          <w:sz w:val="22"/>
          <w:szCs w:val="22"/>
        </w:rPr>
        <w:t xml:space="preserve">; how can </w:t>
      </w:r>
      <w:r>
        <w:rPr>
          <w:sz w:val="22"/>
          <w:szCs w:val="22"/>
        </w:rPr>
        <w:t>one be confident beyond all doubt</w:t>
      </w:r>
      <w:r w:rsidR="00472FF8">
        <w:rPr>
          <w:sz w:val="22"/>
          <w:szCs w:val="22"/>
        </w:rPr>
        <w:t xml:space="preserve"> in their own mind, whilst they have an open mind? In order to have an open mind, one must be open to criticism, and</w:t>
      </w:r>
      <w:r w:rsidR="00106E6A">
        <w:rPr>
          <w:sz w:val="22"/>
          <w:szCs w:val="22"/>
        </w:rPr>
        <w:t xml:space="preserve"> to other</w:t>
      </w:r>
      <w:r w:rsidR="00472FF8">
        <w:rPr>
          <w:sz w:val="22"/>
          <w:szCs w:val="22"/>
        </w:rPr>
        <w:t xml:space="preserve"> observations of which are not their own. Therefore, the </w:t>
      </w:r>
      <w:r w:rsidR="00106E6A">
        <w:rPr>
          <w:sz w:val="22"/>
          <w:szCs w:val="22"/>
        </w:rPr>
        <w:t>question remains whether</w:t>
      </w:r>
      <w:r w:rsidR="00472FF8">
        <w:rPr>
          <w:sz w:val="22"/>
          <w:szCs w:val="22"/>
        </w:rPr>
        <w:t xml:space="preserve"> someone who is truly in a state of inner peace</w:t>
      </w:r>
      <w:r w:rsidR="00106E6A">
        <w:rPr>
          <w:sz w:val="22"/>
          <w:szCs w:val="22"/>
        </w:rPr>
        <w:t xml:space="preserve"> can</w:t>
      </w:r>
      <w:r w:rsidR="00472FF8">
        <w:rPr>
          <w:sz w:val="22"/>
          <w:szCs w:val="22"/>
        </w:rPr>
        <w:t xml:space="preserve"> ever truly have an open mind as by the Webster’s dictionary definition of the term, one cannot possibly be in a state of inner peace without f</w:t>
      </w:r>
      <w:r w:rsidR="00472FF8" w:rsidRPr="00D5071F">
        <w:rPr>
          <w:sz w:val="22"/>
          <w:szCs w:val="22"/>
        </w:rPr>
        <w:t>reedom from</w:t>
      </w:r>
      <w:r w:rsidR="00472FF8">
        <w:rPr>
          <w:sz w:val="22"/>
          <w:szCs w:val="22"/>
        </w:rPr>
        <w:t xml:space="preserve"> thoughts or emotions which cause conflict within one’s mind. Therefore, it must be questioned whether, Confucius’ statement is even possible. Though at a surface level the quote makes sense, when compared with the definition of the term. It could be argued that it is</w:t>
      </w:r>
      <w:r w:rsidR="00B92D5C">
        <w:rPr>
          <w:sz w:val="22"/>
          <w:szCs w:val="22"/>
        </w:rPr>
        <w:t>, in actuality,</w:t>
      </w:r>
      <w:r w:rsidR="00472FF8">
        <w:rPr>
          <w:sz w:val="22"/>
          <w:szCs w:val="22"/>
        </w:rPr>
        <w:t xml:space="preserve"> not possible for someone to maintain an open mind and be in a state of inner peace.</w:t>
      </w:r>
    </w:p>
    <w:p w14:paraId="08576F4E" w14:textId="7278D87B" w:rsidR="008060C7" w:rsidRPr="00B92D5C" w:rsidRDefault="00B92D5C">
      <w:pPr>
        <w:rPr>
          <w:sz w:val="22"/>
          <w:szCs w:val="22"/>
        </w:rPr>
      </w:pPr>
      <w:r>
        <w:rPr>
          <w:sz w:val="22"/>
          <w:szCs w:val="22"/>
        </w:rPr>
        <w:t xml:space="preserve">In conclusion, </w:t>
      </w:r>
      <w:r w:rsidR="009C6FAA">
        <w:rPr>
          <w:sz w:val="22"/>
          <w:szCs w:val="22"/>
        </w:rPr>
        <w:t>the concept of inner peace is a complex topic, with many different perspectives from a range of scholars. Although, the definition of inner peace is, in itself an easy concept for one to understand, when one begins to question what inner peace actually is, it quickly becomes a much more difficult topic</w:t>
      </w:r>
      <w:r w:rsidR="00106E6A">
        <w:rPr>
          <w:sz w:val="22"/>
          <w:szCs w:val="22"/>
        </w:rPr>
        <w:t xml:space="preserve"> to comprehend</w:t>
      </w:r>
      <w:r w:rsidR="009C6FAA">
        <w:rPr>
          <w:sz w:val="22"/>
          <w:szCs w:val="22"/>
        </w:rPr>
        <w:t>. This is likely because everyone has their own concepts of what peace is. Though, it must be noted that this essay has no doubt merely scraped the surface of the concept of inner peace</w:t>
      </w:r>
      <w:r w:rsidR="00E45D4F">
        <w:rPr>
          <w:sz w:val="22"/>
          <w:szCs w:val="22"/>
        </w:rPr>
        <w:t>.</w:t>
      </w:r>
      <w:r w:rsidR="009C6FAA">
        <w:rPr>
          <w:sz w:val="22"/>
          <w:szCs w:val="22"/>
        </w:rPr>
        <w:t xml:space="preserve"> </w:t>
      </w:r>
      <w:r w:rsidR="00E45D4F">
        <w:rPr>
          <w:sz w:val="22"/>
          <w:szCs w:val="22"/>
        </w:rPr>
        <w:t>T</w:t>
      </w:r>
      <w:r w:rsidR="009C6FAA">
        <w:rPr>
          <w:sz w:val="22"/>
          <w:szCs w:val="22"/>
        </w:rPr>
        <w:t>here is more research to be done in order to reach a definitive conclusion on how a</w:t>
      </w:r>
      <w:r w:rsidR="00106E6A">
        <w:rPr>
          <w:sz w:val="22"/>
          <w:szCs w:val="22"/>
        </w:rPr>
        <w:t>ny</w:t>
      </w:r>
      <w:r w:rsidR="009C6FAA">
        <w:rPr>
          <w:sz w:val="22"/>
          <w:szCs w:val="22"/>
        </w:rPr>
        <w:t xml:space="preserve"> being can ever truly achieve inner peace.</w:t>
      </w:r>
    </w:p>
    <w:p w14:paraId="7F49F917" w14:textId="77777777" w:rsidR="008060C7" w:rsidRDefault="008060C7"/>
    <w:p w14:paraId="33CF0345" w14:textId="77777777" w:rsidR="008060C7" w:rsidRDefault="008060C7"/>
    <w:p w14:paraId="21125CC3" w14:textId="77777777" w:rsidR="008060C7" w:rsidRDefault="008060C7"/>
    <w:p w14:paraId="5C2D8789" w14:textId="77777777" w:rsidR="008060C7" w:rsidRDefault="008060C7"/>
    <w:p w14:paraId="177D70F9" w14:textId="13B27625" w:rsidR="008060C7" w:rsidRDefault="008060C7"/>
    <w:p w14:paraId="66E8E4AB" w14:textId="6CAB2296" w:rsidR="008060C7" w:rsidRPr="002640E0" w:rsidRDefault="002640E0">
      <w:pPr>
        <w:rPr>
          <w:b/>
          <w:bCs/>
          <w:u w:val="single"/>
        </w:rPr>
      </w:pPr>
      <w:r w:rsidRPr="002640E0">
        <w:rPr>
          <w:b/>
          <w:bCs/>
          <w:u w:val="single"/>
        </w:rPr>
        <w:lastRenderedPageBreak/>
        <w:t>Bibliography</w:t>
      </w:r>
    </w:p>
    <w:p w14:paraId="1DB720E1" w14:textId="77777777" w:rsidR="002E1C82" w:rsidRDefault="002E1C82">
      <w:pPr>
        <w:rPr>
          <w:sz w:val="22"/>
          <w:szCs w:val="22"/>
        </w:rPr>
      </w:pPr>
      <w:r w:rsidRPr="002640E0">
        <w:rPr>
          <w:sz w:val="22"/>
          <w:szCs w:val="22"/>
        </w:rPr>
        <w:t>Aurelius,</w:t>
      </w:r>
      <w:r>
        <w:rPr>
          <w:sz w:val="22"/>
          <w:szCs w:val="22"/>
        </w:rPr>
        <w:t xml:space="preserve"> </w:t>
      </w:r>
      <w:r w:rsidRPr="002640E0">
        <w:rPr>
          <w:sz w:val="22"/>
          <w:szCs w:val="22"/>
        </w:rPr>
        <w:t xml:space="preserve">Marcus </w:t>
      </w:r>
      <w:r w:rsidRPr="002640E0">
        <w:rPr>
          <w:i/>
          <w:iCs/>
          <w:sz w:val="22"/>
          <w:szCs w:val="22"/>
        </w:rPr>
        <w:t>Meditations by Marcus Aurelius</w:t>
      </w:r>
      <w:r w:rsidRPr="002640E0">
        <w:rPr>
          <w:sz w:val="22"/>
          <w:szCs w:val="22"/>
        </w:rPr>
        <w:t>, Edited By Ernest Rhys, (London: Dent, 1906)</w:t>
      </w:r>
      <w:r>
        <w:rPr>
          <w:sz w:val="22"/>
          <w:szCs w:val="22"/>
        </w:rPr>
        <w:t>.</w:t>
      </w:r>
    </w:p>
    <w:p w14:paraId="15752092" w14:textId="77777777" w:rsidR="002E1C82" w:rsidRPr="002640E0" w:rsidRDefault="002E1C82">
      <w:pPr>
        <w:rPr>
          <w:sz w:val="22"/>
          <w:szCs w:val="22"/>
        </w:rPr>
      </w:pPr>
      <w:r w:rsidRPr="002640E0">
        <w:rPr>
          <w:sz w:val="22"/>
          <w:szCs w:val="22"/>
        </w:rPr>
        <w:t>Babcock Gove,</w:t>
      </w:r>
      <w:r>
        <w:rPr>
          <w:sz w:val="22"/>
          <w:szCs w:val="22"/>
        </w:rPr>
        <w:t xml:space="preserve"> </w:t>
      </w:r>
      <w:r w:rsidRPr="002640E0">
        <w:rPr>
          <w:sz w:val="22"/>
          <w:szCs w:val="22"/>
        </w:rPr>
        <w:t xml:space="preserve">Philip </w:t>
      </w:r>
      <w:r w:rsidRPr="002640E0">
        <w:rPr>
          <w:i/>
          <w:iCs/>
          <w:sz w:val="22"/>
          <w:szCs w:val="22"/>
        </w:rPr>
        <w:t>Webster’s Third New International Dictionary</w:t>
      </w:r>
      <w:r w:rsidRPr="002640E0">
        <w:rPr>
          <w:sz w:val="22"/>
          <w:szCs w:val="22"/>
        </w:rPr>
        <w:t>, (London: G. Bell &amp; Sons, Ltd. 1959)</w:t>
      </w:r>
      <w:r>
        <w:rPr>
          <w:sz w:val="22"/>
          <w:szCs w:val="22"/>
        </w:rPr>
        <w:t>.</w:t>
      </w:r>
    </w:p>
    <w:p w14:paraId="496F49CB" w14:textId="77777777" w:rsidR="002E1C82" w:rsidRPr="002640E0" w:rsidRDefault="002E1C82">
      <w:pPr>
        <w:rPr>
          <w:sz w:val="22"/>
          <w:szCs w:val="22"/>
        </w:rPr>
      </w:pPr>
      <w:r w:rsidRPr="002640E0">
        <w:rPr>
          <w:sz w:val="22"/>
          <w:szCs w:val="22"/>
        </w:rPr>
        <w:t xml:space="preserve">Confucius, </w:t>
      </w:r>
      <w:r w:rsidRPr="002640E0">
        <w:rPr>
          <w:i/>
          <w:iCs/>
          <w:sz w:val="22"/>
          <w:szCs w:val="22"/>
        </w:rPr>
        <w:t>The Analects</w:t>
      </w:r>
      <w:r w:rsidRPr="002640E0">
        <w:rPr>
          <w:sz w:val="22"/>
          <w:szCs w:val="22"/>
        </w:rPr>
        <w:t>, Translated with an Introduction and Commentary by Ann-Ping Chin, (New York: Penguin, 2014)</w:t>
      </w:r>
      <w:r>
        <w:rPr>
          <w:sz w:val="22"/>
          <w:szCs w:val="22"/>
        </w:rPr>
        <w:t>.</w:t>
      </w:r>
    </w:p>
    <w:p w14:paraId="4D6ED8E5" w14:textId="77777777" w:rsidR="002E1C82" w:rsidRDefault="002E1C82">
      <w:pPr>
        <w:rPr>
          <w:sz w:val="22"/>
          <w:szCs w:val="22"/>
        </w:rPr>
      </w:pPr>
      <w:r w:rsidRPr="002640E0">
        <w:rPr>
          <w:sz w:val="22"/>
          <w:szCs w:val="22"/>
        </w:rPr>
        <w:t>Dalai Lama and Butler,</w:t>
      </w:r>
      <w:r>
        <w:rPr>
          <w:sz w:val="22"/>
          <w:szCs w:val="22"/>
        </w:rPr>
        <w:t xml:space="preserve"> </w:t>
      </w:r>
      <w:r w:rsidRPr="002640E0">
        <w:rPr>
          <w:sz w:val="22"/>
          <w:szCs w:val="22"/>
        </w:rPr>
        <w:t xml:space="preserve">Howard C. </w:t>
      </w:r>
      <w:r w:rsidRPr="002640E0">
        <w:rPr>
          <w:i/>
          <w:iCs/>
          <w:sz w:val="22"/>
          <w:szCs w:val="22"/>
        </w:rPr>
        <w:t>The Art of Happiness, A Handbook for the Living</w:t>
      </w:r>
      <w:r w:rsidRPr="002640E0">
        <w:rPr>
          <w:sz w:val="22"/>
          <w:szCs w:val="22"/>
        </w:rPr>
        <w:t>, (New York: Riverhead Books, 2009).</w:t>
      </w:r>
    </w:p>
    <w:p w14:paraId="3083B577" w14:textId="77777777" w:rsidR="002E1C82" w:rsidRDefault="002E1C82">
      <w:pPr>
        <w:rPr>
          <w:sz w:val="22"/>
          <w:szCs w:val="22"/>
        </w:rPr>
      </w:pPr>
      <w:r w:rsidRPr="002640E0">
        <w:rPr>
          <w:sz w:val="22"/>
          <w:szCs w:val="22"/>
        </w:rPr>
        <w:t xml:space="preserve">Galtung, Johan, </w:t>
      </w:r>
      <w:r w:rsidRPr="002640E0">
        <w:rPr>
          <w:i/>
          <w:iCs/>
          <w:sz w:val="22"/>
          <w:szCs w:val="22"/>
        </w:rPr>
        <w:t>Peace problems: some case studies</w:t>
      </w:r>
      <w:r w:rsidRPr="002640E0">
        <w:rPr>
          <w:sz w:val="22"/>
          <w:szCs w:val="22"/>
        </w:rPr>
        <w:t>, (Copenhagen: Ejlers, 1980)</w:t>
      </w:r>
      <w:r>
        <w:rPr>
          <w:sz w:val="22"/>
          <w:szCs w:val="22"/>
        </w:rPr>
        <w:t>.</w:t>
      </w:r>
    </w:p>
    <w:p w14:paraId="47D55BC4" w14:textId="77777777" w:rsidR="002E1C82" w:rsidRDefault="002E1C82">
      <w:pPr>
        <w:rPr>
          <w:sz w:val="22"/>
          <w:szCs w:val="22"/>
        </w:rPr>
      </w:pPr>
      <w:r w:rsidRPr="002640E0">
        <w:rPr>
          <w:sz w:val="22"/>
          <w:szCs w:val="22"/>
          <w:lang w:val="en-US"/>
        </w:rPr>
        <w:t>Webel</w:t>
      </w:r>
      <w:r>
        <w:rPr>
          <w:sz w:val="22"/>
          <w:szCs w:val="22"/>
          <w:lang w:val="en-US"/>
        </w:rPr>
        <w:t xml:space="preserve">, </w:t>
      </w:r>
      <w:r w:rsidRPr="002640E0">
        <w:rPr>
          <w:sz w:val="22"/>
          <w:szCs w:val="22"/>
          <w:lang w:val="en-US"/>
        </w:rPr>
        <w:t>Charles and Kaba,</w:t>
      </w:r>
      <w:r>
        <w:rPr>
          <w:sz w:val="22"/>
          <w:szCs w:val="22"/>
          <w:lang w:val="en-US"/>
        </w:rPr>
        <w:t xml:space="preserve"> </w:t>
      </w:r>
      <w:r w:rsidRPr="002640E0">
        <w:rPr>
          <w:sz w:val="22"/>
          <w:szCs w:val="22"/>
          <w:lang w:val="en-US"/>
        </w:rPr>
        <w:t>Marce</w:t>
      </w:r>
      <w:r>
        <w:rPr>
          <w:sz w:val="22"/>
          <w:szCs w:val="22"/>
          <w:lang w:val="en-US"/>
        </w:rPr>
        <w:t>l,</w:t>
      </w:r>
      <w:r w:rsidRPr="002640E0">
        <w:rPr>
          <w:sz w:val="22"/>
          <w:szCs w:val="22"/>
          <w:lang w:val="en-US"/>
        </w:rPr>
        <w:t xml:space="preserve"> ’</w:t>
      </w:r>
      <w:r w:rsidRPr="002640E0">
        <w:rPr>
          <w:sz w:val="22"/>
          <w:szCs w:val="22"/>
        </w:rPr>
        <w:t xml:space="preserve">Definitions of Peace in the Modern Era Since 1920’, </w:t>
      </w:r>
      <w:r w:rsidRPr="002640E0">
        <w:rPr>
          <w:i/>
          <w:iCs/>
          <w:sz w:val="22"/>
          <w:szCs w:val="22"/>
        </w:rPr>
        <w:t>A Cultural History of Peace in the Modern Age</w:t>
      </w:r>
      <w:r w:rsidRPr="002640E0">
        <w:rPr>
          <w:sz w:val="22"/>
          <w:szCs w:val="22"/>
        </w:rPr>
        <w:t>, Volume 6 (2020), 21-40</w:t>
      </w:r>
      <w:r>
        <w:rPr>
          <w:sz w:val="22"/>
          <w:szCs w:val="22"/>
        </w:rPr>
        <w:t>.</w:t>
      </w:r>
    </w:p>
    <w:sectPr w:rsidR="002E1C8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997DD" w14:textId="77777777" w:rsidR="00294986" w:rsidRDefault="00294986" w:rsidP="003D3470">
      <w:pPr>
        <w:spacing w:after="0" w:line="240" w:lineRule="auto"/>
      </w:pPr>
      <w:r>
        <w:separator/>
      </w:r>
    </w:p>
  </w:endnote>
  <w:endnote w:type="continuationSeparator" w:id="0">
    <w:p w14:paraId="71806670" w14:textId="77777777" w:rsidR="00294986" w:rsidRDefault="00294986" w:rsidP="003D3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F4802" w14:textId="77777777" w:rsidR="00294986" w:rsidRDefault="00294986" w:rsidP="003D3470">
      <w:pPr>
        <w:spacing w:after="0" w:line="240" w:lineRule="auto"/>
      </w:pPr>
      <w:r>
        <w:separator/>
      </w:r>
    </w:p>
  </w:footnote>
  <w:footnote w:type="continuationSeparator" w:id="0">
    <w:p w14:paraId="5B62323D" w14:textId="77777777" w:rsidR="00294986" w:rsidRDefault="00294986" w:rsidP="003D3470">
      <w:pPr>
        <w:spacing w:after="0" w:line="240" w:lineRule="auto"/>
      </w:pPr>
      <w:r>
        <w:continuationSeparator/>
      </w:r>
    </w:p>
  </w:footnote>
  <w:footnote w:id="1">
    <w:p w14:paraId="467CA3A7" w14:textId="75E2CBBD" w:rsidR="007E2A4A" w:rsidRPr="00BA7CA5" w:rsidRDefault="007E2A4A" w:rsidP="007E2A4A">
      <w:pPr>
        <w:pStyle w:val="FootnoteText"/>
        <w:rPr>
          <w:i/>
          <w:iCs/>
        </w:rPr>
      </w:pPr>
      <w:r w:rsidRPr="00BA7CA5">
        <w:rPr>
          <w:rStyle w:val="FootnoteReference"/>
          <w:sz w:val="16"/>
          <w:szCs w:val="16"/>
        </w:rPr>
        <w:footnoteRef/>
      </w:r>
      <w:r w:rsidRPr="00BA7CA5">
        <w:t xml:space="preserve"> </w:t>
      </w:r>
      <w:bookmarkStart w:id="0" w:name="_Hlk191652179"/>
      <w:r w:rsidRPr="00BA7CA5">
        <w:rPr>
          <w:sz w:val="16"/>
          <w:szCs w:val="16"/>
          <w:lang w:val="en-US"/>
        </w:rPr>
        <w:t>Charles Webel and Marcel Kaba, ’</w:t>
      </w:r>
      <w:r w:rsidRPr="00BA7CA5">
        <w:rPr>
          <w:sz w:val="16"/>
          <w:szCs w:val="16"/>
        </w:rPr>
        <w:t xml:space="preserve">Definitions of Peace in the Modern Era Since 1920’, </w:t>
      </w:r>
      <w:r w:rsidRPr="00BA7CA5">
        <w:rPr>
          <w:i/>
          <w:iCs/>
          <w:sz w:val="16"/>
          <w:szCs w:val="16"/>
        </w:rPr>
        <w:t>A Cultural History of Peace in the Modern Age</w:t>
      </w:r>
      <w:r w:rsidRPr="00BA7CA5">
        <w:rPr>
          <w:sz w:val="16"/>
          <w:szCs w:val="16"/>
        </w:rPr>
        <w:t>, Volume 6 (2020), 21-40</w:t>
      </w:r>
      <w:bookmarkEnd w:id="0"/>
      <w:r w:rsidRPr="00BA7CA5">
        <w:rPr>
          <w:sz w:val="16"/>
          <w:szCs w:val="16"/>
        </w:rPr>
        <w:t xml:space="preserve">, (p. </w:t>
      </w:r>
      <w:r w:rsidR="000A6014">
        <w:rPr>
          <w:sz w:val="16"/>
          <w:szCs w:val="16"/>
        </w:rPr>
        <w:t>2</w:t>
      </w:r>
      <w:r w:rsidR="000501C2">
        <w:rPr>
          <w:sz w:val="16"/>
          <w:szCs w:val="16"/>
        </w:rPr>
        <w:t>2</w:t>
      </w:r>
      <w:r w:rsidR="000A6014">
        <w:rPr>
          <w:sz w:val="16"/>
          <w:szCs w:val="16"/>
        </w:rPr>
        <w:t>).</w:t>
      </w:r>
    </w:p>
  </w:footnote>
  <w:footnote w:id="2">
    <w:p w14:paraId="195E4B24" w14:textId="2E6D27E9" w:rsidR="005F07F8" w:rsidRPr="005F07F8" w:rsidRDefault="005F07F8">
      <w:pPr>
        <w:pStyle w:val="FootnoteText"/>
        <w:rPr>
          <w:lang w:val="en-US"/>
        </w:rPr>
      </w:pPr>
      <w:r w:rsidRPr="00BA7CA5">
        <w:rPr>
          <w:rStyle w:val="FootnoteReference"/>
          <w:sz w:val="16"/>
          <w:szCs w:val="16"/>
        </w:rPr>
        <w:footnoteRef/>
      </w:r>
      <w:r w:rsidRPr="00BA7CA5">
        <w:rPr>
          <w:sz w:val="16"/>
          <w:szCs w:val="16"/>
        </w:rPr>
        <w:t xml:space="preserve"> </w:t>
      </w:r>
      <w:bookmarkStart w:id="1" w:name="_Hlk191652224"/>
      <w:r w:rsidRPr="00BA7CA5">
        <w:rPr>
          <w:sz w:val="16"/>
          <w:szCs w:val="16"/>
        </w:rPr>
        <w:t xml:space="preserve">Philip Babcock Gove, </w:t>
      </w:r>
      <w:r w:rsidRPr="00BA7CA5">
        <w:rPr>
          <w:i/>
          <w:iCs/>
          <w:sz w:val="16"/>
          <w:szCs w:val="16"/>
        </w:rPr>
        <w:t>Webster’s Third New International Dictionary</w:t>
      </w:r>
      <w:r w:rsidRPr="00BA7CA5">
        <w:rPr>
          <w:sz w:val="16"/>
          <w:szCs w:val="16"/>
        </w:rPr>
        <w:t>, (London: G. Bell &amp; Sons, Ltd. 1959)</w:t>
      </w:r>
      <w:r w:rsidR="00B416CB">
        <w:rPr>
          <w:sz w:val="16"/>
          <w:szCs w:val="16"/>
        </w:rPr>
        <w:t>,</w:t>
      </w:r>
      <w:r w:rsidRPr="00BA7CA5">
        <w:rPr>
          <w:sz w:val="16"/>
          <w:szCs w:val="16"/>
        </w:rPr>
        <w:t xml:space="preserve"> </w:t>
      </w:r>
      <w:bookmarkEnd w:id="1"/>
      <w:r w:rsidRPr="00BA7CA5">
        <w:rPr>
          <w:sz w:val="16"/>
          <w:szCs w:val="16"/>
        </w:rPr>
        <w:t>p.1660.</w:t>
      </w:r>
    </w:p>
  </w:footnote>
  <w:footnote w:id="3">
    <w:p w14:paraId="7F91F7BD" w14:textId="7DE67503" w:rsidR="00B229D0" w:rsidRPr="00B229D0" w:rsidRDefault="00B229D0">
      <w:pPr>
        <w:pStyle w:val="FootnoteText"/>
        <w:rPr>
          <w:lang w:val="en-US"/>
        </w:rPr>
      </w:pPr>
      <w:r w:rsidRPr="00B229D0">
        <w:rPr>
          <w:rStyle w:val="FootnoteReference"/>
          <w:sz w:val="16"/>
          <w:szCs w:val="16"/>
        </w:rPr>
        <w:footnoteRef/>
      </w:r>
      <w:r w:rsidRPr="00B229D0">
        <w:rPr>
          <w:sz w:val="16"/>
          <w:szCs w:val="16"/>
        </w:rPr>
        <w:t xml:space="preserve"> </w:t>
      </w:r>
      <w:bookmarkStart w:id="2" w:name="_Hlk191652244"/>
      <w:r w:rsidRPr="00B229D0">
        <w:rPr>
          <w:sz w:val="16"/>
          <w:szCs w:val="16"/>
        </w:rPr>
        <w:t>Marcus Aurelius</w:t>
      </w:r>
      <w:r>
        <w:rPr>
          <w:sz w:val="16"/>
          <w:szCs w:val="16"/>
        </w:rPr>
        <w:t xml:space="preserve">, </w:t>
      </w:r>
      <w:r w:rsidRPr="00B229D0">
        <w:rPr>
          <w:i/>
          <w:iCs/>
          <w:sz w:val="16"/>
          <w:szCs w:val="16"/>
        </w:rPr>
        <w:t>Meditations by Marcus Aurelius</w:t>
      </w:r>
      <w:r>
        <w:rPr>
          <w:sz w:val="16"/>
          <w:szCs w:val="16"/>
        </w:rPr>
        <w:t xml:space="preserve">, </w:t>
      </w:r>
      <w:r w:rsidR="00B416CB" w:rsidRPr="00B416CB">
        <w:rPr>
          <w:sz w:val="16"/>
          <w:szCs w:val="16"/>
        </w:rPr>
        <w:t>E</w:t>
      </w:r>
      <w:r w:rsidR="00B416CB">
        <w:rPr>
          <w:sz w:val="16"/>
          <w:szCs w:val="16"/>
        </w:rPr>
        <w:t>dited</w:t>
      </w:r>
      <w:r w:rsidR="00B416CB" w:rsidRPr="00B416CB">
        <w:rPr>
          <w:sz w:val="16"/>
          <w:szCs w:val="16"/>
        </w:rPr>
        <w:t xml:space="preserve"> B</w:t>
      </w:r>
      <w:r w:rsidR="00B416CB">
        <w:rPr>
          <w:sz w:val="16"/>
          <w:szCs w:val="16"/>
        </w:rPr>
        <w:t>y</w:t>
      </w:r>
      <w:r w:rsidR="00B416CB" w:rsidRPr="00B416CB">
        <w:rPr>
          <w:sz w:val="16"/>
          <w:szCs w:val="16"/>
        </w:rPr>
        <w:t xml:space="preserve"> E</w:t>
      </w:r>
      <w:r w:rsidR="00B416CB">
        <w:rPr>
          <w:sz w:val="16"/>
          <w:szCs w:val="16"/>
        </w:rPr>
        <w:t>rnest</w:t>
      </w:r>
      <w:r w:rsidR="00B416CB" w:rsidRPr="00B416CB">
        <w:rPr>
          <w:sz w:val="16"/>
          <w:szCs w:val="16"/>
        </w:rPr>
        <w:t xml:space="preserve"> R</w:t>
      </w:r>
      <w:r w:rsidR="00B416CB">
        <w:rPr>
          <w:sz w:val="16"/>
          <w:szCs w:val="16"/>
        </w:rPr>
        <w:t>hys</w:t>
      </w:r>
      <w:r>
        <w:rPr>
          <w:sz w:val="16"/>
          <w:szCs w:val="16"/>
        </w:rPr>
        <w:t>,</w:t>
      </w:r>
      <w:r w:rsidR="00B416CB">
        <w:rPr>
          <w:sz w:val="16"/>
          <w:szCs w:val="16"/>
        </w:rPr>
        <w:t xml:space="preserve"> (London: Dent, 1906),</w:t>
      </w:r>
      <w:r>
        <w:rPr>
          <w:sz w:val="16"/>
          <w:szCs w:val="16"/>
        </w:rPr>
        <w:t xml:space="preserve">  </w:t>
      </w:r>
      <w:bookmarkEnd w:id="2"/>
      <w:r>
        <w:rPr>
          <w:sz w:val="16"/>
          <w:szCs w:val="16"/>
        </w:rPr>
        <w:t xml:space="preserve">p. </w:t>
      </w:r>
      <w:r w:rsidR="00B416CB">
        <w:rPr>
          <w:sz w:val="16"/>
          <w:szCs w:val="16"/>
        </w:rPr>
        <w:t>27</w:t>
      </w:r>
      <w:r w:rsidR="003E105F">
        <w:rPr>
          <w:sz w:val="16"/>
          <w:szCs w:val="16"/>
        </w:rPr>
        <w:t>.</w:t>
      </w:r>
    </w:p>
  </w:footnote>
  <w:footnote w:id="4">
    <w:p w14:paraId="38437133" w14:textId="64EEADA5" w:rsidR="00B416CB" w:rsidRPr="00D67D90" w:rsidRDefault="00B416CB">
      <w:pPr>
        <w:pStyle w:val="FootnoteText"/>
      </w:pPr>
      <w:r w:rsidRPr="00B416CB">
        <w:rPr>
          <w:rStyle w:val="FootnoteReference"/>
          <w:sz w:val="16"/>
          <w:szCs w:val="16"/>
        </w:rPr>
        <w:footnoteRef/>
      </w:r>
      <w:r w:rsidRPr="00D67D90">
        <w:rPr>
          <w:sz w:val="16"/>
          <w:szCs w:val="16"/>
        </w:rPr>
        <w:t xml:space="preserve"> </w:t>
      </w:r>
      <w:r w:rsidR="002D1DB4">
        <w:rPr>
          <w:sz w:val="16"/>
          <w:szCs w:val="16"/>
        </w:rPr>
        <w:t>Ibid</w:t>
      </w:r>
      <w:r w:rsidRPr="00D67D90">
        <w:rPr>
          <w:sz w:val="16"/>
          <w:szCs w:val="16"/>
        </w:rPr>
        <w:t>,</w:t>
      </w:r>
      <w:r w:rsidRPr="00D67D90">
        <w:rPr>
          <w:i/>
          <w:iCs/>
          <w:sz w:val="16"/>
          <w:szCs w:val="16"/>
        </w:rPr>
        <w:t xml:space="preserve"> </w:t>
      </w:r>
      <w:r w:rsidRPr="003E105F">
        <w:rPr>
          <w:sz w:val="16"/>
          <w:szCs w:val="16"/>
        </w:rPr>
        <w:t>p.28</w:t>
      </w:r>
      <w:r w:rsidR="004A009E" w:rsidRPr="00D67D90">
        <w:rPr>
          <w:i/>
          <w:iCs/>
          <w:sz w:val="16"/>
          <w:szCs w:val="16"/>
        </w:rPr>
        <w:t>.</w:t>
      </w:r>
    </w:p>
  </w:footnote>
  <w:footnote w:id="5">
    <w:p w14:paraId="1C80171A" w14:textId="19D7A4FD" w:rsidR="00B92D5C" w:rsidRPr="00B92D5C" w:rsidRDefault="00B92D5C">
      <w:pPr>
        <w:pStyle w:val="FootnoteText"/>
        <w:rPr>
          <w:lang w:val="en-US"/>
        </w:rPr>
      </w:pPr>
      <w:r w:rsidRPr="00B92D5C">
        <w:rPr>
          <w:rStyle w:val="FootnoteReference"/>
          <w:sz w:val="16"/>
          <w:szCs w:val="16"/>
        </w:rPr>
        <w:footnoteRef/>
      </w:r>
      <w:r w:rsidRPr="00B92D5C">
        <w:rPr>
          <w:sz w:val="16"/>
          <w:szCs w:val="16"/>
        </w:rPr>
        <w:t xml:space="preserve"> Johan</w:t>
      </w:r>
      <w:r w:rsidR="002640E0">
        <w:rPr>
          <w:sz w:val="16"/>
          <w:szCs w:val="16"/>
        </w:rPr>
        <w:t xml:space="preserve"> Galtung</w:t>
      </w:r>
      <w:r w:rsidRPr="00B92D5C">
        <w:rPr>
          <w:sz w:val="16"/>
          <w:szCs w:val="16"/>
        </w:rPr>
        <w:t xml:space="preserve"> </w:t>
      </w:r>
      <w:r w:rsidRPr="00B92D5C">
        <w:rPr>
          <w:i/>
          <w:iCs/>
          <w:sz w:val="16"/>
          <w:szCs w:val="16"/>
        </w:rPr>
        <w:t>Peace problems: some case studies</w:t>
      </w:r>
      <w:r w:rsidRPr="00B92D5C">
        <w:rPr>
          <w:sz w:val="16"/>
          <w:szCs w:val="16"/>
        </w:rPr>
        <w:t>, (Copenhagen: Ejlers, 1980)</w:t>
      </w:r>
      <w:r>
        <w:rPr>
          <w:sz w:val="16"/>
          <w:szCs w:val="16"/>
        </w:rPr>
        <w:t>, p.26.</w:t>
      </w:r>
    </w:p>
  </w:footnote>
  <w:footnote w:id="6">
    <w:p w14:paraId="64FC9774" w14:textId="277C10B4" w:rsidR="00D5071F" w:rsidRPr="00B92D5C" w:rsidRDefault="00D5071F">
      <w:pPr>
        <w:pStyle w:val="FootnoteText"/>
      </w:pPr>
      <w:r w:rsidRPr="00D5071F">
        <w:rPr>
          <w:rStyle w:val="FootnoteReference"/>
          <w:sz w:val="16"/>
          <w:szCs w:val="16"/>
        </w:rPr>
        <w:footnoteRef/>
      </w:r>
      <w:r w:rsidRPr="00B92D5C">
        <w:rPr>
          <w:sz w:val="16"/>
          <w:szCs w:val="16"/>
        </w:rPr>
        <w:t xml:space="preserve"> Aurelius, p.9.</w:t>
      </w:r>
    </w:p>
  </w:footnote>
  <w:footnote w:id="7">
    <w:p w14:paraId="696EE1D6" w14:textId="177202B4" w:rsidR="0065394C" w:rsidRPr="0065394C" w:rsidRDefault="0065394C">
      <w:pPr>
        <w:pStyle w:val="FootnoteText"/>
        <w:rPr>
          <w:lang w:val="en-US"/>
        </w:rPr>
      </w:pPr>
      <w:r w:rsidRPr="0065394C">
        <w:rPr>
          <w:rStyle w:val="FootnoteReference"/>
          <w:sz w:val="16"/>
          <w:szCs w:val="16"/>
        </w:rPr>
        <w:footnoteRef/>
      </w:r>
      <w:r w:rsidRPr="0065394C">
        <w:rPr>
          <w:sz w:val="16"/>
          <w:szCs w:val="16"/>
        </w:rPr>
        <w:t xml:space="preserve"> </w:t>
      </w:r>
      <w:bookmarkStart w:id="3" w:name="_Hlk191652304"/>
      <w:r>
        <w:rPr>
          <w:sz w:val="16"/>
          <w:szCs w:val="16"/>
        </w:rPr>
        <w:t xml:space="preserve">Dalai Lama and Howard C. Butler, </w:t>
      </w:r>
      <w:r w:rsidRPr="0065394C">
        <w:rPr>
          <w:i/>
          <w:iCs/>
          <w:sz w:val="16"/>
          <w:szCs w:val="16"/>
        </w:rPr>
        <w:t>The Art of Happines</w:t>
      </w:r>
      <w:r>
        <w:rPr>
          <w:i/>
          <w:iCs/>
          <w:sz w:val="16"/>
          <w:szCs w:val="16"/>
        </w:rPr>
        <w:t>s, A Handbook for the Living</w:t>
      </w:r>
      <w:r>
        <w:rPr>
          <w:sz w:val="16"/>
          <w:szCs w:val="16"/>
        </w:rPr>
        <w:t xml:space="preserve">, (New York: Riverhead Books, 2009). </w:t>
      </w:r>
      <w:bookmarkEnd w:id="3"/>
      <w:r>
        <w:rPr>
          <w:sz w:val="16"/>
          <w:szCs w:val="16"/>
        </w:rPr>
        <w:t>P.</w:t>
      </w:r>
      <w:r>
        <w:rPr>
          <w:sz w:val="16"/>
          <w:szCs w:val="16"/>
          <w:lang w:val="en-US"/>
        </w:rPr>
        <w:t>91.</w:t>
      </w:r>
    </w:p>
  </w:footnote>
  <w:footnote w:id="8">
    <w:p w14:paraId="5EFBDB44" w14:textId="0C71DFBA" w:rsidR="000A6014" w:rsidRPr="000A6014" w:rsidRDefault="000A6014">
      <w:pPr>
        <w:pStyle w:val="FootnoteText"/>
        <w:rPr>
          <w:lang w:val="en-US"/>
        </w:rPr>
      </w:pPr>
      <w:r w:rsidRPr="000A6014">
        <w:rPr>
          <w:rStyle w:val="FootnoteReference"/>
          <w:sz w:val="16"/>
          <w:szCs w:val="16"/>
        </w:rPr>
        <w:footnoteRef/>
      </w:r>
      <w:r w:rsidRPr="000A6014">
        <w:rPr>
          <w:sz w:val="16"/>
          <w:szCs w:val="16"/>
        </w:rPr>
        <w:t xml:space="preserve"> </w:t>
      </w:r>
      <w:r w:rsidR="002D1DB4">
        <w:rPr>
          <w:sz w:val="16"/>
          <w:szCs w:val="16"/>
        </w:rPr>
        <w:t>Ibid</w:t>
      </w:r>
      <w:r>
        <w:rPr>
          <w:i/>
          <w:iCs/>
          <w:sz w:val="16"/>
          <w:szCs w:val="16"/>
        </w:rPr>
        <w:t xml:space="preserve">, </w:t>
      </w:r>
      <w:r>
        <w:rPr>
          <w:sz w:val="16"/>
          <w:szCs w:val="16"/>
        </w:rPr>
        <w:t>p.91.</w:t>
      </w:r>
    </w:p>
  </w:footnote>
  <w:footnote w:id="9">
    <w:p w14:paraId="13F47364" w14:textId="5EB2E7A6" w:rsidR="008102CA" w:rsidRPr="008102CA" w:rsidRDefault="008102CA">
      <w:pPr>
        <w:pStyle w:val="FootnoteText"/>
        <w:rPr>
          <w:lang w:val="en-US"/>
        </w:rPr>
      </w:pPr>
      <w:r w:rsidRPr="008102CA">
        <w:rPr>
          <w:rStyle w:val="FootnoteReference"/>
          <w:sz w:val="16"/>
          <w:szCs w:val="16"/>
        </w:rPr>
        <w:footnoteRef/>
      </w:r>
      <w:r w:rsidRPr="008102CA">
        <w:rPr>
          <w:sz w:val="16"/>
          <w:szCs w:val="16"/>
        </w:rPr>
        <w:t xml:space="preserve"> </w:t>
      </w:r>
      <w:bookmarkStart w:id="4" w:name="_Hlk191652324"/>
      <w:r w:rsidRPr="008102CA">
        <w:rPr>
          <w:sz w:val="16"/>
          <w:szCs w:val="16"/>
        </w:rPr>
        <w:t xml:space="preserve">Confucius, </w:t>
      </w:r>
      <w:r w:rsidRPr="008102CA">
        <w:rPr>
          <w:i/>
          <w:iCs/>
          <w:sz w:val="16"/>
          <w:szCs w:val="16"/>
        </w:rPr>
        <w:t>The Analects</w:t>
      </w:r>
      <w:r w:rsidRPr="008102CA">
        <w:rPr>
          <w:sz w:val="16"/>
          <w:szCs w:val="16"/>
        </w:rPr>
        <w:t xml:space="preserve">, Translated with an Introduction and Commentary by Ann-Ping Chin, (New York: Penguin, 2014), </w:t>
      </w:r>
      <w:bookmarkEnd w:id="4"/>
      <w:r w:rsidRPr="008102CA">
        <w:rPr>
          <w:sz w:val="16"/>
          <w:szCs w:val="16"/>
        </w:rPr>
        <w:t>p.470</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2CEE" w14:textId="4508F2E6" w:rsidR="003D3470" w:rsidRPr="003D3470" w:rsidRDefault="003D3470" w:rsidP="003D3470">
    <w:pPr>
      <w:pStyle w:val="Header"/>
      <w:rPr>
        <w:b/>
        <w:bCs/>
        <w:sz w:val="32"/>
        <w:szCs w:val="32"/>
      </w:rPr>
    </w:pPr>
    <w:r w:rsidRPr="003D3470">
      <w:rPr>
        <w:sz w:val="20"/>
        <w:szCs w:val="20"/>
        <w:lang w:val="en-US"/>
      </w:rPr>
      <w:t>Alex Hales-Owen</w:t>
    </w:r>
    <w:r>
      <w:rPr>
        <w:sz w:val="20"/>
        <w:szCs w:val="20"/>
        <w:lang w:val="en-US"/>
      </w:rPr>
      <w:t xml:space="preserve"> (2221576)</w:t>
    </w:r>
    <w:r>
      <w:rPr>
        <w:lang w:val="en-US"/>
      </w:rPr>
      <w:tab/>
    </w:r>
    <w:r>
      <w:rPr>
        <w:lang w:val="en-US"/>
      </w:rPr>
      <w:tab/>
    </w:r>
    <w:r w:rsidRPr="003D3470">
      <w:rPr>
        <w:sz w:val="20"/>
        <w:szCs w:val="20"/>
      </w:rPr>
      <w:t>Concepts of Peace (HPHI5901/HPHI6901)</w:t>
    </w:r>
  </w:p>
  <w:p w14:paraId="28F3AE30" w14:textId="70D1841E" w:rsidR="003D3470" w:rsidRPr="003D3470" w:rsidRDefault="003D3470" w:rsidP="003D3470">
    <w:pPr>
      <w:pStyle w:val="Header"/>
    </w:pPr>
  </w:p>
  <w:p w14:paraId="4932D12E" w14:textId="225D6034" w:rsidR="003D3470" w:rsidRDefault="003D3470" w:rsidP="003D3470">
    <w:pPr>
      <w:pStyle w:val="Header"/>
      <w:jc w:val="center"/>
      <w:rPr>
        <w:b/>
        <w:bCs/>
        <w:u w:val="single"/>
        <w:lang w:val="en-US"/>
      </w:rPr>
    </w:pPr>
    <w:r>
      <w:rPr>
        <w:b/>
        <w:bCs/>
        <w:u w:val="single"/>
        <w:lang w:val="en-US"/>
      </w:rPr>
      <w:t>Think</w:t>
    </w:r>
    <w:r w:rsidR="005F07F8">
      <w:rPr>
        <w:b/>
        <w:bCs/>
        <w:u w:val="single"/>
        <w:lang w:val="en-US"/>
      </w:rPr>
      <w:t>-</w:t>
    </w:r>
    <w:r>
      <w:rPr>
        <w:b/>
        <w:bCs/>
        <w:u w:val="single"/>
        <w:lang w:val="en-US"/>
      </w:rPr>
      <w:t>piece 1</w:t>
    </w:r>
  </w:p>
  <w:p w14:paraId="62565E06" w14:textId="220C0A7A" w:rsidR="003D3470" w:rsidRPr="003D3470" w:rsidRDefault="003D3470" w:rsidP="003D3470">
    <w:pPr>
      <w:pStyle w:val="Header"/>
      <w:jc w:val="center"/>
      <w:rPr>
        <w:u w:val="single"/>
        <w:lang w:val="en-US"/>
      </w:rPr>
    </w:pPr>
    <w:r>
      <w:rPr>
        <w:u w:val="single"/>
        <w:lang w:val="en-US"/>
      </w:rPr>
      <w:t>Concepts of Inner peace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9018D"/>
    <w:multiLevelType w:val="multilevel"/>
    <w:tmpl w:val="6CD2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4300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470"/>
    <w:rsid w:val="000243E8"/>
    <w:rsid w:val="000501C2"/>
    <w:rsid w:val="000A6014"/>
    <w:rsid w:val="000C25CE"/>
    <w:rsid w:val="000E160D"/>
    <w:rsid w:val="00106E6A"/>
    <w:rsid w:val="00221390"/>
    <w:rsid w:val="00261547"/>
    <w:rsid w:val="002640E0"/>
    <w:rsid w:val="00294986"/>
    <w:rsid w:val="002D1DB4"/>
    <w:rsid w:val="002E1C82"/>
    <w:rsid w:val="002F7368"/>
    <w:rsid w:val="0030592C"/>
    <w:rsid w:val="0036288B"/>
    <w:rsid w:val="00385B57"/>
    <w:rsid w:val="003D3470"/>
    <w:rsid w:val="003E105F"/>
    <w:rsid w:val="0042404C"/>
    <w:rsid w:val="00443FE2"/>
    <w:rsid w:val="00472FF8"/>
    <w:rsid w:val="004A009E"/>
    <w:rsid w:val="00532886"/>
    <w:rsid w:val="00584455"/>
    <w:rsid w:val="005F07F8"/>
    <w:rsid w:val="0065394C"/>
    <w:rsid w:val="007128D9"/>
    <w:rsid w:val="007167B8"/>
    <w:rsid w:val="00753BD2"/>
    <w:rsid w:val="0075719E"/>
    <w:rsid w:val="0078557D"/>
    <w:rsid w:val="007E2A4A"/>
    <w:rsid w:val="008060C7"/>
    <w:rsid w:val="008102CA"/>
    <w:rsid w:val="009C6FAA"/>
    <w:rsid w:val="00A360F9"/>
    <w:rsid w:val="00AB122E"/>
    <w:rsid w:val="00B229D0"/>
    <w:rsid w:val="00B416CB"/>
    <w:rsid w:val="00B46C6B"/>
    <w:rsid w:val="00B92D5C"/>
    <w:rsid w:val="00BA7CA5"/>
    <w:rsid w:val="00C539DA"/>
    <w:rsid w:val="00CA3C01"/>
    <w:rsid w:val="00D5071F"/>
    <w:rsid w:val="00D67D90"/>
    <w:rsid w:val="00D8289C"/>
    <w:rsid w:val="00DA5DFD"/>
    <w:rsid w:val="00DF4FB4"/>
    <w:rsid w:val="00E156F2"/>
    <w:rsid w:val="00E30277"/>
    <w:rsid w:val="00E45D4F"/>
    <w:rsid w:val="00E55902"/>
    <w:rsid w:val="00F208FC"/>
    <w:rsid w:val="00F21F3C"/>
    <w:rsid w:val="00FD6EB9"/>
    <w:rsid w:val="00FD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DF722"/>
  <w15:chartTrackingRefBased/>
  <w15:docId w15:val="{D64AC0CF-947D-45E2-BDCE-F4E96380E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BD2"/>
    <w:rPr>
      <w:rFonts w:ascii="Calibri" w:hAnsi="Calibri"/>
    </w:rPr>
  </w:style>
  <w:style w:type="paragraph" w:styleId="Heading1">
    <w:name w:val="heading 1"/>
    <w:basedOn w:val="Normal"/>
    <w:next w:val="Normal"/>
    <w:link w:val="Heading1Char"/>
    <w:uiPriority w:val="9"/>
    <w:qFormat/>
    <w:rsid w:val="003D3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47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47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D347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D347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347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347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347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4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4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4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4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4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4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4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4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470"/>
    <w:rPr>
      <w:rFonts w:eastAsiaTheme="majorEastAsia" w:cstheme="majorBidi"/>
      <w:color w:val="272727" w:themeColor="text1" w:themeTint="D8"/>
    </w:rPr>
  </w:style>
  <w:style w:type="paragraph" w:styleId="Title">
    <w:name w:val="Title"/>
    <w:basedOn w:val="Normal"/>
    <w:next w:val="Normal"/>
    <w:link w:val="TitleChar"/>
    <w:uiPriority w:val="10"/>
    <w:qFormat/>
    <w:rsid w:val="003D34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4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47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4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470"/>
    <w:pPr>
      <w:spacing w:before="160"/>
      <w:jc w:val="center"/>
    </w:pPr>
    <w:rPr>
      <w:i/>
      <w:iCs/>
      <w:color w:val="404040" w:themeColor="text1" w:themeTint="BF"/>
    </w:rPr>
  </w:style>
  <w:style w:type="character" w:customStyle="1" w:styleId="QuoteChar">
    <w:name w:val="Quote Char"/>
    <w:basedOn w:val="DefaultParagraphFont"/>
    <w:link w:val="Quote"/>
    <w:uiPriority w:val="29"/>
    <w:rsid w:val="003D3470"/>
    <w:rPr>
      <w:rFonts w:ascii="Calibri" w:hAnsi="Calibri"/>
      <w:i/>
      <w:iCs/>
      <w:color w:val="404040" w:themeColor="text1" w:themeTint="BF"/>
    </w:rPr>
  </w:style>
  <w:style w:type="paragraph" w:styleId="ListParagraph">
    <w:name w:val="List Paragraph"/>
    <w:basedOn w:val="Normal"/>
    <w:uiPriority w:val="34"/>
    <w:qFormat/>
    <w:rsid w:val="003D3470"/>
    <w:pPr>
      <w:ind w:left="720"/>
      <w:contextualSpacing/>
    </w:pPr>
  </w:style>
  <w:style w:type="character" w:styleId="IntenseEmphasis">
    <w:name w:val="Intense Emphasis"/>
    <w:basedOn w:val="DefaultParagraphFont"/>
    <w:uiPriority w:val="21"/>
    <w:qFormat/>
    <w:rsid w:val="003D3470"/>
    <w:rPr>
      <w:i/>
      <w:iCs/>
      <w:color w:val="0F4761" w:themeColor="accent1" w:themeShade="BF"/>
    </w:rPr>
  </w:style>
  <w:style w:type="paragraph" w:styleId="IntenseQuote">
    <w:name w:val="Intense Quote"/>
    <w:basedOn w:val="Normal"/>
    <w:next w:val="Normal"/>
    <w:link w:val="IntenseQuoteChar"/>
    <w:uiPriority w:val="30"/>
    <w:qFormat/>
    <w:rsid w:val="003D3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470"/>
    <w:rPr>
      <w:rFonts w:ascii="Calibri" w:hAnsi="Calibri"/>
      <w:i/>
      <w:iCs/>
      <w:color w:val="0F4761" w:themeColor="accent1" w:themeShade="BF"/>
    </w:rPr>
  </w:style>
  <w:style w:type="character" w:styleId="IntenseReference">
    <w:name w:val="Intense Reference"/>
    <w:basedOn w:val="DefaultParagraphFont"/>
    <w:uiPriority w:val="32"/>
    <w:qFormat/>
    <w:rsid w:val="003D3470"/>
    <w:rPr>
      <w:b/>
      <w:bCs/>
      <w:smallCaps/>
      <w:color w:val="0F4761" w:themeColor="accent1" w:themeShade="BF"/>
      <w:spacing w:val="5"/>
    </w:rPr>
  </w:style>
  <w:style w:type="paragraph" w:styleId="Header">
    <w:name w:val="header"/>
    <w:basedOn w:val="Normal"/>
    <w:link w:val="HeaderChar"/>
    <w:uiPriority w:val="99"/>
    <w:unhideWhenUsed/>
    <w:rsid w:val="003D34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470"/>
    <w:rPr>
      <w:rFonts w:ascii="Calibri" w:hAnsi="Calibri"/>
    </w:rPr>
  </w:style>
  <w:style w:type="paragraph" w:styleId="Footer">
    <w:name w:val="footer"/>
    <w:basedOn w:val="Normal"/>
    <w:link w:val="FooterChar"/>
    <w:uiPriority w:val="99"/>
    <w:unhideWhenUsed/>
    <w:rsid w:val="003D34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470"/>
    <w:rPr>
      <w:rFonts w:ascii="Calibri" w:hAnsi="Calibri"/>
    </w:rPr>
  </w:style>
  <w:style w:type="character" w:styleId="Hyperlink">
    <w:name w:val="Hyperlink"/>
    <w:basedOn w:val="DefaultParagraphFont"/>
    <w:uiPriority w:val="99"/>
    <w:unhideWhenUsed/>
    <w:rsid w:val="003D3470"/>
    <w:rPr>
      <w:color w:val="467886" w:themeColor="hyperlink"/>
      <w:u w:val="single"/>
    </w:rPr>
  </w:style>
  <w:style w:type="character" w:styleId="UnresolvedMention">
    <w:name w:val="Unresolved Mention"/>
    <w:basedOn w:val="DefaultParagraphFont"/>
    <w:uiPriority w:val="99"/>
    <w:semiHidden/>
    <w:unhideWhenUsed/>
    <w:rsid w:val="003D3470"/>
    <w:rPr>
      <w:color w:val="605E5C"/>
      <w:shd w:val="clear" w:color="auto" w:fill="E1DFDD"/>
    </w:rPr>
  </w:style>
  <w:style w:type="paragraph" w:styleId="FootnoteText">
    <w:name w:val="footnote text"/>
    <w:basedOn w:val="Normal"/>
    <w:link w:val="FootnoteTextChar"/>
    <w:uiPriority w:val="99"/>
    <w:semiHidden/>
    <w:unhideWhenUsed/>
    <w:rsid w:val="002615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1547"/>
    <w:rPr>
      <w:rFonts w:ascii="Calibri" w:hAnsi="Calibri"/>
      <w:sz w:val="20"/>
      <w:szCs w:val="20"/>
    </w:rPr>
  </w:style>
  <w:style w:type="character" w:styleId="FootnoteReference">
    <w:name w:val="footnote reference"/>
    <w:basedOn w:val="DefaultParagraphFont"/>
    <w:uiPriority w:val="99"/>
    <w:semiHidden/>
    <w:unhideWhenUsed/>
    <w:rsid w:val="00261547"/>
    <w:rPr>
      <w:vertAlign w:val="superscript"/>
    </w:rPr>
  </w:style>
  <w:style w:type="character" w:styleId="FollowedHyperlink">
    <w:name w:val="FollowedHyperlink"/>
    <w:basedOn w:val="DefaultParagraphFont"/>
    <w:uiPriority w:val="99"/>
    <w:semiHidden/>
    <w:unhideWhenUsed/>
    <w:rsid w:val="00BA7C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58102">
      <w:bodyDiv w:val="1"/>
      <w:marLeft w:val="0"/>
      <w:marRight w:val="0"/>
      <w:marTop w:val="0"/>
      <w:marBottom w:val="0"/>
      <w:divBdr>
        <w:top w:val="none" w:sz="0" w:space="0" w:color="auto"/>
        <w:left w:val="none" w:sz="0" w:space="0" w:color="auto"/>
        <w:bottom w:val="none" w:sz="0" w:space="0" w:color="auto"/>
        <w:right w:val="none" w:sz="0" w:space="0" w:color="auto"/>
      </w:divBdr>
    </w:div>
    <w:div w:id="390858013">
      <w:bodyDiv w:val="1"/>
      <w:marLeft w:val="0"/>
      <w:marRight w:val="0"/>
      <w:marTop w:val="0"/>
      <w:marBottom w:val="0"/>
      <w:divBdr>
        <w:top w:val="none" w:sz="0" w:space="0" w:color="auto"/>
        <w:left w:val="none" w:sz="0" w:space="0" w:color="auto"/>
        <w:bottom w:val="none" w:sz="0" w:space="0" w:color="auto"/>
        <w:right w:val="none" w:sz="0" w:space="0" w:color="auto"/>
      </w:divBdr>
    </w:div>
    <w:div w:id="933973165">
      <w:bodyDiv w:val="1"/>
      <w:marLeft w:val="0"/>
      <w:marRight w:val="0"/>
      <w:marTop w:val="0"/>
      <w:marBottom w:val="0"/>
      <w:divBdr>
        <w:top w:val="none" w:sz="0" w:space="0" w:color="auto"/>
        <w:left w:val="none" w:sz="0" w:space="0" w:color="auto"/>
        <w:bottom w:val="none" w:sz="0" w:space="0" w:color="auto"/>
        <w:right w:val="none" w:sz="0" w:space="0" w:color="auto"/>
      </w:divBdr>
    </w:div>
    <w:div w:id="1131248721">
      <w:bodyDiv w:val="1"/>
      <w:marLeft w:val="0"/>
      <w:marRight w:val="0"/>
      <w:marTop w:val="0"/>
      <w:marBottom w:val="0"/>
      <w:divBdr>
        <w:top w:val="none" w:sz="0" w:space="0" w:color="auto"/>
        <w:left w:val="none" w:sz="0" w:space="0" w:color="auto"/>
        <w:bottom w:val="none" w:sz="0" w:space="0" w:color="auto"/>
        <w:right w:val="none" w:sz="0" w:space="0" w:color="auto"/>
      </w:divBdr>
    </w:div>
    <w:div w:id="1658147678">
      <w:bodyDiv w:val="1"/>
      <w:marLeft w:val="0"/>
      <w:marRight w:val="0"/>
      <w:marTop w:val="0"/>
      <w:marBottom w:val="0"/>
      <w:divBdr>
        <w:top w:val="none" w:sz="0" w:space="0" w:color="auto"/>
        <w:left w:val="none" w:sz="0" w:space="0" w:color="auto"/>
        <w:bottom w:val="none" w:sz="0" w:space="0" w:color="auto"/>
        <w:right w:val="none" w:sz="0" w:space="0" w:color="auto"/>
      </w:divBdr>
    </w:div>
    <w:div w:id="1739093182">
      <w:bodyDiv w:val="1"/>
      <w:marLeft w:val="0"/>
      <w:marRight w:val="0"/>
      <w:marTop w:val="0"/>
      <w:marBottom w:val="0"/>
      <w:divBdr>
        <w:top w:val="none" w:sz="0" w:space="0" w:color="auto"/>
        <w:left w:val="none" w:sz="0" w:space="0" w:color="auto"/>
        <w:bottom w:val="none" w:sz="0" w:space="0" w:color="auto"/>
        <w:right w:val="none" w:sz="0" w:space="0" w:color="auto"/>
      </w:divBdr>
    </w:div>
    <w:div w:id="1956325862">
      <w:bodyDiv w:val="1"/>
      <w:marLeft w:val="0"/>
      <w:marRight w:val="0"/>
      <w:marTop w:val="0"/>
      <w:marBottom w:val="0"/>
      <w:divBdr>
        <w:top w:val="none" w:sz="0" w:space="0" w:color="auto"/>
        <w:left w:val="none" w:sz="0" w:space="0" w:color="auto"/>
        <w:bottom w:val="none" w:sz="0" w:space="0" w:color="auto"/>
        <w:right w:val="none" w:sz="0" w:space="0" w:color="auto"/>
      </w:divBdr>
    </w:div>
    <w:div w:id="214180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337B5-7FBF-478C-9424-864A7B87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17</cp:revision>
  <dcterms:created xsi:type="dcterms:W3CDTF">2025-02-18T11:27:00Z</dcterms:created>
  <dcterms:modified xsi:type="dcterms:W3CDTF">2025-03-02T09:54:00Z</dcterms:modified>
</cp:coreProperties>
</file>