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35EB4" w14:textId="529C202D" w:rsidR="004909D7" w:rsidRPr="00B952A6" w:rsidRDefault="004909D7" w:rsidP="004909D7">
      <w:pPr>
        <w:pStyle w:val="Title"/>
        <w:rPr>
          <w:sz w:val="28"/>
          <w:szCs w:val="28"/>
        </w:rPr>
      </w:pPr>
      <w:r w:rsidRPr="00B952A6">
        <w:rPr>
          <w:sz w:val="28"/>
          <w:szCs w:val="28"/>
        </w:rPr>
        <w:t>SELF IDENTITY AND LANGUAGE</w:t>
      </w:r>
      <w:r w:rsidRPr="00B952A6">
        <w:rPr>
          <w:sz w:val="28"/>
          <w:szCs w:val="28"/>
        </w:rPr>
        <w:br/>
      </w:r>
    </w:p>
    <w:p w14:paraId="074D97E9" w14:textId="1EB7EEA8" w:rsidR="004C5084" w:rsidRPr="00B952A6" w:rsidRDefault="004909D7" w:rsidP="00F61980">
      <w:pPr>
        <w:jc w:val="center"/>
        <w:rPr>
          <w:rFonts w:ascii="Times New Roman" w:hAnsi="Times New Roman" w:cs="Times New Roman"/>
          <w:sz w:val="20"/>
          <w:szCs w:val="20"/>
        </w:rPr>
      </w:pPr>
      <w:r w:rsidRPr="00B952A6">
        <w:rPr>
          <w:rFonts w:ascii="Times New Roman" w:hAnsi="Times New Roman" w:cs="Times New Roman"/>
          <w:sz w:val="20"/>
          <w:szCs w:val="20"/>
        </w:rPr>
        <w:t>By Eden Rich</w:t>
      </w:r>
    </w:p>
    <w:p w14:paraId="6BDB36DE" w14:textId="77777777" w:rsidR="005366D1" w:rsidRPr="00B952A6" w:rsidRDefault="005366D1" w:rsidP="005366D1">
      <w:pPr>
        <w:pStyle w:val="NormalWeb"/>
        <w:spacing w:before="0" w:beforeAutospacing="0" w:after="160" w:afterAutospacing="0" w:line="480" w:lineRule="auto"/>
        <w:jc w:val="both"/>
      </w:pPr>
      <w:r w:rsidRPr="00B952A6">
        <w:rPr>
          <w:color w:val="000000"/>
          <w:sz w:val="22"/>
          <w:szCs w:val="22"/>
        </w:rPr>
        <w:t xml:space="preserve">Portraying the self, the individual mind, has always been elusive; it is never unequivocal, never robust, never truly righteous; there is always an inkling that something is not clear, or that it is not completely candid, that the he or she </w:t>
      </w:r>
      <w:proofErr w:type="gramStart"/>
      <w:r w:rsidRPr="00B952A6">
        <w:rPr>
          <w:color w:val="000000"/>
          <w:sz w:val="22"/>
          <w:szCs w:val="22"/>
        </w:rPr>
        <w:t>narrating</w:t>
      </w:r>
      <w:proofErr w:type="gramEnd"/>
      <w:r w:rsidRPr="00B952A6">
        <w:rPr>
          <w:color w:val="000000"/>
          <w:sz w:val="22"/>
          <w:szCs w:val="22"/>
        </w:rPr>
        <w:t xml:space="preserve"> his or her personal experience is consciously (or unconsciously) omitting or minimising certain facts. The self is a complex creature with more than one face, and the mind chooses the one its audience gets to see. Javier Marías’ novel, </w:t>
      </w:r>
      <w:r w:rsidRPr="00B952A6">
        <w:rPr>
          <w:i/>
          <w:iCs/>
          <w:color w:val="000000"/>
          <w:sz w:val="22"/>
          <w:szCs w:val="22"/>
        </w:rPr>
        <w:t>Tomorrow in the Battle Think on Me</w:t>
      </w:r>
      <w:r w:rsidRPr="00B952A6">
        <w:rPr>
          <w:color w:val="000000"/>
          <w:sz w:val="22"/>
          <w:szCs w:val="22"/>
        </w:rPr>
        <w:t>, perpetuates these ideas of the self, the unreliability, and the complicated nature of the self, through protagonist, Victor, and his narrative style, and through this novel, I will explore the theories of the self and the complications it poses in language and literature.</w:t>
      </w:r>
    </w:p>
    <w:p w14:paraId="53D4C541" w14:textId="77777777" w:rsidR="005366D1" w:rsidRPr="00B952A6" w:rsidRDefault="005366D1" w:rsidP="005366D1">
      <w:pPr>
        <w:pStyle w:val="NormalWeb"/>
        <w:spacing w:before="0" w:beforeAutospacing="0" w:after="160" w:afterAutospacing="0" w:line="480" w:lineRule="auto"/>
        <w:jc w:val="both"/>
      </w:pPr>
      <w:r w:rsidRPr="00B952A6">
        <w:rPr>
          <w:color w:val="000000"/>
          <w:sz w:val="22"/>
          <w:szCs w:val="22"/>
        </w:rPr>
        <w:t>Subjectivity is at the heart of all perceptions of righteousness and relevance. It is at the heart of forming an opinion and opposing it, too, of deciding what to say and what to avoid; to omit and to keep, and if one can keep or omit anything, they manipulate their own image to what they wish to represent, not to what is objectively true. This poses the greatest of all complications in representations of the self; if the self is dictated by subjectivity, then how can the self truly be defined?</w:t>
      </w:r>
    </w:p>
    <w:p w14:paraId="24A029F4" w14:textId="657EA420" w:rsidR="005366D1" w:rsidRPr="00B952A6" w:rsidRDefault="005366D1" w:rsidP="005366D1">
      <w:pPr>
        <w:pStyle w:val="NormalWeb"/>
        <w:spacing w:before="0" w:beforeAutospacing="0" w:after="160" w:afterAutospacing="0" w:line="480" w:lineRule="auto"/>
        <w:jc w:val="both"/>
      </w:pPr>
      <w:r w:rsidRPr="00B952A6">
        <w:rPr>
          <w:color w:val="000000"/>
          <w:sz w:val="22"/>
          <w:szCs w:val="22"/>
        </w:rPr>
        <w:t xml:space="preserve">Charles Taylor states that the </w:t>
      </w:r>
      <w:r w:rsidR="00204050">
        <w:rPr>
          <w:color w:val="000000"/>
          <w:sz w:val="22"/>
          <w:szCs w:val="22"/>
        </w:rPr>
        <w:t>‘modern notion of the self is related to, one might say constituted by, a certain sense […] of inwardness.’</w:t>
      </w:r>
      <w:r w:rsidR="003D0EA2">
        <w:rPr>
          <w:rStyle w:val="FootnoteReference"/>
          <w:color w:val="000000"/>
          <w:sz w:val="22"/>
          <w:szCs w:val="22"/>
        </w:rPr>
        <w:footnoteReference w:id="2"/>
      </w:r>
      <w:r w:rsidR="003D0EA2">
        <w:rPr>
          <w:color w:val="000000"/>
          <w:sz w:val="22"/>
          <w:szCs w:val="22"/>
        </w:rPr>
        <w:t xml:space="preserve"> </w:t>
      </w:r>
      <w:r w:rsidRPr="00B952A6">
        <w:rPr>
          <w:color w:val="000000"/>
          <w:sz w:val="22"/>
          <w:szCs w:val="22"/>
        </w:rPr>
        <w:t xml:space="preserve">Inwardness, in the sense of our self-conscious, the self that reflects all of us, is a matter of privacy; one cannot access the inner mind, we cannot explore another’s true intentions, the verisimilitude to which we can our own, and likewise they cannot do the same to us. In and of itself, this fact strips anyone outside of the sphere that characterises the self of any ability to garner a whole truth. Furthermore, William Lyons stated that </w:t>
      </w:r>
      <w:r w:rsidR="001B3B3D">
        <w:rPr>
          <w:color w:val="000000"/>
          <w:sz w:val="22"/>
          <w:szCs w:val="22"/>
        </w:rPr>
        <w:t>‘we must be attributing [mental or psychological terms] on the basis of observing their public performance or practice.’ He continues to explain that it should not be in their ‘stream of consciousness.’</w:t>
      </w:r>
      <w:r w:rsidR="003D0EA2">
        <w:rPr>
          <w:rStyle w:val="FootnoteReference"/>
          <w:color w:val="000000"/>
          <w:sz w:val="22"/>
          <w:szCs w:val="22"/>
        </w:rPr>
        <w:footnoteReference w:id="3"/>
      </w:r>
      <w:r w:rsidR="003D0EA2">
        <w:rPr>
          <w:color w:val="000000"/>
          <w:sz w:val="22"/>
          <w:szCs w:val="22"/>
        </w:rPr>
        <w:t xml:space="preserve"> </w:t>
      </w:r>
      <w:r w:rsidRPr="00B952A6">
        <w:rPr>
          <w:color w:val="000000"/>
          <w:sz w:val="22"/>
          <w:szCs w:val="22"/>
        </w:rPr>
        <w:t xml:space="preserve">The point Lyons makes here is that the defining traits of a person should not be dictated by the thought, but the action, or even inaction, of who </w:t>
      </w:r>
      <w:r w:rsidRPr="00B952A6">
        <w:rPr>
          <w:color w:val="000000"/>
          <w:sz w:val="22"/>
          <w:szCs w:val="22"/>
        </w:rPr>
        <w:lastRenderedPageBreak/>
        <w:t xml:space="preserve">they are perceived to be on the outside. This is all we get of them. This point is of a particular interest </w:t>
      </w:r>
      <w:r w:rsidR="00EB7277" w:rsidRPr="00B952A6">
        <w:rPr>
          <w:color w:val="000000"/>
          <w:sz w:val="22"/>
          <w:szCs w:val="22"/>
        </w:rPr>
        <w:t>in</w:t>
      </w:r>
      <w:r w:rsidRPr="00B952A6">
        <w:rPr>
          <w:color w:val="000000"/>
          <w:sz w:val="22"/>
          <w:szCs w:val="22"/>
        </w:rPr>
        <w:t xml:space="preserve"> </w:t>
      </w:r>
      <w:r w:rsidRPr="00B952A6">
        <w:rPr>
          <w:i/>
          <w:iCs/>
          <w:color w:val="000000"/>
          <w:sz w:val="22"/>
          <w:szCs w:val="22"/>
        </w:rPr>
        <w:t>Tomorrow in the Battle Think on Me</w:t>
      </w:r>
      <w:r w:rsidRPr="00B952A6">
        <w:rPr>
          <w:color w:val="000000"/>
          <w:sz w:val="22"/>
          <w:szCs w:val="22"/>
        </w:rPr>
        <w:t xml:space="preserve">, which is characterised by that stream of consciousness: </w:t>
      </w:r>
      <w:r w:rsidR="003D0EA2">
        <w:rPr>
          <w:color w:val="000000"/>
          <w:sz w:val="22"/>
          <w:szCs w:val="22"/>
        </w:rPr>
        <w:t>run-off sentences and little structuring, separation of points, and chaotic disorganisation, and personal, accompanying opinions in parentheses</w:t>
      </w:r>
      <w:r w:rsidRPr="00B952A6">
        <w:rPr>
          <w:color w:val="000000"/>
          <w:sz w:val="22"/>
          <w:szCs w:val="22"/>
        </w:rPr>
        <w:t>.</w:t>
      </w:r>
      <w:r w:rsidR="00EB7277" w:rsidRPr="00B952A6">
        <w:rPr>
          <w:rStyle w:val="FootnoteReference"/>
          <w:color w:val="000000"/>
          <w:sz w:val="22"/>
          <w:szCs w:val="22"/>
        </w:rPr>
        <w:footnoteReference w:id="4"/>
      </w:r>
      <w:r w:rsidRPr="00B952A6">
        <w:rPr>
          <w:color w:val="000000"/>
          <w:sz w:val="22"/>
          <w:szCs w:val="22"/>
        </w:rPr>
        <w:t xml:space="preserve"> If that is the case, then should we discard the points the narrator makes about himself? For, if his stream of consciousness narration is inherently unreliable, there must be something in the subtext that disagrees with his opinions.</w:t>
      </w:r>
    </w:p>
    <w:p w14:paraId="2F76393A" w14:textId="5B106AD5" w:rsidR="005366D1" w:rsidRPr="00B952A6" w:rsidRDefault="005366D1" w:rsidP="005366D1">
      <w:pPr>
        <w:pStyle w:val="NormalWeb"/>
        <w:spacing w:before="0" w:beforeAutospacing="0" w:after="160" w:afterAutospacing="0" w:line="480" w:lineRule="auto"/>
        <w:jc w:val="both"/>
      </w:pPr>
      <w:r w:rsidRPr="00B952A6">
        <w:rPr>
          <w:color w:val="000000"/>
          <w:sz w:val="22"/>
          <w:szCs w:val="22"/>
        </w:rPr>
        <w:t xml:space="preserve">Language combined with subjectivity invites us to explore the concept of “I” and “You” </w:t>
      </w:r>
      <w:proofErr w:type="gramStart"/>
      <w:r w:rsidR="00EB7277" w:rsidRPr="00B952A6">
        <w:rPr>
          <w:color w:val="000000"/>
          <w:sz w:val="22"/>
          <w:szCs w:val="22"/>
        </w:rPr>
        <w:t>in regard to</w:t>
      </w:r>
      <w:proofErr w:type="gramEnd"/>
      <w:r w:rsidRPr="00B952A6">
        <w:rPr>
          <w:color w:val="000000"/>
          <w:sz w:val="22"/>
          <w:szCs w:val="22"/>
        </w:rPr>
        <w:t xml:space="preserve"> the self, </w:t>
      </w:r>
      <w:r w:rsidR="00617FBE" w:rsidRPr="00B952A6">
        <w:rPr>
          <w:color w:val="000000"/>
          <w:sz w:val="22"/>
          <w:szCs w:val="22"/>
        </w:rPr>
        <w:t>in regard to</w:t>
      </w:r>
      <w:r w:rsidRPr="00B952A6">
        <w:rPr>
          <w:color w:val="000000"/>
          <w:sz w:val="22"/>
          <w:szCs w:val="22"/>
        </w:rPr>
        <w:t xml:space="preserve"> personal identity; Françoise Meltzer’s essay, </w:t>
      </w:r>
      <w:r w:rsidRPr="00B952A6">
        <w:rPr>
          <w:i/>
          <w:iCs/>
          <w:color w:val="000000"/>
          <w:sz w:val="22"/>
          <w:szCs w:val="22"/>
        </w:rPr>
        <w:t>Unconscious</w:t>
      </w:r>
      <w:r w:rsidRPr="00B952A6">
        <w:rPr>
          <w:color w:val="000000"/>
          <w:sz w:val="22"/>
          <w:szCs w:val="22"/>
        </w:rPr>
        <w:t xml:space="preserve">, further takes us to exploring the literary world through the lens of the unconscious. In his essay, Meltzer expresses, through theories posited by Jacques Lacan, the idea of unconscious and consciousness taking roles in literature. </w:t>
      </w:r>
      <w:r w:rsidR="00A868B0">
        <w:rPr>
          <w:color w:val="000000"/>
          <w:sz w:val="22"/>
          <w:szCs w:val="22"/>
        </w:rPr>
        <w:t xml:space="preserve">‘The unconscious is the “discourse of the Other,”’ </w:t>
      </w:r>
      <w:r w:rsidRPr="00B952A6">
        <w:rPr>
          <w:color w:val="000000"/>
          <w:sz w:val="22"/>
          <w:szCs w:val="22"/>
        </w:rPr>
        <w:t>writes Meltzer; the unconscious represents the Other, and consciousness, the Subject</w:t>
      </w:r>
      <w:r w:rsidR="00617FBE" w:rsidRPr="00B952A6">
        <w:rPr>
          <w:rStyle w:val="FootnoteReference"/>
          <w:color w:val="000000"/>
          <w:sz w:val="22"/>
          <w:szCs w:val="22"/>
        </w:rPr>
        <w:footnoteReference w:id="5"/>
      </w:r>
      <w:r w:rsidRPr="00B952A6">
        <w:rPr>
          <w:color w:val="000000"/>
          <w:sz w:val="22"/>
          <w:szCs w:val="22"/>
        </w:rPr>
        <w:t xml:space="preserve">. The Subject desires but cannot identify what he desires, he cannot identify that he desires what the </w:t>
      </w:r>
      <w:proofErr w:type="gramStart"/>
      <w:r w:rsidRPr="00B952A6">
        <w:rPr>
          <w:color w:val="000000"/>
          <w:sz w:val="22"/>
          <w:szCs w:val="22"/>
        </w:rPr>
        <w:t>Other</w:t>
      </w:r>
      <w:proofErr w:type="gramEnd"/>
      <w:r w:rsidRPr="00B952A6">
        <w:rPr>
          <w:color w:val="000000"/>
          <w:sz w:val="22"/>
          <w:szCs w:val="22"/>
        </w:rPr>
        <w:t xml:space="preserve"> desires, for he has distanced himself from the Other; from the unconscious. Fundamentally, this notion of unconsciousness admits there is a gap between us, which Meltzer refers to as a </w:t>
      </w:r>
      <w:r w:rsidR="00A868B0">
        <w:rPr>
          <w:color w:val="000000"/>
          <w:sz w:val="22"/>
          <w:szCs w:val="22"/>
        </w:rPr>
        <w:t>repression barrier, that</w:t>
      </w:r>
      <w:r w:rsidR="00A868B0">
        <w:rPr>
          <w:color w:val="000000"/>
          <w:sz w:val="22"/>
          <w:szCs w:val="22"/>
        </w:rPr>
        <w:t xml:space="preserve"> </w:t>
      </w:r>
      <w:r w:rsidRPr="00B952A6">
        <w:rPr>
          <w:color w:val="000000"/>
          <w:sz w:val="22"/>
          <w:szCs w:val="22"/>
        </w:rPr>
        <w:t>separates the two states of consciousness</w:t>
      </w:r>
      <w:r w:rsidR="004238F6" w:rsidRPr="00B952A6">
        <w:rPr>
          <w:rStyle w:val="FootnoteReference"/>
          <w:color w:val="000000"/>
          <w:sz w:val="22"/>
          <w:szCs w:val="22"/>
        </w:rPr>
        <w:footnoteReference w:id="6"/>
      </w:r>
      <w:r w:rsidRPr="00B952A6">
        <w:rPr>
          <w:color w:val="000000"/>
          <w:sz w:val="22"/>
          <w:szCs w:val="22"/>
        </w:rPr>
        <w:t>.</w:t>
      </w:r>
    </w:p>
    <w:p w14:paraId="657E39C3" w14:textId="65586700" w:rsidR="005366D1" w:rsidRPr="00B952A6" w:rsidRDefault="005366D1" w:rsidP="005366D1">
      <w:pPr>
        <w:pStyle w:val="NormalWeb"/>
        <w:spacing w:before="0" w:beforeAutospacing="0" w:after="160" w:afterAutospacing="0" w:line="480" w:lineRule="auto"/>
        <w:jc w:val="both"/>
      </w:pPr>
      <w:r w:rsidRPr="00B952A6">
        <w:rPr>
          <w:color w:val="000000"/>
          <w:sz w:val="22"/>
          <w:szCs w:val="22"/>
        </w:rPr>
        <w:t xml:space="preserve">However, unconscious in and of itself is impossible, or at the very least incredibly difficult, to represent by virtue of the very limited information we have on it; we cannot access the unconscious, we can only infer its identity through extended metaphors, </w:t>
      </w:r>
      <w:r w:rsidR="00EB4B82">
        <w:rPr>
          <w:color w:val="000000"/>
          <w:sz w:val="22"/>
          <w:szCs w:val="22"/>
        </w:rPr>
        <w:t xml:space="preserve">such as the antechamber Meltzer uses in </w:t>
      </w:r>
      <w:r w:rsidR="00EB4B82">
        <w:rPr>
          <w:i/>
          <w:iCs/>
          <w:color w:val="000000"/>
          <w:sz w:val="22"/>
          <w:szCs w:val="22"/>
        </w:rPr>
        <w:t>Unconscious</w:t>
      </w:r>
      <w:r w:rsidRPr="00B952A6">
        <w:rPr>
          <w:color w:val="000000"/>
          <w:sz w:val="22"/>
          <w:szCs w:val="22"/>
        </w:rPr>
        <w:t>.</w:t>
      </w:r>
      <w:r w:rsidR="00EB7277" w:rsidRPr="00B952A6">
        <w:rPr>
          <w:rStyle w:val="FootnoteReference"/>
          <w:color w:val="000000"/>
          <w:sz w:val="22"/>
          <w:szCs w:val="22"/>
        </w:rPr>
        <w:footnoteReference w:id="7"/>
      </w:r>
      <w:r w:rsidRPr="00B952A6">
        <w:rPr>
          <w:color w:val="000000"/>
          <w:sz w:val="22"/>
          <w:szCs w:val="22"/>
        </w:rPr>
        <w:t xml:space="preserve"> We substitute our idea of the unconscious through metaphorical imagery, complicating the very nature of the unconscious self. If we were to translate this into the context of </w:t>
      </w:r>
      <w:r w:rsidRPr="00B952A6">
        <w:rPr>
          <w:i/>
          <w:iCs/>
          <w:color w:val="000000"/>
          <w:sz w:val="22"/>
          <w:szCs w:val="22"/>
        </w:rPr>
        <w:t>Tomorrow in the Battle Think on Me</w:t>
      </w:r>
      <w:r w:rsidRPr="00B952A6">
        <w:rPr>
          <w:color w:val="000000"/>
          <w:sz w:val="22"/>
          <w:szCs w:val="22"/>
        </w:rPr>
        <w:t xml:space="preserve"> and apply it to Victor's consciousness and, subsequently, his unconscious 'Other', we would be led to wonder if he is indirectly representing his unconscious through the Shakespearean original </w:t>
      </w:r>
      <w:r w:rsidR="00D56ED0">
        <w:rPr>
          <w:color w:val="000000"/>
          <w:sz w:val="22"/>
          <w:szCs w:val="22"/>
        </w:rPr>
        <w:lastRenderedPageBreak/>
        <w:t>‘Tomorrow in the battle think on me.’</w:t>
      </w:r>
      <w:r w:rsidR="00D56ED0">
        <w:rPr>
          <w:rStyle w:val="FootnoteReference"/>
          <w:color w:val="000000"/>
          <w:sz w:val="22"/>
          <w:szCs w:val="22"/>
        </w:rPr>
        <w:footnoteReference w:id="8"/>
      </w:r>
      <w:r w:rsidRPr="00B952A6">
        <w:rPr>
          <w:color w:val="000000"/>
          <w:sz w:val="22"/>
          <w:szCs w:val="22"/>
        </w:rPr>
        <w:t xml:space="preserve"> Following Meltzer's line of inference, if Victor's metaphorical ghosts represent the identity of his passiveness, his time spent living under false narratives with false identities (his conscious self), could that, then, be juxtaposed against his unconscious yet very much active actions and therefore illustrate the discourse between the two?</w:t>
      </w:r>
    </w:p>
    <w:p w14:paraId="367AE9EC" w14:textId="6A6519DA" w:rsidR="005366D1" w:rsidRPr="00B952A6" w:rsidRDefault="005366D1" w:rsidP="005366D1">
      <w:pPr>
        <w:pStyle w:val="NormalWeb"/>
        <w:spacing w:before="0" w:beforeAutospacing="0" w:after="160" w:afterAutospacing="0" w:line="480" w:lineRule="auto"/>
        <w:jc w:val="both"/>
      </w:pPr>
      <w:r w:rsidRPr="00B952A6">
        <w:rPr>
          <w:color w:val="000000"/>
          <w:sz w:val="22"/>
          <w:szCs w:val="22"/>
        </w:rPr>
        <w:t xml:space="preserve">Throughout the novel, Victor expresses his biases, his skewed beliefs, particularly towards women, that perpetuate this idea in himself that he must be a saviour of people he considers inferior, either </w:t>
      </w:r>
      <w:proofErr w:type="gramStart"/>
      <w:r w:rsidR="00B81DEC" w:rsidRPr="00B952A6">
        <w:rPr>
          <w:color w:val="000000"/>
          <w:sz w:val="22"/>
          <w:szCs w:val="22"/>
        </w:rPr>
        <w:t>in regard to</w:t>
      </w:r>
      <w:proofErr w:type="gramEnd"/>
      <w:r w:rsidRPr="00B952A6">
        <w:rPr>
          <w:color w:val="000000"/>
          <w:sz w:val="22"/>
          <w:szCs w:val="22"/>
        </w:rPr>
        <w:t xml:space="preserve"> societal status, biological sex, or strength. He must protect the prostitute Victoria who he believes to be his ex-wife Celia, to the point where he breaks into her house </w:t>
      </w:r>
      <w:r w:rsidR="008A62E6" w:rsidRPr="00B952A6">
        <w:rPr>
          <w:color w:val="000000"/>
          <w:sz w:val="22"/>
          <w:szCs w:val="22"/>
        </w:rPr>
        <w:t xml:space="preserve">to </w:t>
      </w:r>
      <w:r w:rsidR="008A62E6">
        <w:rPr>
          <w:color w:val="000000"/>
          <w:sz w:val="22"/>
          <w:szCs w:val="22"/>
        </w:rPr>
        <w:t>‘</w:t>
      </w:r>
      <w:r w:rsidR="008A62E6">
        <w:rPr>
          <w:color w:val="000000"/>
          <w:sz w:val="22"/>
          <w:szCs w:val="22"/>
        </w:rPr>
        <w:t>see with [his] own eyes that nothing bad happened that night’, all under the pretext that he’s concerned for her safety</w:t>
      </w:r>
      <w:r w:rsidR="008A62E6">
        <w:rPr>
          <w:rStyle w:val="FootnoteReference"/>
          <w:color w:val="000000"/>
          <w:sz w:val="22"/>
          <w:szCs w:val="22"/>
        </w:rPr>
        <w:footnoteReference w:id="9"/>
      </w:r>
      <w:r w:rsidRPr="00B952A6">
        <w:rPr>
          <w:color w:val="000000"/>
          <w:sz w:val="22"/>
          <w:szCs w:val="22"/>
        </w:rPr>
        <w:t>; he must absolve himself of being the only witness to Marta’s death by befriending her family. But ultimately, Victor’s motivation for doing this, or to continue in Meltzer’s language, Victor’s desire, is selfish</w:t>
      </w:r>
      <w:r w:rsidR="001B33AE">
        <w:rPr>
          <w:color w:val="000000"/>
          <w:sz w:val="22"/>
          <w:szCs w:val="22"/>
        </w:rPr>
        <w:t>.</w:t>
      </w:r>
      <w:r w:rsidR="001B33AE" w:rsidRPr="001B33AE">
        <w:rPr>
          <w:color w:val="000000"/>
          <w:sz w:val="22"/>
          <w:szCs w:val="22"/>
        </w:rPr>
        <w:t xml:space="preserve"> </w:t>
      </w:r>
      <w:r w:rsidR="001B33AE">
        <w:rPr>
          <w:color w:val="000000"/>
          <w:sz w:val="22"/>
          <w:szCs w:val="22"/>
        </w:rPr>
        <w:t xml:space="preserve">He doesn’t </w:t>
      </w:r>
      <w:proofErr w:type="gramStart"/>
      <w:r w:rsidR="001B33AE">
        <w:rPr>
          <w:color w:val="000000"/>
          <w:sz w:val="22"/>
          <w:szCs w:val="22"/>
        </w:rPr>
        <w:t>actually care</w:t>
      </w:r>
      <w:proofErr w:type="gramEnd"/>
      <w:r w:rsidR="001B33AE">
        <w:rPr>
          <w:color w:val="000000"/>
          <w:sz w:val="22"/>
          <w:szCs w:val="22"/>
        </w:rPr>
        <w:t xml:space="preserve"> about Marta</w:t>
      </w:r>
      <w:r w:rsidRPr="00B952A6">
        <w:rPr>
          <w:color w:val="000000"/>
          <w:sz w:val="22"/>
          <w:szCs w:val="22"/>
        </w:rPr>
        <w:t xml:space="preserve">, and his care for Victoria/Celia </w:t>
      </w:r>
      <w:r w:rsidR="00AD0FAB" w:rsidRPr="00B952A6">
        <w:rPr>
          <w:color w:val="000000"/>
          <w:sz w:val="22"/>
          <w:szCs w:val="22"/>
        </w:rPr>
        <w:t xml:space="preserve">appears, in the subtext, </w:t>
      </w:r>
      <w:r w:rsidRPr="00B952A6">
        <w:rPr>
          <w:color w:val="000000"/>
          <w:sz w:val="22"/>
          <w:szCs w:val="22"/>
        </w:rPr>
        <w:t>superficial; he inserts himself into their lives to gratify his ego and the uniquely masculine need to be the protector, to coddle his own desire at the expense of the people around him</w:t>
      </w:r>
      <w:r w:rsidR="00A92D83" w:rsidRPr="00B952A6">
        <w:rPr>
          <w:rStyle w:val="FootnoteReference"/>
          <w:color w:val="000000"/>
          <w:sz w:val="22"/>
          <w:szCs w:val="22"/>
        </w:rPr>
        <w:footnoteReference w:id="10"/>
      </w:r>
      <w:r w:rsidRPr="00B952A6">
        <w:rPr>
          <w:color w:val="000000"/>
          <w:sz w:val="22"/>
          <w:szCs w:val="22"/>
        </w:rPr>
        <w:t>. Yet, simultaneously, he attempts to convince himself and us, the readers, that he did his best;</w:t>
      </w:r>
      <w:r w:rsidR="00775EED" w:rsidRPr="00775EED">
        <w:rPr>
          <w:color w:val="000000"/>
          <w:sz w:val="22"/>
          <w:szCs w:val="22"/>
        </w:rPr>
        <w:t xml:space="preserve"> </w:t>
      </w:r>
      <w:r w:rsidR="00775EED">
        <w:rPr>
          <w:color w:val="000000"/>
          <w:sz w:val="22"/>
          <w:szCs w:val="22"/>
        </w:rPr>
        <w:t>he did as Marta asked, such as holding her in her last moments, he thought about Eugenio before he left the apartment</w:t>
      </w:r>
      <w:r w:rsidR="00604EAF" w:rsidRPr="00B952A6">
        <w:rPr>
          <w:rStyle w:val="FootnoteReference"/>
          <w:color w:val="000000"/>
          <w:sz w:val="22"/>
          <w:szCs w:val="22"/>
        </w:rPr>
        <w:footnoteReference w:id="11"/>
      </w:r>
      <w:r w:rsidRPr="00B952A6">
        <w:rPr>
          <w:color w:val="000000"/>
          <w:sz w:val="22"/>
          <w:szCs w:val="22"/>
        </w:rPr>
        <w:t xml:space="preserve">. He attempts to paint a picture that he did everything, or everything he could think of, in that moment, and further paints himself as righteous, by keeping her in his thoughts. But she is not in his thoughts; she is another tool for Victor to justify his desire to be a saviour; her death is used to bolster his own self-perception, the idea that he is not a selfish </w:t>
      </w:r>
      <w:r w:rsidR="00B51D9C" w:rsidRPr="00B952A6">
        <w:rPr>
          <w:color w:val="000000"/>
          <w:sz w:val="22"/>
          <w:szCs w:val="22"/>
        </w:rPr>
        <w:t>person when</w:t>
      </w:r>
      <w:r w:rsidRPr="00B952A6">
        <w:rPr>
          <w:color w:val="000000"/>
          <w:sz w:val="22"/>
          <w:szCs w:val="22"/>
        </w:rPr>
        <w:t xml:space="preserve"> the subtext tells us a contrasting story. </w:t>
      </w:r>
    </w:p>
    <w:p w14:paraId="246CD4C8" w14:textId="0AC7CB19" w:rsidR="005366D1" w:rsidRPr="00B952A6" w:rsidRDefault="00DA262C" w:rsidP="005366D1">
      <w:pPr>
        <w:pStyle w:val="NormalWeb"/>
        <w:spacing w:before="0" w:beforeAutospacing="0" w:after="160" w:afterAutospacing="0" w:line="480" w:lineRule="auto"/>
        <w:jc w:val="both"/>
      </w:pPr>
      <w:r>
        <w:rPr>
          <w:color w:val="000000"/>
          <w:sz w:val="22"/>
          <w:szCs w:val="22"/>
        </w:rPr>
        <w:lastRenderedPageBreak/>
        <w:t>It is precisely this contrast between one's unconscious and their desire that Meltzer describes, in his essay, as a fable, where the unconscious achieves its goal ‘even if by deferral.’</w:t>
      </w:r>
      <w:r>
        <w:rPr>
          <w:rStyle w:val="FootnoteReference"/>
          <w:color w:val="000000"/>
          <w:sz w:val="22"/>
          <w:szCs w:val="22"/>
        </w:rPr>
        <w:footnoteReference w:id="12"/>
      </w:r>
      <w:r w:rsidR="005366D1" w:rsidRPr="00B952A6">
        <w:rPr>
          <w:color w:val="000000"/>
          <w:sz w:val="22"/>
          <w:szCs w:val="22"/>
        </w:rPr>
        <w:t xml:space="preserve"> Desire is manifested, so to speak, by what the unconscious is beckoning forward. As seen in his essay, Meltzer explores Lacan's evaluation of Edgar Allan Poe’s </w:t>
      </w:r>
      <w:r w:rsidR="005366D1" w:rsidRPr="00B952A6">
        <w:rPr>
          <w:i/>
          <w:iCs/>
          <w:color w:val="000000"/>
          <w:sz w:val="22"/>
          <w:szCs w:val="22"/>
        </w:rPr>
        <w:t xml:space="preserve">The Purloined Letter </w:t>
      </w:r>
      <w:r w:rsidR="005366D1" w:rsidRPr="00B952A6">
        <w:rPr>
          <w:color w:val="000000"/>
          <w:sz w:val="22"/>
          <w:szCs w:val="22"/>
        </w:rPr>
        <w:t xml:space="preserve">as an example of the unconscious. This essay, however, invites the evaluation of Tomorrow in the Battle Think on Me, specifically the idea of Victor as the subject and his suspected ‘Other.’ His unconscious mind. As previously discussed, at the forefront of Victor’s mind is this idea of his righteousness, the idea of his passivity to which he ascribes himself, and his self-serving concept of justification for the situations he claims to have never </w:t>
      </w:r>
      <w:r w:rsidR="00F11E9F">
        <w:rPr>
          <w:color w:val="000000"/>
          <w:sz w:val="22"/>
          <w:szCs w:val="22"/>
        </w:rPr>
        <w:t>‘sought’ or ‘wanted.’</w:t>
      </w:r>
      <w:r w:rsidR="00F11E9F">
        <w:rPr>
          <w:rStyle w:val="FootnoteReference"/>
          <w:color w:val="000000"/>
          <w:sz w:val="22"/>
          <w:szCs w:val="22"/>
        </w:rPr>
        <w:footnoteReference w:id="13"/>
      </w:r>
      <w:r w:rsidR="005366D1" w:rsidRPr="00B952A6">
        <w:rPr>
          <w:color w:val="000000"/>
          <w:sz w:val="22"/>
          <w:szCs w:val="22"/>
        </w:rPr>
        <w:t xml:space="preserve"> At the back, in his unconscious mind, is the aforementioned selfishness, the drive to act on his own impulses, and to justify his actions to lessen their impact. Victor’s unconscious </w:t>
      </w:r>
      <w:proofErr w:type="spellStart"/>
      <w:r w:rsidR="005366D1" w:rsidRPr="00B952A6">
        <w:rPr>
          <w:color w:val="000000"/>
          <w:sz w:val="22"/>
          <w:szCs w:val="22"/>
        </w:rPr>
        <w:t>self trickles</w:t>
      </w:r>
      <w:proofErr w:type="spellEnd"/>
      <w:r w:rsidR="005366D1" w:rsidRPr="00B952A6">
        <w:rPr>
          <w:color w:val="000000"/>
          <w:sz w:val="22"/>
          <w:szCs w:val="22"/>
        </w:rPr>
        <w:t xml:space="preserve"> through the cracks in his narration, where he omits, where he vaguely suggests, or even outright says something but with such little emphasis on the point that it feels almost completely normal, like when he reveals, in his narration, that he has impersonated his friend </w:t>
      </w:r>
      <w:r w:rsidR="00F11E9F">
        <w:rPr>
          <w:color w:val="000000"/>
          <w:sz w:val="22"/>
          <w:szCs w:val="22"/>
        </w:rPr>
        <w:t>Ruiberriz ‘on more than one occasion’ in this context to get to know Marta’s family,</w:t>
      </w:r>
      <w:r w:rsidR="005366D1" w:rsidRPr="00B952A6">
        <w:rPr>
          <w:color w:val="000000"/>
          <w:sz w:val="22"/>
          <w:szCs w:val="22"/>
        </w:rPr>
        <w:t>, or that he pursues an erotic relationship with Marta despite knowing she is married, which is often considered blasphemous on every account but Victor's</w:t>
      </w:r>
      <w:r w:rsidR="00B400C5" w:rsidRPr="00B952A6">
        <w:rPr>
          <w:rStyle w:val="FootnoteReference"/>
          <w:color w:val="000000"/>
          <w:sz w:val="22"/>
          <w:szCs w:val="22"/>
        </w:rPr>
        <w:footnoteReference w:id="14"/>
      </w:r>
      <w:r w:rsidR="005366D1" w:rsidRPr="00B952A6">
        <w:rPr>
          <w:color w:val="000000"/>
          <w:sz w:val="22"/>
          <w:szCs w:val="22"/>
        </w:rPr>
        <w:t xml:space="preserve">. It appears that the desire in which Victor is reckoning with, in the context of Lacan’s postulation, is for understanding, </w:t>
      </w:r>
      <w:r w:rsidR="00257E38">
        <w:rPr>
          <w:color w:val="000000"/>
          <w:sz w:val="22"/>
          <w:szCs w:val="22"/>
        </w:rPr>
        <w:t>not for understanding why Marta died (in fact, he blatantly states his disinterest in the subject), but why Marta died with him present</w:t>
      </w:r>
      <w:r w:rsidR="005366D1" w:rsidRPr="00B952A6">
        <w:rPr>
          <w:color w:val="000000"/>
          <w:sz w:val="22"/>
          <w:szCs w:val="22"/>
        </w:rPr>
        <w:t>.</w:t>
      </w:r>
      <w:r w:rsidR="00EE6E72" w:rsidRPr="00B952A6">
        <w:rPr>
          <w:rStyle w:val="FootnoteReference"/>
          <w:color w:val="000000"/>
          <w:sz w:val="22"/>
          <w:szCs w:val="22"/>
        </w:rPr>
        <w:footnoteReference w:id="15"/>
      </w:r>
      <w:r w:rsidR="005366D1" w:rsidRPr="00B952A6">
        <w:rPr>
          <w:color w:val="000000"/>
          <w:sz w:val="22"/>
          <w:szCs w:val="22"/>
        </w:rPr>
        <w:t xml:space="preserve"> Victor’s unconscious mind, that of selfishness and </w:t>
      </w:r>
      <w:r w:rsidR="00B81DEC" w:rsidRPr="00B952A6">
        <w:rPr>
          <w:color w:val="000000"/>
          <w:sz w:val="22"/>
          <w:szCs w:val="22"/>
        </w:rPr>
        <w:t>self-service</w:t>
      </w:r>
      <w:r w:rsidR="005366D1" w:rsidRPr="00B952A6">
        <w:rPr>
          <w:color w:val="000000"/>
          <w:sz w:val="22"/>
          <w:szCs w:val="22"/>
        </w:rPr>
        <w:t>, fosters the desire for understanding, for justification, and he seems not to notice such a thing in himself despite the various instances that contradict his overt claims.</w:t>
      </w:r>
    </w:p>
    <w:p w14:paraId="7E2BD285" w14:textId="4BB6BEB8" w:rsidR="005366D1" w:rsidRPr="00B952A6" w:rsidRDefault="005366D1" w:rsidP="005366D1">
      <w:pPr>
        <w:pStyle w:val="NormalWeb"/>
        <w:spacing w:before="0" w:beforeAutospacing="0" w:after="160" w:afterAutospacing="0" w:line="480" w:lineRule="auto"/>
        <w:jc w:val="both"/>
      </w:pPr>
      <w:r w:rsidRPr="00B952A6">
        <w:rPr>
          <w:color w:val="000000"/>
          <w:sz w:val="22"/>
          <w:szCs w:val="22"/>
        </w:rPr>
        <w:t xml:space="preserve"> This, then, returns to the idea of subjectivity and the concept of what is often referred to as the ‘unreliable narrator.’ The layers in which Victor is enshrouded, the deeper layers which contrast and </w:t>
      </w:r>
      <w:r w:rsidRPr="00B952A6">
        <w:rPr>
          <w:color w:val="000000"/>
          <w:sz w:val="22"/>
          <w:szCs w:val="22"/>
        </w:rPr>
        <w:lastRenderedPageBreak/>
        <w:t xml:space="preserve">contradict the person he claims to be, delineate the very nature of an unreliable narrator, the narrator who, in Lori Gottlieb’s words, </w:t>
      </w:r>
      <w:r w:rsidR="0048017D">
        <w:rPr>
          <w:color w:val="000000"/>
          <w:sz w:val="22"/>
          <w:szCs w:val="22"/>
        </w:rPr>
        <w:t>‘[tends] to leave out the strands that don’t jibe with their [perspective].’</w:t>
      </w:r>
      <w:r w:rsidR="00FA08CA" w:rsidRPr="00B952A6">
        <w:rPr>
          <w:rStyle w:val="FootnoteReference"/>
          <w:color w:val="000000"/>
          <w:sz w:val="22"/>
          <w:szCs w:val="22"/>
        </w:rPr>
        <w:footnoteReference w:id="16"/>
      </w:r>
      <w:r w:rsidRPr="00B952A6">
        <w:rPr>
          <w:color w:val="000000"/>
          <w:sz w:val="22"/>
          <w:szCs w:val="22"/>
        </w:rPr>
        <w:t xml:space="preserve"> To accurately illustrate Victor, we must, as Taylor implies, and even as Wimsatt and Beardsley suggest in their theory of the Intentional Fallacy, discard the things Victor says about himself and look at the facts embedded in the subtext: is Victor really the</w:t>
      </w:r>
      <w:r w:rsidR="006D6A04">
        <w:rPr>
          <w:color w:val="000000"/>
          <w:sz w:val="22"/>
          <w:szCs w:val="22"/>
        </w:rPr>
        <w:t xml:space="preserve"> ‘passive kind of person’ </w:t>
      </w:r>
      <w:r w:rsidRPr="00B952A6">
        <w:rPr>
          <w:color w:val="000000"/>
          <w:sz w:val="22"/>
          <w:szCs w:val="22"/>
        </w:rPr>
        <w:t>he claims to be</w:t>
      </w:r>
      <w:r w:rsidR="001C6015" w:rsidRPr="00B952A6">
        <w:rPr>
          <w:rStyle w:val="FootnoteReference"/>
          <w:color w:val="000000"/>
          <w:sz w:val="22"/>
          <w:szCs w:val="22"/>
        </w:rPr>
        <w:footnoteReference w:id="17"/>
      </w:r>
      <w:r w:rsidRPr="00B952A6">
        <w:rPr>
          <w:color w:val="000000"/>
          <w:sz w:val="22"/>
          <w:szCs w:val="22"/>
        </w:rPr>
        <w:t xml:space="preserve">? Did he never seek it? Did he never want it? Victor himself states that </w:t>
      </w:r>
      <w:r w:rsidR="00BC3D17">
        <w:rPr>
          <w:color w:val="000000"/>
          <w:sz w:val="22"/>
          <w:szCs w:val="22"/>
        </w:rPr>
        <w:t>‘the person telling the story always tells it later on, which allows him to add things if he wants, to distance himself.’</w:t>
      </w:r>
      <w:r w:rsidR="001C6015" w:rsidRPr="00B952A6">
        <w:rPr>
          <w:rStyle w:val="FootnoteReference"/>
          <w:color w:val="000000"/>
          <w:sz w:val="22"/>
          <w:szCs w:val="22"/>
        </w:rPr>
        <w:footnoteReference w:id="18"/>
      </w:r>
      <w:r w:rsidRPr="00B952A6">
        <w:rPr>
          <w:color w:val="000000"/>
          <w:sz w:val="22"/>
          <w:szCs w:val="22"/>
        </w:rPr>
        <w:t xml:space="preserve"> He can therefore twist any notion, any fable, to pander to his ideas of himself, to justify himself and to make himself sound less distasteful than he may have been when the situation occurred. In this case, he does exactly that through his attempts to play himself off as this passive man, this </w:t>
      </w:r>
      <w:r w:rsidR="00D03046">
        <w:rPr>
          <w:color w:val="000000"/>
          <w:sz w:val="22"/>
          <w:szCs w:val="22"/>
        </w:rPr>
        <w:t xml:space="preserve">‘no one’ </w:t>
      </w:r>
      <w:r w:rsidRPr="00B952A6">
        <w:rPr>
          <w:color w:val="000000"/>
          <w:sz w:val="22"/>
          <w:szCs w:val="22"/>
        </w:rPr>
        <w:t>when, to the remaining Téllez family, to Eduardo Deán, he is the very bridge to figuring out what happened the night of Marta Téllez’s death, and to the reader, he is the very person telling the story, the one illustrating every event before and after Marta’s death, events he must have actively chosen to play a part in</w:t>
      </w:r>
      <w:r w:rsidR="001C6015" w:rsidRPr="00B952A6">
        <w:rPr>
          <w:rStyle w:val="FootnoteReference"/>
          <w:color w:val="000000"/>
          <w:sz w:val="22"/>
          <w:szCs w:val="22"/>
        </w:rPr>
        <w:footnoteReference w:id="19"/>
      </w:r>
      <w:r w:rsidRPr="00B952A6">
        <w:rPr>
          <w:color w:val="000000"/>
          <w:sz w:val="22"/>
          <w:szCs w:val="22"/>
        </w:rPr>
        <w:t xml:space="preserve">. If he wasn’t actively playing a part, he wouldn’t have to explain, in his casual, unerring tone, </w:t>
      </w:r>
      <w:r w:rsidR="00BF4E22">
        <w:rPr>
          <w:color w:val="000000"/>
          <w:sz w:val="22"/>
          <w:szCs w:val="22"/>
        </w:rPr>
        <w:t>‘chance had nothing to do with [his] appearance at the funeral’, for example</w:t>
      </w:r>
      <w:r w:rsidR="00D03046">
        <w:rPr>
          <w:color w:val="000000"/>
          <w:sz w:val="22"/>
          <w:szCs w:val="22"/>
        </w:rPr>
        <w:t>.</w:t>
      </w:r>
      <w:r w:rsidR="00D03046">
        <w:rPr>
          <w:rStyle w:val="FootnoteReference"/>
          <w:color w:val="000000"/>
          <w:sz w:val="22"/>
          <w:szCs w:val="22"/>
        </w:rPr>
        <w:footnoteReference w:id="20"/>
      </w:r>
    </w:p>
    <w:p w14:paraId="72383EA9" w14:textId="2E146BAC" w:rsidR="005366D1" w:rsidRPr="00B952A6" w:rsidRDefault="005366D1" w:rsidP="005366D1">
      <w:pPr>
        <w:pStyle w:val="NormalWeb"/>
        <w:spacing w:before="0" w:beforeAutospacing="0" w:after="160" w:afterAutospacing="0" w:line="480" w:lineRule="auto"/>
        <w:jc w:val="both"/>
      </w:pPr>
      <w:r w:rsidRPr="00B952A6">
        <w:rPr>
          <w:color w:val="000000"/>
          <w:sz w:val="22"/>
          <w:szCs w:val="22"/>
        </w:rPr>
        <w:t xml:space="preserve">For chance has no place in </w:t>
      </w:r>
      <w:r w:rsidRPr="00B952A6">
        <w:rPr>
          <w:i/>
          <w:iCs/>
          <w:color w:val="000000"/>
          <w:sz w:val="22"/>
          <w:szCs w:val="22"/>
        </w:rPr>
        <w:t>Tomorrow in the Battle Think on Me</w:t>
      </w:r>
      <w:r w:rsidRPr="00B952A6">
        <w:rPr>
          <w:color w:val="000000"/>
          <w:sz w:val="22"/>
          <w:szCs w:val="22"/>
        </w:rPr>
        <w:t xml:space="preserve">, only because Victor continues to bypass the norm, to become obsessed with the idea of understanding and the idea of justification for himself, his obsession with his own selfishness and self-serving decisions, obsessed first with the prostitute Victoria, who he believes to be his ex-wife, to the point that he can justify breaking into her apartment, and then the Téllez family, not to help them in their mourning, to help them understand what transpired the night of Marta’s death (which he conflates through emotional responses to the hypothetical death of Celia/Victoria), nor to understand who Marta the person, and not Marta the </w:t>
      </w:r>
      <w:r w:rsidRPr="00B952A6">
        <w:rPr>
          <w:color w:val="000000"/>
          <w:sz w:val="22"/>
          <w:szCs w:val="22"/>
        </w:rPr>
        <w:lastRenderedPageBreak/>
        <w:t xml:space="preserve">erstwhile could-have-been-lover, was, but to absolve himself of his own misgivings, to help him understand, to help him justify, to become tools in a story he’s constructing for himself. Victor continues to justify his words because, until they’re spoken out loud, he </w:t>
      </w:r>
      <w:r w:rsidR="00F04CDC" w:rsidRPr="00B952A6">
        <w:rPr>
          <w:color w:val="000000"/>
          <w:sz w:val="22"/>
          <w:szCs w:val="22"/>
        </w:rPr>
        <w:t>can</w:t>
      </w:r>
      <w:r w:rsidRPr="00B952A6">
        <w:rPr>
          <w:color w:val="000000"/>
          <w:sz w:val="22"/>
          <w:szCs w:val="22"/>
        </w:rPr>
        <w:t xml:space="preserve"> let what he refers to a</w:t>
      </w:r>
      <w:r w:rsidR="00894F5F">
        <w:rPr>
          <w:color w:val="000000"/>
          <w:sz w:val="22"/>
          <w:szCs w:val="22"/>
        </w:rPr>
        <w:t>s ‘unreality.’</w:t>
      </w:r>
      <w:r w:rsidR="00894F5F">
        <w:rPr>
          <w:rStyle w:val="FootnoteReference"/>
          <w:color w:val="000000"/>
          <w:sz w:val="22"/>
          <w:szCs w:val="22"/>
        </w:rPr>
        <w:footnoteReference w:id="21"/>
      </w:r>
      <w:r w:rsidRPr="00B952A6">
        <w:rPr>
          <w:color w:val="000000"/>
          <w:sz w:val="22"/>
          <w:szCs w:val="22"/>
        </w:rPr>
        <w:t xml:space="preserve"> take what it wants, and for his mind to embellish the rest.  </w:t>
      </w:r>
      <w:r w:rsidR="00894F5F">
        <w:rPr>
          <w:color w:val="000000"/>
          <w:sz w:val="22"/>
          <w:szCs w:val="22"/>
        </w:rPr>
        <w:t>‘Tomorrow in the battle think on me, and fall on thy edgeless sword’ says the actor on the television</w:t>
      </w:r>
      <w:r w:rsidRPr="00B952A6">
        <w:rPr>
          <w:color w:val="000000"/>
          <w:sz w:val="22"/>
          <w:szCs w:val="22"/>
        </w:rPr>
        <w:t>, and Victor thinks of himself once more, yet he doesn’t acknowledge that this is what he does. </w:t>
      </w:r>
      <w:r w:rsidR="00AD0FAB" w:rsidRPr="00B952A6">
        <w:rPr>
          <w:rStyle w:val="FootnoteReference"/>
          <w:color w:val="000000"/>
          <w:sz w:val="22"/>
          <w:szCs w:val="22"/>
        </w:rPr>
        <w:footnoteReference w:id="22"/>
      </w:r>
    </w:p>
    <w:p w14:paraId="72C8CD75" w14:textId="1AC26885" w:rsidR="005366D1" w:rsidRDefault="005366D1" w:rsidP="005366D1">
      <w:pPr>
        <w:pStyle w:val="NormalWeb"/>
        <w:spacing w:before="0" w:beforeAutospacing="0" w:after="160" w:afterAutospacing="0" w:line="480" w:lineRule="auto"/>
        <w:jc w:val="both"/>
      </w:pPr>
      <w:r w:rsidRPr="00B952A6">
        <w:rPr>
          <w:color w:val="000000"/>
          <w:sz w:val="22"/>
          <w:szCs w:val="22"/>
        </w:rPr>
        <w:t xml:space="preserve">Through Victor, we can understand that, when attempting to represent the self in language, the self becomes increasingly difficult to ascertain. For the true scope of the self can only be observed by that self: we cannot </w:t>
      </w:r>
      <w:r w:rsidR="00F04CDC" w:rsidRPr="00B952A6">
        <w:rPr>
          <w:color w:val="000000"/>
          <w:sz w:val="22"/>
          <w:szCs w:val="22"/>
        </w:rPr>
        <w:t>investigate</w:t>
      </w:r>
      <w:r w:rsidRPr="00B952A6">
        <w:rPr>
          <w:color w:val="000000"/>
          <w:sz w:val="22"/>
          <w:szCs w:val="22"/>
        </w:rPr>
        <w:t xml:space="preserve"> another’s mind, we cannot even </w:t>
      </w:r>
      <w:r w:rsidR="00F04CDC" w:rsidRPr="00B952A6">
        <w:rPr>
          <w:color w:val="000000"/>
          <w:sz w:val="22"/>
          <w:szCs w:val="22"/>
        </w:rPr>
        <w:t>investigate</w:t>
      </w:r>
      <w:r w:rsidRPr="00B952A6">
        <w:rPr>
          <w:color w:val="000000"/>
          <w:sz w:val="22"/>
          <w:szCs w:val="22"/>
        </w:rPr>
        <w:t xml:space="preserve"> Victor’s mind, we can only take what they say and what they do as indicators and attempt to infer the rest. As Victor does, whether intentionally or not, we will always embellish, understate, elaborate, and even omit, when we attempt to share our stories, because either we cannot identify the missing pieces of ourselves, thus we cannot represent them, or we become intentionally ignorant to them and plagiarise our own image to satiate our own selfish minds.</w:t>
      </w:r>
    </w:p>
    <w:p w14:paraId="160A75BA" w14:textId="77777777" w:rsidR="00F61980" w:rsidRDefault="00F61980" w:rsidP="00F61980">
      <w:pPr>
        <w:jc w:val="both"/>
        <w:rPr>
          <w:rFonts w:ascii="Times New Roman" w:hAnsi="Times New Roman" w:cs="Times New Roman"/>
          <w:sz w:val="22"/>
          <w:szCs w:val="22"/>
        </w:rPr>
      </w:pPr>
    </w:p>
    <w:p w14:paraId="44B0C901" w14:textId="77777777" w:rsidR="00EB7277" w:rsidRDefault="00EB7277" w:rsidP="00F61980">
      <w:pPr>
        <w:jc w:val="both"/>
        <w:rPr>
          <w:rFonts w:ascii="Times New Roman" w:hAnsi="Times New Roman" w:cs="Times New Roman"/>
          <w:sz w:val="22"/>
          <w:szCs w:val="22"/>
        </w:rPr>
      </w:pPr>
    </w:p>
    <w:p w14:paraId="47DAE3BC" w14:textId="77777777" w:rsidR="00EB7277" w:rsidRDefault="00EB7277" w:rsidP="00F61980">
      <w:pPr>
        <w:jc w:val="both"/>
        <w:rPr>
          <w:rFonts w:ascii="Times New Roman" w:hAnsi="Times New Roman" w:cs="Times New Roman"/>
          <w:sz w:val="22"/>
          <w:szCs w:val="22"/>
        </w:rPr>
      </w:pPr>
    </w:p>
    <w:p w14:paraId="4713993B" w14:textId="466AB530" w:rsidR="005366D1" w:rsidRDefault="00EB7277" w:rsidP="00F61980">
      <w:pPr>
        <w:jc w:val="both"/>
        <w:rPr>
          <w:rFonts w:ascii="Times New Roman" w:hAnsi="Times New Roman" w:cs="Times New Roman"/>
          <w:sz w:val="22"/>
          <w:szCs w:val="22"/>
        </w:rPr>
      </w:pPr>
      <w:r w:rsidRPr="00F04CDC">
        <w:rPr>
          <w:rFonts w:ascii="Times New Roman" w:hAnsi="Times New Roman" w:cs="Times New Roman"/>
          <w:b/>
          <w:bCs/>
          <w:sz w:val="22"/>
          <w:szCs w:val="22"/>
        </w:rPr>
        <w:t>WORD COUNT</w:t>
      </w:r>
      <w:r>
        <w:rPr>
          <w:rFonts w:ascii="Times New Roman" w:hAnsi="Times New Roman" w:cs="Times New Roman"/>
          <w:sz w:val="22"/>
          <w:szCs w:val="22"/>
        </w:rPr>
        <w:t xml:space="preserve">: </w:t>
      </w:r>
      <w:r w:rsidR="00AD0FAB">
        <w:rPr>
          <w:rFonts w:ascii="Times New Roman" w:hAnsi="Times New Roman" w:cs="Times New Roman"/>
          <w:sz w:val="22"/>
          <w:szCs w:val="22"/>
        </w:rPr>
        <w:t>208</w:t>
      </w:r>
      <w:r w:rsidR="007D6020">
        <w:rPr>
          <w:rFonts w:ascii="Times New Roman" w:hAnsi="Times New Roman" w:cs="Times New Roman"/>
          <w:sz w:val="22"/>
          <w:szCs w:val="22"/>
        </w:rPr>
        <w:t>3 words (not including footnotes and bibliography)</w:t>
      </w:r>
    </w:p>
    <w:p w14:paraId="15B0F2F6" w14:textId="1E197EA1" w:rsidR="005366D1" w:rsidRDefault="00EB7277" w:rsidP="00F61980">
      <w:pPr>
        <w:jc w:val="both"/>
        <w:rPr>
          <w:rFonts w:ascii="Times New Roman" w:hAnsi="Times New Roman" w:cs="Times New Roman"/>
          <w:sz w:val="22"/>
          <w:szCs w:val="22"/>
        </w:rPr>
      </w:pPr>
      <w:r w:rsidRPr="00F04CDC">
        <w:rPr>
          <w:rFonts w:ascii="Times New Roman" w:hAnsi="Times New Roman" w:cs="Times New Roman"/>
          <w:b/>
          <w:bCs/>
          <w:sz w:val="22"/>
          <w:szCs w:val="22"/>
        </w:rPr>
        <w:t>BIBLIOGRAPHY</w:t>
      </w:r>
      <w:r>
        <w:rPr>
          <w:rFonts w:ascii="Times New Roman" w:hAnsi="Times New Roman" w:cs="Times New Roman"/>
          <w:sz w:val="22"/>
          <w:szCs w:val="22"/>
        </w:rPr>
        <w:t>:</w:t>
      </w:r>
    </w:p>
    <w:p w14:paraId="483D182B" w14:textId="692B4D04" w:rsidR="00722D43" w:rsidRDefault="00722D43" w:rsidP="00F61980">
      <w:pPr>
        <w:jc w:val="both"/>
        <w:rPr>
          <w:rFonts w:ascii="Times New Roman" w:hAnsi="Times New Roman" w:cs="Times New Roman"/>
          <w:sz w:val="22"/>
          <w:szCs w:val="22"/>
        </w:rPr>
      </w:pPr>
      <w:r w:rsidRPr="00A5437B">
        <w:rPr>
          <w:rFonts w:ascii="Times New Roman" w:hAnsi="Times New Roman" w:cs="Times New Roman"/>
          <w:sz w:val="22"/>
          <w:szCs w:val="22"/>
        </w:rPr>
        <w:t xml:space="preserve">Catherine Belsey, </w:t>
      </w:r>
      <w:r w:rsidRPr="00A5437B">
        <w:rPr>
          <w:rFonts w:ascii="Times New Roman" w:hAnsi="Times New Roman" w:cs="Times New Roman"/>
          <w:i/>
          <w:iCs/>
          <w:sz w:val="22"/>
          <w:szCs w:val="22"/>
        </w:rPr>
        <w:t>Critical Practice</w:t>
      </w:r>
      <w:r w:rsidRPr="00A5437B">
        <w:rPr>
          <w:rFonts w:ascii="Times New Roman" w:hAnsi="Times New Roman" w:cs="Times New Roman"/>
          <w:sz w:val="22"/>
          <w:szCs w:val="22"/>
        </w:rPr>
        <w:t>, New Accents series (London: Routledge, 2002)</w:t>
      </w:r>
    </w:p>
    <w:p w14:paraId="21AC92BE" w14:textId="29232CF5" w:rsidR="00875FCB" w:rsidRPr="00A5437B" w:rsidRDefault="00875FCB" w:rsidP="00F61980">
      <w:pPr>
        <w:jc w:val="both"/>
        <w:rPr>
          <w:rFonts w:ascii="Times New Roman" w:hAnsi="Times New Roman" w:cs="Times New Roman"/>
          <w:sz w:val="22"/>
          <w:szCs w:val="22"/>
        </w:rPr>
      </w:pPr>
      <w:r w:rsidRPr="00875FCB">
        <w:rPr>
          <w:rFonts w:ascii="Times New Roman" w:hAnsi="Times New Roman" w:cs="Times New Roman"/>
          <w:sz w:val="22"/>
          <w:szCs w:val="22"/>
        </w:rPr>
        <w:t xml:space="preserve">Charles Taylor, </w:t>
      </w:r>
      <w:r w:rsidRPr="00875FCB">
        <w:rPr>
          <w:rFonts w:ascii="Times New Roman" w:hAnsi="Times New Roman" w:cs="Times New Roman"/>
          <w:i/>
          <w:iCs/>
          <w:sz w:val="22"/>
          <w:szCs w:val="22"/>
        </w:rPr>
        <w:t>Sources of the Self: The Making of the Modern Identity</w:t>
      </w:r>
      <w:r w:rsidRPr="00875FCB">
        <w:rPr>
          <w:rFonts w:ascii="Times New Roman" w:hAnsi="Times New Roman" w:cs="Times New Roman"/>
          <w:sz w:val="22"/>
          <w:szCs w:val="22"/>
        </w:rPr>
        <w:t xml:space="preserve"> (Cambridge: Harvard University Press, 1989)</w:t>
      </w:r>
    </w:p>
    <w:p w14:paraId="712F2E01" w14:textId="426ADDA3" w:rsidR="00F04CDC" w:rsidRDefault="00F04CDC" w:rsidP="00F61980">
      <w:pPr>
        <w:jc w:val="both"/>
        <w:rPr>
          <w:rFonts w:ascii="Times New Roman" w:hAnsi="Times New Roman" w:cs="Times New Roman"/>
          <w:color w:val="000000"/>
          <w:sz w:val="22"/>
          <w:szCs w:val="22"/>
        </w:rPr>
      </w:pPr>
      <w:r w:rsidRPr="00A5437B">
        <w:rPr>
          <w:rFonts w:ascii="Times New Roman" w:hAnsi="Times New Roman" w:cs="Times New Roman"/>
          <w:color w:val="000000"/>
          <w:sz w:val="22"/>
          <w:szCs w:val="22"/>
        </w:rPr>
        <w:lastRenderedPageBreak/>
        <w:t xml:space="preserve">David Punter, </w:t>
      </w:r>
      <w:r w:rsidRPr="00A5437B">
        <w:rPr>
          <w:rFonts w:ascii="Times New Roman" w:hAnsi="Times New Roman" w:cs="Times New Roman"/>
          <w:i/>
          <w:iCs/>
          <w:color w:val="000000"/>
          <w:sz w:val="22"/>
          <w:szCs w:val="22"/>
        </w:rPr>
        <w:t>Metaphor</w:t>
      </w:r>
      <w:r w:rsidRPr="00A5437B">
        <w:rPr>
          <w:rFonts w:ascii="Times New Roman" w:hAnsi="Times New Roman" w:cs="Times New Roman"/>
          <w:color w:val="000000"/>
          <w:sz w:val="22"/>
          <w:szCs w:val="22"/>
        </w:rPr>
        <w:t>, New Critical Idiom series (London: Routledge, 2007)</w:t>
      </w:r>
    </w:p>
    <w:p w14:paraId="52EA1381" w14:textId="0B0E1179" w:rsidR="00875FCB" w:rsidRDefault="00875FCB" w:rsidP="00F61980">
      <w:pPr>
        <w:jc w:val="both"/>
        <w:rPr>
          <w:rFonts w:ascii="Times New Roman" w:hAnsi="Times New Roman" w:cs="Times New Roman"/>
          <w:color w:val="000000"/>
          <w:sz w:val="22"/>
          <w:szCs w:val="22"/>
        </w:rPr>
      </w:pPr>
      <w:r w:rsidRPr="00875FCB">
        <w:rPr>
          <w:rFonts w:ascii="Times New Roman" w:hAnsi="Times New Roman" w:cs="Times New Roman"/>
          <w:color w:val="000000"/>
          <w:sz w:val="22"/>
          <w:szCs w:val="22"/>
        </w:rPr>
        <w:t xml:space="preserve">Donald E. Hall, </w:t>
      </w:r>
      <w:r w:rsidRPr="00875FCB">
        <w:rPr>
          <w:rFonts w:ascii="Times New Roman" w:hAnsi="Times New Roman" w:cs="Times New Roman"/>
          <w:i/>
          <w:iCs/>
          <w:color w:val="000000"/>
          <w:sz w:val="22"/>
          <w:szCs w:val="22"/>
        </w:rPr>
        <w:t>Subjectivity</w:t>
      </w:r>
      <w:r w:rsidRPr="00875FCB">
        <w:rPr>
          <w:rFonts w:ascii="Times New Roman" w:hAnsi="Times New Roman" w:cs="Times New Roman"/>
          <w:color w:val="000000"/>
          <w:sz w:val="22"/>
          <w:szCs w:val="22"/>
        </w:rPr>
        <w:t>, New Critical Idiom series (London: Routledge, 2004)</w:t>
      </w:r>
    </w:p>
    <w:p w14:paraId="34BE462B" w14:textId="2DCA57DD" w:rsidR="000F731C" w:rsidRDefault="009A6D34" w:rsidP="00F61980">
      <w:pPr>
        <w:jc w:val="both"/>
        <w:rPr>
          <w:rFonts w:ascii="Times New Roman" w:hAnsi="Times New Roman" w:cs="Times New Roman"/>
          <w:color w:val="000000"/>
          <w:sz w:val="22"/>
          <w:szCs w:val="22"/>
        </w:rPr>
      </w:pPr>
      <w:r w:rsidRPr="009A6D34">
        <w:rPr>
          <w:rFonts w:ascii="Times New Roman" w:hAnsi="Times New Roman" w:cs="Times New Roman"/>
          <w:color w:val="000000"/>
          <w:sz w:val="22"/>
          <w:szCs w:val="22"/>
        </w:rPr>
        <w:t xml:space="preserve">Frank Lentricchia and Thomas McLaughlin, eds, </w:t>
      </w:r>
      <w:r w:rsidRPr="009A6D34">
        <w:rPr>
          <w:rFonts w:ascii="Times New Roman" w:hAnsi="Times New Roman" w:cs="Times New Roman"/>
          <w:i/>
          <w:iCs/>
          <w:color w:val="000000"/>
          <w:sz w:val="22"/>
          <w:szCs w:val="22"/>
        </w:rPr>
        <w:t>Critical Terms for Literary Study</w:t>
      </w:r>
      <w:r w:rsidRPr="009A6D34">
        <w:rPr>
          <w:rFonts w:ascii="Times New Roman" w:hAnsi="Times New Roman" w:cs="Times New Roman"/>
          <w:color w:val="000000"/>
          <w:sz w:val="22"/>
          <w:szCs w:val="22"/>
        </w:rPr>
        <w:t>, 2nd ed</w:t>
      </w:r>
      <w:r>
        <w:rPr>
          <w:rFonts w:ascii="Times New Roman" w:hAnsi="Times New Roman" w:cs="Times New Roman"/>
          <w:color w:val="000000"/>
          <w:sz w:val="22"/>
          <w:szCs w:val="22"/>
        </w:rPr>
        <w:t>itio</w:t>
      </w:r>
      <w:r w:rsidRPr="009A6D34">
        <w:rPr>
          <w:rFonts w:ascii="Times New Roman" w:hAnsi="Times New Roman" w:cs="Times New Roman"/>
          <w:color w:val="000000"/>
          <w:sz w:val="22"/>
          <w:szCs w:val="22"/>
        </w:rPr>
        <w:t>n (Chicago: Chicago University Press, 1995).</w:t>
      </w:r>
      <w:r>
        <w:rPr>
          <w:rFonts w:ascii="Times New Roman" w:hAnsi="Times New Roman" w:cs="Times New Roman"/>
          <w:color w:val="000000"/>
          <w:sz w:val="22"/>
          <w:szCs w:val="22"/>
        </w:rPr>
        <w:t xml:space="preserve"> </w:t>
      </w:r>
      <w:r w:rsidR="00C00CFC">
        <w:rPr>
          <w:rFonts w:ascii="Times New Roman" w:hAnsi="Times New Roman" w:cs="Times New Roman"/>
          <w:color w:val="000000"/>
          <w:sz w:val="22"/>
          <w:szCs w:val="22"/>
        </w:rPr>
        <w:t>11. ‘</w:t>
      </w:r>
      <w:r w:rsidR="00C00CFC" w:rsidRPr="009121D9">
        <w:rPr>
          <w:rFonts w:ascii="Times New Roman" w:hAnsi="Times New Roman" w:cs="Times New Roman"/>
          <w:i/>
          <w:iCs/>
          <w:color w:val="000000"/>
          <w:sz w:val="22"/>
          <w:szCs w:val="22"/>
        </w:rPr>
        <w:t>Unconscious’</w:t>
      </w:r>
      <w:r w:rsidR="00C00CFC">
        <w:rPr>
          <w:rFonts w:ascii="Times New Roman" w:hAnsi="Times New Roman" w:cs="Times New Roman"/>
          <w:color w:val="000000"/>
          <w:sz w:val="22"/>
          <w:szCs w:val="22"/>
        </w:rPr>
        <w:t xml:space="preserve"> by Françoise Meltzer</w:t>
      </w:r>
    </w:p>
    <w:p w14:paraId="511EA754" w14:textId="3F56C250" w:rsidR="000F731C" w:rsidRPr="009A6D34" w:rsidRDefault="000F731C" w:rsidP="00F61980">
      <w:pPr>
        <w:jc w:val="both"/>
        <w:rPr>
          <w:rFonts w:ascii="Times New Roman" w:hAnsi="Times New Roman" w:cs="Times New Roman"/>
          <w:color w:val="000000"/>
          <w:sz w:val="21"/>
          <w:szCs w:val="21"/>
        </w:rPr>
      </w:pPr>
      <w:r w:rsidRPr="009A6D34">
        <w:rPr>
          <w:rFonts w:ascii="Times New Roman" w:hAnsi="Times New Roman" w:cs="Times New Roman"/>
          <w:color w:val="000000"/>
          <w:sz w:val="21"/>
          <w:szCs w:val="21"/>
        </w:rPr>
        <w:t>J</w:t>
      </w:r>
      <w:r w:rsidRPr="009A6D34">
        <w:rPr>
          <w:rFonts w:ascii="Times New Roman" w:hAnsi="Times New Roman" w:cs="Times New Roman"/>
          <w:sz w:val="21"/>
          <w:szCs w:val="21"/>
        </w:rPr>
        <w:t xml:space="preserve">avier Marías, </w:t>
      </w:r>
      <w:r w:rsidRPr="009A6D34">
        <w:rPr>
          <w:rFonts w:ascii="Times New Roman" w:hAnsi="Times New Roman" w:cs="Times New Roman"/>
          <w:i/>
          <w:iCs/>
          <w:sz w:val="21"/>
          <w:szCs w:val="21"/>
        </w:rPr>
        <w:t>Tomorrow in the Battle Think on Me</w:t>
      </w:r>
      <w:r w:rsidRPr="009A6D34">
        <w:rPr>
          <w:rFonts w:ascii="Times New Roman" w:hAnsi="Times New Roman" w:cs="Times New Roman"/>
          <w:sz w:val="21"/>
          <w:szCs w:val="21"/>
        </w:rPr>
        <w:t>, trans. Margaret Jull Costa (London: Penguin Classics, 2012)</w:t>
      </w:r>
    </w:p>
    <w:p w14:paraId="6EE6D09B" w14:textId="1E69BF5B" w:rsidR="000F731C" w:rsidRDefault="000F731C" w:rsidP="00F61980">
      <w:pPr>
        <w:jc w:val="both"/>
        <w:rPr>
          <w:rFonts w:ascii="Times New Roman" w:hAnsi="Times New Roman" w:cs="Times New Roman"/>
          <w:sz w:val="22"/>
          <w:szCs w:val="22"/>
        </w:rPr>
      </w:pPr>
      <w:r>
        <w:rPr>
          <w:rFonts w:ascii="Times New Roman" w:hAnsi="Times New Roman" w:cs="Times New Roman"/>
          <w:sz w:val="22"/>
          <w:szCs w:val="22"/>
        </w:rPr>
        <w:t xml:space="preserve">Lori Gottlieb, </w:t>
      </w:r>
      <w:r w:rsidRPr="000F731C">
        <w:rPr>
          <w:rFonts w:ascii="Times New Roman" w:hAnsi="Times New Roman" w:cs="Times New Roman"/>
          <w:i/>
          <w:iCs/>
          <w:sz w:val="22"/>
          <w:szCs w:val="22"/>
        </w:rPr>
        <w:t>Maybe You Should Talk to Someone,</w:t>
      </w:r>
      <w:r w:rsidRPr="000F731C">
        <w:rPr>
          <w:rFonts w:ascii="Times New Roman" w:hAnsi="Times New Roman" w:cs="Times New Roman"/>
          <w:sz w:val="22"/>
          <w:szCs w:val="22"/>
        </w:rPr>
        <w:t xml:space="preserve"> (Houghton Mifflin Harcourt, 2019)</w:t>
      </w:r>
    </w:p>
    <w:p w14:paraId="359C594A" w14:textId="544469E0" w:rsidR="00875FCB" w:rsidRDefault="00875FCB" w:rsidP="00F61980">
      <w:pPr>
        <w:jc w:val="both"/>
        <w:rPr>
          <w:rFonts w:ascii="Times New Roman" w:hAnsi="Times New Roman" w:cs="Times New Roman"/>
          <w:sz w:val="22"/>
          <w:szCs w:val="22"/>
        </w:rPr>
      </w:pPr>
      <w:r w:rsidRPr="00875FCB">
        <w:rPr>
          <w:rFonts w:ascii="Times New Roman" w:hAnsi="Times New Roman" w:cs="Times New Roman"/>
          <w:sz w:val="22"/>
          <w:szCs w:val="22"/>
        </w:rPr>
        <w:t xml:space="preserve">William Lyons, </w:t>
      </w:r>
      <w:r w:rsidRPr="00875FCB">
        <w:rPr>
          <w:rFonts w:ascii="Times New Roman" w:hAnsi="Times New Roman" w:cs="Times New Roman"/>
          <w:i/>
          <w:iCs/>
          <w:sz w:val="22"/>
          <w:szCs w:val="22"/>
        </w:rPr>
        <w:t>Modern Philosophy of Mind</w:t>
      </w:r>
      <w:r w:rsidRPr="00875FCB">
        <w:rPr>
          <w:rFonts w:ascii="Times New Roman" w:hAnsi="Times New Roman" w:cs="Times New Roman"/>
          <w:sz w:val="22"/>
          <w:szCs w:val="22"/>
        </w:rPr>
        <w:t xml:space="preserve"> (London: J.M. Dent, 1995)</w:t>
      </w:r>
    </w:p>
    <w:p w14:paraId="538B102E" w14:textId="1BADACA2" w:rsidR="00B952A6" w:rsidRPr="00F61980" w:rsidRDefault="00B952A6" w:rsidP="00F61980">
      <w:pPr>
        <w:jc w:val="both"/>
        <w:rPr>
          <w:rFonts w:ascii="Times New Roman" w:hAnsi="Times New Roman" w:cs="Times New Roman"/>
          <w:sz w:val="22"/>
          <w:szCs w:val="22"/>
        </w:rPr>
      </w:pPr>
      <w:r w:rsidRPr="00B952A6">
        <w:rPr>
          <w:rFonts w:ascii="Times New Roman" w:hAnsi="Times New Roman" w:cs="Times New Roman"/>
          <w:sz w:val="22"/>
          <w:szCs w:val="22"/>
        </w:rPr>
        <w:t xml:space="preserve">William Shakespeare, </w:t>
      </w:r>
      <w:r w:rsidRPr="00B952A6">
        <w:rPr>
          <w:rFonts w:ascii="Times New Roman" w:hAnsi="Times New Roman" w:cs="Times New Roman"/>
          <w:i/>
          <w:iCs/>
          <w:sz w:val="22"/>
          <w:szCs w:val="22"/>
        </w:rPr>
        <w:t>The Tragedy of King Richard III</w:t>
      </w:r>
      <w:r w:rsidRPr="00B952A6">
        <w:rPr>
          <w:rFonts w:ascii="Times New Roman" w:hAnsi="Times New Roman" w:cs="Times New Roman"/>
          <w:sz w:val="22"/>
          <w:szCs w:val="22"/>
        </w:rPr>
        <w:t>, edited by George MacDonald (London: Blackie and Son, 195</w:t>
      </w:r>
      <w:r>
        <w:rPr>
          <w:rFonts w:ascii="Times New Roman" w:hAnsi="Times New Roman" w:cs="Times New Roman"/>
          <w:sz w:val="22"/>
          <w:szCs w:val="22"/>
        </w:rPr>
        <w:t>?)</w:t>
      </w:r>
    </w:p>
    <w:sectPr w:rsidR="00B952A6" w:rsidRPr="00F619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E1DDA" w14:textId="77777777" w:rsidR="00275B32" w:rsidRDefault="00275B32" w:rsidP="00EB7277">
      <w:pPr>
        <w:spacing w:after="0" w:line="240" w:lineRule="auto"/>
      </w:pPr>
      <w:r>
        <w:separator/>
      </w:r>
    </w:p>
  </w:endnote>
  <w:endnote w:type="continuationSeparator" w:id="0">
    <w:p w14:paraId="4CD18116" w14:textId="77777777" w:rsidR="00275B32" w:rsidRDefault="00275B32" w:rsidP="00EB7277">
      <w:pPr>
        <w:spacing w:after="0" w:line="240" w:lineRule="auto"/>
      </w:pPr>
      <w:r>
        <w:continuationSeparator/>
      </w:r>
    </w:p>
  </w:endnote>
  <w:endnote w:type="continuationNotice" w:id="1">
    <w:p w14:paraId="12D02535" w14:textId="77777777" w:rsidR="00275B32" w:rsidRDefault="00275B3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3B297" w14:textId="77777777" w:rsidR="00275B32" w:rsidRDefault="00275B32" w:rsidP="00EB7277">
      <w:pPr>
        <w:spacing w:after="0" w:line="240" w:lineRule="auto"/>
      </w:pPr>
      <w:r>
        <w:separator/>
      </w:r>
    </w:p>
  </w:footnote>
  <w:footnote w:type="continuationSeparator" w:id="0">
    <w:p w14:paraId="089D4187" w14:textId="77777777" w:rsidR="00275B32" w:rsidRDefault="00275B32" w:rsidP="00EB7277">
      <w:pPr>
        <w:spacing w:after="0" w:line="240" w:lineRule="auto"/>
      </w:pPr>
      <w:r>
        <w:continuationSeparator/>
      </w:r>
    </w:p>
  </w:footnote>
  <w:footnote w:type="continuationNotice" w:id="1">
    <w:p w14:paraId="3502C8F0" w14:textId="77777777" w:rsidR="00275B32" w:rsidRDefault="00275B32">
      <w:pPr>
        <w:spacing w:after="0" w:line="240" w:lineRule="auto"/>
      </w:pPr>
    </w:p>
  </w:footnote>
  <w:footnote w:id="2">
    <w:p w14:paraId="5D683E18" w14:textId="3EEC050A" w:rsidR="003D0EA2" w:rsidRDefault="003D0EA2">
      <w:pPr>
        <w:pStyle w:val="FootnoteText"/>
        <w:rPr>
          <w:rFonts w:ascii="Times New Roman" w:hAnsi="Times New Roman" w:cs="Times New Roman"/>
        </w:rPr>
      </w:pPr>
      <w:r w:rsidRPr="003D0EA2">
        <w:rPr>
          <w:rStyle w:val="FootnoteReference"/>
          <w:rFonts w:ascii="Times New Roman" w:hAnsi="Times New Roman" w:cs="Times New Roman"/>
        </w:rPr>
        <w:footnoteRef/>
      </w:r>
      <w:r w:rsidRPr="003D0EA2">
        <w:rPr>
          <w:rFonts w:ascii="Times New Roman" w:hAnsi="Times New Roman" w:cs="Times New Roman"/>
        </w:rPr>
        <w:t xml:space="preserve"> </w:t>
      </w:r>
      <w:r w:rsidRPr="00B952A6">
        <w:rPr>
          <w:rFonts w:ascii="Times New Roman" w:hAnsi="Times New Roman" w:cs="Times New Roman"/>
        </w:rPr>
        <w:t xml:space="preserve">Charles Taylor, </w:t>
      </w:r>
      <w:r w:rsidRPr="00B952A6">
        <w:rPr>
          <w:rFonts w:ascii="Times New Roman" w:hAnsi="Times New Roman" w:cs="Times New Roman"/>
          <w:i/>
          <w:iCs/>
        </w:rPr>
        <w:t>Sources of the Self: The Making of the Modern Identity</w:t>
      </w:r>
      <w:r w:rsidRPr="00B952A6">
        <w:rPr>
          <w:rFonts w:ascii="Times New Roman" w:hAnsi="Times New Roman" w:cs="Times New Roman"/>
        </w:rPr>
        <w:t xml:space="preserve"> (Cambridge: Harvard University Press, 1989) p. 111</w:t>
      </w:r>
    </w:p>
    <w:p w14:paraId="723BB93F" w14:textId="77777777" w:rsidR="003D0EA2" w:rsidRDefault="003D0EA2">
      <w:pPr>
        <w:pStyle w:val="FootnoteText"/>
      </w:pPr>
    </w:p>
  </w:footnote>
  <w:footnote w:id="3">
    <w:p w14:paraId="4637328B" w14:textId="1121825D" w:rsidR="003D0EA2" w:rsidRDefault="003D0EA2">
      <w:pPr>
        <w:pStyle w:val="FootnoteText"/>
      </w:pPr>
      <w:r w:rsidRPr="003D0EA2">
        <w:rPr>
          <w:rStyle w:val="FootnoteReference"/>
          <w:rFonts w:ascii="Times New Roman" w:hAnsi="Times New Roman" w:cs="Times New Roman"/>
        </w:rPr>
        <w:footnoteRef/>
      </w:r>
      <w:r w:rsidRPr="003D0EA2">
        <w:rPr>
          <w:rFonts w:ascii="Times New Roman" w:hAnsi="Times New Roman" w:cs="Times New Roman"/>
        </w:rPr>
        <w:t xml:space="preserve"> </w:t>
      </w:r>
      <w:r w:rsidRPr="00B952A6">
        <w:rPr>
          <w:rFonts w:ascii="Times New Roman" w:hAnsi="Times New Roman" w:cs="Times New Roman"/>
        </w:rPr>
        <w:t>William Lyons,</w:t>
      </w:r>
      <w:r w:rsidRPr="008A6044">
        <w:rPr>
          <w:rFonts w:ascii="Times New Roman" w:hAnsi="Times New Roman" w:cs="Times New Roman"/>
        </w:rPr>
        <w:t xml:space="preserve"> </w:t>
      </w:r>
      <w:r w:rsidRPr="00875FCB">
        <w:rPr>
          <w:rFonts w:ascii="Times New Roman" w:hAnsi="Times New Roman" w:cs="Times New Roman"/>
          <w:i/>
          <w:iCs/>
        </w:rPr>
        <w:t>Introduction</w:t>
      </w:r>
      <w:r>
        <w:rPr>
          <w:rFonts w:ascii="Times New Roman" w:hAnsi="Times New Roman" w:cs="Times New Roman"/>
        </w:rPr>
        <w:t>, Modern Philosophy of Mind (London: J.M. Dent, 1995) p. xlviii</w:t>
      </w:r>
    </w:p>
  </w:footnote>
  <w:footnote w:id="4">
    <w:p w14:paraId="67E44051" w14:textId="341DD9D6" w:rsidR="00EB7277" w:rsidRPr="008A6044" w:rsidRDefault="00EB7277">
      <w:pPr>
        <w:pStyle w:val="FootnoteText"/>
        <w:rPr>
          <w:rFonts w:ascii="Times New Roman" w:hAnsi="Times New Roman" w:cs="Times New Roman"/>
        </w:rPr>
      </w:pPr>
      <w:r w:rsidRPr="008A6044">
        <w:rPr>
          <w:rStyle w:val="FootnoteReference"/>
          <w:rFonts w:ascii="Times New Roman" w:hAnsi="Times New Roman" w:cs="Times New Roman"/>
        </w:rPr>
        <w:footnoteRef/>
      </w:r>
      <w:r w:rsidRPr="008A6044">
        <w:rPr>
          <w:rFonts w:ascii="Times New Roman" w:hAnsi="Times New Roman" w:cs="Times New Roman"/>
        </w:rPr>
        <w:t xml:space="preserve"> </w:t>
      </w:r>
      <w:r w:rsidR="00617FBE" w:rsidRPr="008A6044">
        <w:rPr>
          <w:rFonts w:ascii="Times New Roman" w:hAnsi="Times New Roman" w:cs="Times New Roman"/>
        </w:rPr>
        <w:t xml:space="preserve">Javier Marías, </w:t>
      </w:r>
      <w:r w:rsidR="00617FBE" w:rsidRPr="008A6044">
        <w:rPr>
          <w:rFonts w:ascii="Times New Roman" w:hAnsi="Times New Roman" w:cs="Times New Roman"/>
          <w:i/>
          <w:iCs/>
        </w:rPr>
        <w:t>Tomorrow in the Battle Think on Me</w:t>
      </w:r>
      <w:r w:rsidR="00617FBE" w:rsidRPr="008A6044">
        <w:rPr>
          <w:rFonts w:ascii="Times New Roman" w:hAnsi="Times New Roman" w:cs="Times New Roman"/>
        </w:rPr>
        <w:t>, trans. Margaret Jull Costa (London: Penguin Classics, 2012)</w:t>
      </w:r>
    </w:p>
    <w:p w14:paraId="57C9B9CF" w14:textId="77777777" w:rsidR="00EB7277" w:rsidRPr="008A6044" w:rsidRDefault="00EB7277">
      <w:pPr>
        <w:pStyle w:val="FootnoteText"/>
        <w:rPr>
          <w:rFonts w:ascii="Times New Roman" w:hAnsi="Times New Roman" w:cs="Times New Roman"/>
        </w:rPr>
      </w:pPr>
    </w:p>
  </w:footnote>
  <w:footnote w:id="5">
    <w:p w14:paraId="002C3397" w14:textId="1245ED0E" w:rsidR="00617FBE" w:rsidRPr="008A6044" w:rsidRDefault="00617FBE">
      <w:pPr>
        <w:pStyle w:val="FootnoteText"/>
        <w:rPr>
          <w:rFonts w:ascii="Times New Roman" w:hAnsi="Times New Roman" w:cs="Times New Roman"/>
        </w:rPr>
      </w:pPr>
      <w:r w:rsidRPr="008A6044">
        <w:rPr>
          <w:rStyle w:val="FootnoteReference"/>
          <w:rFonts w:ascii="Times New Roman" w:hAnsi="Times New Roman" w:cs="Times New Roman"/>
        </w:rPr>
        <w:footnoteRef/>
      </w:r>
      <w:r w:rsidRPr="008A6044">
        <w:rPr>
          <w:rFonts w:ascii="Times New Roman" w:hAnsi="Times New Roman" w:cs="Times New Roman"/>
        </w:rPr>
        <w:t xml:space="preserve"> </w:t>
      </w:r>
      <w:r w:rsidR="005803CC" w:rsidRPr="008A6044">
        <w:rPr>
          <w:rFonts w:ascii="Times New Roman" w:hAnsi="Times New Roman" w:cs="Times New Roman"/>
        </w:rPr>
        <w:t xml:space="preserve">Françoise Meltzer, </w:t>
      </w:r>
      <w:r w:rsidR="00EC0123" w:rsidRPr="008A6044">
        <w:rPr>
          <w:rFonts w:ascii="Times New Roman" w:hAnsi="Times New Roman" w:cs="Times New Roman"/>
          <w:i/>
          <w:iCs/>
        </w:rPr>
        <w:t>Critical Terms for Literary Study</w:t>
      </w:r>
      <w:r w:rsidR="00EC0123" w:rsidRPr="008A6044">
        <w:rPr>
          <w:rFonts w:ascii="Times New Roman" w:hAnsi="Times New Roman" w:cs="Times New Roman"/>
        </w:rPr>
        <w:t xml:space="preserve">, </w:t>
      </w:r>
      <w:r w:rsidR="003F094B" w:rsidRPr="008A6044">
        <w:rPr>
          <w:rFonts w:ascii="Times New Roman" w:hAnsi="Times New Roman" w:cs="Times New Roman"/>
        </w:rPr>
        <w:t xml:space="preserve">Unconscious, </w:t>
      </w:r>
      <w:r w:rsidR="004C221E" w:rsidRPr="008A6044">
        <w:rPr>
          <w:rFonts w:ascii="Times New Roman" w:hAnsi="Times New Roman" w:cs="Times New Roman"/>
        </w:rPr>
        <w:t xml:space="preserve">eds. Frank </w:t>
      </w:r>
      <w:r w:rsidR="00DF5D7C" w:rsidRPr="008A6044">
        <w:rPr>
          <w:rFonts w:ascii="Times New Roman" w:hAnsi="Times New Roman" w:cs="Times New Roman"/>
        </w:rPr>
        <w:t>Lentricchia and Thomas Mc</w:t>
      </w:r>
      <w:r w:rsidR="00564EBE" w:rsidRPr="008A6044">
        <w:rPr>
          <w:rFonts w:ascii="Times New Roman" w:hAnsi="Times New Roman" w:cs="Times New Roman"/>
        </w:rPr>
        <w:t>Laughlin</w:t>
      </w:r>
      <w:r w:rsidR="002425FE" w:rsidRPr="008A6044">
        <w:rPr>
          <w:rFonts w:ascii="Times New Roman" w:hAnsi="Times New Roman" w:cs="Times New Roman"/>
        </w:rPr>
        <w:t>,</w:t>
      </w:r>
      <w:r w:rsidR="00ED3639" w:rsidRPr="008A6044">
        <w:rPr>
          <w:rFonts w:ascii="Times New Roman" w:hAnsi="Times New Roman" w:cs="Times New Roman"/>
        </w:rPr>
        <w:t xml:space="preserve"> </w:t>
      </w:r>
      <w:r w:rsidR="002425FE" w:rsidRPr="008A6044">
        <w:rPr>
          <w:rFonts w:ascii="Times New Roman" w:hAnsi="Times New Roman" w:cs="Times New Roman"/>
        </w:rPr>
        <w:t>2nd ed</w:t>
      </w:r>
      <w:r w:rsidR="000F731C">
        <w:rPr>
          <w:rFonts w:ascii="Times New Roman" w:hAnsi="Times New Roman" w:cs="Times New Roman"/>
        </w:rPr>
        <w:t>ition</w:t>
      </w:r>
      <w:r w:rsidR="002425FE" w:rsidRPr="008A6044">
        <w:rPr>
          <w:rFonts w:ascii="Times New Roman" w:hAnsi="Times New Roman" w:cs="Times New Roman"/>
        </w:rPr>
        <w:t xml:space="preserve"> (Chicago: Chicago University Press, 1995)</w:t>
      </w:r>
      <w:r w:rsidR="005F6E4E" w:rsidRPr="008A6044">
        <w:rPr>
          <w:rFonts w:ascii="Times New Roman" w:hAnsi="Times New Roman" w:cs="Times New Roman"/>
        </w:rPr>
        <w:t xml:space="preserve"> p. </w:t>
      </w:r>
      <w:r w:rsidR="004238F6" w:rsidRPr="008A6044">
        <w:rPr>
          <w:rFonts w:ascii="Times New Roman" w:hAnsi="Times New Roman" w:cs="Times New Roman"/>
        </w:rPr>
        <w:t>161</w:t>
      </w:r>
    </w:p>
    <w:p w14:paraId="5BA804D9" w14:textId="518D78C8" w:rsidR="00617FBE" w:rsidRPr="008A6044" w:rsidRDefault="00617FBE">
      <w:pPr>
        <w:pStyle w:val="FootnoteText"/>
        <w:rPr>
          <w:rFonts w:ascii="Times New Roman" w:hAnsi="Times New Roman" w:cs="Times New Roman"/>
        </w:rPr>
      </w:pPr>
    </w:p>
  </w:footnote>
  <w:footnote w:id="6">
    <w:p w14:paraId="162DFC9F" w14:textId="7E9A7FD3" w:rsidR="004238F6" w:rsidRPr="008A6044" w:rsidRDefault="004238F6">
      <w:pPr>
        <w:pStyle w:val="FootnoteText"/>
        <w:rPr>
          <w:rFonts w:ascii="Times New Roman" w:hAnsi="Times New Roman" w:cs="Times New Roman"/>
        </w:rPr>
      </w:pPr>
      <w:r w:rsidRPr="008A6044">
        <w:rPr>
          <w:rStyle w:val="FootnoteReference"/>
          <w:rFonts w:ascii="Times New Roman" w:hAnsi="Times New Roman" w:cs="Times New Roman"/>
        </w:rPr>
        <w:footnoteRef/>
      </w:r>
      <w:r w:rsidRPr="008A6044">
        <w:rPr>
          <w:rFonts w:ascii="Times New Roman" w:hAnsi="Times New Roman" w:cs="Times New Roman"/>
        </w:rPr>
        <w:t xml:space="preserve"> </w:t>
      </w:r>
      <w:r w:rsidR="00A92D83" w:rsidRPr="008A6044">
        <w:rPr>
          <w:rFonts w:ascii="Times New Roman" w:hAnsi="Times New Roman" w:cs="Times New Roman"/>
        </w:rPr>
        <w:t>Lentricchia and McLaughlin</w:t>
      </w:r>
      <w:r w:rsidR="006B7B62" w:rsidRPr="008A6044">
        <w:rPr>
          <w:rFonts w:ascii="Times New Roman" w:hAnsi="Times New Roman" w:cs="Times New Roman"/>
        </w:rPr>
        <w:t xml:space="preserve">, p. </w:t>
      </w:r>
      <w:r w:rsidR="000C488D" w:rsidRPr="008A6044">
        <w:rPr>
          <w:rFonts w:ascii="Times New Roman" w:hAnsi="Times New Roman" w:cs="Times New Roman"/>
        </w:rPr>
        <w:t>150</w:t>
      </w:r>
    </w:p>
    <w:p w14:paraId="587992B9" w14:textId="77777777" w:rsidR="004238F6" w:rsidRPr="008A6044" w:rsidRDefault="004238F6">
      <w:pPr>
        <w:pStyle w:val="FootnoteText"/>
        <w:rPr>
          <w:rFonts w:ascii="Times New Roman" w:hAnsi="Times New Roman" w:cs="Times New Roman"/>
        </w:rPr>
      </w:pPr>
    </w:p>
  </w:footnote>
  <w:footnote w:id="7">
    <w:p w14:paraId="7DB03447" w14:textId="0826C1A2" w:rsidR="00EB7277" w:rsidRPr="008A6044" w:rsidRDefault="00EB7277">
      <w:pPr>
        <w:pStyle w:val="FootnoteText"/>
        <w:rPr>
          <w:rFonts w:ascii="Times New Roman" w:hAnsi="Times New Roman" w:cs="Times New Roman"/>
        </w:rPr>
      </w:pPr>
      <w:r w:rsidRPr="008A6044">
        <w:rPr>
          <w:rStyle w:val="FootnoteReference"/>
          <w:rFonts w:ascii="Times New Roman" w:hAnsi="Times New Roman" w:cs="Times New Roman"/>
        </w:rPr>
        <w:footnoteRef/>
      </w:r>
      <w:r w:rsidRPr="008A6044">
        <w:rPr>
          <w:rFonts w:ascii="Times New Roman" w:hAnsi="Times New Roman" w:cs="Times New Roman"/>
        </w:rPr>
        <w:t xml:space="preserve"> </w:t>
      </w:r>
      <w:r w:rsidR="00A92D83" w:rsidRPr="008A6044">
        <w:rPr>
          <w:rFonts w:ascii="Times New Roman" w:hAnsi="Times New Roman" w:cs="Times New Roman"/>
        </w:rPr>
        <w:t>Lentricchia and McLaughlin</w:t>
      </w:r>
      <w:r w:rsidR="00B349C0" w:rsidRPr="008A6044">
        <w:rPr>
          <w:rFonts w:ascii="Times New Roman" w:hAnsi="Times New Roman" w:cs="Times New Roman"/>
        </w:rPr>
        <w:t>, p. 150</w:t>
      </w:r>
    </w:p>
  </w:footnote>
  <w:footnote w:id="8">
    <w:p w14:paraId="76623B91" w14:textId="0B4454E4" w:rsidR="00D56ED0" w:rsidRDefault="00D56ED0">
      <w:pPr>
        <w:pStyle w:val="FootnoteText"/>
        <w:rPr>
          <w:rFonts w:ascii="Times New Roman" w:hAnsi="Times New Roman" w:cs="Times New Roman"/>
        </w:rPr>
      </w:pPr>
      <w:r>
        <w:rPr>
          <w:rStyle w:val="FootnoteReference"/>
        </w:rPr>
        <w:footnoteRef/>
      </w:r>
      <w:r>
        <w:t xml:space="preserve"> </w:t>
      </w:r>
      <w:r w:rsidRPr="008A6044">
        <w:rPr>
          <w:rFonts w:ascii="Times New Roman" w:hAnsi="Times New Roman" w:cs="Times New Roman"/>
        </w:rPr>
        <w:t xml:space="preserve">William Shakespeare, </w:t>
      </w:r>
      <w:r w:rsidRPr="008A6044">
        <w:rPr>
          <w:rFonts w:ascii="Times New Roman" w:hAnsi="Times New Roman" w:cs="Times New Roman"/>
          <w:i/>
          <w:iCs/>
        </w:rPr>
        <w:t>The Tragedy of King Richard III</w:t>
      </w:r>
      <w:r w:rsidRPr="008A6044">
        <w:rPr>
          <w:rFonts w:ascii="Times New Roman" w:hAnsi="Times New Roman" w:cs="Times New Roman"/>
        </w:rPr>
        <w:t xml:space="preserve">, edited by George MacDonald (London: Blackie and Son, 195?) p. </w:t>
      </w:r>
      <w:proofErr w:type="gramStart"/>
      <w:r w:rsidRPr="008A6044">
        <w:rPr>
          <w:rFonts w:ascii="Times New Roman" w:hAnsi="Times New Roman" w:cs="Times New Roman"/>
        </w:rPr>
        <w:t>104</w:t>
      </w:r>
      <w:proofErr w:type="gramEnd"/>
    </w:p>
    <w:p w14:paraId="668F1E13" w14:textId="77777777" w:rsidR="00D56ED0" w:rsidRDefault="00D56ED0">
      <w:pPr>
        <w:pStyle w:val="FootnoteText"/>
      </w:pPr>
    </w:p>
  </w:footnote>
  <w:footnote w:id="9">
    <w:p w14:paraId="7E2C89E7" w14:textId="77777777" w:rsidR="008A62E6" w:rsidRPr="008A6044" w:rsidRDefault="008A62E6" w:rsidP="008A62E6">
      <w:pPr>
        <w:pStyle w:val="FootnoteText"/>
        <w:rPr>
          <w:rFonts w:ascii="Times New Roman" w:hAnsi="Times New Roman" w:cs="Times New Roman"/>
        </w:rPr>
      </w:pPr>
      <w:r>
        <w:rPr>
          <w:rStyle w:val="FootnoteReference"/>
        </w:rPr>
        <w:footnoteRef/>
      </w:r>
      <w:r>
        <w:t xml:space="preserve"> </w:t>
      </w:r>
      <w:r w:rsidRPr="008A6044">
        <w:rPr>
          <w:rFonts w:ascii="Times New Roman" w:hAnsi="Times New Roman" w:cs="Times New Roman"/>
        </w:rPr>
        <w:t>Marías, p. 217</w:t>
      </w:r>
    </w:p>
    <w:p w14:paraId="439DB336" w14:textId="0DB35B08" w:rsidR="008A62E6" w:rsidRDefault="008A62E6">
      <w:pPr>
        <w:pStyle w:val="FootnoteText"/>
      </w:pPr>
    </w:p>
  </w:footnote>
  <w:footnote w:id="10">
    <w:p w14:paraId="7B973BC4" w14:textId="47FE2C45" w:rsidR="00A92D83" w:rsidRPr="008A6044" w:rsidRDefault="00A92D83">
      <w:pPr>
        <w:pStyle w:val="FootnoteText"/>
        <w:rPr>
          <w:rFonts w:ascii="Times New Roman" w:hAnsi="Times New Roman" w:cs="Times New Roman"/>
        </w:rPr>
      </w:pPr>
      <w:r w:rsidRPr="008A6044">
        <w:rPr>
          <w:rStyle w:val="FootnoteReference"/>
          <w:rFonts w:ascii="Times New Roman" w:hAnsi="Times New Roman" w:cs="Times New Roman"/>
        </w:rPr>
        <w:footnoteRef/>
      </w:r>
      <w:r w:rsidRPr="008A6044">
        <w:rPr>
          <w:rFonts w:ascii="Times New Roman" w:hAnsi="Times New Roman" w:cs="Times New Roman"/>
        </w:rPr>
        <w:t xml:space="preserve"> Marías, p.  </w:t>
      </w:r>
      <w:r w:rsidR="00C73658" w:rsidRPr="008A6044">
        <w:rPr>
          <w:rFonts w:ascii="Times New Roman" w:hAnsi="Times New Roman" w:cs="Times New Roman"/>
        </w:rPr>
        <w:t>79</w:t>
      </w:r>
      <w:r w:rsidR="00503CB7" w:rsidRPr="008A6044">
        <w:rPr>
          <w:rFonts w:ascii="Times New Roman" w:hAnsi="Times New Roman" w:cs="Times New Roman"/>
        </w:rPr>
        <w:t xml:space="preserve"> &amp; </w:t>
      </w:r>
      <w:r w:rsidR="0089262D" w:rsidRPr="008A6044">
        <w:rPr>
          <w:rFonts w:ascii="Times New Roman" w:hAnsi="Times New Roman" w:cs="Times New Roman"/>
        </w:rPr>
        <w:t>144</w:t>
      </w:r>
    </w:p>
    <w:p w14:paraId="08EB0622" w14:textId="77777777" w:rsidR="00A92D83" w:rsidRPr="008A6044" w:rsidRDefault="00A92D83">
      <w:pPr>
        <w:pStyle w:val="FootnoteText"/>
        <w:rPr>
          <w:rFonts w:ascii="Times New Roman" w:hAnsi="Times New Roman" w:cs="Times New Roman"/>
        </w:rPr>
      </w:pPr>
    </w:p>
  </w:footnote>
  <w:footnote w:id="11">
    <w:p w14:paraId="45A94699" w14:textId="7CF52975" w:rsidR="00604EAF" w:rsidRPr="008A6044" w:rsidRDefault="00604EAF">
      <w:pPr>
        <w:pStyle w:val="FootnoteText"/>
        <w:rPr>
          <w:rFonts w:ascii="Times New Roman" w:hAnsi="Times New Roman" w:cs="Times New Roman"/>
        </w:rPr>
      </w:pPr>
      <w:r w:rsidRPr="008A6044">
        <w:rPr>
          <w:rStyle w:val="FootnoteReference"/>
          <w:rFonts w:ascii="Times New Roman" w:hAnsi="Times New Roman" w:cs="Times New Roman"/>
        </w:rPr>
        <w:footnoteRef/>
      </w:r>
      <w:r w:rsidRPr="008A6044">
        <w:rPr>
          <w:rFonts w:ascii="Times New Roman" w:hAnsi="Times New Roman" w:cs="Times New Roman"/>
        </w:rPr>
        <w:t xml:space="preserve"> Marías, p.</w:t>
      </w:r>
      <w:r w:rsidR="008356FF" w:rsidRPr="008A6044">
        <w:rPr>
          <w:rFonts w:ascii="Times New Roman" w:hAnsi="Times New Roman" w:cs="Times New Roman"/>
        </w:rPr>
        <w:t xml:space="preserve"> </w:t>
      </w:r>
      <w:r w:rsidR="00D73921" w:rsidRPr="008A6044">
        <w:rPr>
          <w:rFonts w:ascii="Times New Roman" w:hAnsi="Times New Roman" w:cs="Times New Roman"/>
        </w:rPr>
        <w:t xml:space="preserve">31 &amp; </w:t>
      </w:r>
      <w:r w:rsidR="00D425FB" w:rsidRPr="008A6044">
        <w:rPr>
          <w:rFonts w:ascii="Times New Roman" w:hAnsi="Times New Roman" w:cs="Times New Roman"/>
        </w:rPr>
        <w:t>53</w:t>
      </w:r>
    </w:p>
    <w:p w14:paraId="49A35779" w14:textId="77777777" w:rsidR="00A92D83" w:rsidRPr="008A6044" w:rsidRDefault="00A92D83">
      <w:pPr>
        <w:pStyle w:val="FootnoteText"/>
        <w:rPr>
          <w:rFonts w:ascii="Times New Roman" w:hAnsi="Times New Roman" w:cs="Times New Roman"/>
        </w:rPr>
      </w:pPr>
    </w:p>
  </w:footnote>
  <w:footnote w:id="12">
    <w:p w14:paraId="2DC73FF2" w14:textId="5FE21253" w:rsidR="00DA262C" w:rsidRDefault="00DA262C">
      <w:pPr>
        <w:pStyle w:val="FootnoteText"/>
        <w:rPr>
          <w:rFonts w:ascii="Times New Roman" w:hAnsi="Times New Roman" w:cs="Times New Roman"/>
        </w:rPr>
      </w:pPr>
      <w:r>
        <w:rPr>
          <w:rStyle w:val="FootnoteReference"/>
        </w:rPr>
        <w:footnoteRef/>
      </w:r>
      <w:r>
        <w:t xml:space="preserve"> </w:t>
      </w:r>
      <w:r w:rsidRPr="008A6044">
        <w:rPr>
          <w:rFonts w:ascii="Times New Roman" w:hAnsi="Times New Roman" w:cs="Times New Roman"/>
        </w:rPr>
        <w:t>Lentricchia and McLaughlin, p. 161</w:t>
      </w:r>
    </w:p>
    <w:p w14:paraId="520E086D" w14:textId="77777777" w:rsidR="00DA262C" w:rsidRDefault="00DA262C">
      <w:pPr>
        <w:pStyle w:val="FootnoteText"/>
      </w:pPr>
    </w:p>
  </w:footnote>
  <w:footnote w:id="13">
    <w:p w14:paraId="6FFBA7EA" w14:textId="77777777" w:rsidR="00F11E9F" w:rsidRPr="008A6044" w:rsidRDefault="00F11E9F" w:rsidP="00F11E9F">
      <w:pPr>
        <w:pStyle w:val="FootnoteText"/>
        <w:tabs>
          <w:tab w:val="left" w:pos="1772"/>
        </w:tabs>
        <w:rPr>
          <w:rFonts w:ascii="Times New Roman" w:hAnsi="Times New Roman" w:cs="Times New Roman"/>
        </w:rPr>
      </w:pPr>
      <w:r>
        <w:rPr>
          <w:rStyle w:val="FootnoteReference"/>
        </w:rPr>
        <w:footnoteRef/>
      </w:r>
      <w:r>
        <w:t xml:space="preserve"> </w:t>
      </w:r>
      <w:r w:rsidRPr="008A6044">
        <w:rPr>
          <w:rFonts w:ascii="Times New Roman" w:hAnsi="Times New Roman" w:cs="Times New Roman"/>
        </w:rPr>
        <w:t xml:space="preserve">Marías, p. </w:t>
      </w:r>
      <w:r>
        <w:rPr>
          <w:rFonts w:ascii="Times New Roman" w:hAnsi="Times New Roman" w:cs="Times New Roman"/>
        </w:rPr>
        <w:t>5 (+)</w:t>
      </w:r>
    </w:p>
    <w:p w14:paraId="0F3BD3FF" w14:textId="2465B52B" w:rsidR="00F11E9F" w:rsidRDefault="00F11E9F">
      <w:pPr>
        <w:pStyle w:val="FootnoteText"/>
      </w:pPr>
    </w:p>
  </w:footnote>
  <w:footnote w:id="14">
    <w:p w14:paraId="52FA757C" w14:textId="69A89D21" w:rsidR="00B400C5" w:rsidRPr="008A6044" w:rsidRDefault="00B400C5">
      <w:pPr>
        <w:pStyle w:val="FootnoteText"/>
        <w:rPr>
          <w:rFonts w:ascii="Times New Roman" w:hAnsi="Times New Roman" w:cs="Times New Roman"/>
        </w:rPr>
      </w:pPr>
      <w:r w:rsidRPr="008A6044">
        <w:rPr>
          <w:rStyle w:val="FootnoteReference"/>
          <w:rFonts w:ascii="Times New Roman" w:hAnsi="Times New Roman" w:cs="Times New Roman"/>
        </w:rPr>
        <w:footnoteRef/>
      </w:r>
      <w:r w:rsidRPr="008A6044">
        <w:rPr>
          <w:rFonts w:ascii="Times New Roman" w:hAnsi="Times New Roman" w:cs="Times New Roman"/>
        </w:rPr>
        <w:t xml:space="preserve"> Marías, p.</w:t>
      </w:r>
      <w:r w:rsidR="0089262D" w:rsidRPr="008A6044">
        <w:rPr>
          <w:rFonts w:ascii="Times New Roman" w:hAnsi="Times New Roman" w:cs="Times New Roman"/>
        </w:rPr>
        <w:t xml:space="preserve"> </w:t>
      </w:r>
      <w:r w:rsidR="005E57D5" w:rsidRPr="008A6044">
        <w:rPr>
          <w:rFonts w:ascii="Times New Roman" w:hAnsi="Times New Roman" w:cs="Times New Roman"/>
        </w:rPr>
        <w:t>89</w:t>
      </w:r>
      <w:r w:rsidRPr="008A6044">
        <w:rPr>
          <w:rFonts w:ascii="Times New Roman" w:hAnsi="Times New Roman" w:cs="Times New Roman"/>
        </w:rPr>
        <w:t xml:space="preserve"> (</w:t>
      </w:r>
      <w:r w:rsidR="002B23F5" w:rsidRPr="008A6044">
        <w:rPr>
          <w:rFonts w:ascii="Times New Roman" w:hAnsi="Times New Roman" w:cs="Times New Roman"/>
        </w:rPr>
        <w:t xml:space="preserve">Ruiberriz) </w:t>
      </w:r>
      <w:r w:rsidRPr="008A6044">
        <w:rPr>
          <w:rFonts w:ascii="Times New Roman" w:hAnsi="Times New Roman" w:cs="Times New Roman"/>
        </w:rPr>
        <w:t>and p.</w:t>
      </w:r>
      <w:r w:rsidR="002B23F5" w:rsidRPr="008A6044">
        <w:rPr>
          <w:rFonts w:ascii="Times New Roman" w:hAnsi="Times New Roman" w:cs="Times New Roman"/>
        </w:rPr>
        <w:t xml:space="preserve"> </w:t>
      </w:r>
      <w:r w:rsidR="00867AAF" w:rsidRPr="008A6044">
        <w:rPr>
          <w:rFonts w:ascii="Times New Roman" w:hAnsi="Times New Roman" w:cs="Times New Roman"/>
        </w:rPr>
        <w:t xml:space="preserve">5 (+) </w:t>
      </w:r>
      <w:r w:rsidR="002B23F5" w:rsidRPr="008A6044">
        <w:rPr>
          <w:rFonts w:ascii="Times New Roman" w:hAnsi="Times New Roman" w:cs="Times New Roman"/>
        </w:rPr>
        <w:t>(Affair)</w:t>
      </w:r>
    </w:p>
    <w:p w14:paraId="50C13ED7" w14:textId="77777777" w:rsidR="00B400C5" w:rsidRPr="008A6044" w:rsidRDefault="00B400C5">
      <w:pPr>
        <w:pStyle w:val="FootnoteText"/>
        <w:rPr>
          <w:rFonts w:ascii="Times New Roman" w:hAnsi="Times New Roman" w:cs="Times New Roman"/>
        </w:rPr>
      </w:pPr>
    </w:p>
  </w:footnote>
  <w:footnote w:id="15">
    <w:p w14:paraId="4173446F" w14:textId="04A0E218" w:rsidR="00EE6E72" w:rsidRPr="008A6044" w:rsidRDefault="00EE6E72">
      <w:pPr>
        <w:pStyle w:val="FootnoteText"/>
        <w:rPr>
          <w:rFonts w:ascii="Times New Roman" w:hAnsi="Times New Roman" w:cs="Times New Roman"/>
        </w:rPr>
      </w:pPr>
      <w:r w:rsidRPr="008A6044">
        <w:rPr>
          <w:rStyle w:val="FootnoteReference"/>
          <w:rFonts w:ascii="Times New Roman" w:hAnsi="Times New Roman" w:cs="Times New Roman"/>
        </w:rPr>
        <w:footnoteRef/>
      </w:r>
      <w:r w:rsidRPr="008A6044">
        <w:rPr>
          <w:rFonts w:ascii="Times New Roman" w:hAnsi="Times New Roman" w:cs="Times New Roman"/>
        </w:rPr>
        <w:t xml:space="preserve"> Marías, p. </w:t>
      </w:r>
      <w:r w:rsidR="00867AAF" w:rsidRPr="008A6044">
        <w:rPr>
          <w:rFonts w:ascii="Times New Roman" w:hAnsi="Times New Roman" w:cs="Times New Roman"/>
        </w:rPr>
        <w:t>144</w:t>
      </w:r>
      <w:r w:rsidR="00604EAF" w:rsidRPr="008A6044">
        <w:rPr>
          <w:rFonts w:ascii="Times New Roman" w:hAnsi="Times New Roman" w:cs="Times New Roman"/>
        </w:rPr>
        <w:t xml:space="preserve"> </w:t>
      </w:r>
      <w:r w:rsidRPr="008A6044">
        <w:rPr>
          <w:rFonts w:ascii="Times New Roman" w:hAnsi="Times New Roman" w:cs="Times New Roman"/>
        </w:rPr>
        <w:t xml:space="preserve"> </w:t>
      </w:r>
    </w:p>
    <w:p w14:paraId="66FED1CD" w14:textId="77777777" w:rsidR="00EE6E72" w:rsidRPr="008A6044" w:rsidRDefault="00EE6E72">
      <w:pPr>
        <w:pStyle w:val="FootnoteText"/>
        <w:rPr>
          <w:rFonts w:ascii="Times New Roman" w:hAnsi="Times New Roman" w:cs="Times New Roman"/>
        </w:rPr>
      </w:pPr>
    </w:p>
  </w:footnote>
  <w:footnote w:id="16">
    <w:p w14:paraId="54E640DE" w14:textId="2B0E63CC" w:rsidR="00FA08CA" w:rsidRPr="008A6044" w:rsidRDefault="00FA08CA">
      <w:pPr>
        <w:pStyle w:val="FootnoteText"/>
        <w:rPr>
          <w:rFonts w:ascii="Times New Roman" w:hAnsi="Times New Roman" w:cs="Times New Roman"/>
        </w:rPr>
      </w:pPr>
      <w:r w:rsidRPr="008A6044">
        <w:rPr>
          <w:rStyle w:val="FootnoteReference"/>
          <w:rFonts w:ascii="Times New Roman" w:hAnsi="Times New Roman" w:cs="Times New Roman"/>
        </w:rPr>
        <w:footnoteRef/>
      </w:r>
      <w:r w:rsidRPr="008A6044">
        <w:rPr>
          <w:rFonts w:ascii="Times New Roman" w:hAnsi="Times New Roman" w:cs="Times New Roman"/>
        </w:rPr>
        <w:t xml:space="preserve"> Lori Gottlieb,</w:t>
      </w:r>
      <w:r w:rsidRPr="008A6044">
        <w:rPr>
          <w:rFonts w:ascii="Times New Roman" w:hAnsi="Times New Roman" w:cs="Times New Roman"/>
          <w:i/>
          <w:iCs/>
        </w:rPr>
        <w:t xml:space="preserve"> </w:t>
      </w:r>
      <w:r w:rsidR="00915721" w:rsidRPr="008A6044">
        <w:rPr>
          <w:rFonts w:ascii="Times New Roman" w:hAnsi="Times New Roman" w:cs="Times New Roman"/>
          <w:i/>
          <w:iCs/>
        </w:rPr>
        <w:t>Maybe You Should Talk to Someone</w:t>
      </w:r>
      <w:r w:rsidR="00915721" w:rsidRPr="008A6044">
        <w:rPr>
          <w:rFonts w:ascii="Times New Roman" w:hAnsi="Times New Roman" w:cs="Times New Roman"/>
        </w:rPr>
        <w:t>, (</w:t>
      </w:r>
      <w:r w:rsidR="00B400C5" w:rsidRPr="008A6044">
        <w:rPr>
          <w:rFonts w:ascii="Times New Roman" w:hAnsi="Times New Roman" w:cs="Times New Roman"/>
        </w:rPr>
        <w:t>Houghton Mifflin Harcourt</w:t>
      </w:r>
      <w:r w:rsidR="00F758D1" w:rsidRPr="008A6044">
        <w:rPr>
          <w:rFonts w:ascii="Times New Roman" w:hAnsi="Times New Roman" w:cs="Times New Roman"/>
        </w:rPr>
        <w:t xml:space="preserve">, </w:t>
      </w:r>
      <w:r w:rsidR="00B668AC" w:rsidRPr="008A6044">
        <w:rPr>
          <w:rFonts w:ascii="Times New Roman" w:hAnsi="Times New Roman" w:cs="Times New Roman"/>
        </w:rPr>
        <w:t>2019</w:t>
      </w:r>
      <w:r w:rsidR="00915721" w:rsidRPr="008A6044">
        <w:rPr>
          <w:rFonts w:ascii="Times New Roman" w:hAnsi="Times New Roman" w:cs="Times New Roman"/>
        </w:rPr>
        <w:t>) p. 13</w:t>
      </w:r>
    </w:p>
    <w:p w14:paraId="0CD767C5" w14:textId="77777777" w:rsidR="00FA08CA" w:rsidRPr="008A6044" w:rsidRDefault="00FA08CA">
      <w:pPr>
        <w:pStyle w:val="FootnoteText"/>
        <w:rPr>
          <w:rFonts w:ascii="Times New Roman" w:hAnsi="Times New Roman" w:cs="Times New Roman"/>
        </w:rPr>
      </w:pPr>
    </w:p>
  </w:footnote>
  <w:footnote w:id="17">
    <w:p w14:paraId="6F669DBE" w14:textId="621761F9" w:rsidR="001C6015" w:rsidRPr="008A6044" w:rsidRDefault="001C6015">
      <w:pPr>
        <w:pStyle w:val="FootnoteText"/>
        <w:rPr>
          <w:rFonts w:ascii="Times New Roman" w:hAnsi="Times New Roman" w:cs="Times New Roman"/>
        </w:rPr>
      </w:pPr>
      <w:r w:rsidRPr="008A6044">
        <w:rPr>
          <w:rStyle w:val="FootnoteReference"/>
          <w:rFonts w:ascii="Times New Roman" w:hAnsi="Times New Roman" w:cs="Times New Roman"/>
        </w:rPr>
        <w:footnoteRef/>
      </w:r>
      <w:r w:rsidRPr="008A6044">
        <w:rPr>
          <w:rFonts w:ascii="Times New Roman" w:hAnsi="Times New Roman" w:cs="Times New Roman"/>
        </w:rPr>
        <w:t xml:space="preserve"> Marías</w:t>
      </w:r>
      <w:r w:rsidR="00FA08CA" w:rsidRPr="008A6044">
        <w:rPr>
          <w:rFonts w:ascii="Times New Roman" w:hAnsi="Times New Roman" w:cs="Times New Roman"/>
        </w:rPr>
        <w:t>, p.</w:t>
      </w:r>
      <w:r w:rsidRPr="008A6044">
        <w:rPr>
          <w:rFonts w:ascii="Times New Roman" w:hAnsi="Times New Roman" w:cs="Times New Roman"/>
        </w:rPr>
        <w:t xml:space="preserve"> </w:t>
      </w:r>
      <w:r w:rsidR="00DE03B4" w:rsidRPr="008A6044">
        <w:rPr>
          <w:rFonts w:ascii="Times New Roman" w:hAnsi="Times New Roman" w:cs="Times New Roman"/>
        </w:rPr>
        <w:t>144</w:t>
      </w:r>
    </w:p>
    <w:p w14:paraId="30476D6D" w14:textId="77777777" w:rsidR="001C6015" w:rsidRPr="008A6044" w:rsidRDefault="001C6015">
      <w:pPr>
        <w:pStyle w:val="FootnoteText"/>
        <w:rPr>
          <w:rFonts w:ascii="Times New Roman" w:hAnsi="Times New Roman" w:cs="Times New Roman"/>
        </w:rPr>
      </w:pPr>
    </w:p>
  </w:footnote>
  <w:footnote w:id="18">
    <w:p w14:paraId="3BEA5EFA" w14:textId="361677A2" w:rsidR="001C6015" w:rsidRPr="008A6044" w:rsidRDefault="001C6015">
      <w:pPr>
        <w:pStyle w:val="FootnoteText"/>
        <w:rPr>
          <w:rFonts w:ascii="Times New Roman" w:hAnsi="Times New Roman" w:cs="Times New Roman"/>
        </w:rPr>
      </w:pPr>
      <w:r w:rsidRPr="008A6044">
        <w:rPr>
          <w:rStyle w:val="FootnoteReference"/>
          <w:rFonts w:ascii="Times New Roman" w:hAnsi="Times New Roman" w:cs="Times New Roman"/>
        </w:rPr>
        <w:footnoteRef/>
      </w:r>
      <w:r w:rsidRPr="008A6044">
        <w:rPr>
          <w:rFonts w:ascii="Times New Roman" w:hAnsi="Times New Roman" w:cs="Times New Roman"/>
        </w:rPr>
        <w:t xml:space="preserve"> Marías, p. </w:t>
      </w:r>
      <w:r w:rsidR="00B123E2" w:rsidRPr="008A6044">
        <w:rPr>
          <w:rFonts w:ascii="Times New Roman" w:hAnsi="Times New Roman" w:cs="Times New Roman"/>
        </w:rPr>
        <w:t>308</w:t>
      </w:r>
    </w:p>
    <w:p w14:paraId="5CA2AA84" w14:textId="77777777" w:rsidR="002B23F5" w:rsidRPr="008A6044" w:rsidRDefault="002B23F5">
      <w:pPr>
        <w:pStyle w:val="FootnoteText"/>
        <w:rPr>
          <w:rFonts w:ascii="Times New Roman" w:hAnsi="Times New Roman" w:cs="Times New Roman"/>
        </w:rPr>
      </w:pPr>
    </w:p>
  </w:footnote>
  <w:footnote w:id="19">
    <w:p w14:paraId="5CD44739" w14:textId="16F84417" w:rsidR="001C6015" w:rsidRPr="008A6044" w:rsidRDefault="001C6015">
      <w:pPr>
        <w:pStyle w:val="FootnoteText"/>
        <w:rPr>
          <w:rFonts w:ascii="Times New Roman" w:hAnsi="Times New Roman" w:cs="Times New Roman"/>
        </w:rPr>
      </w:pPr>
      <w:r w:rsidRPr="008A6044">
        <w:rPr>
          <w:rStyle w:val="FootnoteReference"/>
          <w:rFonts w:ascii="Times New Roman" w:hAnsi="Times New Roman" w:cs="Times New Roman"/>
        </w:rPr>
        <w:footnoteRef/>
      </w:r>
      <w:r w:rsidRPr="008A6044">
        <w:rPr>
          <w:rFonts w:ascii="Times New Roman" w:hAnsi="Times New Roman" w:cs="Times New Roman"/>
        </w:rPr>
        <w:t xml:space="preserve"> Marías, p.</w:t>
      </w:r>
      <w:r w:rsidR="0029450F" w:rsidRPr="008A6044">
        <w:rPr>
          <w:rFonts w:ascii="Times New Roman" w:hAnsi="Times New Roman" w:cs="Times New Roman"/>
        </w:rPr>
        <w:t xml:space="preserve"> 78</w:t>
      </w:r>
    </w:p>
    <w:p w14:paraId="1B15D30A" w14:textId="77777777" w:rsidR="001C6015" w:rsidRPr="008A6044" w:rsidRDefault="001C6015">
      <w:pPr>
        <w:pStyle w:val="FootnoteText"/>
        <w:rPr>
          <w:rFonts w:ascii="Times New Roman" w:hAnsi="Times New Roman" w:cs="Times New Roman"/>
        </w:rPr>
      </w:pPr>
    </w:p>
  </w:footnote>
  <w:footnote w:id="20">
    <w:p w14:paraId="41FF87F7" w14:textId="47153D1F" w:rsidR="00D03046" w:rsidRDefault="00D03046">
      <w:pPr>
        <w:pStyle w:val="FootnoteText"/>
      </w:pPr>
      <w:r w:rsidRPr="00D03046">
        <w:rPr>
          <w:rStyle w:val="FootnoteReference"/>
          <w:rFonts w:ascii="Times New Roman" w:hAnsi="Times New Roman" w:cs="Times New Roman"/>
        </w:rPr>
        <w:footnoteRef/>
      </w:r>
      <w:r w:rsidRPr="00D03046">
        <w:rPr>
          <w:rFonts w:ascii="Times New Roman" w:hAnsi="Times New Roman" w:cs="Times New Roman"/>
        </w:rPr>
        <w:t xml:space="preserve"> </w:t>
      </w:r>
      <w:r w:rsidRPr="008A6044">
        <w:rPr>
          <w:rFonts w:ascii="Times New Roman" w:hAnsi="Times New Roman" w:cs="Times New Roman"/>
        </w:rPr>
        <w:t>Marías, p. 59</w:t>
      </w:r>
    </w:p>
  </w:footnote>
  <w:footnote w:id="21">
    <w:p w14:paraId="3CB32729" w14:textId="77D8A926" w:rsidR="00894F5F" w:rsidRDefault="00894F5F">
      <w:pPr>
        <w:pStyle w:val="FootnoteText"/>
        <w:rPr>
          <w:rFonts w:ascii="Times New Roman" w:hAnsi="Times New Roman" w:cs="Times New Roman"/>
        </w:rPr>
      </w:pPr>
      <w:r w:rsidRPr="00894F5F">
        <w:rPr>
          <w:rStyle w:val="FootnoteReference"/>
          <w:rFonts w:ascii="Times New Roman" w:hAnsi="Times New Roman" w:cs="Times New Roman"/>
        </w:rPr>
        <w:footnoteRef/>
      </w:r>
      <w:r w:rsidRPr="00894F5F">
        <w:rPr>
          <w:rFonts w:ascii="Times New Roman" w:hAnsi="Times New Roman" w:cs="Times New Roman"/>
        </w:rPr>
        <w:t xml:space="preserve"> </w:t>
      </w:r>
      <w:r w:rsidRPr="008A6044">
        <w:rPr>
          <w:rFonts w:ascii="Times New Roman" w:hAnsi="Times New Roman" w:cs="Times New Roman"/>
        </w:rPr>
        <w:t>Marías, p. 62</w:t>
      </w:r>
    </w:p>
    <w:p w14:paraId="4A1C227F" w14:textId="77777777" w:rsidR="00894F5F" w:rsidRPr="00894F5F" w:rsidRDefault="00894F5F">
      <w:pPr>
        <w:pStyle w:val="FootnoteText"/>
        <w:rPr>
          <w:rFonts w:ascii="Times New Roman" w:hAnsi="Times New Roman" w:cs="Times New Roman"/>
        </w:rPr>
      </w:pPr>
    </w:p>
  </w:footnote>
  <w:footnote w:id="22">
    <w:p w14:paraId="29E0822A" w14:textId="20A59E30" w:rsidR="00AD0FAB" w:rsidRPr="001C6015" w:rsidRDefault="00AD0FAB">
      <w:pPr>
        <w:pStyle w:val="FootnoteText"/>
        <w:rPr>
          <w:rFonts w:ascii="Times New Roman" w:hAnsi="Times New Roman" w:cs="Times New Roman"/>
        </w:rPr>
      </w:pPr>
      <w:r w:rsidRPr="008A6044">
        <w:rPr>
          <w:rStyle w:val="FootnoteReference"/>
          <w:rFonts w:ascii="Times New Roman" w:hAnsi="Times New Roman" w:cs="Times New Roman"/>
        </w:rPr>
        <w:footnoteRef/>
      </w:r>
      <w:r w:rsidRPr="008A6044">
        <w:rPr>
          <w:rFonts w:ascii="Times New Roman" w:hAnsi="Times New Roman" w:cs="Times New Roman"/>
        </w:rPr>
        <w:t xml:space="preserve"> </w:t>
      </w:r>
      <w:r w:rsidR="001C6015" w:rsidRPr="008A6044">
        <w:rPr>
          <w:rFonts w:ascii="Times New Roman" w:hAnsi="Times New Roman" w:cs="Times New Roman"/>
        </w:rPr>
        <w:t xml:space="preserve">Marías, p. </w:t>
      </w:r>
      <w:r w:rsidR="00A5437B" w:rsidRPr="008A6044">
        <w:rPr>
          <w:rFonts w:ascii="Times New Roman" w:hAnsi="Times New Roman" w:cs="Times New Roman"/>
        </w:rPr>
        <w:t>208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9D7"/>
    <w:rsid w:val="00021487"/>
    <w:rsid w:val="00045ADF"/>
    <w:rsid w:val="00050610"/>
    <w:rsid w:val="00074857"/>
    <w:rsid w:val="00081DD9"/>
    <w:rsid w:val="000A4A27"/>
    <w:rsid w:val="000C488D"/>
    <w:rsid w:val="000D104A"/>
    <w:rsid w:val="000D3719"/>
    <w:rsid w:val="000D6819"/>
    <w:rsid w:val="000F731C"/>
    <w:rsid w:val="00102C71"/>
    <w:rsid w:val="001050E3"/>
    <w:rsid w:val="00115F59"/>
    <w:rsid w:val="001643E2"/>
    <w:rsid w:val="00176700"/>
    <w:rsid w:val="001A4FCF"/>
    <w:rsid w:val="001B33AE"/>
    <w:rsid w:val="001B3B3D"/>
    <w:rsid w:val="001C2537"/>
    <w:rsid w:val="001C6015"/>
    <w:rsid w:val="001E0EED"/>
    <w:rsid w:val="001F240F"/>
    <w:rsid w:val="00204050"/>
    <w:rsid w:val="00206C6D"/>
    <w:rsid w:val="00223042"/>
    <w:rsid w:val="0022389A"/>
    <w:rsid w:val="002425FE"/>
    <w:rsid w:val="00257E38"/>
    <w:rsid w:val="00274457"/>
    <w:rsid w:val="00274E3E"/>
    <w:rsid w:val="00275B32"/>
    <w:rsid w:val="002764C1"/>
    <w:rsid w:val="00277CF5"/>
    <w:rsid w:val="0029450F"/>
    <w:rsid w:val="00297398"/>
    <w:rsid w:val="002B23F5"/>
    <w:rsid w:val="002C7DAF"/>
    <w:rsid w:val="003274F9"/>
    <w:rsid w:val="003372BD"/>
    <w:rsid w:val="003D0EA2"/>
    <w:rsid w:val="003E48B5"/>
    <w:rsid w:val="003F094B"/>
    <w:rsid w:val="004238F6"/>
    <w:rsid w:val="004721A8"/>
    <w:rsid w:val="0048017D"/>
    <w:rsid w:val="004909D7"/>
    <w:rsid w:val="004953AA"/>
    <w:rsid w:val="004C221E"/>
    <w:rsid w:val="004C5084"/>
    <w:rsid w:val="004D420C"/>
    <w:rsid w:val="004F1783"/>
    <w:rsid w:val="00503CB7"/>
    <w:rsid w:val="005107AE"/>
    <w:rsid w:val="00521653"/>
    <w:rsid w:val="0052310F"/>
    <w:rsid w:val="005366D1"/>
    <w:rsid w:val="00556A03"/>
    <w:rsid w:val="00564EBE"/>
    <w:rsid w:val="005719E3"/>
    <w:rsid w:val="005803CC"/>
    <w:rsid w:val="0058068E"/>
    <w:rsid w:val="00595B10"/>
    <w:rsid w:val="005A1E70"/>
    <w:rsid w:val="005C578C"/>
    <w:rsid w:val="005E57D5"/>
    <w:rsid w:val="005E60D4"/>
    <w:rsid w:val="005F6E4E"/>
    <w:rsid w:val="00604EAF"/>
    <w:rsid w:val="00617FBE"/>
    <w:rsid w:val="00651F9A"/>
    <w:rsid w:val="00666975"/>
    <w:rsid w:val="006849E3"/>
    <w:rsid w:val="006A33EB"/>
    <w:rsid w:val="006A3F17"/>
    <w:rsid w:val="006B7291"/>
    <w:rsid w:val="006B7B62"/>
    <w:rsid w:val="006D6A04"/>
    <w:rsid w:val="006D7796"/>
    <w:rsid w:val="006F3F7F"/>
    <w:rsid w:val="006F7BFD"/>
    <w:rsid w:val="00722D43"/>
    <w:rsid w:val="007242C8"/>
    <w:rsid w:val="00736897"/>
    <w:rsid w:val="00743D47"/>
    <w:rsid w:val="00756525"/>
    <w:rsid w:val="00775EED"/>
    <w:rsid w:val="00785B84"/>
    <w:rsid w:val="007D6020"/>
    <w:rsid w:val="007E7727"/>
    <w:rsid w:val="007F1C69"/>
    <w:rsid w:val="0083470F"/>
    <w:rsid w:val="008356FF"/>
    <w:rsid w:val="008417C4"/>
    <w:rsid w:val="00867AAF"/>
    <w:rsid w:val="00875FCB"/>
    <w:rsid w:val="0089262D"/>
    <w:rsid w:val="00893980"/>
    <w:rsid w:val="00894F5F"/>
    <w:rsid w:val="008966F7"/>
    <w:rsid w:val="008A6044"/>
    <w:rsid w:val="008A62E6"/>
    <w:rsid w:val="008B4A4E"/>
    <w:rsid w:val="008D3D7E"/>
    <w:rsid w:val="008E0EC6"/>
    <w:rsid w:val="008E7C39"/>
    <w:rsid w:val="009121D9"/>
    <w:rsid w:val="00915721"/>
    <w:rsid w:val="00927B6A"/>
    <w:rsid w:val="00941BF5"/>
    <w:rsid w:val="0094275A"/>
    <w:rsid w:val="00972F94"/>
    <w:rsid w:val="009A00C3"/>
    <w:rsid w:val="009A6D34"/>
    <w:rsid w:val="009D181E"/>
    <w:rsid w:val="009E6E51"/>
    <w:rsid w:val="00A00DEF"/>
    <w:rsid w:val="00A34549"/>
    <w:rsid w:val="00A5437B"/>
    <w:rsid w:val="00A54B97"/>
    <w:rsid w:val="00A64C0A"/>
    <w:rsid w:val="00A72F6A"/>
    <w:rsid w:val="00A85764"/>
    <w:rsid w:val="00A868B0"/>
    <w:rsid w:val="00A92D83"/>
    <w:rsid w:val="00AA25FF"/>
    <w:rsid w:val="00AD0FAB"/>
    <w:rsid w:val="00AD7E13"/>
    <w:rsid w:val="00AE2224"/>
    <w:rsid w:val="00AE77D1"/>
    <w:rsid w:val="00B123E2"/>
    <w:rsid w:val="00B16416"/>
    <w:rsid w:val="00B349C0"/>
    <w:rsid w:val="00B400C5"/>
    <w:rsid w:val="00B51D9C"/>
    <w:rsid w:val="00B51F03"/>
    <w:rsid w:val="00B61347"/>
    <w:rsid w:val="00B64C17"/>
    <w:rsid w:val="00B668AC"/>
    <w:rsid w:val="00B81DEC"/>
    <w:rsid w:val="00B8333E"/>
    <w:rsid w:val="00B83354"/>
    <w:rsid w:val="00B94EA9"/>
    <w:rsid w:val="00B952A6"/>
    <w:rsid w:val="00B95572"/>
    <w:rsid w:val="00B96242"/>
    <w:rsid w:val="00BA1325"/>
    <w:rsid w:val="00BA3B45"/>
    <w:rsid w:val="00BB508B"/>
    <w:rsid w:val="00BB7E36"/>
    <w:rsid w:val="00BC3D17"/>
    <w:rsid w:val="00BD674A"/>
    <w:rsid w:val="00BF05A7"/>
    <w:rsid w:val="00BF4E22"/>
    <w:rsid w:val="00C00CFC"/>
    <w:rsid w:val="00C41523"/>
    <w:rsid w:val="00C44DCD"/>
    <w:rsid w:val="00C46EC6"/>
    <w:rsid w:val="00C60AAC"/>
    <w:rsid w:val="00C61F31"/>
    <w:rsid w:val="00C73658"/>
    <w:rsid w:val="00CB0760"/>
    <w:rsid w:val="00CD4B9C"/>
    <w:rsid w:val="00D03046"/>
    <w:rsid w:val="00D11973"/>
    <w:rsid w:val="00D15664"/>
    <w:rsid w:val="00D3540A"/>
    <w:rsid w:val="00D425FB"/>
    <w:rsid w:val="00D56DD1"/>
    <w:rsid w:val="00D56ED0"/>
    <w:rsid w:val="00D67D7B"/>
    <w:rsid w:val="00D73921"/>
    <w:rsid w:val="00D7705A"/>
    <w:rsid w:val="00DA262C"/>
    <w:rsid w:val="00DB1393"/>
    <w:rsid w:val="00DE03B4"/>
    <w:rsid w:val="00DE6EFD"/>
    <w:rsid w:val="00DF021D"/>
    <w:rsid w:val="00DF5D7C"/>
    <w:rsid w:val="00E11D4F"/>
    <w:rsid w:val="00E1333C"/>
    <w:rsid w:val="00E25C62"/>
    <w:rsid w:val="00E25D60"/>
    <w:rsid w:val="00E32E87"/>
    <w:rsid w:val="00E61161"/>
    <w:rsid w:val="00E87A18"/>
    <w:rsid w:val="00EA5DB4"/>
    <w:rsid w:val="00EB4B82"/>
    <w:rsid w:val="00EB7277"/>
    <w:rsid w:val="00EC0123"/>
    <w:rsid w:val="00ED3639"/>
    <w:rsid w:val="00EE6E72"/>
    <w:rsid w:val="00F04CDC"/>
    <w:rsid w:val="00F11E9F"/>
    <w:rsid w:val="00F47F08"/>
    <w:rsid w:val="00F61980"/>
    <w:rsid w:val="00F639A0"/>
    <w:rsid w:val="00F758D1"/>
    <w:rsid w:val="00F801A6"/>
    <w:rsid w:val="00FA08CA"/>
    <w:rsid w:val="00FB6FAA"/>
    <w:rsid w:val="00FC27C3"/>
    <w:rsid w:val="00FD4F51"/>
    <w:rsid w:val="00FE1947"/>
    <w:rsid w:val="00FF3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83230E"/>
  <w15:chartTrackingRefBased/>
  <w15:docId w15:val="{51F7CE1B-EFAA-F843-B19D-54F531245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B6A"/>
  </w:style>
  <w:style w:type="paragraph" w:styleId="Heading1">
    <w:name w:val="heading 1"/>
    <w:basedOn w:val="Normal"/>
    <w:next w:val="Normal"/>
    <w:link w:val="Heading1Char"/>
    <w:uiPriority w:val="9"/>
    <w:qFormat/>
    <w:rsid w:val="004909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09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09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9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9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9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9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9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9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27B6A"/>
    <w:pPr>
      <w:spacing w:after="0" w:line="240" w:lineRule="auto"/>
      <w:contextualSpacing/>
      <w:jc w:val="center"/>
    </w:pPr>
    <w:rPr>
      <w:rFonts w:ascii="Times New Roman" w:eastAsiaTheme="majorEastAsia" w:hAnsi="Times New Roman" w:cs="Times New Roman"/>
      <w:spacing w:val="-10"/>
      <w:kern w:val="28"/>
      <w:sz w:val="96"/>
      <w:szCs w:val="96"/>
    </w:rPr>
  </w:style>
  <w:style w:type="character" w:customStyle="1" w:styleId="TitleChar">
    <w:name w:val="Title Char"/>
    <w:basedOn w:val="DefaultParagraphFont"/>
    <w:link w:val="Title"/>
    <w:uiPriority w:val="10"/>
    <w:rsid w:val="00927B6A"/>
    <w:rPr>
      <w:rFonts w:ascii="Times New Roman" w:eastAsiaTheme="majorEastAsia" w:hAnsi="Times New Roman" w:cs="Times New Roman"/>
      <w:spacing w:val="-10"/>
      <w:kern w:val="28"/>
      <w:sz w:val="96"/>
      <w:szCs w:val="96"/>
    </w:rPr>
  </w:style>
  <w:style w:type="character" w:customStyle="1" w:styleId="Heading1Char">
    <w:name w:val="Heading 1 Char"/>
    <w:basedOn w:val="DefaultParagraphFont"/>
    <w:link w:val="Heading1"/>
    <w:uiPriority w:val="9"/>
    <w:rsid w:val="004909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09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09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9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9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9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9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9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9D7"/>
    <w:rPr>
      <w:rFonts w:eastAsiaTheme="majorEastAsia" w:cstheme="majorBidi"/>
      <w:color w:val="272727" w:themeColor="text1" w:themeTint="D8"/>
    </w:rPr>
  </w:style>
  <w:style w:type="paragraph" w:styleId="Subtitle">
    <w:name w:val="Subtitle"/>
    <w:basedOn w:val="Normal"/>
    <w:next w:val="Normal"/>
    <w:link w:val="SubtitleChar"/>
    <w:uiPriority w:val="11"/>
    <w:qFormat/>
    <w:rsid w:val="004909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9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9D7"/>
    <w:pPr>
      <w:spacing w:before="160"/>
      <w:jc w:val="center"/>
    </w:pPr>
    <w:rPr>
      <w:i/>
      <w:iCs/>
      <w:color w:val="404040" w:themeColor="text1" w:themeTint="BF"/>
    </w:rPr>
  </w:style>
  <w:style w:type="character" w:customStyle="1" w:styleId="QuoteChar">
    <w:name w:val="Quote Char"/>
    <w:basedOn w:val="DefaultParagraphFont"/>
    <w:link w:val="Quote"/>
    <w:uiPriority w:val="29"/>
    <w:rsid w:val="004909D7"/>
    <w:rPr>
      <w:i/>
      <w:iCs/>
      <w:color w:val="404040" w:themeColor="text1" w:themeTint="BF"/>
    </w:rPr>
  </w:style>
  <w:style w:type="paragraph" w:styleId="ListParagraph">
    <w:name w:val="List Paragraph"/>
    <w:basedOn w:val="Normal"/>
    <w:uiPriority w:val="34"/>
    <w:qFormat/>
    <w:rsid w:val="004909D7"/>
    <w:pPr>
      <w:ind w:left="720"/>
      <w:contextualSpacing/>
    </w:pPr>
  </w:style>
  <w:style w:type="character" w:styleId="IntenseEmphasis">
    <w:name w:val="Intense Emphasis"/>
    <w:basedOn w:val="DefaultParagraphFont"/>
    <w:uiPriority w:val="21"/>
    <w:qFormat/>
    <w:rsid w:val="004909D7"/>
    <w:rPr>
      <w:i/>
      <w:iCs/>
      <w:color w:val="0F4761" w:themeColor="accent1" w:themeShade="BF"/>
    </w:rPr>
  </w:style>
  <w:style w:type="paragraph" w:styleId="IntenseQuote">
    <w:name w:val="Intense Quote"/>
    <w:basedOn w:val="Normal"/>
    <w:next w:val="Normal"/>
    <w:link w:val="IntenseQuoteChar"/>
    <w:uiPriority w:val="30"/>
    <w:qFormat/>
    <w:rsid w:val="004909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9D7"/>
    <w:rPr>
      <w:i/>
      <w:iCs/>
      <w:color w:val="0F4761" w:themeColor="accent1" w:themeShade="BF"/>
    </w:rPr>
  </w:style>
  <w:style w:type="character" w:styleId="IntenseReference">
    <w:name w:val="Intense Reference"/>
    <w:basedOn w:val="DefaultParagraphFont"/>
    <w:uiPriority w:val="32"/>
    <w:qFormat/>
    <w:rsid w:val="004909D7"/>
    <w:rPr>
      <w:b/>
      <w:bCs/>
      <w:smallCaps/>
      <w:color w:val="0F4761" w:themeColor="accent1" w:themeShade="BF"/>
      <w:spacing w:val="5"/>
    </w:rPr>
  </w:style>
  <w:style w:type="paragraph" w:styleId="NormalWeb">
    <w:name w:val="Normal (Web)"/>
    <w:basedOn w:val="Normal"/>
    <w:uiPriority w:val="99"/>
    <w:semiHidden/>
    <w:unhideWhenUsed/>
    <w:rsid w:val="005366D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FootnoteText">
    <w:name w:val="footnote text"/>
    <w:basedOn w:val="Normal"/>
    <w:link w:val="FootnoteTextChar"/>
    <w:uiPriority w:val="99"/>
    <w:semiHidden/>
    <w:unhideWhenUsed/>
    <w:rsid w:val="00EB72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7277"/>
    <w:rPr>
      <w:sz w:val="20"/>
      <w:szCs w:val="20"/>
    </w:rPr>
  </w:style>
  <w:style w:type="character" w:styleId="FootnoteReference">
    <w:name w:val="footnote reference"/>
    <w:basedOn w:val="DefaultParagraphFont"/>
    <w:uiPriority w:val="99"/>
    <w:semiHidden/>
    <w:unhideWhenUsed/>
    <w:rsid w:val="00EB7277"/>
    <w:rPr>
      <w:vertAlign w:val="superscript"/>
    </w:rPr>
  </w:style>
  <w:style w:type="paragraph" w:styleId="Header">
    <w:name w:val="header"/>
    <w:basedOn w:val="Normal"/>
    <w:link w:val="HeaderChar"/>
    <w:uiPriority w:val="99"/>
    <w:semiHidden/>
    <w:unhideWhenUsed/>
    <w:rsid w:val="00FF3D1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F3D12"/>
  </w:style>
  <w:style w:type="paragraph" w:styleId="Footer">
    <w:name w:val="footer"/>
    <w:basedOn w:val="Normal"/>
    <w:link w:val="FooterChar"/>
    <w:uiPriority w:val="99"/>
    <w:semiHidden/>
    <w:unhideWhenUsed/>
    <w:rsid w:val="00FF3D1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F3D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7190751">
      <w:bodyDiv w:val="1"/>
      <w:marLeft w:val="0"/>
      <w:marRight w:val="0"/>
      <w:marTop w:val="0"/>
      <w:marBottom w:val="0"/>
      <w:divBdr>
        <w:top w:val="none" w:sz="0" w:space="0" w:color="auto"/>
        <w:left w:val="none" w:sz="0" w:space="0" w:color="auto"/>
        <w:bottom w:val="none" w:sz="0" w:space="0" w:color="auto"/>
        <w:right w:val="none" w:sz="0" w:space="0" w:color="auto"/>
      </w:divBdr>
    </w:div>
    <w:div w:id="159261902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7</Pages>
  <Words>1981</Words>
  <Characters>11293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Rich</dc:creator>
  <cp:keywords/>
  <dc:description/>
  <cp:lastModifiedBy>Eden Rich</cp:lastModifiedBy>
  <cp:revision>4</cp:revision>
  <dcterms:created xsi:type="dcterms:W3CDTF">2024-01-20T16:32:00Z</dcterms:created>
  <dcterms:modified xsi:type="dcterms:W3CDTF">2024-01-20T16:36:00Z</dcterms:modified>
</cp:coreProperties>
</file>