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180465FD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4B0B52">
        <w:rPr>
          <w:rFonts w:ascii="Arial" w:hAnsi="Arial" w:cs="Arial"/>
          <w:sz w:val="28"/>
          <w:szCs w:val="28"/>
          <w:lang w:val="nl-NL"/>
        </w:rPr>
        <w:t xml:space="preserve"> Osman Kamara</w:t>
      </w:r>
    </w:p>
    <w:p w14:paraId="00429E76" w14:textId="685FAD44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4B0B52">
        <w:rPr>
          <w:rFonts w:ascii="Arial" w:hAnsi="Arial" w:cs="Arial"/>
          <w:sz w:val="28"/>
          <w:szCs w:val="28"/>
          <w:lang w:val="nl-NL"/>
        </w:rPr>
        <w:t xml:space="preserve"> 2324742</w:t>
      </w:r>
    </w:p>
    <w:p w14:paraId="0794B482" w14:textId="347B215F" w:rsidR="004B0B52" w:rsidRDefault="00434362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>
        <w:rPr>
          <w:rFonts w:ascii="Arial" w:hAnsi="Arial" w:cs="Arial"/>
          <w:sz w:val="28"/>
          <w:szCs w:val="28"/>
          <w:lang w:val="nl-NL"/>
        </w:rPr>
        <w:t xml:space="preserve">: </w:t>
      </w:r>
      <w:r w:rsidR="00392016">
        <w:rPr>
          <w:rFonts w:ascii="Arial" w:hAnsi="Arial" w:cs="Arial"/>
          <w:sz w:val="28"/>
          <w:szCs w:val="28"/>
          <w:lang w:val="nl-NL"/>
        </w:rPr>
        <w:t>Independent Project</w:t>
      </w:r>
    </w:p>
    <w:p w14:paraId="3586E6A0" w14:textId="3090EA99" w:rsidR="00392016" w:rsidRDefault="00392016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>
        <w:rPr>
          <w:rFonts w:ascii="Arial" w:hAnsi="Arial" w:cs="Arial"/>
          <w:b/>
          <w:bCs/>
          <w:sz w:val="28"/>
          <w:szCs w:val="28"/>
          <w:lang w:val="nl-NL"/>
        </w:rPr>
        <w:t>Module code</w:t>
      </w:r>
      <w:r w:rsidRPr="00392016">
        <w:rPr>
          <w:rFonts w:ascii="Arial" w:hAnsi="Arial" w:cs="Arial"/>
          <w:sz w:val="28"/>
          <w:szCs w:val="28"/>
          <w:lang w:val="nl-NL"/>
        </w:rPr>
        <w:t>:</w:t>
      </w:r>
      <w:r>
        <w:rPr>
          <w:rFonts w:ascii="Arial" w:hAnsi="Arial" w:cs="Arial"/>
          <w:sz w:val="28"/>
          <w:szCs w:val="28"/>
          <w:lang w:val="nl-NL"/>
        </w:rPr>
        <w:t xml:space="preserve"> </w:t>
      </w:r>
      <w:r w:rsidR="00724E0E">
        <w:rPr>
          <w:rFonts w:ascii="Arial" w:hAnsi="Arial" w:cs="Arial"/>
          <w:sz w:val="28"/>
          <w:szCs w:val="28"/>
          <w:lang w:val="nl-NL"/>
        </w:rPr>
        <w:t>BMPH6020_LON</w:t>
      </w:r>
    </w:p>
    <w:p w14:paraId="7719B4FA" w14:textId="2E681357" w:rsidR="00724E0E" w:rsidRPr="00814A9E" w:rsidRDefault="00724E0E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>
        <w:rPr>
          <w:rFonts w:ascii="Arial" w:hAnsi="Arial" w:cs="Arial"/>
          <w:b/>
          <w:bCs/>
          <w:sz w:val="28"/>
          <w:szCs w:val="28"/>
          <w:lang w:val="nl-NL"/>
        </w:rPr>
        <w:t>Supervisor</w:t>
      </w:r>
      <w:r w:rsidR="000522AC">
        <w:rPr>
          <w:rFonts w:ascii="Arial" w:hAnsi="Arial" w:cs="Arial"/>
          <w:b/>
          <w:bCs/>
          <w:sz w:val="28"/>
          <w:szCs w:val="28"/>
          <w:lang w:val="nl-NL"/>
        </w:rPr>
        <w:t>’s name</w:t>
      </w:r>
      <w:r w:rsidR="000522AC" w:rsidRPr="000522AC">
        <w:rPr>
          <w:rFonts w:ascii="Arial" w:hAnsi="Arial" w:cs="Arial"/>
          <w:sz w:val="28"/>
          <w:szCs w:val="28"/>
          <w:lang w:val="nl-NL"/>
        </w:rPr>
        <w:t>:</w:t>
      </w:r>
      <w:r w:rsidR="000522AC">
        <w:rPr>
          <w:rFonts w:ascii="Arial" w:hAnsi="Arial" w:cs="Arial"/>
          <w:sz w:val="28"/>
          <w:szCs w:val="28"/>
          <w:lang w:val="nl-NL"/>
        </w:rPr>
        <w:t xml:space="preserve"> Dr. Jolly </w:t>
      </w:r>
      <w:r w:rsidR="002B7987">
        <w:rPr>
          <w:rFonts w:ascii="Arial" w:hAnsi="Arial" w:cs="Arial"/>
          <w:sz w:val="28"/>
          <w:szCs w:val="28"/>
          <w:lang w:val="nl-NL"/>
        </w:rPr>
        <w:t>Nwankwo</w:t>
      </w:r>
    </w:p>
    <w:p w14:paraId="16C5D4A2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60FF05C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346FFA" w:rsidRPr="00EB6F36" w14:paraId="600B3A42" w14:textId="77777777" w:rsidTr="00EB6F36">
        <w:trPr>
          <w:trHeight w:val="2393"/>
          <w:jc w:val="center"/>
        </w:trPr>
        <w:tc>
          <w:tcPr>
            <w:tcW w:w="4534" w:type="dxa"/>
          </w:tcPr>
          <w:p w14:paraId="3F7F44BF" w14:textId="77777777" w:rsidR="00346FFA" w:rsidRDefault="004D75F5" w:rsidP="00B67824">
            <w:pPr>
              <w:rPr>
                <w:rFonts w:ascii="Arial" w:hAnsi="Arial" w:cs="Arial"/>
                <w:b/>
                <w:bCs/>
                <w:noProof/>
              </w:rPr>
            </w:pPr>
            <w:r w:rsidRPr="00002AE5">
              <w:rPr>
                <w:rFonts w:ascii="Arial" w:hAnsi="Arial" w:cs="Arial"/>
                <w:b/>
                <w:bCs/>
                <w:noProof/>
              </w:rPr>
              <w:lastRenderedPageBreak/>
              <w:t>Impact of workforce bunout in Health and Care Sservice in the UK</w:t>
            </w:r>
          </w:p>
          <w:p w14:paraId="7C84B224" w14:textId="3576AE82" w:rsidR="00002AE5" w:rsidRPr="00002AE5" w:rsidRDefault="00CF2A11" w:rsidP="00B67824">
            <w:pPr>
              <w:rPr>
                <w:rFonts w:ascii="Arial" w:hAnsi="Arial" w:cs="Arial"/>
                <w:b/>
                <w:bCs/>
                <w:noProof/>
              </w:rPr>
            </w:pPr>
            <w:r w:rsidRPr="00090CAB">
              <w:rPr>
                <w:rFonts w:ascii="Arial" w:hAnsi="Arial" w:cs="Arial"/>
                <w:b/>
                <w:bCs/>
                <w:noProof/>
              </w:rPr>
              <w:drawing>
                <wp:inline distT="0" distB="0" distL="0" distR="0" wp14:anchorId="077F3335" wp14:editId="35DC3F49">
                  <wp:extent cx="1904280" cy="1069940"/>
                  <wp:effectExtent l="0" t="0" r="1270" b="0"/>
                  <wp:docPr id="92903465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29034659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32098" cy="10855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724D51" w:rsidRPr="00C229ED">
              <w:rPr>
                <w:rFonts w:ascii="Arial" w:hAnsi="Arial" w:cs="Arial"/>
                <w:noProof/>
              </w:rPr>
              <w:t xml:space="preserve">NHS </w:t>
            </w:r>
            <w:r w:rsidR="00C229ED" w:rsidRPr="00C229ED">
              <w:rPr>
                <w:rFonts w:ascii="Arial" w:hAnsi="Arial" w:cs="Arial"/>
                <w:noProof/>
              </w:rPr>
              <w:t>2023</w:t>
            </w:r>
          </w:p>
        </w:tc>
        <w:tc>
          <w:tcPr>
            <w:tcW w:w="416" w:type="dxa"/>
            <w:vMerge w:val="restart"/>
          </w:tcPr>
          <w:p w14:paraId="09B2FC2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</w:tcPr>
          <w:p w14:paraId="32810FCF" w14:textId="3CE69E25" w:rsidR="00B67824" w:rsidRDefault="00000A13" w:rsidP="00F37523">
            <w:pPr>
              <w:pStyle w:val="Heading1"/>
              <w:rPr>
                <w:rFonts w:ascii="Arial" w:hAnsi="Arial" w:cs="Arial"/>
                <w:sz w:val="24"/>
                <w:szCs w:val="24"/>
              </w:rPr>
            </w:pPr>
            <w:r w:rsidRPr="00000A13">
              <w:rPr>
                <w:rFonts w:ascii="Arial" w:hAnsi="Arial" w:cs="Arial"/>
                <w:sz w:val="24"/>
                <w:szCs w:val="24"/>
              </w:rPr>
              <w:t>Aim</w:t>
            </w:r>
          </w:p>
          <w:p w14:paraId="4DCD7E00" w14:textId="3117C873" w:rsidR="00323632" w:rsidRPr="0099156A" w:rsidRDefault="00323632" w:rsidP="00323632">
            <w:pPr>
              <w:rPr>
                <w:rFonts w:ascii="Arial" w:hAnsi="Arial" w:cs="Arial"/>
              </w:rPr>
            </w:pPr>
            <w:r w:rsidRPr="0099156A">
              <w:rPr>
                <w:rFonts w:ascii="Arial" w:hAnsi="Arial" w:cs="Arial"/>
              </w:rPr>
              <w:t xml:space="preserve">The aim of this project is to investigate </w:t>
            </w:r>
            <w:r w:rsidR="0051578D" w:rsidRPr="0099156A">
              <w:rPr>
                <w:rFonts w:ascii="Arial" w:hAnsi="Arial" w:cs="Arial"/>
              </w:rPr>
              <w:t xml:space="preserve">the effects of workforce burnout within the </w:t>
            </w:r>
            <w:r w:rsidR="0099156A" w:rsidRPr="0099156A">
              <w:rPr>
                <w:rFonts w:ascii="Arial" w:hAnsi="Arial" w:cs="Arial"/>
              </w:rPr>
              <w:t>UK health and social care sector.</w:t>
            </w:r>
          </w:p>
          <w:p w14:paraId="5365ACD1" w14:textId="77777777" w:rsidR="00EB6F36" w:rsidRDefault="0099156A" w:rsidP="00EB6F36">
            <w:pPr>
              <w:rPr>
                <w:rFonts w:ascii="Arial" w:hAnsi="Arial" w:cs="Arial"/>
                <w:b/>
                <w:bCs/>
              </w:rPr>
            </w:pPr>
            <w:r w:rsidRPr="0099156A">
              <w:rPr>
                <w:rFonts w:ascii="Arial" w:hAnsi="Arial" w:cs="Arial"/>
                <w:b/>
                <w:bCs/>
              </w:rPr>
              <w:t>Objectives</w:t>
            </w:r>
          </w:p>
          <w:p w14:paraId="0460E90D" w14:textId="14D93F10" w:rsidR="0099156A" w:rsidRPr="008840EA" w:rsidRDefault="0026600E" w:rsidP="008840EA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b/>
                <w:bCs/>
              </w:rPr>
            </w:pPr>
            <w:r w:rsidRPr="008840EA">
              <w:rPr>
                <w:rFonts w:ascii="Arial" w:hAnsi="Arial" w:cs="Arial"/>
              </w:rPr>
              <w:t xml:space="preserve">To clarify the concept of workforce </w:t>
            </w:r>
            <w:r w:rsidR="00C27616" w:rsidRPr="008840EA">
              <w:rPr>
                <w:rFonts w:ascii="Arial" w:hAnsi="Arial" w:cs="Arial"/>
              </w:rPr>
              <w:t>burnout and highlight its importance in the UK</w:t>
            </w:r>
            <w:r w:rsidR="0071681E" w:rsidRPr="008840EA">
              <w:rPr>
                <w:rFonts w:ascii="Arial" w:hAnsi="Arial" w:cs="Arial"/>
              </w:rPr>
              <w:t>’s health and care sector</w:t>
            </w:r>
            <w:r w:rsidR="0071681E" w:rsidRPr="008840EA">
              <w:rPr>
                <w:rFonts w:ascii="Arial" w:hAnsi="Arial" w:cs="Arial"/>
                <w:b/>
                <w:bCs/>
              </w:rPr>
              <w:t>.</w:t>
            </w:r>
          </w:p>
          <w:p w14:paraId="57F852FC" w14:textId="77777777" w:rsidR="008840EA" w:rsidRPr="00DA38AC" w:rsidRDefault="008840EA" w:rsidP="008840EA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</w:rPr>
            </w:pPr>
            <w:r w:rsidRPr="00DA38AC">
              <w:rPr>
                <w:rFonts w:ascii="Arial" w:hAnsi="Arial" w:cs="Arial"/>
              </w:rPr>
              <w:t xml:space="preserve">To pinpoint the primary </w:t>
            </w:r>
            <w:r w:rsidR="000D6F4A" w:rsidRPr="00DA38AC">
              <w:rPr>
                <w:rFonts w:ascii="Arial" w:hAnsi="Arial" w:cs="Arial"/>
              </w:rPr>
              <w:t xml:space="preserve">factors contributing to workforce burnout </w:t>
            </w:r>
            <w:r w:rsidR="0064416B" w:rsidRPr="00DA38AC">
              <w:rPr>
                <w:rFonts w:ascii="Arial" w:hAnsi="Arial" w:cs="Arial"/>
              </w:rPr>
              <w:t>among professionals in health and care sector.</w:t>
            </w:r>
          </w:p>
          <w:p w14:paraId="646D5584" w14:textId="6293FDBF" w:rsidR="0064416B" w:rsidRPr="008840EA" w:rsidRDefault="003E19A5" w:rsidP="008840EA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b/>
                <w:bCs/>
              </w:rPr>
            </w:pPr>
            <w:r w:rsidRPr="00DA38AC">
              <w:rPr>
                <w:rFonts w:ascii="Arial" w:hAnsi="Arial" w:cs="Arial"/>
              </w:rPr>
              <w:t xml:space="preserve">To investigate how workforce burnout influences the physical </w:t>
            </w:r>
            <w:r w:rsidR="00DA38AC" w:rsidRPr="00DA38AC">
              <w:rPr>
                <w:rFonts w:ascii="Arial" w:hAnsi="Arial" w:cs="Arial"/>
              </w:rPr>
              <w:t>and mental health of employees</w:t>
            </w:r>
            <w:r w:rsidR="00DA38AC">
              <w:rPr>
                <w:rFonts w:ascii="Arial" w:hAnsi="Arial" w:cs="Arial"/>
                <w:b/>
                <w:bCs/>
              </w:rPr>
              <w:t>.</w:t>
            </w:r>
          </w:p>
        </w:tc>
        <w:tc>
          <w:tcPr>
            <w:tcW w:w="360" w:type="dxa"/>
            <w:vMerge w:val="restart"/>
          </w:tcPr>
          <w:p w14:paraId="51769EE4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Align w:val="center"/>
          </w:tcPr>
          <w:p w14:paraId="043375E7" w14:textId="77777777" w:rsidR="00346FFA" w:rsidRDefault="00FB7915" w:rsidP="00EB6F36">
            <w:pPr>
              <w:rPr>
                <w:rFonts w:ascii="Arial" w:hAnsi="Arial" w:cs="Arial"/>
                <w:noProof/>
              </w:rPr>
            </w:pPr>
            <w:r>
              <w:rPr>
                <w:noProof/>
              </w:rPr>
              <w:drawing>
                <wp:inline distT="0" distB="0" distL="0" distR="0" wp14:anchorId="613E495D" wp14:editId="2D9156B8">
                  <wp:extent cx="1254442" cy="836295"/>
                  <wp:effectExtent l="0" t="0" r="3175" b="1905"/>
                  <wp:docPr id="5" name="Picture 6" descr="Generated image: Qualitative Data Collection Methods Infographic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Generated image: Qualitative Data Collection Methods Infographic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flipV="1">
                            <a:off x="0" y="0"/>
                            <a:ext cx="1281738" cy="85449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EBA66EC" w14:textId="23B59615" w:rsidR="002C49BB" w:rsidRPr="00EB6F36" w:rsidRDefault="00735273" w:rsidP="00EB6F36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>Braun and Clarke ( 2006).</w:t>
            </w:r>
          </w:p>
        </w:tc>
      </w:tr>
      <w:tr w:rsidR="00346FFA" w:rsidRPr="00EB6F36" w14:paraId="6595EC5A" w14:textId="77777777" w:rsidTr="00EB6F36">
        <w:trPr>
          <w:trHeight w:val="272"/>
          <w:jc w:val="center"/>
        </w:trPr>
        <w:tc>
          <w:tcPr>
            <w:tcW w:w="4534" w:type="dxa"/>
          </w:tcPr>
          <w:p w14:paraId="29C6DD9B" w14:textId="6F8C074A" w:rsidR="00346FFA" w:rsidRPr="006F0145" w:rsidRDefault="00DA4390" w:rsidP="00B67824">
            <w:pPr>
              <w:rPr>
                <w:rFonts w:ascii="Arial" w:hAnsi="Arial" w:cs="Arial"/>
                <w:b/>
                <w:bCs/>
                <w:noProof/>
              </w:rPr>
            </w:pPr>
            <w:r w:rsidRPr="006F0145">
              <w:rPr>
                <w:rFonts w:ascii="Arial" w:hAnsi="Arial" w:cs="Arial"/>
                <w:b/>
                <w:bCs/>
                <w:noProof/>
              </w:rPr>
              <w:t>Metho</w:t>
            </w:r>
            <w:r w:rsidR="00125D31" w:rsidRPr="006F0145">
              <w:rPr>
                <w:rFonts w:ascii="Arial" w:hAnsi="Arial" w:cs="Arial"/>
                <w:b/>
                <w:bCs/>
                <w:noProof/>
              </w:rPr>
              <w:t>dology</w:t>
            </w:r>
          </w:p>
        </w:tc>
        <w:tc>
          <w:tcPr>
            <w:tcW w:w="416" w:type="dxa"/>
            <w:vMerge/>
          </w:tcPr>
          <w:p w14:paraId="4D303EC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</w:tcPr>
          <w:p w14:paraId="4EE620DA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6D8737F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</w:tcPr>
          <w:p w14:paraId="777BDB38" w14:textId="1F99EA97" w:rsidR="00346FFA" w:rsidRPr="00EB6F36" w:rsidRDefault="00D53F86" w:rsidP="00346FFA">
            <w:pPr>
              <w:pStyle w:val="NoSpacing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Data </w:t>
            </w:r>
            <w:r w:rsidR="00F616B5">
              <w:rPr>
                <w:rFonts w:ascii="Arial" w:hAnsi="Arial" w:cs="Arial"/>
              </w:rPr>
              <w:t>Analysis method</w:t>
            </w:r>
          </w:p>
        </w:tc>
      </w:tr>
      <w:tr w:rsidR="004642F0" w:rsidRPr="00EB6F36" w14:paraId="6C436F7A" w14:textId="77777777" w:rsidTr="00EB6F36">
        <w:trPr>
          <w:trHeight w:val="473"/>
          <w:jc w:val="center"/>
        </w:trPr>
        <w:tc>
          <w:tcPr>
            <w:tcW w:w="4534" w:type="dxa"/>
            <w:vMerge w:val="restart"/>
          </w:tcPr>
          <w:p w14:paraId="5DC46BF7" w14:textId="5D718984" w:rsidR="00EB6F36" w:rsidRDefault="00BA07FF" w:rsidP="00BA07FF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Secondary research</w:t>
            </w:r>
            <w:r w:rsidR="008031F8">
              <w:rPr>
                <w:rFonts w:ascii="Arial" w:hAnsi="Arial" w:cs="Arial"/>
              </w:rPr>
              <w:t xml:space="preserve"> ( </w:t>
            </w:r>
            <w:proofErr w:type="spellStart"/>
            <w:r w:rsidR="008031F8">
              <w:rPr>
                <w:rFonts w:ascii="Arial" w:hAnsi="Arial" w:cs="Arial"/>
              </w:rPr>
              <w:t>Ratajczak,et</w:t>
            </w:r>
            <w:proofErr w:type="spellEnd"/>
            <w:r w:rsidR="008031F8">
              <w:rPr>
                <w:rFonts w:ascii="Arial" w:hAnsi="Arial" w:cs="Arial"/>
              </w:rPr>
              <w:t xml:space="preserve"> al.</w:t>
            </w:r>
            <w:r w:rsidR="00320F43">
              <w:rPr>
                <w:rFonts w:ascii="Arial" w:hAnsi="Arial" w:cs="Arial"/>
              </w:rPr>
              <w:t xml:space="preserve"> 2025).</w:t>
            </w:r>
          </w:p>
          <w:p w14:paraId="7235CACA" w14:textId="248F0378" w:rsidR="00BA07FF" w:rsidRDefault="007938BC" w:rsidP="00BA07FF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Workforce burnout in England</w:t>
            </w:r>
            <w:r w:rsidR="00103DBF">
              <w:rPr>
                <w:rFonts w:ascii="Arial" w:hAnsi="Arial" w:cs="Arial"/>
              </w:rPr>
              <w:t xml:space="preserve"> ( Davies, et al. 2025</w:t>
            </w:r>
            <w:r w:rsidR="00232302">
              <w:rPr>
                <w:rFonts w:ascii="Arial" w:hAnsi="Arial" w:cs="Arial"/>
              </w:rPr>
              <w:t>).</w:t>
            </w:r>
          </w:p>
          <w:p w14:paraId="0BF6F7F6" w14:textId="39641318" w:rsidR="00232302" w:rsidRDefault="0056051A" w:rsidP="00BA07FF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Systematic literature</w:t>
            </w:r>
            <w:r w:rsidR="00DA4AF9">
              <w:rPr>
                <w:rFonts w:ascii="Arial" w:hAnsi="Arial" w:cs="Arial"/>
              </w:rPr>
              <w:t xml:space="preserve"> ( Paul and </w:t>
            </w:r>
            <w:proofErr w:type="spellStart"/>
            <w:r w:rsidR="00DA4AF9">
              <w:rPr>
                <w:rFonts w:ascii="Arial" w:hAnsi="Arial" w:cs="Arial"/>
              </w:rPr>
              <w:t>Barari</w:t>
            </w:r>
            <w:proofErr w:type="spellEnd"/>
            <w:r w:rsidR="009026F9">
              <w:rPr>
                <w:rFonts w:ascii="Arial" w:hAnsi="Arial" w:cs="Arial"/>
              </w:rPr>
              <w:t>, 2022)</w:t>
            </w:r>
          </w:p>
          <w:p w14:paraId="0050ECBD" w14:textId="1A15303D" w:rsidR="009026F9" w:rsidRDefault="00A35533" w:rsidP="00BA07FF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Qualitative </w:t>
            </w:r>
            <w:r w:rsidR="004B7A9F">
              <w:rPr>
                <w:rFonts w:ascii="Arial" w:hAnsi="Arial" w:cs="Arial"/>
              </w:rPr>
              <w:t xml:space="preserve">approach ( </w:t>
            </w:r>
            <w:r w:rsidR="009E7588">
              <w:rPr>
                <w:rFonts w:ascii="Arial" w:hAnsi="Arial" w:cs="Arial"/>
              </w:rPr>
              <w:t>Lim</w:t>
            </w:r>
            <w:r w:rsidR="00D411DE">
              <w:rPr>
                <w:rFonts w:ascii="Arial" w:hAnsi="Arial" w:cs="Arial"/>
              </w:rPr>
              <w:t>, M. 2025).</w:t>
            </w:r>
          </w:p>
          <w:p w14:paraId="1FC621BE" w14:textId="06D68951" w:rsidR="00D411DE" w:rsidRPr="00472908" w:rsidRDefault="00D411DE" w:rsidP="00472908">
            <w:pPr>
              <w:rPr>
                <w:rFonts w:ascii="Arial" w:hAnsi="Arial" w:cs="Arial"/>
              </w:rPr>
            </w:pPr>
          </w:p>
          <w:p w14:paraId="766CB3C2" w14:textId="24E786B8" w:rsidR="00EB6F36" w:rsidRPr="00EB6F36" w:rsidRDefault="00EB6F36" w:rsidP="00EB6F36">
            <w:pPr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7D78FDF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25B3C4FF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</w:tcPr>
          <w:p w14:paraId="7C994393" w14:textId="25EE4597" w:rsidR="00B67824" w:rsidRDefault="003F472D" w:rsidP="002924A7">
            <w:pPr>
              <w:pStyle w:val="Heading1"/>
              <w:numPr>
                <w:ilvl w:val="0"/>
                <w:numId w:val="12"/>
              </w:numPr>
              <w:rPr>
                <w:rStyle w:val="Heading1Char"/>
                <w:rFonts w:ascii="Arial" w:hAnsi="Arial" w:cs="Arial"/>
                <w:bCs/>
                <w:sz w:val="22"/>
              </w:rPr>
            </w:pPr>
            <w:r w:rsidRPr="003F472D">
              <w:rPr>
                <w:rStyle w:val="Heading1Char"/>
                <w:rFonts w:ascii="Arial" w:hAnsi="Arial" w:cs="Arial"/>
                <w:bCs/>
                <w:sz w:val="22"/>
              </w:rPr>
              <w:t>Thematic analysis</w:t>
            </w:r>
          </w:p>
          <w:p w14:paraId="65EC94B7" w14:textId="74DD1831" w:rsidR="003F472D" w:rsidRPr="00A51BCC" w:rsidRDefault="000F1BC6" w:rsidP="004C49CD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</w:rPr>
            </w:pPr>
            <w:r w:rsidRPr="00A51BCC">
              <w:rPr>
                <w:rFonts w:ascii="Arial" w:hAnsi="Arial" w:cs="Arial"/>
              </w:rPr>
              <w:t>Ac</w:t>
            </w:r>
            <w:r w:rsidR="00A25C08" w:rsidRPr="00A51BCC">
              <w:rPr>
                <w:rFonts w:ascii="Arial" w:hAnsi="Arial" w:cs="Arial"/>
              </w:rPr>
              <w:t>quaintance with the data</w:t>
            </w:r>
          </w:p>
          <w:p w14:paraId="57CB8AF9" w14:textId="40533406" w:rsidR="00A25C08" w:rsidRPr="00A51BCC" w:rsidRDefault="00C21597" w:rsidP="004C49CD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</w:rPr>
            </w:pPr>
            <w:r w:rsidRPr="00A51BCC">
              <w:rPr>
                <w:rFonts w:ascii="Arial" w:hAnsi="Arial" w:cs="Arial"/>
              </w:rPr>
              <w:t xml:space="preserve">Creating </w:t>
            </w:r>
            <w:r w:rsidR="00474041" w:rsidRPr="00A51BCC">
              <w:rPr>
                <w:rFonts w:ascii="Arial" w:hAnsi="Arial" w:cs="Arial"/>
              </w:rPr>
              <w:t>preliminary codes</w:t>
            </w:r>
          </w:p>
          <w:p w14:paraId="31A9437E" w14:textId="53685556" w:rsidR="00474041" w:rsidRPr="00A51BCC" w:rsidRDefault="00E74CBD" w:rsidP="004C49CD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</w:rPr>
            </w:pPr>
            <w:r w:rsidRPr="00A51BCC">
              <w:rPr>
                <w:rFonts w:ascii="Arial" w:hAnsi="Arial" w:cs="Arial"/>
              </w:rPr>
              <w:t>Looking for themes</w:t>
            </w:r>
          </w:p>
          <w:p w14:paraId="35540F98" w14:textId="096969EA" w:rsidR="00E74CBD" w:rsidRPr="00A51BCC" w:rsidRDefault="006743E1" w:rsidP="004C49CD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</w:rPr>
            </w:pPr>
            <w:r w:rsidRPr="00A51BCC">
              <w:rPr>
                <w:rFonts w:ascii="Arial" w:hAnsi="Arial" w:cs="Arial"/>
              </w:rPr>
              <w:t>Examining topics</w:t>
            </w:r>
          </w:p>
          <w:p w14:paraId="1B32E7CF" w14:textId="6E581C6D" w:rsidR="007B66A5" w:rsidRPr="00A51BCC" w:rsidRDefault="002E1A4B" w:rsidP="004C49CD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</w:rPr>
            </w:pPr>
            <w:r w:rsidRPr="00A51BCC">
              <w:rPr>
                <w:rFonts w:ascii="Arial" w:hAnsi="Arial" w:cs="Arial"/>
              </w:rPr>
              <w:t>Identifying</w:t>
            </w:r>
            <w:r w:rsidR="00FE1315" w:rsidRPr="00A51BCC">
              <w:rPr>
                <w:rFonts w:ascii="Arial" w:hAnsi="Arial" w:cs="Arial"/>
              </w:rPr>
              <w:t xml:space="preserve"> and labeling themes</w:t>
            </w:r>
          </w:p>
          <w:p w14:paraId="01A6D349" w14:textId="399939C8" w:rsidR="00A51BCC" w:rsidRPr="00A51BCC" w:rsidRDefault="00A51BCC" w:rsidP="004C49CD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</w:rPr>
            </w:pPr>
            <w:r w:rsidRPr="00A51BCC">
              <w:rPr>
                <w:rFonts w:ascii="Arial" w:hAnsi="Arial" w:cs="Arial"/>
              </w:rPr>
              <w:lastRenderedPageBreak/>
              <w:t>Writing the report</w:t>
            </w:r>
          </w:p>
          <w:p w14:paraId="3B0643C3" w14:textId="0CD3167D" w:rsidR="00EB6F36" w:rsidRDefault="00837FDA" w:rsidP="00EB6F36">
            <w:pPr>
              <w:rPr>
                <w:rFonts w:ascii="Arial" w:hAnsi="Arial" w:cs="Arial"/>
                <w:b/>
                <w:bCs/>
              </w:rPr>
            </w:pPr>
            <w:r w:rsidRPr="00E6709B">
              <w:rPr>
                <w:rFonts w:ascii="Arial" w:hAnsi="Arial" w:cs="Arial"/>
                <w:b/>
                <w:bCs/>
              </w:rPr>
              <w:t>Ethi</w:t>
            </w:r>
            <w:r w:rsidR="00E6709B" w:rsidRPr="00E6709B">
              <w:rPr>
                <w:rFonts w:ascii="Arial" w:hAnsi="Arial" w:cs="Arial"/>
                <w:b/>
                <w:bCs/>
              </w:rPr>
              <w:t>cal Considerations</w:t>
            </w:r>
          </w:p>
          <w:p w14:paraId="765D6A4D" w14:textId="1F4F5B2B" w:rsidR="00E6709B" w:rsidRPr="00D63778" w:rsidRDefault="00B03497" w:rsidP="00EB7DC4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D63778">
              <w:rPr>
                <w:rFonts w:ascii="Arial" w:hAnsi="Arial" w:cs="Arial"/>
              </w:rPr>
              <w:t xml:space="preserve">Secondary research </w:t>
            </w:r>
          </w:p>
          <w:p w14:paraId="5C113172" w14:textId="0607479D" w:rsidR="00B03497" w:rsidRPr="00D63778" w:rsidRDefault="00B03497" w:rsidP="00EB7DC4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D63778">
              <w:rPr>
                <w:rFonts w:ascii="Arial" w:hAnsi="Arial" w:cs="Arial"/>
              </w:rPr>
              <w:t>U</w:t>
            </w:r>
            <w:r w:rsidR="00176C17" w:rsidRPr="00D63778">
              <w:rPr>
                <w:rFonts w:ascii="Arial" w:hAnsi="Arial" w:cs="Arial"/>
              </w:rPr>
              <w:t>WTSD Harvard referencing</w:t>
            </w:r>
          </w:p>
          <w:p w14:paraId="6A5DD766" w14:textId="3BBD85CA" w:rsidR="00176C17" w:rsidRPr="00D63778" w:rsidRDefault="00382AFF" w:rsidP="00EB7DC4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D63778">
              <w:rPr>
                <w:rFonts w:ascii="Arial" w:hAnsi="Arial" w:cs="Arial"/>
              </w:rPr>
              <w:t>Precision and integrity</w:t>
            </w:r>
          </w:p>
          <w:p w14:paraId="51D79234" w14:textId="0D872258" w:rsidR="0059336B" w:rsidRPr="00D63778" w:rsidRDefault="0059336B" w:rsidP="00EB7DC4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D63778">
              <w:rPr>
                <w:rFonts w:ascii="Arial" w:hAnsi="Arial" w:cs="Arial"/>
              </w:rPr>
              <w:t xml:space="preserve">Ethical </w:t>
            </w:r>
            <w:r w:rsidR="00D63778" w:rsidRPr="00D63778">
              <w:rPr>
                <w:rFonts w:ascii="Arial" w:hAnsi="Arial" w:cs="Arial"/>
              </w:rPr>
              <w:t>authorization</w:t>
            </w:r>
          </w:p>
          <w:p w14:paraId="2CB402CF" w14:textId="1D920E7E" w:rsidR="0059336B" w:rsidRPr="00D63778" w:rsidRDefault="001F741C" w:rsidP="00EB7DC4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D63778">
              <w:rPr>
                <w:rFonts w:ascii="Arial" w:hAnsi="Arial" w:cs="Arial"/>
              </w:rPr>
              <w:t>I</w:t>
            </w:r>
            <w:r w:rsidR="0059336B" w:rsidRPr="00D63778">
              <w:rPr>
                <w:rFonts w:ascii="Arial" w:hAnsi="Arial" w:cs="Arial"/>
              </w:rPr>
              <w:t>n</w:t>
            </w:r>
            <w:r w:rsidRPr="00D63778">
              <w:rPr>
                <w:rFonts w:ascii="Arial" w:hAnsi="Arial" w:cs="Arial"/>
              </w:rPr>
              <w:t>formed consent</w:t>
            </w:r>
          </w:p>
          <w:p w14:paraId="620A9A72" w14:textId="08523304" w:rsidR="00914A9A" w:rsidRPr="00D63778" w:rsidRDefault="00914A9A" w:rsidP="00EB7DC4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D63778">
              <w:rPr>
                <w:rFonts w:ascii="Arial" w:hAnsi="Arial" w:cs="Arial"/>
              </w:rPr>
              <w:t>Confidentiality and privacy</w:t>
            </w:r>
          </w:p>
          <w:p w14:paraId="2EA355F1" w14:textId="7CB6EFE6" w:rsidR="00914A9A" w:rsidRPr="00D63778" w:rsidRDefault="00912654" w:rsidP="00EB7DC4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D63778">
              <w:rPr>
                <w:rFonts w:ascii="Arial" w:hAnsi="Arial" w:cs="Arial"/>
              </w:rPr>
              <w:t>Avoid plagiarism</w:t>
            </w:r>
          </w:p>
          <w:p w14:paraId="0531830E" w14:textId="77777777" w:rsidR="00EB6F36" w:rsidRPr="00D63778" w:rsidRDefault="00EB6F36" w:rsidP="00EB6F36">
            <w:pPr>
              <w:rPr>
                <w:rFonts w:ascii="Arial" w:hAnsi="Arial" w:cs="Arial"/>
              </w:rPr>
            </w:pPr>
          </w:p>
          <w:p w14:paraId="01A90E3F" w14:textId="77777777" w:rsidR="00EB6F36" w:rsidRPr="00EB6F36" w:rsidRDefault="00EB6F36" w:rsidP="00EB6F36">
            <w:pPr>
              <w:rPr>
                <w:rFonts w:ascii="Arial" w:hAnsi="Arial" w:cs="Arial"/>
              </w:rPr>
            </w:pPr>
          </w:p>
          <w:p w14:paraId="4D4507A7" w14:textId="2DB20B9A" w:rsidR="00B67824" w:rsidRPr="00EB6F36" w:rsidRDefault="00B67824" w:rsidP="00990E76">
            <w:pPr>
              <w:rPr>
                <w:rFonts w:ascii="Arial" w:hAnsi="Arial" w:cs="Arial"/>
              </w:rPr>
            </w:pPr>
          </w:p>
        </w:tc>
      </w:tr>
      <w:tr w:rsidR="004642F0" w:rsidRPr="00EB6F36" w14:paraId="7D852EB3" w14:textId="77777777" w:rsidTr="00EB6F36">
        <w:trPr>
          <w:trHeight w:val="60"/>
          <w:jc w:val="center"/>
        </w:trPr>
        <w:tc>
          <w:tcPr>
            <w:tcW w:w="4534" w:type="dxa"/>
            <w:vMerge/>
          </w:tcPr>
          <w:p w14:paraId="7218850B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31B4DC3A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02715FD6" w14:textId="77777777" w:rsidR="004642F0" w:rsidRPr="00EB6F36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2764226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1DD4887F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EB6F36" w14:paraId="6FE6E81E" w14:textId="77777777" w:rsidTr="00EB6F36">
        <w:trPr>
          <w:trHeight w:val="6431"/>
          <w:jc w:val="center"/>
        </w:trPr>
        <w:tc>
          <w:tcPr>
            <w:tcW w:w="4534" w:type="dxa"/>
            <w:vMerge/>
          </w:tcPr>
          <w:p w14:paraId="795D7C90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280A41D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1F9B8F03" w14:textId="4C3C9CD7" w:rsidR="00EB6F36" w:rsidRPr="00F34B91" w:rsidRDefault="00F34B91" w:rsidP="00EB6F36">
            <w:pPr>
              <w:pStyle w:val="Heading1"/>
              <w:rPr>
                <w:rStyle w:val="Heading1Char"/>
                <w:rFonts w:ascii="Arial" w:hAnsi="Arial" w:cs="Arial"/>
                <w:b/>
                <w:sz w:val="24"/>
                <w:szCs w:val="24"/>
              </w:rPr>
            </w:pPr>
            <w:r w:rsidRPr="00F34B91">
              <w:rPr>
                <w:rFonts w:ascii="Arial" w:hAnsi="Arial" w:cs="Arial"/>
                <w:sz w:val="24"/>
                <w:szCs w:val="24"/>
              </w:rPr>
              <w:t>Data Analysis method</w:t>
            </w:r>
          </w:p>
          <w:p w14:paraId="1FC25CB8" w14:textId="77777777" w:rsidR="00EB6F36" w:rsidRDefault="00DA7EA2" w:rsidP="00162F4C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>Thematic analysis</w:t>
            </w:r>
          </w:p>
          <w:p w14:paraId="3E1572C9" w14:textId="77777777" w:rsidR="00DA7EA2" w:rsidRDefault="00520A87" w:rsidP="00162F4C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 xml:space="preserve">Getting </w:t>
            </w:r>
            <w:r w:rsidR="00B607C4">
              <w:rPr>
                <w:rFonts w:ascii="Arial" w:hAnsi="Arial" w:cs="Arial"/>
                <w:noProof/>
              </w:rPr>
              <w:t>acquainted with the data</w:t>
            </w:r>
          </w:p>
          <w:p w14:paraId="457CF9FF" w14:textId="77777777" w:rsidR="00B607C4" w:rsidRDefault="00B607C4" w:rsidP="00162F4C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 xml:space="preserve">Creating </w:t>
            </w:r>
            <w:r w:rsidR="001D6F31">
              <w:rPr>
                <w:rFonts w:ascii="Arial" w:hAnsi="Arial" w:cs="Arial"/>
                <w:noProof/>
              </w:rPr>
              <w:t>preliminary codes</w:t>
            </w:r>
          </w:p>
          <w:p w14:paraId="0F8E1191" w14:textId="77777777" w:rsidR="001D6F31" w:rsidRDefault="001D6F31" w:rsidP="00162F4C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>Ident</w:t>
            </w:r>
            <w:r w:rsidR="001455A0">
              <w:rPr>
                <w:rFonts w:ascii="Arial" w:hAnsi="Arial" w:cs="Arial"/>
                <w:noProof/>
              </w:rPr>
              <w:t>ifying themes</w:t>
            </w:r>
          </w:p>
          <w:p w14:paraId="1B96A0A4" w14:textId="77777777" w:rsidR="001455A0" w:rsidRDefault="001455A0" w:rsidP="00162F4C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>Evaluating themes</w:t>
            </w:r>
          </w:p>
          <w:p w14:paraId="7AEDDCF8" w14:textId="77777777" w:rsidR="001455A0" w:rsidRDefault="001455A0" w:rsidP="00162F4C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>Defi</w:t>
            </w:r>
            <w:r w:rsidR="00271817">
              <w:rPr>
                <w:rFonts w:ascii="Arial" w:hAnsi="Arial" w:cs="Arial"/>
                <w:noProof/>
              </w:rPr>
              <w:t>ning and labeling themes</w:t>
            </w:r>
          </w:p>
          <w:p w14:paraId="6C24B37D" w14:textId="195E06FF" w:rsidR="006C2348" w:rsidRPr="00162F4C" w:rsidRDefault="006C2348" w:rsidP="00162F4C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>Compiling final report</w:t>
            </w:r>
          </w:p>
        </w:tc>
        <w:tc>
          <w:tcPr>
            <w:tcW w:w="360" w:type="dxa"/>
            <w:vMerge/>
          </w:tcPr>
          <w:p w14:paraId="5706C323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3978F1F4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0863B5DF" w14:textId="77777777" w:rsidR="00B67824" w:rsidRDefault="00B67824" w:rsidP="00C46111"/>
    <w:p w14:paraId="489BBCE1" w14:textId="030ECDA7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0219CF85" w14:textId="77055AF0" w:rsidR="006D73EF" w:rsidRPr="00C30239" w:rsidRDefault="006D73EF" w:rsidP="00C46111">
      <w:pPr>
        <w:rPr>
          <w:rFonts w:ascii="Arial" w:hAnsi="Arial" w:cs="Arial"/>
        </w:rPr>
      </w:pPr>
      <w:proofErr w:type="spellStart"/>
      <w:r w:rsidRPr="00C30239">
        <w:rPr>
          <w:rFonts w:ascii="Arial" w:hAnsi="Arial" w:cs="Arial"/>
        </w:rPr>
        <w:t>Braun</w:t>
      </w:r>
      <w:r w:rsidR="00BE23C0" w:rsidRPr="00C30239">
        <w:rPr>
          <w:rFonts w:ascii="Arial" w:hAnsi="Arial" w:cs="Arial"/>
        </w:rPr>
        <w:t>,V.and</w:t>
      </w:r>
      <w:proofErr w:type="spellEnd"/>
      <w:r w:rsidR="00BE23C0" w:rsidRPr="00C30239">
        <w:rPr>
          <w:rFonts w:ascii="Arial" w:hAnsi="Arial" w:cs="Arial"/>
        </w:rPr>
        <w:t xml:space="preserve"> </w:t>
      </w:r>
      <w:r w:rsidR="004941B6" w:rsidRPr="00C30239">
        <w:rPr>
          <w:rFonts w:ascii="Arial" w:hAnsi="Arial" w:cs="Arial"/>
        </w:rPr>
        <w:t>Clarke</w:t>
      </w:r>
      <w:r w:rsidR="00BE23C0" w:rsidRPr="00C30239">
        <w:rPr>
          <w:rFonts w:ascii="Arial" w:hAnsi="Arial" w:cs="Arial"/>
        </w:rPr>
        <w:t>, V.(2006</w:t>
      </w:r>
      <w:r w:rsidR="0079484D" w:rsidRPr="00C30239">
        <w:rPr>
          <w:rFonts w:ascii="Arial" w:hAnsi="Arial" w:cs="Arial"/>
        </w:rPr>
        <w:t>)</w:t>
      </w:r>
      <w:r w:rsidR="00A01194" w:rsidRPr="00C30239">
        <w:rPr>
          <w:rFonts w:ascii="Arial" w:hAnsi="Arial" w:cs="Arial"/>
        </w:rPr>
        <w:t>’</w:t>
      </w:r>
      <w:r w:rsidR="0079484D" w:rsidRPr="00C30239">
        <w:rPr>
          <w:rFonts w:ascii="Arial" w:hAnsi="Arial" w:cs="Arial"/>
        </w:rPr>
        <w:t xml:space="preserve"> U</w:t>
      </w:r>
      <w:r w:rsidR="002524FE" w:rsidRPr="00C30239">
        <w:rPr>
          <w:rFonts w:ascii="Arial" w:hAnsi="Arial" w:cs="Arial"/>
        </w:rPr>
        <w:t>sing thematic analysis in psychology</w:t>
      </w:r>
      <w:r w:rsidR="00A01194" w:rsidRPr="00C30239">
        <w:rPr>
          <w:rFonts w:ascii="Arial" w:hAnsi="Arial" w:cs="Arial"/>
        </w:rPr>
        <w:t>’,</w:t>
      </w:r>
      <w:r w:rsidR="00BD26EC" w:rsidRPr="00C30239">
        <w:rPr>
          <w:rFonts w:ascii="Arial" w:hAnsi="Arial" w:cs="Arial"/>
        </w:rPr>
        <w:t xml:space="preserve"> Qualitative Research in Psychology,</w:t>
      </w:r>
      <w:r w:rsidR="00FB3344" w:rsidRPr="00C30239">
        <w:rPr>
          <w:rFonts w:ascii="Arial" w:hAnsi="Arial" w:cs="Arial"/>
        </w:rPr>
        <w:t xml:space="preserve"> 3(2),pp.77</w:t>
      </w:r>
      <w:r w:rsidR="00E50D0A" w:rsidRPr="00C30239">
        <w:rPr>
          <w:rFonts w:ascii="Arial" w:hAnsi="Arial" w:cs="Arial"/>
        </w:rPr>
        <w:t>-101.</w:t>
      </w:r>
    </w:p>
    <w:p w14:paraId="6F8D6735" w14:textId="7B42FBBD" w:rsidR="009A2A4F" w:rsidRPr="00C30239" w:rsidRDefault="009A2A4F" w:rsidP="009A2A4F">
      <w:pPr>
        <w:spacing w:after="0"/>
        <w:rPr>
          <w:rFonts w:ascii="Times New Roman" w:eastAsia="Times New Roman" w:hAnsi="Times New Roman" w:cs="Times New Roman"/>
          <w:lang w:val="en-GB" w:eastAsia="en-GB"/>
        </w:rPr>
      </w:pPr>
      <w:r w:rsidRPr="00C30239">
        <w:rPr>
          <w:rFonts w:ascii="Arial" w:eastAsia="Times New Roman" w:hAnsi="Arial" w:cs="Arial"/>
          <w:lang w:val="en-GB" w:eastAsia="en-GB"/>
        </w:rPr>
        <w:t>Davies, S., Pearson, A., Allen, R., Whittaker, W., Cartney, P., Clarkson, P., McPhillips, R., Owens, J., Regan, M., Van Tongeren, M., Young, A., &amp; Robinson, C. (2025</w:t>
      </w:r>
      <w:r w:rsidRPr="00C30239">
        <w:rPr>
          <w:rFonts w:ascii="Times New Roman" w:eastAsia="Times New Roman" w:hAnsi="Times New Roman" w:cs="Times New Roman"/>
          <w:lang w:val="en-GB" w:eastAsia="en-GB"/>
        </w:rPr>
        <w:t xml:space="preserve">). “Living with Covid”: Well-being, Burnout, and Moral Injury in England’s Adult Social Care Workforce - A Survey Study. </w:t>
      </w:r>
      <w:r w:rsidRPr="00C30239">
        <w:rPr>
          <w:rFonts w:ascii="Times New Roman" w:eastAsia="Times New Roman" w:hAnsi="Times New Roman" w:cs="Times New Roman"/>
          <w:i/>
          <w:iCs/>
          <w:lang w:val="en-GB" w:eastAsia="en-GB"/>
        </w:rPr>
        <w:t>Journal of Long-Term Care</w:t>
      </w:r>
      <w:r w:rsidRPr="00C30239">
        <w:rPr>
          <w:rFonts w:ascii="Times New Roman" w:eastAsia="Times New Roman" w:hAnsi="Times New Roman" w:cs="Times New Roman"/>
          <w:lang w:val="en-GB" w:eastAsia="en-GB"/>
        </w:rPr>
        <w:t xml:space="preserve">. </w:t>
      </w:r>
      <w:hyperlink r:id="rId15" w:history="1">
        <w:r w:rsidRPr="00C30239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https://doi.org/10.31389/jltc.370</w:t>
        </w:r>
      </w:hyperlink>
    </w:p>
    <w:p w14:paraId="24AF9F6B" w14:textId="77777777" w:rsidR="000B3B6C" w:rsidRPr="00C30239" w:rsidRDefault="000B3B6C" w:rsidP="009A2A4F">
      <w:pPr>
        <w:spacing w:after="0"/>
        <w:rPr>
          <w:rFonts w:ascii="Times New Roman" w:eastAsia="Times New Roman" w:hAnsi="Times New Roman" w:cs="Times New Roman"/>
          <w:lang w:val="en-GB" w:eastAsia="en-GB"/>
        </w:rPr>
      </w:pPr>
    </w:p>
    <w:p w14:paraId="6876F2DF" w14:textId="639F9D56" w:rsidR="00B324A9" w:rsidRPr="00C30239" w:rsidRDefault="00B324A9" w:rsidP="00B324A9">
      <w:pPr>
        <w:spacing w:after="0"/>
        <w:rPr>
          <w:rFonts w:ascii="Times New Roman" w:eastAsia="Times New Roman" w:hAnsi="Times New Roman" w:cs="Times New Roman"/>
          <w:lang w:val="en-GB" w:eastAsia="en-GB"/>
        </w:rPr>
      </w:pPr>
      <w:r w:rsidRPr="00C30239">
        <w:rPr>
          <w:rFonts w:ascii="Times New Roman" w:eastAsia="Times New Roman" w:hAnsi="Times New Roman" w:cs="Times New Roman"/>
          <w:lang w:val="en-GB" w:eastAsia="en-GB"/>
        </w:rPr>
        <w:t xml:space="preserve">Lim, W. M. (2025). What Is Qualitative Research? An Overview and Guidelines. </w:t>
      </w:r>
      <w:r w:rsidRPr="00C30239">
        <w:rPr>
          <w:rFonts w:ascii="Times New Roman" w:eastAsia="Times New Roman" w:hAnsi="Times New Roman" w:cs="Times New Roman"/>
          <w:i/>
          <w:iCs/>
          <w:lang w:val="en-GB" w:eastAsia="en-GB"/>
        </w:rPr>
        <w:t>Australasian Marketing Journal</w:t>
      </w:r>
      <w:r w:rsidRPr="00C30239">
        <w:rPr>
          <w:rFonts w:ascii="Times New Roman" w:eastAsia="Times New Roman" w:hAnsi="Times New Roman" w:cs="Times New Roman"/>
          <w:lang w:val="en-GB" w:eastAsia="en-GB"/>
        </w:rPr>
        <w:t xml:space="preserve">, </w:t>
      </w:r>
      <w:r w:rsidRPr="00C30239">
        <w:rPr>
          <w:rFonts w:ascii="Times New Roman" w:eastAsia="Times New Roman" w:hAnsi="Times New Roman" w:cs="Times New Roman"/>
          <w:i/>
          <w:iCs/>
          <w:lang w:val="en-GB" w:eastAsia="en-GB"/>
        </w:rPr>
        <w:t>33</w:t>
      </w:r>
      <w:r w:rsidRPr="00C30239">
        <w:rPr>
          <w:rFonts w:ascii="Times New Roman" w:eastAsia="Times New Roman" w:hAnsi="Times New Roman" w:cs="Times New Roman"/>
          <w:lang w:val="en-GB" w:eastAsia="en-GB"/>
        </w:rPr>
        <w:t xml:space="preserve">(2), 199–229. </w:t>
      </w:r>
      <w:hyperlink r:id="rId16" w:history="1">
        <w:r w:rsidRPr="00C30239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https://doi.org/10.1177/14413582241264619</w:t>
        </w:r>
      </w:hyperlink>
    </w:p>
    <w:p w14:paraId="595EEEEF" w14:textId="43343C86" w:rsidR="00186FAE" w:rsidRPr="00C30239" w:rsidRDefault="00186FAE" w:rsidP="00186FAE">
      <w:pPr>
        <w:spacing w:after="0"/>
        <w:rPr>
          <w:rFonts w:ascii="Times New Roman" w:eastAsia="Times New Roman" w:hAnsi="Times New Roman" w:cs="Times New Roman"/>
          <w:lang w:val="en-GB" w:eastAsia="en-GB"/>
        </w:rPr>
      </w:pPr>
      <w:r w:rsidRPr="00C30239">
        <w:rPr>
          <w:rFonts w:ascii="Times New Roman" w:eastAsia="Times New Roman" w:hAnsi="Times New Roman" w:cs="Times New Roman"/>
          <w:lang w:val="en-GB" w:eastAsia="en-GB"/>
        </w:rPr>
        <w:t xml:space="preserve">Paul, J., &amp; </w:t>
      </w:r>
      <w:proofErr w:type="spellStart"/>
      <w:r w:rsidRPr="00C30239">
        <w:rPr>
          <w:rFonts w:ascii="Times New Roman" w:eastAsia="Times New Roman" w:hAnsi="Times New Roman" w:cs="Times New Roman"/>
          <w:lang w:val="en-GB" w:eastAsia="en-GB"/>
        </w:rPr>
        <w:t>Barari</w:t>
      </w:r>
      <w:proofErr w:type="spellEnd"/>
      <w:r w:rsidRPr="00C30239">
        <w:rPr>
          <w:rFonts w:ascii="Times New Roman" w:eastAsia="Times New Roman" w:hAnsi="Times New Roman" w:cs="Times New Roman"/>
          <w:lang w:val="en-GB" w:eastAsia="en-GB"/>
        </w:rPr>
        <w:t>, M. (2022). Meta</w:t>
      </w:r>
      <w:r w:rsidRPr="00C30239">
        <w:rPr>
          <w:rFonts w:ascii="Cambria Math" w:eastAsia="Times New Roman" w:hAnsi="Cambria Math" w:cs="Cambria Math"/>
          <w:lang w:val="en-GB" w:eastAsia="en-GB"/>
        </w:rPr>
        <w:t>‐</w:t>
      </w:r>
      <w:r w:rsidRPr="00C30239">
        <w:rPr>
          <w:rFonts w:ascii="Times New Roman" w:eastAsia="Times New Roman" w:hAnsi="Times New Roman" w:cs="Times New Roman"/>
          <w:lang w:val="en-GB" w:eastAsia="en-GB"/>
        </w:rPr>
        <w:t>analysis and traditional systematic literature reviews</w:t>
      </w:r>
      <w:r w:rsidRPr="00C30239">
        <w:rPr>
          <w:rFonts w:ascii="Century Schoolbook" w:eastAsia="Times New Roman" w:hAnsi="Century Schoolbook" w:cs="Century Schoolbook"/>
          <w:lang w:val="en-GB" w:eastAsia="en-GB"/>
        </w:rPr>
        <w:t>—</w:t>
      </w:r>
      <w:r w:rsidRPr="00C30239">
        <w:rPr>
          <w:rFonts w:ascii="Times New Roman" w:eastAsia="Times New Roman" w:hAnsi="Times New Roman" w:cs="Times New Roman"/>
          <w:lang w:val="en-GB" w:eastAsia="en-GB"/>
        </w:rPr>
        <w:t xml:space="preserve">What, why, when, where, and how? </w:t>
      </w:r>
      <w:r w:rsidRPr="00C30239">
        <w:rPr>
          <w:rFonts w:ascii="Times New Roman" w:eastAsia="Times New Roman" w:hAnsi="Times New Roman" w:cs="Times New Roman"/>
          <w:i/>
          <w:iCs/>
          <w:lang w:val="en-GB" w:eastAsia="en-GB"/>
        </w:rPr>
        <w:t>Psychology &amp; Marketing</w:t>
      </w:r>
      <w:r w:rsidRPr="00C30239">
        <w:rPr>
          <w:rFonts w:ascii="Times New Roman" w:eastAsia="Times New Roman" w:hAnsi="Times New Roman" w:cs="Times New Roman"/>
          <w:lang w:val="en-GB" w:eastAsia="en-GB"/>
        </w:rPr>
        <w:t xml:space="preserve">, </w:t>
      </w:r>
      <w:r w:rsidRPr="00C30239">
        <w:rPr>
          <w:rFonts w:ascii="Times New Roman" w:eastAsia="Times New Roman" w:hAnsi="Times New Roman" w:cs="Times New Roman"/>
          <w:i/>
          <w:iCs/>
          <w:lang w:val="en-GB" w:eastAsia="en-GB"/>
        </w:rPr>
        <w:t>39</w:t>
      </w:r>
      <w:r w:rsidRPr="00C30239">
        <w:rPr>
          <w:rFonts w:ascii="Times New Roman" w:eastAsia="Times New Roman" w:hAnsi="Times New Roman" w:cs="Times New Roman"/>
          <w:lang w:val="en-GB" w:eastAsia="en-GB"/>
        </w:rPr>
        <w:t xml:space="preserve">(6), 1099–1115. </w:t>
      </w:r>
      <w:hyperlink r:id="rId17" w:history="1">
        <w:r w:rsidR="00C07904" w:rsidRPr="00C30239">
          <w:rPr>
            <w:rStyle w:val="Hyperlink"/>
            <w:rFonts w:ascii="Times New Roman" w:eastAsia="Times New Roman" w:hAnsi="Times New Roman" w:cs="Times New Roman"/>
            <w:lang w:val="en-GB" w:eastAsia="en-GB"/>
          </w:rPr>
          <w:t>https://doi.org/10.1002/mar.21657</w:t>
        </w:r>
      </w:hyperlink>
    </w:p>
    <w:p w14:paraId="6652E225" w14:textId="77777777" w:rsidR="00216D76" w:rsidRPr="00C30239" w:rsidRDefault="00216D76" w:rsidP="00216D76">
      <w:pPr>
        <w:spacing w:after="0"/>
        <w:rPr>
          <w:rFonts w:ascii="Times New Roman" w:eastAsia="Times New Roman" w:hAnsi="Times New Roman" w:cs="Times New Roman"/>
          <w:lang w:val="en-GB" w:eastAsia="en-GB"/>
        </w:rPr>
      </w:pPr>
      <w:r w:rsidRPr="00C30239">
        <w:rPr>
          <w:rFonts w:ascii="Times New Roman" w:eastAsia="Times New Roman" w:hAnsi="Times New Roman" w:cs="Times New Roman"/>
          <w:lang w:val="en-GB" w:eastAsia="en-GB"/>
        </w:rPr>
        <w:t xml:space="preserve">Ratajczak, P., Oziewicz, K., Sommer, I., </w:t>
      </w:r>
      <w:proofErr w:type="spellStart"/>
      <w:r w:rsidRPr="00C30239">
        <w:rPr>
          <w:rFonts w:ascii="Times New Roman" w:eastAsia="Times New Roman" w:hAnsi="Times New Roman" w:cs="Times New Roman"/>
          <w:lang w:val="en-GB" w:eastAsia="en-GB"/>
        </w:rPr>
        <w:t>Kopciuch</w:t>
      </w:r>
      <w:proofErr w:type="spellEnd"/>
      <w:r w:rsidRPr="00C30239">
        <w:rPr>
          <w:rFonts w:ascii="Times New Roman" w:eastAsia="Times New Roman" w:hAnsi="Times New Roman" w:cs="Times New Roman"/>
          <w:lang w:val="en-GB" w:eastAsia="en-GB"/>
        </w:rPr>
        <w:t xml:space="preserve">, D., Paczkowska, A., Zaprutko, T., &amp; Kus, K. (2025). The Perspective on Secondary Research Practices: A Cross-Sectional Analysis. </w:t>
      </w:r>
      <w:r w:rsidRPr="00C30239">
        <w:rPr>
          <w:rFonts w:ascii="Times New Roman" w:eastAsia="Times New Roman" w:hAnsi="Times New Roman" w:cs="Times New Roman"/>
          <w:i/>
          <w:iCs/>
          <w:lang w:val="en-GB" w:eastAsia="en-GB"/>
        </w:rPr>
        <w:t>Healthcare (Basel)</w:t>
      </w:r>
      <w:r w:rsidRPr="00C30239">
        <w:rPr>
          <w:rFonts w:ascii="Times New Roman" w:eastAsia="Times New Roman" w:hAnsi="Times New Roman" w:cs="Times New Roman"/>
          <w:lang w:val="en-GB" w:eastAsia="en-GB"/>
        </w:rPr>
        <w:t xml:space="preserve">, </w:t>
      </w:r>
      <w:r w:rsidRPr="00C30239">
        <w:rPr>
          <w:rFonts w:ascii="Times New Roman" w:eastAsia="Times New Roman" w:hAnsi="Times New Roman" w:cs="Times New Roman"/>
          <w:i/>
          <w:iCs/>
          <w:lang w:val="en-GB" w:eastAsia="en-GB"/>
        </w:rPr>
        <w:t>13</w:t>
      </w:r>
      <w:r w:rsidRPr="00C30239">
        <w:rPr>
          <w:rFonts w:ascii="Times New Roman" w:eastAsia="Times New Roman" w:hAnsi="Times New Roman" w:cs="Times New Roman"/>
          <w:lang w:val="en-GB" w:eastAsia="en-GB"/>
        </w:rPr>
        <w:t>(8), 927. https://doi.org/10.3390/healthcare13080927</w:t>
      </w:r>
    </w:p>
    <w:p w14:paraId="146E1C19" w14:textId="77777777" w:rsidR="00C07904" w:rsidRPr="00C30239" w:rsidRDefault="00C07904" w:rsidP="00186FAE">
      <w:pPr>
        <w:spacing w:after="0"/>
        <w:rPr>
          <w:rFonts w:ascii="Times New Roman" w:eastAsia="Times New Roman" w:hAnsi="Times New Roman" w:cs="Times New Roman"/>
          <w:lang w:val="en-GB" w:eastAsia="en-GB"/>
        </w:rPr>
      </w:pPr>
    </w:p>
    <w:p w14:paraId="1B4F26BF" w14:textId="77777777" w:rsidR="003E48AB" w:rsidRPr="00C30239" w:rsidRDefault="003E48AB" w:rsidP="00B324A9">
      <w:pPr>
        <w:spacing w:after="0"/>
        <w:rPr>
          <w:rFonts w:ascii="Times New Roman" w:eastAsia="Times New Roman" w:hAnsi="Times New Roman" w:cs="Times New Roman"/>
          <w:lang w:val="en-GB" w:eastAsia="en-GB"/>
        </w:rPr>
      </w:pPr>
    </w:p>
    <w:p w14:paraId="3E9A7F95" w14:textId="77777777" w:rsidR="00186FAE" w:rsidRPr="00C30239" w:rsidRDefault="00186FAE" w:rsidP="00B324A9">
      <w:pPr>
        <w:spacing w:after="0"/>
        <w:rPr>
          <w:rFonts w:ascii="Times New Roman" w:eastAsia="Times New Roman" w:hAnsi="Times New Roman" w:cs="Times New Roman"/>
          <w:lang w:val="en-GB" w:eastAsia="en-GB"/>
        </w:rPr>
      </w:pPr>
    </w:p>
    <w:p w14:paraId="2602DC27" w14:textId="77777777" w:rsidR="00B324A9" w:rsidRPr="00B324A9" w:rsidRDefault="00B324A9" w:rsidP="00B324A9">
      <w:pPr>
        <w:spacing w:after="0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35C8FF25" w14:textId="77777777" w:rsidR="00B324A9" w:rsidRDefault="00B324A9" w:rsidP="009A2A4F">
      <w:pPr>
        <w:spacing w:after="0"/>
        <w:rPr>
          <w:rFonts w:ascii="Times New Roman" w:eastAsia="Times New Roman" w:hAnsi="Times New Roman" w:cs="Times New Roman"/>
          <w:sz w:val="18"/>
          <w:szCs w:val="18"/>
          <w:lang w:val="en-GB" w:eastAsia="en-GB"/>
        </w:rPr>
      </w:pPr>
    </w:p>
    <w:p w14:paraId="27475688" w14:textId="77777777" w:rsidR="009A2A4F" w:rsidRPr="009A2A4F" w:rsidRDefault="009A2A4F" w:rsidP="009A2A4F">
      <w:pPr>
        <w:spacing w:after="0"/>
        <w:rPr>
          <w:rFonts w:ascii="Times New Roman" w:eastAsia="Times New Roman" w:hAnsi="Times New Roman" w:cs="Times New Roman"/>
          <w:sz w:val="18"/>
          <w:szCs w:val="18"/>
          <w:lang w:val="en-GB" w:eastAsia="en-GB"/>
        </w:rPr>
      </w:pPr>
    </w:p>
    <w:p w14:paraId="3360FCE7" w14:textId="77777777" w:rsidR="009A2A4F" w:rsidRDefault="009A2A4F" w:rsidP="00C46111">
      <w:pPr>
        <w:rPr>
          <w:rFonts w:ascii="Arial" w:hAnsi="Arial" w:cs="Arial"/>
          <w:b/>
          <w:bCs/>
          <w:sz w:val="28"/>
          <w:szCs w:val="28"/>
        </w:rPr>
      </w:pPr>
    </w:p>
    <w:p w14:paraId="52B6CED8" w14:textId="77777777" w:rsidR="000A700E" w:rsidRDefault="000A700E" w:rsidP="00C46111">
      <w:pPr>
        <w:rPr>
          <w:rFonts w:ascii="Arial" w:hAnsi="Arial" w:cs="Arial"/>
          <w:b/>
          <w:bCs/>
          <w:sz w:val="28"/>
          <w:szCs w:val="28"/>
        </w:rPr>
      </w:pPr>
    </w:p>
    <w:p w14:paraId="364E780A" w14:textId="39940913" w:rsidR="00EB6F36" w:rsidRDefault="00EB6F36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14:paraId="787444D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18"/>
      <w:headerReference w:type="first" r:id="rId19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E935D5" w14:textId="77777777" w:rsidR="00530E5C" w:rsidRDefault="00530E5C" w:rsidP="00D210FA">
      <w:pPr>
        <w:spacing w:after="0"/>
      </w:pPr>
      <w:r>
        <w:separator/>
      </w:r>
    </w:p>
  </w:endnote>
  <w:endnote w:type="continuationSeparator" w:id="0">
    <w:p w14:paraId="6FE5D538" w14:textId="77777777" w:rsidR="00530E5C" w:rsidRDefault="00530E5C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BAE79F" w14:textId="77777777" w:rsidR="00530E5C" w:rsidRDefault="00530E5C" w:rsidP="00D210FA">
      <w:pPr>
        <w:spacing w:after="0"/>
      </w:pPr>
      <w:r>
        <w:separator/>
      </w:r>
    </w:p>
  </w:footnote>
  <w:footnote w:type="continuationSeparator" w:id="0">
    <w:p w14:paraId="5BD7F50B" w14:textId="77777777" w:rsidR="00530E5C" w:rsidRDefault="00530E5C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8A6F6F"/>
    <w:multiLevelType w:val="hybridMultilevel"/>
    <w:tmpl w:val="ABA42F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F54C03"/>
    <w:multiLevelType w:val="hybridMultilevel"/>
    <w:tmpl w:val="5792D84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17141727"/>
    <w:multiLevelType w:val="hybridMultilevel"/>
    <w:tmpl w:val="16529F4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949602C"/>
    <w:multiLevelType w:val="hybridMultilevel"/>
    <w:tmpl w:val="555402F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E7653FD"/>
    <w:multiLevelType w:val="hybridMultilevel"/>
    <w:tmpl w:val="3C72715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6F84C38"/>
    <w:multiLevelType w:val="hybridMultilevel"/>
    <w:tmpl w:val="57E0A0A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D753CBF"/>
    <w:multiLevelType w:val="hybridMultilevel"/>
    <w:tmpl w:val="BF60572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4"/>
  </w:num>
  <w:num w:numId="2" w16cid:durableId="66732129">
    <w:abstractNumId w:val="2"/>
  </w:num>
  <w:num w:numId="3" w16cid:durableId="1791968620">
    <w:abstractNumId w:val="12"/>
  </w:num>
  <w:num w:numId="4" w16cid:durableId="67852329">
    <w:abstractNumId w:val="13"/>
  </w:num>
  <w:num w:numId="5" w16cid:durableId="825783799">
    <w:abstractNumId w:val="6"/>
  </w:num>
  <w:num w:numId="6" w16cid:durableId="1203637911">
    <w:abstractNumId w:val="5"/>
  </w:num>
  <w:num w:numId="7" w16cid:durableId="1393117886">
    <w:abstractNumId w:val="9"/>
  </w:num>
  <w:num w:numId="8" w16cid:durableId="1971596687">
    <w:abstractNumId w:val="0"/>
  </w:num>
  <w:num w:numId="9" w16cid:durableId="667635650">
    <w:abstractNumId w:val="3"/>
  </w:num>
  <w:num w:numId="10" w16cid:durableId="312763002">
    <w:abstractNumId w:val="7"/>
  </w:num>
  <w:num w:numId="11" w16cid:durableId="1839615071">
    <w:abstractNumId w:val="8"/>
  </w:num>
  <w:num w:numId="12" w16cid:durableId="1045371659">
    <w:abstractNumId w:val="1"/>
  </w:num>
  <w:num w:numId="13" w16cid:durableId="2050378495">
    <w:abstractNumId w:val="11"/>
  </w:num>
  <w:num w:numId="14" w16cid:durableId="739593999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0A13"/>
    <w:rsid w:val="00002366"/>
    <w:rsid w:val="00002AE5"/>
    <w:rsid w:val="0000680E"/>
    <w:rsid w:val="00023293"/>
    <w:rsid w:val="000522AC"/>
    <w:rsid w:val="00061977"/>
    <w:rsid w:val="0008782A"/>
    <w:rsid w:val="00090CAB"/>
    <w:rsid w:val="000A065A"/>
    <w:rsid w:val="000A700E"/>
    <w:rsid w:val="000B3B6C"/>
    <w:rsid w:val="000D6F4A"/>
    <w:rsid w:val="000F1BC6"/>
    <w:rsid w:val="00103DBF"/>
    <w:rsid w:val="00106FC5"/>
    <w:rsid w:val="00120DEC"/>
    <w:rsid w:val="00123C19"/>
    <w:rsid w:val="00125D31"/>
    <w:rsid w:val="001455A0"/>
    <w:rsid w:val="0015753E"/>
    <w:rsid w:val="00160F70"/>
    <w:rsid w:val="00162F4C"/>
    <w:rsid w:val="00176C17"/>
    <w:rsid w:val="00180A9C"/>
    <w:rsid w:val="00186FAE"/>
    <w:rsid w:val="001C55B6"/>
    <w:rsid w:val="001D6CC4"/>
    <w:rsid w:val="001D6F31"/>
    <w:rsid w:val="001F741C"/>
    <w:rsid w:val="00206405"/>
    <w:rsid w:val="00216D76"/>
    <w:rsid w:val="00232302"/>
    <w:rsid w:val="002524FE"/>
    <w:rsid w:val="00253267"/>
    <w:rsid w:val="0026600E"/>
    <w:rsid w:val="002677C3"/>
    <w:rsid w:val="00271817"/>
    <w:rsid w:val="002823CD"/>
    <w:rsid w:val="00287787"/>
    <w:rsid w:val="00291685"/>
    <w:rsid w:val="002924A7"/>
    <w:rsid w:val="002B068D"/>
    <w:rsid w:val="002B0A3D"/>
    <w:rsid w:val="002B7987"/>
    <w:rsid w:val="002C49BB"/>
    <w:rsid w:val="002E1A4B"/>
    <w:rsid w:val="003007A7"/>
    <w:rsid w:val="00320F43"/>
    <w:rsid w:val="00323632"/>
    <w:rsid w:val="003257E1"/>
    <w:rsid w:val="00325DEC"/>
    <w:rsid w:val="00336560"/>
    <w:rsid w:val="00346FFA"/>
    <w:rsid w:val="00382AFF"/>
    <w:rsid w:val="00392016"/>
    <w:rsid w:val="003A3069"/>
    <w:rsid w:val="003C20B5"/>
    <w:rsid w:val="003E19A5"/>
    <w:rsid w:val="003E3554"/>
    <w:rsid w:val="003E48AB"/>
    <w:rsid w:val="003E545F"/>
    <w:rsid w:val="003F03D2"/>
    <w:rsid w:val="003F1E1A"/>
    <w:rsid w:val="003F472D"/>
    <w:rsid w:val="004045E5"/>
    <w:rsid w:val="00421496"/>
    <w:rsid w:val="00422C27"/>
    <w:rsid w:val="00434362"/>
    <w:rsid w:val="0044367C"/>
    <w:rsid w:val="004642F0"/>
    <w:rsid w:val="00472908"/>
    <w:rsid w:val="00474041"/>
    <w:rsid w:val="004941B6"/>
    <w:rsid w:val="004B0B52"/>
    <w:rsid w:val="004B7A9F"/>
    <w:rsid w:val="004C49CD"/>
    <w:rsid w:val="004D75F5"/>
    <w:rsid w:val="004E6B2A"/>
    <w:rsid w:val="00500564"/>
    <w:rsid w:val="0050274A"/>
    <w:rsid w:val="0051102B"/>
    <w:rsid w:val="0051578D"/>
    <w:rsid w:val="00520A87"/>
    <w:rsid w:val="00530E5C"/>
    <w:rsid w:val="0056051A"/>
    <w:rsid w:val="005838BC"/>
    <w:rsid w:val="0059336B"/>
    <w:rsid w:val="005B57E1"/>
    <w:rsid w:val="005C2F6D"/>
    <w:rsid w:val="005E61E0"/>
    <w:rsid w:val="005F0F31"/>
    <w:rsid w:val="006024ED"/>
    <w:rsid w:val="0061793F"/>
    <w:rsid w:val="0062123A"/>
    <w:rsid w:val="0064416B"/>
    <w:rsid w:val="006605F8"/>
    <w:rsid w:val="006676A1"/>
    <w:rsid w:val="006743E1"/>
    <w:rsid w:val="006833BD"/>
    <w:rsid w:val="00693671"/>
    <w:rsid w:val="006C2348"/>
    <w:rsid w:val="006D2642"/>
    <w:rsid w:val="006D73EF"/>
    <w:rsid w:val="006E2D42"/>
    <w:rsid w:val="006F0145"/>
    <w:rsid w:val="00701A99"/>
    <w:rsid w:val="007022B3"/>
    <w:rsid w:val="0071681E"/>
    <w:rsid w:val="00720FEE"/>
    <w:rsid w:val="00724D51"/>
    <w:rsid w:val="00724E0E"/>
    <w:rsid w:val="007345FA"/>
    <w:rsid w:val="00735273"/>
    <w:rsid w:val="00755ABE"/>
    <w:rsid w:val="00764B6F"/>
    <w:rsid w:val="007938BC"/>
    <w:rsid w:val="0079484D"/>
    <w:rsid w:val="007B66A5"/>
    <w:rsid w:val="007C7319"/>
    <w:rsid w:val="007D43B3"/>
    <w:rsid w:val="007F20B4"/>
    <w:rsid w:val="007F525E"/>
    <w:rsid w:val="008031F8"/>
    <w:rsid w:val="0082695D"/>
    <w:rsid w:val="0083044C"/>
    <w:rsid w:val="00837FDA"/>
    <w:rsid w:val="0085182D"/>
    <w:rsid w:val="00867E5F"/>
    <w:rsid w:val="008709F5"/>
    <w:rsid w:val="00877A91"/>
    <w:rsid w:val="008840EA"/>
    <w:rsid w:val="00884E86"/>
    <w:rsid w:val="008927FF"/>
    <w:rsid w:val="008B0F18"/>
    <w:rsid w:val="008B47F1"/>
    <w:rsid w:val="008E0A21"/>
    <w:rsid w:val="008E3921"/>
    <w:rsid w:val="0090027B"/>
    <w:rsid w:val="009026F9"/>
    <w:rsid w:val="00905238"/>
    <w:rsid w:val="00906FDC"/>
    <w:rsid w:val="00912654"/>
    <w:rsid w:val="00914A9A"/>
    <w:rsid w:val="0094702A"/>
    <w:rsid w:val="00967DAB"/>
    <w:rsid w:val="00990E76"/>
    <w:rsid w:val="0099156A"/>
    <w:rsid w:val="00991A53"/>
    <w:rsid w:val="00996F4E"/>
    <w:rsid w:val="009A2A4F"/>
    <w:rsid w:val="009D5F03"/>
    <w:rsid w:val="009E7588"/>
    <w:rsid w:val="009F71FE"/>
    <w:rsid w:val="00A01194"/>
    <w:rsid w:val="00A25C08"/>
    <w:rsid w:val="00A31F33"/>
    <w:rsid w:val="00A35533"/>
    <w:rsid w:val="00A51BCC"/>
    <w:rsid w:val="00A70A62"/>
    <w:rsid w:val="00A71DA8"/>
    <w:rsid w:val="00AB1210"/>
    <w:rsid w:val="00AB770D"/>
    <w:rsid w:val="00AF2088"/>
    <w:rsid w:val="00AF5FB0"/>
    <w:rsid w:val="00B0080A"/>
    <w:rsid w:val="00B03497"/>
    <w:rsid w:val="00B0538C"/>
    <w:rsid w:val="00B12678"/>
    <w:rsid w:val="00B324A9"/>
    <w:rsid w:val="00B37AB8"/>
    <w:rsid w:val="00B418DE"/>
    <w:rsid w:val="00B47FE7"/>
    <w:rsid w:val="00B607C4"/>
    <w:rsid w:val="00B67824"/>
    <w:rsid w:val="00BA07FF"/>
    <w:rsid w:val="00BD26EC"/>
    <w:rsid w:val="00BE15BA"/>
    <w:rsid w:val="00BE23C0"/>
    <w:rsid w:val="00BF7F2F"/>
    <w:rsid w:val="00C07904"/>
    <w:rsid w:val="00C17084"/>
    <w:rsid w:val="00C20ED0"/>
    <w:rsid w:val="00C21597"/>
    <w:rsid w:val="00C229ED"/>
    <w:rsid w:val="00C27616"/>
    <w:rsid w:val="00C30239"/>
    <w:rsid w:val="00C348A8"/>
    <w:rsid w:val="00C46111"/>
    <w:rsid w:val="00C72D53"/>
    <w:rsid w:val="00C83332"/>
    <w:rsid w:val="00C95E04"/>
    <w:rsid w:val="00CC0A8F"/>
    <w:rsid w:val="00CC24B6"/>
    <w:rsid w:val="00CD3A64"/>
    <w:rsid w:val="00CE08CD"/>
    <w:rsid w:val="00CF2A11"/>
    <w:rsid w:val="00D0664A"/>
    <w:rsid w:val="00D210FA"/>
    <w:rsid w:val="00D30F1D"/>
    <w:rsid w:val="00D411DE"/>
    <w:rsid w:val="00D53F86"/>
    <w:rsid w:val="00D57231"/>
    <w:rsid w:val="00D63778"/>
    <w:rsid w:val="00D87B48"/>
    <w:rsid w:val="00D91203"/>
    <w:rsid w:val="00D94FD1"/>
    <w:rsid w:val="00DA38AC"/>
    <w:rsid w:val="00DA4390"/>
    <w:rsid w:val="00DA4AF9"/>
    <w:rsid w:val="00DA7EA2"/>
    <w:rsid w:val="00E23CB3"/>
    <w:rsid w:val="00E41692"/>
    <w:rsid w:val="00E50D0A"/>
    <w:rsid w:val="00E55D74"/>
    <w:rsid w:val="00E6709B"/>
    <w:rsid w:val="00E74CBD"/>
    <w:rsid w:val="00E81234"/>
    <w:rsid w:val="00E9037E"/>
    <w:rsid w:val="00EA120D"/>
    <w:rsid w:val="00EA49C3"/>
    <w:rsid w:val="00EB5E14"/>
    <w:rsid w:val="00EB6F36"/>
    <w:rsid w:val="00EB7DC4"/>
    <w:rsid w:val="00ED1049"/>
    <w:rsid w:val="00EE19D9"/>
    <w:rsid w:val="00EF26FC"/>
    <w:rsid w:val="00F34B91"/>
    <w:rsid w:val="00F37523"/>
    <w:rsid w:val="00F50168"/>
    <w:rsid w:val="00F50D34"/>
    <w:rsid w:val="00F61360"/>
    <w:rsid w:val="00F616B5"/>
    <w:rsid w:val="00FB3344"/>
    <w:rsid w:val="00FB7915"/>
    <w:rsid w:val="00FC538A"/>
    <w:rsid w:val="00FE1315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  <w15:docId w15:val="{11076394-E68E-428E-81F6-32870E348B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9A2A4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doi.org/10.1002/mar.21657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177/14413582241264619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doi.org/10.31389/jltc.370" TargetMode="External"/><Relationship Id="rId10" Type="http://schemas.openxmlformats.org/officeDocument/2006/relationships/endnotes" Target="endnotes.xml"/><Relationship Id="rId19" Type="http://schemas.openxmlformats.org/officeDocument/2006/relationships/header" Target="header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4</Pages>
  <Words>409</Words>
  <Characters>2336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Osman Kamara (2324742)</cp:lastModifiedBy>
  <cp:revision>35</cp:revision>
  <dcterms:created xsi:type="dcterms:W3CDTF">2026-10-23T08:23:00Z</dcterms:created>
  <dcterms:modified xsi:type="dcterms:W3CDTF">2026-10-23T11:51:00Z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