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E74435" w14:textId="77777777" w:rsidR="000E3542" w:rsidRPr="00D160E9" w:rsidRDefault="000E3542" w:rsidP="00D160E9">
      <w:pPr>
        <w:jc w:val="center"/>
        <w:rPr>
          <w:rFonts w:ascii="Arial" w:hAnsi="Arial" w:cs="Arial"/>
          <w:b/>
          <w:bCs/>
          <w:sz w:val="24"/>
          <w:szCs w:val="24"/>
          <w:u w:val="single"/>
        </w:rPr>
      </w:pPr>
      <w:r w:rsidRPr="00D160E9">
        <w:rPr>
          <w:rFonts w:ascii="Arial" w:hAnsi="Arial" w:cs="Arial"/>
          <w:b/>
          <w:bCs/>
          <w:sz w:val="24"/>
          <w:szCs w:val="24"/>
          <w:u w:val="single"/>
        </w:rPr>
        <w:t>Britain and the Great War Assessment 1 – Book Review</w:t>
      </w:r>
    </w:p>
    <w:p w14:paraId="76309558" w14:textId="105A5C4E" w:rsidR="000E3542" w:rsidRPr="00D160E9" w:rsidRDefault="000E3542" w:rsidP="00D160E9">
      <w:pPr>
        <w:jc w:val="center"/>
        <w:rPr>
          <w:rFonts w:ascii="Arial" w:hAnsi="Arial" w:cs="Arial"/>
          <w:b/>
          <w:bCs/>
          <w:sz w:val="24"/>
          <w:szCs w:val="24"/>
          <w:u w:val="single"/>
        </w:rPr>
      </w:pPr>
      <w:r w:rsidRPr="00D160E9">
        <w:rPr>
          <w:rFonts w:ascii="Arial" w:hAnsi="Arial" w:cs="Arial"/>
          <w:b/>
          <w:bCs/>
          <w:sz w:val="24"/>
          <w:szCs w:val="24"/>
          <w:u w:val="single"/>
        </w:rPr>
        <w:t xml:space="preserve">John Keegan, “The First World War”, Hutchinson Publishing, 1998, (Copy Publisher </w:t>
      </w:r>
      <w:proofErr w:type="gramStart"/>
      <w:r w:rsidRPr="00D160E9">
        <w:rPr>
          <w:rFonts w:ascii="Arial" w:hAnsi="Arial" w:cs="Arial"/>
          <w:b/>
          <w:bCs/>
          <w:sz w:val="24"/>
          <w:szCs w:val="24"/>
          <w:u w:val="single"/>
        </w:rPr>
        <w:t>The</w:t>
      </w:r>
      <w:proofErr w:type="gramEnd"/>
      <w:r w:rsidRPr="00D160E9">
        <w:rPr>
          <w:rFonts w:ascii="Arial" w:hAnsi="Arial" w:cs="Arial"/>
          <w:b/>
          <w:bCs/>
          <w:sz w:val="24"/>
          <w:szCs w:val="24"/>
          <w:u w:val="single"/>
        </w:rPr>
        <w:t xml:space="preserve"> Bodley Head 2014), (Cited January 20th 2022).</w:t>
      </w:r>
    </w:p>
    <w:p w14:paraId="40DE46FB" w14:textId="77777777" w:rsidR="000E3542" w:rsidRPr="00D160E9" w:rsidRDefault="000E3542" w:rsidP="00D160E9">
      <w:pPr>
        <w:jc w:val="both"/>
        <w:rPr>
          <w:rFonts w:ascii="Arial" w:hAnsi="Arial" w:cs="Arial"/>
          <w:sz w:val="24"/>
          <w:szCs w:val="24"/>
        </w:rPr>
      </w:pPr>
      <w:r w:rsidRPr="00D160E9">
        <w:rPr>
          <w:rFonts w:ascii="Arial" w:hAnsi="Arial" w:cs="Arial"/>
          <w:sz w:val="24"/>
          <w:szCs w:val="24"/>
        </w:rPr>
        <w:t xml:space="preserve">The First World War saw some of the bloodiest and brutal battles that mankind had ever witnessed. Places like Gallipoli, Verdun and the Somme saw waves of infantry crash against machine gun outposts, the losses were enormous and beyond   comprehension. Battlefields like these have helped sustain the public’s perception of war: waterlogged trenches, mud, dead men and animals, barbed wire, total devastation. Established educational curriculums for both primary and secondary schools have also helped to promote these kinds of images because they help children to achieve a rudimentary understanding of the subject. However, Historians who specifically focus on this period attempt to broaden our understanding of the conflict through both analysis and presentation of facts. </w:t>
      </w:r>
    </w:p>
    <w:p w14:paraId="2A55E852" w14:textId="77777777" w:rsidR="000E3542" w:rsidRPr="00D160E9" w:rsidRDefault="000E3542" w:rsidP="00D160E9">
      <w:pPr>
        <w:jc w:val="both"/>
        <w:rPr>
          <w:rFonts w:ascii="Arial" w:hAnsi="Arial" w:cs="Arial"/>
          <w:sz w:val="24"/>
          <w:szCs w:val="24"/>
        </w:rPr>
      </w:pPr>
      <w:r w:rsidRPr="00D160E9">
        <w:rPr>
          <w:rFonts w:ascii="Arial" w:hAnsi="Arial" w:cs="Arial"/>
          <w:sz w:val="24"/>
          <w:szCs w:val="24"/>
        </w:rPr>
        <w:t xml:space="preserve">“The First World War” is a factual book written by established lecturer, author and military historian Dr John Kegan (1934 – 2012).  Over the course of his long and distinguished career Keegan authored numerous books specialising in military conflicts around the world. His work focused on different historical periods including the American Civil war, the First and Second World wars, and modern conflicts like Iraq. In 1960 Keegan was appointed lecture of Military History for the Royal Military College Sandhurst, where he remained for 26 years. In 1991, for his service as part of operations in the Gulf War, he was made an Officer of the British Empire (OBE). Then in 2000 Keegan was Knighted in recognition of his work in the field of Military History. </w:t>
      </w:r>
    </w:p>
    <w:p w14:paraId="3CBE6329" w14:textId="77777777" w:rsidR="000E3542" w:rsidRPr="00D160E9" w:rsidRDefault="000E3542" w:rsidP="00D160E9">
      <w:pPr>
        <w:jc w:val="both"/>
        <w:rPr>
          <w:rFonts w:ascii="Arial" w:hAnsi="Arial" w:cs="Arial"/>
          <w:sz w:val="24"/>
          <w:szCs w:val="24"/>
        </w:rPr>
      </w:pPr>
      <w:r w:rsidRPr="00D160E9">
        <w:rPr>
          <w:rFonts w:ascii="Arial" w:hAnsi="Arial" w:cs="Arial"/>
          <w:sz w:val="24"/>
          <w:szCs w:val="24"/>
        </w:rPr>
        <w:t xml:space="preserve">Keegan’s extensive knowledge of the subject, his many years of researching and teaching this kind of material and his analytical and presentation skills have all been combined with great effect when writing this book. Consisting of ten chapters, the book is primarily a chronological timeline of the First World War. Chapter One, “A European Tragedy”, puts the war into context. Keegan analyses the economic and political peace that Europe experienced in the 19th and 20th centuries, pre- World War I. He also examines mathematical data relating to the war itself in this chapter. The actual human cost of the war: casualties, fatalities, people displaced / made homeless etc. In the final part of the chapter Keegan evaluates the Military build-up and advancements that took place in the years that preceded the war. These included radio and telegraph communications, Naval advancements and the tactics used by armies. </w:t>
      </w:r>
    </w:p>
    <w:p w14:paraId="6EEEFFC5" w14:textId="77777777" w:rsidR="000E3542" w:rsidRPr="00D160E9" w:rsidRDefault="000E3542" w:rsidP="00D160E9">
      <w:pPr>
        <w:jc w:val="both"/>
        <w:rPr>
          <w:rFonts w:ascii="Arial" w:hAnsi="Arial" w:cs="Arial"/>
          <w:sz w:val="24"/>
          <w:szCs w:val="24"/>
        </w:rPr>
      </w:pPr>
      <w:r w:rsidRPr="00D160E9">
        <w:rPr>
          <w:rFonts w:ascii="Arial" w:hAnsi="Arial" w:cs="Arial"/>
          <w:sz w:val="24"/>
          <w:szCs w:val="24"/>
        </w:rPr>
        <w:t xml:space="preserve">After this initial chapter, Keegan has divided the conflict (and the book) into nine key phases. Each section than covers different aspects and phases of the war (in chronological order as stated previously). For example, Chapter Two addresses the plans for the invasion of France: the next chapter analyses the war on all fronts, and so on. This step-by-step progression of events enables the book to flow. It helps the reader to understand what was happening, why it was happening and when. The fact that there is a clear and concise timeline running through the book is advantageous for the reader. Added to this, Keegan provides a deeper level of commentary in some areas by including accounts of events by soldiers present at the time. This use of primary source material helps enable the reader to achieve a better understanding of   both the factual and personal element of such a bloody and complex war. </w:t>
      </w:r>
    </w:p>
    <w:p w14:paraId="61D72DA3" w14:textId="77777777" w:rsidR="000E3542" w:rsidRPr="00D160E9" w:rsidRDefault="000E3542" w:rsidP="00D160E9">
      <w:pPr>
        <w:jc w:val="both"/>
        <w:rPr>
          <w:rFonts w:ascii="Arial" w:hAnsi="Arial" w:cs="Arial"/>
          <w:sz w:val="24"/>
          <w:szCs w:val="24"/>
        </w:rPr>
      </w:pPr>
      <w:r w:rsidRPr="00D160E9">
        <w:rPr>
          <w:rFonts w:ascii="Arial" w:hAnsi="Arial" w:cs="Arial"/>
          <w:sz w:val="24"/>
          <w:szCs w:val="24"/>
        </w:rPr>
        <w:lastRenderedPageBreak/>
        <w:t xml:space="preserve">Throughout all chapters Keegan has presented the war from the perspective of Entente and Central powers, thus ensuring balanced and detailed coverage of each stage of the war. However, in certain areas he has focused heavily on the actions of the British or ANZAC forces. These include the Battles of Mons, First Battle of Ypres, </w:t>
      </w:r>
      <w:proofErr w:type="spellStart"/>
      <w:r w:rsidRPr="00D160E9">
        <w:rPr>
          <w:rFonts w:ascii="Arial" w:hAnsi="Arial" w:cs="Arial"/>
          <w:sz w:val="24"/>
          <w:szCs w:val="24"/>
        </w:rPr>
        <w:t>Neuve</w:t>
      </w:r>
      <w:proofErr w:type="spellEnd"/>
      <w:r w:rsidRPr="00D160E9">
        <w:rPr>
          <w:rFonts w:ascii="Arial" w:hAnsi="Arial" w:cs="Arial"/>
          <w:sz w:val="24"/>
          <w:szCs w:val="24"/>
        </w:rPr>
        <w:t xml:space="preserve"> Chapelle and Gallipoli. His coverage of the Gallipoli campaign focuses heavily on the actions, planning and execution of the invasion by the British. This is then followed by a detailed coverage of the progression of the battle towards it’s inevitable and disastrous conclusion. Unlike his accounts of other battles in his book, Keegan follows this </w:t>
      </w:r>
      <w:proofErr w:type="gramStart"/>
      <w:r w:rsidRPr="00D160E9">
        <w:rPr>
          <w:rFonts w:ascii="Arial" w:hAnsi="Arial" w:cs="Arial"/>
          <w:sz w:val="24"/>
          <w:szCs w:val="24"/>
        </w:rPr>
        <w:t>particular battle</w:t>
      </w:r>
      <w:proofErr w:type="gramEnd"/>
      <w:r w:rsidRPr="00D160E9">
        <w:rPr>
          <w:rFonts w:ascii="Arial" w:hAnsi="Arial" w:cs="Arial"/>
          <w:sz w:val="24"/>
          <w:szCs w:val="24"/>
        </w:rPr>
        <w:t xml:space="preserve"> with modern coverage and a description of how Gallipoli is remembered today. He discusses the fact that pilgrimages are still being made to the site by Grandchildren and Great- grandchildren of ANZAC soldiers. This is to ensure that the battle. and the site, will always be associated with their sacrifice. These journeys also establish a connection to the countries that they fought for. The memorials erected for the fallen are also protected and revered by the Turkish government (Gallipoli is now a National Park). </w:t>
      </w:r>
    </w:p>
    <w:p w14:paraId="16FEB6D6" w14:textId="77777777" w:rsidR="000E3542" w:rsidRPr="00D160E9" w:rsidRDefault="000E3542" w:rsidP="00D160E9">
      <w:pPr>
        <w:jc w:val="both"/>
        <w:rPr>
          <w:rFonts w:ascii="Arial" w:hAnsi="Arial" w:cs="Arial"/>
          <w:sz w:val="24"/>
          <w:szCs w:val="24"/>
        </w:rPr>
      </w:pPr>
      <w:r w:rsidRPr="00D160E9">
        <w:rPr>
          <w:rFonts w:ascii="Arial" w:hAnsi="Arial" w:cs="Arial"/>
          <w:sz w:val="24"/>
          <w:szCs w:val="24"/>
        </w:rPr>
        <w:t xml:space="preserve">The topic of warfare often causes emotional reactions, both verbal and literary. As the “Great War” (as it is often referred to) is the sole topic of this book, it could be expected that the content would stray from the factual to the anecdotal quite easily. However, throughout the text Keegan hasn’t deviated from providing the facts in an unbiased and straightforward manner. His inclusion of soldiers’ accounts and their personal feelings have helped to convey the emotions felt during the time. Keegan’s academic perspective clearly influenced his writing style. While it reads in a detached manner, it is obvious that this is in order to remain historically accurate, unbiased as possible and analytical of the subject material. </w:t>
      </w:r>
    </w:p>
    <w:p w14:paraId="44B8E371" w14:textId="77777777" w:rsidR="000E3542" w:rsidRPr="00D160E9" w:rsidRDefault="000E3542" w:rsidP="00D160E9">
      <w:pPr>
        <w:jc w:val="both"/>
        <w:rPr>
          <w:rFonts w:ascii="Arial" w:hAnsi="Arial" w:cs="Arial"/>
          <w:sz w:val="24"/>
          <w:szCs w:val="24"/>
        </w:rPr>
      </w:pPr>
      <w:r w:rsidRPr="00D160E9">
        <w:rPr>
          <w:rFonts w:ascii="Arial" w:hAnsi="Arial" w:cs="Arial"/>
          <w:sz w:val="24"/>
          <w:szCs w:val="24"/>
        </w:rPr>
        <w:t xml:space="preserve">One aspect that greatly impresses about this book, is the inclusion of maps and three sections of photographs. These help the reader visualise and contextualise the movements of the troops, the harsh conditions, the battlelines during the periods discussed and the cemeteries / memorials that followed at the end of the war. Books by other authors regarding this topic often fail to include these elements, and as a result </w:t>
      </w:r>
      <w:proofErr w:type="gramStart"/>
      <w:r w:rsidRPr="00D160E9">
        <w:rPr>
          <w:rFonts w:ascii="Arial" w:hAnsi="Arial" w:cs="Arial"/>
          <w:sz w:val="24"/>
          <w:szCs w:val="24"/>
        </w:rPr>
        <w:t>have to</w:t>
      </w:r>
      <w:proofErr w:type="gramEnd"/>
      <w:r w:rsidRPr="00D160E9">
        <w:rPr>
          <w:rFonts w:ascii="Arial" w:hAnsi="Arial" w:cs="Arial"/>
          <w:sz w:val="24"/>
          <w:szCs w:val="24"/>
        </w:rPr>
        <w:t xml:space="preserve"> over explain themselves. </w:t>
      </w:r>
    </w:p>
    <w:p w14:paraId="03FA4CA2" w14:textId="77777777" w:rsidR="000E3542" w:rsidRPr="00D160E9" w:rsidRDefault="000E3542" w:rsidP="00D160E9">
      <w:pPr>
        <w:jc w:val="both"/>
        <w:rPr>
          <w:rFonts w:ascii="Arial" w:hAnsi="Arial" w:cs="Arial"/>
          <w:sz w:val="24"/>
          <w:szCs w:val="24"/>
        </w:rPr>
      </w:pPr>
      <w:r w:rsidRPr="00D160E9">
        <w:rPr>
          <w:rFonts w:ascii="Arial" w:hAnsi="Arial" w:cs="Arial"/>
          <w:sz w:val="24"/>
          <w:szCs w:val="24"/>
        </w:rPr>
        <w:t xml:space="preserve">One potential weakness of this text is its size, 456 pages long. Although everything in it is necessary in order to convey all of the historical facts associated with the war and each Countries </w:t>
      </w:r>
      <w:proofErr w:type="gramStart"/>
      <w:r w:rsidRPr="00D160E9">
        <w:rPr>
          <w:rFonts w:ascii="Arial" w:hAnsi="Arial" w:cs="Arial"/>
          <w:sz w:val="24"/>
          <w:szCs w:val="24"/>
        </w:rPr>
        <w:t>actions</w:t>
      </w:r>
      <w:proofErr w:type="gramEnd"/>
      <w:r w:rsidRPr="00D160E9">
        <w:rPr>
          <w:rFonts w:ascii="Arial" w:hAnsi="Arial" w:cs="Arial"/>
          <w:sz w:val="24"/>
          <w:szCs w:val="24"/>
        </w:rPr>
        <w:t xml:space="preserve">. The book could prove either daunting or hard to follow for the average reader who doesn’t have a rudimentary understanding of the subject material. However, the structure used aids in breaking this considerable amount of information into more manageable sizes that can be read in stages if necessary. </w:t>
      </w:r>
    </w:p>
    <w:p w14:paraId="4C2BEC87" w14:textId="09CD56F5" w:rsidR="00603B79" w:rsidRDefault="000E3542" w:rsidP="00D160E9">
      <w:pPr>
        <w:jc w:val="both"/>
        <w:rPr>
          <w:rFonts w:ascii="Arial" w:hAnsi="Arial" w:cs="Arial"/>
          <w:sz w:val="24"/>
          <w:szCs w:val="24"/>
        </w:rPr>
      </w:pPr>
      <w:r w:rsidRPr="00D160E9">
        <w:rPr>
          <w:rFonts w:ascii="Arial" w:hAnsi="Arial" w:cs="Arial"/>
          <w:sz w:val="24"/>
          <w:szCs w:val="24"/>
        </w:rPr>
        <w:t xml:space="preserve">Overall, Keegan’s work provides a straightforward, fact- based account of all aspects of the First World War. It is in an easily followable format that ensures that academic and non-academic readers </w:t>
      </w:r>
      <w:proofErr w:type="gramStart"/>
      <w:r w:rsidRPr="00D160E9">
        <w:rPr>
          <w:rFonts w:ascii="Arial" w:hAnsi="Arial" w:cs="Arial"/>
          <w:sz w:val="24"/>
          <w:szCs w:val="24"/>
        </w:rPr>
        <w:t>have the ability to</w:t>
      </w:r>
      <w:proofErr w:type="gramEnd"/>
      <w:r w:rsidRPr="00D160E9">
        <w:rPr>
          <w:rFonts w:ascii="Arial" w:hAnsi="Arial" w:cs="Arial"/>
          <w:sz w:val="24"/>
          <w:szCs w:val="24"/>
        </w:rPr>
        <w:t xml:space="preserve"> reference, and if need be flip to and explore certain periods or events during the war. Keegan’s style of coverage could aid with structuring both essays and analysis in other areas, as his somewhat mechanical and unbiased approach is the example of how historical analysis to be approached.</w:t>
      </w:r>
    </w:p>
    <w:p w14:paraId="258D9DFE" w14:textId="58994B4A" w:rsidR="00F77F4D" w:rsidRDefault="00F77F4D" w:rsidP="00F77F4D">
      <w:pPr>
        <w:jc w:val="center"/>
        <w:rPr>
          <w:rFonts w:ascii="Arial" w:hAnsi="Arial" w:cs="Arial"/>
          <w:b/>
          <w:bCs/>
          <w:sz w:val="24"/>
          <w:szCs w:val="24"/>
          <w:u w:val="single"/>
        </w:rPr>
      </w:pPr>
    </w:p>
    <w:p w14:paraId="75FB8248" w14:textId="5530DE9A" w:rsidR="00B15B16" w:rsidRDefault="00B15B16" w:rsidP="00F77F4D">
      <w:pPr>
        <w:jc w:val="center"/>
        <w:rPr>
          <w:rFonts w:ascii="Arial" w:hAnsi="Arial" w:cs="Arial"/>
          <w:b/>
          <w:bCs/>
          <w:sz w:val="24"/>
          <w:szCs w:val="24"/>
          <w:u w:val="single"/>
        </w:rPr>
      </w:pPr>
      <w:r w:rsidRPr="00B15B16">
        <w:rPr>
          <w:rFonts w:ascii="Arial" w:hAnsi="Arial" w:cs="Arial"/>
          <w:b/>
          <w:bCs/>
          <w:sz w:val="24"/>
          <w:szCs w:val="24"/>
          <w:u w:val="single"/>
        </w:rPr>
        <w:lastRenderedPageBreak/>
        <w:t>Britain and the Great War Assessment 1 - Annotated Bibliography</w:t>
      </w:r>
    </w:p>
    <w:p w14:paraId="15473157" w14:textId="108F4DEF" w:rsidR="00796159" w:rsidRPr="00796159" w:rsidRDefault="00796159" w:rsidP="00796159">
      <w:pPr>
        <w:jc w:val="both"/>
        <w:rPr>
          <w:rFonts w:ascii="Arial" w:hAnsi="Arial" w:cs="Arial"/>
          <w:sz w:val="24"/>
          <w:szCs w:val="24"/>
          <w:u w:val="single"/>
        </w:rPr>
      </w:pPr>
      <w:r w:rsidRPr="00796159">
        <w:rPr>
          <w:rFonts w:ascii="Arial" w:hAnsi="Arial" w:cs="Arial"/>
          <w:sz w:val="24"/>
          <w:szCs w:val="24"/>
          <w:u w:val="single"/>
        </w:rPr>
        <w:t xml:space="preserve">P. E. Dewey, “Military Recruiting and the British Labour Force during the First World War”, Cambridge University Press, The Historical Journal, Volume 27, Number 1, Pages 199-223, 1984, (Cited January 11th 2022), Available from: </w:t>
      </w:r>
      <w:hyperlink r:id="rId6" w:history="1">
        <w:r w:rsidRPr="00597EE8">
          <w:rPr>
            <w:rStyle w:val="Hyperlink"/>
            <w:rFonts w:ascii="Arial" w:hAnsi="Arial" w:cs="Arial"/>
            <w:sz w:val="24"/>
            <w:szCs w:val="24"/>
          </w:rPr>
          <w:t>https://www-jstor-org.ezproxy.uwtsd.ac.uk/stable/2639348?sid=primo&amp;seq=1#metadata_info_tab_contents</w:t>
        </w:r>
      </w:hyperlink>
      <w:r>
        <w:rPr>
          <w:rFonts w:ascii="Arial" w:hAnsi="Arial" w:cs="Arial"/>
          <w:sz w:val="24"/>
          <w:szCs w:val="24"/>
          <w:u w:val="single"/>
        </w:rPr>
        <w:t xml:space="preserve"> </w:t>
      </w:r>
      <w:r w:rsidRPr="00796159">
        <w:rPr>
          <w:rFonts w:ascii="Arial" w:hAnsi="Arial" w:cs="Arial"/>
          <w:sz w:val="24"/>
          <w:szCs w:val="24"/>
          <w:u w:val="single"/>
        </w:rPr>
        <w:t xml:space="preserve"> </w:t>
      </w:r>
      <w:r>
        <w:rPr>
          <w:rFonts w:ascii="Arial" w:hAnsi="Arial" w:cs="Arial"/>
          <w:sz w:val="24"/>
          <w:szCs w:val="24"/>
          <w:u w:val="single"/>
        </w:rPr>
        <w:t xml:space="preserve"> </w:t>
      </w:r>
    </w:p>
    <w:p w14:paraId="673C8C67" w14:textId="77777777" w:rsidR="00796159" w:rsidRPr="00796159" w:rsidRDefault="00796159" w:rsidP="00796159">
      <w:pPr>
        <w:jc w:val="both"/>
        <w:rPr>
          <w:rFonts w:ascii="Arial" w:hAnsi="Arial" w:cs="Arial"/>
          <w:sz w:val="24"/>
          <w:szCs w:val="24"/>
        </w:rPr>
      </w:pPr>
      <w:r w:rsidRPr="00796159">
        <w:rPr>
          <w:rFonts w:ascii="Arial" w:hAnsi="Arial" w:cs="Arial"/>
          <w:sz w:val="24"/>
          <w:szCs w:val="24"/>
        </w:rPr>
        <w:t xml:space="preserve">Written by Peter Dewey in 1984, this article examines the impact that increased military recruitment for World War I had on the British labour force. Dewey is a graduate of both Exeter and Reading University. He is currently a lecturer of economic history for London University. Dewey is also the recipient of the T. S. Ashton Prize, as well as being awarded the Alexander prize by the Royal historical society in 1979. Dewey has been published in several leading history journals and books related to both the British economy and the First World War. This wealth of experience makes him incredibly qualified to provide concise and well-reasoned analysis of this subject. </w:t>
      </w:r>
    </w:p>
    <w:p w14:paraId="18E3354B" w14:textId="77777777" w:rsidR="00796159" w:rsidRPr="00796159" w:rsidRDefault="00796159" w:rsidP="00796159">
      <w:pPr>
        <w:jc w:val="both"/>
        <w:rPr>
          <w:rFonts w:ascii="Arial" w:hAnsi="Arial" w:cs="Arial"/>
          <w:sz w:val="24"/>
          <w:szCs w:val="24"/>
        </w:rPr>
      </w:pPr>
      <w:r w:rsidRPr="00796159">
        <w:rPr>
          <w:rFonts w:ascii="Arial" w:hAnsi="Arial" w:cs="Arial"/>
          <w:sz w:val="24"/>
          <w:szCs w:val="24"/>
        </w:rPr>
        <w:t xml:space="preserve">Within this article Dewey focuses both on the employment of the nation and that of the forces. He often contextualises his analysis of the recruitment of labour with that of data / numbers reported from the Army regarding the developing needs for the war requirements. This allows for a more well- balanced analysis of the war’s impact and the measures implemented to meet increasing quotas. </w:t>
      </w:r>
    </w:p>
    <w:p w14:paraId="5F804AF9" w14:textId="77777777" w:rsidR="00796159" w:rsidRPr="00796159" w:rsidRDefault="00796159" w:rsidP="00796159">
      <w:pPr>
        <w:jc w:val="both"/>
        <w:rPr>
          <w:rFonts w:ascii="Arial" w:hAnsi="Arial" w:cs="Arial"/>
          <w:sz w:val="24"/>
          <w:szCs w:val="24"/>
        </w:rPr>
      </w:pPr>
      <w:r w:rsidRPr="00796159">
        <w:rPr>
          <w:rFonts w:ascii="Arial" w:hAnsi="Arial" w:cs="Arial"/>
          <w:sz w:val="24"/>
          <w:szCs w:val="24"/>
        </w:rPr>
        <w:t xml:space="preserve">This article, unlike many books that often skip years to demonstrate their overall point, follows a set structure. It follows the progression of the war, year by year, while also providing key factual and empirical data in the form of tables as well as the main body of text. This structure combined with an analytical and unbiased tone enables any reader to simply follow the progression of the war and its impact on employment. This information is easily understood and therefore doesn’t require the reader to have a   broader understanding of the war. </w:t>
      </w:r>
    </w:p>
    <w:p w14:paraId="4ED8931C" w14:textId="323D93F2" w:rsidR="00796159" w:rsidRDefault="00796159" w:rsidP="00796159">
      <w:pPr>
        <w:jc w:val="both"/>
        <w:rPr>
          <w:rFonts w:ascii="Arial" w:hAnsi="Arial" w:cs="Arial"/>
          <w:sz w:val="24"/>
          <w:szCs w:val="24"/>
        </w:rPr>
      </w:pPr>
      <w:r w:rsidRPr="00796159">
        <w:rPr>
          <w:rFonts w:ascii="Arial" w:hAnsi="Arial" w:cs="Arial"/>
          <w:sz w:val="24"/>
          <w:szCs w:val="24"/>
        </w:rPr>
        <w:t>Dewey’s work has enabled me to develop my understanding of how both civilian and military employment was affected as the war progressed during this period.  It has also helped my understanding of the subsequent financial impact not only on soldiers, but their families as well. This will enable me to provide a more comprehensive analysis of both the home lives and front lives of soldiers, and of other aspect of their lives moving forward with essays.</w:t>
      </w:r>
    </w:p>
    <w:p w14:paraId="5218D42D" w14:textId="5AD6AE8B" w:rsidR="00796159" w:rsidRPr="00796159" w:rsidRDefault="00796159" w:rsidP="00796159">
      <w:pPr>
        <w:jc w:val="both"/>
        <w:rPr>
          <w:rFonts w:ascii="Arial" w:hAnsi="Arial" w:cs="Arial"/>
          <w:sz w:val="24"/>
          <w:szCs w:val="24"/>
          <w:u w:val="single"/>
        </w:rPr>
      </w:pPr>
      <w:r w:rsidRPr="00796159">
        <w:rPr>
          <w:rFonts w:ascii="Arial" w:hAnsi="Arial" w:cs="Arial"/>
          <w:sz w:val="24"/>
          <w:szCs w:val="24"/>
          <w:u w:val="single"/>
        </w:rPr>
        <w:t>John Turner, “British Politics and the Great War: Coalition and Conflict 1915-1918”, Yale University Press, 1992, (Cited January 11th</w:t>
      </w:r>
      <w:proofErr w:type="gramStart"/>
      <w:r w:rsidRPr="00796159">
        <w:rPr>
          <w:rFonts w:ascii="Arial" w:hAnsi="Arial" w:cs="Arial"/>
          <w:sz w:val="24"/>
          <w:szCs w:val="24"/>
          <w:u w:val="single"/>
        </w:rPr>
        <w:t xml:space="preserve"> 2022</w:t>
      </w:r>
      <w:proofErr w:type="gramEnd"/>
      <w:r w:rsidRPr="00796159">
        <w:rPr>
          <w:rFonts w:ascii="Arial" w:hAnsi="Arial" w:cs="Arial"/>
          <w:sz w:val="24"/>
          <w:szCs w:val="24"/>
          <w:u w:val="single"/>
        </w:rPr>
        <w:t xml:space="preserve">), Available from: </w:t>
      </w:r>
      <w:hyperlink r:id="rId7" w:history="1">
        <w:r w:rsidRPr="00597EE8">
          <w:rPr>
            <w:rStyle w:val="Hyperlink"/>
            <w:rFonts w:ascii="Arial" w:hAnsi="Arial" w:cs="Arial"/>
            <w:sz w:val="24"/>
            <w:szCs w:val="24"/>
          </w:rPr>
          <w:t>https://www-jstor-org.ezproxy.uwtsd.ac.uk/stable/j.ctt211qvzc</w:t>
        </w:r>
      </w:hyperlink>
      <w:r>
        <w:rPr>
          <w:rFonts w:ascii="Arial" w:hAnsi="Arial" w:cs="Arial"/>
          <w:sz w:val="24"/>
          <w:szCs w:val="24"/>
          <w:u w:val="single"/>
        </w:rPr>
        <w:t xml:space="preserve"> </w:t>
      </w:r>
      <w:r w:rsidRPr="00796159">
        <w:rPr>
          <w:rFonts w:ascii="Arial" w:hAnsi="Arial" w:cs="Arial"/>
          <w:sz w:val="24"/>
          <w:szCs w:val="24"/>
          <w:u w:val="single"/>
        </w:rPr>
        <w:t xml:space="preserve"> </w:t>
      </w:r>
    </w:p>
    <w:p w14:paraId="1D90B0CB" w14:textId="77777777" w:rsidR="00796159" w:rsidRPr="00796159" w:rsidRDefault="00796159" w:rsidP="00796159">
      <w:pPr>
        <w:jc w:val="both"/>
        <w:rPr>
          <w:rFonts w:ascii="Arial" w:hAnsi="Arial" w:cs="Arial"/>
          <w:sz w:val="24"/>
          <w:szCs w:val="24"/>
        </w:rPr>
      </w:pPr>
      <w:r w:rsidRPr="00796159">
        <w:rPr>
          <w:rFonts w:ascii="Arial" w:hAnsi="Arial" w:cs="Arial"/>
          <w:sz w:val="24"/>
          <w:szCs w:val="24"/>
        </w:rPr>
        <w:t xml:space="preserve">Authored in 1992 by John Harcourt Turner, this book covers the political landscape of Britain during World War I (1915-1918) and the Lloyd George coalition. It analyses the many crises experienced by the government during this time period, while also examining how the regime had to develop because of the war’s progression. </w:t>
      </w:r>
    </w:p>
    <w:p w14:paraId="52DB2B8B" w14:textId="77777777" w:rsidR="00796159" w:rsidRPr="00796159" w:rsidRDefault="00796159" w:rsidP="00796159">
      <w:pPr>
        <w:jc w:val="both"/>
        <w:rPr>
          <w:rFonts w:ascii="Arial" w:hAnsi="Arial" w:cs="Arial"/>
          <w:sz w:val="24"/>
          <w:szCs w:val="24"/>
        </w:rPr>
      </w:pPr>
      <w:r w:rsidRPr="00796159">
        <w:rPr>
          <w:rFonts w:ascii="Arial" w:hAnsi="Arial" w:cs="Arial"/>
          <w:sz w:val="24"/>
          <w:szCs w:val="24"/>
        </w:rPr>
        <w:t xml:space="preserve">An Australian politician and author, educated first in Sydney Grammar school and then achieving a bachelor’s degrees from Deakin and Murdoch Universities, Turner has authored several books. He has specialised in analysing political policies that include </w:t>
      </w:r>
      <w:r w:rsidRPr="00796159">
        <w:rPr>
          <w:rFonts w:ascii="Arial" w:hAnsi="Arial" w:cs="Arial"/>
          <w:sz w:val="24"/>
          <w:szCs w:val="24"/>
        </w:rPr>
        <w:lastRenderedPageBreak/>
        <w:t xml:space="preserve">social security and British politics during the Lloyd George period. His background in both professional politics and academia makes him appropriate to analyse and examine the socio-political aspects of this time period, and the </w:t>
      </w:r>
      <w:proofErr w:type="gramStart"/>
      <w:r w:rsidRPr="00796159">
        <w:rPr>
          <w:rFonts w:ascii="Arial" w:hAnsi="Arial" w:cs="Arial"/>
          <w:sz w:val="24"/>
          <w:szCs w:val="24"/>
        </w:rPr>
        <w:t>often difficult</w:t>
      </w:r>
      <w:proofErr w:type="gramEnd"/>
      <w:r w:rsidRPr="00796159">
        <w:rPr>
          <w:rFonts w:ascii="Arial" w:hAnsi="Arial" w:cs="Arial"/>
          <w:sz w:val="24"/>
          <w:szCs w:val="24"/>
        </w:rPr>
        <w:t xml:space="preserve"> aspects of conflict politics. </w:t>
      </w:r>
    </w:p>
    <w:p w14:paraId="3D225E7F" w14:textId="77777777" w:rsidR="00796159" w:rsidRPr="00796159" w:rsidRDefault="00796159" w:rsidP="00796159">
      <w:pPr>
        <w:jc w:val="both"/>
        <w:rPr>
          <w:rFonts w:ascii="Arial" w:hAnsi="Arial" w:cs="Arial"/>
          <w:sz w:val="24"/>
          <w:szCs w:val="24"/>
        </w:rPr>
      </w:pPr>
      <w:r w:rsidRPr="00796159">
        <w:rPr>
          <w:rFonts w:ascii="Arial" w:hAnsi="Arial" w:cs="Arial"/>
          <w:sz w:val="24"/>
          <w:szCs w:val="24"/>
        </w:rPr>
        <w:t xml:space="preserve">Turner has divided his book into twelve sections. However, like Dewey’s work, he has used these sections as a means of dividing this broad subject into manageable areas of either time periods (years) or key periods among the overall </w:t>
      </w:r>
      <w:proofErr w:type="gramStart"/>
      <w:r w:rsidRPr="00796159">
        <w:rPr>
          <w:rFonts w:ascii="Arial" w:hAnsi="Arial" w:cs="Arial"/>
          <w:sz w:val="24"/>
          <w:szCs w:val="24"/>
        </w:rPr>
        <w:t>timeline</w:t>
      </w:r>
      <w:proofErr w:type="gramEnd"/>
      <w:r w:rsidRPr="00796159">
        <w:rPr>
          <w:rFonts w:ascii="Arial" w:hAnsi="Arial" w:cs="Arial"/>
          <w:sz w:val="24"/>
          <w:szCs w:val="24"/>
        </w:rPr>
        <w:t xml:space="preserve">. Again, like Dewey, Turner follows the chronological order of events, subdividing only for key instances of political upheaval or complexity. However, Turner displays subtle bias against the government, specifically during chapter 5 his choice of wording does read as biased. However, this could be unconscious, because throughout the rest of the work he is simply analytical. </w:t>
      </w:r>
    </w:p>
    <w:p w14:paraId="7F616953" w14:textId="0CB9D78D" w:rsidR="00796159" w:rsidRDefault="00796159" w:rsidP="00796159">
      <w:pPr>
        <w:jc w:val="both"/>
        <w:rPr>
          <w:rFonts w:ascii="Arial" w:hAnsi="Arial" w:cs="Arial"/>
          <w:sz w:val="24"/>
          <w:szCs w:val="24"/>
        </w:rPr>
      </w:pPr>
      <w:r w:rsidRPr="00796159">
        <w:rPr>
          <w:rFonts w:ascii="Arial" w:hAnsi="Arial" w:cs="Arial"/>
          <w:sz w:val="24"/>
          <w:szCs w:val="24"/>
        </w:rPr>
        <w:t>Overall, this text would aid any researcher analysing the topic of British politics and World War I. The book helps to break down what is a complex and information heavy subject. The fact that it is divided into manageable and easily understandable sections makes it easy to comprehend what was happening during this politically difficult time period. Those with a more developed knowledge of WW1 will be able to corollate the events covered with that of the war, and form more detailed conclusions or well-rounded analysis of this period.  Turner’s focus on all aspects of the political landscape of the Lloyd George government will help enable me to provide a better understanding and analysis of the politics during this time and its effect on the war.</w:t>
      </w:r>
    </w:p>
    <w:p w14:paraId="1A37011F" w14:textId="3DCEB41B" w:rsidR="00B9635D" w:rsidRPr="00B9635D" w:rsidRDefault="00B9635D" w:rsidP="00B9635D">
      <w:pPr>
        <w:jc w:val="both"/>
        <w:rPr>
          <w:rFonts w:ascii="Arial" w:hAnsi="Arial" w:cs="Arial"/>
          <w:sz w:val="24"/>
          <w:szCs w:val="24"/>
          <w:u w:val="single"/>
        </w:rPr>
      </w:pPr>
      <w:r w:rsidRPr="00B9635D">
        <w:rPr>
          <w:rFonts w:ascii="Arial" w:hAnsi="Arial" w:cs="Arial"/>
          <w:sz w:val="24"/>
          <w:szCs w:val="24"/>
          <w:u w:val="single"/>
        </w:rPr>
        <w:t xml:space="preserve">Peter Fraser, “British War Policy and the Crisis of Liberalism in May 1915”, The University of Chicago Press, The Journal of Modern History, Volume 54, Number 1, Pages 1-26, March 1982, (Cited January 11th 2022), Available from: </w:t>
      </w:r>
      <w:hyperlink r:id="rId8" w:history="1">
        <w:r w:rsidRPr="00597EE8">
          <w:rPr>
            <w:rStyle w:val="Hyperlink"/>
            <w:rFonts w:ascii="Arial" w:hAnsi="Arial" w:cs="Arial"/>
            <w:sz w:val="24"/>
            <w:szCs w:val="24"/>
          </w:rPr>
          <w:t>https://www-jstor-org.ezproxy.uwtsd.ac.uk/stable/1906048?sid=primo&amp;seq=1#metadata_info_tab_contents</w:t>
        </w:r>
      </w:hyperlink>
      <w:r>
        <w:rPr>
          <w:rFonts w:ascii="Arial" w:hAnsi="Arial" w:cs="Arial"/>
          <w:sz w:val="24"/>
          <w:szCs w:val="24"/>
          <w:u w:val="single"/>
        </w:rPr>
        <w:t xml:space="preserve"> </w:t>
      </w:r>
      <w:r w:rsidRPr="00B9635D">
        <w:rPr>
          <w:rFonts w:ascii="Arial" w:hAnsi="Arial" w:cs="Arial"/>
          <w:sz w:val="24"/>
          <w:szCs w:val="24"/>
          <w:u w:val="single"/>
        </w:rPr>
        <w:t xml:space="preserve"> </w:t>
      </w:r>
    </w:p>
    <w:p w14:paraId="4B32C180" w14:textId="77777777" w:rsidR="00B9635D" w:rsidRPr="00B9635D" w:rsidRDefault="00B9635D" w:rsidP="00B9635D">
      <w:pPr>
        <w:jc w:val="both"/>
        <w:rPr>
          <w:rFonts w:ascii="Arial" w:hAnsi="Arial" w:cs="Arial"/>
          <w:sz w:val="24"/>
          <w:szCs w:val="24"/>
        </w:rPr>
      </w:pPr>
      <w:r w:rsidRPr="00B9635D">
        <w:rPr>
          <w:rFonts w:ascii="Arial" w:hAnsi="Arial" w:cs="Arial"/>
          <w:sz w:val="24"/>
          <w:szCs w:val="24"/>
        </w:rPr>
        <w:t xml:space="preserve">Written by Peter Fraser, and published in March of 1982, this article analyses the events of May 1915 and their relation to the fall of the Liberal government from power. It also considers some of the key events and actions that led to this downfall. Likewise, it contains analyses of the key political figures involved, including Asquith and Lloyd George, and what were their contributions to the political situation of this time. </w:t>
      </w:r>
    </w:p>
    <w:p w14:paraId="75363106" w14:textId="77777777" w:rsidR="00B9635D" w:rsidRPr="00B9635D" w:rsidRDefault="00B9635D" w:rsidP="00B9635D">
      <w:pPr>
        <w:jc w:val="both"/>
        <w:rPr>
          <w:rFonts w:ascii="Arial" w:hAnsi="Arial" w:cs="Arial"/>
          <w:sz w:val="24"/>
          <w:szCs w:val="24"/>
        </w:rPr>
      </w:pPr>
      <w:r w:rsidRPr="00B9635D">
        <w:rPr>
          <w:rFonts w:ascii="Arial" w:hAnsi="Arial" w:cs="Arial"/>
          <w:sz w:val="24"/>
          <w:szCs w:val="24"/>
        </w:rPr>
        <w:t xml:space="preserve">Renowned historian and author, Fraser’s work focuses primarily on the Hellenistic age. He has published numerous books ranging from analysis of the Roman Empire </w:t>
      </w:r>
      <w:proofErr w:type="gramStart"/>
      <w:r w:rsidRPr="00B9635D">
        <w:rPr>
          <w:rFonts w:ascii="Arial" w:hAnsi="Arial" w:cs="Arial"/>
          <w:sz w:val="24"/>
          <w:szCs w:val="24"/>
        </w:rPr>
        <w:t>from the perspective of Greece,</w:t>
      </w:r>
      <w:proofErr w:type="gramEnd"/>
      <w:r w:rsidRPr="00B9635D">
        <w:rPr>
          <w:rFonts w:ascii="Arial" w:hAnsi="Arial" w:cs="Arial"/>
          <w:sz w:val="24"/>
          <w:szCs w:val="24"/>
        </w:rPr>
        <w:t xml:space="preserve"> to an examination of the cities of Alexander the Great. Although these subjects are outside the overall theme of the First World War, Fraser’s childhood during the initial years following the conflict, and his obvious ability to analyse complex political and social events, make him ideally placed to provide clear, concise and accurate analysis of this subject and time period. </w:t>
      </w:r>
    </w:p>
    <w:p w14:paraId="3B03B81A" w14:textId="77777777" w:rsidR="00B9635D" w:rsidRPr="00B9635D" w:rsidRDefault="00B9635D" w:rsidP="00B9635D">
      <w:pPr>
        <w:jc w:val="both"/>
        <w:rPr>
          <w:rFonts w:ascii="Arial" w:hAnsi="Arial" w:cs="Arial"/>
          <w:sz w:val="24"/>
          <w:szCs w:val="24"/>
        </w:rPr>
      </w:pPr>
      <w:r w:rsidRPr="00B9635D">
        <w:rPr>
          <w:rFonts w:ascii="Arial" w:hAnsi="Arial" w:cs="Arial"/>
          <w:sz w:val="24"/>
          <w:szCs w:val="24"/>
        </w:rPr>
        <w:t xml:space="preserve">The content is structured in chronological order following the downfall of the Liberals in May 1915. Fraser makes every effort to contextualise events by both jumping backward and forward in time, this is to provide cause and effect analysis of certain events. His analysis also looks at the potential motives of the political figures suggesting potential causes based upon the outcomes and their characters. </w:t>
      </w:r>
    </w:p>
    <w:p w14:paraId="18BAA047" w14:textId="77777777" w:rsidR="00B9635D" w:rsidRPr="00B9635D" w:rsidRDefault="00B9635D" w:rsidP="00B9635D">
      <w:pPr>
        <w:jc w:val="both"/>
        <w:rPr>
          <w:rFonts w:ascii="Arial" w:hAnsi="Arial" w:cs="Arial"/>
          <w:sz w:val="24"/>
          <w:szCs w:val="24"/>
        </w:rPr>
      </w:pPr>
      <w:r w:rsidRPr="00B9635D">
        <w:rPr>
          <w:rFonts w:ascii="Arial" w:hAnsi="Arial" w:cs="Arial"/>
          <w:sz w:val="24"/>
          <w:szCs w:val="24"/>
        </w:rPr>
        <w:lastRenderedPageBreak/>
        <w:t xml:space="preserve">This Article overall provides a detailed insight into the failures of the Liberal government to hold onto power. Fraser uses unbiased and detailed analysis of both historical events and figures combined with a clear narrative. His use of easily understandable language helps make this piece accessible to the reader. All this combined, ensures that anyone who reads this article could simply follow and understand the timeline with little to no foreknowledge of the subject required. </w:t>
      </w:r>
    </w:p>
    <w:p w14:paraId="508EE2E3" w14:textId="0C339C05" w:rsidR="00754880" w:rsidRDefault="00B9635D" w:rsidP="00B9635D">
      <w:pPr>
        <w:jc w:val="both"/>
        <w:rPr>
          <w:rFonts w:ascii="Arial" w:hAnsi="Arial" w:cs="Arial"/>
          <w:sz w:val="24"/>
          <w:szCs w:val="24"/>
        </w:rPr>
      </w:pPr>
      <w:proofErr w:type="gramStart"/>
      <w:r w:rsidRPr="00B9635D">
        <w:rPr>
          <w:rFonts w:ascii="Arial" w:hAnsi="Arial" w:cs="Arial"/>
          <w:sz w:val="24"/>
          <w:szCs w:val="24"/>
        </w:rPr>
        <w:t>Fraser’s constant contextualisation and use of cause-and-effect analysis,</w:t>
      </w:r>
      <w:proofErr w:type="gramEnd"/>
      <w:r w:rsidRPr="00B9635D">
        <w:rPr>
          <w:rFonts w:ascii="Arial" w:hAnsi="Arial" w:cs="Arial"/>
          <w:sz w:val="24"/>
          <w:szCs w:val="24"/>
        </w:rPr>
        <w:t xml:space="preserve"> has enabled my understanding of the turmoil the liberal government experienced during this time to develop. As such this article will prove useful for my essay writing moving forward. It will allow me to add a further layer of analysis to my overall work.</w:t>
      </w:r>
    </w:p>
    <w:p w14:paraId="7B99743C" w14:textId="77777777" w:rsidR="009E77D5" w:rsidRPr="009E77D5" w:rsidRDefault="009E77D5" w:rsidP="009E77D5">
      <w:pPr>
        <w:jc w:val="both"/>
        <w:rPr>
          <w:rFonts w:ascii="Arial" w:hAnsi="Arial" w:cs="Arial"/>
          <w:sz w:val="24"/>
          <w:szCs w:val="24"/>
          <w:u w:val="single"/>
        </w:rPr>
      </w:pPr>
      <w:r w:rsidRPr="009E77D5">
        <w:rPr>
          <w:rFonts w:ascii="Arial" w:hAnsi="Arial" w:cs="Arial"/>
          <w:sz w:val="24"/>
          <w:szCs w:val="24"/>
          <w:u w:val="single"/>
        </w:rPr>
        <w:t>Howard Weinroth, “Peace by negotiation and the British anti-war movement, 1914-1918.”, Canadian journal of history, Volume10, Issue 3, Pages 369-392, December 1975, (Cited January 15th</w:t>
      </w:r>
      <w:proofErr w:type="gramStart"/>
      <w:r w:rsidRPr="009E77D5">
        <w:rPr>
          <w:rFonts w:ascii="Arial" w:hAnsi="Arial" w:cs="Arial"/>
          <w:sz w:val="24"/>
          <w:szCs w:val="24"/>
          <w:u w:val="single"/>
        </w:rPr>
        <w:t xml:space="preserve"> 2022</w:t>
      </w:r>
      <w:proofErr w:type="gramEnd"/>
      <w:r w:rsidRPr="009E77D5">
        <w:rPr>
          <w:rFonts w:ascii="Arial" w:hAnsi="Arial" w:cs="Arial"/>
          <w:sz w:val="24"/>
          <w:szCs w:val="24"/>
          <w:u w:val="single"/>
        </w:rPr>
        <w:t xml:space="preserve">), Available from: https://web-s-ebscohost-com.ezproxy.uwtsd.ac.uk/ehost/detail/detail?vid=0&amp;sid=8eeb1319-ca12-4b29-9e42-d5211ec81799%40redis&amp;bdata=JnNpdGU9ZWhvc3QtbGl2ZQ%3d%3d#AN=5321312&amp;db=aph </w:t>
      </w:r>
    </w:p>
    <w:p w14:paraId="490D1D34" w14:textId="77777777" w:rsidR="009E77D5" w:rsidRPr="009E77D5" w:rsidRDefault="009E77D5" w:rsidP="009E77D5">
      <w:pPr>
        <w:jc w:val="both"/>
        <w:rPr>
          <w:rFonts w:ascii="Arial" w:hAnsi="Arial" w:cs="Arial"/>
          <w:sz w:val="24"/>
          <w:szCs w:val="24"/>
        </w:rPr>
      </w:pPr>
      <w:r w:rsidRPr="009E77D5">
        <w:rPr>
          <w:rFonts w:ascii="Arial" w:hAnsi="Arial" w:cs="Arial"/>
          <w:sz w:val="24"/>
          <w:szCs w:val="24"/>
        </w:rPr>
        <w:t xml:space="preserve">Published in 1975, this article by Professor Howard Weinroth (1929 -1976) analyses the political aspects of the Anti-war movement that took hold in Britain during the First World War. Throughout the piece Weinroth also examines the individual groups and key figures involved. He discusses not only their motives and actions, but also their impact on the political situation in Britain during this time. </w:t>
      </w:r>
    </w:p>
    <w:p w14:paraId="17263407" w14:textId="77777777" w:rsidR="009E77D5" w:rsidRPr="009E77D5" w:rsidRDefault="009E77D5" w:rsidP="009E77D5">
      <w:pPr>
        <w:jc w:val="both"/>
        <w:rPr>
          <w:rFonts w:ascii="Arial" w:hAnsi="Arial" w:cs="Arial"/>
          <w:sz w:val="24"/>
          <w:szCs w:val="24"/>
        </w:rPr>
      </w:pPr>
      <w:r w:rsidRPr="009E77D5">
        <w:rPr>
          <w:rFonts w:ascii="Arial" w:hAnsi="Arial" w:cs="Arial"/>
          <w:sz w:val="24"/>
          <w:szCs w:val="24"/>
        </w:rPr>
        <w:t xml:space="preserve">The </w:t>
      </w:r>
      <w:proofErr w:type="gramStart"/>
      <w:r w:rsidRPr="009E77D5">
        <w:rPr>
          <w:rFonts w:ascii="Arial" w:hAnsi="Arial" w:cs="Arial"/>
          <w:sz w:val="24"/>
          <w:szCs w:val="24"/>
        </w:rPr>
        <w:t>main focus</w:t>
      </w:r>
      <w:proofErr w:type="gramEnd"/>
      <w:r w:rsidRPr="009E77D5">
        <w:rPr>
          <w:rFonts w:ascii="Arial" w:hAnsi="Arial" w:cs="Arial"/>
          <w:sz w:val="24"/>
          <w:szCs w:val="24"/>
        </w:rPr>
        <w:t xml:space="preserve"> of Weinroth’s work was as a social / political historian. He was especially interested in Britain and the eras around the First World War. His written work was extensively published in many leading historical journals. His extensive knowledge, research skills and academic background make him very suitable for providing expert analysis of this aspect of British war politics and its effects as the war progressed. His additional coverage of pre-war pacifism and the Left Wing’s reluctance to introduce naval armament, help to contextualise this work and add layers to his analysis (evident throughout this article). </w:t>
      </w:r>
    </w:p>
    <w:p w14:paraId="2FA6A5BE" w14:textId="77777777" w:rsidR="009E77D5" w:rsidRPr="009E77D5" w:rsidRDefault="009E77D5" w:rsidP="009E77D5">
      <w:pPr>
        <w:jc w:val="both"/>
        <w:rPr>
          <w:rFonts w:ascii="Arial" w:hAnsi="Arial" w:cs="Arial"/>
          <w:sz w:val="24"/>
          <w:szCs w:val="24"/>
        </w:rPr>
      </w:pPr>
      <w:proofErr w:type="gramStart"/>
      <w:r w:rsidRPr="009E77D5">
        <w:rPr>
          <w:rFonts w:ascii="Arial" w:hAnsi="Arial" w:cs="Arial"/>
          <w:sz w:val="24"/>
          <w:szCs w:val="24"/>
        </w:rPr>
        <w:t>Similar to</w:t>
      </w:r>
      <w:proofErr w:type="gramEnd"/>
      <w:r w:rsidRPr="009E77D5">
        <w:rPr>
          <w:rFonts w:ascii="Arial" w:hAnsi="Arial" w:cs="Arial"/>
          <w:sz w:val="24"/>
          <w:szCs w:val="24"/>
        </w:rPr>
        <w:t xml:space="preserve"> the work of Dewey and Fraser, Weinroth has organised his work in chronological order. This provides a clear narrative that the reader can follow. Weinroth in some areas contextualises his work with pre-war feelings of the anti-war movement, potentially taken from his other work regarding this area. He does this while also highlighting key figures for and against the movement, adding again to the layered coverage of this article. His tone and presentation throughout this piece appear monotone, however, there are subtle hints of leaning against the government in the final stages of the article. Apart from this small issue, Weinroth has presented a fact driven analysis of a little acknowledge aspect of the First World War. </w:t>
      </w:r>
    </w:p>
    <w:p w14:paraId="32F51208" w14:textId="27D18949" w:rsidR="00FC2921" w:rsidRDefault="009E77D5" w:rsidP="009E77D5">
      <w:pPr>
        <w:jc w:val="both"/>
        <w:rPr>
          <w:rFonts w:ascii="Arial" w:hAnsi="Arial" w:cs="Arial"/>
          <w:sz w:val="24"/>
          <w:szCs w:val="24"/>
        </w:rPr>
      </w:pPr>
      <w:r w:rsidRPr="009E77D5">
        <w:rPr>
          <w:rFonts w:ascii="Arial" w:hAnsi="Arial" w:cs="Arial"/>
          <w:sz w:val="24"/>
          <w:szCs w:val="24"/>
        </w:rPr>
        <w:t xml:space="preserve">This article would prove useful to a historian studying the Great War, as it would provide a better understanding of dissenting opinions during this time period. Weinroth’s work has enabled me to understand a different way of approaching this subject. I have enjoyed his style of writing, and it may be something that I will try in a future piece of written work.   </w:t>
      </w:r>
    </w:p>
    <w:p w14:paraId="610863EC" w14:textId="3B28DE30" w:rsidR="009E77D5" w:rsidRPr="009E77D5" w:rsidRDefault="009E77D5" w:rsidP="009E77D5">
      <w:pPr>
        <w:jc w:val="both"/>
        <w:rPr>
          <w:rFonts w:ascii="Arial" w:hAnsi="Arial" w:cs="Arial"/>
          <w:sz w:val="24"/>
          <w:szCs w:val="24"/>
          <w:u w:val="single"/>
        </w:rPr>
      </w:pPr>
      <w:r w:rsidRPr="009E77D5">
        <w:rPr>
          <w:rFonts w:ascii="Arial" w:hAnsi="Arial" w:cs="Arial"/>
          <w:sz w:val="24"/>
          <w:szCs w:val="24"/>
          <w:u w:val="single"/>
        </w:rPr>
        <w:lastRenderedPageBreak/>
        <w:t xml:space="preserve">Pierre Purseigle, “Mirroring societies at war: pictorial humour in the British and French popular press during the First World War”, Journal of European studies, Volume 31, Pages 289-328, 2001, (Cited January 16th 2022), Available from: </w:t>
      </w:r>
      <w:hyperlink r:id="rId9" w:history="1">
        <w:r w:rsidRPr="00597EE8">
          <w:rPr>
            <w:rStyle w:val="Hyperlink"/>
            <w:rFonts w:ascii="Arial" w:hAnsi="Arial" w:cs="Arial"/>
            <w:sz w:val="24"/>
            <w:szCs w:val="24"/>
          </w:rPr>
          <w:t>https://journals-sagepub-com.ezproxy.uwtsd.ac.uk/doi/pdf/10.1177/004724410103112304</w:t>
        </w:r>
      </w:hyperlink>
      <w:r>
        <w:rPr>
          <w:rFonts w:ascii="Arial" w:hAnsi="Arial" w:cs="Arial"/>
          <w:sz w:val="24"/>
          <w:szCs w:val="24"/>
          <w:u w:val="single"/>
        </w:rPr>
        <w:t xml:space="preserve"> </w:t>
      </w:r>
      <w:r w:rsidRPr="009E77D5">
        <w:rPr>
          <w:rFonts w:ascii="Arial" w:hAnsi="Arial" w:cs="Arial"/>
          <w:sz w:val="24"/>
          <w:szCs w:val="24"/>
          <w:u w:val="single"/>
        </w:rPr>
        <w:t xml:space="preserve"> </w:t>
      </w:r>
    </w:p>
    <w:p w14:paraId="19EE5072" w14:textId="77777777" w:rsidR="009E77D5" w:rsidRPr="009E77D5" w:rsidRDefault="009E77D5" w:rsidP="009E77D5">
      <w:pPr>
        <w:jc w:val="both"/>
        <w:rPr>
          <w:rFonts w:ascii="Arial" w:hAnsi="Arial" w:cs="Arial"/>
          <w:sz w:val="24"/>
          <w:szCs w:val="24"/>
        </w:rPr>
      </w:pPr>
      <w:r w:rsidRPr="009E77D5">
        <w:rPr>
          <w:rFonts w:ascii="Arial" w:hAnsi="Arial" w:cs="Arial"/>
          <w:sz w:val="24"/>
          <w:szCs w:val="24"/>
        </w:rPr>
        <w:t xml:space="preserve">This article by Dr Pierre Purseigle, a renowned historian specialising in the Frist World War, was published in 2001. Focusing on the pictorial cartoons produced in Britain and France during the period 1914-1918, the paper analyses the development of these representations and their social critiques. It examines the humour involved, as well as the depictions of increasing social changes brought about by the war. </w:t>
      </w:r>
    </w:p>
    <w:p w14:paraId="6690D49E" w14:textId="77777777" w:rsidR="009E77D5" w:rsidRPr="009E77D5" w:rsidRDefault="009E77D5" w:rsidP="009E77D5">
      <w:pPr>
        <w:jc w:val="both"/>
        <w:rPr>
          <w:rFonts w:ascii="Arial" w:hAnsi="Arial" w:cs="Arial"/>
          <w:sz w:val="24"/>
          <w:szCs w:val="24"/>
        </w:rPr>
      </w:pPr>
      <w:r w:rsidRPr="009E77D5">
        <w:rPr>
          <w:rFonts w:ascii="Arial" w:hAnsi="Arial" w:cs="Arial"/>
          <w:sz w:val="24"/>
          <w:szCs w:val="24"/>
        </w:rPr>
        <w:t xml:space="preserve">Director of the Centre for First World War Studies, and the Chairperson of the International Society for First World War Studies, Purseigle is well equipped to comment on this topic. He has authored numerous articles in leading academic </w:t>
      </w:r>
      <w:proofErr w:type="gramStart"/>
      <w:r w:rsidRPr="009E77D5">
        <w:rPr>
          <w:rFonts w:ascii="Arial" w:hAnsi="Arial" w:cs="Arial"/>
          <w:sz w:val="24"/>
          <w:szCs w:val="24"/>
        </w:rPr>
        <w:t>journals, and</w:t>
      </w:r>
      <w:proofErr w:type="gramEnd"/>
      <w:r w:rsidRPr="009E77D5">
        <w:rPr>
          <w:rFonts w:ascii="Arial" w:hAnsi="Arial" w:cs="Arial"/>
          <w:sz w:val="24"/>
          <w:szCs w:val="24"/>
        </w:rPr>
        <w:t xml:space="preserve"> written several books all focused on this subject. This academic experience makes him highly qualified to provide critical and factual analysis of this under explored subject material.</w:t>
      </w:r>
    </w:p>
    <w:p w14:paraId="5D399BDF" w14:textId="77777777" w:rsidR="009E77D5" w:rsidRPr="009E77D5" w:rsidRDefault="009E77D5" w:rsidP="009E77D5">
      <w:pPr>
        <w:jc w:val="both"/>
        <w:rPr>
          <w:rFonts w:ascii="Arial" w:hAnsi="Arial" w:cs="Arial"/>
          <w:sz w:val="24"/>
          <w:szCs w:val="24"/>
        </w:rPr>
      </w:pPr>
      <w:r w:rsidRPr="009E77D5">
        <w:rPr>
          <w:rFonts w:ascii="Arial" w:hAnsi="Arial" w:cs="Arial"/>
          <w:sz w:val="24"/>
          <w:szCs w:val="24"/>
        </w:rPr>
        <w:t xml:space="preserve">Throughout this article, Purseigle hasn’t conformed to a set chronological approach. Instead, he has chosen to divide this topic into a few key aspects, for which he provides examples drawn from various French and British newspapers. Although this layout ensures his work is easily followed and flows perfectly to each section, his decision to include depictions in French without translations does prove challenging. Readers versed in the historical area, but not able to understand French, would lose the point. By adding a translation, he would ensure that all readers understand exactly what is trying to be conveyed in the examples provided. </w:t>
      </w:r>
    </w:p>
    <w:p w14:paraId="061D9820" w14:textId="77777777" w:rsidR="009E77D5" w:rsidRPr="009E77D5" w:rsidRDefault="009E77D5" w:rsidP="009E77D5">
      <w:pPr>
        <w:jc w:val="both"/>
        <w:rPr>
          <w:rFonts w:ascii="Arial" w:hAnsi="Arial" w:cs="Arial"/>
          <w:sz w:val="24"/>
          <w:szCs w:val="24"/>
        </w:rPr>
      </w:pPr>
      <w:r w:rsidRPr="009E77D5">
        <w:rPr>
          <w:rFonts w:ascii="Arial" w:hAnsi="Arial" w:cs="Arial"/>
          <w:sz w:val="24"/>
          <w:szCs w:val="24"/>
        </w:rPr>
        <w:t xml:space="preserve">This article and the presentation style of Purseigle (jumping around the timeline to suit a narrative) could prove useful moving forward. It is an interesting form of essay structure, however, what I feel would benefit me more, is the idea of pictorial depictions being important as a source of critique of society. </w:t>
      </w:r>
    </w:p>
    <w:p w14:paraId="188928CF" w14:textId="71EFA07F" w:rsidR="009E77D5" w:rsidRPr="000D30A7" w:rsidRDefault="009E77D5" w:rsidP="000D30A7">
      <w:pPr>
        <w:jc w:val="center"/>
        <w:rPr>
          <w:rFonts w:ascii="Arial" w:hAnsi="Arial" w:cs="Arial"/>
          <w:b/>
          <w:bCs/>
          <w:sz w:val="24"/>
          <w:szCs w:val="24"/>
          <w:u w:val="single"/>
        </w:rPr>
      </w:pPr>
    </w:p>
    <w:p w14:paraId="60EF4A6A" w14:textId="77777777" w:rsidR="009E77D5" w:rsidRPr="009E77D5" w:rsidRDefault="009E77D5" w:rsidP="009E77D5">
      <w:pPr>
        <w:jc w:val="both"/>
        <w:rPr>
          <w:rFonts w:ascii="Arial" w:hAnsi="Arial" w:cs="Arial"/>
          <w:sz w:val="24"/>
          <w:szCs w:val="24"/>
        </w:rPr>
      </w:pPr>
    </w:p>
    <w:p w14:paraId="2C8C8C5D" w14:textId="77777777" w:rsidR="009E77D5" w:rsidRPr="00796159" w:rsidRDefault="009E77D5" w:rsidP="009E77D5">
      <w:pPr>
        <w:jc w:val="both"/>
        <w:rPr>
          <w:rFonts w:ascii="Arial" w:hAnsi="Arial" w:cs="Arial"/>
          <w:sz w:val="24"/>
          <w:szCs w:val="24"/>
        </w:rPr>
      </w:pPr>
    </w:p>
    <w:sectPr w:rsidR="009E77D5" w:rsidRPr="00796159">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2B3DA6" w14:textId="77777777" w:rsidR="00714699" w:rsidRDefault="00714699" w:rsidP="009976A3">
      <w:pPr>
        <w:spacing w:after="0" w:line="240" w:lineRule="auto"/>
      </w:pPr>
      <w:r>
        <w:separator/>
      </w:r>
    </w:p>
  </w:endnote>
  <w:endnote w:type="continuationSeparator" w:id="0">
    <w:p w14:paraId="4D1F96F5" w14:textId="77777777" w:rsidR="00714699" w:rsidRDefault="00714699" w:rsidP="009976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6A2DDD" w14:textId="77777777" w:rsidR="00714699" w:rsidRDefault="00714699" w:rsidP="009976A3">
      <w:pPr>
        <w:spacing w:after="0" w:line="240" w:lineRule="auto"/>
      </w:pPr>
      <w:r>
        <w:separator/>
      </w:r>
    </w:p>
  </w:footnote>
  <w:footnote w:type="continuationSeparator" w:id="0">
    <w:p w14:paraId="32C49404" w14:textId="77777777" w:rsidR="00714699" w:rsidRDefault="00714699" w:rsidP="009976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D7661A" w14:textId="21E6C952" w:rsidR="009976A3" w:rsidRPr="009976A3" w:rsidRDefault="009976A3" w:rsidP="009976A3">
    <w:pPr>
      <w:pStyle w:val="Header"/>
      <w:jc w:val="center"/>
      <w:rPr>
        <w:rFonts w:ascii="Arial" w:hAnsi="Arial" w:cs="Arial"/>
        <w:sz w:val="18"/>
        <w:szCs w:val="18"/>
      </w:rPr>
    </w:pPr>
    <w:r w:rsidRPr="009976A3">
      <w:rPr>
        <w:rFonts w:ascii="Arial" w:hAnsi="Arial" w:cs="Arial"/>
        <w:sz w:val="18"/>
        <w:szCs w:val="18"/>
      </w:rPr>
      <w:t>Kurtis Lloyd Williams (SN 1801031</w:t>
    </w:r>
    <w:r w:rsidRPr="009976A3">
      <w:rPr>
        <w:rFonts w:ascii="Arial" w:hAnsi="Arial" w:cs="Arial"/>
        <w:sz w:val="18"/>
        <w:szCs w:val="18"/>
      </w:rPr>
      <w:t>) Britain</w:t>
    </w:r>
    <w:r w:rsidRPr="009976A3">
      <w:rPr>
        <w:rFonts w:ascii="Arial" w:hAnsi="Arial" w:cs="Arial"/>
        <w:sz w:val="18"/>
        <w:szCs w:val="18"/>
      </w:rPr>
      <w:t xml:space="preserve"> and the Great </w:t>
    </w:r>
    <w:proofErr w:type="gramStart"/>
    <w:r w:rsidRPr="009976A3">
      <w:rPr>
        <w:rFonts w:ascii="Arial" w:hAnsi="Arial" w:cs="Arial"/>
        <w:sz w:val="18"/>
        <w:szCs w:val="18"/>
      </w:rPr>
      <w:t>w</w:t>
    </w:r>
    <w:r w:rsidRPr="009976A3">
      <w:rPr>
        <w:rFonts w:ascii="Arial" w:hAnsi="Arial" w:cs="Arial"/>
        <w:sz w:val="18"/>
        <w:szCs w:val="18"/>
      </w:rPr>
      <w:t xml:space="preserve">ar </w:t>
    </w:r>
    <w:r w:rsidRPr="009976A3">
      <w:rPr>
        <w:rFonts w:ascii="Arial" w:hAnsi="Arial" w:cs="Arial"/>
        <w:sz w:val="18"/>
        <w:szCs w:val="18"/>
      </w:rPr>
      <w:t xml:space="preserve"> </w:t>
    </w:r>
    <w:r w:rsidRPr="009976A3">
      <w:rPr>
        <w:rFonts w:ascii="Arial" w:hAnsi="Arial" w:cs="Arial"/>
        <w:sz w:val="18"/>
        <w:szCs w:val="18"/>
      </w:rPr>
      <w:t>Assessment</w:t>
    </w:r>
    <w:proofErr w:type="gramEnd"/>
    <w:r w:rsidRPr="009976A3">
      <w:rPr>
        <w:rFonts w:ascii="Arial" w:hAnsi="Arial" w:cs="Arial"/>
        <w:sz w:val="18"/>
        <w:szCs w:val="18"/>
      </w:rPr>
      <w:t xml:space="preserve"> 1 Annotated Bibliography</w:t>
    </w:r>
    <w:r w:rsidRPr="009976A3">
      <w:rPr>
        <w:rFonts w:ascii="Arial" w:hAnsi="Arial" w:cs="Arial"/>
        <w:sz w:val="18"/>
        <w:szCs w:val="18"/>
      </w:rPr>
      <w:t>, Book Report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76A3"/>
    <w:rsid w:val="000D30A7"/>
    <w:rsid w:val="000E3542"/>
    <w:rsid w:val="00303C1A"/>
    <w:rsid w:val="00603B79"/>
    <w:rsid w:val="00714699"/>
    <w:rsid w:val="00754880"/>
    <w:rsid w:val="00796159"/>
    <w:rsid w:val="009976A3"/>
    <w:rsid w:val="009E6CEF"/>
    <w:rsid w:val="009E77D5"/>
    <w:rsid w:val="00B15B16"/>
    <w:rsid w:val="00B9635D"/>
    <w:rsid w:val="00D160E9"/>
    <w:rsid w:val="00F77F4D"/>
    <w:rsid w:val="00FC29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B5384"/>
  <w15:chartTrackingRefBased/>
  <w15:docId w15:val="{6920D1F9-D4E6-498A-9146-361FB15169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76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76A3"/>
  </w:style>
  <w:style w:type="paragraph" w:styleId="Footer">
    <w:name w:val="footer"/>
    <w:basedOn w:val="Normal"/>
    <w:link w:val="FooterChar"/>
    <w:uiPriority w:val="99"/>
    <w:unhideWhenUsed/>
    <w:rsid w:val="009976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76A3"/>
  </w:style>
  <w:style w:type="character" w:styleId="Hyperlink">
    <w:name w:val="Hyperlink"/>
    <w:basedOn w:val="DefaultParagraphFont"/>
    <w:uiPriority w:val="99"/>
    <w:unhideWhenUsed/>
    <w:rsid w:val="00796159"/>
    <w:rPr>
      <w:color w:val="0563C1" w:themeColor="hyperlink"/>
      <w:u w:val="single"/>
    </w:rPr>
  </w:style>
  <w:style w:type="character" w:styleId="UnresolvedMention">
    <w:name w:val="Unresolved Mention"/>
    <w:basedOn w:val="DefaultParagraphFont"/>
    <w:uiPriority w:val="99"/>
    <w:semiHidden/>
    <w:unhideWhenUsed/>
    <w:rsid w:val="007961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ezproxy.uwtsd.ac.uk/stable/1906048?sid=primo&amp;seq=1#metadata_info_tab_contents" TargetMode="External"/><Relationship Id="rId3" Type="http://schemas.openxmlformats.org/officeDocument/2006/relationships/webSettings" Target="webSettings.xml"/><Relationship Id="rId7" Type="http://schemas.openxmlformats.org/officeDocument/2006/relationships/hyperlink" Target="https://www-jstor-org.ezproxy.uwtsd.ac.uk/stable/j.ctt211qvzc"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jstor-org.ezproxy.uwtsd.ac.uk/stable/2639348?sid=primo&amp;seq=1#metadata_info_tab_contents"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journals-sagepub-com.ezproxy.uwtsd.ac.uk/doi/pdf/10.1177/0047244101031123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6</Pages>
  <Words>2919</Words>
  <Characters>16641</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Kurtis Lloyd Williams (1801031)</dc:creator>
  <cp:keywords/>
  <dc:description/>
  <cp:lastModifiedBy>Kurtis Lloyd Williams (1801031)</cp:lastModifiedBy>
  <cp:revision>11</cp:revision>
  <dcterms:created xsi:type="dcterms:W3CDTF">2022-02-04T12:08:00Z</dcterms:created>
  <dcterms:modified xsi:type="dcterms:W3CDTF">2022-02-04T12:46:00Z</dcterms:modified>
</cp:coreProperties>
</file>