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color w:val="212529"/>
          <w:sz w:val="24"/>
          <w:szCs w:val="24"/>
          <w:rtl w:val="0"/>
        </w:rPr>
        <w:t xml:space="preserve">This Professional Career Development essay provides a detailed analysis and critical assessment of the professional events and actions that contributed to developing employability skills and increased professional knowledge since I started the course.</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color w:val="212529"/>
          <w:sz w:val="24"/>
          <w:szCs w:val="24"/>
          <w:rtl w:val="0"/>
        </w:rPr>
        <w:t xml:space="preserve">The first section discusses the skills and knowledge acquired, highlighting the tools that enhanced professional capabilities. The second section focuses on personal reflection, describing the knowledge and skills I have learned in the course. This reflection will illustrate the personal transformation that occurred during my studies. For the reflection part, I will apply  SWOT analysis, SMART objectives, RAISEC personality types, the Johar window and Honey and Mumford’s learning styles.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rtl w:val="0"/>
        </w:rPr>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color w:val="212529"/>
          <w:sz w:val="24"/>
          <w:szCs w:val="24"/>
          <w:rtl w:val="0"/>
        </w:rPr>
        <w:t xml:space="preserve">The Career Development Institute 2025 states that career development is a lifelong process of managing and advancing one’s career. It involves obtaining new skills, knowledge, and experiences, making strategic decisions, and acting to enhance professional growth and achieve long-term career goals.</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color w:val="212529"/>
          <w:sz w:val="24"/>
          <w:szCs w:val="24"/>
          <w:rtl w:val="0"/>
        </w:rPr>
        <w:t xml:space="preserve">Career development professionals specialise in helping individuals navigate their career paths, make informed decisions, and develop strategies to reach their career objectives.  Professional career development emphasises personal growth and continuous reflection.</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color w:val="212529"/>
          <w:sz w:val="24"/>
          <w:szCs w:val="24"/>
        </w:rPr>
      </w:pPr>
      <w:r w:rsidDel="00000000" w:rsidR="00000000" w:rsidRPr="00000000">
        <w:rPr>
          <w:color w:val="212529"/>
          <w:sz w:val="24"/>
          <w:szCs w:val="24"/>
          <w:rtl w:val="0"/>
        </w:rPr>
        <w:t xml:space="preserve">Career development support is tailored to meet individual needs and is available to people in all stages of life, from primary school to retirement planning. This support typically focuses on career transitions, including taking the next step in education or training, entering the workforce for the first time, making mid-career job changes, and finding options for working longer as retirement approaches.</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212529"/>
          <w:sz w:val="24"/>
          <w:szCs w:val="24"/>
        </w:rPr>
      </w:pPr>
      <w:r w:rsidDel="00000000" w:rsidR="00000000" w:rsidRPr="00000000">
        <w:rPr>
          <w:color w:val="212529"/>
          <w:sz w:val="24"/>
          <w:szCs w:val="24"/>
          <w:rtl w:val="0"/>
        </w:rPr>
        <w:t xml:space="preserve">Transitions can be influenced by various factors, such as changes in personal circumstances, like taking on increased caring responsibilities, or external situations like redundancy and job loss. Additionally, some individuals engage in career development to assess their career progression, ensure they are on the right path, or make a decision to change.</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212529"/>
          <w:sz w:val="24"/>
          <w:szCs w:val="24"/>
        </w:rPr>
      </w:pPr>
      <w:r w:rsidDel="00000000" w:rsidR="00000000" w:rsidRPr="00000000">
        <w:rPr>
          <w:rtl w:val="0"/>
        </w:rPr>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color w:val="435059"/>
          <w:sz w:val="24"/>
          <w:szCs w:val="24"/>
          <w:highlight w:val="white"/>
          <w:rtl w:val="0"/>
        </w:rPr>
        <w:t xml:space="preserve">Before I enrolled in the Career Development course, I had limited knowledge of business studies and employability skills. I took this course to better understand these topics and explore ways to navigate my personal career development. This module has allowed me to learn more about myself, helping me identify my strengths, weaknesses, and areas for improvement.</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color w:val="435059"/>
          <w:sz w:val="24"/>
          <w:szCs w:val="24"/>
          <w:highlight w:val="white"/>
          <w:rtl w:val="0"/>
        </w:rPr>
        <w:t xml:space="preserve">I have learned about SWOT, which stands for Strengths, Weaknesses, Opportunities, and Threats. Using the SWOT template has helped me identify my strengths and weaknesses. It has enabled me to recognise the areas where I excel and those that need improvement. Conducting a SWOT analysis will assist me in advancing my career development.</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color w:val="435059"/>
          <w:sz w:val="24"/>
          <w:szCs w:val="24"/>
          <w:highlight w:val="white"/>
          <w:rtl w:val="0"/>
        </w:rPr>
        <w:t xml:space="preserve">The SWOT analysis has helped me understand how to identify and implement opportunities, monitor business growth, and evaluate threats. I gained insight into my strengths and weaknesses and strategies for managing my weaknesses, particularly in time management and organisational skills.</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color w:val="435059"/>
          <w:sz w:val="24"/>
          <w:szCs w:val="24"/>
          <w:highlight w:val="white"/>
          <w:rtl w:val="0"/>
        </w:rPr>
        <w:t xml:space="preserve">Moreover, identifying personal strengths involves recognising innate talents, skills, knowledge, and experiences. Conversely, gathering feedback through verbal or written evaluations emphasises both strengths and weaknesses.</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rtl w:val="0"/>
        </w:rPr>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11111"/>
          <w:sz w:val="24"/>
          <w:szCs w:val="24"/>
          <w:highlight w:val="white"/>
        </w:rPr>
      </w:pPr>
      <w:r w:rsidDel="00000000" w:rsidR="00000000" w:rsidRPr="00000000">
        <w:rPr>
          <w:color w:val="435059"/>
          <w:sz w:val="24"/>
          <w:szCs w:val="24"/>
          <w:highlight w:val="white"/>
          <w:rtl w:val="0"/>
        </w:rPr>
        <w:t xml:space="preserve">In this module, I gained a better understanding of SMART objectives. SMART stands for Specific, Measurable, Achievable, Realistic, and Time-bound. It is essential to understand the subject area related to meetings.  In the past, I  worked in an organisation for 14 years where managers often discussed SMART objectives, but I never fully understood them before. Now, I feel excited and optimistic about grasping the importance of SMART objectives. This preparation is for the instructional experiences in my future business. I have learned that providing clear guidance will pave the way for success. It is inspiring how Hopkins (2025) simplifies SMART objectives into clear, manageable steps.</w:t>
      </w:r>
      <w:r w:rsidDel="00000000" w:rsidR="00000000" w:rsidRPr="00000000">
        <w:rPr>
          <w:rtl w:val="0"/>
        </w:rPr>
      </w:r>
    </w:p>
    <w:p w:rsidR="00000000" w:rsidDel="00000000" w:rsidP="00000000" w:rsidRDefault="00000000" w:rsidRPr="00000000" w14:paraId="00000013">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hanging="360"/>
        <w:jc w:val="both"/>
        <w:rPr>
          <w:color w:val="111111"/>
          <w:sz w:val="24"/>
          <w:szCs w:val="24"/>
          <w:highlight w:val="white"/>
        </w:rPr>
      </w:pPr>
      <w:r w:rsidDel="00000000" w:rsidR="00000000" w:rsidRPr="00000000">
        <w:rPr>
          <w:color w:val="111111"/>
          <w:sz w:val="24"/>
          <w:szCs w:val="24"/>
          <w:highlight w:val="white"/>
          <w:rtl w:val="0"/>
        </w:rPr>
        <w:t xml:space="preserve">Specific: Clearly outline what actions will be taken and who will be responsible for them. The objectives should be concrete and easy to understand.</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firstLine="0"/>
        <w:jc w:val="both"/>
        <w:rPr>
          <w:color w:val="111111"/>
          <w:sz w:val="24"/>
          <w:szCs w:val="24"/>
          <w:highlight w:val="white"/>
        </w:rPr>
      </w:pPr>
      <w:r w:rsidDel="00000000" w:rsidR="00000000" w:rsidRPr="00000000">
        <w:rPr>
          <w:rtl w:val="0"/>
        </w:rPr>
      </w:r>
    </w:p>
    <w:p w:rsidR="00000000" w:rsidDel="00000000" w:rsidP="00000000" w:rsidRDefault="00000000" w:rsidRPr="00000000" w14:paraId="0000001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hanging="360"/>
        <w:jc w:val="both"/>
        <w:rPr>
          <w:color w:val="111111"/>
          <w:sz w:val="24"/>
          <w:szCs w:val="24"/>
          <w:highlight w:val="white"/>
        </w:rPr>
      </w:pPr>
      <w:r w:rsidDel="00000000" w:rsidR="00000000" w:rsidRPr="00000000">
        <w:rPr>
          <w:color w:val="111111"/>
          <w:sz w:val="24"/>
          <w:szCs w:val="24"/>
          <w:highlight w:val="white"/>
          <w:rtl w:val="0"/>
        </w:rPr>
        <w:t xml:space="preserve">Measurable: Specify how the actions or skills will be evaluated. This can include tangible metrics like grades or scores and other clearly defined criteria or standards.</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firstLine="0"/>
        <w:jc w:val="both"/>
        <w:rPr>
          <w:color w:val="111111"/>
          <w:sz w:val="24"/>
          <w:szCs w:val="24"/>
          <w:highlight w:val="white"/>
        </w:rPr>
      </w:pPr>
      <w:r w:rsidDel="00000000" w:rsidR="00000000" w:rsidRPr="00000000">
        <w:rPr>
          <w:rtl w:val="0"/>
        </w:rPr>
      </w:r>
    </w:p>
    <w:p w:rsidR="00000000" w:rsidDel="00000000" w:rsidP="00000000" w:rsidRDefault="00000000" w:rsidRPr="00000000" w14:paraId="0000001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hanging="360"/>
        <w:jc w:val="both"/>
        <w:rPr>
          <w:color w:val="111111"/>
          <w:sz w:val="24"/>
          <w:szCs w:val="24"/>
          <w:highlight w:val="white"/>
        </w:rPr>
      </w:pPr>
      <w:r w:rsidDel="00000000" w:rsidR="00000000" w:rsidRPr="00000000">
        <w:rPr>
          <w:color w:val="111111"/>
          <w:sz w:val="24"/>
          <w:szCs w:val="24"/>
          <w:highlight w:val="white"/>
          <w:rtl w:val="0"/>
        </w:rPr>
        <w:t xml:space="preserve">Attainable: Ensure the goals are achievable within the given timeframe and available resources, making them realistic within the learning environment.</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firstLine="0"/>
        <w:jc w:val="both"/>
        <w:rPr>
          <w:color w:val="111111"/>
          <w:sz w:val="24"/>
          <w:szCs w:val="24"/>
          <w:highlight w:val="white"/>
        </w:rPr>
      </w:pPr>
      <w:r w:rsidDel="00000000" w:rsidR="00000000" w:rsidRPr="00000000">
        <w:rPr>
          <w:rtl w:val="0"/>
        </w:rPr>
      </w:r>
    </w:p>
    <w:p w:rsidR="00000000" w:rsidDel="00000000" w:rsidP="00000000" w:rsidRDefault="00000000" w:rsidRPr="00000000" w14:paraId="00000019">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hanging="360"/>
        <w:jc w:val="both"/>
        <w:rPr>
          <w:color w:val="111111"/>
          <w:sz w:val="24"/>
          <w:szCs w:val="24"/>
          <w:highlight w:val="white"/>
        </w:rPr>
      </w:pPr>
      <w:r w:rsidDel="00000000" w:rsidR="00000000" w:rsidRPr="00000000">
        <w:rPr>
          <w:color w:val="111111"/>
          <w:sz w:val="24"/>
          <w:szCs w:val="24"/>
          <w:highlight w:val="white"/>
          <w:rtl w:val="0"/>
        </w:rPr>
        <w:t xml:space="preserve">Relevant: Ensure that the objectives align with the goals of the class, lesson, or program and connect to the student's learning objectives.</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firstLine="0"/>
        <w:jc w:val="both"/>
        <w:rPr>
          <w:color w:val="111111"/>
          <w:sz w:val="24"/>
          <w:szCs w:val="24"/>
          <w:highlight w:val="white"/>
        </w:rPr>
      </w:pPr>
      <w:r w:rsidDel="00000000" w:rsidR="00000000" w:rsidRPr="00000000">
        <w:rPr>
          <w:rtl w:val="0"/>
        </w:rPr>
      </w:r>
    </w:p>
    <w:p w:rsidR="00000000" w:rsidDel="00000000" w:rsidP="00000000" w:rsidRDefault="00000000" w:rsidRPr="00000000" w14:paraId="0000001B">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ind w:left="720" w:hanging="360"/>
        <w:jc w:val="both"/>
        <w:rPr>
          <w:color w:val="111111"/>
          <w:sz w:val="24"/>
          <w:szCs w:val="24"/>
          <w:highlight w:val="white"/>
        </w:rPr>
      </w:pPr>
      <w:r w:rsidDel="00000000" w:rsidR="00000000" w:rsidRPr="00000000">
        <w:rPr>
          <w:color w:val="111111"/>
          <w:sz w:val="24"/>
          <w:szCs w:val="24"/>
          <w:highlight w:val="white"/>
          <w:rtl w:val="0"/>
        </w:rPr>
        <w:t xml:space="preserve">Time-bound: Set a specific timeframe for completion, establishing a realistic period in which the learning outcomes can be achieved.</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11111"/>
          <w:sz w:val="24"/>
          <w:szCs w:val="24"/>
          <w:highlight w:val="white"/>
        </w:rPr>
      </w:pPr>
      <w:r w:rsidDel="00000000" w:rsidR="00000000" w:rsidRPr="00000000">
        <w:rPr>
          <w:color w:val="111111"/>
          <w:sz w:val="24"/>
          <w:szCs w:val="24"/>
          <w:highlight w:val="white"/>
          <w:rtl w:val="0"/>
        </w:rPr>
        <w:t xml:space="preserve">Reflecting on these steps, Hopkins (2025) noted that student learning and engagement improve when students understand what is expected of them and when the assessment criteria are clear and unambiguous. When learning objectives are SMART (Specific, Measurable, Achievable, Relevant, Time-bound), students are better prepared for the instructional experience. By establishing clear plan guidelines, I can create a more successful and motivating business experience.</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11111"/>
          <w:sz w:val="24"/>
          <w:szCs w:val="24"/>
          <w:highlight w:val="white"/>
          <w:rtl w:val="0"/>
        </w:rPr>
        <w:t xml:space="preserve">Studies also show that Blppm’s taxonomy is a powerful </w:t>
      </w:r>
      <w:r w:rsidDel="00000000" w:rsidR="00000000" w:rsidRPr="00000000">
        <w:rPr>
          <w:color w:val="1c1c1c"/>
          <w:sz w:val="24"/>
          <w:szCs w:val="24"/>
          <w:highlight w:val="white"/>
          <w:rtl w:val="0"/>
        </w:rPr>
        <w:t xml:space="preserve">tool for developing learning objectives because it outlines the learning process. First, you must remember information before you can understand a concept. To apply an idea, you must first have a clear understanding of it. Additionally, to evaluate a process, you need to have analysed it.</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 The knowledge I acquired from the module has enhanced my skills as a student, and I’m more equipped. Bloom's taxonomy is a robust framework that creates compelling learning experiences, encouraging critical thinking, problem-solving, and creativity (Rudnicki, 2019</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However, I also learned about the Johari Window, which is used to identify the strengths and weaknesses</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The Johari Window is a visual framework that helped me understand my conscious and unconscious biases. Before I started the course, I had little knowledge about the Johari Window framework.</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This tool will enhance my self-awareness and give me insights into others. It also serves as a personal development tool and fosters better workplace relationships.</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The Johari Window has helped me better understand myself and others in my community, workplace, and household. It has taught me the importance of seeking feedback and being transparent and honest. I have become more aware of how I can expand my self-awareness, build strong relationships, and foster a safe and effective work environment.</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Though the Johari Window is controversial, the controversy primarily focuses on its practical implementation and any discomfort it may cause. This model depends significantly on individuals' willingness to provide and receive honest feedback, which can be difficult in environments lacking trust and open communication.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Research emphasises that the Johari Window is an effective tool for enhancing communication and teamwork in project management. It provides valuable insights about oneself and others, helping individuals understand how they are perceived by others and how this perception affects their interactions with the outside world. Additionally, it fosters a deeper understanding of the motivations behind others' behaviours.</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According to Hampson (2025), disclosure and feedback promote openness and understanding. This, in turn, enhances communication in the workplace, fosters team development, improves group dynamics, and promotes equality. Additionally, it helps reduce conflict, confusion, and misunderstandings.</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 We also cover Honey and Mumford learning styles, and here are the four main learning styles: Visual, Auditory, Reading/Writing, and Kinaesthetic. While many of us have a general idea of how we learn best, it can often be surprising to discover which learning style is our predominant one.</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 Honey and Mumford learning style has helped me to identify my learning style which visual learning style.</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Learning styles refer to the various ways individuals interpret, organise, and represent information. For instance, some people learn best through audio presentations, such as classroom lectures or audiobooks. Others thrive on hands-on experiences or real-world contexts to fully understand new concepts.</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The Honey and Mumford learning styles model is well-known for its practicality and influence in education. This model offers valuable insights into how individuals learn, highlighting the importance of customising educational experiences to align with their unique learning preferences.</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As a student, I will apply my learning style to my career planning and adapt other learning styles to accommodate others. I will use everything I have learned from the model to establish the tools I need for my business planning.</w:t>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c1c1c"/>
          <w:sz w:val="21"/>
          <w:szCs w:val="21"/>
          <w:highlight w:val="white"/>
          <w:rtl w:val="0"/>
        </w:rPr>
        <w:t xml:space="preserve">Learning about the SWOT analysis, SMART objectives, Johari Window learning style and Honey and Mumford learning style has equipped me for my career development pathway.</w:t>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1"/>
          <w:szCs w:val="21"/>
          <w:highlight w:val="white"/>
        </w:rPr>
      </w:pPr>
      <w:r w:rsidDel="00000000" w:rsidR="00000000" w:rsidRPr="00000000">
        <w:rPr>
          <w:color w:val="15171a"/>
          <w:sz w:val="27"/>
          <w:szCs w:val="27"/>
          <w:highlight w:val="white"/>
          <w:rtl w:val="0"/>
        </w:rPr>
        <w:t xml:space="preserve">Using structured methods like the different techniques and reflection cycle, reflective writing will assist me in my professional journey and enable me to enhance my decision-making abilities, improve team dynamics, and advance my career (Bay University of Atlantic, 2024). I  believe that when practised consistently, it transforms into a powerful tool for personal and professional development.</w:t>
      </w: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b w:val="1"/>
          <w:color w:val="1c1c1c"/>
          <w:sz w:val="31"/>
          <w:szCs w:val="31"/>
          <w:highlight w:val="white"/>
        </w:rPr>
      </w:pPr>
      <w:r w:rsidDel="00000000" w:rsidR="00000000" w:rsidRPr="00000000">
        <w:rPr>
          <w:b w:val="1"/>
          <w:color w:val="1c1c1c"/>
          <w:sz w:val="31"/>
          <w:szCs w:val="31"/>
          <w:highlight w:val="white"/>
          <w:rtl w:val="0"/>
        </w:rPr>
        <w:t xml:space="preserve"> References </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Hampton, S, (2025). Johari Window Theory: Enhance communication and Productivity. MindTools Limited</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r w:rsidDel="00000000" w:rsidR="00000000" w:rsidRPr="00000000">
        <w:rPr>
          <w:color w:val="1c1c1c"/>
          <w:sz w:val="24"/>
          <w:szCs w:val="24"/>
          <w:highlight w:val="white"/>
          <w:rtl w:val="0"/>
        </w:rPr>
        <w:t xml:space="preserve">Lamm. M (2023), </w:t>
      </w:r>
      <w:r w:rsidDel="00000000" w:rsidR="00000000" w:rsidRPr="00000000">
        <w:rPr>
          <w:color w:val="111111"/>
          <w:sz w:val="24"/>
          <w:szCs w:val="24"/>
          <w:highlight w:val="white"/>
          <w:rtl w:val="0"/>
        </w:rPr>
        <w:t xml:space="preserve">Know Where You Are Going! Simple Steps to Writing SMART Learning Objectives, school of public health, Boo</w:t>
      </w: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435059"/>
          <w:sz w:val="24"/>
          <w:szCs w:val="24"/>
          <w:highlight w:val="white"/>
        </w:rPr>
      </w:pPr>
      <w:r w:rsidDel="00000000" w:rsidR="00000000" w:rsidRPr="00000000">
        <w:rPr>
          <w:color w:val="1c1c1c"/>
          <w:sz w:val="24"/>
          <w:szCs w:val="24"/>
          <w:highlight w:val="white"/>
          <w:rtl w:val="0"/>
        </w:rPr>
        <w:t xml:space="preserve">Rudnicki, M  (2019).London School of management education,  university college London.</w:t>
      </w: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435059"/>
          <w:sz w:val="24"/>
          <w:szCs w:val="24"/>
          <w:highlight w:val="white"/>
        </w:rPr>
      </w:pPr>
      <w:r w:rsidDel="00000000" w:rsidR="00000000" w:rsidRPr="00000000">
        <w:rPr>
          <w:i w:val="1"/>
          <w:color w:val="111111"/>
          <w:sz w:val="24"/>
          <w:szCs w:val="24"/>
          <w:highlight w:val="white"/>
          <w:rtl w:val="0"/>
        </w:rPr>
        <w:t xml:space="preserve">Setting goals and developing specific, measurable, achievable, relevant, and time-bound objectives</w:t>
      </w:r>
      <w:r w:rsidDel="00000000" w:rsidR="00000000" w:rsidRPr="00000000">
        <w:rPr>
          <w:color w:val="111111"/>
          <w:sz w:val="24"/>
          <w:szCs w:val="24"/>
          <w:highlight w:val="white"/>
          <w:rtl w:val="0"/>
        </w:rPr>
        <w:t xml:space="preserve">. (n.d.). SAMHSA. </w:t>
      </w: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rFonts w:ascii="Times New Roman" w:cs="Times New Roman" w:eastAsia="Times New Roman" w:hAnsi="Times New Roman"/>
          <w:color w:val="435059"/>
          <w:sz w:val="30"/>
          <w:szCs w:val="30"/>
          <w:highlight w:val="white"/>
        </w:rPr>
      </w:pPr>
      <w:r w:rsidDel="00000000" w:rsidR="00000000" w:rsidRPr="00000000">
        <w:rPr>
          <w:rFonts w:ascii="Times New Roman" w:cs="Times New Roman" w:eastAsia="Times New Roman" w:hAnsi="Times New Roman"/>
          <w:color w:val="435059"/>
          <w:sz w:val="30"/>
          <w:szCs w:val="30"/>
          <w:highlight w:val="white"/>
          <w:rtl w:val="0"/>
        </w:rPr>
        <w:t xml:space="preserve">Robinson, M (2024), Let them theory: personal development</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rFonts w:ascii="Times New Roman" w:cs="Times New Roman" w:eastAsia="Times New Roman" w:hAnsi="Times New Roman"/>
          <w:color w:val="435059"/>
          <w:sz w:val="30"/>
          <w:szCs w:val="30"/>
          <w:highlight w:val="white"/>
        </w:rPr>
      </w:pPr>
      <w:hyperlink r:id="rId6">
        <w:r w:rsidDel="00000000" w:rsidR="00000000" w:rsidRPr="00000000">
          <w:rPr>
            <w:rFonts w:ascii="Times New Roman" w:cs="Times New Roman" w:eastAsia="Times New Roman" w:hAnsi="Times New Roman"/>
            <w:color w:val="1155cc"/>
            <w:sz w:val="30"/>
            <w:szCs w:val="30"/>
            <w:highlight w:val="white"/>
            <w:u w:val="single"/>
            <w:rtl w:val="0"/>
          </w:rPr>
          <w:t xml:space="preserve">https://www.tsw.co.uk/blog/leadership-and-management/the-johari-window</w:t>
        </w:r>
      </w:hyperlink>
      <w:r w:rsidDel="00000000" w:rsidR="00000000" w:rsidRPr="00000000">
        <w:rPr>
          <w:rFonts w:ascii="Times New Roman" w:cs="Times New Roman" w:eastAsia="Times New Roman" w:hAnsi="Times New Roman"/>
          <w:color w:val="435059"/>
          <w:sz w:val="30"/>
          <w:szCs w:val="30"/>
          <w:highlight w:val="white"/>
          <w:rtl w:val="0"/>
        </w:rPr>
        <w:t xml:space="preserve"> accessed on 16/06/25</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rFonts w:ascii="Times New Roman" w:cs="Times New Roman" w:eastAsia="Times New Roman" w:hAnsi="Times New Roman"/>
          <w:color w:val="435059"/>
          <w:sz w:val="30"/>
          <w:szCs w:val="30"/>
          <w:highlight w:val="white"/>
        </w:rPr>
      </w:pPr>
      <w:hyperlink r:id="rId7">
        <w:r w:rsidDel="00000000" w:rsidR="00000000" w:rsidRPr="00000000">
          <w:rPr>
            <w:rFonts w:ascii="Times New Roman" w:cs="Times New Roman" w:eastAsia="Times New Roman" w:hAnsi="Times New Roman"/>
            <w:color w:val="1155cc"/>
            <w:sz w:val="30"/>
            <w:szCs w:val="30"/>
            <w:highlight w:val="white"/>
            <w:u w:val="single"/>
            <w:rtl w:val="0"/>
          </w:rPr>
          <w:t xml:space="preserve">https://bau.edu/blog/types-of-learning-styles/</w:t>
        </w:r>
      </w:hyperlink>
      <w:r w:rsidDel="00000000" w:rsidR="00000000" w:rsidRPr="00000000">
        <w:rPr>
          <w:rFonts w:ascii="Times New Roman" w:cs="Times New Roman" w:eastAsia="Times New Roman" w:hAnsi="Times New Roman"/>
          <w:color w:val="435059"/>
          <w:sz w:val="30"/>
          <w:szCs w:val="30"/>
          <w:highlight w:val="white"/>
          <w:rtl w:val="0"/>
        </w:rPr>
        <w:t xml:space="preserve"> Washington, DC accessed on 19/2025</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rFonts w:ascii="Times New Roman" w:cs="Times New Roman" w:eastAsia="Times New Roman" w:hAnsi="Times New Roman"/>
          <w:color w:val="435059"/>
          <w:sz w:val="30"/>
          <w:szCs w:val="30"/>
          <w:highlight w:val="white"/>
        </w:rPr>
      </w:pPr>
      <w:hyperlink r:id="rId8">
        <w:r w:rsidDel="00000000" w:rsidR="00000000" w:rsidRPr="00000000">
          <w:rPr>
            <w:rFonts w:ascii="Times New Roman" w:cs="Times New Roman" w:eastAsia="Times New Roman" w:hAnsi="Times New Roman"/>
            <w:color w:val="1155cc"/>
            <w:sz w:val="30"/>
            <w:szCs w:val="30"/>
            <w:highlight w:val="white"/>
            <w:u w:val="single"/>
            <w:rtl w:val="0"/>
          </w:rPr>
          <w:t xml:space="preserve">https://www.imperial.ac.uk/students/success-guide/</w:t>
        </w:r>
      </w:hyperlink>
      <w:r w:rsidDel="00000000" w:rsidR="00000000" w:rsidRPr="00000000">
        <w:rPr>
          <w:rFonts w:ascii="Times New Roman" w:cs="Times New Roman" w:eastAsia="Times New Roman" w:hAnsi="Times New Roman"/>
          <w:color w:val="435059"/>
          <w:sz w:val="30"/>
          <w:szCs w:val="30"/>
          <w:highlight w:val="white"/>
          <w:rtl w:val="0"/>
        </w:rPr>
        <w:t xml:space="preserve"> accessed on 18/06/2025</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jc w:val="both"/>
        <w:rPr>
          <w:color w:val="1c1c1c"/>
          <w:sz w:val="24"/>
          <w:szCs w:val="24"/>
          <w:highlight w:val="white"/>
        </w:rPr>
      </w:pPr>
      <w:hyperlink r:id="rId9">
        <w:r w:rsidDel="00000000" w:rsidR="00000000" w:rsidRPr="00000000">
          <w:rPr>
            <w:color w:val="1155cc"/>
            <w:sz w:val="24"/>
            <w:szCs w:val="24"/>
            <w:highlight w:val="white"/>
            <w:u w:val="single"/>
            <w:rtl w:val="0"/>
          </w:rPr>
          <w:t xml:space="preserve">https://bau.edu/blog/types-of-learning-styles/</w:t>
        </w:r>
      </w:hyperlink>
      <w:r w:rsidDel="00000000" w:rsidR="00000000" w:rsidRPr="00000000">
        <w:rPr>
          <w:color w:val="1c1c1c"/>
          <w:sz w:val="24"/>
          <w:szCs w:val="24"/>
          <w:highlight w:val="white"/>
          <w:rtl w:val="0"/>
        </w:rPr>
        <w:t xml:space="preserve"> access on 20/06/25</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color w:val="1c1c1c"/>
          <w:sz w:val="24"/>
          <w:szCs w:val="24"/>
          <w:highlight w:val="white"/>
        </w:rPr>
      </w:pPr>
      <w:hyperlink r:id="rId10">
        <w:r w:rsidDel="00000000" w:rsidR="00000000" w:rsidRPr="00000000">
          <w:rPr>
            <w:color w:val="2e3b8b"/>
            <w:sz w:val="24"/>
            <w:szCs w:val="24"/>
            <w:highlight w:val="white"/>
            <w:u w:val="single"/>
            <w:rtl w:val="0"/>
          </w:rPr>
          <w:t xml:space="preserve">https://www.samhsa.gov/sites/default/files/nc-smart-goals-fact-sheet.pdf</w:t>
        </w:r>
      </w:hyperlink>
      <w:r w:rsidDel="00000000" w:rsidR="00000000" w:rsidRPr="00000000">
        <w:rPr>
          <w:color w:val="435059"/>
          <w:sz w:val="24"/>
          <w:szCs w:val="24"/>
          <w:highlight w:val="white"/>
          <w:rtl w:val="0"/>
        </w:rPr>
        <w:t xml:space="preserve"> accessed on 20/2025</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after="240" w:lineRule="auto"/>
        <w:jc w:val="both"/>
        <w:rPr>
          <w:rFonts w:ascii="Times New Roman" w:cs="Times New Roman" w:eastAsia="Times New Roman" w:hAnsi="Times New Roman"/>
          <w:color w:val="435059"/>
          <w:sz w:val="30"/>
          <w:szCs w:val="3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samhsa.gov/sites/default/files/nc-smart-goals-fact-sheet.pdf" TargetMode="External"/><Relationship Id="rId9" Type="http://schemas.openxmlformats.org/officeDocument/2006/relationships/hyperlink" Target="https://bau.edu/blog/types-of-learning-styles/" TargetMode="External"/><Relationship Id="rId5" Type="http://schemas.openxmlformats.org/officeDocument/2006/relationships/styles" Target="styles.xml"/><Relationship Id="rId6" Type="http://schemas.openxmlformats.org/officeDocument/2006/relationships/hyperlink" Target="https://www.tsw.co.uk/blog/leadership-and-management/the-johari-window" TargetMode="External"/><Relationship Id="rId7" Type="http://schemas.openxmlformats.org/officeDocument/2006/relationships/hyperlink" Target="https://bau.edu/blog/types-of-learning-styles/" TargetMode="External"/><Relationship Id="rId8" Type="http://schemas.openxmlformats.org/officeDocument/2006/relationships/hyperlink" Target="https://www.imperial.ac.uk/students/succes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