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Age and Second Language Acquisition</w:t>
      </w:r>
    </w:p>
    <w:p>
      <w:pPr>
        <w:jc w:val="right"/>
        <w:rPr>
          <w:rFonts w:ascii="Times New Roman" w:hAnsi="Times New Roman" w:cs="Times New Roman"/>
          <w:sz w:val="22"/>
          <w:szCs w:val="22"/>
        </w:rPr>
      </w:pPr>
      <w:bookmarkStart w:id="0" w:name="_GoBack"/>
      <w:r>
        <w:rPr>
          <w:rFonts w:ascii="Times New Roman" w:hAnsi="Times New Roman" w:cs="Times New Roman"/>
          <w:sz w:val="22"/>
          <w:szCs w:val="22"/>
        </w:rPr>
        <w:t>——by Hongxiu Liu (Student ID 2000461)</w:t>
      </w:r>
    </w:p>
    <w:bookmarkEnd w:id="0"/>
    <w:p>
      <w:pPr>
        <w:numPr>
          <w:ilvl w:val="0"/>
          <w:numId w:val="1"/>
        </w:numPr>
        <w:rPr>
          <w:rFonts w:hint="default" w:ascii="Times New Roman" w:hAnsi="Times New Roman" w:cs="Times New Roman"/>
          <w:b/>
          <w:bCs/>
          <w:sz w:val="22"/>
          <w:szCs w:val="22"/>
        </w:rPr>
      </w:pPr>
      <w:r>
        <w:rPr>
          <w:rFonts w:hint="default" w:ascii="Times New Roman" w:hAnsi="Times New Roman" w:cs="Times New Roman"/>
          <w:b/>
          <w:bCs/>
          <w:sz w:val="22"/>
          <w:szCs w:val="22"/>
        </w:rPr>
        <w:t>Introduction</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It</w:t>
      </w:r>
      <w:r>
        <w:rPr>
          <w:rFonts w:hint="default" w:ascii="Times New Roman" w:hAnsi="Times New Roman" w:cs="Times New Roman"/>
          <w:sz w:val="21"/>
          <w:szCs w:val="21"/>
        </w:rPr>
        <w:t>’</w:t>
      </w:r>
      <w:r>
        <w:rPr>
          <w:rFonts w:hint="default" w:ascii="Times New Roman" w:hAnsi="Times New Roman" w:cs="Times New Roman"/>
          <w:sz w:val="21"/>
          <w:szCs w:val="21"/>
        </w:rPr>
        <w:t>s universally acknowledged that language achievement varies from person to person. The causes of this difference might be many factors, among which individual differences can</w:t>
      </w:r>
      <w:r>
        <w:rPr>
          <w:rFonts w:hint="default" w:ascii="Times New Roman" w:hAnsi="Times New Roman" w:cs="Times New Roman"/>
          <w:sz w:val="21"/>
          <w:szCs w:val="21"/>
        </w:rPr>
        <w:t>’</w:t>
      </w:r>
      <w:r>
        <w:rPr>
          <w:rFonts w:hint="default" w:ascii="Times New Roman" w:hAnsi="Times New Roman" w:cs="Times New Roman"/>
          <w:sz w:val="21"/>
          <w:szCs w:val="21"/>
        </w:rPr>
        <w:t>t be ignored. They include learners</w:t>
      </w:r>
      <w:r>
        <w:rPr>
          <w:rFonts w:hint="default" w:ascii="Times New Roman" w:hAnsi="Times New Roman" w:cs="Times New Roman"/>
          <w:sz w:val="21"/>
          <w:szCs w:val="21"/>
        </w:rPr>
        <w:t>’</w:t>
      </w:r>
      <w:r>
        <w:rPr>
          <w:rFonts w:hint="default" w:ascii="Times New Roman" w:hAnsi="Times New Roman" w:cs="Times New Roman"/>
          <w:sz w:val="21"/>
          <w:szCs w:val="21"/>
        </w:rPr>
        <w:t xml:space="preserve"> motivation and attitude, aptitude and intelligence, learning preferences and beliefs, age of acquisition, and personal character. etc. The studies about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effects of age on SLA have brought storms among not only linguistics but also policymakers worldwide. This essay intends to review the controversial research on the correlation of age and SLA and point out the similarities and differences between young and old learners, then suggests several approaches for second language teaching under different social contexts.</w:t>
      </w:r>
    </w:p>
    <w:p>
      <w:pPr>
        <w:numPr>
          <w:ilvl w:val="0"/>
          <w:numId w:val="1"/>
        </w:numPr>
        <w:rPr>
          <w:rFonts w:hint="default" w:ascii="Times New Roman" w:hAnsi="Times New Roman" w:cs="Times New Roman"/>
          <w:b/>
          <w:bCs/>
          <w:sz w:val="22"/>
          <w:szCs w:val="22"/>
        </w:rPr>
      </w:pPr>
      <w:r>
        <w:rPr>
          <w:rFonts w:hint="default" w:ascii="Times New Roman" w:hAnsi="Times New Roman" w:cs="Times New Roman"/>
          <w:b/>
          <w:bCs/>
          <w:sz w:val="22"/>
          <w:szCs w:val="22"/>
        </w:rPr>
        <w:t>An overview of Critical Period Hypothesis</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The relationship between age and second language learning is too complex and hard to list out all the different positions. Generally speaking, there are two major views about the impact of age on SLA, with the first recognizing a critical period of one</w:t>
      </w:r>
      <w:r>
        <w:rPr>
          <w:rFonts w:hint="default" w:ascii="Times New Roman" w:hAnsi="Times New Roman" w:cs="Times New Roman"/>
          <w:sz w:val="21"/>
          <w:szCs w:val="21"/>
        </w:rPr>
        <w:t>’</w:t>
      </w:r>
      <w:r>
        <w:rPr>
          <w:rFonts w:hint="default" w:ascii="Times New Roman" w:hAnsi="Times New Roman" w:cs="Times New Roman"/>
          <w:sz w:val="21"/>
          <w:szCs w:val="21"/>
        </w:rPr>
        <w:t xml:space="preserve">s life in second language learning, and the latter </w:t>
      </w:r>
      <w:r>
        <w:rPr>
          <w:rFonts w:hint="default" w:ascii="Times New Roman" w:hAnsi="Times New Roman" w:cs="Times New Roman"/>
          <w:sz w:val="21"/>
          <w:szCs w:val="21"/>
        </w:rPr>
        <w:t>objecting to</w:t>
      </w:r>
      <w:r>
        <w:rPr>
          <w:rFonts w:hint="default" w:ascii="Times New Roman" w:hAnsi="Times New Roman" w:cs="Times New Roman"/>
          <w:sz w:val="21"/>
          <w:szCs w:val="21"/>
        </w:rPr>
        <w:t xml:space="preserve"> it. The following will mainly explore the first view.</w:t>
      </w:r>
    </w:p>
    <w:p>
      <w:pPr>
        <w:numPr>
          <w:ilvl w:val="1"/>
          <w:numId w:val="1"/>
        </w:numPr>
        <w:rPr>
          <w:rFonts w:hint="default" w:ascii="Times New Roman" w:hAnsi="Times New Roman" w:cs="Times New Roman"/>
          <w:b/>
          <w:bCs/>
          <w:sz w:val="21"/>
          <w:szCs w:val="21"/>
        </w:rPr>
      </w:pPr>
      <w:r>
        <w:rPr>
          <w:rFonts w:hint="default" w:ascii="Times New Roman" w:hAnsi="Times New Roman" w:cs="Times New Roman"/>
          <w:b/>
          <w:bCs/>
          <w:sz w:val="21"/>
          <w:szCs w:val="21"/>
        </w:rPr>
        <w:t>Origin&amp;definition</w:t>
      </w:r>
      <w:r>
        <w:rPr>
          <w:rFonts w:hint="default" w:ascii="Times New Roman" w:hAnsi="Times New Roman" w:cs="Times New Roman"/>
          <w:b/>
          <w:bCs/>
          <w:sz w:val="21"/>
          <w:szCs w:val="21"/>
        </w:rPr>
        <w:t xml:space="preserve"> of CPH</w:t>
      </w:r>
    </w:p>
    <w:p>
      <w:pPr>
        <w:rPr>
          <w:rFonts w:hint="default" w:ascii="Times New Roman" w:hAnsi="Times New Roman" w:cs="Times New Roman"/>
          <w:sz w:val="21"/>
          <w:szCs w:val="21"/>
        </w:rPr>
      </w:pPr>
      <w:r>
        <w:rPr>
          <w:rFonts w:hint="default" w:ascii="Times New Roman" w:hAnsi="Times New Roman" w:cs="Times New Roman"/>
          <w:sz w:val="21"/>
          <w:szCs w:val="21"/>
        </w:rPr>
        <w:t xml:space="preserve">   The most controversial theory about how age influences SLA is generally recognized to be the Critical Period Hypothesis(CPH in short later). The idea of “Critical Period</w:t>
      </w:r>
      <w:r>
        <w:rPr>
          <w:rFonts w:hint="default" w:ascii="Times New Roman" w:hAnsi="Times New Roman" w:cs="Times New Roman"/>
          <w:sz w:val="21"/>
          <w:szCs w:val="21"/>
        </w:rPr>
        <w:t>”</w:t>
      </w:r>
      <w:r>
        <w:rPr>
          <w:rFonts w:hint="default" w:ascii="Times New Roman" w:hAnsi="Times New Roman" w:cs="Times New Roman"/>
          <w:sz w:val="21"/>
          <w:szCs w:val="21"/>
        </w:rPr>
        <w:t xml:space="preserve"> was originated in </w:t>
      </w:r>
      <w:r>
        <w:rPr>
          <w:rFonts w:hint="default" w:ascii="Times New Roman" w:hAnsi="Times New Roman" w:cs="Times New Roman"/>
          <w:sz w:val="21"/>
          <w:szCs w:val="21"/>
        </w:rPr>
        <w:t>“</w:t>
      </w:r>
      <w:r>
        <w:rPr>
          <w:rFonts w:hint="default" w:ascii="Times New Roman" w:hAnsi="Times New Roman" w:cs="Times New Roman"/>
          <w:sz w:val="21"/>
          <w:szCs w:val="21"/>
        </w:rPr>
        <w:t>biological sciences</w:t>
      </w:r>
      <w:r>
        <w:rPr>
          <w:rFonts w:hint="default" w:ascii="Times New Roman" w:hAnsi="Times New Roman" w:cs="Times New Roman"/>
          <w:sz w:val="21"/>
          <w:szCs w:val="21"/>
        </w:rPr>
        <w:t>”</w:t>
      </w:r>
      <w:r>
        <w:rPr>
          <w:rFonts w:hint="default" w:ascii="Times New Roman" w:hAnsi="Times New Roman" w:cs="Times New Roman"/>
          <w:sz w:val="21"/>
          <w:szCs w:val="21"/>
        </w:rPr>
        <w:t xml:space="preserve"> with ducklings</w:t>
      </w:r>
      <w:r>
        <w:rPr>
          <w:rFonts w:hint="default" w:ascii="Times New Roman" w:hAnsi="Times New Roman" w:cs="Times New Roman"/>
          <w:sz w:val="21"/>
          <w:szCs w:val="21"/>
        </w:rPr>
        <w:t>’</w:t>
      </w:r>
      <w:r>
        <w:rPr>
          <w:rFonts w:hint="default" w:ascii="Times New Roman" w:hAnsi="Times New Roman" w:cs="Times New Roman"/>
          <w:sz w:val="21"/>
          <w:szCs w:val="21"/>
        </w:rPr>
        <w:t xml:space="preserve"> behavior as an example. </w:t>
      </w:r>
      <w:r>
        <w:rPr>
          <w:rFonts w:hint="default" w:ascii="Times New Roman" w:hAnsi="Times New Roman" w:cs="Times New Roman"/>
          <w:sz w:val="21"/>
          <w:szCs w:val="21"/>
        </w:rPr>
        <w:t>“</w:t>
      </w:r>
      <w:r>
        <w:rPr>
          <w:rFonts w:hint="default" w:ascii="Times New Roman" w:hAnsi="Times New Roman" w:cs="Times New Roman"/>
          <w:sz w:val="21"/>
          <w:szCs w:val="21"/>
        </w:rPr>
        <w:t>After hatching within some time, ducklings tend to follow the first object in motion they see and this period of time is seen as the critical period for their following behavior(Singleton 2007).</w:t>
      </w:r>
      <w:r>
        <w:rPr>
          <w:rFonts w:hint="default" w:ascii="Times New Roman" w:hAnsi="Times New Roman" w:cs="Times New Roman"/>
          <w:sz w:val="21"/>
          <w:szCs w:val="21"/>
        </w:rPr>
        <w:t>”</w:t>
      </w:r>
      <w:r>
        <w:rPr>
          <w:rFonts w:hint="default" w:ascii="Times New Roman" w:hAnsi="Times New Roman" w:cs="Times New Roman"/>
          <w:sz w:val="21"/>
          <w:szCs w:val="21"/>
        </w:rPr>
        <w:t xml:space="preserve"> </w:t>
      </w:r>
      <w:r>
        <w:rPr>
          <w:rFonts w:hint="default" w:ascii="Times New Roman" w:hAnsi="Times New Roman" w:cs="Times New Roman"/>
          <w:sz w:val="21"/>
          <w:szCs w:val="21"/>
        </w:rPr>
        <w:t>A s</w:t>
      </w:r>
      <w:r>
        <w:rPr>
          <w:rFonts w:hint="default" w:ascii="Times New Roman" w:hAnsi="Times New Roman" w:cs="Times New Roman"/>
          <w:sz w:val="21"/>
          <w:szCs w:val="21"/>
        </w:rPr>
        <w:t xml:space="preserve">imilar critical developmental period was found in binocularity among cats, monkeys and men, yet with varied critical periods(Singleton 2007). Thus, David Singleton characterized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 xml:space="preserve">Critical Period as </w:t>
      </w:r>
      <w:r>
        <w:rPr>
          <w:rFonts w:hint="default" w:ascii="Times New Roman" w:hAnsi="Times New Roman" w:cs="Times New Roman"/>
          <w:sz w:val="21"/>
          <w:szCs w:val="21"/>
        </w:rPr>
        <w:t>“</w:t>
      </w:r>
      <w:r>
        <w:rPr>
          <w:rFonts w:hint="default" w:ascii="Times New Roman" w:hAnsi="Times New Roman" w:cs="Times New Roman"/>
          <w:i/>
          <w:iCs/>
          <w:sz w:val="21"/>
          <w:szCs w:val="21"/>
        </w:rPr>
        <w:t>a limited time duration within possible predictable and well-clarified termin, relating to some specific individual behaviors and capabilities</w:t>
      </w:r>
      <w:r>
        <w:rPr>
          <w:rFonts w:hint="default" w:ascii="Times New Roman" w:hAnsi="Times New Roman" w:cs="Times New Roman"/>
          <w:sz w:val="21"/>
          <w:szCs w:val="21"/>
        </w:rPr>
        <w:t>(Singleton 2007)</w:t>
      </w:r>
      <w:r>
        <w:rPr>
          <w:rFonts w:hint="default" w:ascii="Times New Roman" w:hAnsi="Times New Roman" w:cs="Times New Roman"/>
          <w:sz w:val="21"/>
          <w:szCs w:val="21"/>
        </w:rPr>
        <w:t>”</w:t>
      </w:r>
      <w:r>
        <w:rPr>
          <w:rFonts w:hint="default" w:ascii="Times New Roman" w:hAnsi="Times New Roman" w:cs="Times New Roman"/>
          <w:sz w:val="21"/>
          <w:szCs w:val="21"/>
        </w:rPr>
        <w:t xml:space="preserve">. </w:t>
      </w:r>
    </w:p>
    <w:p>
      <w:pPr>
        <w:widowControl/>
        <w:ind w:firstLine="416"/>
        <w:rPr>
          <w:rFonts w:hint="default" w:ascii="Times New Roman" w:hAnsi="Times New Roman" w:eastAsia="宋体" w:cs="Times New Roman"/>
          <w:color w:val="000000"/>
          <w:kern w:val="0"/>
          <w:sz w:val="21"/>
          <w:szCs w:val="21"/>
          <w:lang w:bidi="ar"/>
        </w:rPr>
      </w:pPr>
      <w:r>
        <w:rPr>
          <w:rFonts w:hint="default" w:ascii="Times New Roman" w:hAnsi="Times New Roman" w:cs="Times New Roman"/>
          <w:sz w:val="21"/>
          <w:szCs w:val="21"/>
        </w:rPr>
        <w:t>The CPH is generally agreed in first language acquisition by most researchers with the case study of Genie widely quoted. But when it comes to SLA, it</w:t>
      </w:r>
      <w:r>
        <w:rPr>
          <w:rFonts w:hint="default" w:ascii="Times New Roman" w:hAnsi="Times New Roman" w:cs="Times New Roman"/>
          <w:sz w:val="21"/>
          <w:szCs w:val="21"/>
        </w:rPr>
        <w:t>’</w:t>
      </w:r>
      <w:r>
        <w:rPr>
          <w:rFonts w:hint="default" w:ascii="Times New Roman" w:hAnsi="Times New Roman" w:cs="Times New Roman"/>
          <w:sz w:val="21"/>
          <w:szCs w:val="21"/>
        </w:rPr>
        <w:t xml:space="preserve">s caught enormous sensation. The theory CPH was first put forward by Penfield and Roberts in 1959, crowned as the forerunner of CPH, suggesting that </w:t>
      </w:r>
      <w:r>
        <w:rPr>
          <w:rFonts w:hint="default" w:ascii="Times New Roman" w:hAnsi="Times New Roman" w:cs="Times New Roman"/>
          <w:sz w:val="21"/>
          <w:szCs w:val="21"/>
        </w:rPr>
        <w:t>“</w:t>
      </w:r>
      <w:r>
        <w:rPr>
          <w:rFonts w:hint="default" w:ascii="Times New Roman" w:hAnsi="Times New Roman" w:cs="Times New Roman"/>
          <w:i/>
          <w:iCs/>
          <w:sz w:val="21"/>
          <w:szCs w:val="21"/>
        </w:rPr>
        <w:t>human brain becomes progressively stiff and rigid after nine for learning languages</w:t>
      </w:r>
      <w:r>
        <w:rPr>
          <w:rFonts w:hint="default" w:ascii="Times New Roman" w:hAnsi="Times New Roman" w:cs="Times New Roman"/>
          <w:sz w:val="21"/>
          <w:szCs w:val="21"/>
        </w:rPr>
        <w:t>”</w:t>
      </w:r>
      <w:r>
        <w:rPr>
          <w:rFonts w:hint="default" w:ascii="Times New Roman" w:hAnsi="Times New Roman" w:cs="Times New Roman"/>
          <w:sz w:val="21"/>
          <w:szCs w:val="21"/>
        </w:rPr>
        <w:t xml:space="preserve"> and </w:t>
      </w:r>
      <w:r>
        <w:rPr>
          <w:rFonts w:hint="default" w:ascii="Times New Roman" w:hAnsi="Times New Roman" w:cs="Times New Roman"/>
          <w:sz w:val="21"/>
          <w:szCs w:val="21"/>
        </w:rPr>
        <w:t>“</w:t>
      </w:r>
      <w:r>
        <w:rPr>
          <w:rFonts w:hint="default" w:ascii="Times New Roman" w:hAnsi="Times New Roman" w:cs="Times New Roman"/>
          <w:i/>
          <w:iCs/>
          <w:sz w:val="21"/>
          <w:szCs w:val="21"/>
        </w:rPr>
        <w:t>when languages are taken up for the first time after ten, it</w:t>
      </w:r>
      <w:r>
        <w:rPr>
          <w:rFonts w:hint="default" w:ascii="Times New Roman" w:hAnsi="Times New Roman" w:cs="Times New Roman"/>
          <w:i/>
          <w:iCs/>
          <w:sz w:val="21"/>
          <w:szCs w:val="21"/>
        </w:rPr>
        <w:t>’</w:t>
      </w:r>
      <w:r>
        <w:rPr>
          <w:rFonts w:hint="default" w:ascii="Times New Roman" w:hAnsi="Times New Roman" w:cs="Times New Roman"/>
          <w:i/>
          <w:iCs/>
          <w:sz w:val="21"/>
          <w:szCs w:val="21"/>
        </w:rPr>
        <w:t>s hard to achieve a good result because it is unphysiological</w:t>
      </w:r>
      <w:r>
        <w:rPr>
          <w:rFonts w:hint="default" w:ascii="Times New Roman" w:hAnsi="Times New Roman" w:cs="Times New Roman"/>
          <w:sz w:val="21"/>
          <w:szCs w:val="21"/>
        </w:rPr>
        <w:t>”</w:t>
      </w:r>
      <w:r>
        <w:rPr>
          <w:rFonts w:hint="default" w:ascii="Times New Roman" w:hAnsi="Times New Roman" w:cs="Times New Roman"/>
          <w:sz w:val="21"/>
          <w:szCs w:val="21"/>
        </w:rPr>
        <w:t xml:space="preserve"> (</w:t>
      </w:r>
      <w:r>
        <w:rPr>
          <w:rFonts w:hint="default" w:ascii="Times New Roman" w:hAnsi="Times New Roman" w:eastAsia="宋体" w:cs="Times New Roman"/>
          <w:color w:val="000000"/>
          <w:kern w:val="0"/>
          <w:sz w:val="21"/>
          <w:szCs w:val="21"/>
          <w:lang w:bidi="ar"/>
        </w:rPr>
        <w:t>Penfield</w:t>
      </w:r>
      <w:r>
        <w:rPr>
          <w:rFonts w:hint="default" w:ascii="Times New Roman" w:hAnsi="Times New Roman" w:eastAsia="宋体" w:cs="Times New Roman"/>
          <w:color w:val="000000"/>
          <w:kern w:val="0"/>
          <w:sz w:val="21"/>
          <w:szCs w:val="21"/>
          <w:lang w:bidi="ar"/>
        </w:rPr>
        <w:t>&amp;</w:t>
      </w:r>
      <w:r>
        <w:rPr>
          <w:rFonts w:hint="default" w:ascii="Times New Roman" w:hAnsi="Times New Roman" w:eastAsia="宋体" w:cs="Times New Roman"/>
          <w:color w:val="000000"/>
          <w:kern w:val="0"/>
          <w:sz w:val="21"/>
          <w:szCs w:val="21"/>
          <w:lang w:bidi="ar"/>
        </w:rPr>
        <w:t>Roberts 1959</w:t>
      </w:r>
      <w:r>
        <w:rPr>
          <w:rFonts w:hint="default" w:ascii="Times New Roman" w:hAnsi="Times New Roman" w:eastAsia="宋体" w:cs="Times New Roman"/>
          <w:color w:val="000000"/>
          <w:kern w:val="0"/>
          <w:sz w:val="21"/>
          <w:szCs w:val="21"/>
          <w:lang w:bidi="ar"/>
        </w:rPr>
        <w:t>) The main idea means brain plasticity loses its capability after nine and language achievement after ten is diminished. Later in 1967, Lenneberg, known as the father of CPH, postulated with age two as the onset and puberty as the close of this critical period. He presumably attributed the declining ability of natural language acquisition from puberty to the end of neural plasticity and the close of brain lateralization(</w:t>
      </w:r>
      <w:r>
        <w:rPr>
          <w:rFonts w:hint="default" w:ascii="Times New Roman" w:hAnsi="Times New Roman" w:eastAsia="宋体" w:cs="Times New Roman"/>
          <w:color w:val="000000"/>
          <w:kern w:val="0"/>
          <w:sz w:val="21"/>
          <w:szCs w:val="21"/>
          <w:lang w:bidi="ar"/>
        </w:rPr>
        <w:t xml:space="preserve">Hinkel </w:t>
      </w:r>
      <w:r>
        <w:rPr>
          <w:rFonts w:hint="default" w:ascii="Times New Roman" w:hAnsi="Times New Roman" w:eastAsia="宋体" w:cs="Times New Roman"/>
          <w:color w:val="000000"/>
          <w:kern w:val="0"/>
          <w:sz w:val="21"/>
          <w:szCs w:val="21"/>
          <w:lang w:bidi="ar"/>
        </w:rPr>
        <w:t>2005). Here</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s a definition of CPH from David Singleton(2018),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i/>
          <w:iCs/>
          <w:color w:val="000000"/>
          <w:kern w:val="0"/>
          <w:sz w:val="21"/>
          <w:szCs w:val="21"/>
          <w:lang w:bidi="ar"/>
        </w:rPr>
        <w:t>the idea that the biological aging puts constraints on what can be attained by language acquirers beyond a certain point is labeled the maturational approach or the Critical Period Hypothesis</w:t>
      </w:r>
      <w:r>
        <w:rPr>
          <w:rFonts w:hint="default" w:ascii="Times New Roman" w:hAnsi="Times New Roman" w:eastAsia="宋体" w:cs="Times New Roman"/>
          <w:i/>
          <w:iCs/>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(CPH).</w:t>
      </w:r>
    </w:p>
    <w:p>
      <w:pPr>
        <w:widowControl/>
        <w:numPr>
          <w:ilvl w:val="1"/>
          <w:numId w:val="1"/>
        </w:numPr>
        <w:rPr>
          <w:rFonts w:hint="default" w:ascii="Times New Roman" w:hAnsi="Times New Roman" w:eastAsia="宋体" w:cs="Times New Roman"/>
          <w:b/>
          <w:bCs/>
          <w:color w:val="000000"/>
          <w:kern w:val="0"/>
          <w:sz w:val="21"/>
          <w:szCs w:val="21"/>
          <w:lang w:bidi="ar"/>
        </w:rPr>
      </w:pPr>
      <w:r>
        <w:rPr>
          <w:rFonts w:hint="default" w:ascii="Times New Roman" w:hAnsi="Times New Roman" w:eastAsia="宋体" w:cs="Times New Roman"/>
          <w:b/>
          <w:bCs/>
          <w:color w:val="000000"/>
          <w:kern w:val="0"/>
          <w:sz w:val="21"/>
          <w:szCs w:val="21"/>
          <w:lang w:bidi="ar"/>
        </w:rPr>
        <w:t>Supporting evidence</w:t>
      </w:r>
    </w:p>
    <w:p>
      <w:pPr>
        <w:widowControl/>
        <w:ind w:firstLine="420"/>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 xml:space="preserve">The CPH was first welcomed by many researchers with their empirical studies to test and support it. Here a few significant case studies are exemplified as follows. </w:t>
      </w:r>
    </w:p>
    <w:p>
      <w:pPr>
        <w:widowControl/>
        <w:ind w:firstLine="420"/>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 xml:space="preserve">Many early studies reported the phonological native-likeness was clearly found in children rather than older learners. For instance, after assessing 71 Cuban learners of English, Asher and Garcia (1969) revealed those who arrived </w:t>
      </w:r>
      <w:r>
        <w:rPr>
          <w:rFonts w:hint="default" w:ascii="Times New Roman" w:hAnsi="Times New Roman" w:eastAsia="宋体" w:cs="Times New Roman"/>
          <w:color w:val="000000"/>
          <w:kern w:val="0"/>
          <w:sz w:val="21"/>
          <w:szCs w:val="21"/>
          <w:lang w:bidi="ar"/>
        </w:rPr>
        <w:t>in</w:t>
      </w:r>
      <w:r>
        <w:rPr>
          <w:rFonts w:hint="default" w:ascii="Times New Roman" w:hAnsi="Times New Roman" w:eastAsia="宋体" w:cs="Times New Roman"/>
          <w:color w:val="000000"/>
          <w:kern w:val="0"/>
          <w:sz w:val="21"/>
          <w:szCs w:val="21"/>
          <w:lang w:bidi="ar"/>
        </w:rPr>
        <w:t xml:space="preserve"> the US at 6 or even earlier </w:t>
      </w:r>
      <w:r>
        <w:rPr>
          <w:rFonts w:hint="default" w:ascii="Times New Roman" w:hAnsi="Times New Roman" w:eastAsia="宋体" w:cs="Times New Roman"/>
          <w:color w:val="000000"/>
          <w:kern w:val="0"/>
          <w:sz w:val="21"/>
          <w:szCs w:val="21"/>
          <w:lang w:bidi="ar"/>
        </w:rPr>
        <w:t>were</w:t>
      </w:r>
      <w:r>
        <w:rPr>
          <w:rFonts w:hint="default" w:ascii="Times New Roman" w:hAnsi="Times New Roman" w:eastAsia="宋体" w:cs="Times New Roman"/>
          <w:color w:val="000000"/>
          <w:kern w:val="0"/>
          <w:sz w:val="21"/>
          <w:szCs w:val="21"/>
          <w:lang w:bidi="ar"/>
        </w:rPr>
        <w:t xml:space="preserve"> more likely to be judged as nativelike speakers(</w:t>
      </w:r>
      <w:r>
        <w:rPr>
          <w:rFonts w:hint="default" w:ascii="Times New Roman" w:hAnsi="Times New Roman" w:eastAsia="宋体" w:cs="Times New Roman"/>
          <w:color w:val="000000"/>
          <w:kern w:val="0"/>
          <w:sz w:val="21"/>
          <w:szCs w:val="21"/>
          <w:lang w:bidi="ar"/>
        </w:rPr>
        <w:t xml:space="preserve">Hinkel </w:t>
      </w:r>
      <w:r>
        <w:rPr>
          <w:rFonts w:hint="default" w:ascii="Times New Roman" w:hAnsi="Times New Roman" w:eastAsia="宋体" w:cs="Times New Roman"/>
          <w:color w:val="000000"/>
          <w:kern w:val="0"/>
          <w:sz w:val="21"/>
          <w:szCs w:val="21"/>
          <w:lang w:bidi="ar"/>
        </w:rPr>
        <w:t>2005); Similar result was confirmed by Oyama</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s test(1978) with 60 Italian Americans who started English acquisition around the age range of 6 to 20 and lived in America for 5 to 18 years. Only subjects with the onset of acquisition before ten w</w:t>
      </w:r>
      <w:r>
        <w:rPr>
          <w:rFonts w:hint="default" w:ascii="Times New Roman" w:hAnsi="Times New Roman" w:eastAsia="宋体" w:cs="Times New Roman"/>
          <w:color w:val="000000"/>
          <w:kern w:val="0"/>
          <w:sz w:val="21"/>
          <w:szCs w:val="21"/>
          <w:lang w:bidi="ar"/>
        </w:rPr>
        <w:t>ere</w:t>
      </w:r>
      <w:r>
        <w:rPr>
          <w:rFonts w:hint="default" w:ascii="Times New Roman" w:hAnsi="Times New Roman" w:eastAsia="宋体" w:cs="Times New Roman"/>
          <w:color w:val="000000"/>
          <w:kern w:val="0"/>
          <w:sz w:val="21"/>
          <w:szCs w:val="21"/>
          <w:lang w:bidi="ar"/>
        </w:rPr>
        <w:t xml:space="preserve"> rated in </w:t>
      </w:r>
      <w:r>
        <w:rPr>
          <w:rFonts w:hint="default" w:ascii="Times New Roman" w:hAnsi="Times New Roman" w:eastAsia="宋体" w:cs="Times New Roman"/>
          <w:color w:val="000000"/>
          <w:kern w:val="0"/>
          <w:sz w:val="21"/>
          <w:szCs w:val="21"/>
          <w:lang w:bidi="ar"/>
        </w:rPr>
        <w:t xml:space="preserve">the </w:t>
      </w:r>
      <w:r>
        <w:rPr>
          <w:rFonts w:hint="default" w:ascii="Times New Roman" w:hAnsi="Times New Roman" w:eastAsia="宋体" w:cs="Times New Roman"/>
          <w:color w:val="000000"/>
          <w:kern w:val="0"/>
          <w:sz w:val="21"/>
          <w:szCs w:val="21"/>
          <w:lang w:bidi="ar"/>
        </w:rPr>
        <w:t>native-speaking control range(</w:t>
      </w:r>
      <w:r>
        <w:rPr>
          <w:rFonts w:hint="default" w:ascii="Times New Roman" w:hAnsi="Times New Roman" w:eastAsia="宋体" w:cs="Times New Roman"/>
          <w:color w:val="000000"/>
          <w:kern w:val="0"/>
          <w:sz w:val="21"/>
          <w:szCs w:val="21"/>
          <w:lang w:bidi="ar"/>
        </w:rPr>
        <w:t xml:space="preserve">Hinkel </w:t>
      </w:r>
      <w:r>
        <w:rPr>
          <w:rFonts w:hint="default" w:ascii="Times New Roman" w:hAnsi="Times New Roman" w:eastAsia="宋体" w:cs="Times New Roman"/>
          <w:color w:val="000000"/>
          <w:kern w:val="0"/>
          <w:sz w:val="21"/>
          <w:szCs w:val="21"/>
          <w:lang w:bidi="ar"/>
        </w:rPr>
        <w:t xml:space="preserve">2005). </w:t>
      </w:r>
    </w:p>
    <w:p>
      <w:pPr>
        <w:widowControl/>
        <w:ind w:firstLine="420"/>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In addition to</w:t>
      </w:r>
      <w:r>
        <w:rPr>
          <w:rFonts w:hint="default" w:ascii="Times New Roman" w:hAnsi="Times New Roman" w:eastAsia="宋体" w:cs="Times New Roman"/>
          <w:color w:val="000000"/>
          <w:kern w:val="0"/>
          <w:sz w:val="21"/>
          <w:szCs w:val="21"/>
          <w:lang w:bidi="ar"/>
        </w:rPr>
        <w:t xml:space="preserve"> supporting CPH with evidence in accent, Patkowski(1980) tested 67 immigrants to America with different age</w:t>
      </w:r>
      <w:r>
        <w:rPr>
          <w:rFonts w:hint="default" w:ascii="Times New Roman" w:hAnsi="Times New Roman" w:eastAsia="宋体" w:cs="Times New Roman"/>
          <w:color w:val="000000"/>
          <w:kern w:val="0"/>
          <w:sz w:val="21"/>
          <w:szCs w:val="21"/>
          <w:lang w:bidi="ar"/>
        </w:rPr>
        <w:t>s</w:t>
      </w:r>
      <w:r>
        <w:rPr>
          <w:rFonts w:hint="default" w:ascii="Times New Roman" w:hAnsi="Times New Roman" w:eastAsia="宋体" w:cs="Times New Roman"/>
          <w:color w:val="000000"/>
          <w:kern w:val="0"/>
          <w:sz w:val="21"/>
          <w:szCs w:val="21"/>
          <w:lang w:bidi="ar"/>
        </w:rPr>
        <w:t xml:space="preserve"> and periods of residence in the US from the perspective of syntactic competence and proficiency. The result unwrapped that early arrivals indicated a strong tendency of proficiency in syntax yet with little influence of other variables.</w:t>
      </w:r>
    </w:p>
    <w:p>
      <w:pPr>
        <w:widowControl/>
        <w:ind w:firstLine="420"/>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 xml:space="preserve">Moreover, Johnson and Newport(1989) investigated 46 native Chinese and speakers arriving in America between the age range of 3 to 39 and then with 3 to 26 years residence in the US by their testing time. The test was grounded in grammaticality, which showed that early arrivals demonstrated strong superiority over later arrivals. The test performance of subjects displayed </w:t>
      </w:r>
      <w:r>
        <w:rPr>
          <w:rFonts w:hint="default" w:ascii="Times New Roman" w:hAnsi="Times New Roman" w:eastAsia="宋体" w:cs="Times New Roman"/>
          <w:color w:val="000000"/>
          <w:kern w:val="0"/>
          <w:sz w:val="21"/>
          <w:szCs w:val="21"/>
          <w:lang w:bidi="ar"/>
        </w:rPr>
        <w:t xml:space="preserve">a </w:t>
      </w:r>
      <w:r>
        <w:rPr>
          <w:rFonts w:hint="default" w:ascii="Times New Roman" w:hAnsi="Times New Roman" w:eastAsia="宋体" w:cs="Times New Roman"/>
          <w:color w:val="000000"/>
          <w:kern w:val="0"/>
          <w:sz w:val="21"/>
          <w:szCs w:val="21"/>
          <w:lang w:bidi="ar"/>
        </w:rPr>
        <w:t xml:space="preserve">linear uptrend by puberty yet </w:t>
      </w:r>
      <w:r>
        <w:rPr>
          <w:rFonts w:hint="default" w:ascii="Times New Roman" w:hAnsi="Times New Roman" w:eastAsia="宋体" w:cs="Times New Roman"/>
          <w:color w:val="000000"/>
          <w:kern w:val="0"/>
          <w:sz w:val="21"/>
          <w:szCs w:val="21"/>
          <w:lang w:bidi="ar"/>
        </w:rPr>
        <w:t xml:space="preserve">a </w:t>
      </w:r>
      <w:r>
        <w:rPr>
          <w:rFonts w:hint="default" w:ascii="Times New Roman" w:hAnsi="Times New Roman" w:eastAsia="宋体" w:cs="Times New Roman"/>
          <w:color w:val="000000"/>
          <w:kern w:val="0"/>
          <w:sz w:val="21"/>
          <w:szCs w:val="21"/>
          <w:lang w:bidi="ar"/>
        </w:rPr>
        <w:t>variable downtrend after puberty. The research supports the CPH theory in terms of grammaticality.</w:t>
      </w:r>
    </w:p>
    <w:p>
      <w:pPr>
        <w:widowControl/>
        <w:ind w:firstLine="420"/>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 xml:space="preserve">From phonology to grammaticality, CPH seems to demonstrate its robustness in SLA coupled with some other similar experiments in morphology and semantics.etc., yet the hypothesis has never been </w:t>
      </w:r>
      <w:r>
        <w:rPr>
          <w:rFonts w:hint="default" w:ascii="Times New Roman" w:hAnsi="Times New Roman" w:eastAsia="宋体" w:cs="Times New Roman"/>
          <w:color w:val="000000"/>
          <w:kern w:val="0"/>
          <w:sz w:val="21"/>
          <w:szCs w:val="21"/>
          <w:lang w:bidi="ar"/>
        </w:rPr>
        <w:t>i</w:t>
      </w:r>
      <w:r>
        <w:rPr>
          <w:rFonts w:hint="default" w:ascii="Times New Roman" w:hAnsi="Times New Roman" w:eastAsia="宋体" w:cs="Times New Roman"/>
          <w:color w:val="000000"/>
          <w:kern w:val="0"/>
          <w:sz w:val="21"/>
          <w:szCs w:val="21"/>
          <w:lang w:bidi="ar"/>
        </w:rPr>
        <w:t xml:space="preserve">n </w:t>
      </w:r>
      <w:r>
        <w:rPr>
          <w:rFonts w:hint="default" w:ascii="Times New Roman" w:hAnsi="Times New Roman" w:eastAsia="宋体" w:cs="Times New Roman"/>
          <w:color w:val="000000"/>
          <w:kern w:val="0"/>
          <w:sz w:val="21"/>
          <w:szCs w:val="21"/>
          <w:lang w:bidi="ar"/>
        </w:rPr>
        <w:t xml:space="preserve">an </w:t>
      </w:r>
      <w:r>
        <w:rPr>
          <w:rFonts w:hint="default" w:ascii="Times New Roman" w:hAnsi="Times New Roman" w:eastAsia="宋体" w:cs="Times New Roman"/>
          <w:color w:val="000000"/>
          <w:kern w:val="0"/>
          <w:sz w:val="21"/>
          <w:szCs w:val="21"/>
          <w:lang w:bidi="ar"/>
        </w:rPr>
        <w:t>agreement in terms of its connotation, applicability and there</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s no unified voice of CPH heard.</w:t>
      </w:r>
    </w:p>
    <w:p>
      <w:pPr>
        <w:rPr>
          <w:rFonts w:hint="default" w:ascii="Times New Roman" w:hAnsi="Times New Roman" w:eastAsia="宋体" w:cs="Times New Roman"/>
          <w:color w:val="000000"/>
          <w:kern w:val="0"/>
          <w:sz w:val="21"/>
          <w:szCs w:val="21"/>
          <w:lang w:bidi="ar"/>
        </w:rPr>
      </w:pPr>
      <w:r>
        <w:rPr>
          <w:rFonts w:hint="default" w:ascii="Times New Roman" w:hAnsi="Times New Roman" w:cs="Times New Roman"/>
          <w:b/>
          <w:bCs/>
          <w:sz w:val="21"/>
          <w:szCs w:val="21"/>
        </w:rPr>
        <w:t>2.3 Multiple dimensions of CPH</w:t>
      </w:r>
    </w:p>
    <w:p>
      <w:pPr>
        <w:widowControl/>
        <w:ind w:firstLine="420" w:firstLineChars="200"/>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 xml:space="preserve"> Actually, there are still some unsolved questions about CPH, leading to various derivatives theories and definitions established by different researchers. First of all, the term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critical period</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was defined differently even by its supporters. Some researchers, such as Bialystok and Miller(1999), suggested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sensitive period</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as more appropriate labeling because the decline in language ability is not an abrupt but a gradual process(</w:t>
      </w:r>
      <w:r>
        <w:rPr>
          <w:rFonts w:hint="default" w:ascii="Times New Roman" w:hAnsi="Times New Roman" w:eastAsia="宋体" w:cs="Times New Roman"/>
          <w:color w:val="000000"/>
          <w:kern w:val="0"/>
          <w:sz w:val="21"/>
          <w:szCs w:val="21"/>
          <w:lang w:bidi="ar"/>
        </w:rPr>
        <w:t xml:space="preserve">Hinkel </w:t>
      </w:r>
      <w:r>
        <w:rPr>
          <w:rFonts w:hint="default" w:ascii="Times New Roman" w:hAnsi="Times New Roman" w:eastAsia="宋体" w:cs="Times New Roman"/>
          <w:color w:val="000000"/>
          <w:kern w:val="0"/>
          <w:sz w:val="21"/>
          <w:szCs w:val="21"/>
          <w:lang w:bidi="ar"/>
        </w:rPr>
        <w:t xml:space="preserve">2005). </w:t>
      </w:r>
      <w:r>
        <w:rPr>
          <w:rFonts w:hint="default" w:ascii="Times New Roman" w:hAnsi="Times New Roman" w:eastAsia="宋体" w:cs="Times New Roman"/>
          <w:color w:val="000000"/>
          <w:kern w:val="0"/>
          <w:sz w:val="21"/>
          <w:szCs w:val="21"/>
          <w:lang w:bidi="ar"/>
        </w:rPr>
        <w:t xml:space="preserve">And Singleton(2007) found 14 different versions of the definition. </w:t>
      </w:r>
      <w:r>
        <w:rPr>
          <w:rFonts w:hint="default" w:ascii="Times New Roman" w:hAnsi="Times New Roman" w:eastAsia="宋体" w:cs="Times New Roman"/>
          <w:color w:val="000000"/>
          <w:kern w:val="0"/>
          <w:sz w:val="21"/>
          <w:szCs w:val="21"/>
          <w:lang w:bidi="ar"/>
        </w:rPr>
        <w:t xml:space="preserve">Second, there were some derivative hypotheses proposed, such as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exercise hypothesis</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and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maturational constraint hypothesis</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by Johnson and Newport, with the former referring to the available language learning mechanism when people exercise it, taken as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use it or lose it</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approach by Birdsong(</w:t>
      </w:r>
      <w:r>
        <w:rPr>
          <w:rFonts w:hint="default" w:ascii="Times New Roman" w:hAnsi="Times New Roman" w:eastAsia="宋体" w:cs="Times New Roman"/>
          <w:color w:val="000000"/>
          <w:kern w:val="0"/>
          <w:sz w:val="21"/>
          <w:szCs w:val="21"/>
          <w:lang w:bidi="ar"/>
        </w:rPr>
        <w:t xml:space="preserve">Hinkel </w:t>
      </w:r>
      <w:r>
        <w:rPr>
          <w:rFonts w:hint="default" w:ascii="Times New Roman" w:hAnsi="Times New Roman" w:eastAsia="宋体" w:cs="Times New Roman"/>
          <w:color w:val="000000"/>
          <w:kern w:val="0"/>
          <w:sz w:val="21"/>
          <w:szCs w:val="21"/>
          <w:lang w:bidi="ar"/>
        </w:rPr>
        <w:t xml:space="preserve">2005). The latter referred to the deterioration of </w:t>
      </w:r>
      <w:r>
        <w:rPr>
          <w:rFonts w:hint="default" w:ascii="Times New Roman" w:hAnsi="Times New Roman" w:eastAsia="宋体" w:cs="Times New Roman"/>
          <w:color w:val="000000"/>
          <w:kern w:val="0"/>
          <w:sz w:val="21"/>
          <w:szCs w:val="21"/>
          <w:lang w:bidi="ar"/>
        </w:rPr>
        <w:t xml:space="preserve">the </w:t>
      </w:r>
      <w:r>
        <w:rPr>
          <w:rFonts w:hint="default" w:ascii="Times New Roman" w:hAnsi="Times New Roman" w:eastAsia="宋体" w:cs="Times New Roman"/>
          <w:color w:val="000000"/>
          <w:kern w:val="0"/>
          <w:sz w:val="21"/>
          <w:szCs w:val="21"/>
          <w:lang w:bidi="ar"/>
        </w:rPr>
        <w:t xml:space="preserve">acquisition system at the closure of </w:t>
      </w:r>
      <w:r>
        <w:rPr>
          <w:rFonts w:hint="default" w:ascii="Times New Roman" w:hAnsi="Times New Roman" w:eastAsia="宋体" w:cs="Times New Roman"/>
          <w:color w:val="000000"/>
          <w:kern w:val="0"/>
          <w:sz w:val="21"/>
          <w:szCs w:val="21"/>
          <w:lang w:bidi="ar"/>
        </w:rPr>
        <w:t xml:space="preserve">the </w:t>
      </w:r>
      <w:r>
        <w:rPr>
          <w:rFonts w:hint="default" w:ascii="Times New Roman" w:hAnsi="Times New Roman" w:eastAsia="宋体" w:cs="Times New Roman"/>
          <w:color w:val="000000"/>
          <w:kern w:val="0"/>
          <w:sz w:val="21"/>
          <w:szCs w:val="21"/>
          <w:lang w:bidi="ar"/>
        </w:rPr>
        <w:t xml:space="preserve">critical period, resulting in less desirable linguistic outcomes, which was named as </w:t>
      </w:r>
      <w:r>
        <w:rPr>
          <w:rFonts w:hint="default" w:ascii="Times New Roman" w:hAnsi="Times New Roman" w:eastAsia="宋体" w:cs="Times New Roman"/>
          <w:color w:val="000000"/>
          <w:kern w:val="0"/>
          <w:sz w:val="21"/>
          <w:szCs w:val="21"/>
          <w:lang w:bidi="ar"/>
        </w:rPr>
        <w:t>the “</w:t>
      </w:r>
      <w:r>
        <w:rPr>
          <w:rFonts w:hint="default" w:ascii="Times New Roman" w:hAnsi="Times New Roman" w:eastAsia="宋体" w:cs="Times New Roman"/>
          <w:color w:val="000000"/>
          <w:kern w:val="0"/>
          <w:sz w:val="21"/>
          <w:szCs w:val="21"/>
          <w:lang w:bidi="ar"/>
        </w:rPr>
        <w:t>use it then lose it</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perspective of </w:t>
      </w:r>
      <w:r>
        <w:rPr>
          <w:rFonts w:hint="default" w:ascii="Times New Roman" w:hAnsi="Times New Roman" w:eastAsia="宋体" w:cs="Times New Roman"/>
          <w:color w:val="000000"/>
          <w:kern w:val="0"/>
          <w:sz w:val="21"/>
          <w:szCs w:val="21"/>
          <w:lang w:bidi="ar"/>
        </w:rPr>
        <w:t xml:space="preserve">the </w:t>
      </w:r>
      <w:r>
        <w:rPr>
          <w:rFonts w:hint="default" w:ascii="Times New Roman" w:hAnsi="Times New Roman" w:eastAsia="宋体" w:cs="Times New Roman"/>
          <w:color w:val="000000"/>
          <w:kern w:val="0"/>
          <w:sz w:val="21"/>
          <w:szCs w:val="21"/>
          <w:lang w:bidi="ar"/>
        </w:rPr>
        <w:t>critical period(</w:t>
      </w:r>
      <w:r>
        <w:rPr>
          <w:rFonts w:hint="default" w:ascii="Times New Roman" w:hAnsi="Times New Roman" w:eastAsia="宋体" w:cs="Times New Roman"/>
          <w:color w:val="000000"/>
          <w:kern w:val="0"/>
          <w:sz w:val="21"/>
          <w:szCs w:val="21"/>
          <w:lang w:bidi="ar"/>
        </w:rPr>
        <w:t xml:space="preserve">Hinkel </w:t>
      </w:r>
      <w:r>
        <w:rPr>
          <w:rFonts w:hint="default" w:ascii="Times New Roman" w:hAnsi="Times New Roman" w:eastAsia="宋体" w:cs="Times New Roman"/>
          <w:color w:val="000000"/>
          <w:kern w:val="0"/>
          <w:sz w:val="21"/>
          <w:szCs w:val="21"/>
          <w:lang w:bidi="ar"/>
        </w:rPr>
        <w:t>2005). Thirdly, there has been no consensus on the proposed onset of acquisition as well as the ending point of CP or even the duration of CP in different social-cultural contexts</w:t>
      </w:r>
      <w:r>
        <w:rPr>
          <w:rFonts w:hint="default" w:ascii="Times New Roman" w:hAnsi="Times New Roman" w:eastAsia="宋体" w:cs="Times New Roman"/>
          <w:color w:val="000000"/>
          <w:kern w:val="0"/>
          <w:sz w:val="21"/>
          <w:szCs w:val="21"/>
          <w:lang w:bidi="ar"/>
        </w:rPr>
        <w:t>, resulting in criticism from its opponents</w:t>
      </w:r>
      <w:r>
        <w:rPr>
          <w:rFonts w:hint="default" w:ascii="Times New Roman" w:hAnsi="Times New Roman" w:eastAsia="宋体" w:cs="Times New Roman"/>
          <w:color w:val="000000"/>
          <w:kern w:val="0"/>
          <w:sz w:val="21"/>
          <w:szCs w:val="21"/>
          <w:lang w:bidi="ar"/>
        </w:rPr>
        <w:t xml:space="preserve">; Fourthly, the critical period is not decisively the only one definite period as for the varified definition on language itself and dynamic nature of </w:t>
      </w:r>
      <w:r>
        <w:rPr>
          <w:rFonts w:hint="default" w:ascii="Times New Roman" w:hAnsi="Times New Roman" w:eastAsia="宋体" w:cs="Times New Roman"/>
          <w:color w:val="000000"/>
          <w:kern w:val="0"/>
          <w:sz w:val="21"/>
          <w:szCs w:val="21"/>
          <w:lang w:bidi="ar"/>
        </w:rPr>
        <w:t xml:space="preserve">the </w:t>
      </w:r>
      <w:r>
        <w:rPr>
          <w:rFonts w:hint="default" w:ascii="Times New Roman" w:hAnsi="Times New Roman" w:eastAsia="宋体" w:cs="Times New Roman"/>
          <w:color w:val="000000"/>
          <w:kern w:val="0"/>
          <w:sz w:val="21"/>
          <w:szCs w:val="21"/>
          <w:lang w:bidi="ar"/>
        </w:rPr>
        <w:t xml:space="preserve">acquisition. </w:t>
      </w:r>
    </w:p>
    <w:p>
      <w:pPr>
        <w:widowControl/>
        <w:ind w:firstLine="420" w:firstLineChars="200"/>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bidi="ar"/>
        </w:rPr>
        <w:t xml:space="preserve">Reviewing the major literature of CPH, some </w:t>
      </w:r>
      <w:r>
        <w:rPr>
          <w:rFonts w:hint="default" w:ascii="Times New Roman" w:hAnsi="Times New Roman" w:eastAsia="宋体" w:cs="Times New Roman"/>
          <w:color w:val="000000"/>
          <w:kern w:val="0"/>
          <w:sz w:val="21"/>
          <w:szCs w:val="21"/>
          <w:lang w:bidi="ar"/>
        </w:rPr>
        <w:t>critic</w:t>
      </w:r>
      <w:r>
        <w:rPr>
          <w:rFonts w:hint="default" w:ascii="Times New Roman" w:hAnsi="Times New Roman" w:eastAsia="宋体" w:cs="Times New Roman"/>
          <w:color w:val="000000"/>
          <w:kern w:val="0"/>
          <w:sz w:val="21"/>
          <w:szCs w:val="21"/>
          <w:lang w:bidi="ar"/>
        </w:rPr>
        <w:t xml:space="preserve">s concluded that most of the studies were conducted in a natural setting with unlimited linguistic input and immigrants as subjects, a situation rather different from formal classroom learning conditions of SLA or FLA worldwide, as Munoz(2010) pointed out. As a result, the credibility and replicability of research results, the theoretical validity, and even </w:t>
      </w:r>
      <w:r>
        <w:rPr>
          <w:rFonts w:hint="default" w:ascii="Times New Roman" w:hAnsi="Times New Roman" w:eastAsia="宋体" w:cs="Times New Roman"/>
          <w:color w:val="000000"/>
          <w:kern w:val="0"/>
          <w:sz w:val="21"/>
          <w:szCs w:val="21"/>
          <w:lang w:bidi="ar"/>
        </w:rPr>
        <w:t xml:space="preserve">the </w:t>
      </w:r>
      <w:r>
        <w:rPr>
          <w:rFonts w:hint="default" w:ascii="Times New Roman" w:hAnsi="Times New Roman" w:eastAsia="宋体" w:cs="Times New Roman"/>
          <w:color w:val="000000"/>
          <w:kern w:val="0"/>
          <w:sz w:val="21"/>
          <w:szCs w:val="21"/>
          <w:lang w:bidi="ar"/>
        </w:rPr>
        <w:t xml:space="preserve">methodology of those supportive empirical studies are challenged and doubted.   </w:t>
      </w:r>
    </w:p>
    <w:p>
      <w:pPr>
        <w:numPr>
          <w:ilvl w:val="0"/>
          <w:numId w:val="1"/>
        </w:numPr>
        <w:rPr>
          <w:rFonts w:hint="default" w:ascii="Times New Roman" w:hAnsi="Times New Roman" w:cs="Times New Roman"/>
          <w:b/>
          <w:bCs/>
          <w:sz w:val="22"/>
          <w:szCs w:val="22"/>
        </w:rPr>
      </w:pPr>
      <w:r>
        <w:rPr>
          <w:rFonts w:hint="default" w:ascii="Times New Roman" w:hAnsi="Times New Roman" w:cs="Times New Roman"/>
          <w:b/>
          <w:bCs/>
          <w:sz w:val="22"/>
          <w:szCs w:val="22"/>
        </w:rPr>
        <w:t>Challenges against CPH</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This part of the essay mainly delves into the critiques on CPH in theory itself and its supporti</w:t>
      </w:r>
      <w:r>
        <w:rPr>
          <w:rFonts w:hint="default" w:ascii="Times New Roman" w:hAnsi="Times New Roman" w:cs="Times New Roman"/>
          <w:sz w:val="21"/>
          <w:szCs w:val="21"/>
        </w:rPr>
        <w:t>ng</w:t>
      </w:r>
      <w:r>
        <w:rPr>
          <w:rFonts w:hint="default" w:ascii="Times New Roman" w:hAnsi="Times New Roman" w:cs="Times New Roman"/>
          <w:sz w:val="21"/>
          <w:szCs w:val="21"/>
        </w:rPr>
        <w:t xml:space="preserve"> evidence.</w:t>
      </w:r>
    </w:p>
    <w:p>
      <w:pPr>
        <w:rPr>
          <w:rFonts w:hint="default" w:ascii="Times New Roman" w:hAnsi="Times New Roman" w:cs="Times New Roman"/>
          <w:b/>
          <w:bCs/>
          <w:sz w:val="21"/>
          <w:szCs w:val="21"/>
        </w:rPr>
      </w:pPr>
      <w:r>
        <w:rPr>
          <w:rFonts w:hint="default" w:ascii="Times New Roman" w:hAnsi="Times New Roman" w:cs="Times New Roman"/>
          <w:b/>
          <w:bCs/>
          <w:sz w:val="21"/>
          <w:szCs w:val="21"/>
        </w:rPr>
        <w:t>3.1 Challenges against the critical period and a</w:t>
      </w:r>
      <w:r>
        <w:rPr>
          <w:rFonts w:hint="default" w:ascii="Times New Roman" w:hAnsi="Times New Roman" w:cs="Times New Roman"/>
          <w:b/>
          <w:bCs/>
          <w:sz w:val="21"/>
          <w:szCs w:val="21"/>
        </w:rPr>
        <w:t>ge of acquisition</w:t>
      </w:r>
      <w:r>
        <w:rPr>
          <w:rFonts w:hint="default" w:ascii="Times New Roman" w:hAnsi="Times New Roman" w:cs="Times New Roman"/>
          <w:b/>
          <w:bCs/>
          <w:sz w:val="21"/>
          <w:szCs w:val="21"/>
        </w:rPr>
        <w:t xml:space="preserve"> </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 xml:space="preserve">The first widely critiqued area of CPH involves whether there really exists a critical period. If yes, is there only one critical period? Is the start and closing point of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 xml:space="preserve">critical period exactly as definite and precise as it </w:t>
      </w:r>
      <w:r>
        <w:rPr>
          <w:rFonts w:hint="default" w:ascii="Times New Roman" w:hAnsi="Times New Roman" w:cs="Times New Roman"/>
          <w:sz w:val="21"/>
          <w:szCs w:val="21"/>
        </w:rPr>
        <w:t>wa</w:t>
      </w:r>
      <w:r>
        <w:rPr>
          <w:rFonts w:hint="default" w:ascii="Times New Roman" w:hAnsi="Times New Roman" w:cs="Times New Roman"/>
          <w:sz w:val="21"/>
          <w:szCs w:val="21"/>
        </w:rPr>
        <w:t xml:space="preserve">s suggested by its father and forerunner? And </w:t>
      </w:r>
      <w:r>
        <w:rPr>
          <w:rFonts w:hint="default" w:ascii="Times New Roman" w:hAnsi="Times New Roman" w:cs="Times New Roman"/>
          <w:sz w:val="21"/>
          <w:szCs w:val="21"/>
        </w:rPr>
        <w:t>are</w:t>
      </w:r>
      <w:r>
        <w:rPr>
          <w:rFonts w:hint="default" w:ascii="Times New Roman" w:hAnsi="Times New Roman" w:cs="Times New Roman"/>
          <w:sz w:val="21"/>
          <w:szCs w:val="21"/>
        </w:rPr>
        <w:t xml:space="preserve"> later learners really under-perform</w:t>
      </w:r>
      <w:r>
        <w:rPr>
          <w:rFonts w:hint="default" w:ascii="Times New Roman" w:hAnsi="Times New Roman" w:cs="Times New Roman"/>
          <w:sz w:val="21"/>
          <w:szCs w:val="21"/>
        </w:rPr>
        <w:t>ed</w:t>
      </w:r>
      <w:r>
        <w:rPr>
          <w:rFonts w:hint="default" w:ascii="Times New Roman" w:hAnsi="Times New Roman" w:cs="Times New Roman"/>
          <w:sz w:val="21"/>
          <w:szCs w:val="21"/>
        </w:rPr>
        <w:t xml:space="preserve"> in language achievement compared with early starters? </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To begin with, many subsequent researchers questioned Lennberg</w:t>
      </w:r>
      <w:r>
        <w:rPr>
          <w:rFonts w:hint="default" w:ascii="Times New Roman" w:hAnsi="Times New Roman" w:cs="Times New Roman"/>
          <w:sz w:val="21"/>
          <w:szCs w:val="21"/>
        </w:rPr>
        <w:t>’</w:t>
      </w:r>
      <w:r>
        <w:rPr>
          <w:rFonts w:hint="default" w:ascii="Times New Roman" w:hAnsi="Times New Roman" w:cs="Times New Roman"/>
          <w:sz w:val="21"/>
          <w:szCs w:val="21"/>
        </w:rPr>
        <w:t>s idea of age two as the onset and puberty as the offset age</w:t>
      </w:r>
      <w:r>
        <w:rPr>
          <w:rFonts w:hint="default" w:ascii="Times New Roman" w:hAnsi="Times New Roman" w:cs="Times New Roman"/>
          <w:sz w:val="21"/>
          <w:szCs w:val="21"/>
        </w:rPr>
        <w:t xml:space="preserve"> and the only one critical period idea</w:t>
      </w:r>
      <w:r>
        <w:rPr>
          <w:rFonts w:hint="default" w:ascii="Times New Roman" w:hAnsi="Times New Roman" w:cs="Times New Roman"/>
          <w:sz w:val="21"/>
          <w:szCs w:val="21"/>
        </w:rPr>
        <w:t>. The idea of onset and offset age varied from one to another. For instance, a year after Lennberg</w:t>
      </w:r>
      <w:r>
        <w:rPr>
          <w:rFonts w:hint="default" w:ascii="Times New Roman" w:hAnsi="Times New Roman" w:cs="Times New Roman"/>
          <w:sz w:val="21"/>
          <w:szCs w:val="21"/>
        </w:rPr>
        <w:t>’</w:t>
      </w:r>
      <w:r>
        <w:rPr>
          <w:rFonts w:hint="default" w:ascii="Times New Roman" w:hAnsi="Times New Roman" w:cs="Times New Roman"/>
          <w:sz w:val="21"/>
          <w:szCs w:val="21"/>
        </w:rPr>
        <w:t>s proposition, Molfese proposed that the offset of phonology might be around the very first year of a child, which accorded with Ruben</w:t>
      </w:r>
      <w:r>
        <w:rPr>
          <w:rFonts w:hint="default" w:ascii="Times New Roman" w:hAnsi="Times New Roman" w:cs="Times New Roman"/>
          <w:sz w:val="21"/>
          <w:szCs w:val="21"/>
        </w:rPr>
        <w:t>’</w:t>
      </w:r>
      <w:r>
        <w:rPr>
          <w:rFonts w:hint="default" w:ascii="Times New Roman" w:hAnsi="Times New Roman" w:cs="Times New Roman"/>
          <w:sz w:val="21"/>
          <w:szCs w:val="21"/>
        </w:rPr>
        <w:t>s claim that 12</w:t>
      </w:r>
      <w:r>
        <w:rPr>
          <w:rFonts w:hint="default" w:ascii="Times New Roman" w:hAnsi="Times New Roman" w:cs="Times New Roman"/>
          <w:sz w:val="21"/>
          <w:szCs w:val="21"/>
          <w:vertAlign w:val="superscript"/>
        </w:rPr>
        <w:t>th</w:t>
      </w:r>
      <w:r>
        <w:rPr>
          <w:rFonts w:hint="default" w:ascii="Times New Roman" w:hAnsi="Times New Roman" w:cs="Times New Roman"/>
          <w:sz w:val="21"/>
          <w:szCs w:val="21"/>
        </w:rPr>
        <w:t xml:space="preserve"> month was the ending period of phonology yet 14</w:t>
      </w:r>
      <w:r>
        <w:rPr>
          <w:rFonts w:hint="default" w:ascii="Times New Roman" w:hAnsi="Times New Roman" w:cs="Times New Roman"/>
          <w:sz w:val="21"/>
          <w:szCs w:val="21"/>
          <w:vertAlign w:val="superscript"/>
        </w:rPr>
        <w:t>th</w:t>
      </w:r>
      <w:r>
        <w:rPr>
          <w:rFonts w:hint="default" w:ascii="Times New Roman" w:hAnsi="Times New Roman" w:cs="Times New Roman"/>
          <w:sz w:val="21"/>
          <w:szCs w:val="21"/>
        </w:rPr>
        <w:t xml:space="preserve"> year was the closing of syntax and 15 or 16</w:t>
      </w:r>
      <w:r>
        <w:rPr>
          <w:rFonts w:hint="default" w:ascii="Times New Roman" w:hAnsi="Times New Roman" w:cs="Times New Roman"/>
          <w:sz w:val="21"/>
          <w:szCs w:val="21"/>
          <w:vertAlign w:val="superscript"/>
        </w:rPr>
        <w:t>th</w:t>
      </w:r>
      <w:r>
        <w:rPr>
          <w:rFonts w:hint="default" w:ascii="Times New Roman" w:hAnsi="Times New Roman" w:cs="Times New Roman"/>
          <w:sz w:val="21"/>
          <w:szCs w:val="21"/>
        </w:rPr>
        <w:t xml:space="preserve"> for semantics(Singleton 2007). Later in 1988</w:t>
      </w:r>
      <w:r>
        <w:rPr>
          <w:rFonts w:hint="default" w:ascii="Times New Roman" w:hAnsi="Times New Roman" w:cs="Times New Roman"/>
          <w:sz w:val="21"/>
          <w:szCs w:val="21"/>
        </w:rPr>
        <w:t>,</w:t>
      </w:r>
      <w:r>
        <w:rPr>
          <w:rFonts w:hint="default" w:ascii="Times New Roman" w:hAnsi="Times New Roman" w:cs="Times New Roman"/>
          <w:sz w:val="21"/>
          <w:szCs w:val="21"/>
        </w:rPr>
        <w:t xml:space="preserve"> Scovel suggested age twelve might be a cut-off time to acquire native</w:t>
      </w:r>
      <w:r>
        <w:rPr>
          <w:rFonts w:hint="default" w:ascii="Times New Roman" w:hAnsi="Times New Roman" w:cs="Times New Roman"/>
          <w:sz w:val="21"/>
          <w:szCs w:val="21"/>
        </w:rPr>
        <w:t>-</w:t>
      </w:r>
      <w:r>
        <w:rPr>
          <w:rFonts w:hint="default" w:ascii="Times New Roman" w:hAnsi="Times New Roman" w:cs="Times New Roman"/>
          <w:sz w:val="21"/>
          <w:szCs w:val="21"/>
        </w:rPr>
        <w:t>like pronunciation, which was endorsed by Long</w:t>
      </w:r>
      <w:r>
        <w:rPr>
          <w:rFonts w:hint="default" w:ascii="Times New Roman" w:hAnsi="Times New Roman" w:cs="Times New Roman"/>
          <w:sz w:val="21"/>
          <w:szCs w:val="21"/>
        </w:rPr>
        <w:t>’</w:t>
      </w:r>
      <w:r>
        <w:rPr>
          <w:rFonts w:hint="default" w:ascii="Times New Roman" w:hAnsi="Times New Roman" w:cs="Times New Roman"/>
          <w:sz w:val="21"/>
          <w:szCs w:val="21"/>
        </w:rPr>
        <w:t xml:space="preserve">s assertion in 1990 that younger than twelve </w:t>
      </w:r>
      <w:r>
        <w:rPr>
          <w:rFonts w:hint="default" w:ascii="Times New Roman" w:hAnsi="Times New Roman" w:cs="Times New Roman"/>
          <w:sz w:val="21"/>
          <w:szCs w:val="21"/>
        </w:rPr>
        <w:t>wa</w:t>
      </w:r>
      <w:r>
        <w:rPr>
          <w:rFonts w:hint="default" w:ascii="Times New Roman" w:hAnsi="Times New Roman" w:cs="Times New Roman"/>
          <w:sz w:val="21"/>
          <w:szCs w:val="21"/>
        </w:rPr>
        <w:t xml:space="preserve">s </w:t>
      </w:r>
      <w:r>
        <w:rPr>
          <w:rFonts w:hint="default" w:ascii="Times New Roman" w:hAnsi="Times New Roman" w:cs="Times New Roman"/>
          <w:sz w:val="21"/>
          <w:szCs w:val="21"/>
        </w:rPr>
        <w:t xml:space="preserve">a </w:t>
      </w:r>
      <w:r>
        <w:rPr>
          <w:rFonts w:hint="default" w:ascii="Times New Roman" w:hAnsi="Times New Roman" w:cs="Times New Roman"/>
          <w:sz w:val="21"/>
          <w:szCs w:val="21"/>
        </w:rPr>
        <w:t>prerequisite for L2 phonological nativelikeness and morphological and syntactical nativelike proficiency can</w:t>
      </w:r>
      <w:r>
        <w:rPr>
          <w:rFonts w:hint="default" w:ascii="Times New Roman" w:hAnsi="Times New Roman" w:cs="Times New Roman"/>
          <w:sz w:val="21"/>
          <w:szCs w:val="21"/>
        </w:rPr>
        <w:t>’</w:t>
      </w:r>
      <w:r>
        <w:rPr>
          <w:rFonts w:hint="default" w:ascii="Times New Roman" w:hAnsi="Times New Roman" w:cs="Times New Roman"/>
          <w:sz w:val="21"/>
          <w:szCs w:val="21"/>
        </w:rPr>
        <w:t>t be achieved after 15(Singleton 2007). Therefore, multiple critical periods were hypothesized by many other scholars, such as Fathman in 1973 asked for different critical periods corresponding to different developmental aspects within the language itself(Gursoy 2011), which was in accordance with Diller</w:t>
      </w:r>
      <w:r>
        <w:rPr>
          <w:rFonts w:hint="default" w:ascii="Times New Roman" w:hAnsi="Times New Roman" w:cs="Times New Roman"/>
          <w:sz w:val="21"/>
          <w:szCs w:val="21"/>
        </w:rPr>
        <w:t>’</w:t>
      </w:r>
      <w:r>
        <w:rPr>
          <w:rFonts w:hint="default" w:ascii="Times New Roman" w:hAnsi="Times New Roman" w:cs="Times New Roman"/>
          <w:sz w:val="21"/>
          <w:szCs w:val="21"/>
        </w:rPr>
        <w:t xml:space="preserve">s statement that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 xml:space="preserve">phonological critical period was linked with age 6 to 8 whereas other higher cognitive functions with later maturation(Singleton 2007).  </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 xml:space="preserve">Along with </w:t>
      </w:r>
      <w:r>
        <w:rPr>
          <w:rFonts w:hint="default" w:ascii="Times New Roman" w:hAnsi="Times New Roman" w:cs="Times New Roman"/>
          <w:sz w:val="21"/>
          <w:szCs w:val="21"/>
        </w:rPr>
        <w:t xml:space="preserve">the above </w:t>
      </w:r>
      <w:r>
        <w:rPr>
          <w:rFonts w:hint="default" w:ascii="Times New Roman" w:hAnsi="Times New Roman" w:cs="Times New Roman"/>
          <w:sz w:val="21"/>
          <w:szCs w:val="21"/>
        </w:rPr>
        <w:t>multiple critical periods hypotheses, no critical period assumption was also on the agenda. Here listed a few. Stevens in 1999 found that though immigrants before the acquisition of age 5 are most likely to be reported as good language speakers in adulthood, there was no definite abruptly critical period</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Hinkel </w:t>
      </w:r>
      <w:r>
        <w:rPr>
          <w:rFonts w:hint="default" w:ascii="Times New Roman" w:hAnsi="Times New Roman" w:eastAsia="宋体" w:cs="Times New Roman"/>
          <w:color w:val="000000"/>
          <w:kern w:val="0"/>
          <w:sz w:val="21"/>
          <w:szCs w:val="21"/>
          <w:lang w:bidi="ar"/>
        </w:rPr>
        <w:t>2005)</w:t>
      </w:r>
      <w:r>
        <w:rPr>
          <w:rFonts w:hint="default" w:ascii="Times New Roman" w:hAnsi="Times New Roman" w:cs="Times New Roman"/>
          <w:sz w:val="21"/>
          <w:szCs w:val="21"/>
        </w:rPr>
        <w:t xml:space="preserve">. </w:t>
      </w:r>
      <w:r>
        <w:rPr>
          <w:rFonts w:hint="default" w:ascii="Times New Roman" w:hAnsi="Times New Roman" w:eastAsia="宋体" w:cs="Times New Roman"/>
          <w:color w:val="000000"/>
          <w:kern w:val="0"/>
          <w:sz w:val="21"/>
          <w:szCs w:val="21"/>
          <w:lang w:bidi="ar"/>
        </w:rPr>
        <w:t>The non-discontinuity and no sharp and abrupt decline in any age w</w:t>
      </w:r>
      <w:r>
        <w:rPr>
          <w:rFonts w:hint="default" w:ascii="Times New Roman" w:hAnsi="Times New Roman" w:eastAsia="宋体" w:cs="Times New Roman"/>
          <w:color w:val="000000"/>
          <w:kern w:val="0"/>
          <w:sz w:val="21"/>
          <w:szCs w:val="21"/>
          <w:lang w:bidi="ar"/>
        </w:rPr>
        <w:t>ere</w:t>
      </w:r>
      <w:r>
        <w:rPr>
          <w:rFonts w:hint="default" w:ascii="Times New Roman" w:hAnsi="Times New Roman" w:eastAsia="宋体" w:cs="Times New Roman"/>
          <w:color w:val="000000"/>
          <w:kern w:val="0"/>
          <w:sz w:val="21"/>
          <w:szCs w:val="21"/>
          <w:lang w:bidi="ar"/>
        </w:rPr>
        <w:t xml:space="preserve"> confirmed later by Chiswick and Miller (2008) with microdata from the </w:t>
      </w:r>
      <w:r>
        <w:rPr>
          <w:rFonts w:hint="default" w:ascii="Times New Roman" w:hAnsi="Times New Roman" w:eastAsia="宋体" w:cs="Times New Roman"/>
          <w:i/>
          <w:iCs/>
          <w:color w:val="000000"/>
          <w:kern w:val="0"/>
          <w:sz w:val="21"/>
          <w:szCs w:val="21"/>
          <w:lang w:bidi="ar"/>
        </w:rPr>
        <w:t>2000 US Census</w:t>
      </w:r>
      <w:r>
        <w:rPr>
          <w:rFonts w:hint="default" w:ascii="Times New Roman" w:hAnsi="Times New Roman" w:eastAsia="宋体" w:cs="Times New Roman"/>
          <w:color w:val="000000"/>
          <w:kern w:val="0"/>
          <w:sz w:val="21"/>
          <w:szCs w:val="21"/>
          <w:lang w:bidi="ar"/>
        </w:rPr>
        <w:t xml:space="preserve">. </w:t>
      </w:r>
      <w:r>
        <w:rPr>
          <w:rFonts w:hint="default" w:ascii="Times New Roman" w:hAnsi="Times New Roman" w:cs="Times New Roman"/>
          <w:sz w:val="21"/>
          <w:szCs w:val="21"/>
        </w:rPr>
        <w:t>The affective factors of language proficiency stretched from age to other social factors in Stevens</w:t>
      </w:r>
      <w:r>
        <w:rPr>
          <w:rFonts w:hint="default" w:ascii="Times New Roman" w:hAnsi="Times New Roman" w:cs="Times New Roman"/>
          <w:sz w:val="21"/>
          <w:szCs w:val="21"/>
        </w:rPr>
        <w:t>’</w:t>
      </w:r>
      <w:r>
        <w:rPr>
          <w:rFonts w:hint="default" w:ascii="Times New Roman" w:hAnsi="Times New Roman" w:cs="Times New Roman"/>
          <w:sz w:val="21"/>
          <w:szCs w:val="21"/>
        </w:rPr>
        <w:t xml:space="preserve"> perspective. Likewise, Kuhl(2000) also explained that it</w:t>
      </w:r>
      <w:r>
        <w:rPr>
          <w:rFonts w:hint="default" w:ascii="Times New Roman" w:hAnsi="Times New Roman" w:cs="Times New Roman"/>
          <w:sz w:val="21"/>
          <w:szCs w:val="21"/>
        </w:rPr>
        <w:t>’</w:t>
      </w:r>
      <w:r>
        <w:rPr>
          <w:rFonts w:hint="default" w:ascii="Times New Roman" w:hAnsi="Times New Roman" w:cs="Times New Roman"/>
          <w:sz w:val="21"/>
          <w:szCs w:val="21"/>
        </w:rPr>
        <w:t xml:space="preserve">s not only age that influenced language acquisition, but also language experience played an important role proved by studying infant linguistic development. No critical period for semantics </w:t>
      </w:r>
      <w:r>
        <w:rPr>
          <w:rFonts w:hint="default" w:ascii="Times New Roman" w:hAnsi="Times New Roman" w:cs="Times New Roman"/>
          <w:sz w:val="21"/>
          <w:szCs w:val="21"/>
        </w:rPr>
        <w:t>wa</w:t>
      </w:r>
      <w:r>
        <w:rPr>
          <w:rFonts w:hint="default" w:ascii="Times New Roman" w:hAnsi="Times New Roman" w:cs="Times New Roman"/>
          <w:sz w:val="21"/>
          <w:szCs w:val="21"/>
        </w:rPr>
        <w:t xml:space="preserve">s also confirmed by Slabakova(2006) as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literature he reviewed demonstrated no failure of adult</w:t>
      </w:r>
      <w:r>
        <w:rPr>
          <w:rFonts w:hint="default" w:ascii="Times New Roman" w:hAnsi="Times New Roman" w:cs="Times New Roman"/>
          <w:sz w:val="21"/>
          <w:szCs w:val="21"/>
        </w:rPr>
        <w:t>s</w:t>
      </w:r>
      <w:r>
        <w:rPr>
          <w:rFonts w:hint="default" w:ascii="Times New Roman" w:hAnsi="Times New Roman" w:cs="Times New Roman"/>
          <w:sz w:val="21"/>
          <w:szCs w:val="21"/>
        </w:rPr>
        <w:t xml:space="preserve"> acquiring phrasal semantics.  </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Then as for different language achievement between older learners and early starters, results from many studies disapproved CPH</w:t>
      </w:r>
      <w:r>
        <w:rPr>
          <w:rFonts w:hint="default" w:ascii="Times New Roman" w:hAnsi="Times New Roman" w:cs="Times New Roman"/>
          <w:sz w:val="21"/>
          <w:szCs w:val="21"/>
        </w:rPr>
        <w:t>’</w:t>
      </w:r>
      <w:r>
        <w:rPr>
          <w:rFonts w:hint="default" w:ascii="Times New Roman" w:hAnsi="Times New Roman" w:cs="Times New Roman"/>
          <w:sz w:val="21"/>
          <w:szCs w:val="21"/>
        </w:rPr>
        <w:t xml:space="preserve">s belief that younger and earlier start-off led to better attainment. Take a few major findings for example, Not only the famous experiment in </w:t>
      </w:r>
      <w:r>
        <w:rPr>
          <w:rFonts w:hint="default" w:ascii="Times New Roman" w:hAnsi="Times New Roman" w:cs="Times New Roman"/>
          <w:sz w:val="21"/>
          <w:szCs w:val="21"/>
        </w:rPr>
        <w:t>Snow and Hoefnagel-Höhle study</w:t>
      </w:r>
      <w:r>
        <w:rPr>
          <w:rFonts w:hint="default" w:ascii="Times New Roman" w:hAnsi="Times New Roman" w:cs="Times New Roman"/>
          <w:sz w:val="21"/>
          <w:szCs w:val="21"/>
        </w:rPr>
        <w:t xml:space="preserve"> denounced the children</w:t>
      </w:r>
      <w:r>
        <w:rPr>
          <w:rFonts w:hint="default" w:ascii="Times New Roman" w:hAnsi="Times New Roman" w:cs="Times New Roman"/>
          <w:sz w:val="21"/>
          <w:szCs w:val="21"/>
        </w:rPr>
        <w:t>’</w:t>
      </w:r>
      <w:r>
        <w:rPr>
          <w:rFonts w:hint="default" w:ascii="Times New Roman" w:hAnsi="Times New Roman" w:cs="Times New Roman"/>
          <w:sz w:val="21"/>
          <w:szCs w:val="21"/>
        </w:rPr>
        <w:t>s superiority in Dutch acquisition,</w:t>
      </w:r>
      <w:r>
        <w:rPr>
          <w:rFonts w:hint="default" w:ascii="Times New Roman" w:hAnsi="Times New Roman" w:cs="Times New Roman"/>
          <w:sz w:val="21"/>
          <w:szCs w:val="21"/>
        </w:rPr>
        <w:t xml:space="preserve"> but</w:t>
      </w:r>
      <w:r>
        <w:rPr>
          <w:rFonts w:hint="default" w:ascii="Times New Roman" w:hAnsi="Times New Roman" w:cs="Times New Roman"/>
          <w:sz w:val="21"/>
          <w:szCs w:val="21"/>
        </w:rPr>
        <w:t xml:space="preserve"> it also specifically emphasized that olde</w:t>
      </w:r>
      <w:r>
        <w:rPr>
          <w:rFonts w:hint="default" w:ascii="Times New Roman" w:hAnsi="Times New Roman" w:cs="Times New Roman"/>
          <w:sz w:val="21"/>
          <w:szCs w:val="21"/>
        </w:rPr>
        <w:t>r learners edged out children in the speed of learning and the best overall performance was found in adolescents(Lightbown&amp;Spada 2000). Besides, the study of White and Genesee found that compared with native speakers, adult subjects also demonstrated almost indistinguishable performance in accuracy and speed of grammaticality and written task, which converted Lennberg</w:t>
      </w:r>
      <w:r>
        <w:rPr>
          <w:rFonts w:hint="default" w:ascii="Times New Roman" w:hAnsi="Times New Roman" w:cs="Times New Roman"/>
          <w:sz w:val="21"/>
          <w:szCs w:val="21"/>
        </w:rPr>
        <w:t>’</w:t>
      </w:r>
      <w:r>
        <w:rPr>
          <w:rFonts w:hint="default" w:ascii="Times New Roman" w:hAnsi="Times New Roman" w:cs="Times New Roman"/>
          <w:sz w:val="21"/>
          <w:szCs w:val="21"/>
        </w:rPr>
        <w:t xml:space="preserve">s claim that </w:t>
      </w:r>
      <w:r>
        <w:rPr>
          <w:rFonts w:hint="default" w:ascii="Times New Roman" w:hAnsi="Times New Roman" w:cs="Times New Roman"/>
          <w:sz w:val="21"/>
          <w:szCs w:val="21"/>
        </w:rPr>
        <w:t xml:space="preserve">after puberty, </w:t>
      </w:r>
      <w:r>
        <w:rPr>
          <w:rFonts w:hint="default" w:ascii="Times New Roman" w:hAnsi="Times New Roman" w:cs="Times New Roman"/>
          <w:sz w:val="21"/>
          <w:szCs w:val="21"/>
        </w:rPr>
        <w:t>good language acquisition was difficult and less attainable(Gursoy 2011). Most CPH advocates were convinced that nativelike pronunciation could be only found in early acquisition. In order to refute this claim, Bonagaerts et al. in 1997 extended the test to phonology and found over 50% of those adult subjects fell into the range of native speakers with several scoring even equal or higher overall(Gursoy 2011), which proved that nativelike phonological acquisition after puberty was not impossible. Moreover, the data collected from BAF Project again supported the advantage of old starters in rate and argued against that early start in the context of instructed SLA or FLA could confer an advantage on the ultimate language attainment(</w:t>
      </w:r>
      <w:r>
        <w:rPr>
          <w:rFonts w:hint="default" w:ascii="Times New Roman" w:hAnsi="Times New Roman" w:eastAsia="宋体" w:cs="Times New Roman"/>
          <w:color w:val="000000"/>
          <w:kern w:val="0"/>
          <w:sz w:val="21"/>
          <w:szCs w:val="21"/>
          <w:lang w:bidi="ar"/>
        </w:rPr>
        <w:t>Munoz 2010</w:t>
      </w:r>
      <w:r>
        <w:rPr>
          <w:rFonts w:hint="default" w:ascii="Times New Roman" w:hAnsi="Times New Roman" w:cs="Times New Roman"/>
          <w:sz w:val="21"/>
          <w:szCs w:val="21"/>
        </w:rPr>
        <w:t xml:space="preserve">). </w:t>
      </w:r>
    </w:p>
    <w:p>
      <w:pPr>
        <w:rPr>
          <w:rFonts w:hint="default" w:ascii="Times New Roman" w:hAnsi="Times New Roman" w:cs="Times New Roman"/>
          <w:sz w:val="21"/>
          <w:szCs w:val="21"/>
        </w:rPr>
      </w:pPr>
      <w:r>
        <w:rPr>
          <w:rFonts w:hint="default" w:ascii="Times New Roman" w:hAnsi="Times New Roman" w:cs="Times New Roman"/>
          <w:b/>
          <w:bCs/>
          <w:sz w:val="21"/>
          <w:szCs w:val="21"/>
        </w:rPr>
        <w:t>3.2 Challenges about b</w:t>
      </w:r>
      <w:r>
        <w:rPr>
          <w:rFonts w:hint="default" w:ascii="Times New Roman" w:hAnsi="Times New Roman" w:cs="Times New Roman"/>
          <w:b/>
          <w:bCs/>
          <w:sz w:val="21"/>
          <w:szCs w:val="21"/>
        </w:rPr>
        <w:t>rain plasticity</w:t>
      </w:r>
      <w:r>
        <w:rPr>
          <w:rFonts w:hint="default" w:ascii="Times New Roman" w:hAnsi="Times New Roman" w:cs="Times New Roman"/>
          <w:sz w:val="21"/>
          <w:szCs w:val="21"/>
        </w:rPr>
        <w:t xml:space="preserve"> </w:t>
      </w:r>
      <w:r>
        <w:rPr>
          <w:rFonts w:hint="default" w:ascii="Times New Roman" w:hAnsi="Times New Roman" w:cs="Times New Roman"/>
          <w:b/>
          <w:bCs/>
          <w:sz w:val="21"/>
          <w:szCs w:val="21"/>
        </w:rPr>
        <w:t>and lateralization</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The second challenge is against Penfield</w:t>
      </w:r>
      <w:r>
        <w:rPr>
          <w:rFonts w:hint="default" w:ascii="Times New Roman" w:hAnsi="Times New Roman" w:cs="Times New Roman"/>
          <w:sz w:val="21"/>
          <w:szCs w:val="21"/>
        </w:rPr>
        <w:t>’</w:t>
      </w:r>
      <w:r>
        <w:rPr>
          <w:rFonts w:hint="default" w:ascii="Times New Roman" w:hAnsi="Times New Roman" w:cs="Times New Roman"/>
          <w:sz w:val="21"/>
          <w:szCs w:val="21"/>
        </w:rPr>
        <w:t>s brain plasticity and Lenneberg</w:t>
      </w:r>
      <w:r>
        <w:rPr>
          <w:rFonts w:hint="default" w:ascii="Times New Roman" w:hAnsi="Times New Roman" w:cs="Times New Roman"/>
          <w:sz w:val="21"/>
          <w:szCs w:val="21"/>
        </w:rPr>
        <w:t>’</w:t>
      </w:r>
      <w:r>
        <w:rPr>
          <w:rFonts w:hint="default" w:ascii="Times New Roman" w:hAnsi="Times New Roman" w:cs="Times New Roman"/>
          <w:sz w:val="21"/>
          <w:szCs w:val="21"/>
        </w:rPr>
        <w:t>s lateralization.</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Some scholars closely examined Penfield</w:t>
      </w:r>
      <w:r>
        <w:rPr>
          <w:rFonts w:hint="default" w:ascii="Times New Roman" w:hAnsi="Times New Roman" w:cs="Times New Roman"/>
          <w:sz w:val="21"/>
          <w:szCs w:val="21"/>
        </w:rPr>
        <w:t>’</w:t>
      </w:r>
      <w:r>
        <w:rPr>
          <w:rFonts w:hint="default" w:ascii="Times New Roman" w:hAnsi="Times New Roman" w:cs="Times New Roman"/>
          <w:sz w:val="21"/>
          <w:szCs w:val="21"/>
        </w:rPr>
        <w:t>s early assumption of brain stiffness and loss of its plasticity after nine and proved it not exactly true to the real case. Among them, Seliger in 1978 was the first to contend that brain plasticity of language function terminated with different time periods though phonology might be the first to terminate</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Hinkel </w:t>
      </w:r>
      <w:r>
        <w:rPr>
          <w:rFonts w:hint="default" w:ascii="Times New Roman" w:hAnsi="Times New Roman" w:eastAsia="宋体" w:cs="Times New Roman"/>
          <w:color w:val="000000"/>
          <w:kern w:val="0"/>
          <w:sz w:val="21"/>
          <w:szCs w:val="21"/>
          <w:lang w:bidi="ar"/>
        </w:rPr>
        <w:t>2005)</w:t>
      </w:r>
      <w:r>
        <w:rPr>
          <w:rFonts w:hint="default" w:ascii="Times New Roman" w:hAnsi="Times New Roman" w:cs="Times New Roman"/>
          <w:sz w:val="21"/>
          <w:szCs w:val="21"/>
        </w:rPr>
        <w:t xml:space="preserve">. David Singleton(2018) pointed out that studies from neurobiology could hardly connect variation in brain activation with different performance in L2, and later some scientists of cognition believed that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brain remain</w:t>
      </w:r>
      <w:r>
        <w:rPr>
          <w:rFonts w:hint="default" w:ascii="Times New Roman" w:hAnsi="Times New Roman" w:cs="Times New Roman"/>
          <w:sz w:val="21"/>
          <w:szCs w:val="21"/>
        </w:rPr>
        <w:t>ed</w:t>
      </w:r>
      <w:r>
        <w:rPr>
          <w:rFonts w:hint="default" w:ascii="Times New Roman" w:hAnsi="Times New Roman" w:cs="Times New Roman"/>
          <w:sz w:val="21"/>
          <w:szCs w:val="21"/>
        </w:rPr>
        <w:t xml:space="preserve"> its plasticity across the life span and it might also be affected by human experience at any period of life. Birdsong(2018) also expressed partial agreement that the variability of language performance among older learners and young learners and plasticity intersect and interact with each other, and then suggested possible extension of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 xml:space="preserve">critical period. </w:t>
      </w:r>
      <w:r>
        <w:rPr>
          <w:rFonts w:hint="default" w:ascii="Times New Roman" w:hAnsi="Times New Roman" w:cs="Times New Roman"/>
          <w:sz w:val="21"/>
          <w:szCs w:val="21"/>
        </w:rPr>
        <w:t>Besides</w:t>
      </w:r>
      <w:r>
        <w:rPr>
          <w:rFonts w:hint="default" w:ascii="Times New Roman" w:hAnsi="Times New Roman" w:cs="Times New Roman"/>
          <w:sz w:val="21"/>
          <w:szCs w:val="21"/>
        </w:rPr>
        <w:t xml:space="preserve">, the overall aging literature from neuro-cognition indicated that even seniors still preserved brain plasticity </w:t>
      </w:r>
      <w:r>
        <w:rPr>
          <w:rFonts w:hint="default" w:ascii="Times New Roman" w:hAnsi="Times New Roman" w:cs="Times New Roman"/>
          <w:sz w:val="21"/>
          <w:szCs w:val="21"/>
        </w:rPr>
        <w:t>to</w:t>
      </w:r>
      <w:r>
        <w:rPr>
          <w:rFonts w:hint="default" w:ascii="Times New Roman" w:hAnsi="Times New Roman" w:cs="Times New Roman"/>
          <w:sz w:val="21"/>
          <w:szCs w:val="21"/>
        </w:rPr>
        <w:t xml:space="preserve"> a large extent and their brains still kept receptive and open to new languages, and some </w:t>
      </w:r>
      <w:r>
        <w:rPr>
          <w:rFonts w:hint="default" w:ascii="Times New Roman" w:hAnsi="Times New Roman" w:cs="Times New Roman"/>
          <w:sz w:val="21"/>
          <w:szCs w:val="21"/>
        </w:rPr>
        <w:t>later r</w:t>
      </w:r>
      <w:r>
        <w:rPr>
          <w:rFonts w:hint="default" w:ascii="Times New Roman" w:hAnsi="Times New Roman" w:cs="Times New Roman"/>
          <w:sz w:val="21"/>
          <w:szCs w:val="21"/>
        </w:rPr>
        <w:t>esearchers even suggested that second language learning could enhance neural plasticity and cultivate social communication</w:t>
      </w:r>
      <w:r>
        <w:rPr>
          <w:rFonts w:hint="default" w:ascii="Times New Roman" w:hAnsi="Times New Roman" w:cs="Times New Roman"/>
          <w:sz w:val="21"/>
          <w:szCs w:val="21"/>
        </w:rPr>
        <w:t>,</w:t>
      </w:r>
      <w:r>
        <w:rPr>
          <w:rFonts w:hint="default" w:ascii="Times New Roman" w:hAnsi="Times New Roman" w:cs="Times New Roman"/>
          <w:sz w:val="21"/>
          <w:szCs w:val="21"/>
        </w:rPr>
        <w:t xml:space="preserve"> etc., as Singleton(2018) put it. </w:t>
      </w:r>
    </w:p>
    <w:p>
      <w:pPr>
        <w:ind w:firstLine="420" w:firstLineChars="200"/>
        <w:rPr>
          <w:rFonts w:hint="default" w:ascii="Times New Roman" w:hAnsi="Times New Roman" w:cs="Times New Roman"/>
          <w:sz w:val="21"/>
          <w:szCs w:val="21"/>
          <w:highlight w:val="yellow"/>
        </w:rPr>
      </w:pPr>
      <w:r>
        <w:rPr>
          <w:rFonts w:hint="default" w:ascii="Times New Roman" w:hAnsi="Times New Roman" w:eastAsia="宋体" w:cs="Times New Roman"/>
          <w:color w:val="000000"/>
          <w:kern w:val="0"/>
          <w:sz w:val="21"/>
          <w:szCs w:val="21"/>
          <w:lang w:bidi="ar"/>
        </w:rPr>
        <w:t>Lenneberg</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s lateralization presumption was harshly critiqued by </w:t>
      </w:r>
      <w:r>
        <w:rPr>
          <w:rFonts w:hint="default" w:ascii="Times New Roman" w:hAnsi="Times New Roman" w:eastAsia="宋体" w:cs="Times New Roman"/>
          <w:color w:val="000000"/>
          <w:kern w:val="0"/>
          <w:sz w:val="21"/>
          <w:szCs w:val="21"/>
          <w:lang w:bidi="ar"/>
        </w:rPr>
        <w:t>critics</w:t>
      </w:r>
      <w:r>
        <w:rPr>
          <w:rFonts w:hint="default" w:ascii="Times New Roman" w:hAnsi="Times New Roman" w:eastAsia="宋体" w:cs="Times New Roman"/>
          <w:color w:val="000000"/>
          <w:kern w:val="0"/>
          <w:sz w:val="21"/>
          <w:szCs w:val="21"/>
          <w:lang w:bidi="ar"/>
        </w:rPr>
        <w:t xml:space="preserve"> too, such as Stephen Krashen. In 1973, he thought the</w:t>
      </w:r>
      <w:r>
        <w:rPr>
          <w:rFonts w:hint="default" w:ascii="Times New Roman" w:hAnsi="Times New Roman" w:eastAsia="宋体" w:cs="Times New Roman"/>
          <w:i/>
          <w:iCs/>
          <w:color w:val="000000"/>
          <w:kern w:val="0"/>
          <w:sz w:val="21"/>
          <w:szCs w:val="21"/>
          <w:lang w:bidi="ar"/>
        </w:rPr>
        <w:t xml:space="preserve"> </w:t>
      </w:r>
      <w:r>
        <w:rPr>
          <w:rFonts w:hint="default" w:ascii="Times New Roman" w:hAnsi="Times New Roman" w:eastAsia="宋体" w:cs="Times New Roman"/>
          <w:i/>
          <w:iCs/>
          <w:color w:val="000000"/>
          <w:kern w:val="0"/>
          <w:sz w:val="21"/>
          <w:szCs w:val="21"/>
          <w:lang w:bidi="ar"/>
        </w:rPr>
        <w:t>“</w:t>
      </w:r>
      <w:r>
        <w:rPr>
          <w:rFonts w:hint="default" w:ascii="Times New Roman" w:hAnsi="Times New Roman" w:eastAsia="宋体" w:cs="Times New Roman"/>
          <w:i/>
          <w:iCs/>
          <w:color w:val="000000"/>
          <w:kern w:val="0"/>
          <w:sz w:val="21"/>
          <w:szCs w:val="21"/>
          <w:lang w:bidi="ar"/>
        </w:rPr>
        <w:t>data collected on the linguistic function transfer suggests that it</w:t>
      </w:r>
      <w:r>
        <w:rPr>
          <w:rFonts w:hint="default" w:ascii="Times New Roman" w:hAnsi="Times New Roman" w:eastAsia="宋体" w:cs="Times New Roman"/>
          <w:i/>
          <w:iCs/>
          <w:color w:val="000000"/>
          <w:kern w:val="0"/>
          <w:sz w:val="21"/>
          <w:szCs w:val="21"/>
          <w:lang w:bidi="ar"/>
        </w:rPr>
        <w:t>’</w:t>
      </w:r>
      <w:r>
        <w:rPr>
          <w:rFonts w:hint="default" w:ascii="Times New Roman" w:hAnsi="Times New Roman" w:eastAsia="宋体" w:cs="Times New Roman"/>
          <w:i/>
          <w:iCs/>
          <w:color w:val="000000"/>
          <w:kern w:val="0"/>
          <w:sz w:val="21"/>
          <w:szCs w:val="21"/>
          <w:lang w:bidi="ar"/>
        </w:rPr>
        <w:t>s possible to achieve perfect transfer only before five</w:t>
      </w:r>
      <w:r>
        <w:rPr>
          <w:rFonts w:hint="default" w:ascii="Times New Roman" w:hAnsi="Times New Roman" w:eastAsia="宋体" w:cs="Times New Roman"/>
          <w:color w:val="000000"/>
          <w:kern w:val="0"/>
          <w:sz w:val="21"/>
          <w:szCs w:val="21"/>
          <w:lang w:bidi="ar"/>
        </w:rPr>
        <w:t xml:space="preserve">(Singleton 2018).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Then in 1981, his book </w:t>
      </w:r>
      <w:r>
        <w:rPr>
          <w:rFonts w:hint="default" w:ascii="Times New Roman" w:hAnsi="Times New Roman" w:eastAsia="宋体" w:cs="Times New Roman"/>
          <w:i/>
          <w:iCs/>
          <w:color w:val="000000"/>
          <w:kern w:val="0"/>
          <w:sz w:val="21"/>
          <w:szCs w:val="21"/>
          <w:lang w:bidi="ar"/>
        </w:rPr>
        <w:t>Second Language Acquisition and Second Language Learning</w:t>
      </w:r>
      <w:r>
        <w:rPr>
          <w:rFonts w:hint="default" w:ascii="Times New Roman" w:hAnsi="Times New Roman" w:eastAsia="宋体" w:cs="Times New Roman"/>
          <w:color w:val="000000"/>
          <w:kern w:val="0"/>
          <w:sz w:val="21"/>
          <w:szCs w:val="21"/>
          <w:lang w:bidi="ar"/>
        </w:rPr>
        <w:t xml:space="preserve">(Krashen 1981) reviewed previous studies and categorized lateralization into three kinds. First,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lateralization by zero</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was found in anatomical research and results from AER and EEG and others, which indicated that hemispheric lateralization and specialization started even at birth. Second,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lateralization by age 5</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was shown in </w:t>
      </w:r>
      <w:r>
        <w:rPr>
          <w:rFonts w:hint="default" w:ascii="Times New Roman" w:hAnsi="Times New Roman" w:eastAsia="宋体" w:cs="Times New Roman"/>
          <w:color w:val="000000"/>
          <w:kern w:val="0"/>
          <w:sz w:val="21"/>
          <w:szCs w:val="21"/>
          <w:lang w:bidi="ar"/>
        </w:rPr>
        <w:t xml:space="preserve">the </w:t>
      </w:r>
      <w:r>
        <w:rPr>
          <w:rFonts w:hint="default" w:ascii="Times New Roman" w:hAnsi="Times New Roman" w:eastAsia="宋体" w:cs="Times New Roman"/>
          <w:color w:val="000000"/>
          <w:kern w:val="0"/>
          <w:sz w:val="21"/>
          <w:szCs w:val="21"/>
          <w:lang w:bidi="ar"/>
        </w:rPr>
        <w:t>literature about brain damage on children</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s linguistic ability and hemispherectomy, implying lateralization completed earlier, before five, rather than Lennberg</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s claimed puberty. Third, </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lateralization by puberty</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was exhibited in dichotic research </w:t>
      </w:r>
      <w:r>
        <w:rPr>
          <w:rFonts w:hint="default" w:ascii="Times New Roman" w:hAnsi="Times New Roman" w:eastAsia="宋体" w:cs="Times New Roman"/>
          <w:color w:val="000000"/>
          <w:kern w:val="0"/>
          <w:sz w:val="21"/>
          <w:szCs w:val="21"/>
          <w:lang w:bidi="ar"/>
        </w:rPr>
        <w:t>applying “</w:t>
      </w:r>
      <w:r>
        <w:rPr>
          <w:rFonts w:hint="default" w:ascii="Times New Roman" w:hAnsi="Times New Roman" w:eastAsia="宋体" w:cs="Times New Roman"/>
          <w:color w:val="000000"/>
          <w:kern w:val="0"/>
          <w:sz w:val="21"/>
          <w:szCs w:val="21"/>
          <w:lang w:bidi="ar"/>
        </w:rPr>
        <w:t>more difficult stimuli.</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 He concluded that it</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s not necessary to link hemisphere dominance with SLA ability though well before puberty children</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s left hemisphere tended to dominate much of the linguistic function, and other explanations should be also accounted </w:t>
      </w:r>
      <w:r>
        <w:rPr>
          <w:rFonts w:hint="default" w:ascii="Times New Roman" w:hAnsi="Times New Roman" w:eastAsia="宋体" w:cs="Times New Roman"/>
          <w:color w:val="000000"/>
          <w:kern w:val="0"/>
          <w:sz w:val="21"/>
          <w:szCs w:val="21"/>
          <w:lang w:bidi="ar"/>
        </w:rPr>
        <w:t xml:space="preserve">for </w:t>
      </w:r>
      <w:r>
        <w:rPr>
          <w:rFonts w:hint="default" w:ascii="Times New Roman" w:hAnsi="Times New Roman" w:eastAsia="宋体" w:cs="Times New Roman"/>
          <w:color w:val="000000"/>
          <w:kern w:val="0"/>
          <w:sz w:val="21"/>
          <w:szCs w:val="21"/>
          <w:lang w:bidi="ar"/>
        </w:rPr>
        <w:t>linguistic differences in child-adult SLA. Th</w:t>
      </w:r>
      <w:r>
        <w:rPr>
          <w:rFonts w:hint="default" w:ascii="Times New Roman" w:hAnsi="Times New Roman" w:eastAsia="宋体" w:cs="Times New Roman"/>
          <w:color w:val="000000"/>
          <w:kern w:val="0"/>
          <w:sz w:val="21"/>
          <w:szCs w:val="21"/>
          <w:lang w:bidi="ar"/>
        </w:rPr>
        <w:t>ese</w:t>
      </w:r>
      <w:r>
        <w:rPr>
          <w:rFonts w:hint="default" w:ascii="Times New Roman" w:hAnsi="Times New Roman" w:eastAsia="宋体" w:cs="Times New Roman"/>
          <w:color w:val="000000"/>
          <w:kern w:val="0"/>
          <w:sz w:val="21"/>
          <w:szCs w:val="21"/>
          <w:lang w:bidi="ar"/>
        </w:rPr>
        <w:t xml:space="preserve"> different age findings </w:t>
      </w:r>
      <w:r>
        <w:rPr>
          <w:rFonts w:hint="default" w:ascii="Times New Roman" w:hAnsi="Times New Roman" w:eastAsia="宋体" w:cs="Times New Roman"/>
          <w:color w:val="000000"/>
          <w:kern w:val="0"/>
          <w:sz w:val="21"/>
          <w:szCs w:val="21"/>
          <w:lang w:bidi="ar"/>
        </w:rPr>
        <w:t>of</w:t>
      </w:r>
      <w:r>
        <w:rPr>
          <w:rFonts w:hint="default" w:ascii="Times New Roman" w:hAnsi="Times New Roman" w:eastAsia="宋体" w:cs="Times New Roman"/>
          <w:color w:val="000000"/>
          <w:kern w:val="0"/>
          <w:sz w:val="21"/>
          <w:szCs w:val="21"/>
          <w:lang w:bidi="ar"/>
        </w:rPr>
        <w:t xml:space="preserve"> lateralization somehow echoed multiple critical periods mentioned above, and the complexity of the relationship between age and lateralization has also been underlined by many other scholars, such as Montrul and Moyer(Singleton 2018), who hinted other factors rather than maturation might also be covered, too.</w:t>
      </w:r>
    </w:p>
    <w:p>
      <w:pPr>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3.3 Challenges against the nonconformity of measuring standards </w:t>
      </w:r>
    </w:p>
    <w:p>
      <w:pPr>
        <w:ind w:firstLine="420" w:firstLineChars="200"/>
        <w:rPr>
          <w:rFonts w:hint="default" w:ascii="Times New Roman" w:hAnsi="Times New Roman" w:cs="Times New Roman"/>
          <w:sz w:val="21"/>
          <w:szCs w:val="21"/>
          <w:highlight w:val="yellow"/>
        </w:rPr>
      </w:pPr>
      <w:r>
        <w:rPr>
          <w:rFonts w:hint="default" w:ascii="Times New Roman" w:hAnsi="Times New Roman" w:cs="Times New Roman"/>
          <w:sz w:val="21"/>
          <w:szCs w:val="21"/>
        </w:rPr>
        <w:t xml:space="preserve">As arguments go on, the validity and credibility of counter-evidence against CPH somehow was struck back. </w:t>
      </w:r>
      <w:r>
        <w:rPr>
          <w:rFonts w:hint="default" w:ascii="Times New Roman" w:hAnsi="Times New Roman" w:cs="Times New Roman"/>
          <w:sz w:val="21"/>
          <w:szCs w:val="21"/>
        </w:rPr>
        <w:t>Though the validity of CPH was truly weakened by s</w:t>
      </w:r>
      <w:r>
        <w:rPr>
          <w:rFonts w:hint="default" w:ascii="Times New Roman" w:hAnsi="Times New Roman" w:cs="Times New Roman"/>
          <w:sz w:val="21"/>
          <w:szCs w:val="21"/>
        </w:rPr>
        <w:t>ome native</w:t>
      </w:r>
      <w:r>
        <w:rPr>
          <w:rFonts w:hint="default" w:ascii="Times New Roman" w:hAnsi="Times New Roman" w:cs="Times New Roman"/>
          <w:sz w:val="21"/>
          <w:szCs w:val="21"/>
        </w:rPr>
        <w:t>-</w:t>
      </w:r>
      <w:r>
        <w:rPr>
          <w:rFonts w:hint="default" w:ascii="Times New Roman" w:hAnsi="Times New Roman" w:cs="Times New Roman"/>
          <w:sz w:val="21"/>
          <w:szCs w:val="21"/>
        </w:rPr>
        <w:t>like language proficiency</w:t>
      </w:r>
      <w:r>
        <w:rPr>
          <w:rFonts w:hint="default" w:ascii="Times New Roman" w:hAnsi="Times New Roman" w:cs="Times New Roman"/>
          <w:sz w:val="21"/>
          <w:szCs w:val="21"/>
        </w:rPr>
        <w:t xml:space="preserve"> among</w:t>
      </w:r>
      <w:r>
        <w:rPr>
          <w:rFonts w:hint="default" w:ascii="Times New Roman" w:hAnsi="Times New Roman" w:cs="Times New Roman"/>
          <w:sz w:val="21"/>
          <w:szCs w:val="21"/>
        </w:rPr>
        <w:t xml:space="preserve"> adult participants in studies mentioned above</w:t>
      </w:r>
      <w:r>
        <w:rPr>
          <w:rFonts w:hint="default" w:ascii="Times New Roman" w:hAnsi="Times New Roman" w:cs="Times New Roman"/>
          <w:sz w:val="21"/>
          <w:szCs w:val="21"/>
        </w:rPr>
        <w:t>,</w:t>
      </w:r>
      <w:r>
        <w:rPr>
          <w:rFonts w:hint="default" w:ascii="Times New Roman" w:hAnsi="Times New Roman" w:cs="Times New Roman"/>
          <w:sz w:val="21"/>
          <w:szCs w:val="21"/>
        </w:rPr>
        <w:t xml:space="preserve"> CPH supporters, such as Mike Long(2005) condemned that those studies were based on very limited samples, therefore taken as exceptions. </w:t>
      </w:r>
      <w:r>
        <w:rPr>
          <w:rFonts w:hint="default" w:ascii="Times New Roman" w:hAnsi="Times New Roman" w:cs="Times New Roman"/>
          <w:sz w:val="21"/>
          <w:szCs w:val="21"/>
        </w:rPr>
        <w:t>A s</w:t>
      </w:r>
      <w:r>
        <w:rPr>
          <w:rFonts w:hint="default" w:ascii="Times New Roman" w:hAnsi="Times New Roman" w:cs="Times New Roman"/>
          <w:sz w:val="21"/>
          <w:szCs w:val="21"/>
        </w:rPr>
        <w:t>imilar stand w</w:t>
      </w:r>
      <w:r>
        <w:rPr>
          <w:rFonts w:hint="default" w:ascii="Times New Roman" w:hAnsi="Times New Roman" w:cs="Times New Roman"/>
          <w:sz w:val="21"/>
          <w:szCs w:val="21"/>
        </w:rPr>
        <w:t>as</w:t>
      </w:r>
      <w:r>
        <w:rPr>
          <w:rFonts w:hint="default" w:ascii="Times New Roman" w:hAnsi="Times New Roman" w:cs="Times New Roman"/>
          <w:sz w:val="21"/>
          <w:szCs w:val="21"/>
        </w:rPr>
        <w:t xml:space="preserve"> held by Dekeyser(2000), who had examined 57 adult Hungarian American immigrants with </w:t>
      </w:r>
      <w:r>
        <w:rPr>
          <w:rFonts w:hint="default" w:ascii="Times New Roman" w:hAnsi="Times New Roman" w:cs="Times New Roman"/>
          <w:sz w:val="21"/>
          <w:szCs w:val="21"/>
        </w:rPr>
        <w:t xml:space="preserve">a </w:t>
      </w:r>
      <w:r>
        <w:rPr>
          <w:rFonts w:hint="default" w:ascii="Times New Roman" w:hAnsi="Times New Roman" w:cs="Times New Roman"/>
          <w:sz w:val="21"/>
          <w:szCs w:val="21"/>
        </w:rPr>
        <w:t>varied age of arrival in the US ranging from one to forty through a grammaticality test. It unveiled that younger starters</w:t>
      </w:r>
      <w:r>
        <w:rPr>
          <w:rFonts w:hint="default" w:ascii="Times New Roman" w:hAnsi="Times New Roman" w:cs="Times New Roman"/>
          <w:sz w:val="21"/>
          <w:szCs w:val="21"/>
        </w:rPr>
        <w:t>’</w:t>
      </w:r>
      <w:r>
        <w:rPr>
          <w:rFonts w:hint="default" w:ascii="Times New Roman" w:hAnsi="Times New Roman" w:cs="Times New Roman"/>
          <w:sz w:val="21"/>
          <w:szCs w:val="21"/>
        </w:rPr>
        <w:t xml:space="preserve"> performance was all up to an almost-native or native level, whereas only one adult learning English after sixteen achieved near-native grammatical competence. Dekeyser dug into the aptitude performance and unearthed that adult had </w:t>
      </w:r>
      <w:r>
        <w:rPr>
          <w:rFonts w:hint="default" w:ascii="Times New Roman" w:hAnsi="Times New Roman" w:cs="Times New Roman"/>
          <w:sz w:val="21"/>
          <w:szCs w:val="21"/>
        </w:rPr>
        <w:t xml:space="preserve">a </w:t>
      </w:r>
      <w:r>
        <w:rPr>
          <w:rFonts w:hint="default" w:ascii="Times New Roman" w:hAnsi="Times New Roman" w:cs="Times New Roman"/>
          <w:sz w:val="21"/>
          <w:szCs w:val="21"/>
        </w:rPr>
        <w:t>very high aptitude and assumed that this adult native-like performance was an exception</w:t>
      </w:r>
      <w:r>
        <w:rPr>
          <w:rFonts w:hint="default" w:ascii="Times New Roman" w:hAnsi="Times New Roman" w:cs="Times New Roman"/>
          <w:sz w:val="21"/>
          <w:szCs w:val="21"/>
        </w:rPr>
        <w:t xml:space="preserve">, hence </w:t>
      </w:r>
      <w:r>
        <w:rPr>
          <w:rFonts w:hint="default" w:ascii="Times New Roman" w:hAnsi="Times New Roman" w:cs="Times New Roman"/>
          <w:sz w:val="21"/>
          <w:szCs w:val="21"/>
        </w:rPr>
        <w:t>can not be taken as counter-evidence of CPH. Unfortunately, Vanhove(2013) revisited Dekeyser</w:t>
      </w:r>
      <w:r>
        <w:rPr>
          <w:rFonts w:hint="default" w:ascii="Times New Roman" w:hAnsi="Times New Roman" w:cs="Times New Roman"/>
          <w:sz w:val="21"/>
          <w:szCs w:val="21"/>
        </w:rPr>
        <w:t>’</w:t>
      </w:r>
      <w:r>
        <w:rPr>
          <w:rFonts w:hint="default" w:ascii="Times New Roman" w:hAnsi="Times New Roman" w:cs="Times New Roman"/>
          <w:sz w:val="21"/>
          <w:szCs w:val="21"/>
        </w:rPr>
        <w:t xml:space="preserve">s old data and found the correlation between aptitude and GJT performance is fallacious by </w:t>
      </w:r>
      <w:r>
        <w:rPr>
          <w:rFonts w:hint="default" w:ascii="Times New Roman" w:hAnsi="Times New Roman" w:cs="Times New Roman"/>
          <w:sz w:val="21"/>
          <w:szCs w:val="21"/>
        </w:rPr>
        <w:t>“</w:t>
      </w:r>
      <w:r>
        <w:rPr>
          <w:rFonts w:hint="default" w:ascii="Times New Roman" w:hAnsi="Times New Roman" w:cs="Times New Roman"/>
          <w:sz w:val="21"/>
          <w:szCs w:val="21"/>
        </w:rPr>
        <w:t>comparing two correlation coefficients</w:t>
      </w:r>
      <w:r>
        <w:rPr>
          <w:rFonts w:hint="default" w:ascii="Times New Roman" w:hAnsi="Times New Roman" w:cs="Times New Roman"/>
          <w:sz w:val="21"/>
          <w:szCs w:val="21"/>
        </w:rPr>
        <w:t>”</w:t>
      </w:r>
      <w:r>
        <w:rPr>
          <w:rFonts w:hint="default" w:ascii="Times New Roman" w:hAnsi="Times New Roman" w:cs="Times New Roman"/>
          <w:sz w:val="21"/>
          <w:szCs w:val="21"/>
        </w:rPr>
        <w:t xml:space="preserve">, </w:t>
      </w:r>
      <w:r>
        <w:rPr>
          <w:rFonts w:hint="default" w:ascii="Times New Roman" w:hAnsi="Times New Roman" w:cs="Times New Roman"/>
          <w:sz w:val="21"/>
          <w:szCs w:val="21"/>
          <w:highlight w:val="yellow"/>
        </w:rPr>
        <w:t xml:space="preserve">not to mention different learning settings and social-cultural contexts of immigrants from formal classroom learning. </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Thus, the core of constant dispute probably lies in how to assess linguistic attainment and native-likeness. For one, the definition of language varied from formalists to functionalists, with the former focusing on language competence and the latter on its performance. That divergence generated different criteria and operations of assessing L2 learners</w:t>
      </w:r>
      <w:r>
        <w:rPr>
          <w:rFonts w:hint="default" w:ascii="Times New Roman" w:hAnsi="Times New Roman" w:cs="Times New Roman"/>
          <w:sz w:val="21"/>
          <w:szCs w:val="21"/>
        </w:rPr>
        <w:t>’</w:t>
      </w:r>
      <w:r>
        <w:rPr>
          <w:rFonts w:hint="default" w:ascii="Times New Roman" w:hAnsi="Times New Roman" w:cs="Times New Roman"/>
          <w:sz w:val="21"/>
          <w:szCs w:val="21"/>
        </w:rPr>
        <w:t xml:space="preserve"> linguistic attainment, such as some studies tested grammatical judgment from linguistic competence while others measuring language performance(Zhu 2011). Above all, it</w:t>
      </w:r>
      <w:r>
        <w:rPr>
          <w:rFonts w:hint="default" w:ascii="Times New Roman" w:hAnsi="Times New Roman" w:cs="Times New Roman"/>
          <w:sz w:val="21"/>
          <w:szCs w:val="21"/>
        </w:rPr>
        <w:t>’</w:t>
      </w:r>
      <w:r>
        <w:rPr>
          <w:rFonts w:hint="default" w:ascii="Times New Roman" w:hAnsi="Times New Roman" w:cs="Times New Roman"/>
          <w:sz w:val="21"/>
          <w:szCs w:val="21"/>
        </w:rPr>
        <w:t>s almost out of human capacity to acquire an all-acknowledged linguistic parameter to be tested in every aspect of language(Zhu 2011), and it</w:t>
      </w:r>
      <w:r>
        <w:rPr>
          <w:rFonts w:hint="default" w:ascii="Times New Roman" w:hAnsi="Times New Roman" w:cs="Times New Roman"/>
          <w:sz w:val="21"/>
          <w:szCs w:val="21"/>
        </w:rPr>
        <w:t>’</w:t>
      </w:r>
      <w:r>
        <w:rPr>
          <w:rFonts w:hint="default" w:ascii="Times New Roman" w:hAnsi="Times New Roman" w:cs="Times New Roman"/>
          <w:sz w:val="21"/>
          <w:szCs w:val="21"/>
        </w:rPr>
        <w:t xml:space="preserve">s even hard for a native-speaker to attain nativelikeness in all linguistic components. </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To further clarify it, how to assess nativelikeness and judging standard</w:t>
      </w:r>
      <w:r>
        <w:rPr>
          <w:rFonts w:hint="default" w:ascii="Times New Roman" w:hAnsi="Times New Roman" w:cs="Times New Roman"/>
          <w:sz w:val="21"/>
          <w:szCs w:val="21"/>
        </w:rPr>
        <w:t>s</w:t>
      </w:r>
      <w:r>
        <w:rPr>
          <w:rFonts w:hint="default" w:ascii="Times New Roman" w:hAnsi="Times New Roman" w:cs="Times New Roman"/>
          <w:sz w:val="21"/>
          <w:szCs w:val="21"/>
        </w:rPr>
        <w:t xml:space="preserve"> have never reached </w:t>
      </w:r>
      <w:r>
        <w:rPr>
          <w:rFonts w:hint="default" w:ascii="Times New Roman" w:hAnsi="Times New Roman" w:cs="Times New Roman"/>
          <w:sz w:val="21"/>
          <w:szCs w:val="21"/>
        </w:rPr>
        <w:t xml:space="preserve">an </w:t>
      </w:r>
      <w:r>
        <w:rPr>
          <w:rFonts w:hint="default" w:ascii="Times New Roman" w:hAnsi="Times New Roman" w:cs="Times New Roman"/>
          <w:sz w:val="21"/>
          <w:szCs w:val="21"/>
        </w:rPr>
        <w:t>agreement. For instance, Gregg and Eubank in 1999 called for the reevaluation of the methods and means to measure learners</w:t>
      </w:r>
      <w:r>
        <w:rPr>
          <w:rFonts w:hint="default" w:ascii="Times New Roman" w:hAnsi="Times New Roman" w:cs="Times New Roman"/>
          <w:sz w:val="21"/>
          <w:szCs w:val="21"/>
        </w:rPr>
        <w:t>’</w:t>
      </w:r>
      <w:r>
        <w:rPr>
          <w:rFonts w:hint="default" w:ascii="Times New Roman" w:hAnsi="Times New Roman" w:cs="Times New Roman"/>
          <w:sz w:val="21"/>
          <w:szCs w:val="21"/>
        </w:rPr>
        <w:t xml:space="preserve"> ultimate language attainment, combining their physiological brain activity with behavioral competence(Schouten 2009). The evidence of physiological activities affecting the desire and achievement of native</w:t>
      </w:r>
      <w:r>
        <w:rPr>
          <w:rFonts w:hint="default" w:ascii="Times New Roman" w:hAnsi="Times New Roman" w:cs="Times New Roman"/>
          <w:sz w:val="21"/>
          <w:szCs w:val="21"/>
        </w:rPr>
        <w:t>-</w:t>
      </w:r>
      <w:r>
        <w:rPr>
          <w:rFonts w:hint="default" w:ascii="Times New Roman" w:hAnsi="Times New Roman" w:cs="Times New Roman"/>
          <w:sz w:val="21"/>
          <w:szCs w:val="21"/>
        </w:rPr>
        <w:t>like pronunciation in L2 was later found by Trofimovich and Magid in 2005(Lightbrown&amp;Spada 2013). It revealed that second language learners with accurate L2 pronunciation were sometimes regarded as less loyal and true to their ethnic identities and communities than those keeping a strong foreign accent, resulting in some SL learners</w:t>
      </w:r>
      <w:r>
        <w:rPr>
          <w:rFonts w:hint="default" w:ascii="Times New Roman" w:hAnsi="Times New Roman" w:cs="Times New Roman"/>
          <w:sz w:val="21"/>
          <w:szCs w:val="21"/>
        </w:rPr>
        <w:t>’</w:t>
      </w:r>
      <w:r>
        <w:rPr>
          <w:rFonts w:hint="default" w:ascii="Times New Roman" w:hAnsi="Times New Roman" w:cs="Times New Roman"/>
          <w:sz w:val="21"/>
          <w:szCs w:val="21"/>
        </w:rPr>
        <w:t xml:space="preserve"> reluctance to acquire a standard accent(Lightbrown&amp;Spada 2013); Birdsong even attributed the criticism on CPH to the arbitrariness of standards(Schouten 2009); some researchers such as Abrahamsson and Hyltenstam(2009) scrutinized subjects</w:t>
      </w:r>
      <w:r>
        <w:rPr>
          <w:rFonts w:hint="default" w:ascii="Times New Roman" w:hAnsi="Times New Roman" w:cs="Times New Roman"/>
          <w:sz w:val="21"/>
          <w:szCs w:val="21"/>
        </w:rPr>
        <w:t>’</w:t>
      </w:r>
      <w:r>
        <w:rPr>
          <w:rFonts w:hint="default" w:ascii="Times New Roman" w:hAnsi="Times New Roman" w:cs="Times New Roman"/>
          <w:sz w:val="21"/>
          <w:szCs w:val="21"/>
        </w:rPr>
        <w:t xml:space="preserve"> performance under the criterion of nativelikeness in almost all linguistic features among late acquirers and concluded that nativelikeness </w:t>
      </w:r>
      <w:r>
        <w:rPr>
          <w:rFonts w:hint="default" w:ascii="Times New Roman" w:hAnsi="Times New Roman" w:cs="Times New Roman"/>
          <w:sz w:val="21"/>
          <w:szCs w:val="21"/>
        </w:rPr>
        <w:t>wa</w:t>
      </w:r>
      <w:r>
        <w:rPr>
          <w:rFonts w:hint="default" w:ascii="Times New Roman" w:hAnsi="Times New Roman" w:cs="Times New Roman"/>
          <w:sz w:val="21"/>
          <w:szCs w:val="21"/>
        </w:rPr>
        <w:t>s unattainable among adult language learners and not common in children either; That was in line with Birdsong</w:t>
      </w:r>
      <w:r>
        <w:rPr>
          <w:rFonts w:hint="default" w:ascii="Times New Roman" w:hAnsi="Times New Roman" w:cs="Times New Roman"/>
          <w:sz w:val="21"/>
          <w:szCs w:val="21"/>
        </w:rPr>
        <w:t>’</w:t>
      </w:r>
      <w:r>
        <w:rPr>
          <w:rFonts w:hint="default" w:ascii="Times New Roman" w:hAnsi="Times New Roman" w:cs="Times New Roman"/>
          <w:sz w:val="21"/>
          <w:szCs w:val="21"/>
        </w:rPr>
        <w:t>s standpoint(2018) that the effects of bilingualism supported that regardless of the age of acquisit</w:t>
      </w:r>
      <w:r>
        <w:rPr>
          <w:rFonts w:hint="default" w:ascii="Times New Roman" w:hAnsi="Times New Roman" w:cs="Times New Roman"/>
          <w:sz w:val="21"/>
          <w:szCs w:val="21"/>
        </w:rPr>
        <w:t>i</w:t>
      </w:r>
      <w:r>
        <w:rPr>
          <w:rFonts w:hint="default" w:ascii="Times New Roman" w:hAnsi="Times New Roman" w:cs="Times New Roman"/>
          <w:sz w:val="21"/>
          <w:szCs w:val="21"/>
        </w:rPr>
        <w:t>on, neither the acquirers</w:t>
      </w:r>
      <w:r>
        <w:rPr>
          <w:rFonts w:hint="default" w:ascii="Times New Roman" w:hAnsi="Times New Roman" w:cs="Times New Roman"/>
          <w:sz w:val="21"/>
          <w:szCs w:val="21"/>
        </w:rPr>
        <w:t>’</w:t>
      </w:r>
      <w:r>
        <w:rPr>
          <w:rFonts w:hint="default" w:ascii="Times New Roman" w:hAnsi="Times New Roman" w:cs="Times New Roman"/>
          <w:sz w:val="21"/>
          <w:szCs w:val="21"/>
        </w:rPr>
        <w:t xml:space="preserve"> L2 nor L1could be completely like that of a monolingual; Grosjean believed there</w:t>
      </w:r>
      <w:r>
        <w:rPr>
          <w:rFonts w:hint="default" w:ascii="Times New Roman" w:hAnsi="Times New Roman" w:cs="Times New Roman"/>
          <w:sz w:val="21"/>
          <w:szCs w:val="21"/>
        </w:rPr>
        <w:t>’</w:t>
      </w:r>
      <w:r>
        <w:rPr>
          <w:rFonts w:hint="default" w:ascii="Times New Roman" w:hAnsi="Times New Roman" w:cs="Times New Roman"/>
          <w:sz w:val="21"/>
          <w:szCs w:val="21"/>
        </w:rPr>
        <w:t xml:space="preserve">s no need to require the L2 proficiency of bilinguals </w:t>
      </w:r>
      <w:r>
        <w:rPr>
          <w:rFonts w:hint="default" w:ascii="Times New Roman" w:hAnsi="Times New Roman" w:cs="Times New Roman"/>
          <w:sz w:val="21"/>
          <w:szCs w:val="21"/>
        </w:rPr>
        <w:t xml:space="preserve">to </w:t>
      </w:r>
      <w:r>
        <w:rPr>
          <w:rFonts w:hint="default" w:ascii="Times New Roman" w:hAnsi="Times New Roman" w:cs="Times New Roman"/>
          <w:sz w:val="21"/>
          <w:szCs w:val="21"/>
        </w:rPr>
        <w:t xml:space="preserve">reach the same as that of monolinguals(Singleton 2018). Similar perspectives were taken by Cook (2002), stating that </w:t>
      </w:r>
      <w:r>
        <w:rPr>
          <w:rFonts w:hint="default" w:ascii="Times New Roman" w:hAnsi="Times New Roman" w:cs="Times New Roman"/>
          <w:sz w:val="21"/>
          <w:szCs w:val="21"/>
        </w:rPr>
        <w:t>“</w:t>
      </w:r>
      <w:r>
        <w:rPr>
          <w:rFonts w:hint="default" w:ascii="Times New Roman" w:hAnsi="Times New Roman" w:cs="Times New Roman"/>
          <w:i/>
          <w:iCs/>
          <w:sz w:val="21"/>
          <w:szCs w:val="21"/>
        </w:rPr>
        <w:t>ultimate attainment is not a standard for L2 for bilinguals but monolinguals</w:t>
      </w:r>
      <w:r>
        <w:rPr>
          <w:rFonts w:hint="default" w:ascii="Times New Roman" w:hAnsi="Times New Roman" w:cs="Times New Roman"/>
          <w:sz w:val="21"/>
          <w:szCs w:val="21"/>
        </w:rPr>
        <w:t>.</w:t>
      </w:r>
      <w:r>
        <w:rPr>
          <w:rFonts w:hint="default" w:ascii="Times New Roman" w:hAnsi="Times New Roman" w:cs="Times New Roman"/>
          <w:sz w:val="21"/>
          <w:szCs w:val="21"/>
        </w:rPr>
        <w:t>”</w:t>
      </w:r>
      <w:r>
        <w:rPr>
          <w:rFonts w:hint="default" w:ascii="Times New Roman" w:hAnsi="Times New Roman" w:cs="Times New Roman"/>
          <w:sz w:val="21"/>
          <w:szCs w:val="21"/>
        </w:rPr>
        <w:t xml:space="preserve"> And then Davies remarked on the difficulty of how to define actual nativeness(Munoz&amp;Singleton 2011). Furthermore, Thompson pointed out the results from pronunciation assessment were actually susceptible to the test nature as well as the rating judges, which was consistent with Flege</w:t>
      </w:r>
      <w:r>
        <w:rPr>
          <w:rFonts w:hint="default" w:ascii="Times New Roman" w:hAnsi="Times New Roman" w:cs="Times New Roman"/>
          <w:sz w:val="21"/>
          <w:szCs w:val="21"/>
        </w:rPr>
        <w:t>’</w:t>
      </w:r>
      <w:r>
        <w:rPr>
          <w:rFonts w:hint="default" w:ascii="Times New Roman" w:hAnsi="Times New Roman" w:cs="Times New Roman"/>
          <w:sz w:val="21"/>
          <w:szCs w:val="21"/>
        </w:rPr>
        <w:t>s thought that some variables influenced the rating judgment of nativelikeness in speech</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Hinkel </w:t>
      </w:r>
      <w:r>
        <w:rPr>
          <w:rFonts w:hint="default" w:ascii="Times New Roman" w:hAnsi="Times New Roman" w:eastAsia="宋体" w:cs="Times New Roman"/>
          <w:color w:val="000000"/>
          <w:kern w:val="0"/>
          <w:sz w:val="21"/>
          <w:szCs w:val="21"/>
          <w:lang w:bidi="ar"/>
        </w:rPr>
        <w:t>2005)</w:t>
      </w:r>
      <w:r>
        <w:rPr>
          <w:rFonts w:hint="default" w:ascii="Times New Roman" w:hAnsi="Times New Roman" w:cs="Times New Roman"/>
          <w:sz w:val="21"/>
          <w:szCs w:val="21"/>
        </w:rPr>
        <w:t xml:space="preserve">. That ushered the discussion into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next part.</w:t>
      </w:r>
    </w:p>
    <w:p>
      <w:pPr>
        <w:rPr>
          <w:rFonts w:hint="default" w:ascii="Times New Roman" w:hAnsi="Times New Roman" w:cs="Times New Roman"/>
          <w:sz w:val="21"/>
          <w:szCs w:val="21"/>
          <w:highlight w:val="yellow"/>
        </w:rPr>
      </w:pPr>
      <w:r>
        <w:rPr>
          <w:rFonts w:hint="default" w:ascii="Times New Roman" w:hAnsi="Times New Roman" w:cs="Times New Roman"/>
          <w:b/>
          <w:bCs/>
          <w:sz w:val="21"/>
          <w:szCs w:val="21"/>
        </w:rPr>
        <w:t xml:space="preserve">3.4 </w:t>
      </w:r>
      <w:r>
        <w:rPr>
          <w:rFonts w:hint="default" w:ascii="Times New Roman" w:hAnsi="Times New Roman" w:cs="Times New Roman"/>
          <w:b/>
          <w:bCs/>
          <w:sz w:val="21"/>
          <w:szCs w:val="21"/>
        </w:rPr>
        <w:t>Other</w:t>
      </w:r>
      <w:r>
        <w:rPr>
          <w:rFonts w:hint="default" w:ascii="Times New Roman" w:hAnsi="Times New Roman" w:cs="Times New Roman"/>
          <w:b/>
          <w:bCs/>
          <w:sz w:val="21"/>
          <w:szCs w:val="21"/>
        </w:rPr>
        <w:t xml:space="preserve"> f</w:t>
      </w:r>
      <w:r>
        <w:rPr>
          <w:rFonts w:hint="default" w:ascii="Times New Roman" w:hAnsi="Times New Roman" w:cs="Times New Roman"/>
          <w:b/>
          <w:bCs/>
          <w:sz w:val="21"/>
          <w:szCs w:val="21"/>
        </w:rPr>
        <w:t>actors</w:t>
      </w:r>
    </w:p>
    <w:p>
      <w:pPr>
        <w:rPr>
          <w:rFonts w:hint="default" w:ascii="Times New Roman" w:hAnsi="Times New Roman" w:cs="Times New Roman"/>
          <w:sz w:val="21"/>
          <w:szCs w:val="21"/>
        </w:rPr>
      </w:pPr>
      <w:r>
        <w:rPr>
          <w:rFonts w:hint="default" w:ascii="Times New Roman" w:hAnsi="Times New Roman" w:cs="Times New Roman"/>
          <w:sz w:val="21"/>
          <w:szCs w:val="21"/>
        </w:rPr>
        <w:t xml:space="preserve">     A</w:t>
      </w:r>
      <w:r>
        <w:rPr>
          <w:rFonts w:hint="default" w:ascii="Times New Roman" w:hAnsi="Times New Roman" w:cs="Times New Roman"/>
          <w:sz w:val="21"/>
          <w:szCs w:val="21"/>
        </w:rPr>
        <w:t>s mentioned above by many critics</w:t>
      </w:r>
      <w:r>
        <w:rPr>
          <w:rFonts w:hint="default" w:ascii="Times New Roman" w:hAnsi="Times New Roman" w:cs="Times New Roman"/>
          <w:sz w:val="21"/>
          <w:szCs w:val="21"/>
        </w:rPr>
        <w:t>, other factors rather than biological fact (age) were strongly recommended to include for different SLA outcomes.</w:t>
      </w:r>
    </w:p>
    <w:p>
      <w:pPr>
        <w:rPr>
          <w:rFonts w:hint="default" w:ascii="Times New Roman" w:hAnsi="Times New Roman" w:cs="Times New Roman"/>
          <w:sz w:val="21"/>
          <w:szCs w:val="21"/>
        </w:rPr>
      </w:pPr>
      <w:r>
        <w:rPr>
          <w:rFonts w:hint="default" w:ascii="Times New Roman" w:hAnsi="Times New Roman" w:cs="Times New Roman"/>
          <w:sz w:val="21"/>
          <w:szCs w:val="21"/>
        </w:rPr>
        <w:t xml:space="preserve">     First, the influence of L1 could greatly facilitate or impede L2 learning in many aspects. Some studies suggested the similarities between L1 and L2 could promote L2 acquisition, such as two studies from Bialystok in 1997 unfolded that structural correspondence between two languages could predict the success of SLA</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Hinkel </w:t>
      </w:r>
      <w:r>
        <w:rPr>
          <w:rFonts w:hint="default" w:ascii="Times New Roman" w:hAnsi="Times New Roman" w:eastAsia="宋体" w:cs="Times New Roman"/>
          <w:color w:val="000000"/>
          <w:kern w:val="0"/>
          <w:sz w:val="21"/>
          <w:szCs w:val="21"/>
          <w:lang w:bidi="ar"/>
        </w:rPr>
        <w:t>2005)</w:t>
      </w:r>
      <w:r>
        <w:rPr>
          <w:rFonts w:hint="default" w:ascii="Times New Roman" w:hAnsi="Times New Roman" w:cs="Times New Roman"/>
          <w:sz w:val="21"/>
          <w:szCs w:val="21"/>
        </w:rPr>
        <w:t>, whereas similar structures were also proved to undermine L2 acquisition among German children learning English by Wode in 1978</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bidi="ar"/>
        </w:rPr>
        <w:t xml:space="preserve">Hinkel </w:t>
      </w:r>
      <w:r>
        <w:rPr>
          <w:rFonts w:hint="default" w:ascii="Times New Roman" w:hAnsi="Times New Roman" w:eastAsia="宋体" w:cs="Times New Roman"/>
          <w:color w:val="000000"/>
          <w:kern w:val="0"/>
          <w:sz w:val="21"/>
          <w:szCs w:val="21"/>
          <w:lang w:bidi="ar"/>
        </w:rPr>
        <w:t>2005)</w:t>
      </w:r>
      <w:r>
        <w:rPr>
          <w:rFonts w:hint="default" w:ascii="Times New Roman" w:hAnsi="Times New Roman" w:cs="Times New Roman"/>
          <w:sz w:val="21"/>
          <w:szCs w:val="21"/>
        </w:rPr>
        <w:t>. At the same time, some insisted that the differences between L1 and L2 mainly mounted load on SLA. For example, some learners would even reject the attempt to make the utmost effort of SLA as they see L2 far too different or and distant from L1, indicated by Hakan Ringbom</w:t>
      </w:r>
      <w:r>
        <w:rPr>
          <w:rFonts w:hint="default" w:ascii="Times New Roman" w:hAnsi="Times New Roman" w:cs="Times New Roman"/>
          <w:sz w:val="21"/>
          <w:szCs w:val="21"/>
        </w:rPr>
        <w:t>’</w:t>
      </w:r>
      <w:r>
        <w:rPr>
          <w:rFonts w:hint="default" w:ascii="Times New Roman" w:hAnsi="Times New Roman" w:cs="Times New Roman"/>
          <w:sz w:val="21"/>
          <w:szCs w:val="21"/>
        </w:rPr>
        <w:t>s experiment(Lightbown&amp; Spada 2013). The distance between L1 and L2 affects not only phonology but also other linguistic aspects. The Bongaerts</w:t>
      </w:r>
      <w:r>
        <w:rPr>
          <w:rFonts w:hint="default" w:ascii="Times New Roman" w:hAnsi="Times New Roman" w:cs="Times New Roman"/>
          <w:sz w:val="21"/>
          <w:szCs w:val="21"/>
        </w:rPr>
        <w:t>’</w:t>
      </w:r>
      <w:r>
        <w:rPr>
          <w:rFonts w:hint="default" w:ascii="Times New Roman" w:hAnsi="Times New Roman" w:cs="Times New Roman"/>
          <w:sz w:val="21"/>
          <w:szCs w:val="21"/>
        </w:rPr>
        <w:t xml:space="preserve"> phonological study demonstrated the difference between L1 and L2 could increase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learning difficulty of L2 pronunciation, whereas Collins</w:t>
      </w:r>
      <w:r>
        <w:rPr>
          <w:rFonts w:hint="default" w:ascii="Times New Roman" w:hAnsi="Times New Roman" w:cs="Times New Roman"/>
          <w:sz w:val="21"/>
          <w:szCs w:val="21"/>
        </w:rPr>
        <w:t>’</w:t>
      </w:r>
      <w:r>
        <w:rPr>
          <w:rFonts w:hint="default" w:ascii="Times New Roman" w:hAnsi="Times New Roman" w:cs="Times New Roman"/>
          <w:sz w:val="21"/>
          <w:szCs w:val="21"/>
        </w:rPr>
        <w:t>(2002) English verb investigation among French speakers showed that L1 influence t</w:t>
      </w:r>
      <w:r>
        <w:rPr>
          <w:rFonts w:hint="default" w:ascii="Times New Roman" w:hAnsi="Times New Roman" w:cs="Times New Roman"/>
          <w:sz w:val="21"/>
          <w:szCs w:val="21"/>
        </w:rPr>
        <w:t>ook</w:t>
      </w:r>
      <w:r>
        <w:rPr>
          <w:rFonts w:hint="default" w:ascii="Times New Roman" w:hAnsi="Times New Roman" w:cs="Times New Roman"/>
          <w:sz w:val="21"/>
          <w:szCs w:val="21"/>
        </w:rPr>
        <w:t xml:space="preserve"> place in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 xml:space="preserve">lexical area(Lightbown&amp; Spada 2013).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L1 influence could also be found in the error-making and interlanguage. For instance, Chinese speakers usually forget the plural s/es of a noun and verb inflections where they are speaking English because there is no noun plural or verb inflection in L1. Similar traces were disclosed by Richards</w:t>
      </w:r>
      <w:r>
        <w:rPr>
          <w:rFonts w:hint="default" w:ascii="Times New Roman" w:hAnsi="Times New Roman" w:cs="Times New Roman"/>
          <w:sz w:val="21"/>
          <w:szCs w:val="21"/>
        </w:rPr>
        <w:t>’</w:t>
      </w:r>
      <w:r>
        <w:rPr>
          <w:rFonts w:hint="default" w:ascii="Times New Roman" w:hAnsi="Times New Roman" w:cs="Times New Roman"/>
          <w:sz w:val="21"/>
          <w:szCs w:val="21"/>
        </w:rPr>
        <w:t xml:space="preserve"> study(Krashen 1981). Similarities of interlanguage and L1 could be easily detected in L2 learners, too. </w:t>
      </w:r>
      <w:r>
        <w:rPr>
          <w:rFonts w:hint="default" w:ascii="Times New Roman" w:hAnsi="Times New Roman" w:cs="Times New Roman"/>
          <w:sz w:val="21"/>
          <w:szCs w:val="21"/>
        </w:rPr>
        <w:t>Besides</w:t>
      </w:r>
      <w:r>
        <w:rPr>
          <w:rFonts w:hint="default" w:ascii="Times New Roman" w:hAnsi="Times New Roman" w:cs="Times New Roman"/>
          <w:sz w:val="21"/>
          <w:szCs w:val="21"/>
        </w:rPr>
        <w:t>, other aspects of L1 could also modulate the level of L2 attainment, such as how much L1 is activated, what kind of entrenchment L1 sets up, the language dominance between L1 and L2 and attrition of L1, presented by Birdsong(2018). Therefore, compared with the length of L1 exposure between children and adults, it makes sense that adults</w:t>
      </w:r>
      <w:r>
        <w:rPr>
          <w:rFonts w:hint="default" w:ascii="Times New Roman" w:hAnsi="Times New Roman" w:cs="Times New Roman"/>
          <w:sz w:val="21"/>
          <w:szCs w:val="21"/>
        </w:rPr>
        <w:t>’</w:t>
      </w:r>
      <w:r>
        <w:rPr>
          <w:rFonts w:hint="default" w:ascii="Times New Roman" w:hAnsi="Times New Roman" w:cs="Times New Roman"/>
          <w:sz w:val="21"/>
          <w:szCs w:val="21"/>
        </w:rPr>
        <w:t xml:space="preserve"> L2 performance might be more deeply affected by L1. </w:t>
      </w:r>
    </w:p>
    <w:p>
      <w:pPr>
        <w:ind w:firstLine="420" w:firstLineChars="200"/>
        <w:rPr>
          <w:rFonts w:hint="default" w:ascii="Times New Roman" w:hAnsi="Times New Roman" w:cs="Times New Roman"/>
          <w:sz w:val="21"/>
          <w:szCs w:val="21"/>
          <w:highlight w:val="yellow"/>
        </w:rPr>
      </w:pPr>
      <w:r>
        <w:rPr>
          <w:rFonts w:hint="default" w:ascii="Times New Roman" w:hAnsi="Times New Roman" w:cs="Times New Roman"/>
          <w:sz w:val="21"/>
          <w:szCs w:val="21"/>
        </w:rPr>
        <w:t xml:space="preserve">Second, the quantity and quality of L2 input might also be indicators of language performance. Most early studies of CPH were conducted in </w:t>
      </w:r>
      <w:r>
        <w:rPr>
          <w:rFonts w:hint="default" w:ascii="Times New Roman" w:hAnsi="Times New Roman" w:cs="Times New Roman"/>
          <w:sz w:val="21"/>
          <w:szCs w:val="21"/>
        </w:rPr>
        <w:t xml:space="preserve">a </w:t>
      </w:r>
      <w:r>
        <w:rPr>
          <w:rFonts w:hint="default" w:ascii="Times New Roman" w:hAnsi="Times New Roman" w:cs="Times New Roman"/>
          <w:sz w:val="21"/>
          <w:szCs w:val="21"/>
        </w:rPr>
        <w:t>limitless amount of L2 settings, called natural settings by many researchers(Munoz 2010), and subjects were immigrants who had frequent contact with native L2 speakers and easily</w:t>
      </w:r>
      <w:r>
        <w:rPr>
          <w:rFonts w:hint="default" w:ascii="Times New Roman" w:hAnsi="Times New Roman" w:cs="Times New Roman"/>
          <w:sz w:val="21"/>
          <w:szCs w:val="21"/>
        </w:rPr>
        <w:t xml:space="preserve"> </w:t>
      </w:r>
      <w:r>
        <w:rPr>
          <w:rFonts w:hint="default" w:ascii="Times New Roman" w:hAnsi="Times New Roman" w:cs="Times New Roman"/>
          <w:sz w:val="21"/>
          <w:szCs w:val="21"/>
        </w:rPr>
        <w:t>accessed L2 resources, thus the L2 quantity was more sufficient and quality was way higher than that of formal classroom or any instructed learning with exposure of only a few hours a day or week to language instruction by native or non-native teachers or even AI instructors, not to mention substantial opportunities of immigrants to utilize and practice L2. To make it further, the quality of L2 input does not simply mean input of native knowledge and information, but comprehensive input in a situation with low anxiety, which is considered necessary and crucial to language acquisition by Krashen (1981). That kind of comprehensive input cannot be guaranteed in many SLA classroom settings with no immigrant background. Hence, CPH should take social-affective factors into consideration.</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 xml:space="preserve">Thirdly, a close examination of learning conditions of adult and children learners in and outside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classroom would shed some light on their differences in performance.</w:t>
      </w:r>
      <w:r>
        <w:rPr>
          <w:rFonts w:hint="default" w:ascii="Times New Roman" w:hAnsi="Times New Roman" w:cs="Times New Roman"/>
          <w:sz w:val="21"/>
          <w:szCs w:val="21"/>
        </w:rPr>
        <w:t xml:space="preserve"> The unbalanced allocation and utilization of resources between the old and the young somehow might contribute to the first difference in learning conditions, as educational resources in most places are prioritized and allocated to children in schools. Meanwhile, the different study results though with replicated methods might also be explained in terms of the discrepancy in learning conditions between immigrants with well-nurtured language environments in developed countries and subjects in developing countries. </w:t>
      </w:r>
      <w:r>
        <w:rPr>
          <w:rFonts w:hint="default" w:ascii="Times New Roman" w:hAnsi="Times New Roman" w:cs="Times New Roman"/>
          <w:sz w:val="21"/>
          <w:szCs w:val="21"/>
        </w:rPr>
        <w:t>T</w:t>
      </w:r>
      <w:r>
        <w:rPr>
          <w:rFonts w:hint="default" w:ascii="Times New Roman" w:hAnsi="Times New Roman" w:cs="Times New Roman"/>
          <w:sz w:val="21"/>
          <w:szCs w:val="21"/>
        </w:rPr>
        <w:t>hus, Cook(2008) asserted that given the same learning conditions and methods, adults tended to do better.</w:t>
      </w:r>
      <w:r>
        <w:rPr>
          <w:rFonts w:hint="default" w:ascii="Times New Roman" w:hAnsi="Times New Roman" w:cs="Times New Roman"/>
          <w:sz w:val="21"/>
          <w:szCs w:val="21"/>
        </w:rPr>
        <w:t xml:space="preserve"> In terms of time and energy commitment, children learners could indulge themselves in many hours of L2 classroom learning, peer playing or animation; whereas adults are loaded with work, family and even some social obligations, engaging themselves only in very limited language situations and opportunities. From the aspect of pressure, less pressure but more parental support, tolerance and approval </w:t>
      </w:r>
      <w:r>
        <w:rPr>
          <w:rFonts w:hint="default" w:ascii="Times New Roman" w:hAnsi="Times New Roman" w:cs="Times New Roman"/>
          <w:sz w:val="21"/>
          <w:szCs w:val="21"/>
        </w:rPr>
        <w:t xml:space="preserve">as well as peer cooperation </w:t>
      </w:r>
      <w:r>
        <w:rPr>
          <w:rFonts w:hint="default" w:ascii="Times New Roman" w:hAnsi="Times New Roman" w:cs="Times New Roman"/>
          <w:sz w:val="21"/>
          <w:szCs w:val="21"/>
        </w:rPr>
        <w:t>to some degree mold children into a more open, positive, receptive and adventurous attitude to SLA; yet adults are more likely to face more scrutiny, less tolerance and help from outside, resulting in more stress, anxiety, conservation</w:t>
      </w:r>
      <w:r>
        <w:rPr>
          <w:rFonts w:hint="default" w:ascii="Times New Roman" w:hAnsi="Times New Roman" w:cs="Times New Roman"/>
          <w:sz w:val="21"/>
          <w:szCs w:val="21"/>
        </w:rPr>
        <w:t>, loneliness</w:t>
      </w:r>
      <w:r>
        <w:rPr>
          <w:rFonts w:hint="default" w:ascii="Times New Roman" w:hAnsi="Times New Roman" w:cs="Times New Roman"/>
          <w:sz w:val="21"/>
          <w:szCs w:val="21"/>
        </w:rPr>
        <w:t xml:space="preserve"> and even silence in SLA. And that is the part of psychological difference kindled by social factors.</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Among all the psychological factors, motivation is on top of the debate list. Motivating children with varied interesting teaching arrangement</w:t>
      </w:r>
      <w:r>
        <w:rPr>
          <w:rFonts w:hint="default" w:ascii="Times New Roman" w:hAnsi="Times New Roman" w:cs="Times New Roman"/>
          <w:sz w:val="21"/>
          <w:szCs w:val="21"/>
        </w:rPr>
        <w:t>s</w:t>
      </w:r>
      <w:r>
        <w:rPr>
          <w:rFonts w:hint="default" w:ascii="Times New Roman" w:hAnsi="Times New Roman" w:cs="Times New Roman"/>
          <w:sz w:val="21"/>
          <w:szCs w:val="21"/>
        </w:rPr>
        <w:t xml:space="preserve"> and activities seems easier than that of older learners(Ur 2012), who might already have certain learning preferences or belief</w:t>
      </w:r>
      <w:r>
        <w:rPr>
          <w:rFonts w:hint="default" w:ascii="Times New Roman" w:hAnsi="Times New Roman" w:cs="Times New Roman"/>
          <w:sz w:val="21"/>
          <w:szCs w:val="21"/>
        </w:rPr>
        <w:t>s</w:t>
      </w:r>
      <w:r>
        <w:rPr>
          <w:rFonts w:hint="default" w:ascii="Times New Roman" w:hAnsi="Times New Roman" w:cs="Times New Roman"/>
          <w:sz w:val="21"/>
          <w:szCs w:val="21"/>
        </w:rPr>
        <w:t>. But maintaining their motivation has been constantly a headache for many instructors as children</w:t>
      </w:r>
      <w:r>
        <w:rPr>
          <w:rFonts w:hint="default" w:ascii="Times New Roman" w:hAnsi="Times New Roman" w:cs="Times New Roman"/>
          <w:sz w:val="21"/>
          <w:szCs w:val="21"/>
        </w:rPr>
        <w:t>’</w:t>
      </w:r>
      <w:r>
        <w:rPr>
          <w:rFonts w:hint="default" w:ascii="Times New Roman" w:hAnsi="Times New Roman" w:cs="Times New Roman"/>
          <w:sz w:val="21"/>
          <w:szCs w:val="21"/>
        </w:rPr>
        <w:t xml:space="preserve">s motivation </w:t>
      </w:r>
      <w:r>
        <w:rPr>
          <w:rFonts w:hint="default" w:ascii="Times New Roman" w:hAnsi="Times New Roman" w:cs="Times New Roman"/>
          <w:sz w:val="21"/>
          <w:szCs w:val="21"/>
        </w:rPr>
        <w:t xml:space="preserve">is </w:t>
      </w:r>
      <w:r>
        <w:rPr>
          <w:rFonts w:hint="default" w:ascii="Times New Roman" w:hAnsi="Times New Roman" w:cs="Times New Roman"/>
          <w:sz w:val="21"/>
          <w:szCs w:val="21"/>
        </w:rPr>
        <w:t xml:space="preserve">prone to vary and more subjective to exterior influences. Though </w:t>
      </w:r>
      <w:r>
        <w:rPr>
          <w:rFonts w:hint="default" w:ascii="Times New Roman" w:hAnsi="Times New Roman" w:cs="Times New Roman"/>
          <w:sz w:val="21"/>
          <w:szCs w:val="21"/>
        </w:rPr>
        <w:t>s</w:t>
      </w:r>
      <w:r>
        <w:rPr>
          <w:rFonts w:hint="default" w:ascii="Times New Roman" w:hAnsi="Times New Roman" w:cs="Times New Roman"/>
          <w:sz w:val="21"/>
          <w:szCs w:val="21"/>
        </w:rPr>
        <w:t xml:space="preserve">ome researchers accredited </w:t>
      </w:r>
      <w:r>
        <w:rPr>
          <w:rFonts w:hint="default" w:ascii="Times New Roman" w:hAnsi="Times New Roman" w:cs="Times New Roman"/>
          <w:sz w:val="21"/>
          <w:szCs w:val="21"/>
        </w:rPr>
        <w:t xml:space="preserve">“the </w:t>
      </w:r>
      <w:r>
        <w:rPr>
          <w:rFonts w:hint="default" w:ascii="Times New Roman" w:hAnsi="Times New Roman" w:cs="Times New Roman"/>
          <w:i/>
          <w:iCs/>
          <w:sz w:val="21"/>
          <w:szCs w:val="21"/>
        </w:rPr>
        <w:t>main advantage of learning FL early to children</w:t>
      </w:r>
      <w:r>
        <w:rPr>
          <w:rFonts w:hint="default" w:ascii="Times New Roman" w:hAnsi="Times New Roman" w:cs="Times New Roman"/>
          <w:i/>
          <w:iCs/>
          <w:sz w:val="21"/>
          <w:szCs w:val="21"/>
        </w:rPr>
        <w:t>’</w:t>
      </w:r>
      <w:r>
        <w:rPr>
          <w:rFonts w:hint="default" w:ascii="Times New Roman" w:hAnsi="Times New Roman" w:cs="Times New Roman"/>
          <w:i/>
          <w:iCs/>
          <w:sz w:val="21"/>
          <w:szCs w:val="21"/>
        </w:rPr>
        <w:t>s positive attitude and motivatio</w:t>
      </w:r>
      <w:r>
        <w:rPr>
          <w:rFonts w:hint="default" w:ascii="Times New Roman" w:hAnsi="Times New Roman" w:cs="Times New Roman"/>
          <w:sz w:val="21"/>
          <w:szCs w:val="21"/>
        </w:rPr>
        <w:t>n</w:t>
      </w:r>
      <w:r>
        <w:rPr>
          <w:rFonts w:hint="default" w:ascii="Times New Roman" w:hAnsi="Times New Roman" w:cs="Times New Roman"/>
          <w:sz w:val="21"/>
          <w:szCs w:val="21"/>
        </w:rPr>
        <w:t>”</w:t>
      </w:r>
      <w:r>
        <w:rPr>
          <w:rFonts w:hint="default" w:ascii="Times New Roman" w:hAnsi="Times New Roman" w:cs="Times New Roman"/>
          <w:sz w:val="21"/>
          <w:szCs w:val="21"/>
        </w:rPr>
        <w:t>(Pfenninger&amp;Singleton 2016), the study from Pfenninger and Singleton(2016) illuminated that children didn</w:t>
      </w:r>
      <w:r>
        <w:rPr>
          <w:rFonts w:hint="default" w:ascii="Times New Roman" w:hAnsi="Times New Roman" w:cs="Times New Roman"/>
          <w:sz w:val="21"/>
          <w:szCs w:val="21"/>
        </w:rPr>
        <w:t>’</w:t>
      </w:r>
      <w:r>
        <w:rPr>
          <w:rFonts w:hint="default" w:ascii="Times New Roman" w:hAnsi="Times New Roman" w:cs="Times New Roman"/>
          <w:sz w:val="21"/>
          <w:szCs w:val="21"/>
        </w:rPr>
        <w:t xml:space="preserve">t have </w:t>
      </w:r>
      <w:r>
        <w:rPr>
          <w:rFonts w:hint="default" w:ascii="Times New Roman" w:hAnsi="Times New Roman" w:cs="Times New Roman"/>
          <w:sz w:val="21"/>
          <w:szCs w:val="21"/>
        </w:rPr>
        <w:t xml:space="preserve">an </w:t>
      </w:r>
      <w:r>
        <w:rPr>
          <w:rFonts w:hint="default" w:ascii="Times New Roman" w:hAnsi="Times New Roman" w:cs="Times New Roman"/>
          <w:sz w:val="21"/>
          <w:szCs w:val="21"/>
        </w:rPr>
        <w:t>advantage on motivation and age was not necessar</w:t>
      </w:r>
      <w:r>
        <w:rPr>
          <w:rFonts w:hint="default" w:ascii="Times New Roman" w:hAnsi="Times New Roman" w:cs="Times New Roman"/>
          <w:sz w:val="21"/>
          <w:szCs w:val="21"/>
        </w:rPr>
        <w:t>il</w:t>
      </w:r>
      <w:r>
        <w:rPr>
          <w:rFonts w:hint="default" w:ascii="Times New Roman" w:hAnsi="Times New Roman" w:cs="Times New Roman"/>
          <w:sz w:val="21"/>
          <w:szCs w:val="21"/>
        </w:rPr>
        <w:t xml:space="preserve">y connected with positive attitudes. Rather, older learners have more stable and focused motivation. That to some extent explains the possibility of superior language attainment by adults. </w:t>
      </w:r>
    </w:p>
    <w:p>
      <w:pPr>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 xml:space="preserve">Putting aside the psychological ingredients, the impact of cognitive factors on age should not be neglected, either, which will be discussed in the following part. </w:t>
      </w:r>
    </w:p>
    <w:p>
      <w:pPr>
        <w:numPr>
          <w:ilvl w:val="0"/>
          <w:numId w:val="1"/>
        </w:numPr>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Similarities and differences between young and older learners </w:t>
      </w:r>
    </w:p>
    <w:p>
      <w:pPr>
        <w:ind w:firstLine="408"/>
        <w:rPr>
          <w:rFonts w:hint="default" w:ascii="Times New Roman" w:hAnsi="Times New Roman" w:cs="Times New Roman"/>
          <w:sz w:val="21"/>
          <w:szCs w:val="21"/>
        </w:rPr>
      </w:pPr>
      <w:r>
        <w:rPr>
          <w:rFonts w:hint="default" w:ascii="Times New Roman" w:hAnsi="Times New Roman" w:cs="Times New Roman"/>
          <w:sz w:val="21"/>
          <w:szCs w:val="21"/>
        </w:rPr>
        <w:t>A</w:t>
      </w:r>
      <w:r>
        <w:rPr>
          <w:rFonts w:hint="default" w:ascii="Times New Roman" w:hAnsi="Times New Roman" w:cs="Times New Roman"/>
          <w:sz w:val="21"/>
          <w:szCs w:val="21"/>
          <w:highlight w:val="none"/>
        </w:rPr>
        <w:t>s Vivian Cook(2008)</w:t>
      </w:r>
      <w:r>
        <w:rPr>
          <w:rFonts w:hint="default"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rPr>
        <w:t xml:space="preserve">mentioned, cognitive, physical, linguistic or social factors jointly might explain the difference in learning outcome. </w:t>
      </w:r>
    </w:p>
    <w:p>
      <w:pPr>
        <w:ind w:firstLine="408"/>
        <w:rPr>
          <w:rFonts w:hint="default" w:ascii="Times New Roman" w:hAnsi="Times New Roman" w:cs="Times New Roman"/>
          <w:sz w:val="21"/>
          <w:szCs w:val="21"/>
        </w:rPr>
      </w:pPr>
      <w:r>
        <w:rPr>
          <w:rFonts w:hint="default" w:ascii="Times New Roman" w:hAnsi="Times New Roman" w:cs="Times New Roman"/>
          <w:sz w:val="21"/>
          <w:szCs w:val="21"/>
        </w:rPr>
        <w:t>On the one hand, the learning differences between the young and old basically source from their different degree of cognitive development. Older ones</w:t>
      </w:r>
      <w:r>
        <w:rPr>
          <w:rFonts w:hint="default" w:ascii="Times New Roman" w:hAnsi="Times New Roman" w:cs="Times New Roman"/>
          <w:sz w:val="21"/>
          <w:szCs w:val="21"/>
        </w:rPr>
        <w:t>’</w:t>
      </w:r>
      <w:r>
        <w:rPr>
          <w:rFonts w:hint="default" w:ascii="Times New Roman" w:hAnsi="Times New Roman" w:cs="Times New Roman"/>
          <w:sz w:val="21"/>
          <w:szCs w:val="21"/>
        </w:rPr>
        <w:t xml:space="preserve"> development of cognition is rather stable, whereas children haven</w:t>
      </w:r>
      <w:r>
        <w:rPr>
          <w:rFonts w:hint="default" w:ascii="Times New Roman" w:hAnsi="Times New Roman" w:cs="Times New Roman"/>
          <w:sz w:val="21"/>
          <w:szCs w:val="21"/>
        </w:rPr>
        <w:t>’</w:t>
      </w:r>
      <w:r>
        <w:rPr>
          <w:rFonts w:hint="default" w:ascii="Times New Roman" w:hAnsi="Times New Roman" w:cs="Times New Roman"/>
          <w:sz w:val="21"/>
          <w:szCs w:val="21"/>
        </w:rPr>
        <w:t xml:space="preserve">t developed metalinguistic awareness or cognitive maturity fully((Lightbown&amp; Spada 2013)). As a result, older learners are able to utilize their cognitive advantages to form superior logical and analytic thinking, metalinguistic and problem-solving ability and more likely to </w:t>
      </w:r>
      <w:r>
        <w:rPr>
          <w:rFonts w:hint="default" w:ascii="Times New Roman" w:hAnsi="Times New Roman" w:cs="Times New Roman"/>
          <w:sz w:val="21"/>
          <w:szCs w:val="21"/>
        </w:rPr>
        <w:t>“</w:t>
      </w:r>
      <w:r>
        <w:rPr>
          <w:rFonts w:hint="default" w:ascii="Times New Roman" w:hAnsi="Times New Roman" w:cs="Times New Roman"/>
          <w:sz w:val="21"/>
          <w:szCs w:val="21"/>
        </w:rPr>
        <w:t>develop some individual strategies and skills for SLA(Ur 2012).</w:t>
      </w:r>
      <w:r>
        <w:rPr>
          <w:rFonts w:hint="default" w:ascii="Times New Roman" w:hAnsi="Times New Roman" w:cs="Times New Roman"/>
          <w:sz w:val="21"/>
          <w:szCs w:val="21"/>
        </w:rPr>
        <w:t>”</w:t>
      </w:r>
      <w:r>
        <w:rPr>
          <w:rFonts w:hint="default" w:ascii="Times New Roman" w:hAnsi="Times New Roman" w:cs="Times New Roman"/>
          <w:sz w:val="21"/>
          <w:szCs w:val="21"/>
        </w:rPr>
        <w:t xml:space="preserve"> That might explain adults</w:t>
      </w:r>
      <w:r>
        <w:rPr>
          <w:rFonts w:hint="default" w:ascii="Times New Roman" w:hAnsi="Times New Roman" w:cs="Times New Roman"/>
          <w:sz w:val="21"/>
          <w:szCs w:val="21"/>
        </w:rPr>
        <w:t>’</w:t>
      </w:r>
      <w:r>
        <w:rPr>
          <w:rFonts w:hint="default" w:ascii="Times New Roman" w:hAnsi="Times New Roman" w:cs="Times New Roman"/>
          <w:sz w:val="21"/>
          <w:szCs w:val="21"/>
        </w:rPr>
        <w:t xml:space="preserve"> advantage on the rate of learning. On the contrary, Dekeyser(2000) held that children are better at implicit learning because people </w:t>
      </w:r>
      <w:r>
        <w:rPr>
          <w:rFonts w:hint="default" w:ascii="Times New Roman" w:hAnsi="Times New Roman" w:cs="Times New Roman"/>
          <w:sz w:val="21"/>
          <w:szCs w:val="21"/>
        </w:rPr>
        <w:t>“</w:t>
      </w:r>
      <w:r>
        <w:rPr>
          <w:rFonts w:hint="default" w:ascii="Times New Roman" w:hAnsi="Times New Roman" w:cs="Times New Roman"/>
          <w:i/>
          <w:iCs/>
          <w:sz w:val="21"/>
          <w:szCs w:val="21"/>
        </w:rPr>
        <w:t>lose the mental equipment needed for the implicit induction of the abstract patterns underlying a human language between the range of age 6 to 17</w:t>
      </w:r>
      <w:r>
        <w:rPr>
          <w:rFonts w:hint="default" w:ascii="Times New Roman" w:hAnsi="Times New Roman" w:cs="Times New Roman"/>
          <w:sz w:val="21"/>
          <w:szCs w:val="21"/>
        </w:rPr>
        <w:t>”</w:t>
      </w:r>
      <w:r>
        <w:rPr>
          <w:rFonts w:hint="default" w:ascii="Times New Roman" w:hAnsi="Times New Roman" w:cs="Times New Roman"/>
          <w:sz w:val="21"/>
          <w:szCs w:val="21"/>
        </w:rPr>
        <w:t xml:space="preserve">. Contrarily, what older learners take is called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explicit learning approach. Other differences involve the learning process, such as adults tend to be more flexible, self-regulated, autonomous, devoted and cooperative, while children are probably more forced, naughty, undisciplined, unorganized and instructor-dependent.</w:t>
      </w:r>
    </w:p>
    <w:p>
      <w:pPr>
        <w:ind w:firstLine="408"/>
        <w:rPr>
          <w:rFonts w:hint="default" w:ascii="Times New Roman" w:hAnsi="Times New Roman" w:cs="Times New Roman"/>
          <w:sz w:val="21"/>
          <w:szCs w:val="21"/>
          <w:highlight w:val="yellow"/>
        </w:rPr>
      </w:pPr>
      <w:r>
        <w:rPr>
          <w:rFonts w:hint="default" w:ascii="Times New Roman" w:hAnsi="Times New Roman" w:cs="Times New Roman"/>
          <w:sz w:val="21"/>
          <w:szCs w:val="21"/>
        </w:rPr>
        <w:t xml:space="preserve">On the other hand, their similarity in learning is owing to </w:t>
      </w:r>
      <w:r>
        <w:rPr>
          <w:rFonts w:hint="default" w:ascii="Times New Roman" w:hAnsi="Times New Roman" w:cs="Times New Roman"/>
          <w:sz w:val="21"/>
          <w:szCs w:val="21"/>
        </w:rPr>
        <w:t xml:space="preserve">a </w:t>
      </w:r>
      <w:r>
        <w:rPr>
          <w:rFonts w:hint="default" w:ascii="Times New Roman" w:hAnsi="Times New Roman" w:cs="Times New Roman"/>
          <w:sz w:val="21"/>
          <w:szCs w:val="21"/>
        </w:rPr>
        <w:t xml:space="preserve">similar developmental process of human cognition, which somehow shapes the sequence of language development. That means </w:t>
      </w:r>
      <w:r>
        <w:rPr>
          <w:rFonts w:hint="default" w:ascii="Times New Roman" w:hAnsi="Times New Roman" w:cs="Times New Roman"/>
          <w:sz w:val="21"/>
          <w:szCs w:val="21"/>
          <w:highlight w:val="none"/>
        </w:rPr>
        <w:t>both young and old learners share similar developmental order. Studies (Lightbown&amp; Spada 2013) found similar developmental patterns of morphology and syntax among different learners, which was also</w:t>
      </w:r>
      <w:r>
        <w:rPr>
          <w:rFonts w:hint="default" w:ascii="Times New Roman" w:hAnsi="Times New Roman" w:eastAsia="宋体" w:cs="Times New Roman"/>
          <w:color w:val="333333"/>
          <w:sz w:val="21"/>
          <w:szCs w:val="21"/>
          <w:highlight w:val="none"/>
          <w:shd w:val="clear" w:color="auto" w:fill="FFFFFF"/>
        </w:rPr>
        <w:t xml:space="preserve"> </w:t>
      </w:r>
      <w:r>
        <w:rPr>
          <w:rFonts w:hint="default" w:ascii="Times New Roman" w:hAnsi="Times New Roman" w:cs="Times New Roman"/>
          <w:sz w:val="21"/>
          <w:szCs w:val="21"/>
          <w:highlight w:val="none"/>
        </w:rPr>
        <w:t xml:space="preserve">acknowledged by Philp </w:t>
      </w:r>
      <w:r>
        <w:rPr>
          <w:rFonts w:hint="default" w:ascii="Times New Roman" w:hAnsi="Times New Roman" w:cs="Times New Roman"/>
          <w:sz w:val="21"/>
          <w:szCs w:val="21"/>
          <w:highlight w:val="none"/>
          <w:lang w:val="en-US" w:eastAsia="zh-CN"/>
        </w:rPr>
        <w:t>et a</w:t>
      </w:r>
      <w:r>
        <w:rPr>
          <w:rFonts w:hint="default" w:ascii="Times New Roman" w:hAnsi="Times New Roman" w:cs="Times New Roman"/>
          <w:sz w:val="21"/>
          <w:szCs w:val="21"/>
          <w:highlight w:val="none"/>
        </w:rPr>
        <w:t>l</w:t>
      </w:r>
      <w:r>
        <w:rPr>
          <w:rFonts w:hint="default" w:ascii="Times New Roman" w:hAnsi="Times New Roman" w:cs="Times New Roman"/>
          <w:sz w:val="21"/>
          <w:szCs w:val="21"/>
          <w:highlight w:val="none"/>
          <w:lang w:val="en-US" w:eastAsia="zh-CN"/>
        </w:rPr>
        <w:t>.</w:t>
      </w:r>
      <w:r>
        <w:rPr>
          <w:rFonts w:hint="default" w:ascii="Times New Roman" w:hAnsi="Times New Roman" w:cs="Times New Roman"/>
          <w:sz w:val="21"/>
          <w:szCs w:val="21"/>
          <w:highlight w:val="none"/>
        </w:rPr>
        <w:t>(2008).</w:t>
      </w:r>
      <w:r>
        <w:rPr>
          <w:rFonts w:hint="default" w:ascii="Times New Roman" w:hAnsi="Times New Roman" w:cs="Times New Roman"/>
          <w:sz w:val="21"/>
          <w:szCs w:val="21"/>
          <w:highlight w:val="none"/>
        </w:rPr>
        <w:t xml:space="preserve"> </w:t>
      </w:r>
    </w:p>
    <w:p>
      <w:pPr>
        <w:numPr>
          <w:ilvl w:val="0"/>
          <w:numId w:val="1"/>
        </w:numPr>
        <w:rPr>
          <w:rFonts w:hint="default" w:ascii="Times New Roman" w:hAnsi="Times New Roman" w:cs="Times New Roman"/>
          <w:sz w:val="22"/>
          <w:szCs w:val="22"/>
        </w:rPr>
      </w:pPr>
      <w:r>
        <w:rPr>
          <w:rFonts w:hint="default" w:ascii="Times New Roman" w:hAnsi="Times New Roman" w:cs="Times New Roman"/>
          <w:b/>
          <w:bCs/>
          <w:sz w:val="22"/>
          <w:szCs w:val="22"/>
        </w:rPr>
        <w:t>Applying theories into instruction</w:t>
      </w:r>
    </w:p>
    <w:p>
      <w:pPr>
        <w:ind w:firstLine="416"/>
        <w:rPr>
          <w:rFonts w:hint="default" w:ascii="Times New Roman" w:hAnsi="Times New Roman" w:cs="Times New Roman"/>
          <w:sz w:val="21"/>
          <w:szCs w:val="21"/>
        </w:rPr>
      </w:pPr>
      <w:r>
        <w:rPr>
          <w:rFonts w:hint="default" w:ascii="Times New Roman" w:hAnsi="Times New Roman" w:cs="Times New Roman"/>
          <w:sz w:val="21"/>
          <w:szCs w:val="21"/>
        </w:rPr>
        <w:t>The above differences inspired many scholars to study strategies and make specific policies to optimize the achievement and experience of SLA for learners of different age</w:t>
      </w:r>
      <w:r>
        <w:rPr>
          <w:rFonts w:hint="default" w:ascii="Times New Roman" w:hAnsi="Times New Roman" w:cs="Times New Roman"/>
          <w:sz w:val="21"/>
          <w:szCs w:val="21"/>
        </w:rPr>
        <w:t>s</w:t>
      </w:r>
      <w:r>
        <w:rPr>
          <w:rFonts w:hint="default" w:ascii="Times New Roman" w:hAnsi="Times New Roman" w:cs="Times New Roman"/>
          <w:sz w:val="21"/>
          <w:szCs w:val="21"/>
        </w:rPr>
        <w:t xml:space="preserve">. </w:t>
      </w:r>
    </w:p>
    <w:p>
      <w:pPr>
        <w:ind w:firstLine="416"/>
        <w:rPr>
          <w:rFonts w:hint="default" w:ascii="Times New Roman" w:hAnsi="Times New Roman" w:cs="Times New Roman"/>
          <w:sz w:val="21"/>
          <w:szCs w:val="21"/>
        </w:rPr>
      </w:pPr>
      <w:r>
        <w:rPr>
          <w:rFonts w:hint="default" w:ascii="Times New Roman" w:hAnsi="Times New Roman" w:cs="Times New Roman"/>
          <w:sz w:val="21"/>
          <w:szCs w:val="21"/>
        </w:rPr>
        <w:t>To language instructors, first, they should tackle SLA with different approaches and adapt their teaching to learners with a variety of backgrounds, such as more explicit instruction for older learners and implicit approach for the young; Second, both formal and informal learning environment should be efficiently used to contribute to SLA proficiency and competence, suggested by Krashen(1981); Thirdly, formal language instruction should count how much comprehensive input of L2 and how intensive instruction offered to learners; Fourthly, social-cultural factors should be thought over during the syllabus and curriculum design and classroom operation, and learners</w:t>
      </w:r>
      <w:r>
        <w:rPr>
          <w:rFonts w:hint="default" w:ascii="Times New Roman" w:hAnsi="Times New Roman" w:cs="Times New Roman"/>
          <w:sz w:val="21"/>
          <w:szCs w:val="21"/>
        </w:rPr>
        <w:t>’</w:t>
      </w:r>
      <w:r>
        <w:rPr>
          <w:rFonts w:hint="default" w:ascii="Times New Roman" w:hAnsi="Times New Roman" w:cs="Times New Roman"/>
          <w:sz w:val="21"/>
          <w:szCs w:val="21"/>
        </w:rPr>
        <w:t xml:space="preserve"> psychological differences should also be kept an eye on. </w:t>
      </w:r>
    </w:p>
    <w:p>
      <w:pPr>
        <w:ind w:firstLine="408"/>
        <w:rPr>
          <w:rFonts w:hint="default" w:ascii="Times New Roman" w:hAnsi="Times New Roman" w:cs="Times New Roman"/>
          <w:sz w:val="21"/>
          <w:szCs w:val="21"/>
        </w:rPr>
      </w:pPr>
      <w:r>
        <w:rPr>
          <w:rFonts w:hint="default" w:ascii="Times New Roman" w:hAnsi="Times New Roman" w:cs="Times New Roman"/>
          <w:sz w:val="21"/>
          <w:szCs w:val="21"/>
        </w:rPr>
        <w:t xml:space="preserve">To policymakers, as for when to start second language learning, the proposition that the younger is better is not recommended as a one for all approach. First, </w:t>
      </w:r>
      <w:r>
        <w:rPr>
          <w:rFonts w:hint="default" w:ascii="Times New Roman" w:hAnsi="Times New Roman" w:cs="Times New Roman"/>
          <w:sz w:val="21"/>
          <w:szCs w:val="21"/>
        </w:rPr>
        <w:t>the above evidence of the achievement of later learners proves that i</w:t>
      </w:r>
      <w:r>
        <w:rPr>
          <w:rFonts w:hint="default" w:ascii="Times New Roman" w:hAnsi="Times New Roman" w:cs="Times New Roman"/>
          <w:sz w:val="21"/>
          <w:szCs w:val="21"/>
        </w:rPr>
        <w:t>t</w:t>
      </w:r>
      <w:r>
        <w:rPr>
          <w:rFonts w:hint="default" w:ascii="Times New Roman" w:hAnsi="Times New Roman" w:cs="Times New Roman"/>
          <w:sz w:val="21"/>
          <w:szCs w:val="21"/>
        </w:rPr>
        <w:t>’</w:t>
      </w:r>
      <w:r>
        <w:rPr>
          <w:rFonts w:hint="default" w:ascii="Times New Roman" w:hAnsi="Times New Roman" w:cs="Times New Roman"/>
          <w:sz w:val="21"/>
          <w:szCs w:val="21"/>
        </w:rPr>
        <w:t xml:space="preserve">s not necessary to follow the crowd and start early acquisition, but ponder over the actual goals of educational programs and specific social contexts, stressed both by Zhu(2011) and </w:t>
      </w:r>
      <w:r>
        <w:rPr>
          <w:rFonts w:hint="default" w:ascii="Times New Roman" w:hAnsi="Times New Roman" w:cs="Times New Roman"/>
          <w:sz w:val="21"/>
          <w:szCs w:val="21"/>
        </w:rPr>
        <w:t>L</w:t>
      </w:r>
      <w:r>
        <w:rPr>
          <w:rFonts w:hint="default" w:ascii="Times New Roman" w:hAnsi="Times New Roman" w:cs="Times New Roman"/>
          <w:sz w:val="21"/>
          <w:szCs w:val="21"/>
        </w:rPr>
        <w:t xml:space="preserve">ightbrown and Spada(2012). Second, It is </w:t>
      </w:r>
      <w:r>
        <w:rPr>
          <w:rFonts w:hint="default" w:ascii="Times New Roman" w:hAnsi="Times New Roman" w:cs="Times New Roman"/>
          <w:sz w:val="21"/>
          <w:szCs w:val="21"/>
        </w:rPr>
        <w:t>e</w:t>
      </w:r>
      <w:r>
        <w:rPr>
          <w:rFonts w:hint="default" w:ascii="Times New Roman" w:hAnsi="Times New Roman" w:cs="Times New Roman"/>
          <w:sz w:val="21"/>
          <w:szCs w:val="21"/>
        </w:rPr>
        <w:t>specially critical to assess the objectives</w:t>
      </w:r>
      <w:r>
        <w:rPr>
          <w:rFonts w:hint="default" w:ascii="Times New Roman" w:hAnsi="Times New Roman" w:cs="Times New Roman"/>
          <w:sz w:val="21"/>
          <w:szCs w:val="21"/>
        </w:rPr>
        <w:t xml:space="preserve">, </w:t>
      </w:r>
      <w:r>
        <w:rPr>
          <w:rFonts w:hint="default" w:ascii="Times New Roman" w:hAnsi="Times New Roman" w:cs="Times New Roman"/>
          <w:sz w:val="21"/>
          <w:szCs w:val="21"/>
        </w:rPr>
        <w:t>available resources and learning conditions for SL development. The nativelikeness in L2 might not be the appropriate and practical goal for all learners for different linguistic purposes. Last but not the least, it</w:t>
      </w:r>
      <w:r>
        <w:rPr>
          <w:rFonts w:hint="default" w:ascii="Times New Roman" w:hAnsi="Times New Roman" w:cs="Times New Roman"/>
          <w:sz w:val="21"/>
          <w:szCs w:val="21"/>
        </w:rPr>
        <w:t>’</w:t>
      </w:r>
      <w:r>
        <w:rPr>
          <w:rFonts w:hint="default" w:ascii="Times New Roman" w:hAnsi="Times New Roman" w:cs="Times New Roman"/>
          <w:sz w:val="21"/>
          <w:szCs w:val="21"/>
        </w:rPr>
        <w:t xml:space="preserve">s more realistic to estimate the length of SLA and control the quality of instruction based on realistic goals, rather than starting SLA as soon as possible. Because not only the interaction of L1 and L2 was illustrated </w:t>
      </w:r>
      <w:r>
        <w:rPr>
          <w:rFonts w:hint="default" w:ascii="Times New Roman" w:hAnsi="Times New Roman" w:cs="Times New Roman"/>
          <w:sz w:val="21"/>
          <w:szCs w:val="21"/>
        </w:rPr>
        <w:t xml:space="preserve">by </w:t>
      </w:r>
      <w:r>
        <w:rPr>
          <w:rFonts w:hint="default" w:ascii="Times New Roman" w:hAnsi="Times New Roman" w:cs="Times New Roman"/>
          <w:sz w:val="21"/>
          <w:szCs w:val="21"/>
        </w:rPr>
        <w:t>some researchers, like Birdsong(2018), the inappropriate early acquisition of L2 could also be detrimental to L1. That was confirmed by the study of Major(1992), demonstrating the loss of English as L1 among a group of adult immigrants in Brazil. To make it worse, children around 6-7 are at a sensitive period of linguistic erosion, implicated by Wang(2014). If starting L2 early and improperly, they are very sensitive to the influence of both languages, possibly eroding both linguistic system</w:t>
      </w:r>
      <w:r>
        <w:rPr>
          <w:rFonts w:hint="default" w:ascii="Times New Roman" w:hAnsi="Times New Roman" w:cs="Times New Roman"/>
          <w:sz w:val="21"/>
          <w:szCs w:val="21"/>
        </w:rPr>
        <w:t>s</w:t>
      </w:r>
      <w:r>
        <w:rPr>
          <w:rFonts w:hint="default" w:ascii="Times New Roman" w:hAnsi="Times New Roman" w:cs="Times New Roman"/>
          <w:sz w:val="21"/>
          <w:szCs w:val="21"/>
        </w:rPr>
        <w:t xml:space="preserve"> and causing confusion(Zheng 2015).</w:t>
      </w:r>
    </w:p>
    <w:p>
      <w:pPr>
        <w:numPr>
          <w:ilvl w:val="0"/>
          <w:numId w:val="1"/>
        </w:numPr>
        <w:rPr>
          <w:rFonts w:hint="default" w:ascii="Times New Roman" w:hAnsi="Times New Roman" w:cs="Times New Roman"/>
          <w:b/>
          <w:bCs/>
          <w:sz w:val="22"/>
          <w:szCs w:val="22"/>
        </w:rPr>
      </w:pPr>
      <w:r>
        <w:rPr>
          <w:rFonts w:hint="default" w:ascii="Times New Roman" w:hAnsi="Times New Roman" w:cs="Times New Roman"/>
          <w:b/>
          <w:bCs/>
          <w:sz w:val="22"/>
          <w:szCs w:val="22"/>
        </w:rPr>
        <w:t>Conclusion</w:t>
      </w:r>
    </w:p>
    <w:p>
      <w:pPr>
        <w:ind w:firstLine="420"/>
        <w:rPr>
          <w:rFonts w:hint="default" w:ascii="Times New Roman" w:hAnsi="Times New Roman" w:cs="Times New Roman"/>
          <w:sz w:val="21"/>
          <w:szCs w:val="21"/>
        </w:rPr>
      </w:pPr>
      <w:r>
        <w:rPr>
          <w:rFonts w:hint="default" w:ascii="Times New Roman" w:hAnsi="Times New Roman" w:cs="Times New Roman"/>
          <w:sz w:val="21"/>
          <w:szCs w:val="21"/>
        </w:rPr>
        <w:t xml:space="preserve">After reviewing the initial CPH and supporting studies, a series of questions are raised to challenge the theory and empirical research. The early conflict over CPH mainly concentrates on age factors, such as </w:t>
      </w:r>
      <w:r>
        <w:rPr>
          <w:rFonts w:hint="default" w:ascii="Times New Roman" w:hAnsi="Times New Roman" w:cs="Times New Roman"/>
          <w:sz w:val="21"/>
          <w:szCs w:val="21"/>
        </w:rPr>
        <w:t xml:space="preserve">the </w:t>
      </w:r>
      <w:r>
        <w:rPr>
          <w:rFonts w:hint="default" w:ascii="Times New Roman" w:hAnsi="Times New Roman" w:cs="Times New Roman"/>
          <w:sz w:val="21"/>
          <w:szCs w:val="21"/>
        </w:rPr>
        <w:t>existence of critical period, its duration, definite onset and offset point</w:t>
      </w:r>
      <w:r>
        <w:rPr>
          <w:rFonts w:hint="default" w:ascii="Times New Roman" w:hAnsi="Times New Roman" w:cs="Times New Roman"/>
          <w:sz w:val="21"/>
          <w:szCs w:val="21"/>
        </w:rPr>
        <w:t xml:space="preserve">, </w:t>
      </w:r>
      <w:r>
        <w:rPr>
          <w:rFonts w:hint="default" w:ascii="Times New Roman" w:hAnsi="Times New Roman" w:cs="Times New Roman"/>
          <w:sz w:val="21"/>
          <w:szCs w:val="21"/>
        </w:rPr>
        <w:t>brain plasticity and lateralization while aging</w:t>
      </w:r>
      <w:r>
        <w:rPr>
          <w:rFonts w:hint="default" w:ascii="Times New Roman" w:hAnsi="Times New Roman" w:cs="Times New Roman"/>
          <w:sz w:val="21"/>
          <w:szCs w:val="21"/>
        </w:rPr>
        <w:t xml:space="preserve">, </w:t>
      </w:r>
      <w:r>
        <w:rPr>
          <w:rFonts w:hint="default" w:ascii="Times New Roman" w:hAnsi="Times New Roman" w:cs="Times New Roman"/>
          <w:sz w:val="21"/>
          <w:szCs w:val="21"/>
        </w:rPr>
        <w:t xml:space="preserve">and assessment of age-related learning effects. Then it relates to other social factors, such as the influence of L1 and different learning conditions, and cognitive and psychological factors. </w:t>
      </w:r>
      <w:r>
        <w:rPr>
          <w:rFonts w:hint="default" w:ascii="Times New Roman" w:hAnsi="Times New Roman" w:cs="Times New Roman"/>
          <w:sz w:val="21"/>
          <w:szCs w:val="21"/>
        </w:rPr>
        <w:t xml:space="preserve">Any theory on absolute over-simplification and over-generalization of the relationship between age and second language acquisition would lead to more confusion and conflicts, and deny human individuality in specific contexts. Therefore, theories on age and SLA should also be contextualized and reconceptualized with times. It’s not sensible to favor CPH or oppose it just based on limited literature without overall consideration of multi-factors involved. </w:t>
      </w:r>
    </w:p>
    <w:p>
      <w:pPr>
        <w:ind w:firstLine="420"/>
        <w:rPr>
          <w:rFonts w:hint="default" w:ascii="Times New Roman" w:hAnsi="Times New Roman" w:cs="Times New Roman"/>
          <w:sz w:val="21"/>
          <w:szCs w:val="21"/>
        </w:rPr>
      </w:pPr>
      <w:r>
        <w:rPr>
          <w:rFonts w:hint="default" w:ascii="Times New Roman" w:hAnsi="Times New Roman" w:cs="Times New Roman"/>
          <w:sz w:val="21"/>
          <w:szCs w:val="21"/>
        </w:rPr>
        <w:t>The comprehensive deliberation of those above joint factors</w:t>
      </w:r>
      <w:r>
        <w:rPr>
          <w:rFonts w:hint="default" w:ascii="Times New Roman" w:hAnsi="Times New Roman" w:cs="Times New Roman"/>
          <w:sz w:val="21"/>
          <w:szCs w:val="21"/>
        </w:rPr>
        <w:t xml:space="preserve"> on SLA</w:t>
      </w:r>
      <w:r>
        <w:rPr>
          <w:rFonts w:hint="default" w:ascii="Times New Roman" w:hAnsi="Times New Roman" w:cs="Times New Roman"/>
          <w:sz w:val="21"/>
          <w:szCs w:val="21"/>
        </w:rPr>
        <w:t xml:space="preserve"> somehow could enlighten language teaching in educational settings. There</w:t>
      </w:r>
      <w:r>
        <w:rPr>
          <w:rFonts w:hint="default" w:ascii="Times New Roman" w:hAnsi="Times New Roman" w:cs="Times New Roman"/>
          <w:sz w:val="21"/>
          <w:szCs w:val="21"/>
        </w:rPr>
        <w:t>’</w:t>
      </w:r>
      <w:r>
        <w:rPr>
          <w:rFonts w:hint="default" w:ascii="Times New Roman" w:hAnsi="Times New Roman" w:cs="Times New Roman"/>
          <w:sz w:val="21"/>
          <w:szCs w:val="21"/>
        </w:rPr>
        <w:t xml:space="preserve">s never a fixed one-for-all solution to all problems and all learners. Instructors and policymakers should always adapt their actions to specific targets and situations. Finally, the complexity of the relationship between age and SLA is far beyond the exploration of this essay, some other minor affective elements, such as mediating and experiential factors(Birdsong 2006) should be researched in the future to uncurtain the mystery in detail. </w:t>
      </w:r>
    </w:p>
    <w:p>
      <w:pPr>
        <w:ind w:firstLine="420"/>
        <w:rPr>
          <w:rFonts w:hint="default" w:ascii="Times New Roman" w:hAnsi="Times New Roman" w:cs="Times New Roman"/>
          <w:sz w:val="21"/>
          <w:szCs w:val="21"/>
        </w:rPr>
      </w:pPr>
    </w:p>
    <w:p>
      <w:pPr>
        <w:ind w:firstLine="420"/>
        <w:rPr>
          <w:rFonts w:hint="default" w:ascii="Times New Roman" w:hAnsi="Times New Roman" w:cs="Times New Roman"/>
          <w:sz w:val="21"/>
          <w:szCs w:val="21"/>
        </w:rPr>
      </w:pPr>
    </w:p>
    <w:p>
      <w:pPr>
        <w:ind w:firstLine="420"/>
        <w:rPr>
          <w:rFonts w:hint="default" w:ascii="Times New Roman" w:hAnsi="Times New Roman" w:cs="Times New Roman"/>
          <w:sz w:val="21"/>
          <w:szCs w:val="21"/>
        </w:rPr>
      </w:pPr>
    </w:p>
    <w:p>
      <w:pPr>
        <w:ind w:firstLine="420"/>
        <w:rPr>
          <w:rFonts w:hint="default" w:ascii="Times New Roman" w:hAnsi="Times New Roman" w:cs="Times New Roman"/>
          <w:sz w:val="21"/>
          <w:szCs w:val="21"/>
        </w:rPr>
      </w:pPr>
    </w:p>
    <w:p>
      <w:pPr>
        <w:rPr>
          <w:rFonts w:hint="default" w:ascii="Times New Roman" w:hAnsi="Times New Roman" w:cs="Times New Roman"/>
          <w:b/>
          <w:bCs/>
          <w:sz w:val="22"/>
          <w:szCs w:val="22"/>
        </w:rPr>
      </w:pPr>
      <w:r>
        <w:rPr>
          <w:rFonts w:hint="default" w:ascii="Times New Roman" w:hAnsi="Times New Roman" w:cs="Times New Roman"/>
          <w:b/>
          <w:bCs/>
          <w:sz w:val="22"/>
          <w:szCs w:val="22"/>
        </w:rPr>
        <w:t>References:</w:t>
      </w:r>
    </w:p>
    <w:p>
      <w:pPr>
        <w:widowControl/>
        <w:jc w:val="both"/>
        <w:rPr>
          <w:rFonts w:hint="default" w:ascii="Times New Roman" w:hAnsi="Times New Roman" w:eastAsia="ArialUnicodeMS" w:cs="Times New Roman"/>
          <w:color w:val="000000"/>
          <w:kern w:val="0"/>
          <w:sz w:val="21"/>
          <w:szCs w:val="21"/>
          <w:lang w:bidi="ar"/>
        </w:rPr>
      </w:pPr>
      <w:r>
        <w:rPr>
          <w:rFonts w:hint="default" w:ascii="Times New Roman" w:hAnsi="Times New Roman" w:eastAsia="ArialUnicodeMS" w:cs="Times New Roman"/>
          <w:color w:val="000000"/>
          <w:kern w:val="0"/>
          <w:sz w:val="21"/>
          <w:szCs w:val="21"/>
          <w:lang w:bidi="ar"/>
        </w:rPr>
        <w:t xml:space="preserve">Birdsong, D., (2006). Age and second language acquisition and processing: a selective overview. </w:t>
      </w:r>
      <w:r>
        <w:rPr>
          <w:rFonts w:hint="default" w:ascii="Times New Roman" w:hAnsi="Times New Roman" w:eastAsia="ArialUnicodeMS" w:cs="Times New Roman"/>
          <w:i/>
          <w:iCs/>
          <w:color w:val="000000"/>
          <w:kern w:val="0"/>
          <w:sz w:val="21"/>
          <w:szCs w:val="21"/>
          <w:lang w:bidi="ar"/>
        </w:rPr>
        <w:t>Language Learning</w:t>
      </w:r>
      <w:r>
        <w:rPr>
          <w:rFonts w:hint="default" w:ascii="Times New Roman" w:hAnsi="Times New Roman" w:eastAsia="宋体" w:cs="Times New Roman"/>
          <w:color w:val="000000"/>
          <w:kern w:val="0"/>
          <w:sz w:val="21"/>
          <w:szCs w:val="21"/>
          <w:lang w:val="en-US" w:eastAsia="zh-CN" w:bidi="ar"/>
        </w:rPr>
        <w:t>,</w:t>
      </w:r>
      <w:r>
        <w:rPr>
          <w:rFonts w:hint="default" w:ascii="Times New Roman" w:hAnsi="Times New Roman" w:eastAsia="ArialUnicodeMS" w:cs="Times New Roman"/>
          <w:color w:val="000000"/>
          <w:kern w:val="0"/>
          <w:sz w:val="21"/>
          <w:szCs w:val="21"/>
          <w:lang w:bidi="ar"/>
        </w:rPr>
        <w:t>Vol.56(s1), P.9-49</w:t>
      </w:r>
    </w:p>
    <w:p>
      <w:pPr>
        <w:jc w:val="both"/>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HYPERLINK "http://www.frontiersin.org/people/u/407886"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Birdsong</w:t>
      </w:r>
      <w:r>
        <w:rPr>
          <w:rFonts w:hint="default" w:ascii="Times New Roman" w:hAnsi="Times New Roman" w:cs="Times New Roman"/>
          <w:sz w:val="21"/>
          <w:szCs w:val="21"/>
        </w:rPr>
        <w:fldChar w:fldCharType="end"/>
      </w:r>
      <w:r>
        <w:rPr>
          <w:rFonts w:hint="default" w:ascii="Times New Roman" w:hAnsi="Times New Roman" w:cs="Times New Roman"/>
          <w:sz w:val="21"/>
          <w:szCs w:val="21"/>
        </w:rPr>
        <w:t>, D.,(2018).</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 xml:space="preserve">Plasticity, Variability and Age in Second Language Acquisition and Bilingualism. </w:t>
      </w:r>
      <w:r>
        <w:rPr>
          <w:rFonts w:hint="default" w:ascii="Times New Roman" w:hAnsi="Times New Roman" w:cs="Times New Roman"/>
          <w:i/>
          <w:iCs/>
          <w:sz w:val="21"/>
          <w:szCs w:val="21"/>
        </w:rPr>
        <w:t>Frontiers in Psychology</w:t>
      </w:r>
      <w:r>
        <w:rPr>
          <w:rFonts w:hint="default" w:ascii="Times New Roman" w:hAnsi="Times New Roman" w:cs="Times New Roman"/>
          <w:sz w:val="21"/>
          <w:szCs w:val="21"/>
        </w:rPr>
        <w:t>, 2018, Vol.9, p.81-81</w:t>
      </w:r>
    </w:p>
    <w:p>
      <w:pPr>
        <w:widowControl/>
        <w:jc w:val="both"/>
        <w:rPr>
          <w:rFonts w:hint="default" w:ascii="Times New Roman" w:hAnsi="Times New Roman" w:cs="Times New Roman"/>
          <w:sz w:val="21"/>
          <w:szCs w:val="21"/>
        </w:rPr>
      </w:pPr>
      <w:r>
        <w:rPr>
          <w:rFonts w:hint="default" w:ascii="Times New Roman" w:hAnsi="Times New Roman" w:eastAsia="ArialUnicodeMS" w:cs="Times New Roman"/>
          <w:color w:val="000000"/>
          <w:kern w:val="0"/>
          <w:sz w:val="21"/>
          <w:szCs w:val="21"/>
          <w:lang w:bidi="ar"/>
        </w:rPr>
        <w:t xml:space="preserve">Chiswick, B., &amp; Miller, P., (2008). A Test of the Critical Period Hypothesis for Language Learning, </w:t>
      </w:r>
      <w:r>
        <w:rPr>
          <w:rFonts w:hint="default" w:ascii="Times New Roman" w:hAnsi="Times New Roman" w:eastAsia="ArialUnicodeMS" w:cs="Times New Roman"/>
          <w:i/>
          <w:iCs/>
          <w:color w:val="000000"/>
          <w:kern w:val="0"/>
          <w:sz w:val="21"/>
          <w:szCs w:val="21"/>
          <w:lang w:bidi="ar"/>
        </w:rPr>
        <w:t>Journal of Multilingual and Multicultural Development</w:t>
      </w:r>
      <w:r>
        <w:rPr>
          <w:rFonts w:hint="default" w:ascii="Times New Roman" w:hAnsi="Times New Roman" w:eastAsia="ArialUnicodeMS" w:cs="Times New Roman"/>
          <w:color w:val="000000"/>
          <w:kern w:val="0"/>
          <w:sz w:val="21"/>
          <w:szCs w:val="21"/>
          <w:lang w:bidi="ar"/>
        </w:rPr>
        <w:t>,29:1,16-29,</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ArialUnicodeMS" w:cs="Times New Roman"/>
          <w:color w:val="000000"/>
          <w:kern w:val="0"/>
          <w:sz w:val="21"/>
          <w:szCs w:val="21"/>
          <w:lang w:bidi="ar"/>
        </w:rPr>
        <w:t xml:space="preserve">DOI: 10.2167/jmmd555.0 </w:t>
      </w:r>
    </w:p>
    <w:p>
      <w:pPr>
        <w:jc w:val="both"/>
        <w:rPr>
          <w:rFonts w:hint="default" w:ascii="Times New Roman" w:hAnsi="Times New Roman" w:cs="Times New Roman"/>
          <w:sz w:val="21"/>
          <w:szCs w:val="21"/>
        </w:rPr>
      </w:pPr>
      <w:r>
        <w:rPr>
          <w:rFonts w:hint="default" w:ascii="Times New Roman" w:hAnsi="Times New Roman" w:cs="Times New Roman"/>
          <w:sz w:val="21"/>
          <w:szCs w:val="21"/>
        </w:rPr>
        <w:t xml:space="preserve">Cook, V. (2002). </w:t>
      </w:r>
      <w:r>
        <w:rPr>
          <w:rFonts w:hint="default" w:ascii="Times New Roman" w:hAnsi="Times New Roman" w:cs="Times New Roman"/>
          <w:sz w:val="21"/>
          <w:szCs w:val="21"/>
          <w:lang w:val="en-US" w:eastAsia="zh-CN"/>
        </w:rPr>
        <w:t xml:space="preserve"> </w:t>
      </w:r>
      <w:r>
        <w:rPr>
          <w:rFonts w:hint="default" w:ascii="Times New Roman" w:hAnsi="Times New Roman" w:cs="Times New Roman"/>
          <w:i/>
          <w:iCs/>
          <w:sz w:val="21"/>
          <w:szCs w:val="21"/>
        </w:rPr>
        <w:t>Portraits of the L2 user</w:t>
      </w:r>
      <w:r>
        <w:rPr>
          <w:rFonts w:hint="default" w:ascii="Times New Roman" w:hAnsi="Times New Roman" w:cs="Times New Roman"/>
          <w:sz w:val="21"/>
          <w:szCs w:val="21"/>
        </w:rPr>
        <w:t>. Clevedon: Multilingual Matters Ltd.</w:t>
      </w:r>
    </w:p>
    <w:p>
      <w:pPr>
        <w:jc w:val="both"/>
        <w:rPr>
          <w:rFonts w:hint="default" w:ascii="Times New Roman" w:hAnsi="Times New Roman" w:eastAsia="宋体" w:cs="Times New Roman"/>
          <w:sz w:val="21"/>
          <w:szCs w:val="21"/>
        </w:rPr>
      </w:pPr>
      <w:r>
        <w:rPr>
          <w:rFonts w:hint="default" w:ascii="Times New Roman" w:hAnsi="Times New Roman" w:cs="Times New Roman"/>
          <w:sz w:val="21"/>
          <w:szCs w:val="21"/>
        </w:rPr>
        <w:t xml:space="preserve">Cook, V.,(2008). </w:t>
      </w:r>
      <w:r>
        <w:rPr>
          <w:rFonts w:hint="default" w:ascii="Times New Roman" w:hAnsi="Times New Roman" w:cs="Times New Roman"/>
          <w:i/>
          <w:iCs/>
          <w:sz w:val="21"/>
          <w:szCs w:val="21"/>
        </w:rPr>
        <w:t>Second Language Learning and Language Teaching</w:t>
      </w:r>
      <w:r>
        <w:rPr>
          <w:rFonts w:hint="default" w:ascii="Times New Roman" w:hAnsi="Times New Roman" w:cs="Times New Roman"/>
          <w:sz w:val="21"/>
          <w:szCs w:val="21"/>
        </w:rPr>
        <w:t>(4th edition).</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London: Hodder Education</w:t>
      </w:r>
    </w:p>
    <w:p>
      <w:pPr>
        <w:jc w:val="both"/>
        <w:rPr>
          <w:rFonts w:hint="default" w:ascii="Times New Roman" w:hAnsi="Times New Roman" w:cs="Times New Roman"/>
          <w:sz w:val="21"/>
          <w:szCs w:val="21"/>
        </w:rPr>
      </w:pPr>
      <w:r>
        <w:rPr>
          <w:rFonts w:hint="default" w:ascii="Times New Roman" w:hAnsi="Times New Roman" w:cs="Times New Roman"/>
          <w:sz w:val="21"/>
          <w:szCs w:val="21"/>
        </w:rPr>
        <w:t>DeKeyser, R.,(2000)</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 xml:space="preserve"> The robustness of critical period effects in second language acquisition. </w:t>
      </w:r>
      <w:r>
        <w:rPr>
          <w:rFonts w:hint="default" w:ascii="Times New Roman" w:hAnsi="Times New Roman" w:cs="Times New Roman"/>
          <w:i/>
          <w:iCs/>
          <w:sz w:val="21"/>
          <w:szCs w:val="21"/>
        </w:rPr>
        <w:t>SSLA</w:t>
      </w:r>
      <w:r>
        <w:rPr>
          <w:rFonts w:hint="default" w:ascii="Times New Roman" w:hAnsi="Times New Roman" w:cs="Times New Roman"/>
          <w:sz w:val="21"/>
          <w:szCs w:val="21"/>
        </w:rPr>
        <w:t>, 22, 499–533.</w:t>
      </w:r>
    </w:p>
    <w:p>
      <w:pPr>
        <w:keepNext w:val="0"/>
        <w:keepLines w:val="0"/>
        <w:widowControl/>
        <w:suppressLineNumbers w:val="0"/>
        <w:jc w:val="both"/>
        <w:rPr>
          <w:rFonts w:hint="default" w:ascii="Times New Roman" w:hAnsi="Times New Roman" w:cs="Times New Roman" w:eastAsiaTheme="minorEastAsia"/>
          <w:sz w:val="21"/>
          <w:szCs w:val="21"/>
          <w:highlight w:val="none"/>
          <w:lang w:val="en-US" w:eastAsia="zh-CN"/>
        </w:rPr>
      </w:pPr>
      <w:r>
        <w:rPr>
          <w:rFonts w:hint="default" w:ascii="Times New Roman" w:hAnsi="Times New Roman" w:cs="Times New Roman"/>
          <w:sz w:val="21"/>
          <w:szCs w:val="21"/>
          <w:highlight w:val="none"/>
        </w:rPr>
        <w:t>Gursoy. E., (2011).</w:t>
      </w:r>
      <w:r>
        <w:rPr>
          <w:rFonts w:hint="default"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The Critical Period Hypothesis Revisited: The Implications for Current Foreign Language Teaching to Young Learners</w:t>
      </w:r>
      <w:r>
        <w:rPr>
          <w:rFonts w:hint="default" w:ascii="Times New Roman" w:hAnsi="Times New Roman" w:cs="Times New Roman"/>
          <w:sz w:val="21"/>
          <w:szCs w:val="21"/>
          <w:highlight w:val="none"/>
          <w:lang w:val="en-US" w:eastAsia="zh-CN"/>
        </w:rPr>
        <w:t xml:space="preserve">. </w:t>
      </w:r>
      <w:r>
        <w:rPr>
          <w:rFonts w:hint="default" w:ascii="Times New Roman" w:hAnsi="Times New Roman" w:eastAsia="宋体" w:cs="Times New Roman"/>
          <w:i/>
          <w:iCs/>
          <w:color w:val="000000"/>
          <w:kern w:val="0"/>
          <w:sz w:val="21"/>
          <w:szCs w:val="21"/>
          <w:lang w:val="en-US" w:eastAsia="zh-CN" w:bidi="ar"/>
        </w:rPr>
        <w:t>Journal of Language Teaching and Research</w:t>
      </w:r>
      <w:r>
        <w:rPr>
          <w:rFonts w:hint="default" w:ascii="Times New Roman" w:hAnsi="Times New Roman" w:eastAsia="宋体" w:cs="Times New Roman"/>
          <w:color w:val="000000"/>
          <w:kern w:val="0"/>
          <w:sz w:val="21"/>
          <w:szCs w:val="21"/>
          <w:lang w:val="en-US" w:eastAsia="zh-CN" w:bidi="ar"/>
        </w:rPr>
        <w:t>, Vol. 2, No. 4, pp. 757-762</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 xml:space="preserve">doi:10.4304/jltr.2.4.757-762 </w:t>
      </w:r>
    </w:p>
    <w:p>
      <w:pPr>
        <w:jc w:val="both"/>
        <w:rPr>
          <w:rFonts w:hint="default" w:ascii="Times New Roman" w:hAnsi="Times New Roman" w:cs="Times New Roman" w:eastAsiaTheme="minorEastAsia"/>
          <w:i w:val="0"/>
          <w:iCs w:val="0"/>
          <w:sz w:val="21"/>
          <w:szCs w:val="21"/>
          <w:highlight w:val="none"/>
          <w:lang w:val="en-US" w:eastAsia="zh-CN"/>
        </w:rPr>
      </w:pPr>
      <w:r>
        <w:rPr>
          <w:rFonts w:hint="default" w:ascii="Times New Roman" w:hAnsi="Times New Roman" w:cs="Times New Roman"/>
          <w:sz w:val="21"/>
          <w:szCs w:val="21"/>
          <w:highlight w:val="none"/>
        </w:rPr>
        <w:t>Hinkel</w:t>
      </w:r>
      <w:r>
        <w:rPr>
          <w:rFonts w:hint="default" w:ascii="Times New Roman" w:hAnsi="Times New Roman" w:cs="Times New Roman"/>
          <w:sz w:val="21"/>
          <w:szCs w:val="21"/>
          <w:highlight w:val="none"/>
          <w:lang w:val="en-US" w:eastAsia="zh-CN"/>
        </w:rPr>
        <w:t>, E.,(</w:t>
      </w:r>
      <w:r>
        <w:rPr>
          <w:rFonts w:hint="default" w:ascii="Times New Roman" w:hAnsi="Times New Roman" w:cs="Times New Roman"/>
          <w:sz w:val="21"/>
          <w:szCs w:val="21"/>
          <w:highlight w:val="none"/>
        </w:rPr>
        <w:t>2005</w:t>
      </w:r>
      <w:r>
        <w:rPr>
          <w:rFonts w:hint="default" w:ascii="Times New Roman" w:hAnsi="Times New Roman" w:cs="Times New Roman"/>
          <w:sz w:val="21"/>
          <w:szCs w:val="21"/>
          <w:highlight w:val="none"/>
          <w:lang w:val="en-US" w:eastAsia="zh-CN"/>
        </w:rPr>
        <w:t>).</w:t>
      </w:r>
      <w:r>
        <w:rPr>
          <w:rFonts w:hint="default" w:ascii="Times New Roman" w:hAnsi="Times New Roman" w:cs="Times New Roman"/>
          <w:sz w:val="21"/>
          <w:szCs w:val="21"/>
          <w:highlight w:val="none"/>
        </w:rPr>
        <w:t xml:space="preserve"> </w:t>
      </w:r>
      <w:r>
        <w:rPr>
          <w:rFonts w:hint="default" w:ascii="Times New Roman" w:hAnsi="Times New Roman" w:cs="Times New Roman"/>
          <w:i/>
          <w:iCs/>
          <w:sz w:val="21"/>
          <w:szCs w:val="21"/>
          <w:highlight w:val="none"/>
        </w:rPr>
        <w:t>Handbook of Research in Second Language Teaching and Learning</w:t>
      </w:r>
      <w:r>
        <w:rPr>
          <w:rFonts w:hint="default" w:ascii="Times New Roman" w:hAnsi="Times New Roman" w:cs="Times New Roman"/>
          <w:i/>
          <w:iCs/>
          <w:sz w:val="21"/>
          <w:szCs w:val="21"/>
          <w:highlight w:val="none"/>
          <w:lang w:val="en-US" w:eastAsia="zh-CN"/>
        </w:rPr>
        <w:t xml:space="preserve"> </w:t>
      </w:r>
      <w:r>
        <w:rPr>
          <w:rFonts w:hint="default" w:ascii="Times New Roman" w:hAnsi="Times New Roman" w:cs="Times New Roman"/>
          <w:i w:val="0"/>
          <w:iCs w:val="0"/>
          <w:sz w:val="21"/>
          <w:szCs w:val="21"/>
          <w:highlight w:val="none"/>
          <w:lang w:val="en-US" w:eastAsia="zh-CN"/>
        </w:rPr>
        <w:t>New York&amp;London: Routledge Taylor&amp;Francis Group</w:t>
      </w:r>
    </w:p>
    <w:p>
      <w:pPr>
        <w:widowControl/>
        <w:jc w:val="both"/>
        <w:rPr>
          <w:rFonts w:hint="default" w:ascii="Times New Roman" w:hAnsi="Times New Roman" w:eastAsia="BaskervilleMT" w:cs="Times New Roman"/>
          <w:color w:val="000000"/>
          <w:kern w:val="0"/>
          <w:sz w:val="21"/>
          <w:szCs w:val="21"/>
          <w:highlight w:val="yellow"/>
          <w:lang w:bidi="ar"/>
        </w:rPr>
      </w:pPr>
      <w:r>
        <w:rPr>
          <w:rFonts w:hint="default" w:ascii="Times New Roman" w:hAnsi="Times New Roman" w:eastAsia="BaskervilleMT" w:cs="Times New Roman"/>
          <w:color w:val="000000"/>
          <w:kern w:val="0"/>
          <w:sz w:val="21"/>
          <w:szCs w:val="21"/>
          <w:highlight w:val="none"/>
          <w:lang w:bidi="ar"/>
        </w:rPr>
        <w:t>Johnson, JS.</w:t>
      </w:r>
      <w:r>
        <w:rPr>
          <w:rFonts w:hint="default" w:ascii="Times New Roman" w:hAnsi="Times New Roman" w:eastAsia="宋体" w:cs="Times New Roman"/>
          <w:color w:val="000000"/>
          <w:kern w:val="0"/>
          <w:sz w:val="21"/>
          <w:szCs w:val="21"/>
          <w:highlight w:val="none"/>
          <w:lang w:val="en-US" w:eastAsia="zh-CN" w:bidi="ar"/>
        </w:rPr>
        <w:t>,</w:t>
      </w:r>
      <w:r>
        <w:rPr>
          <w:rFonts w:hint="default" w:ascii="Times New Roman" w:hAnsi="Times New Roman" w:eastAsia="BaskervilleMT" w:cs="Times New Roman"/>
          <w:color w:val="000000"/>
          <w:kern w:val="0"/>
          <w:sz w:val="21"/>
          <w:szCs w:val="21"/>
          <w:highlight w:val="none"/>
          <w:lang w:bidi="ar"/>
        </w:rPr>
        <w:t xml:space="preserve"> </w:t>
      </w:r>
      <w:r>
        <w:rPr>
          <w:rFonts w:hint="default" w:ascii="Times New Roman" w:hAnsi="Times New Roman" w:eastAsia="宋体" w:cs="Times New Roman"/>
          <w:color w:val="000000"/>
          <w:kern w:val="0"/>
          <w:sz w:val="21"/>
          <w:szCs w:val="21"/>
          <w:highlight w:val="none"/>
          <w:lang w:val="en-US" w:eastAsia="zh-CN" w:bidi="ar"/>
        </w:rPr>
        <w:t>and</w:t>
      </w:r>
      <w:r>
        <w:rPr>
          <w:rFonts w:hint="default" w:ascii="Times New Roman" w:hAnsi="Times New Roman" w:eastAsia="BaskervilleMT" w:cs="Times New Roman"/>
          <w:color w:val="000000"/>
          <w:kern w:val="0"/>
          <w:sz w:val="21"/>
          <w:szCs w:val="21"/>
          <w:highlight w:val="none"/>
          <w:lang w:bidi="ar"/>
        </w:rPr>
        <w:t xml:space="preserve"> Newport, EL.</w:t>
      </w:r>
      <w:r>
        <w:rPr>
          <w:rFonts w:hint="default" w:ascii="Times New Roman" w:hAnsi="Times New Roman" w:eastAsia="宋体" w:cs="Times New Roman"/>
          <w:color w:val="000000"/>
          <w:kern w:val="0"/>
          <w:sz w:val="21"/>
          <w:szCs w:val="21"/>
          <w:highlight w:val="none"/>
          <w:lang w:val="en-US" w:eastAsia="zh-CN" w:bidi="ar"/>
        </w:rPr>
        <w:t>,</w:t>
      </w:r>
      <w:r>
        <w:rPr>
          <w:rFonts w:hint="default" w:ascii="Times New Roman" w:hAnsi="Times New Roman" w:eastAsia="BaskervilleMT" w:cs="Times New Roman"/>
          <w:color w:val="000000"/>
          <w:kern w:val="0"/>
          <w:sz w:val="21"/>
          <w:szCs w:val="21"/>
          <w:highlight w:val="none"/>
          <w:lang w:bidi="ar"/>
        </w:rPr>
        <w:t xml:space="preserve"> (1989) critical period effects in second language acquisition: the influence of maturational stage in acquisition of EFL. </w:t>
      </w:r>
      <w:r>
        <w:rPr>
          <w:rFonts w:hint="default" w:ascii="Times New Roman" w:hAnsi="Times New Roman" w:eastAsia="BaskervilleMT" w:cs="Times New Roman"/>
          <w:i/>
          <w:iCs/>
          <w:color w:val="000000"/>
          <w:kern w:val="0"/>
          <w:sz w:val="21"/>
          <w:szCs w:val="21"/>
          <w:highlight w:val="none"/>
          <w:lang w:bidi="ar"/>
        </w:rPr>
        <w:t>Cognitive Psychology</w:t>
      </w:r>
      <w:r>
        <w:rPr>
          <w:rFonts w:hint="default" w:ascii="Times New Roman" w:hAnsi="Times New Roman" w:eastAsia="宋体" w:cs="Times New Roman"/>
          <w:i/>
          <w:iCs/>
          <w:color w:val="000000"/>
          <w:kern w:val="0"/>
          <w:sz w:val="21"/>
          <w:szCs w:val="21"/>
          <w:highlight w:val="none"/>
          <w:lang w:val="en-US" w:eastAsia="zh-CN" w:bidi="ar"/>
        </w:rPr>
        <w:t>,</w:t>
      </w:r>
      <w:r>
        <w:rPr>
          <w:rFonts w:hint="default" w:ascii="Times New Roman" w:hAnsi="Times New Roman" w:eastAsia="BaskervilleMT" w:cs="Times New Roman"/>
          <w:color w:val="000000"/>
          <w:kern w:val="0"/>
          <w:sz w:val="21"/>
          <w:szCs w:val="21"/>
          <w:highlight w:val="none"/>
          <w:lang w:bidi="ar"/>
        </w:rPr>
        <w:t xml:space="preserve"> Vol 21: pp.60-99</w:t>
      </w:r>
    </w:p>
    <w:p>
      <w:pPr>
        <w:jc w:val="both"/>
        <w:rPr>
          <w:rFonts w:hint="default" w:ascii="Times New Roman" w:hAnsi="Times New Roman" w:cs="Times New Roman"/>
          <w:sz w:val="21"/>
          <w:szCs w:val="21"/>
          <w:highlight w:val="none"/>
        </w:rPr>
      </w:pPr>
      <w:r>
        <w:rPr>
          <w:rFonts w:hint="default" w:ascii="Times New Roman" w:hAnsi="Times New Roman" w:cs="Times New Roman"/>
          <w:sz w:val="21"/>
          <w:szCs w:val="21"/>
        </w:rPr>
        <w:t>Krashen. S.,(1981)</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 xml:space="preserve"> </w:t>
      </w:r>
      <w:r>
        <w:rPr>
          <w:rFonts w:hint="default" w:ascii="Times New Roman" w:hAnsi="Times New Roman" w:cs="Times New Roman"/>
          <w:i/>
          <w:iCs/>
          <w:sz w:val="21"/>
          <w:szCs w:val="21"/>
        </w:rPr>
        <w:t>Second Language Acquisition and Second Language Learning</w:t>
      </w:r>
      <w:r>
        <w:rPr>
          <w:rFonts w:hint="default" w:ascii="Times New Roman" w:hAnsi="Times New Roman" w:cs="Times New Roman"/>
          <w:sz w:val="21"/>
          <w:szCs w:val="21"/>
        </w:rPr>
        <w:t xml:space="preserve">. </w:t>
      </w:r>
      <w:r>
        <w:rPr>
          <w:rFonts w:hint="default" w:ascii="Times New Roman" w:hAnsi="Times New Roman" w:cs="Times New Roman"/>
          <w:sz w:val="21"/>
          <w:szCs w:val="21"/>
          <w:highlight w:val="none"/>
        </w:rPr>
        <w:t xml:space="preserve">Pergamon Press Inc. </w:t>
      </w:r>
    </w:p>
    <w:p>
      <w:pPr>
        <w:jc w:val="both"/>
        <w:rPr>
          <w:rFonts w:hint="default" w:ascii="Times New Roman" w:hAnsi="Times New Roman" w:cs="Times New Roman" w:eastAsiaTheme="minorEastAsia"/>
          <w:sz w:val="21"/>
          <w:szCs w:val="21"/>
          <w:highlight w:val="none"/>
          <w:lang w:val="en-US" w:eastAsia="zh-CN"/>
        </w:rPr>
      </w:pPr>
      <w:r>
        <w:rPr>
          <w:rFonts w:hint="default" w:ascii="Times New Roman" w:hAnsi="Times New Roman" w:cs="Times New Roman"/>
          <w:sz w:val="21"/>
          <w:szCs w:val="21"/>
          <w:highlight w:val="none"/>
        </w:rPr>
        <w:t>Kuh</w:t>
      </w:r>
      <w:r>
        <w:rPr>
          <w:rFonts w:hint="default" w:ascii="Times New Roman" w:hAnsi="Times New Roman" w:cs="Times New Roman"/>
          <w:sz w:val="21"/>
          <w:szCs w:val="21"/>
          <w:highlight w:val="none"/>
          <w:lang w:val="en-US" w:eastAsia="zh-CN"/>
        </w:rPr>
        <w:t>l</w:t>
      </w:r>
      <w:r>
        <w:rPr>
          <w:rFonts w:hint="default" w:ascii="Times New Roman" w:hAnsi="Times New Roman" w:cs="Times New Roman"/>
          <w:sz w:val="21"/>
          <w:szCs w:val="21"/>
          <w:highlight w:val="none"/>
        </w:rPr>
        <w:t xml:space="preserve">, </w:t>
      </w:r>
      <w:r>
        <w:rPr>
          <w:rFonts w:hint="default" w:ascii="Times New Roman" w:hAnsi="Times New Roman" w:cs="Times New Roman"/>
          <w:sz w:val="21"/>
          <w:szCs w:val="21"/>
          <w:highlight w:val="none"/>
          <w:lang w:val="en-US" w:eastAsia="zh-CN"/>
        </w:rPr>
        <w:t>P., (</w:t>
      </w:r>
      <w:r>
        <w:rPr>
          <w:rFonts w:hint="default" w:ascii="Times New Roman" w:hAnsi="Times New Roman" w:cs="Times New Roman"/>
          <w:sz w:val="21"/>
          <w:szCs w:val="21"/>
          <w:highlight w:val="none"/>
        </w:rPr>
        <w:t>2000</w:t>
      </w:r>
      <w:r>
        <w:rPr>
          <w:rFonts w:hint="default" w:ascii="Times New Roman" w:hAnsi="Times New Roman" w:cs="Times New Roman"/>
          <w:sz w:val="21"/>
          <w:szCs w:val="21"/>
          <w:highlight w:val="none"/>
          <w:lang w:val="en-US" w:eastAsia="zh-CN"/>
        </w:rPr>
        <w:t>).</w:t>
      </w:r>
      <w:r>
        <w:rPr>
          <w:rFonts w:hint="default" w:ascii="Times New Roman" w:hAnsi="Times New Roman" w:cs="Times New Roman"/>
          <w:sz w:val="21"/>
          <w:szCs w:val="21"/>
          <w:highlight w:val="none"/>
        </w:rPr>
        <w:t xml:space="preserve"> </w:t>
      </w:r>
      <w:r>
        <w:rPr>
          <w:rFonts w:hint="default"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A new view of language acquisition, </w:t>
      </w:r>
      <w:r>
        <w:rPr>
          <w:rFonts w:hint="default" w:ascii="Times New Roman" w:hAnsi="Times New Roman" w:cs="Times New Roman"/>
          <w:i/>
          <w:iCs/>
          <w:sz w:val="21"/>
          <w:szCs w:val="21"/>
          <w:highlight w:val="none"/>
        </w:rPr>
        <w:t>PNAS</w:t>
      </w:r>
      <w:r>
        <w:rPr>
          <w:rFonts w:hint="default" w:ascii="Times New Roman" w:hAnsi="Times New Roman" w:cs="Times New Roman"/>
          <w:sz w:val="21"/>
          <w:szCs w:val="21"/>
          <w:highlight w:val="none"/>
          <w:lang w:val="en-US" w:eastAsia="zh-CN"/>
        </w:rPr>
        <w:t>,</w:t>
      </w:r>
      <w:r>
        <w:rPr>
          <w:rFonts w:hint="default" w:ascii="Times New Roman" w:hAnsi="Times New Roman" w:cs="Times New Roman"/>
          <w:sz w:val="21"/>
          <w:szCs w:val="21"/>
          <w:highlight w:val="none"/>
        </w:rPr>
        <w:t xml:space="preserve"> vol. 97</w:t>
      </w:r>
      <w:r>
        <w:rPr>
          <w:rFonts w:hint="default"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no.22</w:t>
      </w:r>
      <w:r>
        <w:rPr>
          <w:rFonts w:hint="default" w:ascii="Times New Roman" w:hAnsi="Times New Roman" w:cs="Times New Roman"/>
          <w:sz w:val="21"/>
          <w:szCs w:val="21"/>
          <w:highlight w:val="none"/>
          <w:lang w:val="en-US" w:eastAsia="zh-CN"/>
        </w:rPr>
        <w:t>, pp.</w:t>
      </w:r>
      <w:r>
        <w:rPr>
          <w:rFonts w:hint="default" w:ascii="Times New Roman" w:hAnsi="Times New Roman" w:cs="Times New Roman"/>
          <w:sz w:val="21"/>
          <w:szCs w:val="21"/>
          <w:highlight w:val="none"/>
        </w:rPr>
        <w:t>11850–11857</w:t>
      </w:r>
    </w:p>
    <w:p>
      <w:pPr>
        <w:jc w:val="both"/>
        <w:rPr>
          <w:rFonts w:hint="default" w:ascii="Times New Roman" w:hAnsi="Times New Roman" w:cs="Times New Roman"/>
          <w:sz w:val="21"/>
          <w:szCs w:val="21"/>
        </w:rPr>
      </w:pPr>
      <w:r>
        <w:rPr>
          <w:rFonts w:hint="default" w:ascii="Times New Roman" w:hAnsi="Times New Roman" w:cs="Times New Roman"/>
          <w:sz w:val="21"/>
          <w:szCs w:val="21"/>
        </w:rPr>
        <w:t>Lightbown, P.M. and Spada, N.,(2000). ‘Factors Affecting Second Language Learning’.  In Candlin, C. N and Mercer, N (2000) English Language Teaching in its Social Context, Routledge London.</w:t>
      </w:r>
    </w:p>
    <w:p>
      <w:pPr>
        <w:jc w:val="both"/>
        <w:rPr>
          <w:rFonts w:hint="default" w:ascii="Times New Roman" w:hAnsi="Times New Roman" w:cs="Times New Roman"/>
          <w:sz w:val="21"/>
          <w:szCs w:val="21"/>
          <w:highlight w:val="none"/>
        </w:rPr>
      </w:pPr>
      <w:r>
        <w:rPr>
          <w:rFonts w:hint="default" w:ascii="Times New Roman" w:hAnsi="Times New Roman" w:cs="Times New Roman"/>
          <w:sz w:val="21"/>
          <w:szCs w:val="21"/>
        </w:rPr>
        <w:t xml:space="preserve">Lightbown, P.M., and Spada, N.,(2013). </w:t>
      </w:r>
      <w:r>
        <w:rPr>
          <w:rFonts w:hint="default" w:ascii="Times New Roman" w:hAnsi="Times New Roman" w:cs="Times New Roman"/>
          <w:i/>
          <w:iCs/>
          <w:sz w:val="21"/>
          <w:szCs w:val="21"/>
        </w:rPr>
        <w:t>How Languages are Learned</w:t>
      </w:r>
      <w:r>
        <w:rPr>
          <w:rFonts w:hint="default" w:ascii="Times New Roman" w:hAnsi="Times New Roman" w:cs="Times New Roman"/>
          <w:sz w:val="21"/>
          <w:szCs w:val="21"/>
        </w:rPr>
        <w:t>. Oxford: Oxford University Press</w:t>
      </w:r>
    </w:p>
    <w:p>
      <w:pPr>
        <w:jc w:val="both"/>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Long. M.,(2005). Problems with supposed counter-evidence to the Critical Period Hypothesis,  </w:t>
      </w:r>
      <w:r>
        <w:rPr>
          <w:rFonts w:hint="default" w:ascii="Times New Roman" w:hAnsi="Times New Roman" w:cs="Times New Roman"/>
          <w:i/>
          <w:iCs/>
          <w:sz w:val="21"/>
          <w:szCs w:val="21"/>
          <w:highlight w:val="none"/>
        </w:rPr>
        <w:t>International Review of Applied Linguistics in Language Teaching</w:t>
      </w:r>
      <w:r>
        <w:rPr>
          <w:rFonts w:hint="default" w:ascii="Times New Roman" w:hAnsi="Times New Roman" w:cs="Times New Roman"/>
          <w:sz w:val="21"/>
          <w:szCs w:val="21"/>
          <w:highlight w:val="none"/>
          <w:lang w:val="en-US" w:eastAsia="zh-CN"/>
        </w:rPr>
        <w:t>,</w:t>
      </w:r>
      <w:r>
        <w:rPr>
          <w:rFonts w:hint="default" w:ascii="Times New Roman" w:hAnsi="Times New Roman" w:cs="Times New Roman"/>
          <w:sz w:val="21"/>
          <w:szCs w:val="21"/>
          <w:highlight w:val="none"/>
        </w:rPr>
        <w:t xml:space="preserve"> 43, 4; pg. 287 </w:t>
      </w:r>
    </w:p>
    <w:p>
      <w:pPr>
        <w:jc w:val="both"/>
        <w:rPr>
          <w:rFonts w:hint="default" w:ascii="Times New Roman" w:hAnsi="Times New Roman" w:cs="Times New Roman"/>
          <w:sz w:val="21"/>
          <w:szCs w:val="21"/>
          <w:highlight w:val="none"/>
        </w:rPr>
      </w:pPr>
      <w:r>
        <w:rPr>
          <w:rFonts w:hint="default" w:ascii="Times New Roman" w:hAnsi="Times New Roman" w:cs="Times New Roman"/>
          <w:sz w:val="21"/>
          <w:szCs w:val="21"/>
        </w:rPr>
        <w:t xml:space="preserve">Major, R.,(1992) Losing English as a First Language. </w:t>
      </w:r>
      <w:r>
        <w:rPr>
          <w:rFonts w:hint="default" w:ascii="Times New Roman" w:hAnsi="Times New Roman" w:cs="Times New Roman"/>
          <w:i/>
          <w:iCs/>
          <w:sz w:val="21"/>
          <w:szCs w:val="21"/>
        </w:rPr>
        <w:t>The Modern Language Journal</w:t>
      </w:r>
      <w:r>
        <w:rPr>
          <w:rFonts w:hint="default" w:ascii="Times New Roman" w:hAnsi="Times New Roman" w:cs="Times New Roman"/>
          <w:sz w:val="21"/>
          <w:szCs w:val="21"/>
        </w:rPr>
        <w:t xml:space="preserve">, Vol. 76, No. 2, pp.190-208 </w:t>
      </w:r>
    </w:p>
    <w:p>
      <w:pPr>
        <w:jc w:val="both"/>
        <w:rPr>
          <w:rFonts w:hint="default" w:ascii="Times New Roman" w:hAnsi="Times New Roman" w:cs="Times New Roman" w:eastAsiaTheme="minorEastAsia"/>
          <w:sz w:val="21"/>
          <w:szCs w:val="21"/>
          <w:highlight w:val="none"/>
          <w:lang w:val="en-US" w:eastAsia="zh-CN"/>
        </w:rPr>
      </w:pPr>
      <w:r>
        <w:rPr>
          <w:rFonts w:hint="default" w:ascii="Times New Roman" w:hAnsi="Times New Roman" w:cs="Times New Roman"/>
          <w:sz w:val="21"/>
          <w:szCs w:val="21"/>
          <w:highlight w:val="none"/>
        </w:rPr>
        <w:t xml:space="preserve">Muñoz, C., (2010). On how age affects foreign language learning. </w:t>
      </w:r>
      <w:r>
        <w:rPr>
          <w:rFonts w:hint="default" w:ascii="Times New Roman" w:hAnsi="Times New Roman" w:cs="Times New Roman"/>
          <w:i/>
          <w:iCs/>
          <w:sz w:val="21"/>
          <w:szCs w:val="21"/>
          <w:highlight w:val="none"/>
        </w:rPr>
        <w:t>Advances in Research on Language Acquisition</w:t>
      </w:r>
      <w:r>
        <w:rPr>
          <w:rFonts w:hint="default" w:ascii="Times New Roman" w:hAnsi="Times New Roman" w:cs="Times New Roman"/>
          <w:sz w:val="21"/>
          <w:szCs w:val="21"/>
          <w:highlight w:val="none"/>
        </w:rPr>
        <w:t xml:space="preserve"> </w:t>
      </w:r>
      <w:r>
        <w:rPr>
          <w:rFonts w:hint="default" w:ascii="Times New Roman" w:hAnsi="Times New Roman" w:cs="Times New Roman"/>
          <w:i/>
          <w:iCs/>
          <w:sz w:val="21"/>
          <w:szCs w:val="21"/>
          <w:highlight w:val="none"/>
        </w:rPr>
        <w:t>and Teaching: Selected Papers</w:t>
      </w:r>
      <w:r>
        <w:rPr>
          <w:rFonts w:hint="default" w:ascii="Times New Roman" w:hAnsi="Times New Roman" w:cs="Times New Roman"/>
          <w:i/>
          <w:iCs/>
          <w:sz w:val="21"/>
          <w:szCs w:val="21"/>
          <w:highlight w:val="none"/>
          <w:lang w:val="en-US" w:eastAsia="zh-CN"/>
        </w:rPr>
        <w:t xml:space="preserve"> 2010 GALA, </w:t>
      </w:r>
      <w:r>
        <w:rPr>
          <w:rFonts w:hint="default" w:ascii="Times New Roman" w:hAnsi="Times New Roman" w:cs="Times New Roman"/>
          <w:i w:val="0"/>
          <w:iCs w:val="0"/>
          <w:sz w:val="21"/>
          <w:szCs w:val="21"/>
          <w:highlight w:val="none"/>
          <w:lang w:val="en-US" w:eastAsia="zh-CN"/>
        </w:rPr>
        <w:t>pp.39-49</w:t>
      </w:r>
    </w:p>
    <w:p>
      <w:pPr>
        <w:jc w:val="both"/>
        <w:rPr>
          <w:rFonts w:hint="default" w:ascii="Times New Roman" w:hAnsi="Times New Roman" w:cs="Times New Roman"/>
          <w:sz w:val="21"/>
          <w:szCs w:val="21"/>
          <w:highlight w:val="none"/>
        </w:rPr>
      </w:pPr>
      <w:r>
        <w:rPr>
          <w:rFonts w:hint="default" w:ascii="Times New Roman" w:hAnsi="Times New Roman" w:cs="Times New Roman"/>
          <w:sz w:val="21"/>
          <w:szCs w:val="21"/>
        </w:rPr>
        <w:t xml:space="preserve">Munoz, C., and Singleton, D.,(2011). A critical review of age-related research on L2 ultimate </w:t>
      </w:r>
      <w:r>
        <w:rPr>
          <w:rFonts w:hint="default" w:ascii="Times New Roman" w:hAnsi="Times New Roman" w:cs="Times New Roman"/>
          <w:sz w:val="21"/>
          <w:szCs w:val="21"/>
          <w:highlight w:val="none"/>
        </w:rPr>
        <w:t>attainment</w:t>
      </w:r>
      <w:r>
        <w:rPr>
          <w:rFonts w:hint="default" w:ascii="Times New Roman" w:hAnsi="Times New Roman" w:cs="Times New Roman"/>
          <w:sz w:val="21"/>
          <w:szCs w:val="21"/>
          <w:highlight w:val="none"/>
          <w:lang w:val="en-US" w:eastAsia="zh-CN"/>
        </w:rPr>
        <w:t>.</w:t>
      </w:r>
      <w:r>
        <w:rPr>
          <w:rFonts w:hint="default" w:ascii="Times New Roman" w:hAnsi="Times New Roman" w:cs="Times New Roman"/>
          <w:i/>
          <w:iCs/>
          <w:sz w:val="21"/>
          <w:szCs w:val="21"/>
          <w:highlight w:val="none"/>
        </w:rPr>
        <w:t xml:space="preserve"> Lang</w:t>
      </w:r>
      <w:r>
        <w:rPr>
          <w:rFonts w:hint="default" w:ascii="Times New Roman" w:hAnsi="Times New Roman" w:cs="Times New Roman"/>
          <w:i/>
          <w:iCs/>
          <w:sz w:val="21"/>
          <w:szCs w:val="21"/>
          <w:highlight w:val="none"/>
          <w:lang w:val="en-US" w:eastAsia="zh-CN"/>
        </w:rPr>
        <w:t xml:space="preserve">uage Teaching, </w:t>
      </w:r>
      <w:r>
        <w:rPr>
          <w:rFonts w:hint="default" w:ascii="Times New Roman" w:hAnsi="Times New Roman" w:cs="Times New Roman"/>
          <w:i w:val="0"/>
          <w:iCs w:val="0"/>
          <w:sz w:val="21"/>
          <w:szCs w:val="21"/>
          <w:highlight w:val="none"/>
          <w:lang w:val="en-US" w:eastAsia="zh-CN"/>
        </w:rPr>
        <w:t xml:space="preserve">Vol. </w:t>
      </w:r>
      <w:r>
        <w:rPr>
          <w:rFonts w:hint="default" w:ascii="Times New Roman" w:hAnsi="Times New Roman" w:cs="Times New Roman"/>
          <w:sz w:val="21"/>
          <w:szCs w:val="21"/>
          <w:highlight w:val="none"/>
        </w:rPr>
        <w:t>44</w:t>
      </w:r>
      <w:r>
        <w:rPr>
          <w:rFonts w:hint="default" w:ascii="Times New Roman" w:hAnsi="Times New Roman" w:cs="Times New Roman"/>
          <w:sz w:val="21"/>
          <w:szCs w:val="21"/>
          <w:highlight w:val="none"/>
          <w:lang w:val="en-US" w:eastAsia="zh-CN"/>
        </w:rPr>
        <w:t>(</w:t>
      </w:r>
      <w:r>
        <w:rPr>
          <w:rFonts w:hint="default" w:ascii="Times New Roman" w:hAnsi="Times New Roman" w:cs="Times New Roman"/>
          <w:sz w:val="21"/>
          <w:szCs w:val="21"/>
          <w:highlight w:val="none"/>
        </w:rPr>
        <w:t>1</w:t>
      </w:r>
      <w:r>
        <w:rPr>
          <w:rFonts w:hint="default" w:ascii="Times New Roman" w:hAnsi="Times New Roman" w:cs="Times New Roman"/>
          <w:sz w:val="21"/>
          <w:szCs w:val="21"/>
          <w:highlight w:val="none"/>
          <w:lang w:val="en-US" w:eastAsia="zh-CN"/>
        </w:rPr>
        <w:t>)</w:t>
      </w:r>
      <w:r>
        <w:rPr>
          <w:rFonts w:hint="default" w:ascii="Times New Roman" w:hAnsi="Times New Roman" w:cs="Times New Roman"/>
          <w:sz w:val="21"/>
          <w:szCs w:val="21"/>
          <w:highlight w:val="none"/>
        </w:rPr>
        <w:t>,</w:t>
      </w:r>
      <w:r>
        <w:rPr>
          <w:rFonts w:hint="default" w:ascii="Times New Roman" w:hAnsi="Times New Roman" w:cs="Times New Roman"/>
          <w:sz w:val="21"/>
          <w:szCs w:val="21"/>
          <w:highlight w:val="none"/>
          <w:lang w:val="en-US" w:eastAsia="zh-CN"/>
        </w:rPr>
        <w:t xml:space="preserve"> pp.</w:t>
      </w:r>
      <w:r>
        <w:rPr>
          <w:rFonts w:hint="default" w:ascii="Times New Roman" w:hAnsi="Times New Roman" w:cs="Times New Roman"/>
          <w:sz w:val="21"/>
          <w:szCs w:val="21"/>
          <w:highlight w:val="none"/>
        </w:rPr>
        <w:t>1–35.</w:t>
      </w:r>
      <w:r>
        <w:rPr>
          <w:rFonts w:hint="default"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doi:10.1017/S0261444810000327</w:t>
      </w:r>
    </w:p>
    <w:p>
      <w:pPr>
        <w:jc w:val="both"/>
        <w:rPr>
          <w:rFonts w:hint="default" w:ascii="Times New Roman" w:hAnsi="Times New Roman" w:eastAsia="BaskervilleMT" w:cs="Times New Roman"/>
          <w:color w:val="000000"/>
          <w:kern w:val="0"/>
          <w:sz w:val="21"/>
          <w:szCs w:val="21"/>
          <w:lang w:bidi="ar"/>
        </w:rPr>
      </w:pPr>
      <w:r>
        <w:rPr>
          <w:rFonts w:hint="default" w:ascii="Times New Roman" w:hAnsi="Times New Roman" w:cs="Times New Roman"/>
          <w:sz w:val="21"/>
          <w:szCs w:val="21"/>
        </w:rPr>
        <w:t xml:space="preserve">Patkowski, M.,(1980). The sensitive period for the acquisition of syntax in a second language.  </w:t>
      </w:r>
      <w:r>
        <w:rPr>
          <w:rFonts w:hint="default" w:ascii="Times New Roman" w:hAnsi="Times New Roman" w:cs="Times New Roman"/>
          <w:i/>
          <w:iCs/>
          <w:sz w:val="21"/>
          <w:szCs w:val="21"/>
        </w:rPr>
        <w:t>Language Learning</w:t>
      </w:r>
      <w:r>
        <w:rPr>
          <w:rFonts w:hint="default" w:ascii="Times New Roman" w:hAnsi="Times New Roman" w:cs="Times New Roman"/>
          <w:sz w:val="21"/>
          <w:szCs w:val="21"/>
        </w:rPr>
        <w:t>, 30, 449-472.</w:t>
      </w:r>
    </w:p>
    <w:p>
      <w:pPr>
        <w:widowControl/>
        <w:jc w:val="both"/>
        <w:rPr>
          <w:rFonts w:hint="default" w:ascii="Times New Roman" w:hAnsi="Times New Roman" w:eastAsia="BaskervilleMT" w:cs="Times New Roman"/>
          <w:color w:val="000000"/>
          <w:kern w:val="0"/>
          <w:sz w:val="21"/>
          <w:szCs w:val="21"/>
          <w:lang w:bidi="ar"/>
        </w:rPr>
      </w:pPr>
      <w:r>
        <w:rPr>
          <w:rFonts w:hint="default" w:ascii="Times New Roman" w:hAnsi="Times New Roman" w:eastAsia="BaskervilleMT" w:cs="Times New Roman"/>
          <w:color w:val="000000"/>
          <w:kern w:val="0"/>
          <w:sz w:val="21"/>
          <w:szCs w:val="21"/>
          <w:lang w:bidi="ar"/>
        </w:rPr>
        <w:t xml:space="preserve">Penfield, W. &amp; L. Roberts (1959). </w:t>
      </w:r>
      <w:r>
        <w:rPr>
          <w:rFonts w:hint="default" w:ascii="Times New Roman" w:hAnsi="Times New Roman" w:eastAsia="BaskervilleMT-Italic" w:cs="Times New Roman"/>
          <w:i/>
          <w:iCs/>
          <w:color w:val="000000"/>
          <w:kern w:val="0"/>
          <w:sz w:val="21"/>
          <w:szCs w:val="21"/>
          <w:lang w:bidi="ar"/>
        </w:rPr>
        <w:t xml:space="preserve">Speech and brain mechanisms. </w:t>
      </w:r>
      <w:r>
        <w:rPr>
          <w:rFonts w:hint="default" w:ascii="Times New Roman" w:hAnsi="Times New Roman" w:eastAsia="BaskervilleMT" w:cs="Times New Roman"/>
          <w:color w:val="000000"/>
          <w:kern w:val="0"/>
          <w:sz w:val="21"/>
          <w:szCs w:val="21"/>
          <w:lang w:bidi="ar"/>
        </w:rPr>
        <w:t>Princeton, NJ: Princeton University Press.</w:t>
      </w:r>
    </w:p>
    <w:p>
      <w:pPr>
        <w:jc w:val="both"/>
        <w:rPr>
          <w:rFonts w:hint="default" w:ascii="Times New Roman" w:hAnsi="Times New Roman" w:cs="Times New Roman"/>
          <w:sz w:val="21"/>
          <w:szCs w:val="21"/>
        </w:rPr>
      </w:pPr>
      <w:r>
        <w:rPr>
          <w:rFonts w:hint="default" w:ascii="Times New Roman" w:hAnsi="Times New Roman" w:cs="Times New Roman"/>
          <w:sz w:val="21"/>
          <w:szCs w:val="21"/>
        </w:rPr>
        <w:t>Pfenninger, S., and Singletion, D., (2016)</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 xml:space="preserve"> Affect trumps age: A person in-context relational view of age and motivation in SLA.</w:t>
      </w:r>
      <w:r>
        <w:rPr>
          <w:rFonts w:hint="default" w:ascii="Times New Roman" w:hAnsi="Times New Roman" w:cs="Times New Roman"/>
          <w:i/>
          <w:iCs/>
          <w:sz w:val="21"/>
          <w:szCs w:val="21"/>
        </w:rPr>
        <w:t xml:space="preserve"> Second Language Research</w:t>
      </w:r>
      <w:r>
        <w:rPr>
          <w:rFonts w:hint="default" w:ascii="Times New Roman" w:hAnsi="Times New Roman" w:cs="Times New Roman"/>
          <w:i/>
          <w:iCs/>
          <w:sz w:val="21"/>
          <w:szCs w:val="21"/>
          <w:lang w:val="en-US" w:eastAsia="zh-CN"/>
        </w:rPr>
        <w:t>,</w:t>
      </w:r>
      <w:r>
        <w:rPr>
          <w:rFonts w:hint="default" w:ascii="Times New Roman" w:hAnsi="Times New Roman" w:cs="Times New Roman"/>
          <w:i/>
          <w:iCs/>
          <w:sz w:val="21"/>
          <w:szCs w:val="21"/>
        </w:rPr>
        <w:t xml:space="preserve"> </w:t>
      </w:r>
      <w:r>
        <w:rPr>
          <w:rFonts w:hint="default" w:ascii="Times New Roman" w:hAnsi="Times New Roman" w:cs="Times New Roman"/>
          <w:sz w:val="21"/>
          <w:szCs w:val="21"/>
        </w:rPr>
        <w:t>2016, Vol. 32(3) 311–345, DOI: 10.1177/0267658315624476</w:t>
      </w:r>
    </w:p>
    <w:p>
      <w:pPr>
        <w:jc w:val="both"/>
        <w:rPr>
          <w:rFonts w:hint="default" w:ascii="Times New Roman" w:hAnsi="Times New Roman" w:cs="Times New Roman"/>
          <w:sz w:val="21"/>
          <w:szCs w:val="21"/>
        </w:rPr>
      </w:pPr>
      <w:r>
        <w:rPr>
          <w:rFonts w:hint="default" w:ascii="Times New Roman" w:hAnsi="Times New Roman" w:cs="Times New Roman"/>
          <w:sz w:val="21"/>
          <w:szCs w:val="21"/>
        </w:rPr>
        <w:t>Philp, J., Mackey, A., and Oliver, R.,(2008)</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 xml:space="preserve"> </w:t>
      </w:r>
      <w:r>
        <w:rPr>
          <w:rFonts w:hint="default" w:ascii="Times New Roman" w:hAnsi="Times New Roman" w:cs="Times New Roman"/>
          <w:i/>
          <w:iCs/>
          <w:sz w:val="21"/>
          <w:szCs w:val="21"/>
        </w:rPr>
        <w:t>Second Language Acquisition and the Younger Learner Child’s Play.</w:t>
      </w:r>
      <w:r>
        <w:rPr>
          <w:rFonts w:hint="default" w:ascii="Times New Roman" w:hAnsi="Times New Roman" w:cs="Times New Roman"/>
          <w:i/>
          <w:iCs/>
          <w:sz w:val="21"/>
          <w:szCs w:val="21"/>
          <w:lang w:val="en-US" w:eastAsia="zh-CN"/>
        </w:rPr>
        <w:t xml:space="preserve"> </w:t>
      </w:r>
      <w:r>
        <w:rPr>
          <w:rFonts w:hint="default" w:ascii="Times New Roman" w:hAnsi="Times New Roman" w:cs="Times New Roman"/>
          <w:sz w:val="21"/>
          <w:szCs w:val="21"/>
        </w:rPr>
        <w:t>Amsterdam/Philadelphia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John Benjamins Publishing Company</w:t>
      </w:r>
    </w:p>
    <w:p>
      <w:pPr>
        <w:jc w:val="both"/>
        <w:rPr>
          <w:rFonts w:hint="default" w:ascii="Times New Roman" w:hAnsi="Times New Roman" w:cs="Times New Roman"/>
          <w:sz w:val="21"/>
          <w:szCs w:val="21"/>
        </w:rPr>
      </w:pPr>
      <w:r>
        <w:rPr>
          <w:rFonts w:hint="default" w:ascii="Times New Roman" w:hAnsi="Times New Roman" w:cs="Times New Roman"/>
          <w:sz w:val="21"/>
          <w:szCs w:val="21"/>
          <w:highlight w:val="none"/>
        </w:rPr>
        <w:t>Schouten, A.,(2009).</w:t>
      </w:r>
      <w:r>
        <w:rPr>
          <w:rFonts w:hint="default"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The Critical Period Hypothesis: Support, Challenge, and Reconceptualization.</w:t>
      </w:r>
      <w:r>
        <w:rPr>
          <w:rFonts w:hint="default" w:ascii="Times New Roman" w:hAnsi="Times New Roman" w:cs="Times New Roman"/>
          <w:i/>
          <w:iCs/>
          <w:sz w:val="21"/>
          <w:szCs w:val="21"/>
          <w:highlight w:val="none"/>
        </w:rPr>
        <w:t xml:space="preserve"> </w:t>
      </w:r>
      <w:r>
        <w:rPr>
          <w:rFonts w:hint="default" w:ascii="Times New Roman" w:hAnsi="Times New Roman" w:cs="Times New Roman"/>
          <w:i/>
          <w:iCs/>
          <w:sz w:val="21"/>
          <w:szCs w:val="21"/>
          <w:highlight w:val="none"/>
          <w:lang w:val="en-US" w:eastAsia="zh-CN"/>
        </w:rPr>
        <w:t>Studies in</w:t>
      </w:r>
      <w:r>
        <w:rPr>
          <w:rFonts w:hint="default" w:ascii="Times New Roman" w:hAnsi="Times New Roman" w:cs="Times New Roman"/>
          <w:i/>
          <w:iCs/>
          <w:sz w:val="21"/>
          <w:szCs w:val="21"/>
          <w:highlight w:val="none"/>
        </w:rPr>
        <w:t xml:space="preserve"> Applied Linguistics&amp;TESOL</w:t>
      </w:r>
      <w:r>
        <w:rPr>
          <w:rFonts w:hint="default" w:ascii="Times New Roman" w:hAnsi="Times New Roman" w:cs="Times New Roman"/>
          <w:sz w:val="21"/>
          <w:szCs w:val="21"/>
          <w:highlight w:val="none"/>
          <w:lang w:val="en-US" w:eastAsia="zh-CN"/>
        </w:rPr>
        <w:t>,</w:t>
      </w:r>
      <w:r>
        <w:rPr>
          <w:rFonts w:hint="default" w:ascii="Times New Roman" w:hAnsi="Times New Roman" w:cs="Times New Roman"/>
          <w:sz w:val="21"/>
          <w:szCs w:val="21"/>
          <w:highlight w:val="none"/>
        </w:rPr>
        <w:t xml:space="preserve"> Vol. 9, No. 1 </w:t>
      </w:r>
    </w:p>
    <w:p>
      <w:pPr>
        <w:jc w:val="both"/>
        <w:rPr>
          <w:rFonts w:hint="default" w:ascii="Times New Roman" w:hAnsi="Times New Roman" w:cs="Times New Roman"/>
          <w:sz w:val="21"/>
          <w:szCs w:val="21"/>
        </w:rPr>
      </w:pPr>
      <w:r>
        <w:rPr>
          <w:rFonts w:hint="default" w:ascii="Times New Roman" w:hAnsi="Times New Roman" w:cs="Times New Roman"/>
          <w:sz w:val="21"/>
          <w:szCs w:val="21"/>
        </w:rPr>
        <w:t xml:space="preserve">Singleton, D., (2007). The critical period hypothesis: Some Problems. </w:t>
      </w:r>
      <w:r>
        <w:rPr>
          <w:rFonts w:hint="default" w:ascii="Times New Roman" w:hAnsi="Times New Roman" w:cs="Times New Roman"/>
          <w:i/>
          <w:iCs/>
          <w:sz w:val="21"/>
          <w:szCs w:val="21"/>
          <w:lang w:val="en-US" w:eastAsia="zh-CN"/>
        </w:rPr>
        <w:t>Interlingüística</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No.</w:t>
      </w:r>
      <w:r>
        <w:rPr>
          <w:rFonts w:hint="default" w:ascii="Times New Roman" w:hAnsi="Times New Roman" w:cs="Times New Roman"/>
          <w:sz w:val="21"/>
          <w:szCs w:val="21"/>
          <w:lang w:val="en-US" w:eastAsia="zh-CN"/>
        </w:rPr>
        <w:t xml:space="preserve">17, 2007, pp. 48-56 </w:t>
      </w:r>
    </w:p>
    <w:p>
      <w:pPr>
        <w:jc w:val="both"/>
        <w:rPr>
          <w:rFonts w:hint="default" w:ascii="Times New Roman" w:hAnsi="Times New Roman" w:cs="Times New Roman"/>
          <w:sz w:val="21"/>
          <w:szCs w:val="21"/>
        </w:rPr>
      </w:pPr>
      <w:r>
        <w:rPr>
          <w:rFonts w:hint="default" w:ascii="Times New Roman" w:hAnsi="Times New Roman" w:cs="Times New Roman"/>
          <w:sz w:val="21"/>
          <w:szCs w:val="21"/>
        </w:rPr>
        <w:t xml:space="preserve">Singleton, D., (2018). L2 acquisition in childhood, adulthood and old age: Misreported and under researched dimensions of the age factor. </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HYPERLINK "https://doi.org/10.1075/jsls.00003.sin"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https://doi.org/10.1075/jsls.00003.sin</w:t>
      </w:r>
      <w:r>
        <w:rPr>
          <w:rFonts w:hint="default" w:ascii="Times New Roman" w:hAnsi="Times New Roman" w:cs="Times New Roman"/>
          <w:sz w:val="21"/>
          <w:szCs w:val="21"/>
        </w:rPr>
        <w:fldChar w:fldCharType="end"/>
      </w:r>
      <w:r>
        <w:rPr>
          <w:rFonts w:hint="default" w:ascii="Times New Roman" w:hAnsi="Times New Roman" w:cs="Times New Roman"/>
          <w:sz w:val="21"/>
          <w:szCs w:val="21"/>
        </w:rPr>
        <w:t xml:space="preserve"> </w:t>
      </w:r>
      <w:r>
        <w:rPr>
          <w:rFonts w:hint="default" w:ascii="Times New Roman" w:hAnsi="Times New Roman" w:cs="Times New Roman"/>
          <w:i/>
          <w:iCs/>
          <w:sz w:val="21"/>
          <w:szCs w:val="21"/>
        </w:rPr>
        <w:t>Journal of Second Language Studies</w:t>
      </w:r>
      <w:r>
        <w:rPr>
          <w:rFonts w:hint="default" w:ascii="Times New Roman" w:hAnsi="Times New Roman" w:cs="Times New Roman"/>
          <w:i/>
          <w:iCs/>
          <w:sz w:val="21"/>
          <w:szCs w:val="21"/>
          <w:lang w:val="en-US" w:eastAsia="zh-CN"/>
        </w:rPr>
        <w:t>,</w:t>
      </w:r>
      <w:r>
        <w:rPr>
          <w:rFonts w:hint="default" w:ascii="Times New Roman" w:hAnsi="Times New Roman" w:cs="Times New Roman"/>
          <w:sz w:val="21"/>
          <w:szCs w:val="21"/>
        </w:rPr>
        <w:t xml:space="preserve"> 1:2 (2018), pp. 254–275. </w:t>
      </w:r>
    </w:p>
    <w:p>
      <w:pPr>
        <w:jc w:val="both"/>
        <w:rPr>
          <w:rFonts w:hint="default" w:ascii="Times New Roman" w:hAnsi="Times New Roman" w:cs="Times New Roman"/>
          <w:sz w:val="21"/>
          <w:szCs w:val="21"/>
        </w:rPr>
      </w:pPr>
      <w:r>
        <w:rPr>
          <w:rFonts w:hint="default" w:ascii="Times New Roman" w:hAnsi="Times New Roman" w:cs="Times New Roman"/>
          <w:sz w:val="21"/>
          <w:szCs w:val="21"/>
        </w:rPr>
        <w:t xml:space="preserve">Slabakova, R.,(2006). </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 xml:space="preserve">Is there a critical period for semantics? </w:t>
      </w:r>
      <w:r>
        <w:rPr>
          <w:rFonts w:hint="default" w:ascii="Times New Roman" w:hAnsi="Times New Roman" w:cs="Times New Roman"/>
          <w:i/>
          <w:iCs/>
          <w:sz w:val="21"/>
          <w:szCs w:val="21"/>
        </w:rPr>
        <w:t>Second Language Research</w:t>
      </w:r>
      <w:r>
        <w:rPr>
          <w:rFonts w:hint="default" w:ascii="Times New Roman" w:hAnsi="Times New Roman" w:cs="Times New Roman"/>
          <w:i/>
          <w:iCs/>
          <w:sz w:val="21"/>
          <w:szCs w:val="21"/>
          <w:lang w:val="en-US" w:eastAsia="zh-CN"/>
        </w:rPr>
        <w:t>,</w:t>
      </w:r>
      <w:r>
        <w:rPr>
          <w:rFonts w:hint="default" w:ascii="Times New Roman" w:hAnsi="Times New Roman" w:cs="Times New Roman"/>
          <w:sz w:val="21"/>
          <w:szCs w:val="21"/>
        </w:rPr>
        <w:t xml:space="preserve"> 22,3 (2006); pp. 302–338</w:t>
      </w:r>
    </w:p>
    <w:p>
      <w:pPr>
        <w:jc w:val="both"/>
        <w:rPr>
          <w:rFonts w:hint="default" w:ascii="Times New Roman" w:hAnsi="Times New Roman" w:cs="Times New Roman"/>
          <w:sz w:val="21"/>
          <w:szCs w:val="21"/>
        </w:rPr>
      </w:pPr>
      <w:r>
        <w:rPr>
          <w:rFonts w:hint="default" w:ascii="Times New Roman" w:hAnsi="Times New Roman" w:cs="Times New Roman"/>
          <w:sz w:val="21"/>
          <w:szCs w:val="21"/>
        </w:rPr>
        <w:t>Ur, P. (2012)</w:t>
      </w:r>
      <w:r>
        <w:rPr>
          <w:rFonts w:hint="default" w:ascii="Times New Roman" w:hAnsi="Times New Roman" w:cs="Times New Roman"/>
          <w:sz w:val="21"/>
          <w:szCs w:val="21"/>
          <w:lang w:val="en-US" w:eastAsia="zh-CN"/>
        </w:rPr>
        <w:t xml:space="preserve">. </w:t>
      </w:r>
      <w:r>
        <w:rPr>
          <w:rFonts w:hint="default" w:ascii="Times New Roman" w:hAnsi="Times New Roman" w:cs="Times New Roman"/>
          <w:i/>
          <w:iCs/>
          <w:sz w:val="21"/>
          <w:szCs w:val="21"/>
        </w:rPr>
        <w:t>A Course in English Language Teaching</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 xml:space="preserve"> Cambridge: CUP</w:t>
      </w:r>
    </w:p>
    <w:p>
      <w:pPr>
        <w:jc w:val="both"/>
        <w:rPr>
          <w:rFonts w:hint="default" w:ascii="Times New Roman" w:hAnsi="Times New Roman" w:cs="Times New Roman"/>
          <w:sz w:val="21"/>
          <w:szCs w:val="21"/>
        </w:rPr>
      </w:pPr>
      <w:r>
        <w:rPr>
          <w:rFonts w:hint="default" w:ascii="Times New Roman" w:hAnsi="Times New Roman" w:cs="Times New Roman"/>
          <w:sz w:val="21"/>
          <w:szCs w:val="21"/>
        </w:rPr>
        <w:t>Vanhove, J.,(2013)</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 xml:space="preserve"> The Critical Period Hypothesis in Second Language Acquisition: A Statistical Critique and a Reanalysis. </w:t>
      </w:r>
      <w:r>
        <w:rPr>
          <w:rFonts w:hint="default" w:ascii="Times New Roman" w:hAnsi="Times New Roman" w:cs="Times New Roman"/>
          <w:i/>
          <w:iCs/>
          <w:sz w:val="21"/>
          <w:szCs w:val="21"/>
        </w:rPr>
        <w:t xml:space="preserve">PLoS ONE </w:t>
      </w:r>
      <w:r>
        <w:rPr>
          <w:rFonts w:hint="default" w:ascii="Times New Roman" w:hAnsi="Times New Roman" w:cs="Times New Roman"/>
          <w:sz w:val="21"/>
          <w:szCs w:val="21"/>
        </w:rPr>
        <w:t>8(7): e69172. doi:10.1371/journal.pone.0069172</w:t>
      </w:r>
    </w:p>
    <w:p>
      <w:pPr>
        <w:jc w:val="both"/>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Wang, T., (2014)</w:t>
      </w:r>
      <w:r>
        <w:rPr>
          <w:rFonts w:hint="default" w:ascii="Times New Roman" w:hAnsi="Times New Roman" w:cs="Times New Roman"/>
          <w:sz w:val="21"/>
          <w:szCs w:val="21"/>
          <w:highlight w:val="none"/>
          <w:lang w:val="en-US" w:eastAsia="zh-CN"/>
        </w:rPr>
        <w:t xml:space="preserve">. </w:t>
      </w:r>
      <w:r>
        <w:rPr>
          <w:rFonts w:hint="default" w:ascii="Times New Roman" w:hAnsi="Times New Roman" w:cs="Times New Roman"/>
          <w:i/>
          <w:iCs/>
          <w:sz w:val="21"/>
          <w:szCs w:val="21"/>
          <w:highlight w:val="none"/>
          <w:lang w:val="en-US" w:eastAsia="zh-CN"/>
        </w:rPr>
        <w:t xml:space="preserve">The </w:t>
      </w:r>
      <w:r>
        <w:rPr>
          <w:rFonts w:hint="default" w:ascii="Times New Roman" w:hAnsi="Times New Roman" w:cs="Times New Roman"/>
          <w:i/>
          <w:iCs/>
          <w:sz w:val="21"/>
          <w:szCs w:val="21"/>
          <w:highlight w:val="none"/>
        </w:rPr>
        <w:t>Thought</w:t>
      </w:r>
      <w:r>
        <w:rPr>
          <w:rFonts w:hint="default" w:ascii="Times New Roman" w:hAnsi="Times New Roman" w:cs="Times New Roman"/>
          <w:i/>
          <w:iCs/>
          <w:sz w:val="21"/>
          <w:szCs w:val="21"/>
          <w:highlight w:val="none"/>
          <w:lang w:val="en-US" w:eastAsia="zh-CN"/>
        </w:rPr>
        <w:t xml:space="preserve"> of</w:t>
      </w:r>
      <w:r>
        <w:rPr>
          <w:rFonts w:hint="default" w:ascii="Times New Roman" w:hAnsi="Times New Roman" w:cs="Times New Roman"/>
          <w:i/>
          <w:iCs/>
          <w:sz w:val="21"/>
          <w:szCs w:val="21"/>
          <w:highlight w:val="none"/>
        </w:rPr>
        <w:t xml:space="preserve"> Dynamic</w:t>
      </w:r>
      <w:r>
        <w:rPr>
          <w:rFonts w:hint="default" w:ascii="Times New Roman" w:hAnsi="Times New Roman" w:cs="Times New Roman"/>
          <w:i/>
          <w:iCs/>
          <w:sz w:val="21"/>
          <w:szCs w:val="21"/>
          <w:highlight w:val="none"/>
          <w:lang w:val="en-US" w:eastAsia="zh-CN"/>
        </w:rPr>
        <w:t>s</w:t>
      </w:r>
      <w:r>
        <w:rPr>
          <w:rFonts w:hint="default" w:ascii="Times New Roman" w:hAnsi="Times New Roman" w:cs="Times New Roman"/>
          <w:i/>
          <w:iCs/>
          <w:sz w:val="21"/>
          <w:szCs w:val="21"/>
          <w:highlight w:val="none"/>
        </w:rPr>
        <w:t xml:space="preserve"> System</w:t>
      </w:r>
      <w:r>
        <w:rPr>
          <w:rFonts w:hint="default" w:ascii="Times New Roman" w:hAnsi="Times New Roman" w:cs="Times New Roman"/>
          <w:i/>
          <w:iCs/>
          <w:sz w:val="21"/>
          <w:szCs w:val="21"/>
          <w:highlight w:val="none"/>
          <w:lang w:val="en-US" w:eastAsia="zh-CN"/>
        </w:rPr>
        <w:t>s</w:t>
      </w:r>
      <w:r>
        <w:rPr>
          <w:rFonts w:hint="default" w:ascii="Times New Roman" w:hAnsi="Times New Roman" w:cs="Times New Roman"/>
          <w:i/>
          <w:iCs/>
          <w:sz w:val="21"/>
          <w:szCs w:val="21"/>
          <w:highlight w:val="none"/>
        </w:rPr>
        <w:t>:</w:t>
      </w:r>
      <w:r>
        <w:rPr>
          <w:rFonts w:hint="default" w:ascii="Times New Roman" w:hAnsi="Times New Roman" w:cs="Times New Roman"/>
          <w:i/>
          <w:iCs/>
          <w:sz w:val="21"/>
          <w:szCs w:val="21"/>
          <w:highlight w:val="none"/>
          <w:lang w:val="en-US" w:eastAsia="zh-CN"/>
        </w:rPr>
        <w:t xml:space="preserve"> Research on Theory and Language</w:t>
      </w:r>
      <w:r>
        <w:rPr>
          <w:rFonts w:hint="default" w:ascii="Times New Roman" w:hAnsi="Times New Roman" w:cs="Times New Roman"/>
          <w:sz w:val="21"/>
          <w:szCs w:val="21"/>
          <w:highlight w:val="none"/>
          <w:lang w:val="en-US" w:eastAsia="zh-CN"/>
        </w:rPr>
        <w:t>.</w:t>
      </w:r>
      <w:r>
        <w:rPr>
          <w:rFonts w:hint="default" w:ascii="Times New Roman" w:hAnsi="Times New Roman" w:cs="Times New Roman"/>
          <w:sz w:val="21"/>
          <w:szCs w:val="21"/>
          <w:highlight w:val="none"/>
        </w:rPr>
        <w:t xml:space="preserve">  Nanking</w:t>
      </w:r>
      <w:r>
        <w:rPr>
          <w:rFonts w:hint="default"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Southeast University Publishing House, </w:t>
      </w:r>
    </w:p>
    <w:p>
      <w:pPr>
        <w:jc w:val="both"/>
        <w:rPr>
          <w:rFonts w:hint="default" w:ascii="Times New Roman" w:hAnsi="Times New Roman" w:cs="Times New Roman"/>
          <w:sz w:val="21"/>
          <w:szCs w:val="21"/>
        </w:rPr>
      </w:pPr>
      <w:r>
        <w:rPr>
          <w:rFonts w:hint="default" w:ascii="Times New Roman" w:hAnsi="Times New Roman" w:cs="Times New Roman"/>
          <w:sz w:val="21"/>
          <w:szCs w:val="21"/>
        </w:rPr>
        <w:t xml:space="preserve">Zheng, J.,(2015) The advantages and disadvantages of early foreign language education. </w:t>
      </w:r>
      <w:r>
        <w:rPr>
          <w:rFonts w:hint="default" w:ascii="Times New Roman" w:hAnsi="Times New Roman" w:cs="Times New Roman"/>
          <w:i/>
          <w:iCs/>
          <w:sz w:val="21"/>
          <w:szCs w:val="21"/>
        </w:rPr>
        <w:t>Journal of Changchun Education Institute</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 xml:space="preserve"> Vol. 31 No. 22</w:t>
      </w:r>
    </w:p>
    <w:p>
      <w:pPr>
        <w:jc w:val="both"/>
        <w:rPr>
          <w:rFonts w:hint="default" w:ascii="Times New Roman" w:hAnsi="Times New Roman" w:cs="Times New Roman"/>
          <w:sz w:val="21"/>
          <w:szCs w:val="21"/>
        </w:rPr>
      </w:pPr>
      <w:r>
        <w:rPr>
          <w:rFonts w:hint="default" w:ascii="Times New Roman" w:hAnsi="Times New Roman" w:cs="Times New Roman"/>
          <w:sz w:val="21"/>
          <w:szCs w:val="21"/>
        </w:rPr>
        <w:t>Zhu Wh.,(2011)</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rPr>
        <w:t xml:space="preserve">The Critical Period of L2 Acquisition Studies: Implications for Researchers in Chinese EFL Context.  </w:t>
      </w:r>
      <w:r>
        <w:rPr>
          <w:rFonts w:hint="default" w:ascii="Times New Roman" w:hAnsi="Times New Roman" w:cs="Times New Roman"/>
          <w:i/>
          <w:iCs/>
          <w:sz w:val="21"/>
          <w:szCs w:val="21"/>
        </w:rPr>
        <w:t>Journal of Language Teaching and Research</w:t>
      </w:r>
      <w:r>
        <w:rPr>
          <w:rFonts w:hint="default" w:ascii="Times New Roman" w:hAnsi="Times New Roman" w:cs="Times New Roman"/>
          <w:sz w:val="21"/>
          <w:szCs w:val="21"/>
          <w:lang w:val="en-US" w:eastAsia="zh-CN"/>
        </w:rPr>
        <w:t>,</w:t>
      </w:r>
      <w:r>
        <w:rPr>
          <w:rFonts w:hint="default" w:ascii="Times New Roman" w:hAnsi="Times New Roman" w:cs="Times New Roman"/>
          <w:sz w:val="21"/>
          <w:szCs w:val="21"/>
        </w:rPr>
        <w:t xml:space="preserve"> November 2011 </w:t>
      </w:r>
    </w:p>
    <w:p>
      <w:pPr>
        <w:widowControl/>
        <w:jc w:val="left"/>
        <w:rPr>
          <w:rFonts w:hint="default" w:ascii="Times New Roman" w:hAnsi="Times New Roman" w:eastAsia="ArialUnicodeMS" w:cs="Times New Roman"/>
          <w:color w:val="000000"/>
          <w:kern w:val="0"/>
          <w:sz w:val="21"/>
          <w:szCs w:val="21"/>
          <w:lang w:bidi="ar"/>
        </w:rPr>
      </w:pPr>
    </w:p>
    <w:p>
      <w:pPr>
        <w:widowControl/>
        <w:jc w:val="left"/>
        <w:rPr>
          <w:rFonts w:hint="default" w:ascii="Times New Roman" w:hAnsi="Times New Roman" w:eastAsia="ArialUnicodeMS" w:cs="Times New Roman"/>
          <w:color w:val="000000"/>
          <w:kern w:val="0"/>
          <w:sz w:val="21"/>
          <w:szCs w:val="21"/>
          <w:lang w:bidi="ar"/>
        </w:rPr>
      </w:pPr>
    </w:p>
    <w:p>
      <w:pPr>
        <w:widowControl/>
        <w:jc w:val="left"/>
        <w:rPr>
          <w:rFonts w:hint="default" w:ascii="Times New Roman" w:hAnsi="Times New Roman" w:eastAsia="BaskervilleMT" w:cs="Times New Roman"/>
          <w:color w:val="000000"/>
          <w:kern w:val="0"/>
          <w:sz w:val="21"/>
          <w:szCs w:val="21"/>
          <w:lang w:bidi="ar"/>
        </w:rPr>
      </w:pPr>
    </w:p>
    <w:p>
      <w:pPr>
        <w:widowControl/>
        <w:jc w:val="left"/>
        <w:rPr>
          <w:rFonts w:hint="default" w:ascii="Times New Roman" w:hAnsi="Times New Roman" w:eastAsia="BaskervilleMT" w:cs="Times New Roman"/>
          <w:color w:val="000000"/>
          <w:kern w:val="0"/>
          <w:sz w:val="21"/>
          <w:szCs w:val="21"/>
          <w:lang w:bidi="ar"/>
        </w:rPr>
      </w:pPr>
    </w:p>
    <w:p>
      <w:pPr>
        <w:rPr>
          <w:rFonts w:hint="default" w:ascii="Times New Roman" w:hAnsi="Times New Roman" w:cs="Times New Roman"/>
          <w:sz w:val="21"/>
          <w:szCs w:val="21"/>
        </w:rPr>
      </w:pPr>
    </w:p>
    <w:p>
      <w:pPr>
        <w:widowControl/>
        <w:jc w:val="left"/>
        <w:rPr>
          <w:rFonts w:hint="default" w:ascii="Times New Roman" w:hAnsi="Times New Roman" w:eastAsia="E-BZ" w:cs="Times New Roman"/>
          <w:color w:val="000000"/>
          <w:kern w:val="0"/>
          <w:sz w:val="21"/>
          <w:szCs w:val="21"/>
          <w:lang w:bidi="ar"/>
        </w:rPr>
      </w:pPr>
    </w:p>
    <w:p>
      <w:pPr>
        <w:widowControl/>
        <w:jc w:val="left"/>
        <w:rPr>
          <w:rFonts w:hint="default" w:ascii="Times New Roman" w:hAnsi="Times New Roman" w:eastAsia="E-BZ" w:cs="Times New Roman"/>
          <w:color w:val="000000"/>
          <w:kern w:val="0"/>
          <w:sz w:val="21"/>
          <w:szCs w:val="21"/>
          <w:lang w:bidi="ar"/>
        </w:rPr>
      </w:pPr>
    </w:p>
    <w:p>
      <w:pPr>
        <w:widowControl/>
        <w:jc w:val="left"/>
        <w:rPr>
          <w:rFonts w:hint="default" w:ascii="Times New Roman" w:hAnsi="Times New Roman" w:eastAsia="E-BZ" w:cs="Times New Roman"/>
          <w:color w:val="000000"/>
          <w:kern w:val="0"/>
          <w:sz w:val="21"/>
          <w:szCs w:val="21"/>
          <w:lang w:bidi="ar"/>
        </w:rPr>
      </w:pPr>
    </w:p>
    <w:p>
      <w:pPr>
        <w:widowControl/>
        <w:jc w:val="left"/>
        <w:rPr>
          <w:rFonts w:hint="default" w:ascii="Times New Roman" w:hAnsi="Times New Roman" w:cs="Times New Roman"/>
          <w:sz w:val="21"/>
          <w:szCs w:val="21"/>
        </w:rPr>
      </w:pPr>
    </w:p>
    <w:p>
      <w:pPr>
        <w:widowControl/>
        <w:jc w:val="left"/>
        <w:rPr>
          <w:rFonts w:hint="default" w:ascii="Times New Roman" w:hAnsi="Times New Roman" w:cs="Times New Roman"/>
          <w:sz w:val="21"/>
          <w:szCs w:val="21"/>
        </w:rPr>
      </w:pPr>
    </w:p>
    <w:p>
      <w:pPr>
        <w:widowControl/>
        <w:jc w:val="left"/>
        <w:rPr>
          <w:rFonts w:hint="default" w:ascii="Times New Roman" w:hAnsi="Times New Roman" w:cs="Times New Roman"/>
          <w:sz w:val="21"/>
          <w:szCs w:val="21"/>
        </w:rPr>
      </w:pPr>
    </w:p>
    <w:p>
      <w:pPr>
        <w:widowControl/>
        <w:jc w:val="left"/>
        <w:rPr>
          <w:rFonts w:hint="default" w:ascii="Times New Roman" w:hAnsi="Times New Roman" w:eastAsia="TimesNewRoman" w:cs="Times New Roman"/>
          <w:color w:val="000000"/>
          <w:kern w:val="0"/>
          <w:sz w:val="21"/>
          <w:szCs w:val="21"/>
          <w:lang w:bidi="ar"/>
        </w:rPr>
      </w:pPr>
    </w:p>
    <w:p>
      <w:pPr>
        <w:widowControl/>
        <w:jc w:val="left"/>
        <w:rPr>
          <w:rFonts w:hint="default" w:ascii="Times New Roman" w:hAnsi="Times New Roman" w:cs="Times New Roman"/>
          <w:sz w:val="21"/>
          <w:szCs w:val="21"/>
        </w:rPr>
      </w:pPr>
      <w:r>
        <w:rPr>
          <w:rFonts w:hint="default" w:ascii="Times New Roman" w:hAnsi="Times New Roman" w:eastAsia="Bold" w:cs="Times New Roman"/>
          <w:b/>
          <w:bCs/>
          <w:color w:val="000000"/>
          <w:kern w:val="0"/>
          <w:sz w:val="21"/>
          <w:szCs w:val="21"/>
          <w:lang w:bidi="ar"/>
        </w:rPr>
        <w:t xml:space="preserve"> </w:t>
      </w:r>
    </w:p>
    <w:p>
      <w:pPr>
        <w:widowControl/>
        <w:jc w:val="left"/>
        <w:rPr>
          <w:rFonts w:hint="default" w:ascii="Times New Roman" w:hAnsi="Times New Roman" w:eastAsia="宋体" w:cs="Times New Roman"/>
          <w:color w:val="000000"/>
          <w:kern w:val="0"/>
          <w:sz w:val="21"/>
          <w:szCs w:val="21"/>
          <w:lang w:bidi="ar"/>
        </w:rPr>
      </w:pPr>
    </w:p>
    <w:p>
      <w:pPr>
        <w:rPr>
          <w:rFonts w:hint="default" w:ascii="Times New Roman" w:hAnsi="Times New Roman" w:cs="Times New Roman"/>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Verdana">
    <w:panose1 w:val="020B0604030504040204"/>
    <w:charset w:val="00"/>
    <w:family w:val="swiss"/>
    <w:pitch w:val="default"/>
    <w:sig w:usb0="A00006FF" w:usb1="4000205B" w:usb2="00000010" w:usb3="00000000" w:csb0="2000019F" w:csb1="00000000"/>
  </w:font>
  <w:font w:name="BaskervilleMT">
    <w:altName w:val="Segoe Print"/>
    <w:panose1 w:val="00000000000000000000"/>
    <w:charset w:val="00"/>
    <w:family w:val="auto"/>
    <w:pitch w:val="default"/>
    <w:sig w:usb0="00000000" w:usb1="00000000" w:usb2="00000000" w:usb3="00000000" w:csb0="00000000" w:csb1="00000000"/>
  </w:font>
  <w:font w:name="BaskervilleMT-Italic">
    <w:altName w:val="Segoe Print"/>
    <w:panose1 w:val="00000000000000000000"/>
    <w:charset w:val="00"/>
    <w:family w:val="auto"/>
    <w:pitch w:val="default"/>
    <w:sig w:usb0="00000000" w:usb1="00000000" w:usb2="00000000" w:usb3="00000000" w:csb0="00000000" w:csb1="00000000"/>
  </w:font>
  <w:font w:name="ArialUnicodeMS">
    <w:altName w:val="Segoe Print"/>
    <w:panose1 w:val="00000000000000000000"/>
    <w:charset w:val="00"/>
    <w:family w:val="auto"/>
    <w:pitch w:val="default"/>
    <w:sig w:usb0="00000000" w:usb1="00000000" w:usb2="00000000" w:usb3="00000000" w:csb0="00000000" w:csb1="00000000"/>
  </w:font>
  <w:font w:name="E-BZ">
    <w:altName w:val="Segoe Print"/>
    <w:panose1 w:val="00000000000000000000"/>
    <w:charset w:val="00"/>
    <w:family w:val="auto"/>
    <w:pitch w:val="default"/>
    <w:sig w:usb0="00000000" w:usb1="00000000" w:usb2="00000000" w:usb3="00000000" w:csb0="00000000" w:csb1="00000000"/>
  </w:font>
  <w:font w:name="TimesNewRoman">
    <w:altName w:val="Segoe Print"/>
    <w:panose1 w:val="00000000000000000000"/>
    <w:charset w:val="00"/>
    <w:family w:val="auto"/>
    <w:pitch w:val="default"/>
    <w:sig w:usb0="00000000" w:usb1="00000000" w:usb2="00000000" w:usb3="00000000" w:csb0="00000000" w:csb1="00000000"/>
  </w:font>
  <w:font w:name="Bold">
    <w:altName w:val="Arial Rounded MT Bold"/>
    <w:panose1 w:val="00000000000000000000"/>
    <w:charset w:val="00"/>
    <w:family w:val="auto"/>
    <w:pitch w:val="default"/>
    <w:sig w:usb0="00000000" w:usb1="00000000" w:usb2="00000000" w:usb3="00000000" w:csb0="00000000" w:csb1="00000000"/>
  </w:font>
  <w:font w:name="Arial Rounded MT Bold">
    <w:panose1 w:val="020F0704030504030204"/>
    <w:charset w:val="00"/>
    <w:family w:val="auto"/>
    <w:pitch w:val="default"/>
    <w:sig w:usb0="00000003"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TimesNewRomanPS-ItalicMT">
    <w:altName w:val="Segoe Print"/>
    <w:panose1 w:val="00000000000000000000"/>
    <w:charset w:val="00"/>
    <w:family w:val="auto"/>
    <w:pitch w:val="default"/>
    <w:sig w:usb0="00000000" w:usb1="00000000" w:usb2="00000000" w:usb3="00000000" w:csb0="00000000" w:csb1="00000000"/>
  </w:font>
  <w:font w:name="SourceSansPro-Regular">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B8B220"/>
    <w:multiLevelType w:val="multilevel"/>
    <w:tmpl w:val="B0B8B220"/>
    <w:lvl w:ilvl="0" w:tentative="0">
      <w:start w:val="1"/>
      <w:numFmt w:val="decimal"/>
      <w:suff w:val="space"/>
      <w:lvlText w:val="%1."/>
      <w:lvlJc w:val="left"/>
      <w:rPr>
        <w:rFonts w:hint="default"/>
        <w:b/>
        <w:bCs/>
        <w:sz w:val="22"/>
        <w:szCs w:val="22"/>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IxMDMxsASSRmbGpko6SsGpxcWZ+XkgBYa1AP2VArgsAAAA"/>
  </w:docVars>
  <w:rsids>
    <w:rsidRoot w:val="005E59BB"/>
    <w:rsid w:val="0005324F"/>
    <w:rsid w:val="0010266E"/>
    <w:rsid w:val="00111826"/>
    <w:rsid w:val="00117E9E"/>
    <w:rsid w:val="001645BE"/>
    <w:rsid w:val="001E565E"/>
    <w:rsid w:val="00323F56"/>
    <w:rsid w:val="00354653"/>
    <w:rsid w:val="00363577"/>
    <w:rsid w:val="0038531F"/>
    <w:rsid w:val="003B7669"/>
    <w:rsid w:val="00431FDD"/>
    <w:rsid w:val="0044049A"/>
    <w:rsid w:val="00442C48"/>
    <w:rsid w:val="00460538"/>
    <w:rsid w:val="00484580"/>
    <w:rsid w:val="004A3490"/>
    <w:rsid w:val="004B2010"/>
    <w:rsid w:val="004F1009"/>
    <w:rsid w:val="005E2300"/>
    <w:rsid w:val="005E59BB"/>
    <w:rsid w:val="00691CF9"/>
    <w:rsid w:val="00693F6D"/>
    <w:rsid w:val="006A3C80"/>
    <w:rsid w:val="006A4BDB"/>
    <w:rsid w:val="006D5558"/>
    <w:rsid w:val="007D3F4E"/>
    <w:rsid w:val="008A4216"/>
    <w:rsid w:val="008A724D"/>
    <w:rsid w:val="008F4FEC"/>
    <w:rsid w:val="00901C55"/>
    <w:rsid w:val="00921DD8"/>
    <w:rsid w:val="0095051E"/>
    <w:rsid w:val="009630E9"/>
    <w:rsid w:val="009867A4"/>
    <w:rsid w:val="009C22F0"/>
    <w:rsid w:val="009E0778"/>
    <w:rsid w:val="00A0077E"/>
    <w:rsid w:val="00A14FFC"/>
    <w:rsid w:val="00A50A1E"/>
    <w:rsid w:val="00A53757"/>
    <w:rsid w:val="00AA33B7"/>
    <w:rsid w:val="00AE53FC"/>
    <w:rsid w:val="00B005DE"/>
    <w:rsid w:val="00B24592"/>
    <w:rsid w:val="00C72D48"/>
    <w:rsid w:val="00C8330A"/>
    <w:rsid w:val="00C8530F"/>
    <w:rsid w:val="00D03F9B"/>
    <w:rsid w:val="00D66C9E"/>
    <w:rsid w:val="00ED6FD9"/>
    <w:rsid w:val="00EF3DEB"/>
    <w:rsid w:val="00F36C40"/>
    <w:rsid w:val="00F42038"/>
    <w:rsid w:val="00F65B6E"/>
    <w:rsid w:val="00F84F01"/>
    <w:rsid w:val="00F94714"/>
    <w:rsid w:val="010F716E"/>
    <w:rsid w:val="01275D5C"/>
    <w:rsid w:val="01386FF5"/>
    <w:rsid w:val="01443E7F"/>
    <w:rsid w:val="01BB143C"/>
    <w:rsid w:val="01CF6D4C"/>
    <w:rsid w:val="01F2185A"/>
    <w:rsid w:val="0232083E"/>
    <w:rsid w:val="02504181"/>
    <w:rsid w:val="02564760"/>
    <w:rsid w:val="0299243E"/>
    <w:rsid w:val="02AB56DC"/>
    <w:rsid w:val="02D339B7"/>
    <w:rsid w:val="035B3C3B"/>
    <w:rsid w:val="0363396F"/>
    <w:rsid w:val="037F3F6F"/>
    <w:rsid w:val="03C91AED"/>
    <w:rsid w:val="03CC039E"/>
    <w:rsid w:val="04542950"/>
    <w:rsid w:val="04A41A75"/>
    <w:rsid w:val="04DC4501"/>
    <w:rsid w:val="04F66448"/>
    <w:rsid w:val="05141D85"/>
    <w:rsid w:val="051E3057"/>
    <w:rsid w:val="058968FC"/>
    <w:rsid w:val="061B2B0A"/>
    <w:rsid w:val="06B32FBB"/>
    <w:rsid w:val="06BB4EDE"/>
    <w:rsid w:val="07242C5B"/>
    <w:rsid w:val="079B1010"/>
    <w:rsid w:val="08055961"/>
    <w:rsid w:val="082E7772"/>
    <w:rsid w:val="08610096"/>
    <w:rsid w:val="08795D46"/>
    <w:rsid w:val="08A048C7"/>
    <w:rsid w:val="09020049"/>
    <w:rsid w:val="09092771"/>
    <w:rsid w:val="094F0B21"/>
    <w:rsid w:val="09672912"/>
    <w:rsid w:val="09770F2B"/>
    <w:rsid w:val="09B46A34"/>
    <w:rsid w:val="09B71893"/>
    <w:rsid w:val="09D16403"/>
    <w:rsid w:val="09E136B9"/>
    <w:rsid w:val="0A2430DD"/>
    <w:rsid w:val="0A7412B6"/>
    <w:rsid w:val="0A840988"/>
    <w:rsid w:val="0AA97520"/>
    <w:rsid w:val="0AB74C24"/>
    <w:rsid w:val="0AEB4BE8"/>
    <w:rsid w:val="0B3D32BE"/>
    <w:rsid w:val="0B513295"/>
    <w:rsid w:val="0B541F05"/>
    <w:rsid w:val="0B6B36BE"/>
    <w:rsid w:val="0B9427FF"/>
    <w:rsid w:val="0BB60856"/>
    <w:rsid w:val="0BFB6D50"/>
    <w:rsid w:val="0C281180"/>
    <w:rsid w:val="0C3C36E9"/>
    <w:rsid w:val="0C8C7A08"/>
    <w:rsid w:val="0CF20800"/>
    <w:rsid w:val="0CFC60D0"/>
    <w:rsid w:val="0D12284C"/>
    <w:rsid w:val="0D266749"/>
    <w:rsid w:val="0D394351"/>
    <w:rsid w:val="0D4E1A22"/>
    <w:rsid w:val="0D530AAC"/>
    <w:rsid w:val="0D6B1CCF"/>
    <w:rsid w:val="0DC01466"/>
    <w:rsid w:val="0DDB5FF4"/>
    <w:rsid w:val="0DF94394"/>
    <w:rsid w:val="0E524ED6"/>
    <w:rsid w:val="0E7C2989"/>
    <w:rsid w:val="0F505383"/>
    <w:rsid w:val="0F514858"/>
    <w:rsid w:val="0F6F1E11"/>
    <w:rsid w:val="0F737B30"/>
    <w:rsid w:val="0FCC3A1A"/>
    <w:rsid w:val="0FDB6E52"/>
    <w:rsid w:val="10187E49"/>
    <w:rsid w:val="10270BD1"/>
    <w:rsid w:val="104F0402"/>
    <w:rsid w:val="10901C18"/>
    <w:rsid w:val="109A13E7"/>
    <w:rsid w:val="10B1587D"/>
    <w:rsid w:val="10B4677D"/>
    <w:rsid w:val="10BB0235"/>
    <w:rsid w:val="10C27DF4"/>
    <w:rsid w:val="10CC0F60"/>
    <w:rsid w:val="10DF003C"/>
    <w:rsid w:val="114B3ACD"/>
    <w:rsid w:val="117B3233"/>
    <w:rsid w:val="119311EC"/>
    <w:rsid w:val="119567B0"/>
    <w:rsid w:val="11AE7150"/>
    <w:rsid w:val="11D64957"/>
    <w:rsid w:val="11DE4CE6"/>
    <w:rsid w:val="11E66469"/>
    <w:rsid w:val="11F776A2"/>
    <w:rsid w:val="125A6502"/>
    <w:rsid w:val="128143F5"/>
    <w:rsid w:val="12AF3BD7"/>
    <w:rsid w:val="12AF6AFF"/>
    <w:rsid w:val="12D02214"/>
    <w:rsid w:val="12F37911"/>
    <w:rsid w:val="1378712B"/>
    <w:rsid w:val="13AC0442"/>
    <w:rsid w:val="13C36DC5"/>
    <w:rsid w:val="13E851A3"/>
    <w:rsid w:val="147E3CA5"/>
    <w:rsid w:val="14AC4953"/>
    <w:rsid w:val="14E75EF3"/>
    <w:rsid w:val="151E1238"/>
    <w:rsid w:val="152876B0"/>
    <w:rsid w:val="15410FA6"/>
    <w:rsid w:val="155558A1"/>
    <w:rsid w:val="15B62E00"/>
    <w:rsid w:val="15BA5484"/>
    <w:rsid w:val="15D055F7"/>
    <w:rsid w:val="15D31BF8"/>
    <w:rsid w:val="163C506D"/>
    <w:rsid w:val="164966AC"/>
    <w:rsid w:val="16566811"/>
    <w:rsid w:val="1768015B"/>
    <w:rsid w:val="17753B87"/>
    <w:rsid w:val="17F57856"/>
    <w:rsid w:val="18864783"/>
    <w:rsid w:val="18DF35EB"/>
    <w:rsid w:val="190A53AB"/>
    <w:rsid w:val="190B0202"/>
    <w:rsid w:val="194277EE"/>
    <w:rsid w:val="196278FD"/>
    <w:rsid w:val="19C94C6F"/>
    <w:rsid w:val="1A25645F"/>
    <w:rsid w:val="1A3F6737"/>
    <w:rsid w:val="1AB94510"/>
    <w:rsid w:val="1AD054C0"/>
    <w:rsid w:val="1AE84FF6"/>
    <w:rsid w:val="1AF972FF"/>
    <w:rsid w:val="1B0E3E4F"/>
    <w:rsid w:val="1B192A72"/>
    <w:rsid w:val="1B3E74B0"/>
    <w:rsid w:val="1B493E7B"/>
    <w:rsid w:val="1B6B6672"/>
    <w:rsid w:val="1B7C2821"/>
    <w:rsid w:val="1BCF4DB9"/>
    <w:rsid w:val="1BFB4E2F"/>
    <w:rsid w:val="1BFE2FBF"/>
    <w:rsid w:val="1C0D568F"/>
    <w:rsid w:val="1C653C06"/>
    <w:rsid w:val="1D0B7943"/>
    <w:rsid w:val="1D5A760A"/>
    <w:rsid w:val="1D625F89"/>
    <w:rsid w:val="1DBE1B06"/>
    <w:rsid w:val="1E090D69"/>
    <w:rsid w:val="1E1A5D86"/>
    <w:rsid w:val="1E3501D2"/>
    <w:rsid w:val="1E744740"/>
    <w:rsid w:val="1E954D5D"/>
    <w:rsid w:val="1E97259F"/>
    <w:rsid w:val="1E983986"/>
    <w:rsid w:val="1E9A69A3"/>
    <w:rsid w:val="1E9C4595"/>
    <w:rsid w:val="1EA01F75"/>
    <w:rsid w:val="1EC67680"/>
    <w:rsid w:val="1F3A6803"/>
    <w:rsid w:val="1F6C4A20"/>
    <w:rsid w:val="1FCC113F"/>
    <w:rsid w:val="1FDF5692"/>
    <w:rsid w:val="200030EB"/>
    <w:rsid w:val="2038029E"/>
    <w:rsid w:val="203A7EF9"/>
    <w:rsid w:val="203C7CBB"/>
    <w:rsid w:val="205271A1"/>
    <w:rsid w:val="205B4E0D"/>
    <w:rsid w:val="208A29FB"/>
    <w:rsid w:val="209425AD"/>
    <w:rsid w:val="20D854DD"/>
    <w:rsid w:val="20F53029"/>
    <w:rsid w:val="20FB396D"/>
    <w:rsid w:val="212D42F9"/>
    <w:rsid w:val="213C5DAE"/>
    <w:rsid w:val="21B438BB"/>
    <w:rsid w:val="21C55221"/>
    <w:rsid w:val="21D02DFF"/>
    <w:rsid w:val="21D43328"/>
    <w:rsid w:val="222B5CB5"/>
    <w:rsid w:val="223D2CA6"/>
    <w:rsid w:val="2244629E"/>
    <w:rsid w:val="22456E19"/>
    <w:rsid w:val="229B723A"/>
    <w:rsid w:val="237C502D"/>
    <w:rsid w:val="237F0196"/>
    <w:rsid w:val="238D6577"/>
    <w:rsid w:val="23996DAE"/>
    <w:rsid w:val="23A444B1"/>
    <w:rsid w:val="23C0799C"/>
    <w:rsid w:val="24402A0D"/>
    <w:rsid w:val="24475D49"/>
    <w:rsid w:val="24A71A4A"/>
    <w:rsid w:val="24D70C31"/>
    <w:rsid w:val="24D968E7"/>
    <w:rsid w:val="25104EAA"/>
    <w:rsid w:val="25317393"/>
    <w:rsid w:val="25752342"/>
    <w:rsid w:val="25B519DB"/>
    <w:rsid w:val="25D50166"/>
    <w:rsid w:val="25D62A3F"/>
    <w:rsid w:val="25EC491D"/>
    <w:rsid w:val="26161143"/>
    <w:rsid w:val="263465D2"/>
    <w:rsid w:val="269775FF"/>
    <w:rsid w:val="26B20E87"/>
    <w:rsid w:val="26C35702"/>
    <w:rsid w:val="26CA4A4A"/>
    <w:rsid w:val="26DE2E2F"/>
    <w:rsid w:val="27190ED6"/>
    <w:rsid w:val="277F6C03"/>
    <w:rsid w:val="278A25A2"/>
    <w:rsid w:val="279C0147"/>
    <w:rsid w:val="27DA0E82"/>
    <w:rsid w:val="27DC4B99"/>
    <w:rsid w:val="27F732F1"/>
    <w:rsid w:val="282F3530"/>
    <w:rsid w:val="283D4555"/>
    <w:rsid w:val="28543EF3"/>
    <w:rsid w:val="28663650"/>
    <w:rsid w:val="286F5FAB"/>
    <w:rsid w:val="287D451D"/>
    <w:rsid w:val="28823DDE"/>
    <w:rsid w:val="28F37C87"/>
    <w:rsid w:val="29231E95"/>
    <w:rsid w:val="294205C5"/>
    <w:rsid w:val="29997E18"/>
    <w:rsid w:val="2A7A22EA"/>
    <w:rsid w:val="2AA170BF"/>
    <w:rsid w:val="2AA71C34"/>
    <w:rsid w:val="2AAD35FA"/>
    <w:rsid w:val="2AD10784"/>
    <w:rsid w:val="2B083972"/>
    <w:rsid w:val="2B1A5A2D"/>
    <w:rsid w:val="2B1D3CFD"/>
    <w:rsid w:val="2B302003"/>
    <w:rsid w:val="2B8C0B83"/>
    <w:rsid w:val="2B8E2789"/>
    <w:rsid w:val="2B8F3694"/>
    <w:rsid w:val="2C7859F7"/>
    <w:rsid w:val="2C827891"/>
    <w:rsid w:val="2CC01EED"/>
    <w:rsid w:val="2CC12C12"/>
    <w:rsid w:val="2CCD0614"/>
    <w:rsid w:val="2CDC3BFF"/>
    <w:rsid w:val="2CED233A"/>
    <w:rsid w:val="2D122A3D"/>
    <w:rsid w:val="2D237233"/>
    <w:rsid w:val="2D402F33"/>
    <w:rsid w:val="2D5E340E"/>
    <w:rsid w:val="2D91493C"/>
    <w:rsid w:val="2E085715"/>
    <w:rsid w:val="2E3547DC"/>
    <w:rsid w:val="2E6431C2"/>
    <w:rsid w:val="2E816F0F"/>
    <w:rsid w:val="2E8C5A07"/>
    <w:rsid w:val="2EA467F2"/>
    <w:rsid w:val="2EAC4D0B"/>
    <w:rsid w:val="2EB26D74"/>
    <w:rsid w:val="2ED22E90"/>
    <w:rsid w:val="2EF12013"/>
    <w:rsid w:val="2F6C4603"/>
    <w:rsid w:val="2F81147E"/>
    <w:rsid w:val="2F834A35"/>
    <w:rsid w:val="2FD46B1C"/>
    <w:rsid w:val="3006193E"/>
    <w:rsid w:val="30147E79"/>
    <w:rsid w:val="301D04B1"/>
    <w:rsid w:val="301D149B"/>
    <w:rsid w:val="30653E2D"/>
    <w:rsid w:val="307A7FC5"/>
    <w:rsid w:val="309553D8"/>
    <w:rsid w:val="309F69BF"/>
    <w:rsid w:val="30C62791"/>
    <w:rsid w:val="30CB2195"/>
    <w:rsid w:val="30D40D2F"/>
    <w:rsid w:val="30DB402A"/>
    <w:rsid w:val="30E27238"/>
    <w:rsid w:val="30FB5C8D"/>
    <w:rsid w:val="30FD1470"/>
    <w:rsid w:val="313C4C7E"/>
    <w:rsid w:val="317E0A11"/>
    <w:rsid w:val="318E3C05"/>
    <w:rsid w:val="31AD22B2"/>
    <w:rsid w:val="31BD2F57"/>
    <w:rsid w:val="31C63170"/>
    <w:rsid w:val="31D85F6E"/>
    <w:rsid w:val="31DD0B99"/>
    <w:rsid w:val="32221237"/>
    <w:rsid w:val="32237280"/>
    <w:rsid w:val="323D2201"/>
    <w:rsid w:val="326C2BBA"/>
    <w:rsid w:val="327D5B6D"/>
    <w:rsid w:val="32B71A7F"/>
    <w:rsid w:val="32BE0CF8"/>
    <w:rsid w:val="33001723"/>
    <w:rsid w:val="33172AE1"/>
    <w:rsid w:val="33291FBE"/>
    <w:rsid w:val="334670F1"/>
    <w:rsid w:val="33941331"/>
    <w:rsid w:val="33A875A4"/>
    <w:rsid w:val="33D035DA"/>
    <w:rsid w:val="343851BA"/>
    <w:rsid w:val="34451531"/>
    <w:rsid w:val="347F6860"/>
    <w:rsid w:val="348217F0"/>
    <w:rsid w:val="34A15779"/>
    <w:rsid w:val="350132FA"/>
    <w:rsid w:val="35750874"/>
    <w:rsid w:val="357C053F"/>
    <w:rsid w:val="35A5721C"/>
    <w:rsid w:val="35B0393D"/>
    <w:rsid w:val="35C20B67"/>
    <w:rsid w:val="35DD4E03"/>
    <w:rsid w:val="360E6070"/>
    <w:rsid w:val="36161FF9"/>
    <w:rsid w:val="362062FD"/>
    <w:rsid w:val="363870E4"/>
    <w:rsid w:val="36F43EF9"/>
    <w:rsid w:val="36F514A6"/>
    <w:rsid w:val="37406137"/>
    <w:rsid w:val="37572390"/>
    <w:rsid w:val="37B9009F"/>
    <w:rsid w:val="38B316F5"/>
    <w:rsid w:val="39017042"/>
    <w:rsid w:val="393214B8"/>
    <w:rsid w:val="396C6BFC"/>
    <w:rsid w:val="39965C0B"/>
    <w:rsid w:val="3A4F2BD5"/>
    <w:rsid w:val="3A6C26E7"/>
    <w:rsid w:val="3A931CC5"/>
    <w:rsid w:val="3AA37F8A"/>
    <w:rsid w:val="3AA516F8"/>
    <w:rsid w:val="3AA54AB6"/>
    <w:rsid w:val="3AB63B3C"/>
    <w:rsid w:val="3AB90E4A"/>
    <w:rsid w:val="3B233FD5"/>
    <w:rsid w:val="3B984C62"/>
    <w:rsid w:val="3BC01BD1"/>
    <w:rsid w:val="3C181ED1"/>
    <w:rsid w:val="3C7B6744"/>
    <w:rsid w:val="3CC8517F"/>
    <w:rsid w:val="3CDF786D"/>
    <w:rsid w:val="3CEB24B8"/>
    <w:rsid w:val="3D381D17"/>
    <w:rsid w:val="3D595877"/>
    <w:rsid w:val="3DA8746A"/>
    <w:rsid w:val="3E385B68"/>
    <w:rsid w:val="3E607EB2"/>
    <w:rsid w:val="3E7D0D0A"/>
    <w:rsid w:val="3E821C26"/>
    <w:rsid w:val="3E956AB5"/>
    <w:rsid w:val="3F034A07"/>
    <w:rsid w:val="3F3370DB"/>
    <w:rsid w:val="3F3B2BDF"/>
    <w:rsid w:val="3F3C30D1"/>
    <w:rsid w:val="3F484EEC"/>
    <w:rsid w:val="3F8119DB"/>
    <w:rsid w:val="3FC01631"/>
    <w:rsid w:val="402D7666"/>
    <w:rsid w:val="406476CC"/>
    <w:rsid w:val="41055CF1"/>
    <w:rsid w:val="41542B02"/>
    <w:rsid w:val="416E05E2"/>
    <w:rsid w:val="4187783A"/>
    <w:rsid w:val="418E1560"/>
    <w:rsid w:val="4194490C"/>
    <w:rsid w:val="41DF32F0"/>
    <w:rsid w:val="4218699B"/>
    <w:rsid w:val="421A6B89"/>
    <w:rsid w:val="424C6A2F"/>
    <w:rsid w:val="42E81DE4"/>
    <w:rsid w:val="430936A0"/>
    <w:rsid w:val="4330323E"/>
    <w:rsid w:val="43545262"/>
    <w:rsid w:val="436B57A8"/>
    <w:rsid w:val="43864531"/>
    <w:rsid w:val="439071F2"/>
    <w:rsid w:val="43957C05"/>
    <w:rsid w:val="43CF69C9"/>
    <w:rsid w:val="44215CAC"/>
    <w:rsid w:val="44562B19"/>
    <w:rsid w:val="44856E5B"/>
    <w:rsid w:val="450B75FB"/>
    <w:rsid w:val="456016C4"/>
    <w:rsid w:val="45A25898"/>
    <w:rsid w:val="45AD38DB"/>
    <w:rsid w:val="45C152DB"/>
    <w:rsid w:val="45D0250C"/>
    <w:rsid w:val="45EF7206"/>
    <w:rsid w:val="4619034E"/>
    <w:rsid w:val="46357786"/>
    <w:rsid w:val="463E089E"/>
    <w:rsid w:val="46426E8F"/>
    <w:rsid w:val="468A2DCA"/>
    <w:rsid w:val="46C9642B"/>
    <w:rsid w:val="46EE6B1A"/>
    <w:rsid w:val="471A5212"/>
    <w:rsid w:val="472C06F0"/>
    <w:rsid w:val="472C59BC"/>
    <w:rsid w:val="47333C67"/>
    <w:rsid w:val="4785220E"/>
    <w:rsid w:val="47906FE2"/>
    <w:rsid w:val="47953212"/>
    <w:rsid w:val="47B3562B"/>
    <w:rsid w:val="47B418AA"/>
    <w:rsid w:val="47E20A94"/>
    <w:rsid w:val="48702A21"/>
    <w:rsid w:val="487220A1"/>
    <w:rsid w:val="4878691A"/>
    <w:rsid w:val="48925989"/>
    <w:rsid w:val="48FD3DEA"/>
    <w:rsid w:val="49574E3C"/>
    <w:rsid w:val="49584387"/>
    <w:rsid w:val="49693951"/>
    <w:rsid w:val="499C3165"/>
    <w:rsid w:val="49C421D1"/>
    <w:rsid w:val="4A1D1AAD"/>
    <w:rsid w:val="4A240E1E"/>
    <w:rsid w:val="4A371840"/>
    <w:rsid w:val="4A6F68E5"/>
    <w:rsid w:val="4A881763"/>
    <w:rsid w:val="4A900166"/>
    <w:rsid w:val="4A956145"/>
    <w:rsid w:val="4B4B2F3C"/>
    <w:rsid w:val="4B8639CF"/>
    <w:rsid w:val="4B900042"/>
    <w:rsid w:val="4BE10066"/>
    <w:rsid w:val="4C58183C"/>
    <w:rsid w:val="4C807E42"/>
    <w:rsid w:val="4D3766A4"/>
    <w:rsid w:val="4D4B4770"/>
    <w:rsid w:val="4D736A88"/>
    <w:rsid w:val="4D7F44EA"/>
    <w:rsid w:val="4DC56487"/>
    <w:rsid w:val="4DDE5391"/>
    <w:rsid w:val="4E0E30F0"/>
    <w:rsid w:val="4E314A67"/>
    <w:rsid w:val="4E362928"/>
    <w:rsid w:val="4E5038E9"/>
    <w:rsid w:val="4E513AD6"/>
    <w:rsid w:val="4E5D2A95"/>
    <w:rsid w:val="4E723016"/>
    <w:rsid w:val="4E8D5974"/>
    <w:rsid w:val="4E9D5E1E"/>
    <w:rsid w:val="4EA12E57"/>
    <w:rsid w:val="4EAF49CE"/>
    <w:rsid w:val="4ECE41B7"/>
    <w:rsid w:val="4ECE4285"/>
    <w:rsid w:val="4F322DED"/>
    <w:rsid w:val="4F507BCA"/>
    <w:rsid w:val="4F853F9B"/>
    <w:rsid w:val="4F975B99"/>
    <w:rsid w:val="4FAB33AA"/>
    <w:rsid w:val="4FBB046A"/>
    <w:rsid w:val="4FBF703B"/>
    <w:rsid w:val="4FD51FF0"/>
    <w:rsid w:val="5011522C"/>
    <w:rsid w:val="50644765"/>
    <w:rsid w:val="50874969"/>
    <w:rsid w:val="508A126F"/>
    <w:rsid w:val="50B248BD"/>
    <w:rsid w:val="50D83B8E"/>
    <w:rsid w:val="51B32DF6"/>
    <w:rsid w:val="51C426DC"/>
    <w:rsid w:val="51E175B6"/>
    <w:rsid w:val="52021E5B"/>
    <w:rsid w:val="520E1DD1"/>
    <w:rsid w:val="52405C5D"/>
    <w:rsid w:val="52514547"/>
    <w:rsid w:val="52AF35BD"/>
    <w:rsid w:val="52C934D5"/>
    <w:rsid w:val="53531088"/>
    <w:rsid w:val="535D76DD"/>
    <w:rsid w:val="538107A9"/>
    <w:rsid w:val="539E0B7F"/>
    <w:rsid w:val="54437766"/>
    <w:rsid w:val="54844055"/>
    <w:rsid w:val="54EB242E"/>
    <w:rsid w:val="54EB5D08"/>
    <w:rsid w:val="55506C45"/>
    <w:rsid w:val="555B698C"/>
    <w:rsid w:val="5587404F"/>
    <w:rsid w:val="55AB2192"/>
    <w:rsid w:val="55BA7EB5"/>
    <w:rsid w:val="55CF6B8D"/>
    <w:rsid w:val="55D93C71"/>
    <w:rsid w:val="5618221C"/>
    <w:rsid w:val="562B6FDA"/>
    <w:rsid w:val="56427C73"/>
    <w:rsid w:val="56431446"/>
    <w:rsid w:val="56602983"/>
    <w:rsid w:val="56E86D58"/>
    <w:rsid w:val="56F87F04"/>
    <w:rsid w:val="5718001E"/>
    <w:rsid w:val="57787A45"/>
    <w:rsid w:val="577F5B91"/>
    <w:rsid w:val="589451AF"/>
    <w:rsid w:val="589C4A4C"/>
    <w:rsid w:val="59097AA9"/>
    <w:rsid w:val="590D2FEF"/>
    <w:rsid w:val="59C726B2"/>
    <w:rsid w:val="5A2775EE"/>
    <w:rsid w:val="5A34042E"/>
    <w:rsid w:val="5A4057BB"/>
    <w:rsid w:val="5A597564"/>
    <w:rsid w:val="5A8A3D30"/>
    <w:rsid w:val="5AA12F51"/>
    <w:rsid w:val="5ABF7CE0"/>
    <w:rsid w:val="5B043C8E"/>
    <w:rsid w:val="5B196DCB"/>
    <w:rsid w:val="5B4B5250"/>
    <w:rsid w:val="5B6606C1"/>
    <w:rsid w:val="5B7212E4"/>
    <w:rsid w:val="5BA105B3"/>
    <w:rsid w:val="5BB31730"/>
    <w:rsid w:val="5BCD029C"/>
    <w:rsid w:val="5C187189"/>
    <w:rsid w:val="5C3006E6"/>
    <w:rsid w:val="5C3F71D5"/>
    <w:rsid w:val="5C540225"/>
    <w:rsid w:val="5C5C24EE"/>
    <w:rsid w:val="5C972EEF"/>
    <w:rsid w:val="5C9E2161"/>
    <w:rsid w:val="5CAE5F67"/>
    <w:rsid w:val="5CFF1162"/>
    <w:rsid w:val="5D06097C"/>
    <w:rsid w:val="5D425BED"/>
    <w:rsid w:val="5D903FB1"/>
    <w:rsid w:val="5E6C7C76"/>
    <w:rsid w:val="5E8C224F"/>
    <w:rsid w:val="5F636ACB"/>
    <w:rsid w:val="5F6A4084"/>
    <w:rsid w:val="5F7C08D0"/>
    <w:rsid w:val="5F8A1A84"/>
    <w:rsid w:val="5FA857B4"/>
    <w:rsid w:val="5FC84EC8"/>
    <w:rsid w:val="5FF608D7"/>
    <w:rsid w:val="60416151"/>
    <w:rsid w:val="60886C75"/>
    <w:rsid w:val="60B04DE0"/>
    <w:rsid w:val="60D15A01"/>
    <w:rsid w:val="60FC76F7"/>
    <w:rsid w:val="614A257D"/>
    <w:rsid w:val="615C28E3"/>
    <w:rsid w:val="617A0C43"/>
    <w:rsid w:val="61A53245"/>
    <w:rsid w:val="61F32E73"/>
    <w:rsid w:val="61F42D87"/>
    <w:rsid w:val="6215528A"/>
    <w:rsid w:val="625012A4"/>
    <w:rsid w:val="625154EF"/>
    <w:rsid w:val="62956CAE"/>
    <w:rsid w:val="62A7437B"/>
    <w:rsid w:val="62C61888"/>
    <w:rsid w:val="63062E73"/>
    <w:rsid w:val="63880B62"/>
    <w:rsid w:val="63E704FE"/>
    <w:rsid w:val="64617D9B"/>
    <w:rsid w:val="64F72BDB"/>
    <w:rsid w:val="65846E27"/>
    <w:rsid w:val="65AF394E"/>
    <w:rsid w:val="65D442A5"/>
    <w:rsid w:val="65DA775F"/>
    <w:rsid w:val="65EE7F26"/>
    <w:rsid w:val="65FD5C51"/>
    <w:rsid w:val="660A5D56"/>
    <w:rsid w:val="66203A3D"/>
    <w:rsid w:val="66243B4F"/>
    <w:rsid w:val="6642721D"/>
    <w:rsid w:val="666B6815"/>
    <w:rsid w:val="667F00A3"/>
    <w:rsid w:val="668D42AD"/>
    <w:rsid w:val="66AE2729"/>
    <w:rsid w:val="66DE216D"/>
    <w:rsid w:val="6746157D"/>
    <w:rsid w:val="67507EEE"/>
    <w:rsid w:val="676F49B3"/>
    <w:rsid w:val="68004160"/>
    <w:rsid w:val="68145ED6"/>
    <w:rsid w:val="6851645A"/>
    <w:rsid w:val="687722AE"/>
    <w:rsid w:val="687F6DB8"/>
    <w:rsid w:val="68A320B5"/>
    <w:rsid w:val="68D730CA"/>
    <w:rsid w:val="68E4221E"/>
    <w:rsid w:val="69197723"/>
    <w:rsid w:val="69361509"/>
    <w:rsid w:val="693E2246"/>
    <w:rsid w:val="696A21B2"/>
    <w:rsid w:val="696F2B14"/>
    <w:rsid w:val="697A1B22"/>
    <w:rsid w:val="69F43FA7"/>
    <w:rsid w:val="6A2254F8"/>
    <w:rsid w:val="6A382446"/>
    <w:rsid w:val="6A486DD5"/>
    <w:rsid w:val="6A925F88"/>
    <w:rsid w:val="6A9B6576"/>
    <w:rsid w:val="6B2D422E"/>
    <w:rsid w:val="6B32490C"/>
    <w:rsid w:val="6B4471C3"/>
    <w:rsid w:val="6B7E18DF"/>
    <w:rsid w:val="6B967118"/>
    <w:rsid w:val="6BAF1398"/>
    <w:rsid w:val="6BDC4B28"/>
    <w:rsid w:val="6C1061B8"/>
    <w:rsid w:val="6C423307"/>
    <w:rsid w:val="6C440D2E"/>
    <w:rsid w:val="6C806F33"/>
    <w:rsid w:val="6C8324AF"/>
    <w:rsid w:val="6CCC33F1"/>
    <w:rsid w:val="6CE85D89"/>
    <w:rsid w:val="6D0B16EE"/>
    <w:rsid w:val="6D5C03EF"/>
    <w:rsid w:val="6D7B7568"/>
    <w:rsid w:val="6DDE5A87"/>
    <w:rsid w:val="6E3B44B6"/>
    <w:rsid w:val="6E6255F0"/>
    <w:rsid w:val="6E8642FE"/>
    <w:rsid w:val="6EBF1A48"/>
    <w:rsid w:val="6EDC51AC"/>
    <w:rsid w:val="6F031E61"/>
    <w:rsid w:val="6F4C6F41"/>
    <w:rsid w:val="6F5C7823"/>
    <w:rsid w:val="6FBA4CB6"/>
    <w:rsid w:val="6FEB3DF4"/>
    <w:rsid w:val="70262E1A"/>
    <w:rsid w:val="70562687"/>
    <w:rsid w:val="708655E0"/>
    <w:rsid w:val="70891D62"/>
    <w:rsid w:val="70DD1100"/>
    <w:rsid w:val="71103D1C"/>
    <w:rsid w:val="713E38F2"/>
    <w:rsid w:val="71601ED2"/>
    <w:rsid w:val="719F57E3"/>
    <w:rsid w:val="71BA0448"/>
    <w:rsid w:val="71BD215D"/>
    <w:rsid w:val="71C02762"/>
    <w:rsid w:val="71CF6C6B"/>
    <w:rsid w:val="71D327BA"/>
    <w:rsid w:val="71D42DEF"/>
    <w:rsid w:val="72250BC2"/>
    <w:rsid w:val="725B48BC"/>
    <w:rsid w:val="72B92A7F"/>
    <w:rsid w:val="73083ECD"/>
    <w:rsid w:val="73161CEC"/>
    <w:rsid w:val="73175BAF"/>
    <w:rsid w:val="735A238A"/>
    <w:rsid w:val="73C01F52"/>
    <w:rsid w:val="73E35CAD"/>
    <w:rsid w:val="743F2D0E"/>
    <w:rsid w:val="74794845"/>
    <w:rsid w:val="74992743"/>
    <w:rsid w:val="749D5F4D"/>
    <w:rsid w:val="74D32E06"/>
    <w:rsid w:val="74D34B17"/>
    <w:rsid w:val="74EC3F9F"/>
    <w:rsid w:val="74FA1315"/>
    <w:rsid w:val="7506041E"/>
    <w:rsid w:val="7522170C"/>
    <w:rsid w:val="752D6227"/>
    <w:rsid w:val="75863AE9"/>
    <w:rsid w:val="75C44753"/>
    <w:rsid w:val="75F70E06"/>
    <w:rsid w:val="75F74D85"/>
    <w:rsid w:val="76216A1A"/>
    <w:rsid w:val="76511573"/>
    <w:rsid w:val="769C0B49"/>
    <w:rsid w:val="76AC23D9"/>
    <w:rsid w:val="76BB4CAC"/>
    <w:rsid w:val="76C11881"/>
    <w:rsid w:val="770B1337"/>
    <w:rsid w:val="775421E3"/>
    <w:rsid w:val="777157E4"/>
    <w:rsid w:val="77777575"/>
    <w:rsid w:val="778B00FA"/>
    <w:rsid w:val="786434DA"/>
    <w:rsid w:val="78664D8D"/>
    <w:rsid w:val="78C97093"/>
    <w:rsid w:val="78CD1075"/>
    <w:rsid w:val="79056577"/>
    <w:rsid w:val="791643EA"/>
    <w:rsid w:val="799E753F"/>
    <w:rsid w:val="79A34F23"/>
    <w:rsid w:val="79D50571"/>
    <w:rsid w:val="79E517E0"/>
    <w:rsid w:val="7A2E40CF"/>
    <w:rsid w:val="7A6A7B23"/>
    <w:rsid w:val="7ACA0A28"/>
    <w:rsid w:val="7B2A032B"/>
    <w:rsid w:val="7B395E48"/>
    <w:rsid w:val="7B494A90"/>
    <w:rsid w:val="7BA41463"/>
    <w:rsid w:val="7BAF2662"/>
    <w:rsid w:val="7C0306C9"/>
    <w:rsid w:val="7C163E76"/>
    <w:rsid w:val="7C241C3D"/>
    <w:rsid w:val="7C3E6C31"/>
    <w:rsid w:val="7CE06FB9"/>
    <w:rsid w:val="7CFC11BF"/>
    <w:rsid w:val="7D376EE3"/>
    <w:rsid w:val="7D486AAD"/>
    <w:rsid w:val="7D8B46A6"/>
    <w:rsid w:val="7D947D85"/>
    <w:rsid w:val="7E321C6D"/>
    <w:rsid w:val="7E4359F7"/>
    <w:rsid w:val="7E663C3D"/>
    <w:rsid w:val="7E8453DE"/>
    <w:rsid w:val="7EA24954"/>
    <w:rsid w:val="7EA47BD0"/>
    <w:rsid w:val="7EB1170F"/>
    <w:rsid w:val="7ECD33A2"/>
    <w:rsid w:val="7EF03E8B"/>
    <w:rsid w:val="7F065C78"/>
    <w:rsid w:val="7F393FCF"/>
    <w:rsid w:val="7FC56D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4">
    <w:name w:val="Default Paragraph Font"/>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5289</Words>
  <Characters>30148</Characters>
  <Lines>251</Lines>
  <Paragraphs>70</Paragraphs>
  <TotalTime>1</TotalTime>
  <ScaleCrop>false</ScaleCrop>
  <LinksUpToDate>false</LinksUpToDate>
  <CharactersWithSpaces>35367</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2021-03-25T07:46:00Z</dcterms:created>
  <dc:creator>Amanda</dc:creator>
  <cp:lastModifiedBy>Amanda刘</cp:lastModifiedBy>
  <dcterms:modified xsi:type="dcterms:W3CDTF">2021-04-09T08:57:37Z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A9E2D2DAC23F4AD48E51B7CD6190A383</vt:lpwstr>
  </property>
</Properties>
</file>