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sz w:val="24"/>
          <w:szCs w:val="24"/>
          <w:lang w:val="en-US" w:eastAsia="zh-CN"/>
        </w:rPr>
      </w:pPr>
    </w:p>
    <w:p>
      <w:pPr>
        <w:pStyle w:val="14"/>
        <w:spacing w:before="1540" w:after="240" w:line="360" w:lineRule="auto"/>
        <w:jc w:val="center"/>
        <w:rPr>
          <w:color w:val="auto"/>
        </w:rPr>
      </w:pPr>
      <w:r>
        <w:rPr>
          <w:color w:val="auto"/>
          <w:lang w:val="en-GB" w:eastAsia="en-GB"/>
        </w:rPr>
        <w:drawing>
          <wp:inline distT="0" distB="0" distL="0" distR="0">
            <wp:extent cx="1417320" cy="750570"/>
            <wp:effectExtent l="0" t="0" r="1905" b="190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auto"/>
          <w:sz w:val="72"/>
          <w:szCs w:val="72"/>
        </w:rPr>
        <w:alias w:val="Title"/>
        <w:id w:val="1735040861"/>
        <w:placeholder>
          <w:docPart w:val="{68963c87-0a87-4dea-8f26-c9248bb6cad7}"/>
        </w:placeholder>
        <w15: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aps/>
          <w:color w:val="auto"/>
          <w:sz w:val="80"/>
          <w:szCs w:val="80"/>
        </w:rPr>
      </w:sdtEndPr>
      <w:sdtContent>
        <w:p>
          <w:pPr>
            <w:pStyle w:val="14"/>
            <w:pBdr>
              <w:top w:val="single" w:color="5B9BD5" w:themeColor="accent1" w:sz="6" w:space="6"/>
              <w:bottom w:val="single" w:color="5B9BD5" w:themeColor="accent1" w:sz="6" w:space="6"/>
            </w:pBdr>
            <w:spacing w:after="240" w:line="360" w:lineRule="auto"/>
            <w:jc w:val="center"/>
            <w:rPr>
              <w:rFonts w:asciiTheme="majorHAnsi" w:hAnsiTheme="majorHAnsi" w:eastAsiaTheme="majorEastAsia" w:cstheme="majorBidi"/>
              <w:caps/>
              <w:color w:val="auto"/>
              <w:sz w:val="80"/>
              <w:szCs w:val="80"/>
            </w:rPr>
          </w:pPr>
          <w:r>
            <w:rPr>
              <w:rFonts w:hint="eastAsia" w:asciiTheme="majorHAnsi" w:hAnsiTheme="majorHAnsi" w:eastAsiaTheme="majorEastAsia" w:cstheme="majorBidi"/>
              <w:caps/>
              <w:color w:val="auto"/>
              <w:sz w:val="72"/>
              <w:szCs w:val="72"/>
              <w:lang w:val="en-US" w:eastAsia="zh-CN"/>
            </w:rPr>
            <w:t>Project description and presentation</w:t>
          </w:r>
        </w:p>
      </w:sdtContent>
    </w:sdt>
    <w:p>
      <w:pPr>
        <w:pStyle w:val="14"/>
        <w:spacing w:line="360" w:lineRule="auto"/>
        <w:jc w:val="center"/>
        <w:rPr>
          <w:rFonts w:hint="default" w:ascii="Times New Roman" w:hAnsi="Times New Roman" w:cs="Times New Roman" w:eastAsiaTheme="minorEastAsia"/>
          <w:color w:val="auto"/>
          <w:sz w:val="32"/>
          <w:szCs w:val="32"/>
          <w:lang w:val="en-US" w:eastAsia="zh-CN"/>
        </w:rPr>
      </w:pPr>
      <w:sdt>
        <w:sdtPr>
          <w:rPr>
            <w:rFonts w:hint="default" w:ascii="Times New Roman" w:hAnsi="Times New Roman" w:cs="Times New Roman"/>
            <w:color w:val="auto"/>
            <w:sz w:val="32"/>
            <w:szCs w:val="32"/>
          </w:rPr>
          <w:alias w:val="Subtitle"/>
          <w:id w:val="328029620"/>
          <w:placeholder>
            <w:docPart w:val="{6a7939b9-f331-41da-93e6-17da4c74463a}"/>
          </w:placeholder>
          <w15:dataBinding w:prefixMappings="xmlns:ns0='http://purl.org/dc/elements/1.1/' xmlns:ns1='http://schemas.openxmlformats.org/package/2006/metadata/core-properties' " w:xpath="/ns1:coreProperties[1]/ns0:subject[1]" w:storeItemID="{6C3C8BC8-F283-45AE-878A-BAB7291924A1}"/>
          <w:text/>
        </w:sdtPr>
        <w:sdtEndPr>
          <w:rPr>
            <w:rFonts w:hint="default" w:ascii="Times New Roman" w:hAnsi="Times New Roman" w:cs="Times New Roman"/>
            <w:color w:val="auto"/>
            <w:sz w:val="32"/>
            <w:szCs w:val="32"/>
          </w:rPr>
        </w:sdtEndPr>
        <w:sdtContent>
          <w:r>
            <w:rPr>
              <w:rFonts w:hint="default" w:ascii="Times New Roman" w:hAnsi="Times New Roman" w:cs="Times New Roman"/>
              <w:color w:val="auto"/>
              <w:sz w:val="32"/>
              <w:szCs w:val="32"/>
              <w:lang w:eastAsia="zh-CN"/>
            </w:rPr>
            <w:t xml:space="preserve">Boyuan </w:t>
          </w:r>
        </w:sdtContent>
      </w:sdt>
      <w:r>
        <w:rPr>
          <w:rFonts w:hint="default" w:ascii="Times New Roman" w:hAnsi="Times New Roman" w:cs="Times New Roman" w:eastAsiaTheme="minorEastAsia"/>
          <w:color w:val="auto"/>
          <w:sz w:val="32"/>
          <w:szCs w:val="32"/>
          <w:lang w:val="en-US" w:eastAsia="zh-CN"/>
        </w:rPr>
        <w:t>Network Technology company</w:t>
      </w:r>
    </w:p>
    <w:p>
      <w:pPr>
        <w:pStyle w:val="14"/>
        <w:spacing w:line="360" w:lineRule="auto"/>
        <w:jc w:val="center"/>
        <w:rPr>
          <w:rFonts w:hint="default" w:ascii="Times New Roman" w:hAnsi="Times New Roman" w:cs="Times New Roman" w:eastAsiaTheme="minorEastAsia"/>
          <w:color w:val="auto"/>
          <w:sz w:val="32"/>
          <w:szCs w:val="32"/>
          <w:lang w:val="en-US" w:eastAsia="zh-CN"/>
        </w:rPr>
      </w:pPr>
    </w:p>
    <w:p>
      <w:pPr>
        <w:pStyle w:val="14"/>
        <w:spacing w:line="360" w:lineRule="auto"/>
        <w:jc w:val="center"/>
        <w:rPr>
          <w:rFonts w:hint="eastAsia" w:ascii="Times New Roman" w:hAnsi="Times New Roman" w:cs="Times New Roman"/>
          <w:color w:val="auto"/>
          <w:sz w:val="32"/>
          <w:szCs w:val="32"/>
          <w:lang w:val="en-US" w:eastAsia="zh-CN"/>
        </w:rPr>
      </w:pPr>
      <w:r>
        <w:rPr>
          <w:rFonts w:hint="eastAsia" w:ascii="Times New Roman" w:hAnsi="Times New Roman" w:cs="Times New Roman"/>
          <w:color w:val="auto"/>
          <w:sz w:val="32"/>
          <w:szCs w:val="32"/>
          <w:lang w:val="en-US" w:eastAsia="zh-CN"/>
        </w:rPr>
        <w:t>Name: Fulin Zhang</w:t>
      </w:r>
    </w:p>
    <w:p>
      <w:pPr>
        <w:pStyle w:val="14"/>
        <w:spacing w:line="360" w:lineRule="auto"/>
        <w:jc w:val="center"/>
        <w:rPr>
          <w:rFonts w:hint="default" w:ascii="Times New Roman" w:hAnsi="Times New Roman" w:cs="Times New Roman"/>
          <w:color w:val="auto"/>
          <w:sz w:val="32"/>
          <w:szCs w:val="32"/>
          <w:lang w:val="en-US" w:eastAsia="zh-CN"/>
        </w:rPr>
      </w:pPr>
      <w:r>
        <w:rPr>
          <w:rFonts w:hint="eastAsia" w:ascii="Times New Roman" w:hAnsi="Times New Roman" w:cs="Times New Roman"/>
          <w:color w:val="auto"/>
          <w:sz w:val="32"/>
          <w:szCs w:val="32"/>
          <w:lang w:val="en-US" w:eastAsia="zh-CN"/>
        </w:rPr>
        <w:t>Student Number: 1801887</w:t>
      </w:r>
    </w:p>
    <w:p>
      <w:pPr>
        <w:pStyle w:val="14"/>
        <w:spacing w:before="480" w:line="360" w:lineRule="auto"/>
        <w:jc w:val="center"/>
        <w:rPr>
          <w:color w:val="auto"/>
        </w:rPr>
      </w:pPr>
      <w:r>
        <w:rPr>
          <w:color w:val="auto"/>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53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14:textFill>
                                  <w14:solidFill>
                                    <w14:schemeClr w14:val="accent1"/>
                                  </w14:solidFill>
                                </w14:textFill>
                              </w:rPr>
                              <w:alias w:val="Date"/>
                              <w:id w:val="197127006"/>
                              <w15:dataBinding w:prefixMappings="xmlns:ns0='http://schemas.microsoft.com/office/2006/coverPageProps' " w:xpath="/ns0:CoverPageProperties[1]/ns0:PublishDate[1]" w:storeItemID="{55AF091B-3C7A-41E3-B477-F2FDAA23CFDA}"/>
                              <w:date w:fullDate="2019-05-03T00:00:00Z">
                                <w:dateFormat w:val="MMMM d, yyyy"/>
                                <w:lid w:val="en-US"/>
                                <w:storeMappedDataAs w:val="datetime"/>
                                <w:calendar w:val="gregorian"/>
                              </w:date>
                            </w:sdtPr>
                            <w:sdtEndPr>
                              <w:rPr>
                                <w:caps/>
                                <w:color w:val="auto"/>
                                <w:sz w:val="28"/>
                                <w:szCs w:val="28"/>
                              </w:rPr>
                            </w:sdtEndPr>
                            <w:sdtContent>
                              <w:p>
                                <w:pPr>
                                  <w:pStyle w:val="14"/>
                                  <w:spacing w:after="40"/>
                                  <w:jc w:val="center"/>
                                  <w:rPr>
                                    <w:caps/>
                                    <w:color w:val="auto"/>
                                    <w:sz w:val="28"/>
                                    <w:szCs w:val="28"/>
                                  </w:rPr>
                                </w:pPr>
                                <w:r>
                                  <w:rPr>
                                    <w:rFonts w:hint="eastAsia" w:cstheme="minorBidi"/>
                                    <w:caps/>
                                    <w:color w:val="auto"/>
                                    <w:sz w:val="28"/>
                                    <w:szCs w:val="28"/>
                                    <w:lang w:val="en-US" w:eastAsia="zh-CN" w:bidi="ar-SA"/>
                                  </w:rPr>
                                  <w:t>May 3, 2019</w:t>
                                </w:r>
                              </w:p>
                            </w:sdtContent>
                          </w:sdt>
                          <w:p>
                            <w:pPr>
                              <w:pStyle w:val="14"/>
                              <w:jc w:val="center"/>
                              <w:rPr>
                                <w:color w:val="auto"/>
                              </w:rPr>
                            </w:pPr>
                            <w:sdt>
                              <w:sdtPr>
                                <w:rPr>
                                  <w:caps/>
                                  <w:color w:val="auto"/>
                                </w:rPr>
                                <w:alias w:val="Company"/>
                                <w:id w:val="1390145197"/>
                                <w15:dataBinding w:prefixMappings="xmlns:ns0='http://schemas.openxmlformats.org/officeDocument/2006/extended-properties' " w:xpath="/ns0:Properties[1]/ns0:Company[1]" w:storeItemID="{6668398D-A668-4E3E-A5EB-62B293D839F1}"/>
                                <w:text/>
                              </w:sdtPr>
                              <w:sdtEndPr>
                                <w:rPr>
                                  <w:caps/>
                                  <w:color w:val="auto"/>
                                </w:rPr>
                              </w:sdtEndPr>
                              <w:sdtContent>
                                <w:r>
                                  <w:rPr>
                                    <w:caps/>
                                    <w:color w:val="auto"/>
                                    <w:lang w:val="en-GB"/>
                                  </w:rPr>
                                  <w:t>University of Wales Trinity Saint David</w:t>
                                </w:r>
                              </w:sdtContent>
                            </w:sdt>
                          </w:p>
                          <w:p>
                            <w:pPr>
                              <w:pStyle w:val="14"/>
                              <w:jc w:val="center"/>
                              <w:rPr>
                                <w:color w:val="auto"/>
                              </w:rPr>
                            </w:pPr>
                            <w:sdt>
                              <w:sdtPr>
                                <w:rPr>
                                  <w:color w:val="auto"/>
                                </w:rPr>
                                <w:alias w:val="Address"/>
                                <w:id w:val="-726379553"/>
                                <w:showingPlcHdr/>
                                <w15:dataBinding w:prefixMappings="xmlns:ns0='http://schemas.microsoft.com/office/2006/coverPageProps' " w:xpath="/ns0:CoverPageProperties[1]/ns0:CompanyAddress[1]" w:storeItemID="{55AF091B-3C7A-41E3-B477-F2FDAA23CFDA}"/>
                                <w:text/>
                              </w:sdtPr>
                              <w:sdtEndPr>
                                <w:rPr>
                                  <w:color w:val="auto"/>
                                </w:rPr>
                              </w:sdtEndPr>
                              <w:sdtContent>
                                <w:r>
                                  <w:rPr>
                                    <w:color w:val="auto"/>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Text Box 142" o:spid="_x0000_s1026" o:spt="202" type="#_x0000_t202" style="position:absolute;left:0pt;margin-left:90pt;margin-top:715.6pt;height:43.9pt;width:516pt;mso-position-horizontal-relative:page;mso-position-vertical-relative:page;z-index:251659264;v-text-anchor:bottom;mso-width-relative:margin;mso-height-relative:page;mso-width-percent:1000;" filled="f" stroked="f" coordsize="21600,21600" o:gfxdata="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dYODr1gAAAAUBAAAPAAAAAAAAAAEAIAAA&#10;ACIAAABkcnMvZG93bnJldi54bWxQSwECFAAUAAAACACHTuJA1zRphw4CAAAZBAAADgAAAAAAAAAB&#10;ACAAAAAlAQAAZHJzL2Uyb0RvYy54bWxQSwUGAAAAAAYABgBZAQAApQUAAAAA&#10;">
                <v:fill on="f" focussize="0,0"/>
                <v:stroke on="f" weight="0.5pt"/>
                <v:imagedata o:title=""/>
                <o:lock v:ext="edit" aspectratio="f"/>
                <v:textbox inset="0mm,0mm,0mm,0mm" style="mso-fit-shape-to-text:t;">
                  <w:txbxContent>
                    <w:sdt>
                      <w:sdtPr>
                        <w:rPr>
                          <w:caps/>
                          <w:color w:val="5B9BD5" w:themeColor="accent1"/>
                          <w:sz w:val="28"/>
                          <w:szCs w:val="28"/>
                          <w14:textFill>
                            <w14:solidFill>
                              <w14:schemeClr w14:val="accent1"/>
                            </w14:solidFill>
                          </w14:textFill>
                        </w:rPr>
                        <w:alias w:val="Date"/>
                        <w:id w:val="197127006"/>
                        <w15:dataBinding w:prefixMappings="xmlns:ns0='http://schemas.microsoft.com/office/2006/coverPageProps' " w:xpath="/ns0:CoverPageProperties[1]/ns0:PublishDate[1]" w:storeItemID="{55AF091B-3C7A-41E3-B477-F2FDAA23CFDA}"/>
                        <w:date w:fullDate="2019-05-03T00:00:00Z">
                          <w:dateFormat w:val="MMMM d, yyyy"/>
                          <w:lid w:val="en-US"/>
                          <w:storeMappedDataAs w:val="datetime"/>
                          <w:calendar w:val="gregorian"/>
                        </w:date>
                      </w:sdtPr>
                      <w:sdtEndPr>
                        <w:rPr>
                          <w:caps/>
                          <w:color w:val="auto"/>
                          <w:sz w:val="28"/>
                          <w:szCs w:val="28"/>
                        </w:rPr>
                      </w:sdtEndPr>
                      <w:sdtContent>
                        <w:p>
                          <w:pPr>
                            <w:pStyle w:val="14"/>
                            <w:spacing w:after="40"/>
                            <w:jc w:val="center"/>
                            <w:rPr>
                              <w:caps/>
                              <w:color w:val="auto"/>
                              <w:sz w:val="28"/>
                              <w:szCs w:val="28"/>
                            </w:rPr>
                          </w:pPr>
                          <w:r>
                            <w:rPr>
                              <w:rFonts w:hint="eastAsia" w:cstheme="minorBidi"/>
                              <w:caps/>
                              <w:color w:val="auto"/>
                              <w:sz w:val="28"/>
                              <w:szCs w:val="28"/>
                              <w:lang w:val="en-US" w:eastAsia="zh-CN" w:bidi="ar-SA"/>
                            </w:rPr>
                            <w:t>May 3, 2019</w:t>
                          </w:r>
                        </w:p>
                      </w:sdtContent>
                    </w:sdt>
                    <w:p>
                      <w:pPr>
                        <w:pStyle w:val="14"/>
                        <w:jc w:val="center"/>
                        <w:rPr>
                          <w:color w:val="auto"/>
                        </w:rPr>
                      </w:pPr>
                      <w:sdt>
                        <w:sdtPr>
                          <w:rPr>
                            <w:caps/>
                            <w:color w:val="auto"/>
                          </w:rPr>
                          <w:alias w:val="Company"/>
                          <w:id w:val="1390145197"/>
                          <w15:dataBinding w:prefixMappings="xmlns:ns0='http://schemas.openxmlformats.org/officeDocument/2006/extended-properties' " w:xpath="/ns0:Properties[1]/ns0:Company[1]" w:storeItemID="{6668398D-A668-4E3E-A5EB-62B293D839F1}"/>
                          <w:text/>
                        </w:sdtPr>
                        <w:sdtEndPr>
                          <w:rPr>
                            <w:caps/>
                            <w:color w:val="auto"/>
                          </w:rPr>
                        </w:sdtEndPr>
                        <w:sdtContent>
                          <w:r>
                            <w:rPr>
                              <w:caps/>
                              <w:color w:val="auto"/>
                              <w:lang w:val="en-GB"/>
                            </w:rPr>
                            <w:t>University of Wales Trinity Saint David</w:t>
                          </w:r>
                        </w:sdtContent>
                      </w:sdt>
                    </w:p>
                    <w:p>
                      <w:pPr>
                        <w:pStyle w:val="14"/>
                        <w:jc w:val="center"/>
                        <w:rPr>
                          <w:color w:val="auto"/>
                        </w:rPr>
                      </w:pPr>
                      <w:sdt>
                        <w:sdtPr>
                          <w:rPr>
                            <w:color w:val="auto"/>
                          </w:rPr>
                          <w:alias w:val="Address"/>
                          <w:id w:val="-726379553"/>
                          <w:showingPlcHdr/>
                          <w15:dataBinding w:prefixMappings="xmlns:ns0='http://schemas.microsoft.com/office/2006/coverPageProps' " w:xpath="/ns0:CoverPageProperties[1]/ns0:CompanyAddress[1]" w:storeItemID="{55AF091B-3C7A-41E3-B477-F2FDAA23CFDA}"/>
                          <w:text/>
                        </w:sdtPr>
                        <w:sdtEndPr>
                          <w:rPr>
                            <w:color w:val="auto"/>
                          </w:rPr>
                        </w:sdtEndPr>
                        <w:sdtContent>
                          <w:r>
                            <w:rPr>
                              <w:color w:val="auto"/>
                            </w:rPr>
                            <w:t xml:space="preserve">     </w:t>
                          </w:r>
                        </w:sdtContent>
                      </w:sdt>
                    </w:p>
                  </w:txbxContent>
                </v:textbox>
              </v:shape>
            </w:pict>
          </mc:Fallback>
        </mc:AlternateContent>
      </w:r>
      <w:r>
        <w:rPr>
          <w:color w:val="auto"/>
          <w:lang w:val="en-GB" w:eastAsia="en-GB"/>
        </w:rPr>
        <w:drawing>
          <wp:inline distT="0" distB="0" distL="0" distR="0">
            <wp:extent cx="758825" cy="478790"/>
            <wp:effectExtent l="0" t="0" r="3175" b="698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pPr>
        <w:rPr>
          <w:rFonts w:hint="default" w:ascii="Times New Roman" w:hAnsi="Times New Roman" w:cs="Times New Roman"/>
          <w:sz w:val="24"/>
          <w:szCs w:val="24"/>
          <w:lang w:val="en-US" w:eastAsia="zh-CN"/>
        </w:rPr>
        <w:sectPr>
          <w:pgSz w:w="11906" w:h="16838"/>
          <w:pgMar w:top="1440" w:right="1800" w:bottom="1440" w:left="1800" w:header="851" w:footer="992" w:gutter="0"/>
          <w:cols w:space="425" w:num="1"/>
          <w:docGrid w:type="lines" w:linePitch="312" w:charSpace="0"/>
        </w:sectPr>
      </w:pPr>
    </w:p>
    <w:sdt>
      <w:sdtPr>
        <w:rPr>
          <w:rFonts w:hint="default" w:ascii="Times New Roman" w:hAnsi="Times New Roman" w:eastAsia="宋体" w:cs="Times New Roman"/>
          <w:b/>
          <w:bCs/>
          <w:kern w:val="2"/>
          <w:sz w:val="36"/>
          <w:szCs w:val="44"/>
          <w:lang w:val="en-US" w:eastAsia="zh-CN" w:bidi="ar-SA"/>
        </w:rPr>
        <w:id w:val="147477423"/>
        <w15:color w:val="DBDBDB"/>
        <w:docPartObj>
          <w:docPartGallery w:val="Table of Contents"/>
          <w:docPartUnique/>
        </w:docPartObj>
      </w:sdtPr>
      <w:sdtEndPr>
        <w:rPr>
          <w:rFonts w:hint="default" w:asciiTheme="minorHAnsi" w:hAnsiTheme="minorHAnsi" w:eastAsiaTheme="minorHAnsi" w:cstheme="minorBidi"/>
          <w:b/>
          <w:bCs/>
          <w:kern w:val="2"/>
          <w:sz w:val="20"/>
          <w:szCs w:val="20"/>
          <w:lang w:val="en-US" w:eastAsia="zh-CN" w:bidi="ar-SA"/>
        </w:rPr>
      </w:sdtEndPr>
      <w:sdtContent>
        <w:p>
          <w:pPr>
            <w:spacing w:before="0" w:beforeLines="0" w:after="0" w:afterLines="0" w:line="360" w:lineRule="auto"/>
            <w:ind w:left="0" w:leftChars="0" w:right="0" w:rightChars="0" w:firstLine="0" w:firstLineChars="0"/>
            <w:jc w:val="center"/>
            <w:rPr>
              <w:rFonts w:hint="default" w:ascii="Times New Roman" w:hAnsi="Times New Roman" w:eastAsia="宋体" w:cs="Times New Roman"/>
              <w:b/>
              <w:bCs/>
              <w:sz w:val="36"/>
              <w:szCs w:val="44"/>
              <w:lang w:val="en-US" w:eastAsia="zh-CN"/>
            </w:rPr>
          </w:pPr>
          <w:bookmarkStart w:id="0" w:name="_Toc14928_WPSOffice_Type3"/>
          <w:r>
            <w:rPr>
              <w:rFonts w:hint="default" w:ascii="Times New Roman" w:hAnsi="Times New Roman" w:eastAsia="宋体" w:cs="Times New Roman"/>
              <w:b/>
              <w:bCs/>
              <w:sz w:val="36"/>
              <w:szCs w:val="44"/>
              <w:lang w:val="en-US" w:eastAsia="zh-CN"/>
            </w:rPr>
            <w:t>Contents</w:t>
          </w:r>
        </w:p>
        <w:p>
          <w:pPr>
            <w:pStyle w:val="1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_Toc30626_WPSOffice_Level1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253dfcab-b4a3-4f2d-b999-205a946061bd}"/>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cs="Times New Roman" w:eastAsiaTheme="minorEastAsia"/>
                  <w:sz w:val="24"/>
                  <w:szCs w:val="24"/>
                </w:rPr>
                <w:t>Executive Summary</w:t>
              </w:r>
            </w:sdtContent>
          </w:sdt>
          <w:r>
            <w:rPr>
              <w:rFonts w:hint="default" w:ascii="Times New Roman" w:hAnsi="Times New Roman" w:cs="Times New Roman"/>
              <w:sz w:val="24"/>
              <w:szCs w:val="24"/>
            </w:rPr>
            <w:tab/>
          </w:r>
          <w:bookmarkStart w:id="1" w:name="_Toc30626_WPSOffice_Level1Page"/>
          <w:r>
            <w:rPr>
              <w:rFonts w:hint="default" w:ascii="Times New Roman" w:hAnsi="Times New Roman" w:cs="Times New Roman"/>
              <w:sz w:val="24"/>
              <w:szCs w:val="24"/>
            </w:rPr>
            <w:t>1</w:t>
          </w:r>
          <w:bookmarkEnd w:id="1"/>
          <w:r>
            <w:rPr>
              <w:rFonts w:hint="default" w:ascii="Times New Roman" w:hAnsi="Times New Roman" w:cs="Times New Roman"/>
              <w:sz w:val="24"/>
              <w:szCs w:val="24"/>
            </w:rPr>
            <w:fldChar w:fldCharType="end"/>
          </w:r>
        </w:p>
        <w:p>
          <w:pPr>
            <w:pStyle w:val="1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_Toc14928_WPSOffice_Level1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468c0608-41d2-4a6c-8d0e-25c765139b88}"/>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cs="Times New Roman" w:eastAsiaTheme="minorEastAsia"/>
                  <w:sz w:val="24"/>
                  <w:szCs w:val="24"/>
                </w:rPr>
                <w:t>1 Introduction</w:t>
              </w:r>
            </w:sdtContent>
          </w:sdt>
          <w:r>
            <w:rPr>
              <w:rFonts w:hint="default" w:ascii="Times New Roman" w:hAnsi="Times New Roman" w:cs="Times New Roman"/>
              <w:sz w:val="24"/>
              <w:szCs w:val="24"/>
            </w:rPr>
            <w:tab/>
          </w:r>
          <w:bookmarkStart w:id="2" w:name="_Toc14928_WPSOffice_Level1Page"/>
          <w:r>
            <w:rPr>
              <w:rFonts w:hint="default" w:ascii="Times New Roman" w:hAnsi="Times New Roman" w:cs="Times New Roman"/>
              <w:sz w:val="24"/>
              <w:szCs w:val="24"/>
            </w:rPr>
            <w:t>2</w:t>
          </w:r>
          <w:bookmarkEnd w:id="2"/>
          <w:r>
            <w:rPr>
              <w:rFonts w:hint="default" w:ascii="Times New Roman" w:hAnsi="Times New Roman" w:cs="Times New Roman"/>
              <w:sz w:val="24"/>
              <w:szCs w:val="24"/>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_Toc14928_WPSOffice_Level2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02ce6ecf-5519-49bf-ad93-3874b7064465}"/>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eastAsia="黑体" w:cs="Times New Roman"/>
                  <w:sz w:val="24"/>
                  <w:szCs w:val="24"/>
                </w:rPr>
                <w:t>1.1 Project Justification</w:t>
              </w:r>
            </w:sdtContent>
          </w:sdt>
          <w:r>
            <w:rPr>
              <w:rFonts w:hint="default" w:ascii="Times New Roman" w:hAnsi="Times New Roman" w:cs="Times New Roman"/>
              <w:sz w:val="24"/>
              <w:szCs w:val="24"/>
            </w:rPr>
            <w:tab/>
          </w:r>
          <w:bookmarkStart w:id="3" w:name="_Toc14928_WPSOffice_Level2Page"/>
          <w:r>
            <w:rPr>
              <w:rFonts w:hint="default" w:ascii="Times New Roman" w:hAnsi="Times New Roman" w:cs="Times New Roman"/>
              <w:sz w:val="24"/>
              <w:szCs w:val="24"/>
            </w:rPr>
            <w:t>2</w:t>
          </w:r>
          <w:bookmarkEnd w:id="3"/>
          <w:r>
            <w:rPr>
              <w:rFonts w:hint="default" w:ascii="Times New Roman" w:hAnsi="Times New Roman" w:cs="Times New Roman"/>
              <w:sz w:val="24"/>
              <w:szCs w:val="24"/>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_Toc16086_WPSOffice_Level2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feb8ceee-b9ad-4c8f-8deb-f0503ec72e88}"/>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eastAsia="黑体" w:cs="Times New Roman"/>
                  <w:sz w:val="24"/>
                  <w:szCs w:val="24"/>
                </w:rPr>
                <w:t>1.2 Project Objectives</w:t>
              </w:r>
            </w:sdtContent>
          </w:sdt>
          <w:r>
            <w:rPr>
              <w:rFonts w:hint="default" w:ascii="Times New Roman" w:hAnsi="Times New Roman" w:cs="Times New Roman"/>
              <w:sz w:val="24"/>
              <w:szCs w:val="24"/>
            </w:rPr>
            <w:tab/>
          </w:r>
          <w:bookmarkStart w:id="4" w:name="_Toc16086_WPSOffice_Level2Page"/>
          <w:r>
            <w:rPr>
              <w:rFonts w:hint="default" w:ascii="Times New Roman" w:hAnsi="Times New Roman" w:cs="Times New Roman"/>
              <w:sz w:val="24"/>
              <w:szCs w:val="24"/>
            </w:rPr>
            <w:t>3</w:t>
          </w:r>
          <w:bookmarkEnd w:id="4"/>
          <w:r>
            <w:rPr>
              <w:rFonts w:hint="default" w:ascii="Times New Roman" w:hAnsi="Times New Roman" w:cs="Times New Roman"/>
              <w:sz w:val="24"/>
              <w:szCs w:val="24"/>
            </w:rPr>
            <w:fldChar w:fldCharType="end"/>
          </w:r>
        </w:p>
        <w:p>
          <w:pPr>
            <w:pStyle w:val="1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_Toc16086_WPSOffice_Level1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11598985-7c2a-4505-9970-717e27d0ef82}"/>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cs="Times New Roman" w:eastAsiaTheme="minorEastAsia"/>
                  <w:sz w:val="24"/>
                  <w:szCs w:val="24"/>
                </w:rPr>
                <w:t>2 Research Methodology</w:t>
              </w:r>
            </w:sdtContent>
          </w:sdt>
          <w:r>
            <w:rPr>
              <w:rFonts w:hint="default" w:ascii="Times New Roman" w:hAnsi="Times New Roman" w:cs="Times New Roman"/>
              <w:sz w:val="24"/>
              <w:szCs w:val="24"/>
            </w:rPr>
            <w:tab/>
          </w:r>
          <w:bookmarkStart w:id="5" w:name="_Toc16086_WPSOffice_Level1Page"/>
          <w:r>
            <w:rPr>
              <w:rFonts w:hint="default" w:ascii="Times New Roman" w:hAnsi="Times New Roman" w:cs="Times New Roman"/>
              <w:sz w:val="24"/>
              <w:szCs w:val="24"/>
            </w:rPr>
            <w:t>3</w:t>
          </w:r>
          <w:bookmarkEnd w:id="5"/>
          <w:r>
            <w:rPr>
              <w:rFonts w:hint="default" w:ascii="Times New Roman" w:hAnsi="Times New Roman" w:cs="Times New Roman"/>
              <w:sz w:val="24"/>
              <w:szCs w:val="24"/>
            </w:rPr>
            <w:fldChar w:fldCharType="end"/>
          </w:r>
        </w:p>
        <w:p>
          <w:pPr>
            <w:pStyle w:val="1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_Toc31206_WPSOffice_Level1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2d9526b0-03ac-4726-bd7f-8e62ac2b90a0}"/>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cs="Times New Roman" w:eastAsiaTheme="minorEastAsia"/>
                  <w:sz w:val="24"/>
                  <w:szCs w:val="24"/>
                </w:rPr>
                <w:t>3 Main Findings and Critical Analysis</w:t>
              </w:r>
            </w:sdtContent>
          </w:sdt>
          <w:r>
            <w:rPr>
              <w:rFonts w:hint="default" w:ascii="Times New Roman" w:hAnsi="Times New Roman" w:cs="Times New Roman"/>
              <w:sz w:val="24"/>
              <w:szCs w:val="24"/>
            </w:rPr>
            <w:tab/>
          </w:r>
          <w:bookmarkStart w:id="6" w:name="_Toc31206_WPSOffice_Level1Page"/>
          <w:r>
            <w:rPr>
              <w:rFonts w:hint="default" w:ascii="Times New Roman" w:hAnsi="Times New Roman" w:cs="Times New Roman"/>
              <w:sz w:val="24"/>
              <w:szCs w:val="24"/>
            </w:rPr>
            <w:t>4</w:t>
          </w:r>
          <w:bookmarkEnd w:id="6"/>
          <w:r>
            <w:rPr>
              <w:rFonts w:hint="default" w:ascii="Times New Roman" w:hAnsi="Times New Roman" w:cs="Times New Roman"/>
              <w:sz w:val="24"/>
              <w:szCs w:val="24"/>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_Toc31206_WPSOffice_Level2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157dbce0-8277-46c1-804b-94ae66b7b309}"/>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eastAsia="黑体" w:cs="Times New Roman"/>
                  <w:sz w:val="24"/>
                  <w:szCs w:val="24"/>
                </w:rPr>
                <w:t>3.1 Main Business Model</w:t>
              </w:r>
            </w:sdtContent>
          </w:sdt>
          <w:r>
            <w:rPr>
              <w:rFonts w:hint="default" w:ascii="Times New Roman" w:hAnsi="Times New Roman" w:cs="Times New Roman"/>
              <w:sz w:val="24"/>
              <w:szCs w:val="24"/>
            </w:rPr>
            <w:tab/>
          </w:r>
          <w:bookmarkStart w:id="7" w:name="_Toc31206_WPSOffice_Level2Page"/>
          <w:r>
            <w:rPr>
              <w:rFonts w:hint="default" w:ascii="Times New Roman" w:hAnsi="Times New Roman" w:cs="Times New Roman"/>
              <w:sz w:val="24"/>
              <w:szCs w:val="24"/>
            </w:rPr>
            <w:t>4</w:t>
          </w:r>
          <w:bookmarkEnd w:id="7"/>
          <w:r>
            <w:rPr>
              <w:rFonts w:hint="default" w:ascii="Times New Roman" w:hAnsi="Times New Roman" w:cs="Times New Roman"/>
              <w:sz w:val="24"/>
              <w:szCs w:val="24"/>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_Toc5692_WPSOffice_Level2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f693952a-4629-4b3b-afe6-670ef9b95476}"/>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eastAsia="黑体" w:cs="Times New Roman"/>
                  <w:sz w:val="24"/>
                  <w:szCs w:val="24"/>
                </w:rPr>
                <w:t>3.2 Group Purchase Sales</w:t>
              </w:r>
            </w:sdtContent>
          </w:sdt>
          <w:r>
            <w:rPr>
              <w:rFonts w:hint="default" w:ascii="Times New Roman" w:hAnsi="Times New Roman" w:cs="Times New Roman"/>
              <w:sz w:val="24"/>
              <w:szCs w:val="24"/>
            </w:rPr>
            <w:tab/>
          </w:r>
          <w:bookmarkStart w:id="8" w:name="_Toc5692_WPSOffice_Level2Page"/>
          <w:r>
            <w:rPr>
              <w:rFonts w:hint="default" w:ascii="Times New Roman" w:hAnsi="Times New Roman" w:cs="Times New Roman"/>
              <w:sz w:val="24"/>
              <w:szCs w:val="24"/>
            </w:rPr>
            <w:t>5</w:t>
          </w:r>
          <w:bookmarkEnd w:id="8"/>
          <w:r>
            <w:rPr>
              <w:rFonts w:hint="default" w:ascii="Times New Roman" w:hAnsi="Times New Roman" w:cs="Times New Roman"/>
              <w:sz w:val="24"/>
              <w:szCs w:val="24"/>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_Toc8792_WPSOffice_Level2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3ffac595-906b-492e-af5a-4ce0ce41f108}"/>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eastAsia="黑体" w:cs="Times New Roman"/>
                  <w:sz w:val="24"/>
                  <w:szCs w:val="24"/>
                </w:rPr>
                <w:t>3.3 Information inconsistency</w:t>
              </w:r>
            </w:sdtContent>
          </w:sdt>
          <w:r>
            <w:rPr>
              <w:rFonts w:hint="default" w:ascii="Times New Roman" w:hAnsi="Times New Roman" w:cs="Times New Roman"/>
              <w:sz w:val="24"/>
              <w:szCs w:val="24"/>
            </w:rPr>
            <w:tab/>
          </w:r>
          <w:bookmarkStart w:id="9" w:name="_Toc8792_WPSOffice_Level2Page"/>
          <w:r>
            <w:rPr>
              <w:rFonts w:hint="default" w:ascii="Times New Roman" w:hAnsi="Times New Roman" w:cs="Times New Roman"/>
              <w:sz w:val="24"/>
              <w:szCs w:val="24"/>
            </w:rPr>
            <w:t>5</w:t>
          </w:r>
          <w:bookmarkEnd w:id="9"/>
          <w:r>
            <w:rPr>
              <w:rFonts w:hint="default" w:ascii="Times New Roman" w:hAnsi="Times New Roman" w:cs="Times New Roman"/>
              <w:sz w:val="24"/>
              <w:szCs w:val="24"/>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_Toc15775_WPSOffice_Level2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c98f11fd-d31f-49bc-8745-9e8cb55cc681}"/>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eastAsia="黑体" w:cs="Times New Roman"/>
                  <w:sz w:val="24"/>
                  <w:szCs w:val="24"/>
                </w:rPr>
                <w:t>3.4 Company Rebate</w:t>
              </w:r>
            </w:sdtContent>
          </w:sdt>
          <w:r>
            <w:rPr>
              <w:rFonts w:hint="default" w:ascii="Times New Roman" w:hAnsi="Times New Roman" w:cs="Times New Roman"/>
              <w:sz w:val="24"/>
              <w:szCs w:val="24"/>
            </w:rPr>
            <w:tab/>
          </w:r>
          <w:bookmarkStart w:id="10" w:name="_Toc15775_WPSOffice_Level2Page"/>
          <w:r>
            <w:rPr>
              <w:rFonts w:hint="default" w:ascii="Times New Roman" w:hAnsi="Times New Roman" w:cs="Times New Roman"/>
              <w:sz w:val="24"/>
              <w:szCs w:val="24"/>
            </w:rPr>
            <w:t>6</w:t>
          </w:r>
          <w:bookmarkEnd w:id="10"/>
          <w:r>
            <w:rPr>
              <w:rFonts w:hint="default" w:ascii="Times New Roman" w:hAnsi="Times New Roman" w:cs="Times New Roman"/>
              <w:sz w:val="24"/>
              <w:szCs w:val="24"/>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_Toc17445_WPSOffice_Level2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48a89e57-1ad8-4aa8-ab30-9ef908ffba5a}"/>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eastAsia="黑体" w:cs="Times New Roman"/>
                  <w:sz w:val="24"/>
                  <w:szCs w:val="24"/>
                </w:rPr>
                <w:t>3.5 Dealer Identification</w:t>
              </w:r>
            </w:sdtContent>
          </w:sdt>
          <w:r>
            <w:rPr>
              <w:rFonts w:hint="default" w:ascii="Times New Roman" w:hAnsi="Times New Roman" w:cs="Times New Roman"/>
              <w:sz w:val="24"/>
              <w:szCs w:val="24"/>
            </w:rPr>
            <w:tab/>
          </w:r>
          <w:bookmarkStart w:id="11" w:name="_Toc17445_WPSOffice_Level2Page"/>
          <w:r>
            <w:rPr>
              <w:rFonts w:hint="default" w:ascii="Times New Roman" w:hAnsi="Times New Roman" w:cs="Times New Roman"/>
              <w:sz w:val="24"/>
              <w:szCs w:val="24"/>
            </w:rPr>
            <w:t>7</w:t>
          </w:r>
          <w:bookmarkEnd w:id="11"/>
          <w:r>
            <w:rPr>
              <w:rFonts w:hint="default" w:ascii="Times New Roman" w:hAnsi="Times New Roman" w:cs="Times New Roman"/>
              <w:sz w:val="24"/>
              <w:szCs w:val="24"/>
            </w:rPr>
            <w:fldChar w:fldCharType="end"/>
          </w:r>
        </w:p>
        <w:p>
          <w:pPr>
            <w:pStyle w:val="1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_Toc5692_WPSOffice_Level1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f7031f35-45cb-4c7b-afe7-f9b10151f430}"/>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cs="Times New Roman" w:eastAsiaTheme="minorEastAsia"/>
                  <w:sz w:val="24"/>
                  <w:szCs w:val="24"/>
                </w:rPr>
                <w:t>4 Asset Securitization Investigation and Preparation</w:t>
              </w:r>
            </w:sdtContent>
          </w:sdt>
          <w:r>
            <w:rPr>
              <w:rFonts w:hint="default" w:ascii="Times New Roman" w:hAnsi="Times New Roman" w:cs="Times New Roman"/>
              <w:sz w:val="24"/>
              <w:szCs w:val="24"/>
            </w:rPr>
            <w:tab/>
          </w:r>
          <w:bookmarkStart w:id="12" w:name="_Toc5692_WPSOffice_Level1Page"/>
          <w:r>
            <w:rPr>
              <w:rFonts w:hint="default" w:ascii="Times New Roman" w:hAnsi="Times New Roman" w:cs="Times New Roman"/>
              <w:sz w:val="24"/>
              <w:szCs w:val="24"/>
            </w:rPr>
            <w:t>7</w:t>
          </w:r>
          <w:bookmarkEnd w:id="12"/>
          <w:r>
            <w:rPr>
              <w:rFonts w:hint="default" w:ascii="Times New Roman" w:hAnsi="Times New Roman" w:cs="Times New Roman"/>
              <w:sz w:val="24"/>
              <w:szCs w:val="24"/>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_Toc8688_WPSOffice_Level2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219fbdd6-9c2d-49e0-a1df-8858b7f05d30}"/>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eastAsia="黑体" w:cs="Times New Roman"/>
                  <w:sz w:val="24"/>
                  <w:szCs w:val="24"/>
                </w:rPr>
                <w:t>4.1 Principles of revenue recognition</w:t>
              </w:r>
            </w:sdtContent>
          </w:sdt>
          <w:r>
            <w:rPr>
              <w:rFonts w:hint="default" w:ascii="Times New Roman" w:hAnsi="Times New Roman" w:cs="Times New Roman"/>
              <w:sz w:val="24"/>
              <w:szCs w:val="24"/>
            </w:rPr>
            <w:tab/>
          </w:r>
          <w:bookmarkStart w:id="13" w:name="_Toc8688_WPSOffice_Level2Page"/>
          <w:r>
            <w:rPr>
              <w:rFonts w:hint="default" w:ascii="Times New Roman" w:hAnsi="Times New Roman" w:cs="Times New Roman"/>
              <w:sz w:val="24"/>
              <w:szCs w:val="24"/>
            </w:rPr>
            <w:t>7</w:t>
          </w:r>
          <w:bookmarkEnd w:id="13"/>
          <w:r>
            <w:rPr>
              <w:rFonts w:hint="default" w:ascii="Times New Roman" w:hAnsi="Times New Roman" w:cs="Times New Roman"/>
              <w:sz w:val="24"/>
              <w:szCs w:val="24"/>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_Toc1323_WPSOffice_Level2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e23e332a-9ecc-4914-bdbd-10bfdb868a0d}"/>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eastAsia="黑体" w:cs="Times New Roman"/>
                  <w:sz w:val="24"/>
                  <w:szCs w:val="24"/>
                </w:rPr>
                <w:t>4.2 Capital occupation</w:t>
              </w:r>
            </w:sdtContent>
          </w:sdt>
          <w:r>
            <w:rPr>
              <w:rFonts w:hint="default" w:ascii="Times New Roman" w:hAnsi="Times New Roman" w:cs="Times New Roman"/>
              <w:sz w:val="24"/>
              <w:szCs w:val="24"/>
            </w:rPr>
            <w:tab/>
          </w:r>
          <w:bookmarkStart w:id="14" w:name="_Toc1323_WPSOffice_Level2Page"/>
          <w:r>
            <w:rPr>
              <w:rFonts w:hint="default" w:ascii="Times New Roman" w:hAnsi="Times New Roman" w:cs="Times New Roman"/>
              <w:sz w:val="24"/>
              <w:szCs w:val="24"/>
            </w:rPr>
            <w:t>8</w:t>
          </w:r>
          <w:bookmarkEnd w:id="14"/>
          <w:r>
            <w:rPr>
              <w:rFonts w:hint="default" w:ascii="Times New Roman" w:hAnsi="Times New Roman" w:cs="Times New Roman"/>
              <w:sz w:val="24"/>
              <w:szCs w:val="24"/>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_Toc13209_WPSOffice_Level2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ca989a3a-5509-42d5-a94e-799124a081ad}"/>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eastAsia="黑体" w:cs="Times New Roman"/>
                  <w:sz w:val="24"/>
                  <w:szCs w:val="24"/>
                </w:rPr>
                <w:t>4.3 Financial configuration</w:t>
              </w:r>
            </w:sdtContent>
          </w:sdt>
          <w:r>
            <w:rPr>
              <w:rFonts w:hint="default" w:ascii="Times New Roman" w:hAnsi="Times New Roman" w:cs="Times New Roman"/>
              <w:sz w:val="24"/>
              <w:szCs w:val="24"/>
            </w:rPr>
            <w:tab/>
          </w:r>
          <w:bookmarkStart w:id="15" w:name="_Toc13209_WPSOffice_Level2Page"/>
          <w:r>
            <w:rPr>
              <w:rFonts w:hint="default" w:ascii="Times New Roman" w:hAnsi="Times New Roman" w:cs="Times New Roman"/>
              <w:sz w:val="24"/>
              <w:szCs w:val="24"/>
            </w:rPr>
            <w:t>9</w:t>
          </w:r>
          <w:bookmarkEnd w:id="15"/>
          <w:r>
            <w:rPr>
              <w:rFonts w:hint="default" w:ascii="Times New Roman" w:hAnsi="Times New Roman" w:cs="Times New Roman"/>
              <w:sz w:val="24"/>
              <w:szCs w:val="24"/>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_Toc30238_WPSOffice_Level2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208bf7b3-192c-4c2b-a52b-32bf0fd4279a}"/>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eastAsia="黑体" w:cs="Times New Roman"/>
                  <w:sz w:val="24"/>
                  <w:szCs w:val="24"/>
                </w:rPr>
                <w:t>4.4 Standardized accounting treatment</w:t>
              </w:r>
            </w:sdtContent>
          </w:sdt>
          <w:r>
            <w:rPr>
              <w:rFonts w:hint="default" w:ascii="Times New Roman" w:hAnsi="Times New Roman" w:cs="Times New Roman"/>
              <w:sz w:val="24"/>
              <w:szCs w:val="24"/>
            </w:rPr>
            <w:tab/>
          </w:r>
          <w:bookmarkStart w:id="16" w:name="_Toc30238_WPSOffice_Level2Page"/>
          <w:r>
            <w:rPr>
              <w:rFonts w:hint="default" w:ascii="Times New Roman" w:hAnsi="Times New Roman" w:cs="Times New Roman"/>
              <w:sz w:val="24"/>
              <w:szCs w:val="24"/>
            </w:rPr>
            <w:t>9</w:t>
          </w:r>
          <w:bookmarkEnd w:id="16"/>
          <w:r>
            <w:rPr>
              <w:rFonts w:hint="default" w:ascii="Times New Roman" w:hAnsi="Times New Roman" w:cs="Times New Roman"/>
              <w:sz w:val="24"/>
              <w:szCs w:val="24"/>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_Toc654_WPSOffice_Level2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d9e6a37e-a6c9-4c7c-b895-1c6f7b220474}"/>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eastAsia="黑体" w:cs="Times New Roman"/>
                  <w:sz w:val="24"/>
                  <w:szCs w:val="24"/>
                </w:rPr>
                <w:t>4.5 Equity adjustment</w:t>
              </w:r>
            </w:sdtContent>
          </w:sdt>
          <w:r>
            <w:rPr>
              <w:rFonts w:hint="default" w:ascii="Times New Roman" w:hAnsi="Times New Roman" w:cs="Times New Roman"/>
              <w:sz w:val="24"/>
              <w:szCs w:val="24"/>
            </w:rPr>
            <w:tab/>
          </w:r>
          <w:bookmarkStart w:id="17" w:name="_Toc654_WPSOffice_Level2Page"/>
          <w:r>
            <w:rPr>
              <w:rFonts w:hint="default" w:ascii="Times New Roman" w:hAnsi="Times New Roman" w:cs="Times New Roman"/>
              <w:sz w:val="24"/>
              <w:szCs w:val="24"/>
            </w:rPr>
            <w:t>10</w:t>
          </w:r>
          <w:bookmarkEnd w:id="17"/>
          <w:r>
            <w:rPr>
              <w:rFonts w:hint="default" w:ascii="Times New Roman" w:hAnsi="Times New Roman" w:cs="Times New Roman"/>
              <w:sz w:val="24"/>
              <w:szCs w:val="24"/>
            </w:rPr>
            <w:fldChar w:fldCharType="end"/>
          </w:r>
        </w:p>
        <w:p>
          <w:pPr>
            <w:pStyle w:val="1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_Toc8792_WPSOffice_Level1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f7b3ad42-caf2-42c2-b2f7-0a320514882e}"/>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cs="Times New Roman" w:eastAsiaTheme="minorEastAsia"/>
                  <w:sz w:val="24"/>
                  <w:szCs w:val="24"/>
                </w:rPr>
                <w:t>5 Evaluation and Selection of Asset Securitization Path</w:t>
              </w:r>
            </w:sdtContent>
          </w:sdt>
          <w:r>
            <w:rPr>
              <w:rFonts w:hint="default" w:ascii="Times New Roman" w:hAnsi="Times New Roman" w:cs="Times New Roman"/>
              <w:sz w:val="24"/>
              <w:szCs w:val="24"/>
            </w:rPr>
            <w:tab/>
          </w:r>
          <w:bookmarkStart w:id="18" w:name="_Toc8792_WPSOffice_Level1Page"/>
          <w:r>
            <w:rPr>
              <w:rFonts w:hint="default" w:ascii="Times New Roman" w:hAnsi="Times New Roman" w:cs="Times New Roman"/>
              <w:sz w:val="24"/>
              <w:szCs w:val="24"/>
            </w:rPr>
            <w:t>11</w:t>
          </w:r>
          <w:bookmarkEnd w:id="18"/>
          <w:r>
            <w:rPr>
              <w:rFonts w:hint="default" w:ascii="Times New Roman" w:hAnsi="Times New Roman" w:cs="Times New Roman"/>
              <w:sz w:val="24"/>
              <w:szCs w:val="24"/>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_Toc26867_WPSOffice_Level2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79ec2a63-7f2c-4697-9b42-c717c3de5cf8}"/>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eastAsia="黑体" w:cs="Times New Roman"/>
                  <w:sz w:val="24"/>
                  <w:szCs w:val="24"/>
                </w:rPr>
                <w:t>5.1 Domestic IPO</w:t>
              </w:r>
            </w:sdtContent>
          </w:sdt>
          <w:r>
            <w:rPr>
              <w:rFonts w:hint="default" w:ascii="Times New Roman" w:hAnsi="Times New Roman" w:cs="Times New Roman"/>
              <w:sz w:val="24"/>
              <w:szCs w:val="24"/>
            </w:rPr>
            <w:tab/>
          </w:r>
          <w:bookmarkStart w:id="19" w:name="_Toc26867_WPSOffice_Level2Page"/>
          <w:r>
            <w:rPr>
              <w:rFonts w:hint="default" w:ascii="Times New Roman" w:hAnsi="Times New Roman" w:cs="Times New Roman"/>
              <w:sz w:val="24"/>
              <w:szCs w:val="24"/>
            </w:rPr>
            <w:t>11</w:t>
          </w:r>
          <w:bookmarkEnd w:id="19"/>
          <w:r>
            <w:rPr>
              <w:rFonts w:hint="default" w:ascii="Times New Roman" w:hAnsi="Times New Roman" w:cs="Times New Roman"/>
              <w:sz w:val="24"/>
              <w:szCs w:val="24"/>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_Toc15251_WPSOffice_Level2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96d52f34-a871-49a8-8a2b-d861c8380273}"/>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eastAsia="黑体" w:cs="Times New Roman"/>
                  <w:sz w:val="24"/>
                  <w:szCs w:val="24"/>
                </w:rPr>
                <w:t>5.2 Company Merger</w:t>
              </w:r>
            </w:sdtContent>
          </w:sdt>
          <w:r>
            <w:rPr>
              <w:rFonts w:hint="default" w:ascii="Times New Roman" w:hAnsi="Times New Roman" w:cs="Times New Roman"/>
              <w:sz w:val="24"/>
              <w:szCs w:val="24"/>
            </w:rPr>
            <w:tab/>
          </w:r>
          <w:bookmarkStart w:id="20" w:name="_Toc15251_WPSOffice_Level2Page"/>
          <w:r>
            <w:rPr>
              <w:rFonts w:hint="default" w:ascii="Times New Roman" w:hAnsi="Times New Roman" w:cs="Times New Roman"/>
              <w:sz w:val="24"/>
              <w:szCs w:val="24"/>
            </w:rPr>
            <w:t>11</w:t>
          </w:r>
          <w:bookmarkEnd w:id="20"/>
          <w:r>
            <w:rPr>
              <w:rFonts w:hint="default" w:ascii="Times New Roman" w:hAnsi="Times New Roman" w:cs="Times New Roman"/>
              <w:sz w:val="24"/>
              <w:szCs w:val="24"/>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_Toc30581_WPSOffice_Level2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8dc9cf6f-f23d-447c-b315-9cf50b3539c2}"/>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eastAsia="黑体" w:cs="Times New Roman"/>
                  <w:sz w:val="24"/>
                  <w:szCs w:val="24"/>
                </w:rPr>
                <w:t>5.3 Backdoor Listing</w:t>
              </w:r>
            </w:sdtContent>
          </w:sdt>
          <w:r>
            <w:rPr>
              <w:rFonts w:hint="default" w:ascii="Times New Roman" w:hAnsi="Times New Roman" w:cs="Times New Roman"/>
              <w:sz w:val="24"/>
              <w:szCs w:val="24"/>
            </w:rPr>
            <w:tab/>
          </w:r>
          <w:bookmarkStart w:id="21" w:name="_Toc30581_WPSOffice_Level2Page"/>
          <w:r>
            <w:rPr>
              <w:rFonts w:hint="default" w:ascii="Times New Roman" w:hAnsi="Times New Roman" w:cs="Times New Roman"/>
              <w:sz w:val="24"/>
              <w:szCs w:val="24"/>
            </w:rPr>
            <w:t>12</w:t>
          </w:r>
          <w:bookmarkEnd w:id="21"/>
          <w:r>
            <w:rPr>
              <w:rFonts w:hint="default" w:ascii="Times New Roman" w:hAnsi="Times New Roman" w:cs="Times New Roman"/>
              <w:sz w:val="24"/>
              <w:szCs w:val="24"/>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_Toc6396_WPSOffice_Level2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40b17382-5241-49e1-8396-95d39a3ff99c}"/>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eastAsia="黑体" w:cs="Times New Roman"/>
                  <w:sz w:val="24"/>
                  <w:szCs w:val="24"/>
                </w:rPr>
                <w:t>5.4 Logining Hong Kong</w:t>
              </w:r>
            </w:sdtContent>
          </w:sdt>
          <w:r>
            <w:rPr>
              <w:rFonts w:hint="default" w:ascii="Times New Roman" w:hAnsi="Times New Roman" w:cs="Times New Roman"/>
              <w:sz w:val="24"/>
              <w:szCs w:val="24"/>
            </w:rPr>
            <w:tab/>
          </w:r>
          <w:bookmarkStart w:id="22" w:name="_Toc6396_WPSOffice_Level2Page"/>
          <w:r>
            <w:rPr>
              <w:rFonts w:hint="default" w:ascii="Times New Roman" w:hAnsi="Times New Roman" w:cs="Times New Roman"/>
              <w:sz w:val="24"/>
              <w:szCs w:val="24"/>
            </w:rPr>
            <w:t>12</w:t>
          </w:r>
          <w:bookmarkEnd w:id="22"/>
          <w:r>
            <w:rPr>
              <w:rFonts w:hint="default" w:ascii="Times New Roman" w:hAnsi="Times New Roman" w:cs="Times New Roman"/>
              <w:sz w:val="24"/>
              <w:szCs w:val="24"/>
            </w:rPr>
            <w:fldChar w:fldCharType="end"/>
          </w:r>
        </w:p>
        <w:p>
          <w:pPr>
            <w:pStyle w:val="16"/>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_Toc9107_WPSOffice_Level2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6ba5d31c-8a10-41b6-901e-38ac7e12135c}"/>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eastAsia="黑体" w:cs="Times New Roman"/>
                  <w:sz w:val="24"/>
                  <w:szCs w:val="24"/>
                </w:rPr>
                <w:t>5.5 US Securities Market</w:t>
              </w:r>
            </w:sdtContent>
          </w:sdt>
          <w:r>
            <w:rPr>
              <w:rFonts w:hint="default" w:ascii="Times New Roman" w:hAnsi="Times New Roman" w:cs="Times New Roman"/>
              <w:sz w:val="24"/>
              <w:szCs w:val="24"/>
            </w:rPr>
            <w:tab/>
          </w:r>
          <w:bookmarkStart w:id="23" w:name="_Toc9107_WPSOffice_Level2Page"/>
          <w:r>
            <w:rPr>
              <w:rFonts w:hint="default" w:ascii="Times New Roman" w:hAnsi="Times New Roman" w:cs="Times New Roman"/>
              <w:sz w:val="24"/>
              <w:szCs w:val="24"/>
            </w:rPr>
            <w:t>13</w:t>
          </w:r>
          <w:bookmarkEnd w:id="23"/>
          <w:r>
            <w:rPr>
              <w:rFonts w:hint="default" w:ascii="Times New Roman" w:hAnsi="Times New Roman" w:cs="Times New Roman"/>
              <w:sz w:val="24"/>
              <w:szCs w:val="24"/>
            </w:rPr>
            <w:fldChar w:fldCharType="end"/>
          </w:r>
        </w:p>
        <w:p>
          <w:pPr>
            <w:pStyle w:val="1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_Toc15775_WPSOffice_Level1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6526cabe-6fa3-4204-8bb0-930e45845d1f}"/>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cs="Times New Roman" w:eastAsiaTheme="minorEastAsia"/>
                  <w:sz w:val="24"/>
                  <w:szCs w:val="24"/>
                </w:rPr>
                <w:t>6 Conclusion</w:t>
              </w:r>
            </w:sdtContent>
          </w:sdt>
          <w:r>
            <w:rPr>
              <w:rFonts w:hint="default" w:ascii="Times New Roman" w:hAnsi="Times New Roman" w:cs="Times New Roman"/>
              <w:sz w:val="24"/>
              <w:szCs w:val="24"/>
            </w:rPr>
            <w:tab/>
          </w:r>
          <w:bookmarkStart w:id="24" w:name="_Toc15775_WPSOffice_Level1Page"/>
          <w:r>
            <w:rPr>
              <w:rFonts w:hint="default" w:ascii="Times New Roman" w:hAnsi="Times New Roman" w:cs="Times New Roman"/>
              <w:sz w:val="24"/>
              <w:szCs w:val="24"/>
            </w:rPr>
            <w:t>13</w:t>
          </w:r>
          <w:bookmarkEnd w:id="24"/>
          <w:r>
            <w:rPr>
              <w:rFonts w:hint="default" w:ascii="Times New Roman" w:hAnsi="Times New Roman" w:cs="Times New Roman"/>
              <w:sz w:val="24"/>
              <w:szCs w:val="24"/>
            </w:rPr>
            <w:fldChar w:fldCharType="end"/>
          </w:r>
        </w:p>
        <w:p>
          <w:pPr>
            <w:pStyle w:val="15"/>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_Toc17445_WPSOffice_Level1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9b7193a1-9059-460a-bf47-2faafa7f116a}"/>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cs="Times New Roman" w:eastAsiaTheme="minorEastAsia"/>
                  <w:sz w:val="24"/>
                  <w:szCs w:val="24"/>
                </w:rPr>
                <w:t>Reference</w:t>
              </w:r>
            </w:sdtContent>
          </w:sdt>
          <w:r>
            <w:rPr>
              <w:rFonts w:hint="default" w:ascii="Times New Roman" w:hAnsi="Times New Roman" w:cs="Times New Roman"/>
              <w:sz w:val="24"/>
              <w:szCs w:val="24"/>
            </w:rPr>
            <w:tab/>
          </w:r>
          <w:bookmarkStart w:id="25" w:name="_Toc17445_WPSOffice_Level1Page"/>
          <w:r>
            <w:rPr>
              <w:rFonts w:hint="default" w:ascii="Times New Roman" w:hAnsi="Times New Roman" w:cs="Times New Roman"/>
              <w:sz w:val="24"/>
              <w:szCs w:val="24"/>
            </w:rPr>
            <w:t>15</w:t>
          </w:r>
          <w:bookmarkEnd w:id="25"/>
          <w:r>
            <w:rPr>
              <w:rFonts w:hint="default" w:ascii="Times New Roman" w:hAnsi="Times New Roman" w:cs="Times New Roman"/>
              <w:sz w:val="24"/>
              <w:szCs w:val="24"/>
            </w:rPr>
            <w:fldChar w:fldCharType="end"/>
          </w:r>
        </w:p>
        <w:p>
          <w:pPr>
            <w:pStyle w:val="15"/>
            <w:tabs>
              <w:tab w:val="right" w:leader="dot" w:pos="8306"/>
            </w:tabs>
            <w:spacing w:line="360" w:lineRule="auto"/>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_Toc8688_WPSOffice_Level1 </w:instrText>
          </w:r>
          <w:r>
            <w:rPr>
              <w:rFonts w:hint="default" w:ascii="Times New Roman" w:hAnsi="Times New Roman" w:cs="Times New Roman"/>
              <w:sz w:val="24"/>
              <w:szCs w:val="24"/>
            </w:rPr>
            <w:fldChar w:fldCharType="separate"/>
          </w:r>
          <w:sdt>
            <w:sdtPr>
              <w:rPr>
                <w:rFonts w:hint="default" w:ascii="Times New Roman" w:hAnsi="Times New Roman" w:cs="Times New Roman" w:eastAsiaTheme="minorEastAsia"/>
                <w:kern w:val="2"/>
                <w:sz w:val="24"/>
                <w:szCs w:val="24"/>
                <w:lang w:val="en-US" w:eastAsia="zh-CN" w:bidi="ar-SA"/>
              </w:rPr>
              <w:id w:val="147477423"/>
              <w:placeholder>
                <w:docPart w:val="{762b31c3-8c0e-4ca0-917d-56cc2d05d221}"/>
              </w:placeholder>
              <w15:color w:val="509DF3"/>
            </w:sdtPr>
            <w:sdtEndPr>
              <w:rPr>
                <w:rFonts w:hint="default" w:ascii="Times New Roman" w:hAnsi="Times New Roman" w:cs="Times New Roman" w:eastAsiaTheme="minorEastAsia"/>
                <w:kern w:val="2"/>
                <w:sz w:val="24"/>
                <w:szCs w:val="24"/>
                <w:lang w:val="en-US" w:eastAsia="zh-CN" w:bidi="ar-SA"/>
              </w:rPr>
            </w:sdtEndPr>
            <w:sdtContent>
              <w:r>
                <w:rPr>
                  <w:rFonts w:hint="default" w:ascii="Times New Roman" w:hAnsi="Times New Roman" w:cs="Times New Roman" w:eastAsiaTheme="minorEastAsia"/>
                  <w:sz w:val="24"/>
                  <w:szCs w:val="24"/>
                </w:rPr>
                <w:t>Appendix</w:t>
              </w:r>
            </w:sdtContent>
          </w:sdt>
          <w:r>
            <w:rPr>
              <w:rFonts w:hint="default" w:ascii="Times New Roman" w:hAnsi="Times New Roman" w:cs="Times New Roman"/>
              <w:sz w:val="24"/>
              <w:szCs w:val="24"/>
            </w:rPr>
            <w:tab/>
          </w:r>
          <w:bookmarkStart w:id="26" w:name="_Toc8688_WPSOffice_Level1Page"/>
          <w:r>
            <w:rPr>
              <w:rFonts w:hint="default" w:ascii="Times New Roman" w:hAnsi="Times New Roman" w:cs="Times New Roman"/>
              <w:sz w:val="24"/>
              <w:szCs w:val="24"/>
            </w:rPr>
            <w:t>20</w:t>
          </w:r>
          <w:bookmarkEnd w:id="26"/>
          <w:r>
            <w:rPr>
              <w:rFonts w:hint="default" w:ascii="Times New Roman" w:hAnsi="Times New Roman" w:cs="Times New Roman"/>
              <w:sz w:val="24"/>
              <w:szCs w:val="24"/>
            </w:rPr>
            <w:fldChar w:fldCharType="end"/>
          </w:r>
          <w:bookmarkEnd w:id="0"/>
        </w:p>
      </w:sdtContent>
    </w:sdt>
    <w:p>
      <w:pPr>
        <w:spacing w:line="360" w:lineRule="auto"/>
        <w:rPr>
          <w:rFonts w:hint="default" w:ascii="Times New Roman" w:hAnsi="Times New Roman" w:cs="Times New Roman"/>
          <w:sz w:val="24"/>
          <w:szCs w:val="24"/>
          <w:lang w:val="en-US" w:eastAsia="zh-CN"/>
        </w:rPr>
        <w:sectPr>
          <w:pgSz w:w="11906" w:h="16838"/>
          <w:pgMar w:top="1440" w:right="1800" w:bottom="1440" w:left="1800" w:header="851" w:footer="992" w:gutter="0"/>
          <w:cols w:space="425" w:num="1"/>
          <w:docGrid w:type="lines" w:linePitch="312" w:charSpace="0"/>
        </w:sectPr>
      </w:pPr>
    </w:p>
    <w:p>
      <w:pPr>
        <w:pStyle w:val="2"/>
        <w:bidi w:val="0"/>
        <w:outlineLvl w:val="9"/>
        <w:rPr>
          <w:rFonts w:hint="default" w:ascii="Times New Roman" w:hAnsi="Times New Roman" w:cs="Times New Roman"/>
          <w:sz w:val="24"/>
          <w:szCs w:val="24"/>
          <w:lang w:val="en-US" w:eastAsia="zh-CN"/>
        </w:rPr>
      </w:pPr>
      <w:bookmarkStart w:id="27" w:name="_Toc30626_WPSOffice_Level1"/>
      <w:bookmarkStart w:id="28" w:name="_Toc1213"/>
      <w:bookmarkStart w:id="29" w:name="_Toc31078_WPSOffice_Level1"/>
      <w:r>
        <w:rPr>
          <w:rFonts w:hint="default" w:ascii="Times New Roman" w:hAnsi="Times New Roman" w:cs="Times New Roman"/>
          <w:sz w:val="32"/>
          <w:szCs w:val="32"/>
          <w:lang w:val="en-US" w:eastAsia="zh-CN"/>
        </w:rPr>
        <w:t>Executive Summary</w:t>
      </w:r>
      <w:bookmarkEnd w:id="27"/>
      <w:bookmarkEnd w:id="28"/>
      <w:bookmarkEnd w:id="29"/>
    </w:p>
    <w:p>
      <w:pPr>
        <w:spacing w:line="360" w:lineRule="auto"/>
        <w:rPr>
          <w:rFonts w:hint="default" w:ascii="Times New Roman" w:hAnsi="Times New Roman" w:cs="Times New Roman"/>
          <w:sz w:val="24"/>
          <w:szCs w:val="24"/>
          <w:highlight w:val="none"/>
          <w:lang w:val="en-US" w:eastAsia="zh-CN"/>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hint="eastAsia" w:ascii="Times New Roman" w:hAnsi="Times New Roman" w:cs="Times New Roman"/>
          <w:sz w:val="24"/>
          <w:szCs w:val="24"/>
          <w:highlight w:val="none"/>
          <w:lang w:val="en-US" w:eastAsia="zh-CN"/>
        </w:rPr>
        <w:t xml:space="preserve">Beijing Boyuan Network Technology Co., Ltd., a privately owned limited liability company focused on online education, is trying to secure sufficient capital and a larger market through a public offering in the process of development. This report will take the company listing as the target project, carries on the detailed investigation to the Beijing Boyuan network technology company, and forms the investigation report according to the consulting material, the oral interview, the analysis procedure and so on. Through this survey, whether it has the basic conditions for planned listing has been determined. In addition, this report found that the financial and business aspects of the listing have not met the listing requirements. Finally, aiming at these problems, this report puts forward the corresponding solutions and provides the market for them. </w:t>
      </w:r>
    </w:p>
    <w:p>
      <w:pPr>
        <w:pStyle w:val="2"/>
        <w:numPr>
          <w:ilvl w:val="0"/>
          <w:numId w:val="0"/>
        </w:numPr>
        <w:bidi w:val="0"/>
        <w:outlineLvl w:val="9"/>
        <w:rPr>
          <w:rFonts w:hint="default" w:ascii="Times New Roman" w:hAnsi="Times New Roman" w:cs="Times New Roman"/>
          <w:sz w:val="32"/>
          <w:szCs w:val="20"/>
          <w:lang w:val="en-US" w:eastAsia="zh-CN"/>
        </w:rPr>
      </w:pPr>
      <w:bookmarkStart w:id="30" w:name="_Toc14928_WPSOffice_Level1"/>
      <w:r>
        <w:rPr>
          <w:rFonts w:hint="eastAsia" w:ascii="Times New Roman" w:hAnsi="Times New Roman" w:cs="Times New Roman"/>
          <w:sz w:val="32"/>
          <w:szCs w:val="20"/>
          <w:lang w:val="en-US" w:eastAsia="zh-CN"/>
        </w:rPr>
        <w:t xml:space="preserve">1 </w:t>
      </w:r>
      <w:r>
        <w:rPr>
          <w:rFonts w:hint="default" w:ascii="Times New Roman" w:hAnsi="Times New Roman" w:cs="Times New Roman"/>
          <w:sz w:val="32"/>
          <w:szCs w:val="20"/>
          <w:lang w:val="en-US" w:eastAsia="zh-CN"/>
        </w:rPr>
        <w:t>Introduction</w:t>
      </w:r>
      <w:bookmarkEnd w:id="30"/>
    </w:p>
    <w:p>
      <w:pPr>
        <w:pageBreakBefore w:val="0"/>
        <w:widowControl w:val="0"/>
        <w:kinsoku/>
        <w:wordWrap/>
        <w:overflowPunct/>
        <w:topLinePunct w:val="0"/>
        <w:autoSpaceDE/>
        <w:autoSpaceDN/>
        <w:bidi w:val="0"/>
        <w:adjustRightInd/>
        <w:snapToGrid/>
        <w:spacing w:after="200"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eastAsiaTheme="minorEastAsia"/>
          <w:sz w:val="24"/>
          <w:szCs w:val="24"/>
          <w:lang w:val="en-US" w:eastAsia="zh-CN"/>
        </w:rPr>
        <w:t>Beijing Boyuan Network Technology company</w:t>
      </w:r>
      <w:r>
        <w:rPr>
          <w:rFonts w:hint="default" w:ascii="Times New Roman" w:hAnsi="Times New Roman" w:cs="Times New Roman"/>
          <w:sz w:val="24"/>
          <w:szCs w:val="24"/>
          <w:lang w:val="en-US" w:eastAsia="zh-CN"/>
        </w:rPr>
        <w:t xml:space="preserve"> is an online education company engaged in the future growth of enterprises, education level training, new and old project development and personnel management consulting. </w:t>
      </w:r>
      <w:r>
        <w:rPr>
          <w:rFonts w:hint="default" w:ascii="Times New Roman" w:hAnsi="Times New Roman" w:cs="Times New Roman"/>
          <w:sz w:val="24"/>
          <w:szCs w:val="24"/>
          <w:highlight w:val="none"/>
          <w:lang w:val="en-US" w:eastAsia="zh-CN"/>
        </w:rPr>
        <w:t>They have been committed to becoming China's largest Internet learning platform.</w:t>
      </w:r>
      <w:r>
        <w:rPr>
          <w:rFonts w:hint="eastAsia" w:ascii="Times New Roman" w:hAnsi="Times New Roman" w:cs="Times New Roman"/>
          <w:sz w:val="24"/>
          <w:szCs w:val="24"/>
          <w:highlight w:val="none"/>
          <w:lang w:val="en-US" w:eastAsia="zh-CN"/>
        </w:rPr>
        <w:t xml:space="preserve"> </w:t>
      </w:r>
    </w:p>
    <w:p>
      <w:pPr>
        <w:pStyle w:val="3"/>
        <w:pageBreakBefore w:val="0"/>
        <w:widowControl w:val="0"/>
        <w:kinsoku/>
        <w:wordWrap/>
        <w:overflowPunct/>
        <w:topLinePunct w:val="0"/>
        <w:autoSpaceDE/>
        <w:autoSpaceDN/>
        <w:bidi w:val="0"/>
        <w:adjustRightInd/>
        <w:snapToGrid/>
        <w:spacing w:after="200" w:line="360" w:lineRule="auto"/>
        <w:textAlignment w:val="auto"/>
        <w:outlineLvl w:val="9"/>
        <w:rPr>
          <w:rFonts w:hint="default" w:ascii="Times New Roman" w:hAnsi="Times New Roman" w:cs="Times New Roman"/>
          <w:sz w:val="28"/>
          <w:szCs w:val="22"/>
          <w:lang w:val="en-US" w:eastAsia="zh-CN"/>
        </w:rPr>
      </w:pPr>
      <w:bookmarkStart w:id="31" w:name="_Toc21987_WPSOffice_Level2"/>
      <w:bookmarkStart w:id="32" w:name="_Toc14928_WPSOffice_Level2"/>
      <w:bookmarkStart w:id="33" w:name="_Toc5269"/>
      <w:r>
        <w:rPr>
          <w:rFonts w:hint="default" w:ascii="Times New Roman" w:hAnsi="Times New Roman" w:cs="Times New Roman"/>
          <w:sz w:val="28"/>
          <w:szCs w:val="22"/>
          <w:lang w:val="en-US" w:eastAsia="zh-CN"/>
        </w:rPr>
        <w:t xml:space="preserve">1.1 </w:t>
      </w:r>
      <w:r>
        <w:rPr>
          <w:rFonts w:hint="default" w:ascii="Times New Roman" w:hAnsi="Times New Roman" w:cs="Times New Roman"/>
          <w:sz w:val="28"/>
          <w:szCs w:val="22"/>
          <w:lang w:val="en-US" w:eastAsia="zh-CN"/>
        </w:rPr>
        <w:fldChar w:fldCharType="begin"/>
      </w:r>
      <w:r>
        <w:rPr>
          <w:rFonts w:hint="default" w:ascii="Times New Roman" w:hAnsi="Times New Roman" w:cs="Times New Roman"/>
          <w:sz w:val="28"/>
          <w:szCs w:val="22"/>
          <w:lang w:val="en-US" w:eastAsia="zh-CN"/>
        </w:rPr>
        <w:instrText xml:space="preserve"> HYPERLINK \l _Toc32</w:instrText>
      </w:r>
      <w:bookmarkEnd w:id="31"/>
      <w:bookmarkEnd w:id="32"/>
      <w:r>
        <w:rPr>
          <w:rFonts w:hint="default" w:ascii="Times New Roman" w:hAnsi="Times New Roman" w:cs="Times New Roman"/>
          <w:sz w:val="28"/>
          <w:szCs w:val="22"/>
          <w:lang w:val="en-US" w:eastAsia="zh-CN"/>
        </w:rPr>
        <w:instrText xml:space="preserve">135 </w:instrText>
      </w:r>
      <w:r>
        <w:rPr>
          <w:rFonts w:hint="default" w:ascii="Times New Roman" w:hAnsi="Times New Roman" w:cs="Times New Roman"/>
          <w:sz w:val="28"/>
          <w:szCs w:val="22"/>
          <w:lang w:val="en-US" w:eastAsia="zh-CN"/>
        </w:rPr>
        <w:fldChar w:fldCharType="separate"/>
      </w:r>
      <w:r>
        <w:rPr>
          <w:rFonts w:hint="default" w:ascii="Times New Roman" w:hAnsi="Times New Roman" w:cs="Times New Roman"/>
          <w:sz w:val="28"/>
          <w:szCs w:val="22"/>
          <w:lang w:val="en-US" w:eastAsia="zh-CN"/>
        </w:rPr>
        <w:t xml:space="preserve">Project </w:t>
      </w:r>
      <w:r>
        <w:rPr>
          <w:rFonts w:hint="eastAsia" w:ascii="Times New Roman" w:hAnsi="Times New Roman" w:cs="Times New Roman"/>
          <w:sz w:val="28"/>
          <w:szCs w:val="22"/>
          <w:highlight w:val="none"/>
          <w:lang w:val="en-US" w:eastAsia="zh-CN"/>
        </w:rPr>
        <w:t>Justification</w:t>
      </w:r>
      <w:r>
        <w:rPr>
          <w:rFonts w:hint="default" w:ascii="Times New Roman" w:hAnsi="Times New Roman" w:cs="Times New Roman"/>
          <w:sz w:val="28"/>
          <w:szCs w:val="22"/>
          <w:lang w:val="en-US" w:eastAsia="zh-CN"/>
        </w:rPr>
        <w:fldChar w:fldCharType="end"/>
      </w:r>
      <w:bookmarkEnd w:id="33"/>
    </w:p>
    <w:p>
      <w:pPr>
        <w:numPr>
          <w:ilvl w:val="0"/>
          <w:numId w:val="0"/>
        </w:numPr>
        <w:spacing w:line="360" w:lineRule="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Taking into account the company's current business model and ownership structure, this project analyzes the feasibility of the future IPO of the enterprise. In the future, the listed main body will take online education as the main business, spin off the existing shopping malls and technology development, and form a new business block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Berasategi</w:t>
      </w:r>
      <w:r>
        <w:rPr>
          <w:rFonts w:hint="eastAsia" w:ascii="Times New Roman" w:hAnsi="Times New Roman" w:cs="Times New Roman"/>
          <w:sz w:val="24"/>
          <w:szCs w:val="24"/>
          <w:lang w:val="en-US" w:eastAsia="zh-CN"/>
        </w:rPr>
        <w:t>, 2011)</w:t>
      </w:r>
      <w:r>
        <w:rPr>
          <w:rFonts w:hint="eastAsia" w:ascii="Times New Roman" w:hAnsi="Times New Roman" w:cs="Times New Roman"/>
          <w:color w:val="auto"/>
          <w:sz w:val="24"/>
          <w:szCs w:val="24"/>
          <w:highlight w:val="none"/>
          <w:lang w:val="en-US" w:eastAsia="zh-CN"/>
        </w:rPr>
        <w:t xml:space="preserve">. This report will establish a team responsible for research, business, internal control management and financial accounting for listed projects. </w:t>
      </w:r>
    </w:p>
    <w:p>
      <w:pPr>
        <w:numPr>
          <w:ilvl w:val="0"/>
          <w:numId w:val="0"/>
        </w:numPr>
        <w:spacing w:line="36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An important reason for the development of this project is that the holding structure makes this pyramid structure leveraged. Different shareholders have their own positions and interests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Cowan</w:t>
      </w:r>
      <w:r>
        <w:rPr>
          <w:rFonts w:hint="eastAsia" w:ascii="Times New Roman" w:hAnsi="Times New Roman" w:cs="Times New Roman"/>
          <w:sz w:val="24"/>
          <w:szCs w:val="24"/>
          <w:lang w:val="en-US" w:eastAsia="zh-CN"/>
        </w:rPr>
        <w:t>, 2007)</w:t>
      </w:r>
      <w:r>
        <w:rPr>
          <w:rFonts w:hint="eastAsia" w:ascii="Times New Roman" w:hAnsi="Times New Roman" w:cs="Times New Roman"/>
          <w:color w:val="auto"/>
          <w:sz w:val="24"/>
          <w:szCs w:val="24"/>
          <w:highlight w:val="none"/>
          <w:lang w:val="en-US" w:eastAsia="zh-CN"/>
        </w:rPr>
        <w:t>. The more shareholders, the more complicated the game relationship, and it is quite difficult to unify opinions. The establishment of a holding company is conducive to the coordination between shareholders, the focus is on strengthening the control of major shareholders.</w:t>
      </w:r>
    </w:p>
    <w:p>
      <w:pPr>
        <w:numPr>
          <w:ilvl w:val="0"/>
          <w:numId w:val="0"/>
        </w:numPr>
        <w:spacing w:line="36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If the company wants to carry out other business, the holding company is a good platform. The proceeds can be reinvested not only in the main company but also in other industries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Baldo</w:t>
      </w:r>
      <w:r>
        <w:rPr>
          <w:rFonts w:hint="eastAsia" w:ascii="Times New Roman" w:hAnsi="Times New Roman" w:cs="Times New Roman"/>
          <w:sz w:val="24"/>
          <w:szCs w:val="24"/>
          <w:lang w:val="en-US" w:eastAsia="zh-CN"/>
        </w:rPr>
        <w:t>, 2009)</w:t>
      </w:r>
      <w:r>
        <w:rPr>
          <w:rFonts w:hint="eastAsia" w:ascii="Times New Roman" w:hAnsi="Times New Roman" w:cs="Times New Roman"/>
          <w:color w:val="auto"/>
          <w:sz w:val="24"/>
          <w:szCs w:val="24"/>
          <w:highlight w:val="none"/>
          <w:lang w:val="en-US" w:eastAsia="zh-CN"/>
        </w:rPr>
        <w:t>. This is why most companies with diversified intentions choose to establish a holding company today, and it is conducive to the development of other business segments in the future.</w:t>
      </w:r>
    </w:p>
    <w:p>
      <w:pPr>
        <w:numPr>
          <w:ilvl w:val="0"/>
          <w:numId w:val="0"/>
        </w:numPr>
        <w:spacing w:line="360" w:lineRule="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From the perspective of taxation, after the establishment of the holding company, the dividend income obtained from the main company does not have to pay corporate income tax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Afsarmanesh</w:t>
      </w:r>
      <w:r>
        <w:rPr>
          <w:rFonts w:hint="eastAsia" w:ascii="Times New Roman" w:hAnsi="Times New Roman" w:cs="Times New Roman"/>
          <w:sz w:val="24"/>
          <w:szCs w:val="24"/>
          <w:lang w:val="en-US" w:eastAsia="zh-CN"/>
        </w:rPr>
        <w:t>, 2010)</w:t>
      </w:r>
      <w:r>
        <w:rPr>
          <w:rFonts w:hint="eastAsia" w:ascii="Times New Roman" w:hAnsi="Times New Roman" w:cs="Times New Roman"/>
          <w:color w:val="auto"/>
          <w:sz w:val="24"/>
          <w:szCs w:val="24"/>
          <w:highlight w:val="none"/>
          <w:lang w:val="en-US" w:eastAsia="zh-CN"/>
        </w:rPr>
        <w:t>. This part of the income can be directly used for investment or consumption. If the natural person directly holds the share, the dividend income must be deducted from the personal income tax before it can be used for other purposes.</w:t>
      </w:r>
    </w:p>
    <w:p>
      <w:pPr>
        <w:numPr>
          <w:ilvl w:val="0"/>
          <w:numId w:val="0"/>
        </w:num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color w:val="auto"/>
          <w:sz w:val="24"/>
          <w:szCs w:val="24"/>
          <w:highlight w:val="none"/>
          <w:lang w:val="en-US" w:eastAsia="zh-CN"/>
        </w:rPr>
        <w:t xml:space="preserve">In order to promote the company to complete asset securitisation as soon as possible, based on the current regulatory policies and rules, regulating the issuance and listing of securities, as well as the development of the company, this report will analyse the management and financial problems of the company and put forward reasonable suggestions for listing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David</w:t>
      </w:r>
      <w:r>
        <w:rPr>
          <w:rFonts w:hint="eastAsia" w:ascii="Times New Roman" w:hAnsi="Times New Roman" w:cs="Times New Roman"/>
          <w:sz w:val="24"/>
          <w:szCs w:val="24"/>
          <w:lang w:val="en-US" w:eastAsia="zh-CN"/>
        </w:rPr>
        <w:t>, 2004)</w:t>
      </w:r>
      <w:r>
        <w:rPr>
          <w:rFonts w:hint="eastAsia" w:ascii="Times New Roman" w:hAnsi="Times New Roman" w:cs="Times New Roman"/>
          <w:color w:val="auto"/>
          <w:sz w:val="24"/>
          <w:szCs w:val="24"/>
          <w:highlight w:val="none"/>
          <w:lang w:val="en-US" w:eastAsia="zh-CN"/>
        </w:rPr>
        <w:t xml:space="preserve">. </w:t>
      </w:r>
    </w:p>
    <w:p>
      <w:pPr>
        <w:pStyle w:val="3"/>
        <w:pageBreakBefore w:val="0"/>
        <w:widowControl w:val="0"/>
        <w:kinsoku/>
        <w:wordWrap/>
        <w:overflowPunct/>
        <w:topLinePunct w:val="0"/>
        <w:autoSpaceDE/>
        <w:autoSpaceDN/>
        <w:bidi w:val="0"/>
        <w:adjustRightInd/>
        <w:snapToGrid/>
        <w:spacing w:after="200" w:line="360" w:lineRule="auto"/>
        <w:textAlignment w:val="auto"/>
        <w:outlineLvl w:val="9"/>
        <w:rPr>
          <w:rFonts w:hint="default" w:ascii="Times New Roman" w:hAnsi="Times New Roman" w:cs="Times New Roman"/>
          <w:sz w:val="28"/>
          <w:szCs w:val="22"/>
          <w:highlight w:val="none"/>
          <w:lang w:val="en-US" w:eastAsia="zh-CN"/>
        </w:rPr>
      </w:pPr>
      <w:bookmarkStart w:id="34" w:name="_Toc5371"/>
      <w:r>
        <w:rPr>
          <w:rFonts w:hint="default" w:ascii="Times New Roman" w:hAnsi="Times New Roman" w:cs="Times New Roman"/>
          <w:sz w:val="28"/>
          <w:szCs w:val="22"/>
          <w:highlight w:val="none"/>
          <w:lang w:val="en-US" w:eastAsia="zh-CN"/>
        </w:rPr>
        <w:fldChar w:fldCharType="begin"/>
      </w:r>
      <w:r>
        <w:rPr>
          <w:rFonts w:hint="default" w:ascii="Times New Roman" w:hAnsi="Times New Roman" w:cs="Times New Roman"/>
          <w:sz w:val="28"/>
          <w:szCs w:val="22"/>
          <w:highlight w:val="none"/>
          <w:lang w:val="en-US" w:eastAsia="zh-CN"/>
        </w:rPr>
        <w:instrText xml:space="preserve"> HYPERLINK \l _Toc4413 </w:instrText>
      </w:r>
      <w:r>
        <w:rPr>
          <w:rFonts w:hint="default" w:ascii="Times New Roman" w:hAnsi="Times New Roman" w:cs="Times New Roman"/>
          <w:sz w:val="28"/>
          <w:szCs w:val="22"/>
          <w:highlight w:val="none"/>
          <w:lang w:val="en-US" w:eastAsia="zh-CN"/>
        </w:rPr>
        <w:fldChar w:fldCharType="separate"/>
      </w:r>
      <w:bookmarkStart w:id="35" w:name="_Toc16086_WPSOffice_Level2"/>
      <w:bookmarkStart w:id="36" w:name="_Toc5108_WPSOffice_Level2"/>
      <w:r>
        <w:rPr>
          <w:rFonts w:hint="default" w:ascii="Times New Roman" w:hAnsi="Times New Roman" w:cs="Times New Roman"/>
          <w:sz w:val="28"/>
          <w:szCs w:val="22"/>
          <w:highlight w:val="none"/>
          <w:lang w:val="en-US" w:eastAsia="zh-CN"/>
        </w:rPr>
        <w:t xml:space="preserve">1.2 </w:t>
      </w:r>
      <w:r>
        <w:rPr>
          <w:rFonts w:hint="default" w:ascii="Times New Roman" w:hAnsi="Times New Roman" w:cs="Times New Roman"/>
          <w:sz w:val="28"/>
          <w:szCs w:val="22"/>
          <w:highlight w:val="none"/>
          <w:lang w:val="en-US" w:eastAsia="zh-CN"/>
        </w:rPr>
        <w:fldChar w:fldCharType="end"/>
      </w:r>
      <w:r>
        <w:rPr>
          <w:rFonts w:hint="eastAsia" w:ascii="Times New Roman" w:hAnsi="Times New Roman" w:cs="Times New Roman"/>
          <w:sz w:val="28"/>
          <w:szCs w:val="22"/>
          <w:highlight w:val="none"/>
          <w:lang w:val="en-US" w:eastAsia="zh-CN"/>
        </w:rPr>
        <w:t>Project Objective</w:t>
      </w:r>
      <w:bookmarkEnd w:id="35"/>
      <w:bookmarkEnd w:id="36"/>
      <w:r>
        <w:rPr>
          <w:rFonts w:hint="eastAsia" w:ascii="Times New Roman" w:hAnsi="Times New Roman" w:cs="Times New Roman"/>
          <w:sz w:val="28"/>
          <w:szCs w:val="22"/>
          <w:highlight w:val="none"/>
          <w:lang w:val="en-US" w:eastAsia="zh-CN"/>
        </w:rPr>
        <w:t>s</w:t>
      </w:r>
      <w:bookmarkEnd w:id="34"/>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This </w:t>
      </w:r>
      <w:r>
        <w:rPr>
          <w:rFonts w:hint="eastAsia" w:ascii="Times New Roman" w:hAnsi="Times New Roman" w:cs="Times New Roman"/>
          <w:sz w:val="24"/>
          <w:szCs w:val="24"/>
          <w:lang w:val="en-US" w:eastAsia="zh-CN"/>
        </w:rPr>
        <w:t>report</w:t>
      </w:r>
      <w:r>
        <w:rPr>
          <w:rFonts w:hint="default" w:ascii="Times New Roman" w:hAnsi="Times New Roman" w:cs="Times New Roman"/>
          <w:sz w:val="24"/>
          <w:szCs w:val="24"/>
          <w:lang w:val="en-US" w:eastAsia="zh-CN"/>
        </w:rPr>
        <w:t xml:space="preserve"> is based on the company's relevant raw materials and determines the possibility of listing based on changes in the capital market in response to international macroeconomic trends.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Written investigation, oral interviews and analysis of Beijing Boyuan Network Technology company under limited time and data conditions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Willem, </w:t>
      </w:r>
      <w:r>
        <w:rPr>
          <w:rFonts w:hint="eastAsia" w:ascii="Times New Roman" w:hAnsi="Times New Roman" w:cs="Times New Roman"/>
          <w:sz w:val="24"/>
          <w:szCs w:val="24"/>
          <w:lang w:val="en-US" w:eastAsia="zh-CN"/>
        </w:rPr>
        <w:t>2014)</w:t>
      </w:r>
      <w:r>
        <w:rPr>
          <w:rFonts w:hint="default" w:ascii="Times New Roman" w:hAnsi="Times New Roman" w:cs="Times New Roman"/>
          <w:sz w:val="24"/>
          <w:szCs w:val="24"/>
          <w:lang w:val="en-US" w:eastAsia="zh-CN"/>
        </w:rPr>
        <w:t>. Including history, business and technology, and internal control and financial situation.</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The content involves the company's problems in the history of the company, business and technology, internal control, financial management, tax management and accounting.</w:t>
      </w:r>
    </w:p>
    <w:p>
      <w:pPr>
        <w:pStyle w:val="2"/>
        <w:numPr>
          <w:ilvl w:val="0"/>
          <w:numId w:val="0"/>
        </w:numPr>
        <w:bidi w:val="0"/>
        <w:outlineLvl w:val="9"/>
        <w:rPr>
          <w:rFonts w:hint="default" w:ascii="Times New Roman" w:hAnsi="Times New Roman" w:cs="Times New Roman"/>
          <w:sz w:val="32"/>
          <w:szCs w:val="20"/>
          <w:lang w:val="en-US" w:eastAsia="zh-CN"/>
        </w:rPr>
      </w:pPr>
      <w:bookmarkStart w:id="37" w:name="_Toc16086_WPSOffice_Level1"/>
      <w:r>
        <w:rPr>
          <w:rFonts w:hint="eastAsia" w:ascii="Times New Roman" w:hAnsi="Times New Roman" w:cs="Times New Roman"/>
          <w:sz w:val="32"/>
          <w:szCs w:val="20"/>
          <w:lang w:val="en-US" w:eastAsia="zh-CN"/>
        </w:rPr>
        <w:t xml:space="preserve">2 </w:t>
      </w:r>
      <w:r>
        <w:rPr>
          <w:rFonts w:hint="default" w:ascii="Times New Roman" w:hAnsi="Times New Roman" w:cs="Times New Roman"/>
          <w:sz w:val="32"/>
          <w:szCs w:val="20"/>
          <w:lang w:val="en-US" w:eastAsia="zh-CN"/>
        </w:rPr>
        <w:t>Research Methodology</w:t>
      </w:r>
      <w:bookmarkEnd w:id="37"/>
    </w:p>
    <w:p>
      <w:pPr>
        <w:numPr>
          <w:ilvl w:val="0"/>
          <w:numId w:val="0"/>
        </w:numPr>
        <w:spacing w:line="360" w:lineRule="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Research framework: </w:t>
      </w:r>
      <w:r>
        <w:rPr>
          <w:rFonts w:hint="eastAsia" w:ascii="Times New Roman" w:hAnsi="Times New Roman" w:cs="Times New Roman"/>
          <w:sz w:val="24"/>
          <w:szCs w:val="24"/>
          <w:highlight w:val="none"/>
          <w:lang w:val="en-US" w:eastAsia="zh-CN"/>
        </w:rPr>
        <w:t>T</w:t>
      </w:r>
      <w:r>
        <w:rPr>
          <w:rFonts w:hint="default" w:ascii="Times New Roman" w:hAnsi="Times New Roman" w:cs="Times New Roman"/>
          <w:sz w:val="24"/>
          <w:szCs w:val="24"/>
          <w:highlight w:val="none"/>
          <w:lang w:val="en-US" w:eastAsia="zh-CN"/>
        </w:rPr>
        <w:t xml:space="preserve">hrough interviews with senior managers and market research, this </w:t>
      </w:r>
      <w:r>
        <w:rPr>
          <w:rFonts w:hint="eastAsia" w:ascii="Times New Roman" w:hAnsi="Times New Roman" w:cs="Times New Roman"/>
          <w:sz w:val="24"/>
          <w:szCs w:val="24"/>
          <w:highlight w:val="none"/>
          <w:lang w:val="en-US" w:eastAsia="zh-CN"/>
        </w:rPr>
        <w:t>report</w:t>
      </w:r>
      <w:r>
        <w:rPr>
          <w:rFonts w:hint="default" w:ascii="Times New Roman" w:hAnsi="Times New Roman" w:cs="Times New Roman"/>
          <w:sz w:val="24"/>
          <w:szCs w:val="24"/>
          <w:highlight w:val="none"/>
          <w:lang w:val="en-US" w:eastAsia="zh-CN"/>
        </w:rPr>
        <w:t xml:space="preserve"> makes an in-depth understanding of the internal and external environment of the company. Then </w:t>
      </w:r>
      <w:r>
        <w:rPr>
          <w:rFonts w:hint="eastAsia" w:ascii="Times New Roman" w:hAnsi="Times New Roman" w:cs="Times New Roman"/>
          <w:sz w:val="24"/>
          <w:szCs w:val="24"/>
          <w:highlight w:val="none"/>
          <w:lang w:val="en-US" w:eastAsia="zh-CN"/>
        </w:rPr>
        <w:t>it</w:t>
      </w:r>
      <w:r>
        <w:rPr>
          <w:rFonts w:hint="default" w:ascii="Times New Roman" w:hAnsi="Times New Roman" w:cs="Times New Roman"/>
          <w:sz w:val="24"/>
          <w:szCs w:val="24"/>
          <w:highlight w:val="none"/>
          <w:lang w:val="en-US" w:eastAsia="zh-CN"/>
        </w:rPr>
        <w:t xml:space="preserve"> determine the feasibility of the listed project and the problems in the implementation of the project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through the market analysis</w:t>
      </w:r>
      <w:r>
        <w:rPr>
          <w:rFonts w:hint="eastAsia" w:ascii="Times New Roman" w:hAnsi="Times New Roman" w:cs="Times New Roman"/>
          <w:sz w:val="24"/>
          <w:szCs w:val="24"/>
          <w:highlight w:val="none"/>
          <w:lang w:val="en-US" w:eastAsia="zh-CN"/>
        </w:rPr>
        <w:t xml:space="preserve"> and</w:t>
      </w:r>
      <w:r>
        <w:rPr>
          <w:rFonts w:hint="default" w:ascii="Times New Roman" w:hAnsi="Times New Roman" w:cs="Times New Roman"/>
          <w:sz w:val="24"/>
          <w:szCs w:val="24"/>
          <w:highlight w:val="none"/>
          <w:lang w:val="en-US" w:eastAsia="zh-CN"/>
        </w:rPr>
        <w:t xml:space="preserve"> financial analysis</w:t>
      </w:r>
      <w:r>
        <w:rPr>
          <w:rFonts w:hint="eastAsia"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Eschenbächer</w:t>
      </w:r>
      <w:r>
        <w:rPr>
          <w:rFonts w:hint="eastAsia" w:ascii="Times New Roman" w:hAnsi="Times New Roman" w:cs="Times New Roman"/>
          <w:sz w:val="24"/>
          <w:szCs w:val="24"/>
          <w:lang w:val="en-US" w:eastAsia="zh-CN"/>
        </w:rPr>
        <w:t>, 2011)</w:t>
      </w:r>
      <w:r>
        <w:rPr>
          <w:rFonts w:hint="default" w:ascii="Times New Roman" w:hAnsi="Times New Roman" w:cs="Times New Roman"/>
          <w:sz w:val="24"/>
          <w:szCs w:val="24"/>
          <w:highlight w:val="none"/>
          <w:lang w:val="en-US" w:eastAsia="zh-CN"/>
        </w:rPr>
        <w:t xml:space="preserve">. Finally, on the basis of the main conclusions, this </w:t>
      </w:r>
      <w:r>
        <w:rPr>
          <w:rFonts w:hint="eastAsia" w:ascii="Times New Roman" w:hAnsi="Times New Roman" w:cs="Times New Roman"/>
          <w:sz w:val="24"/>
          <w:szCs w:val="24"/>
          <w:highlight w:val="none"/>
          <w:lang w:val="en-US" w:eastAsia="zh-CN"/>
        </w:rPr>
        <w:t>report</w:t>
      </w:r>
      <w:r>
        <w:rPr>
          <w:rFonts w:hint="default" w:ascii="Times New Roman" w:hAnsi="Times New Roman" w:cs="Times New Roman"/>
          <w:sz w:val="24"/>
          <w:szCs w:val="24"/>
          <w:highlight w:val="none"/>
          <w:lang w:val="en-US" w:eastAsia="zh-CN"/>
        </w:rPr>
        <w:t xml:space="preserve"> puts forward the corresponding solutions and provides a way to market.</w:t>
      </w:r>
    </w:p>
    <w:p>
      <w:pPr>
        <w:pageBreakBefore w:val="0"/>
        <w:widowControl w:val="0"/>
        <w:numPr>
          <w:ilvl w:val="0"/>
          <w:numId w:val="0"/>
        </w:numPr>
        <w:kinsoku/>
        <w:wordWrap/>
        <w:overflowPunct/>
        <w:topLinePunct w:val="0"/>
        <w:autoSpaceDE/>
        <w:autoSpaceDN/>
        <w:bidi w:val="0"/>
        <w:adjustRightInd/>
        <w:snapToGrid/>
        <w:spacing w:after="200" w:line="360" w:lineRule="auto"/>
        <w:ind w:leftChars="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Subjects: CSRC, senior manager, company website, other media reports.</w:t>
      </w:r>
    </w:p>
    <w:p>
      <w:pPr>
        <w:pageBreakBefore w:val="0"/>
        <w:widowControl w:val="0"/>
        <w:numPr>
          <w:ilvl w:val="0"/>
          <w:numId w:val="0"/>
        </w:numPr>
        <w:kinsoku/>
        <w:wordWrap/>
        <w:overflowPunct/>
        <w:topLinePunct w:val="0"/>
        <w:autoSpaceDE/>
        <w:autoSpaceDN/>
        <w:bidi w:val="0"/>
        <w:adjustRightInd/>
        <w:snapToGrid/>
        <w:spacing w:after="200" w:line="360" w:lineRule="auto"/>
        <w:ind w:leftChars="0"/>
        <w:textAlignment w:val="auto"/>
        <w:rPr>
          <w:rFonts w:hint="eastAsia"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Data collection: </w:t>
      </w:r>
      <w:r>
        <w:rPr>
          <w:rFonts w:hint="eastAsia" w:ascii="Times New Roman" w:hAnsi="Times New Roman" w:cs="Times New Roman"/>
          <w:sz w:val="24"/>
          <w:szCs w:val="24"/>
          <w:highlight w:val="none"/>
          <w:lang w:val="en-US" w:eastAsia="zh-CN"/>
        </w:rPr>
        <w:t>F</w:t>
      </w:r>
      <w:r>
        <w:rPr>
          <w:rFonts w:hint="default" w:ascii="Times New Roman" w:hAnsi="Times New Roman" w:cs="Times New Roman"/>
          <w:sz w:val="24"/>
          <w:szCs w:val="24"/>
          <w:highlight w:val="none"/>
          <w:lang w:val="en-US" w:eastAsia="zh-CN"/>
        </w:rPr>
        <w:t>irst,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the basic requirements of listing </w:t>
      </w:r>
      <w:r>
        <w:rPr>
          <w:rFonts w:hint="eastAsia" w:ascii="Times New Roman" w:hAnsi="Times New Roman" w:cs="Times New Roman"/>
          <w:sz w:val="24"/>
          <w:szCs w:val="24"/>
          <w:highlight w:val="none"/>
          <w:lang w:val="en-US" w:eastAsia="zh-CN"/>
        </w:rPr>
        <w:t xml:space="preserve">are obtained </w:t>
      </w:r>
      <w:r>
        <w:rPr>
          <w:rFonts w:hint="default" w:ascii="Times New Roman" w:hAnsi="Times New Roman" w:cs="Times New Roman"/>
          <w:sz w:val="24"/>
          <w:szCs w:val="24"/>
          <w:highlight w:val="none"/>
          <w:lang w:val="en-US" w:eastAsia="zh-CN"/>
        </w:rPr>
        <w:t>through the relevant materials of CSRC. Second,</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the senior manager of the company </w:t>
      </w:r>
      <w:r>
        <w:rPr>
          <w:rFonts w:hint="eastAsia" w:ascii="Times New Roman" w:hAnsi="Times New Roman" w:cs="Times New Roman"/>
          <w:sz w:val="24"/>
          <w:szCs w:val="24"/>
          <w:highlight w:val="none"/>
          <w:lang w:val="en-US" w:eastAsia="zh-CN"/>
        </w:rPr>
        <w:t xml:space="preserve">are interviewed </w:t>
      </w:r>
      <w:r>
        <w:rPr>
          <w:rFonts w:hint="default" w:ascii="Times New Roman" w:hAnsi="Times New Roman" w:cs="Times New Roman"/>
          <w:sz w:val="24"/>
          <w:szCs w:val="24"/>
          <w:highlight w:val="none"/>
          <w:lang w:val="en-US" w:eastAsia="zh-CN"/>
        </w:rPr>
        <w:t>to obtain basic internal information, especially internal control and financial information</w:t>
      </w:r>
      <w:r>
        <w:rPr>
          <w:rFonts w:hint="eastAsia" w:ascii="Times New Roman" w:hAnsi="Times New Roman" w:cs="Times New Roman"/>
          <w:sz w:val="24"/>
          <w:szCs w:val="24"/>
          <w:highlight w:val="none"/>
          <w:lang w:val="en-US" w:eastAsia="zh-CN"/>
        </w:rPr>
        <w:t xml:space="preserve"> (See in Appendix)</w:t>
      </w:r>
      <w:r>
        <w:rPr>
          <w:rFonts w:hint="default" w:ascii="Times New Roman" w:hAnsi="Times New Roman" w:cs="Times New Roman"/>
          <w:sz w:val="24"/>
          <w:szCs w:val="24"/>
          <w:highlight w:val="none"/>
          <w:lang w:val="en-US" w:eastAsia="zh-CN"/>
        </w:rPr>
        <w:t>. Third, their market conditions</w:t>
      </w:r>
      <w:r>
        <w:rPr>
          <w:rFonts w:hint="eastAsia" w:ascii="Times New Roman" w:hAnsi="Times New Roman" w:cs="Times New Roman"/>
          <w:sz w:val="24"/>
          <w:szCs w:val="24"/>
          <w:highlight w:val="none"/>
          <w:lang w:val="en-US" w:eastAsia="zh-CN"/>
        </w:rPr>
        <w:t xml:space="preserve"> are obtained </w:t>
      </w:r>
      <w:r>
        <w:rPr>
          <w:rFonts w:hint="default" w:ascii="Times New Roman" w:hAnsi="Times New Roman" w:cs="Times New Roman"/>
          <w:sz w:val="24"/>
          <w:szCs w:val="24"/>
          <w:highlight w:val="none"/>
          <w:lang w:val="en-US" w:eastAsia="zh-CN"/>
        </w:rPr>
        <w:t>through the company's official website and other reports</w:t>
      </w:r>
      <w:r>
        <w:rPr>
          <w:rFonts w:hint="eastAsia" w:ascii="Times New Roman" w:hAnsi="Times New Roman" w:cs="Times New Roman"/>
          <w:sz w:val="24"/>
          <w:szCs w:val="24"/>
          <w:highlight w:val="none"/>
          <w:lang w:val="en-US" w:eastAsia="zh-CN"/>
        </w:rPr>
        <w:t>.</w:t>
      </w:r>
    </w:p>
    <w:p>
      <w:pPr>
        <w:numPr>
          <w:ilvl w:val="0"/>
          <w:numId w:val="0"/>
        </w:numPr>
        <w:spacing w:line="360" w:lineRule="auto"/>
        <w:rPr>
          <w:rFonts w:hint="default"/>
          <w:lang w:val="en-US" w:eastAsia="zh-CN"/>
        </w:rPr>
      </w:pPr>
      <w:r>
        <w:rPr>
          <w:rFonts w:hint="default" w:ascii="Times New Roman" w:hAnsi="Times New Roman" w:cs="Times New Roman"/>
          <w:sz w:val="24"/>
          <w:szCs w:val="24"/>
          <w:highlight w:val="none"/>
          <w:lang w:val="en-US" w:eastAsia="zh-CN"/>
        </w:rPr>
        <w:t xml:space="preserve">Data analysis: </w:t>
      </w:r>
      <w:r>
        <w:rPr>
          <w:rFonts w:hint="eastAsia" w:ascii="Times New Roman" w:hAnsi="Times New Roman" w:cs="Times New Roman"/>
          <w:sz w:val="24"/>
          <w:szCs w:val="24"/>
          <w:highlight w:val="none"/>
          <w:lang w:val="en-US" w:eastAsia="zh-CN"/>
        </w:rPr>
        <w:t>Q</w:t>
      </w:r>
      <w:r>
        <w:rPr>
          <w:rFonts w:hint="default" w:ascii="Times New Roman" w:hAnsi="Times New Roman" w:cs="Times New Roman"/>
          <w:sz w:val="24"/>
          <w:szCs w:val="24"/>
          <w:highlight w:val="none"/>
          <w:lang w:val="en-US" w:eastAsia="zh-CN"/>
        </w:rPr>
        <w:t xml:space="preserve">uantitative analysis </w:t>
      </w:r>
      <w:r>
        <w:rPr>
          <w:rFonts w:hint="eastAsia" w:ascii="Times New Roman" w:hAnsi="Times New Roman" w:cs="Times New Roman"/>
          <w:sz w:val="24"/>
          <w:szCs w:val="24"/>
          <w:highlight w:val="none"/>
          <w:lang w:val="en-US" w:eastAsia="zh-CN"/>
        </w:rPr>
        <w:t xml:space="preserve">and </w:t>
      </w:r>
      <w:r>
        <w:rPr>
          <w:rFonts w:hint="default" w:ascii="Times New Roman" w:hAnsi="Times New Roman" w:cs="Times New Roman"/>
          <w:sz w:val="24"/>
          <w:szCs w:val="24"/>
          <w:highlight w:val="none"/>
          <w:lang w:val="en-US" w:eastAsia="zh-CN"/>
        </w:rPr>
        <w:t>the gap with listing requirements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w</w:t>
      </w:r>
      <w:r>
        <w:rPr>
          <w:rFonts w:hint="eastAsia" w:ascii="Times New Roman" w:hAnsi="Times New Roman" w:cs="Times New Roman"/>
          <w:sz w:val="24"/>
          <w:szCs w:val="24"/>
          <w:highlight w:val="none"/>
          <w:lang w:val="en-US" w:eastAsia="zh-CN"/>
        </w:rPr>
        <w:t>ere</w:t>
      </w:r>
      <w:r>
        <w:rPr>
          <w:rFonts w:hint="default" w:ascii="Times New Roman" w:hAnsi="Times New Roman" w:cs="Times New Roman"/>
          <w:sz w:val="24"/>
          <w:szCs w:val="24"/>
          <w:highlight w:val="none"/>
          <w:lang w:val="en-US" w:eastAsia="zh-CN"/>
        </w:rPr>
        <w:t xml:space="preserve"> carried out by comparing the financial information obtained from within the company and the financial requirements of listing</w:t>
      </w:r>
      <w:r>
        <w:rPr>
          <w:rFonts w:hint="eastAsia"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Rosas,</w:t>
      </w:r>
      <w:r>
        <w:rPr>
          <w:rFonts w:hint="eastAsia" w:ascii="Times New Roman" w:hAnsi="Times New Roman" w:cs="Times New Roman"/>
          <w:sz w:val="24"/>
          <w:szCs w:val="24"/>
          <w:lang w:val="en-US" w:eastAsia="zh-CN"/>
        </w:rPr>
        <w:t xml:space="preserve"> 2009)</w:t>
      </w:r>
      <w:r>
        <w:rPr>
          <w:rFonts w:hint="default" w:ascii="Times New Roman" w:hAnsi="Times New Roman" w:cs="Times New Roman"/>
          <w:sz w:val="24"/>
          <w:szCs w:val="24"/>
          <w:highlight w:val="none"/>
          <w:lang w:val="en-US" w:eastAsia="zh-CN"/>
        </w:rPr>
        <w:t>. Other aspects find out the difficulty of listing project through qualitative analysis, and then the corresponding suggestion</w:t>
      </w:r>
      <w:r>
        <w:rPr>
          <w:rFonts w:hint="eastAsia" w:ascii="Times New Roman" w:hAnsi="Times New Roman" w:cs="Times New Roman"/>
          <w:sz w:val="24"/>
          <w:szCs w:val="24"/>
          <w:highlight w:val="none"/>
          <w:lang w:val="en-US" w:eastAsia="zh-CN"/>
        </w:rPr>
        <w:t xml:space="preserve"> can be </w:t>
      </w:r>
      <w:r>
        <w:rPr>
          <w:rFonts w:hint="default" w:ascii="Times New Roman" w:hAnsi="Times New Roman" w:cs="Times New Roman"/>
          <w:sz w:val="24"/>
          <w:szCs w:val="24"/>
          <w:highlight w:val="none"/>
          <w:lang w:val="en-US" w:eastAsia="zh-CN"/>
        </w:rPr>
        <w:t>put forward.</w:t>
      </w:r>
      <w:r>
        <w:rPr>
          <w:rFonts w:hint="eastAsia" w:ascii="Times New Roman" w:hAnsi="Times New Roman" w:cs="Times New Roman"/>
          <w:sz w:val="24"/>
          <w:szCs w:val="24"/>
          <w:highlight w:val="none"/>
          <w:lang w:val="en-US" w:eastAsia="zh-CN"/>
        </w:rPr>
        <w:t xml:space="preserve"> </w:t>
      </w:r>
    </w:p>
    <w:p>
      <w:pPr>
        <w:pStyle w:val="2"/>
        <w:numPr>
          <w:ilvl w:val="0"/>
          <w:numId w:val="0"/>
        </w:numPr>
        <w:bidi w:val="0"/>
        <w:outlineLvl w:val="9"/>
        <w:rPr>
          <w:rFonts w:hint="default" w:ascii="Times New Roman" w:hAnsi="Times New Roman" w:cs="Times New Roman"/>
          <w:sz w:val="32"/>
          <w:szCs w:val="32"/>
          <w:highlight w:val="none"/>
          <w:lang w:val="en-US" w:eastAsia="zh-CN"/>
        </w:rPr>
      </w:pPr>
      <w:bookmarkStart w:id="38" w:name="_Toc24650_WPSOffice_Level1"/>
      <w:bookmarkStart w:id="39" w:name="_Toc12577"/>
      <w:bookmarkStart w:id="40" w:name="_Toc31206_WPSOffice_Level1"/>
      <w:r>
        <w:rPr>
          <w:rFonts w:hint="eastAsia" w:ascii="Times New Roman" w:hAnsi="Times New Roman" w:cs="Times New Roman"/>
          <w:sz w:val="32"/>
          <w:szCs w:val="32"/>
          <w:highlight w:val="none"/>
          <w:lang w:val="en-US" w:eastAsia="zh-CN"/>
        </w:rPr>
        <w:t>3 Main Findings and Critical Analysis</w:t>
      </w:r>
      <w:bookmarkEnd w:id="38"/>
      <w:bookmarkEnd w:id="39"/>
      <w:bookmarkEnd w:id="40"/>
    </w:p>
    <w:p>
      <w:pPr>
        <w:pStyle w:val="3"/>
        <w:pageBreakBefore w:val="0"/>
        <w:widowControl w:val="0"/>
        <w:numPr>
          <w:ilvl w:val="0"/>
          <w:numId w:val="0"/>
        </w:numPr>
        <w:kinsoku/>
        <w:wordWrap/>
        <w:overflowPunct/>
        <w:topLinePunct w:val="0"/>
        <w:autoSpaceDE/>
        <w:autoSpaceDN/>
        <w:bidi w:val="0"/>
        <w:adjustRightInd/>
        <w:snapToGrid/>
        <w:spacing w:after="200" w:line="360" w:lineRule="auto"/>
        <w:ind w:leftChars="0"/>
        <w:textAlignment w:val="auto"/>
        <w:outlineLvl w:val="9"/>
        <w:rPr>
          <w:rFonts w:hint="default" w:ascii="Times New Roman" w:hAnsi="Times New Roman" w:cs="Times New Roman"/>
          <w:sz w:val="28"/>
          <w:szCs w:val="22"/>
          <w:lang w:val="en-US" w:eastAsia="zh-CN"/>
        </w:rPr>
      </w:pPr>
      <w:bookmarkStart w:id="41" w:name="_Toc24650_WPSOffice_Level2"/>
      <w:bookmarkStart w:id="42" w:name="_Toc15517"/>
      <w:bookmarkStart w:id="43" w:name="_Toc31206_WPSOffice_Level2"/>
      <w:bookmarkStart w:id="81" w:name="_GoBack"/>
      <w:r>
        <w:rPr>
          <w:rFonts w:hint="eastAsia" w:ascii="Times New Roman" w:hAnsi="Times New Roman" w:cs="Times New Roman"/>
          <w:sz w:val="28"/>
          <w:szCs w:val="22"/>
          <w:lang w:val="en-US" w:eastAsia="zh-CN"/>
        </w:rPr>
        <w:t xml:space="preserve">3.1 </w:t>
      </w:r>
      <w:r>
        <w:rPr>
          <w:rFonts w:hint="default" w:ascii="Times New Roman" w:hAnsi="Times New Roman" w:cs="Times New Roman"/>
          <w:sz w:val="28"/>
          <w:szCs w:val="22"/>
          <w:lang w:val="en-US" w:eastAsia="zh-CN"/>
        </w:rPr>
        <w:t>Main Business Model</w:t>
      </w:r>
      <w:bookmarkEnd w:id="41"/>
      <w:bookmarkEnd w:id="42"/>
      <w:bookmarkEnd w:id="43"/>
    </w:p>
    <w:bookmarkEnd w:id="81"/>
    <w:p>
      <w:pPr>
        <w:numPr>
          <w:ilvl w:val="0"/>
          <w:numId w:val="0"/>
        </w:num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In terms of development path, the company mainly relies on the user traffic and stickiness accumulated by the personal brand effect of the company holders. In terms of current operating results, the department store model is more compatible with the company's own characteristics (</w:t>
      </w:r>
      <w:r>
        <w:rPr>
          <w:rFonts w:hint="default" w:ascii="Times New Roman" w:hAnsi="Times New Roman" w:cs="Times New Roman"/>
          <w:sz w:val="24"/>
          <w:szCs w:val="24"/>
          <w:lang w:val="en-US" w:eastAsia="zh-CN"/>
        </w:rPr>
        <w:t>Hollingsworth</w:t>
      </w:r>
      <w:r>
        <w:rPr>
          <w:rFonts w:hint="eastAsia" w:ascii="Times New Roman" w:hAnsi="Times New Roman" w:cs="Times New Roman"/>
          <w:sz w:val="24"/>
          <w:szCs w:val="24"/>
          <w:lang w:val="en-US" w:eastAsia="zh-CN"/>
        </w:rPr>
        <w:t>, 1993).</w:t>
      </w:r>
    </w:p>
    <w:p>
      <w:pPr>
        <w:numPr>
          <w:ilvl w:val="0"/>
          <w:numId w:val="0"/>
        </w:num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individual brand can be integrated and transformed into users for secondary sales. The planning of the follow-up path should match the market demands and strategic positioning of the company at different stages. The short-term game may not bring long-term sustainable profitability (</w:t>
      </w:r>
      <w:r>
        <w:rPr>
          <w:rFonts w:hint="default" w:ascii="Times New Roman" w:hAnsi="Times New Roman" w:cs="Times New Roman"/>
          <w:sz w:val="24"/>
          <w:szCs w:val="24"/>
          <w:lang w:val="en-US" w:eastAsia="zh-CN"/>
        </w:rPr>
        <w:t>Beckett</w:t>
      </w:r>
      <w:r>
        <w:rPr>
          <w:rFonts w:hint="eastAsia" w:ascii="Times New Roman" w:hAnsi="Times New Roman" w:cs="Times New Roman"/>
          <w:sz w:val="24"/>
          <w:szCs w:val="24"/>
          <w:lang w:val="en-US" w:eastAsia="zh-CN"/>
        </w:rPr>
        <w:t>, 2012). The advantage of the department store model is that it can be quickly adjusted according to changes in market demand, accurately grasping the target market and end users, in order to maintain strong competitive strength.</w:t>
      </w:r>
    </w:p>
    <w:p>
      <w:pPr>
        <w:numPr>
          <w:ilvl w:val="0"/>
          <w:numId w:val="0"/>
        </w:num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Given the company's core competencies and marketing characteristics as well as the subsequent preparation for an independent IPO, the company's main business can highlight online education and remove the online store sector (</w:t>
      </w:r>
      <w:r>
        <w:rPr>
          <w:rFonts w:hint="default" w:ascii="Times New Roman" w:hAnsi="Times New Roman" w:cs="Times New Roman"/>
          <w:sz w:val="24"/>
          <w:szCs w:val="24"/>
          <w:lang w:val="en-US" w:eastAsia="zh-CN"/>
        </w:rPr>
        <w:t>Abreu</w:t>
      </w:r>
      <w:r>
        <w:rPr>
          <w:rFonts w:hint="eastAsia" w:ascii="Times New Roman" w:hAnsi="Times New Roman" w:cs="Times New Roman"/>
          <w:sz w:val="24"/>
          <w:szCs w:val="24"/>
          <w:lang w:val="en-US" w:eastAsia="zh-CN"/>
        </w:rPr>
        <w:t>, 2008). According to the attributes of its own products, it will focus on developing the market of SMEs, monopolize and capture the main profits of this segment. At this stage, the listing should be done to improve the competitiveness of the main business and highlight the advantages of the main products.</w:t>
      </w:r>
    </w:p>
    <w:p>
      <w:pPr>
        <w:pStyle w:val="3"/>
        <w:pageBreakBefore w:val="0"/>
        <w:widowControl w:val="0"/>
        <w:numPr>
          <w:ilvl w:val="0"/>
          <w:numId w:val="0"/>
        </w:numPr>
        <w:kinsoku/>
        <w:wordWrap/>
        <w:overflowPunct/>
        <w:topLinePunct w:val="0"/>
        <w:autoSpaceDE/>
        <w:autoSpaceDN/>
        <w:bidi w:val="0"/>
        <w:adjustRightInd/>
        <w:snapToGrid/>
        <w:spacing w:after="200" w:line="360" w:lineRule="auto"/>
        <w:ind w:leftChars="0"/>
        <w:textAlignment w:val="auto"/>
        <w:outlineLvl w:val="9"/>
        <w:rPr>
          <w:rFonts w:hint="default" w:ascii="Times New Roman" w:hAnsi="Times New Roman" w:cs="Times New Roman"/>
          <w:sz w:val="28"/>
          <w:szCs w:val="22"/>
          <w:lang w:val="en-US" w:eastAsia="zh-CN"/>
        </w:rPr>
      </w:pPr>
      <w:bookmarkStart w:id="44" w:name="_Toc7494"/>
      <w:bookmarkStart w:id="45" w:name="_Toc6680_WPSOffice_Level2"/>
      <w:bookmarkStart w:id="46" w:name="_Toc5692_WPSOffice_Level2"/>
      <w:r>
        <w:rPr>
          <w:rFonts w:hint="eastAsia" w:ascii="Times New Roman" w:hAnsi="Times New Roman" w:cs="Times New Roman"/>
          <w:sz w:val="28"/>
          <w:szCs w:val="22"/>
          <w:lang w:val="en-US" w:eastAsia="zh-CN"/>
        </w:rPr>
        <w:t xml:space="preserve">3.2 </w:t>
      </w:r>
      <w:r>
        <w:rPr>
          <w:rFonts w:hint="default" w:ascii="Times New Roman" w:hAnsi="Times New Roman" w:cs="Times New Roman"/>
          <w:sz w:val="28"/>
          <w:szCs w:val="22"/>
          <w:lang w:val="en-US" w:eastAsia="zh-CN"/>
        </w:rPr>
        <w:t>Group Purchase Sales</w:t>
      </w:r>
      <w:bookmarkEnd w:id="44"/>
      <w:bookmarkEnd w:id="45"/>
      <w:bookmarkEnd w:id="46"/>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In terms of group purchase sales, group purchasers of different levels </w:t>
      </w:r>
      <w:r>
        <w:rPr>
          <w:rFonts w:hint="eastAsia" w:ascii="Times New Roman" w:hAnsi="Times New Roman" w:cs="Times New Roman"/>
          <w:sz w:val="24"/>
          <w:szCs w:val="24"/>
          <w:lang w:val="en-US" w:eastAsia="zh-CN"/>
        </w:rPr>
        <w:t>have different</w:t>
      </w:r>
      <w:r>
        <w:rPr>
          <w:rFonts w:hint="default" w:ascii="Times New Roman" w:hAnsi="Times New Roman" w:cs="Times New Roman"/>
          <w:sz w:val="24"/>
          <w:szCs w:val="24"/>
          <w:lang w:val="en-US" w:eastAsia="zh-CN"/>
        </w:rPr>
        <w:t xml:space="preserve"> pricing system and discount basis according to the level of equity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Alawamleh</w:t>
      </w:r>
      <w:r>
        <w:rPr>
          <w:rFonts w:hint="eastAsia" w:ascii="Times New Roman" w:hAnsi="Times New Roman" w:cs="Times New Roman"/>
          <w:sz w:val="24"/>
          <w:szCs w:val="24"/>
          <w:lang w:val="en-US" w:eastAsia="zh-CN"/>
        </w:rPr>
        <w:t>, 2011)</w:t>
      </w:r>
      <w:r>
        <w:rPr>
          <w:rFonts w:hint="default" w:ascii="Times New Roman" w:hAnsi="Times New Roman" w:cs="Times New Roman"/>
          <w:sz w:val="24"/>
          <w:szCs w:val="24"/>
          <w:lang w:val="en-US" w:eastAsia="zh-CN"/>
        </w:rPr>
        <w:t xml:space="preserve">. In the group purchase business, the management of the first-level dealers should be clear and transparent. </w:t>
      </w:r>
    </w:p>
    <w:p>
      <w:pPr>
        <w:numPr>
          <w:ilvl w:val="0"/>
          <w:numId w:val="0"/>
        </w:num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highlight w:val="none"/>
          <w:lang w:val="en-US" w:eastAsia="zh-CN"/>
        </w:rPr>
        <w:t>Therefore,</w:t>
      </w:r>
      <w:r>
        <w:rPr>
          <w:rFonts w:hint="default" w:ascii="Times New Roman" w:hAnsi="Times New Roman" w:cs="Times New Roman"/>
          <w:sz w:val="24"/>
          <w:szCs w:val="24"/>
          <w:highlight w:val="none"/>
          <w:lang w:val="en-US" w:eastAsia="zh-CN"/>
        </w:rPr>
        <w:t xml:space="preserve"> legal verification should be able to penetrate everyone, and product pricing system management and control should be strengthened.</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lang w:val="en-US" w:eastAsia="zh-CN"/>
        </w:rPr>
        <w:t>It is necessary to carry out distribution management according to sales policy, purchase demand and marketing ability, and re-adjust the existing group purchasers to avoid disputes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Bossink</w:t>
      </w:r>
      <w:r>
        <w:rPr>
          <w:rFonts w:hint="eastAsia" w:ascii="Times New Roman" w:hAnsi="Times New Roman" w:cs="Times New Roman"/>
          <w:sz w:val="24"/>
          <w:szCs w:val="24"/>
          <w:lang w:val="en-US" w:eastAsia="zh-CN"/>
        </w:rPr>
        <w:t>, 2002)</w:t>
      </w:r>
      <w:r>
        <w:rPr>
          <w:rFonts w:hint="default" w:ascii="Times New Roman" w:hAnsi="Times New Roman" w:cs="Times New Roman"/>
          <w:sz w:val="24"/>
          <w:szCs w:val="24"/>
          <w:lang w:val="en-US" w:eastAsia="zh-CN"/>
        </w:rPr>
        <w:t>. The essence of the Internet business is to go to the middlemen. The company's business should be reflected in the sales side. The goods on the sales side should be traceable and inquired to avoid the phenomenon of cross-selling.</w:t>
      </w:r>
      <w:r>
        <w:rPr>
          <w:rFonts w:hint="eastAsia" w:ascii="Times New Roman" w:hAnsi="Times New Roman" w:cs="Times New Roman"/>
          <w:sz w:val="24"/>
          <w:szCs w:val="24"/>
          <w:lang w:val="en-US" w:eastAsia="zh-CN"/>
        </w:rPr>
        <w:t xml:space="preserve"> </w:t>
      </w:r>
    </w:p>
    <w:p>
      <w:pPr>
        <w:pStyle w:val="3"/>
        <w:pageBreakBefore w:val="0"/>
        <w:widowControl w:val="0"/>
        <w:numPr>
          <w:ilvl w:val="0"/>
          <w:numId w:val="0"/>
        </w:numPr>
        <w:kinsoku/>
        <w:wordWrap/>
        <w:overflowPunct/>
        <w:topLinePunct w:val="0"/>
        <w:autoSpaceDE/>
        <w:autoSpaceDN/>
        <w:bidi w:val="0"/>
        <w:adjustRightInd/>
        <w:snapToGrid/>
        <w:spacing w:after="200" w:line="360" w:lineRule="auto"/>
        <w:ind w:leftChars="0"/>
        <w:textAlignment w:val="auto"/>
        <w:outlineLvl w:val="9"/>
        <w:rPr>
          <w:rFonts w:hint="default" w:ascii="Times New Roman" w:hAnsi="Times New Roman" w:cs="Times New Roman"/>
          <w:sz w:val="28"/>
          <w:szCs w:val="22"/>
          <w:lang w:val="en-US" w:eastAsia="zh-CN"/>
        </w:rPr>
      </w:pPr>
      <w:bookmarkStart w:id="47" w:name="_Toc8792_WPSOffice_Level2"/>
      <w:bookmarkStart w:id="48" w:name="_Toc3042"/>
      <w:bookmarkStart w:id="49" w:name="_Toc14567_WPSOffice_Level2"/>
      <w:r>
        <w:rPr>
          <w:rFonts w:hint="eastAsia" w:ascii="Times New Roman" w:hAnsi="Times New Roman" w:cs="Times New Roman"/>
          <w:sz w:val="28"/>
          <w:szCs w:val="22"/>
          <w:lang w:val="en-US" w:eastAsia="zh-CN"/>
        </w:rPr>
        <w:t>3.3 Information inconsistency</w:t>
      </w:r>
      <w:bookmarkEnd w:id="47"/>
      <w:bookmarkEnd w:id="48"/>
      <w:bookmarkEnd w:id="49"/>
    </w:p>
    <w:p>
      <w:pPr>
        <w:numPr>
          <w:ilvl w:val="0"/>
          <w:numId w:val="0"/>
        </w:num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Due to the company's current marketing methods, sales methods, background statistical caliber differences, etc., the financial department often has inconsistent accounting in the daily work</w:t>
      </w: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Macedo</w:t>
      </w:r>
      <w:r>
        <w:rPr>
          <w:rFonts w:hint="eastAsia" w:ascii="Times New Roman" w:hAnsi="Times New Roman" w:cs="Times New Roman"/>
          <w:sz w:val="24"/>
          <w:szCs w:val="24"/>
          <w:lang w:val="en-US" w:eastAsia="zh-CN"/>
        </w:rPr>
        <w:t>, 2013)</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 xml:space="preserve"> </w:t>
      </w:r>
      <w:r>
        <w:rPr>
          <w:rFonts w:hint="eastAsia" w:ascii="Times New Roman" w:hAnsi="Times New Roman" w:cs="Times New Roman"/>
          <w:color w:val="auto"/>
          <w:sz w:val="24"/>
          <w:szCs w:val="24"/>
          <w:highlight w:val="none"/>
          <w:lang w:val="en-US" w:eastAsia="zh-CN"/>
        </w:rPr>
        <w:t>T</w:t>
      </w:r>
      <w:r>
        <w:rPr>
          <w:rFonts w:hint="default" w:ascii="Times New Roman" w:hAnsi="Times New Roman" w:cs="Times New Roman"/>
          <w:color w:val="auto"/>
          <w:sz w:val="24"/>
          <w:szCs w:val="24"/>
          <w:highlight w:val="none"/>
          <w:lang w:val="en-US" w:eastAsia="zh-CN"/>
        </w:rPr>
        <w:t>he impact is mainly reflected in the revenue measurement, the confirmation of the advance receipt, the tax generation</w:t>
      </w:r>
      <w:r>
        <w:rPr>
          <w:rFonts w:hint="eastAsia" w:ascii="Times New Roman" w:hAnsi="Times New Roman" w:cs="Times New Roman"/>
          <w:color w:val="auto"/>
          <w:sz w:val="24"/>
          <w:szCs w:val="24"/>
          <w:highlight w:val="none"/>
          <w:lang w:val="en-US" w:eastAsia="zh-CN"/>
        </w:rPr>
        <w:t>, financial</w:t>
      </w:r>
      <w:r>
        <w:rPr>
          <w:rFonts w:hint="default" w:ascii="Times New Roman" w:hAnsi="Times New Roman" w:cs="Times New Roman"/>
          <w:color w:val="auto"/>
          <w:sz w:val="24"/>
          <w:szCs w:val="24"/>
          <w:highlight w:val="none"/>
          <w:lang w:val="en-US" w:eastAsia="zh-CN"/>
        </w:rPr>
        <w:t xml:space="preserve"> risk</w:t>
      </w:r>
      <w:r>
        <w:rPr>
          <w:rFonts w:hint="eastAsia" w:ascii="Times New Roman" w:hAnsi="Times New Roman" w:cs="Times New Roman"/>
          <w:color w:val="auto"/>
          <w:sz w:val="24"/>
          <w:szCs w:val="24"/>
          <w:highlight w:val="none"/>
          <w:lang w:val="en-US" w:eastAsia="zh-CN"/>
        </w:rPr>
        <w:t>s and</w:t>
      </w:r>
      <w:r>
        <w:rPr>
          <w:rFonts w:hint="default" w:ascii="Times New Roman" w:hAnsi="Times New Roman" w:cs="Times New Roman"/>
          <w:color w:val="auto"/>
          <w:sz w:val="24"/>
          <w:szCs w:val="24"/>
          <w:highlight w:val="none"/>
          <w:lang w:val="en-US" w:eastAsia="zh-CN"/>
        </w:rPr>
        <w:t xml:space="preserve"> forecast of return rate.</w:t>
      </w:r>
    </w:p>
    <w:p>
      <w:pPr>
        <w:numPr>
          <w:ilvl w:val="0"/>
          <w:numId w:val="0"/>
        </w:num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The company adopts the distribution model, and each agent enjoys different levels of rights and interests and each develops its own distribution channels, which easily leads to internal and external </w:t>
      </w:r>
      <w:r>
        <w:rPr>
          <w:rFonts w:hint="eastAsia" w:ascii="Times New Roman" w:hAnsi="Times New Roman" w:cs="Times New Roman"/>
          <w:color w:val="auto"/>
          <w:sz w:val="24"/>
          <w:szCs w:val="24"/>
          <w:highlight w:val="none"/>
          <w:lang w:val="en-US" w:eastAsia="zh-CN"/>
        </w:rPr>
        <w:t>a</w:t>
      </w:r>
      <w:r>
        <w:rPr>
          <w:rFonts w:hint="default" w:ascii="Times New Roman" w:hAnsi="Times New Roman" w:cs="Times New Roman"/>
          <w:color w:val="auto"/>
          <w:sz w:val="24"/>
          <w:szCs w:val="24"/>
          <w:highlight w:val="none"/>
          <w:lang w:val="en-US" w:eastAsia="zh-CN"/>
        </w:rPr>
        <w:t>ccount inconsistency</w:t>
      </w: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Gastaldi</w:t>
      </w:r>
      <w:r>
        <w:rPr>
          <w:rFonts w:hint="eastAsia" w:ascii="Times New Roman" w:hAnsi="Times New Roman" w:cs="Times New Roman"/>
          <w:sz w:val="24"/>
          <w:szCs w:val="24"/>
          <w:lang w:val="en-US" w:eastAsia="zh-CN"/>
        </w:rPr>
        <w:t>, 2015)</w:t>
      </w:r>
      <w:r>
        <w:rPr>
          <w:rFonts w:hint="default" w:ascii="Times New Roman" w:hAnsi="Times New Roman" w:cs="Times New Roman"/>
          <w:color w:val="auto"/>
          <w:sz w:val="24"/>
          <w:szCs w:val="24"/>
          <w:highlight w:val="none"/>
          <w:lang w:val="en-US" w:eastAsia="zh-CN"/>
        </w:rPr>
        <w:t xml:space="preserve">. </w:t>
      </w:r>
      <w:r>
        <w:rPr>
          <w:rFonts w:hint="eastAsia" w:ascii="Times New Roman" w:hAnsi="Times New Roman" w:cs="Times New Roman"/>
          <w:color w:val="auto"/>
          <w:sz w:val="24"/>
          <w:szCs w:val="24"/>
          <w:highlight w:val="none"/>
          <w:lang w:val="en-US" w:eastAsia="zh-CN"/>
        </w:rPr>
        <w:t>With the</w:t>
      </w:r>
      <w:r>
        <w:rPr>
          <w:rFonts w:hint="default" w:ascii="Times New Roman" w:hAnsi="Times New Roman" w:cs="Times New Roman"/>
          <w:color w:val="auto"/>
          <w:sz w:val="24"/>
          <w:szCs w:val="24"/>
          <w:highlight w:val="none"/>
          <w:lang w:val="en-US" w:eastAsia="zh-CN"/>
        </w:rPr>
        <w:t xml:space="preserve"> ignor</w:t>
      </w:r>
      <w:r>
        <w:rPr>
          <w:rFonts w:hint="eastAsia" w:ascii="Times New Roman" w:hAnsi="Times New Roman" w:cs="Times New Roman"/>
          <w:color w:val="auto"/>
          <w:sz w:val="24"/>
          <w:szCs w:val="24"/>
          <w:highlight w:val="none"/>
          <w:lang w:val="en-US" w:eastAsia="zh-CN"/>
        </w:rPr>
        <w:t>ance</w:t>
      </w:r>
      <w:r>
        <w:rPr>
          <w:rFonts w:hint="default" w:ascii="Times New Roman" w:hAnsi="Times New Roman" w:cs="Times New Roman"/>
          <w:color w:val="auto"/>
          <w:sz w:val="24"/>
          <w:szCs w:val="24"/>
          <w:highlight w:val="none"/>
          <w:lang w:val="en-US" w:eastAsia="zh-CN"/>
        </w:rPr>
        <w:t xml:space="preserve"> of </w:t>
      </w:r>
      <w:r>
        <w:rPr>
          <w:rFonts w:hint="eastAsia" w:ascii="Times New Roman" w:hAnsi="Times New Roman" w:cs="Times New Roman"/>
          <w:color w:val="auto"/>
          <w:sz w:val="24"/>
          <w:szCs w:val="24"/>
          <w:highlight w:val="none"/>
          <w:lang w:val="en-US" w:eastAsia="zh-CN"/>
        </w:rPr>
        <w:t>a</w:t>
      </w:r>
      <w:r>
        <w:rPr>
          <w:rFonts w:hint="default" w:ascii="Times New Roman" w:hAnsi="Times New Roman" w:cs="Times New Roman"/>
          <w:color w:val="auto"/>
          <w:sz w:val="24"/>
          <w:szCs w:val="24"/>
          <w:highlight w:val="none"/>
          <w:lang w:val="en-US" w:eastAsia="zh-CN"/>
        </w:rPr>
        <w:t>ccount inconsistency, it will inevitably increase the possibility of IPO obstacles, and at the same time increase the risk of loss of company assets and the possibility of administrative punishment risks.</w:t>
      </w:r>
    </w:p>
    <w:p>
      <w:pPr>
        <w:numPr>
          <w:ilvl w:val="0"/>
          <w:numId w:val="0"/>
        </w:numPr>
        <w:spacing w:line="360" w:lineRule="auto"/>
        <w:rPr>
          <w:rFonts w:hint="eastAsia" w:ascii="Times New Roman" w:hAnsi="Times New Roman" w:cs="Times New Roman"/>
          <w:color w:val="auto"/>
          <w:sz w:val="24"/>
          <w:szCs w:val="24"/>
          <w:highlight w:val="none"/>
          <w:lang w:val="en-US" w:eastAsia="zh-CN"/>
        </w:rPr>
      </w:pPr>
      <w:r>
        <w:rPr>
          <w:rFonts w:hint="default" w:ascii="Times New Roman" w:hAnsi="Times New Roman" w:cs="Times New Roman"/>
          <w:strike w:val="0"/>
          <w:dstrike w:val="0"/>
          <w:color w:val="auto"/>
          <w:sz w:val="24"/>
          <w:szCs w:val="24"/>
          <w:highlight w:val="none"/>
          <w:lang w:val="en-US" w:eastAsia="zh-CN"/>
        </w:rPr>
        <w:t xml:space="preserve">In the preparation process of the future IPO, the company should focus on the combination of business and finance. </w:t>
      </w:r>
      <w:r>
        <w:rPr>
          <w:rFonts w:hint="default" w:ascii="Times New Roman" w:hAnsi="Times New Roman" w:cs="Times New Roman"/>
          <w:color w:val="auto"/>
          <w:sz w:val="24"/>
          <w:szCs w:val="24"/>
          <w:highlight w:val="none"/>
          <w:lang w:val="en-US" w:eastAsia="zh-CN"/>
        </w:rPr>
        <w:t xml:space="preserve">In the process of follow-up and verification of intermediaries, the historical data should be clearly identifiable, and the past business development and future disclosure information should be true and accurate. </w:t>
      </w:r>
      <w:r>
        <w:rPr>
          <w:rFonts w:hint="eastAsia" w:ascii="Times New Roman" w:hAnsi="Times New Roman" w:cs="Times New Roman"/>
          <w:color w:val="auto"/>
          <w:sz w:val="24"/>
          <w:szCs w:val="24"/>
          <w:highlight w:val="none"/>
          <w:lang w:val="en-US" w:eastAsia="zh-CN"/>
        </w:rPr>
        <w:t>S</w:t>
      </w:r>
      <w:r>
        <w:rPr>
          <w:rFonts w:hint="default" w:ascii="Times New Roman" w:hAnsi="Times New Roman" w:cs="Times New Roman"/>
          <w:color w:val="auto"/>
          <w:sz w:val="24"/>
          <w:szCs w:val="24"/>
          <w:highlight w:val="none"/>
          <w:lang w:val="en-US" w:eastAsia="zh-CN"/>
        </w:rPr>
        <w:t>tatistical analysis, identification and correspondence of background data is very important</w:t>
      </w:r>
      <w:r>
        <w:rPr>
          <w:rFonts w:hint="eastAsia" w:ascii="Times New Roman" w:hAnsi="Times New Roman" w:cs="Times New Roman"/>
          <w:color w:val="auto"/>
          <w:sz w:val="24"/>
          <w:szCs w:val="24"/>
          <w:highlight w:val="none"/>
          <w:lang w:val="en-US" w:eastAsia="zh-CN"/>
        </w:rPr>
        <w:t xml:space="preserve"> f</w:t>
      </w:r>
      <w:r>
        <w:rPr>
          <w:rFonts w:hint="default" w:ascii="Times New Roman" w:hAnsi="Times New Roman" w:cs="Times New Roman"/>
          <w:color w:val="auto"/>
          <w:sz w:val="24"/>
          <w:szCs w:val="24"/>
          <w:highlight w:val="none"/>
          <w:lang w:val="en-US" w:eastAsia="zh-CN"/>
        </w:rPr>
        <w:t>or Internet companies</w:t>
      </w: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cs="Times New Roman"/>
          <w:strike w:val="0"/>
          <w:dstrike w:val="0"/>
          <w:color w:val="auto"/>
          <w:sz w:val="24"/>
          <w:szCs w:val="24"/>
          <w:highlight w:val="none"/>
          <w:lang w:val="en-US" w:eastAsia="zh-CN"/>
        </w:rPr>
        <w:t>Therefore, h</w:t>
      </w:r>
      <w:r>
        <w:rPr>
          <w:rFonts w:hint="default" w:ascii="Times New Roman" w:hAnsi="Times New Roman" w:cs="Times New Roman"/>
          <w:color w:val="auto"/>
          <w:sz w:val="24"/>
          <w:szCs w:val="24"/>
          <w:highlight w:val="none"/>
          <w:lang w:val="en-US" w:eastAsia="zh-CN"/>
        </w:rPr>
        <w:t>ow to standardize the compliance of the company's business, the integrity of the background data, and the authenticity of the financial information will be the focus of future IPO work</w:t>
      </w: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Romero,</w:t>
      </w:r>
      <w:r>
        <w:rPr>
          <w:rFonts w:hint="eastAsia" w:ascii="Times New Roman" w:hAnsi="Times New Roman" w:cs="Times New Roman"/>
          <w:sz w:val="24"/>
          <w:szCs w:val="24"/>
          <w:lang w:val="en-US" w:eastAsia="zh-CN"/>
        </w:rPr>
        <w:t xml:space="preserve"> 2010)</w:t>
      </w:r>
      <w:r>
        <w:rPr>
          <w:rFonts w:hint="default" w:ascii="Times New Roman" w:hAnsi="Times New Roman" w:cs="Times New Roman"/>
          <w:color w:val="auto"/>
          <w:sz w:val="24"/>
          <w:szCs w:val="24"/>
          <w:highlight w:val="none"/>
          <w:lang w:val="en-US" w:eastAsia="zh-CN"/>
        </w:rPr>
        <w:t>. Understanding, testing and evaluating internal controls will be the most important issue for intermediaries participating in the IPO process, as well as specific guarantees to ensure the authenticity of the company's future IPO process.</w:t>
      </w:r>
      <w:r>
        <w:rPr>
          <w:rFonts w:hint="eastAsia" w:ascii="Times New Roman" w:hAnsi="Times New Roman" w:cs="Times New Roman"/>
          <w:color w:val="auto"/>
          <w:sz w:val="24"/>
          <w:szCs w:val="24"/>
          <w:highlight w:val="none"/>
          <w:lang w:val="en-US" w:eastAsia="zh-CN"/>
        </w:rPr>
        <w:t xml:space="preserve"> </w:t>
      </w:r>
    </w:p>
    <w:p>
      <w:pPr>
        <w:pStyle w:val="3"/>
        <w:pageBreakBefore w:val="0"/>
        <w:widowControl w:val="0"/>
        <w:numPr>
          <w:ilvl w:val="0"/>
          <w:numId w:val="0"/>
        </w:numPr>
        <w:kinsoku/>
        <w:wordWrap/>
        <w:overflowPunct/>
        <w:topLinePunct w:val="0"/>
        <w:autoSpaceDE/>
        <w:autoSpaceDN/>
        <w:bidi w:val="0"/>
        <w:adjustRightInd/>
        <w:snapToGrid/>
        <w:spacing w:after="200" w:line="360" w:lineRule="auto"/>
        <w:ind w:leftChars="0"/>
        <w:textAlignment w:val="auto"/>
        <w:outlineLvl w:val="9"/>
        <w:rPr>
          <w:rFonts w:hint="default" w:ascii="Times New Roman" w:hAnsi="Times New Roman" w:cs="Times New Roman"/>
          <w:sz w:val="28"/>
          <w:szCs w:val="22"/>
          <w:lang w:val="en-US" w:eastAsia="zh-CN"/>
        </w:rPr>
      </w:pPr>
      <w:bookmarkStart w:id="50" w:name="_Toc15775_WPSOffice_Level2"/>
      <w:bookmarkStart w:id="51" w:name="_Toc15808_WPSOffice_Level2"/>
      <w:bookmarkStart w:id="52" w:name="_Toc120"/>
      <w:r>
        <w:rPr>
          <w:rFonts w:hint="eastAsia" w:ascii="Times New Roman" w:hAnsi="Times New Roman" w:cs="Times New Roman"/>
          <w:sz w:val="28"/>
          <w:szCs w:val="22"/>
          <w:lang w:val="en-US" w:eastAsia="zh-CN"/>
        </w:rPr>
        <w:t xml:space="preserve">3.4 </w:t>
      </w:r>
      <w:r>
        <w:rPr>
          <w:rFonts w:hint="default" w:ascii="Times New Roman" w:hAnsi="Times New Roman" w:cs="Times New Roman"/>
          <w:sz w:val="28"/>
          <w:szCs w:val="22"/>
          <w:lang w:val="en-US" w:eastAsia="zh-CN"/>
        </w:rPr>
        <w:t>Company Rebate</w:t>
      </w:r>
      <w:bookmarkEnd w:id="50"/>
      <w:bookmarkEnd w:id="51"/>
      <w:bookmarkEnd w:id="52"/>
    </w:p>
    <w:p>
      <w:pPr>
        <w:numPr>
          <w:ilvl w:val="0"/>
          <w:numId w:val="0"/>
        </w:numPr>
        <w:spacing w:line="360" w:lineRule="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 xml:space="preserve">The company uses a three-tier distribution approach, and VIP users invite others to become VIPs by sharing their invitation links. When someone pays 365 yuan, the money will be remitted to the company account. If it belongs to the first-level distributor to share the invitation, the first-level distributor himself enjoys 365 yuan rebate, which belongs to the company's income of </w:t>
      </w:r>
      <w:r>
        <w:rPr>
          <w:rFonts w:hint="eastAsia" w:ascii="Times New Roman" w:hAnsi="Times New Roman" w:cs="Times New Roman"/>
          <w:sz w:val="24"/>
          <w:szCs w:val="24"/>
          <w:highlight w:val="none"/>
          <w:lang w:val="en-US" w:eastAsia="zh-CN"/>
        </w:rPr>
        <w:t>zero</w:t>
      </w:r>
      <w:r>
        <w:rPr>
          <w:rFonts w:hint="default" w:ascii="Times New Roman" w:hAnsi="Times New Roman" w:cs="Times New Roman"/>
          <w:sz w:val="24"/>
          <w:szCs w:val="24"/>
          <w:highlight w:val="none"/>
          <w:lang w:val="en-US" w:eastAsia="zh-CN"/>
        </w:rPr>
        <w:t>; if it belongs to the second-level distributor to share the invitation, the second-level distributor himself enjoys 150 yuan rebate, the superior level The distributor enjoys a rebate of 100 yuan, which belongs to the company's income of 115 yuan.</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lang w:val="en-US" w:eastAsia="zh-CN"/>
        </w:rPr>
        <w:t xml:space="preserve">When the application for rebate is applied for withdrawal, the finance will be transferred from the balance of other </w:t>
      </w:r>
      <w:r>
        <w:rPr>
          <w:rFonts w:hint="eastAsia" w:ascii="Times New Roman" w:hAnsi="Times New Roman" w:cs="Times New Roman"/>
          <w:sz w:val="24"/>
          <w:szCs w:val="24"/>
          <w:lang w:val="en-US" w:eastAsia="zh-CN"/>
        </w:rPr>
        <w:t>payable (</w:t>
      </w:r>
      <w:r>
        <w:rPr>
          <w:rFonts w:hint="default" w:ascii="Times New Roman" w:hAnsi="Times New Roman" w:cs="Times New Roman"/>
          <w:sz w:val="24"/>
          <w:szCs w:val="24"/>
          <w:lang w:val="en-US" w:eastAsia="zh-CN"/>
        </w:rPr>
        <w:t>Nord</w:t>
      </w:r>
      <w:r>
        <w:rPr>
          <w:rFonts w:hint="eastAsia" w:ascii="Times New Roman" w:hAnsi="Times New Roman" w:cs="Times New Roman"/>
          <w:sz w:val="24"/>
          <w:szCs w:val="24"/>
          <w:lang w:val="en-US" w:eastAsia="zh-CN"/>
        </w:rPr>
        <w:t>, 1995)</w:t>
      </w:r>
      <w:r>
        <w:rPr>
          <w:rFonts w:hint="default" w:ascii="Times New Roman" w:hAnsi="Times New Roman" w:cs="Times New Roman"/>
          <w:sz w:val="24"/>
          <w:szCs w:val="24"/>
          <w:lang w:val="en-US" w:eastAsia="zh-CN"/>
        </w:rPr>
        <w:t>. In the whole process of rebate, the financial personnel cannot know the specific rebates before the application is withdrawn, and the income cannot be confirmed in time.</w:t>
      </w: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company must improve the business system. The amount of each VIP payment to the company can be displayed in terms of distribution level, remittance method, amount, returnable income, rebate amount, and company income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Mischen</w:t>
      </w:r>
      <w:r>
        <w:rPr>
          <w:rFonts w:hint="eastAsia" w:ascii="Times New Roman" w:hAnsi="Times New Roman" w:cs="Times New Roman"/>
          <w:sz w:val="24"/>
          <w:szCs w:val="24"/>
          <w:lang w:val="en-US" w:eastAsia="zh-CN"/>
        </w:rPr>
        <w:t>, 2015)</w:t>
      </w:r>
      <w:r>
        <w:rPr>
          <w:rFonts w:hint="default" w:ascii="Times New Roman" w:hAnsi="Times New Roman" w:cs="Times New Roman"/>
          <w:sz w:val="24"/>
          <w:szCs w:val="24"/>
          <w:lang w:val="en-US" w:eastAsia="zh-CN"/>
        </w:rPr>
        <w:t>. In this way, the finance can be inquired and invoiced in a timely manner, and strictly controlled within the third-level distribution to ensure the legality of the operation.</w:t>
      </w:r>
    </w:p>
    <w:p>
      <w:pPr>
        <w:pStyle w:val="3"/>
        <w:pageBreakBefore w:val="0"/>
        <w:widowControl w:val="0"/>
        <w:numPr>
          <w:ilvl w:val="0"/>
          <w:numId w:val="0"/>
        </w:numPr>
        <w:kinsoku/>
        <w:wordWrap/>
        <w:overflowPunct/>
        <w:topLinePunct w:val="0"/>
        <w:autoSpaceDE/>
        <w:autoSpaceDN/>
        <w:bidi w:val="0"/>
        <w:adjustRightInd/>
        <w:snapToGrid/>
        <w:spacing w:after="200" w:line="360" w:lineRule="auto"/>
        <w:ind w:leftChars="0"/>
        <w:textAlignment w:val="auto"/>
        <w:outlineLvl w:val="9"/>
        <w:rPr>
          <w:rFonts w:hint="default" w:ascii="Times New Roman" w:hAnsi="Times New Roman" w:cs="Times New Roman"/>
          <w:sz w:val="28"/>
          <w:szCs w:val="22"/>
          <w:lang w:val="en-US" w:eastAsia="zh-CN"/>
        </w:rPr>
      </w:pPr>
      <w:bookmarkStart w:id="53" w:name="_Toc31125_WPSOffice_Level2"/>
      <w:bookmarkStart w:id="54" w:name="_Toc19171"/>
      <w:bookmarkStart w:id="55" w:name="_Toc17445_WPSOffice_Level2"/>
      <w:r>
        <w:rPr>
          <w:rFonts w:hint="eastAsia" w:ascii="Times New Roman" w:hAnsi="Times New Roman" w:cs="Times New Roman"/>
          <w:sz w:val="28"/>
          <w:szCs w:val="22"/>
          <w:lang w:val="en-US" w:eastAsia="zh-CN"/>
        </w:rPr>
        <w:t xml:space="preserve">3.5 </w:t>
      </w:r>
      <w:r>
        <w:rPr>
          <w:rFonts w:hint="default" w:ascii="Times New Roman" w:hAnsi="Times New Roman" w:cs="Times New Roman"/>
          <w:sz w:val="28"/>
          <w:szCs w:val="22"/>
          <w:lang w:val="en-US" w:eastAsia="zh-CN"/>
        </w:rPr>
        <w:t>Dealer Identification</w:t>
      </w:r>
      <w:bookmarkEnd w:id="53"/>
      <w:bookmarkEnd w:id="54"/>
      <w:bookmarkEnd w:id="55"/>
    </w:p>
    <w:p>
      <w:pPr>
        <w:numPr>
          <w:ilvl w:val="0"/>
          <w:numId w:val="0"/>
        </w:numPr>
        <w:spacing w:line="360" w:lineRule="auto"/>
        <w:rPr>
          <w:rFonts w:hint="eastAsia"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The company has adopted a large number of distribution forms in the marketing process, which has led to different levels of dealers to obtain the same rights and value products at different levels and prices. The advantage of this kind of sales is that it has a magnetic effect and an excitation characteristic. The disadvantage is that the identification of the dealer is bound to be unclear</w:t>
      </w: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Liang</w:t>
      </w:r>
      <w:r>
        <w:rPr>
          <w:rFonts w:hint="eastAsia" w:ascii="Times New Roman" w:hAnsi="Times New Roman" w:cs="Times New Roman"/>
          <w:sz w:val="24"/>
          <w:szCs w:val="24"/>
          <w:lang w:val="en-US" w:eastAsia="zh-CN"/>
        </w:rPr>
        <w:t>, 2008)</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val="en-US" w:eastAsia="zh-CN"/>
        </w:rPr>
        <w:t>Different levels of dealers establish new distribution systems and systems according to their own environment and marketing network, which will lead to the problem of serial goods and ultimately the terminal sales cannot determine its flow and authenticity.</w:t>
      </w:r>
      <w:r>
        <w:rPr>
          <w:rFonts w:hint="eastAsia" w:ascii="Times New Roman" w:hAnsi="Times New Roman" w:cs="Times New Roman"/>
          <w:color w:val="auto"/>
          <w:sz w:val="24"/>
          <w:szCs w:val="24"/>
          <w:highlight w:val="none"/>
          <w:lang w:val="en-US" w:eastAsia="zh-CN"/>
        </w:rPr>
        <w:t xml:space="preserve"> </w:t>
      </w: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order to prevent dealers from disrupting the market environment of products, the company should establish a strict management method in marketing, making it a specific identification guarantee for future sustainable operation and IPO</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Smals,</w:t>
      </w:r>
      <w:r>
        <w:rPr>
          <w:rFonts w:hint="eastAsia" w:ascii="Times New Roman" w:hAnsi="Times New Roman" w:cs="Times New Roman"/>
          <w:sz w:val="24"/>
          <w:szCs w:val="24"/>
          <w:lang w:val="en-US" w:eastAsia="zh-CN"/>
        </w:rPr>
        <w:t xml:space="preserve"> 2012)</w:t>
      </w:r>
      <w:r>
        <w:rPr>
          <w:rFonts w:hint="default" w:ascii="Times New Roman" w:hAnsi="Times New Roman" w:cs="Times New Roman"/>
          <w:sz w:val="24"/>
          <w:szCs w:val="24"/>
          <w:lang w:val="en-US" w:eastAsia="zh-CN"/>
        </w:rPr>
        <w:t>. Based on the existing distribution system and future development considerations, the company should focus on various existing problems and design specific methods and management methods.</w:t>
      </w:r>
    </w:p>
    <w:p>
      <w:pPr>
        <w:pStyle w:val="2"/>
        <w:numPr>
          <w:ilvl w:val="0"/>
          <w:numId w:val="0"/>
        </w:numPr>
        <w:bidi w:val="0"/>
        <w:outlineLvl w:val="9"/>
        <w:rPr>
          <w:rFonts w:hint="default" w:ascii="Times New Roman" w:hAnsi="Times New Roman" w:cs="Times New Roman"/>
          <w:sz w:val="28"/>
          <w:szCs w:val="22"/>
          <w:lang w:val="en-US" w:eastAsia="zh-CN"/>
        </w:rPr>
      </w:pPr>
      <w:bookmarkStart w:id="56" w:name="_Toc30410"/>
      <w:bookmarkStart w:id="57" w:name="_Toc6680_WPSOffice_Level1"/>
      <w:bookmarkStart w:id="58" w:name="_Toc5692_WPSOffice_Level1"/>
      <w:r>
        <w:rPr>
          <w:rFonts w:hint="default" w:ascii="Times New Roman" w:hAnsi="Times New Roman" w:cs="Times New Roman"/>
          <w:sz w:val="32"/>
          <w:szCs w:val="32"/>
          <w:highlight w:val="none"/>
          <w:lang w:val="en-US" w:eastAsia="zh-CN"/>
        </w:rPr>
        <w:t xml:space="preserve">4 Asset Securitization </w:t>
      </w:r>
      <w:r>
        <w:rPr>
          <w:rFonts w:hint="eastAsia" w:ascii="Times New Roman" w:hAnsi="Times New Roman" w:cs="Times New Roman"/>
          <w:sz w:val="32"/>
          <w:szCs w:val="32"/>
          <w:highlight w:val="none"/>
          <w:lang w:val="en-US" w:eastAsia="zh-CN"/>
        </w:rPr>
        <w:t xml:space="preserve">Investigation and </w:t>
      </w:r>
      <w:r>
        <w:rPr>
          <w:rFonts w:hint="default" w:ascii="Times New Roman" w:hAnsi="Times New Roman" w:cs="Times New Roman"/>
          <w:sz w:val="32"/>
          <w:szCs w:val="32"/>
          <w:highlight w:val="none"/>
          <w:lang w:val="en-US" w:eastAsia="zh-CN"/>
        </w:rPr>
        <w:t>P</w:t>
      </w:r>
      <w:r>
        <w:rPr>
          <w:rFonts w:hint="eastAsia" w:ascii="Times New Roman" w:hAnsi="Times New Roman" w:cs="Times New Roman"/>
          <w:sz w:val="32"/>
          <w:szCs w:val="32"/>
          <w:highlight w:val="none"/>
          <w:lang w:val="en-US" w:eastAsia="zh-CN"/>
        </w:rPr>
        <w:t>reparation</w:t>
      </w:r>
      <w:bookmarkEnd w:id="56"/>
      <w:bookmarkEnd w:id="57"/>
      <w:bookmarkEnd w:id="58"/>
    </w:p>
    <w:p>
      <w:pPr>
        <w:pStyle w:val="3"/>
        <w:pageBreakBefore w:val="0"/>
        <w:widowControl w:val="0"/>
        <w:kinsoku/>
        <w:wordWrap/>
        <w:overflowPunct/>
        <w:topLinePunct w:val="0"/>
        <w:autoSpaceDE/>
        <w:autoSpaceDN/>
        <w:bidi w:val="0"/>
        <w:adjustRightInd/>
        <w:snapToGrid/>
        <w:spacing w:after="200" w:line="360" w:lineRule="auto"/>
        <w:textAlignment w:val="auto"/>
        <w:outlineLvl w:val="9"/>
        <w:rPr>
          <w:rFonts w:hint="default" w:ascii="Times New Roman" w:hAnsi="Times New Roman" w:cs="Times New Roman"/>
          <w:sz w:val="28"/>
          <w:szCs w:val="22"/>
          <w:lang w:val="en-US" w:eastAsia="zh-CN"/>
        </w:rPr>
      </w:pPr>
      <w:bookmarkStart w:id="59" w:name="_Toc23657_WPSOffice_Level2"/>
      <w:bookmarkStart w:id="60" w:name="_Toc1677"/>
      <w:bookmarkStart w:id="61" w:name="_Toc8688_WPSOffice_Level2"/>
      <w:r>
        <w:rPr>
          <w:rFonts w:hint="default" w:ascii="Times New Roman" w:hAnsi="Times New Roman" w:cs="Times New Roman"/>
          <w:sz w:val="28"/>
          <w:szCs w:val="22"/>
          <w:lang w:val="en-US" w:eastAsia="zh-CN"/>
        </w:rPr>
        <w:t>4.1 Principles of revenue recognition</w:t>
      </w:r>
      <w:bookmarkEnd w:id="59"/>
      <w:bookmarkEnd w:id="60"/>
      <w:bookmarkEnd w:id="61"/>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main business income of the company is mainly the income of learning software members. The company separates the ticket income and the non-ticket income in the revenue confirmation. For the billing income, the company recognizes the current income in the month when the invoice is issued; for the non-ticket income, the company confirms the income after receiving the payment for two months. The consulting service agreement signed between the company and the group purchaser customer stipulates that the customer does not have the right to refund</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Davis</w:t>
      </w:r>
      <w:r>
        <w:rPr>
          <w:rFonts w:hint="eastAsia" w:ascii="Times New Roman" w:hAnsi="Times New Roman" w:cs="Times New Roman"/>
          <w:sz w:val="24"/>
          <w:szCs w:val="24"/>
          <w:lang w:val="en-US" w:eastAsia="zh-CN"/>
        </w:rPr>
        <w:t>, 2011)</w:t>
      </w:r>
      <w:r>
        <w:rPr>
          <w:rFonts w:hint="default" w:ascii="Times New Roman" w:hAnsi="Times New Roman" w:cs="Times New Roman"/>
          <w:sz w:val="24"/>
          <w:szCs w:val="24"/>
          <w:lang w:val="en-US" w:eastAsia="zh-CN"/>
        </w:rPr>
        <w:t>. However, in actual implementation, the group purchaser's customer can apply for a refund at any time. On the other hand, the activation rate of the company's learning software members is not high, and the refund rate has been high since its establishment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Dekkers</w:t>
      </w:r>
      <w:r>
        <w:rPr>
          <w:rFonts w:hint="eastAsia" w:ascii="Times New Roman" w:hAnsi="Times New Roman" w:cs="Times New Roman"/>
          <w:sz w:val="24"/>
          <w:szCs w:val="24"/>
          <w:lang w:val="en-US" w:eastAsia="zh-CN"/>
        </w:rPr>
        <w:t>, 2009)</w:t>
      </w:r>
      <w:r>
        <w:rPr>
          <w:rFonts w:hint="default" w:ascii="Times New Roman" w:hAnsi="Times New Roman" w:cs="Times New Roman"/>
          <w:sz w:val="24"/>
          <w:szCs w:val="24"/>
          <w:lang w:val="en-US" w:eastAsia="zh-CN"/>
        </w:rPr>
        <w:t>. Therefore, the group purchasers currently have more learning software that has not yet been activated.</w:t>
      </w: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company can give the customer a one-month or three-month refund option and make an agreement in the contract. The company will not refund the time limit. During this period, group purchasers who are willing to refund will actively seek refunds, and the refund rate during the refund period will also be true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Lin</w:t>
      </w:r>
      <w:r>
        <w:rPr>
          <w:rFonts w:hint="eastAsia" w:ascii="Times New Roman" w:hAnsi="Times New Roman" w:cs="Times New Roman"/>
          <w:sz w:val="24"/>
          <w:szCs w:val="24"/>
          <w:lang w:val="en-US" w:eastAsia="zh-CN"/>
        </w:rPr>
        <w:t>, 2012)</w:t>
      </w:r>
      <w:r>
        <w:rPr>
          <w:rFonts w:hint="default" w:ascii="Times New Roman" w:hAnsi="Times New Roman" w:cs="Times New Roman"/>
          <w:sz w:val="24"/>
          <w:szCs w:val="24"/>
          <w:lang w:val="en-US" w:eastAsia="zh-CN"/>
        </w:rPr>
        <w:t>. The company can reasonably estimate the return rate based on the customer's refund during the most recent one or three month refund period to measure and confirm the revenue. The choice of this method requires high validity of the company's back-end technical system data, and it is necessary to calculate the return type, purchase time, and refund amount in real time. The company will not refund the contract after it has been sold in the contract, and it will be executed strictly in accordance with the contract. Since the risk associated with the sale of the company has been transferred, the revenue can be fully recognized after the sale.</w:t>
      </w:r>
    </w:p>
    <w:p>
      <w:pPr>
        <w:pStyle w:val="3"/>
        <w:bidi w:val="0"/>
        <w:outlineLvl w:val="9"/>
        <w:rPr>
          <w:rFonts w:hint="default" w:ascii="Times New Roman" w:hAnsi="Times New Roman" w:cs="Times New Roman"/>
          <w:sz w:val="28"/>
          <w:szCs w:val="22"/>
          <w:lang w:val="en-US" w:eastAsia="zh-CN"/>
        </w:rPr>
      </w:pPr>
      <w:bookmarkStart w:id="62" w:name="_Toc1323_WPSOffice_Level2"/>
      <w:r>
        <w:rPr>
          <w:rFonts w:hint="default" w:ascii="Times New Roman" w:hAnsi="Times New Roman" w:cs="Times New Roman"/>
          <w:sz w:val="28"/>
          <w:szCs w:val="22"/>
          <w:lang w:val="en-US" w:eastAsia="zh-CN"/>
        </w:rPr>
        <w:t>4.2 Capital occupation</w:t>
      </w:r>
      <w:bookmarkEnd w:id="62"/>
    </w:p>
    <w:p>
      <w:pPr>
        <w:numPr>
          <w:ilvl w:val="0"/>
          <w:numId w:val="0"/>
        </w:numPr>
        <w:spacing w:line="360" w:lineRule="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The shareholder's account has a great negative impact on the listed companies and even the capital market. Therefore, listed companies prohibit large shareholders from taking up the funds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Swink</w:t>
      </w:r>
      <w:r>
        <w:rPr>
          <w:rFonts w:hint="eastAsia" w:ascii="Times New Roman" w:hAnsi="Times New Roman" w:cs="Times New Roman"/>
          <w:sz w:val="24"/>
          <w:szCs w:val="24"/>
          <w:lang w:val="en-US" w:eastAsia="zh-CN"/>
        </w:rPr>
        <w:t>, 2006)</w:t>
      </w:r>
      <w:r>
        <w:rPr>
          <w:rFonts w:hint="eastAsia" w:ascii="Times New Roman" w:hAnsi="Times New Roman" w:cs="Times New Roman"/>
          <w:color w:val="auto"/>
          <w:sz w:val="24"/>
          <w:szCs w:val="24"/>
          <w:highlight w:val="none"/>
          <w:lang w:val="en-US" w:eastAsia="zh-CN"/>
        </w:rPr>
        <w:t xml:space="preserve">. However, the actual controllers of </w:t>
      </w:r>
      <w:r>
        <w:rPr>
          <w:rFonts w:hint="default" w:ascii="Times New Roman" w:hAnsi="Times New Roman" w:eastAsia="宋体" w:cs="Times New Roman"/>
          <w:color w:val="auto"/>
          <w:sz w:val="24"/>
          <w:szCs w:val="24"/>
          <w:highlight w:val="none"/>
          <w:lang w:val="en-US" w:eastAsia="zh-CN"/>
        </w:rPr>
        <w:t>Beijing Boyuan Network Technology company</w:t>
      </w:r>
      <w:r>
        <w:rPr>
          <w:rFonts w:hint="eastAsia" w:ascii="Times New Roman" w:hAnsi="Times New Roman" w:cs="Times New Roman"/>
          <w:color w:val="auto"/>
          <w:sz w:val="24"/>
          <w:szCs w:val="24"/>
          <w:highlight w:val="none"/>
          <w:lang w:val="en-US" w:eastAsia="zh-CN"/>
        </w:rPr>
        <w:t xml:space="preserve"> and their relatives and other enterprises controlled by the actual controllers occupy about 7 million yuan of the company's capital, which prevents it from going public.</w:t>
      </w:r>
    </w:p>
    <w:p>
      <w:pPr>
        <w:numPr>
          <w:ilvl w:val="0"/>
          <w:numId w:val="0"/>
        </w:num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company should clear the majority shareholder's payment as soon as possible, for example, the original borrower will return the company's payment in cash (</w:t>
      </w:r>
      <w:r>
        <w:rPr>
          <w:rFonts w:hint="default" w:ascii="Times New Roman" w:hAnsi="Times New Roman" w:cs="Times New Roman"/>
          <w:sz w:val="24"/>
          <w:szCs w:val="24"/>
          <w:lang w:val="en-US" w:eastAsia="zh-CN"/>
        </w:rPr>
        <w:t>Durugbo</w:t>
      </w:r>
      <w:r>
        <w:rPr>
          <w:rFonts w:hint="eastAsia" w:ascii="Times New Roman" w:hAnsi="Times New Roman" w:cs="Times New Roman"/>
          <w:sz w:val="24"/>
          <w:szCs w:val="24"/>
          <w:lang w:val="en-US" w:eastAsia="zh-CN"/>
        </w:rPr>
        <w:t xml:space="preserve">, 2016). For the difficulty of returning cash, the major shareholder can provide a certain invoice as the company's expense, even though it will increase the current year's expenses and reduce the current year's performance. For the part that cannot be returned, as the bad debt write-off, it is confirmed as the current loss. </w:t>
      </w:r>
    </w:p>
    <w:p>
      <w:pPr>
        <w:pStyle w:val="3"/>
        <w:bidi w:val="0"/>
        <w:outlineLvl w:val="9"/>
        <w:rPr>
          <w:rFonts w:hint="default" w:ascii="Times New Roman" w:hAnsi="Times New Roman" w:cs="Times New Roman"/>
          <w:sz w:val="28"/>
          <w:szCs w:val="22"/>
          <w:lang w:val="en-US" w:eastAsia="zh-CN"/>
        </w:rPr>
      </w:pPr>
      <w:bookmarkStart w:id="63" w:name="_Toc13209_WPSOffice_Level2"/>
      <w:r>
        <w:rPr>
          <w:rFonts w:hint="default" w:ascii="Times New Roman" w:hAnsi="Times New Roman" w:cs="Times New Roman"/>
          <w:sz w:val="28"/>
          <w:szCs w:val="22"/>
          <w:lang w:val="en-US" w:eastAsia="zh-CN"/>
        </w:rPr>
        <w:t>4.3 Financial configuration</w:t>
      </w:r>
      <w:bookmarkEnd w:id="63"/>
    </w:p>
    <w:p>
      <w:pPr>
        <w:numPr>
          <w:ilvl w:val="0"/>
          <w:numId w:val="0"/>
        </w:num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company needs to speed up the training or directly select the financial director with relevant listing experience as the financial coordinator of the company's capital operation. In order to deal with tax verification, the company should hire a professional accounting firm to conduct audits and provide substantive advice on the company's financial specifications from a more professional perspective (Zhao, 2008). In particular, the team with senior auditing experience in the internet education industry will systematically sort out and standardize the financial system.</w:t>
      </w:r>
    </w:p>
    <w:p>
      <w:pPr>
        <w:pStyle w:val="3"/>
        <w:bidi w:val="0"/>
        <w:outlineLvl w:val="9"/>
        <w:rPr>
          <w:rFonts w:hint="default" w:ascii="Times New Roman" w:hAnsi="Times New Roman" w:cs="Times New Roman"/>
          <w:sz w:val="28"/>
          <w:szCs w:val="28"/>
          <w:lang w:val="en-US" w:eastAsia="zh-CN"/>
        </w:rPr>
      </w:pPr>
      <w:bookmarkStart w:id="64" w:name="_Toc30238_WPSOffice_Level2"/>
      <w:r>
        <w:rPr>
          <w:rFonts w:hint="default" w:ascii="Times New Roman" w:hAnsi="Times New Roman" w:cs="Times New Roman"/>
          <w:sz w:val="28"/>
          <w:szCs w:val="28"/>
          <w:lang w:val="en-US" w:eastAsia="zh-CN"/>
        </w:rPr>
        <w:t>4.4 Standardized accounting treatment</w:t>
      </w:r>
      <w:bookmarkEnd w:id="64"/>
    </w:p>
    <w:p>
      <w:pPr>
        <w:numPr>
          <w:ilvl w:val="0"/>
          <w:numId w:val="0"/>
        </w:num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strike w:val="0"/>
          <w:dstrike w:val="0"/>
          <w:color w:val="auto"/>
          <w:sz w:val="24"/>
          <w:szCs w:val="24"/>
          <w:highlight w:val="none"/>
          <w:lang w:val="en-US" w:eastAsia="zh-CN"/>
        </w:rPr>
        <w:t>When the company obtains the invoice, it will clear the confirmation fee. Due to the cost intertemporal phenomenon, the company should allocate the expenses according to the period during which the service is accepted.</w:t>
      </w:r>
      <w:r>
        <w:rPr>
          <w:rFonts w:hint="eastAsia" w:ascii="Times New Roman" w:hAnsi="Times New Roman" w:cs="Times New Roman"/>
          <w:strike w:val="0"/>
          <w:dstrike w:val="0"/>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val="en-US" w:eastAsia="zh-CN"/>
        </w:rPr>
        <w:t xml:space="preserve">The parent company </w:t>
      </w:r>
      <w:r>
        <w:rPr>
          <w:rFonts w:hint="default" w:ascii="Times New Roman" w:hAnsi="Times New Roman" w:eastAsia="宋体" w:cs="Times New Roman"/>
          <w:color w:val="auto"/>
          <w:sz w:val="24"/>
          <w:szCs w:val="24"/>
          <w:highlight w:val="none"/>
          <w:lang w:val="en-US" w:eastAsia="zh-CN"/>
        </w:rPr>
        <w:t>Beijing Boyuan Network Technology company</w:t>
      </w:r>
      <w:r>
        <w:rPr>
          <w:rFonts w:hint="default" w:ascii="Times New Roman" w:hAnsi="Times New Roman" w:cs="Times New Roman"/>
          <w:color w:val="auto"/>
          <w:sz w:val="24"/>
          <w:szCs w:val="24"/>
          <w:highlight w:val="none"/>
          <w:lang w:val="en-US" w:eastAsia="zh-CN"/>
        </w:rPr>
        <w:t>'s book payable subsidiary Shenzhen</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Boyuan company</w:t>
      </w:r>
      <w:r>
        <w:rPr>
          <w:rFonts w:hint="default" w:ascii="Times New Roman" w:hAnsi="Times New Roman" w:cs="Times New Roman"/>
          <w:color w:val="auto"/>
          <w:sz w:val="24"/>
          <w:szCs w:val="24"/>
          <w:highlight w:val="none"/>
          <w:lang w:val="en-US" w:eastAsia="zh-CN"/>
        </w:rPr>
        <w:t xml:space="preserve"> balance of 6.75 million yuan, the subsidiary Shenzhen Bo</w:t>
      </w:r>
      <w:r>
        <w:rPr>
          <w:rFonts w:hint="eastAsia" w:ascii="Times New Roman" w:hAnsi="Times New Roman" w:cs="Times New Roman"/>
          <w:color w:val="auto"/>
          <w:sz w:val="24"/>
          <w:szCs w:val="24"/>
          <w:highlight w:val="none"/>
          <w:lang w:val="en-US" w:eastAsia="zh-CN"/>
        </w:rPr>
        <w:t>yuan company</w:t>
      </w:r>
      <w:r>
        <w:rPr>
          <w:rFonts w:hint="default" w:ascii="Times New Roman" w:hAnsi="Times New Roman" w:cs="Times New Roman"/>
          <w:color w:val="auto"/>
          <w:sz w:val="24"/>
          <w:szCs w:val="24"/>
          <w:highlight w:val="none"/>
          <w:lang w:val="en-US" w:eastAsia="zh-CN"/>
        </w:rPr>
        <w:t xml:space="preserve"> book receivable </w:t>
      </w:r>
      <w:r>
        <w:rPr>
          <w:rFonts w:hint="default" w:ascii="Times New Roman" w:hAnsi="Times New Roman" w:eastAsia="宋体" w:cs="Times New Roman"/>
          <w:color w:val="auto"/>
          <w:sz w:val="24"/>
          <w:szCs w:val="24"/>
          <w:highlight w:val="none"/>
          <w:lang w:val="en-US" w:eastAsia="zh-CN"/>
        </w:rPr>
        <w:t>Beijing Boyuan Network Technology company</w:t>
      </w:r>
      <w:r>
        <w:rPr>
          <w:rFonts w:hint="default" w:ascii="Times New Roman" w:hAnsi="Times New Roman" w:cs="Times New Roman"/>
          <w:color w:val="auto"/>
          <w:sz w:val="24"/>
          <w:szCs w:val="24"/>
          <w:highlight w:val="none"/>
          <w:lang w:val="en-US" w:eastAsia="zh-CN"/>
        </w:rPr>
        <w:t xml:space="preserve"> balance of 6.6 million yuan, the parent company's book value has a difference. </w:t>
      </w:r>
      <w:r>
        <w:rPr>
          <w:rFonts w:hint="eastAsia" w:ascii="Times New Roman" w:hAnsi="Times New Roman" w:cs="Times New Roman"/>
          <w:strike w:val="0"/>
          <w:dstrike w:val="0"/>
          <w:color w:val="auto"/>
          <w:sz w:val="24"/>
          <w:szCs w:val="24"/>
          <w:highlight w:val="none"/>
          <w:lang w:val="en-US" w:eastAsia="zh-CN"/>
        </w:rPr>
        <w:t>In addition, t</w:t>
      </w:r>
      <w:r>
        <w:rPr>
          <w:rFonts w:hint="default" w:ascii="Times New Roman" w:hAnsi="Times New Roman" w:cs="Times New Roman"/>
          <w:color w:val="auto"/>
          <w:sz w:val="24"/>
          <w:szCs w:val="24"/>
          <w:highlight w:val="none"/>
          <w:lang w:val="en-US" w:eastAsia="zh-CN"/>
        </w:rPr>
        <w:t>he company has inconsistencies between the labor service provider and the payee</w:t>
      </w: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Vinhas,</w:t>
      </w:r>
      <w:r>
        <w:rPr>
          <w:rFonts w:hint="eastAsia" w:ascii="Times New Roman" w:hAnsi="Times New Roman" w:cs="Times New Roman"/>
          <w:sz w:val="24"/>
          <w:szCs w:val="24"/>
          <w:lang w:val="en-US" w:eastAsia="zh-CN"/>
        </w:rPr>
        <w:t>2012)</w:t>
      </w:r>
      <w:r>
        <w:rPr>
          <w:rFonts w:hint="default" w:ascii="Times New Roman" w:hAnsi="Times New Roman" w:cs="Times New Roman"/>
          <w:color w:val="auto"/>
          <w:sz w:val="24"/>
          <w:szCs w:val="24"/>
          <w:highlight w:val="none"/>
          <w:lang w:val="en-US" w:eastAsia="zh-CN"/>
        </w:rPr>
        <w:t xml:space="preserve">. If the actual payee of the company is inconsistent with the Jiuhua VIP building of the labor service provider, the invoice obtained is also issued by Jiuhua VIP Building. This means that the internal control has flaws. </w:t>
      </w:r>
      <w:r>
        <w:rPr>
          <w:rFonts w:hint="eastAsia" w:ascii="Times New Roman" w:hAnsi="Times New Roman" w:cs="Times New Roman"/>
          <w:color w:val="auto"/>
          <w:sz w:val="24"/>
          <w:szCs w:val="24"/>
          <w:highlight w:val="none"/>
          <w:lang w:val="en-US" w:eastAsia="zh-CN"/>
        </w:rPr>
        <w:t>Therefore, t</w:t>
      </w:r>
      <w:r>
        <w:rPr>
          <w:rFonts w:hint="default" w:ascii="Times New Roman" w:hAnsi="Times New Roman" w:cs="Times New Roman"/>
          <w:color w:val="auto"/>
          <w:sz w:val="24"/>
          <w:szCs w:val="24"/>
          <w:highlight w:val="none"/>
          <w:lang w:val="en-US" w:eastAsia="zh-CN"/>
        </w:rPr>
        <w:t>he company should ensure that the actual labor service provider and the payee are consistent, and the invoice should have a real trading background.</w:t>
      </w:r>
    </w:p>
    <w:p>
      <w:pPr>
        <w:pStyle w:val="3"/>
        <w:pageBreakBefore w:val="0"/>
        <w:widowControl w:val="0"/>
        <w:kinsoku/>
        <w:wordWrap/>
        <w:overflowPunct/>
        <w:topLinePunct w:val="0"/>
        <w:autoSpaceDE/>
        <w:autoSpaceDN/>
        <w:bidi w:val="0"/>
        <w:adjustRightInd/>
        <w:snapToGrid/>
        <w:spacing w:after="200" w:line="360" w:lineRule="auto"/>
        <w:textAlignment w:val="auto"/>
        <w:outlineLvl w:val="9"/>
        <w:rPr>
          <w:rFonts w:hint="default" w:ascii="Times New Roman" w:hAnsi="Times New Roman" w:cs="Times New Roman"/>
          <w:color w:val="auto"/>
          <w:sz w:val="28"/>
          <w:szCs w:val="28"/>
          <w:highlight w:val="none"/>
          <w:lang w:val="en-US" w:eastAsia="zh-CN"/>
        </w:rPr>
      </w:pPr>
      <w:bookmarkStart w:id="65" w:name="_Toc3013"/>
      <w:bookmarkStart w:id="66" w:name="_Toc3324_WPSOffice_Level2"/>
      <w:bookmarkStart w:id="67" w:name="_Toc654_WPSOffice_Level2"/>
      <w:r>
        <w:rPr>
          <w:rFonts w:hint="default" w:ascii="Times New Roman" w:hAnsi="Times New Roman" w:cs="Times New Roman"/>
          <w:color w:val="auto"/>
          <w:sz w:val="28"/>
          <w:szCs w:val="28"/>
          <w:highlight w:val="none"/>
          <w:lang w:val="en-US" w:eastAsia="zh-CN"/>
        </w:rPr>
        <w:t>4.</w:t>
      </w:r>
      <w:r>
        <w:rPr>
          <w:rFonts w:hint="eastAsia" w:ascii="Times New Roman" w:hAnsi="Times New Roman" w:cs="Times New Roman"/>
          <w:color w:val="auto"/>
          <w:sz w:val="28"/>
          <w:szCs w:val="28"/>
          <w:highlight w:val="none"/>
          <w:lang w:val="en-US" w:eastAsia="zh-CN"/>
        </w:rPr>
        <w:t>5</w:t>
      </w:r>
      <w:r>
        <w:rPr>
          <w:rFonts w:hint="default" w:ascii="Times New Roman" w:hAnsi="Times New Roman" w:cs="Times New Roman"/>
          <w:color w:val="auto"/>
          <w:sz w:val="28"/>
          <w:szCs w:val="28"/>
          <w:highlight w:val="none"/>
          <w:lang w:val="en-US" w:eastAsia="zh-CN"/>
        </w:rPr>
        <w:t xml:space="preserve"> Equity adjustment</w:t>
      </w:r>
      <w:bookmarkEnd w:id="65"/>
      <w:bookmarkEnd w:id="66"/>
      <w:bookmarkEnd w:id="67"/>
    </w:p>
    <w:p>
      <w:pPr>
        <w:numPr>
          <w:ilvl w:val="0"/>
          <w:numId w:val="0"/>
        </w:numPr>
        <w:spacing w:line="360" w:lineRule="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The adjustment mode can be divided into two types. One is to split the current business segment on the original basis, and establish a shareholding platform on the basis of the original shareholder to carry out equity incentives; the other way is to put all the current main business into Within the education group, the interests of the listed companies will be re-divided according to the future</w:t>
      </w: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Crispim</w:t>
      </w:r>
      <w:r>
        <w:rPr>
          <w:rFonts w:hint="eastAsia" w:ascii="Times New Roman" w:hAnsi="Times New Roman" w:cs="Times New Roman"/>
          <w:sz w:val="24"/>
          <w:szCs w:val="24"/>
          <w:lang w:val="en-US" w:eastAsia="zh-CN"/>
        </w:rPr>
        <w:t>, 2009)</w:t>
      </w:r>
      <w:r>
        <w:rPr>
          <w:rFonts w:hint="default" w:ascii="Times New Roman" w:hAnsi="Times New Roman" w:cs="Times New Roman"/>
          <w:color w:val="auto"/>
          <w:sz w:val="24"/>
          <w:szCs w:val="24"/>
          <w:highlight w:val="none"/>
          <w:lang w:val="en-US" w:eastAsia="zh-CN"/>
        </w:rPr>
        <w:t>.</w:t>
      </w:r>
    </w:p>
    <w:p>
      <w:pPr>
        <w:numPr>
          <w:ilvl w:val="0"/>
          <w:numId w:val="0"/>
        </w:numPr>
        <w:spacing w:line="360" w:lineRule="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First of all, i</w:t>
      </w:r>
      <w:r>
        <w:rPr>
          <w:rFonts w:hint="default" w:ascii="Times New Roman" w:hAnsi="Times New Roman" w:cs="Times New Roman"/>
          <w:color w:val="auto"/>
          <w:sz w:val="24"/>
          <w:szCs w:val="24"/>
          <w:highlight w:val="none"/>
          <w:lang w:val="en-US" w:eastAsia="zh-CN"/>
        </w:rPr>
        <w:t>n the early stages of development, it is recommended that group companies can be absolutely controlled. These performances are in the major decisions of amending the company's articles of association and drafting the main body of the listing</w:t>
      </w: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Camarinha</w:t>
      </w:r>
      <w:r>
        <w:rPr>
          <w:rFonts w:hint="eastAsia" w:ascii="Times New Roman" w:hAnsi="Times New Roman" w:cs="Times New Roman"/>
          <w:sz w:val="24"/>
          <w:szCs w:val="24"/>
          <w:lang w:val="en-US" w:eastAsia="zh-CN"/>
        </w:rPr>
        <w:t>, 2005)</w:t>
      </w:r>
      <w:r>
        <w:rPr>
          <w:rFonts w:hint="default" w:ascii="Times New Roman" w:hAnsi="Times New Roman" w:cs="Times New Roman"/>
          <w:color w:val="auto"/>
          <w:sz w:val="24"/>
          <w:szCs w:val="24"/>
          <w:highlight w:val="none"/>
          <w:lang w:val="en-US" w:eastAsia="zh-CN"/>
        </w:rPr>
        <w:t>. With the expansion of the financing scale of the company's listed entities, it needs to remain at 51% and above before entering the capital market in order to have relative control.</w:t>
      </w:r>
    </w:p>
    <w:p>
      <w:pPr>
        <w:numPr>
          <w:ilvl w:val="0"/>
          <w:numId w:val="0"/>
        </w:numPr>
        <w:spacing w:line="360" w:lineRule="auto"/>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Secondly, s</w:t>
      </w:r>
      <w:r>
        <w:rPr>
          <w:rFonts w:hint="default" w:ascii="Times New Roman" w:hAnsi="Times New Roman" w:cs="Times New Roman"/>
          <w:color w:val="auto"/>
          <w:sz w:val="24"/>
          <w:szCs w:val="24"/>
          <w:highlight w:val="none"/>
          <w:lang w:val="en-US" w:eastAsia="zh-CN"/>
        </w:rPr>
        <w:t>ince the establishment of the company less than 5 years, in the process of the company's growing and growing, the positive and clear equity incentives are the basic guarantee and benefit arrangement for all employees of the company to maintain enthusiasm, and also the specific measures to maintain the company's core cohesion</w:t>
      </w: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Loss</w:t>
      </w:r>
      <w:r>
        <w:rPr>
          <w:rFonts w:hint="eastAsia" w:ascii="Times New Roman" w:hAnsi="Times New Roman" w:cs="Times New Roman"/>
          <w:sz w:val="24"/>
          <w:szCs w:val="24"/>
          <w:lang w:val="en-US" w:eastAsia="zh-CN"/>
        </w:rPr>
        <w:t>, 2011)</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val="en-US" w:eastAsia="zh-CN"/>
        </w:rPr>
        <w:t>The focus of the incentives is mainly on the company's directors, senior management, and management backbone and core technical personnel who have a direct impact on the company's future development.</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val="en-US" w:eastAsia="zh-CN"/>
        </w:rPr>
        <w:t>Based on current organizational structure considerations, this is the primary factor in determining the motivational object. The company's organizational structure, including R&amp;D centers, marketing centers, and financial centers, should be included in the scope of equity incentives</w:t>
      </w: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Shachaf,</w:t>
      </w:r>
      <w:r>
        <w:rPr>
          <w:rFonts w:hint="eastAsia" w:ascii="Times New Roman" w:hAnsi="Times New Roman" w:cs="Times New Roman"/>
          <w:sz w:val="24"/>
          <w:szCs w:val="24"/>
          <w:lang w:val="en-US" w:eastAsia="zh-CN"/>
        </w:rPr>
        <w:t xml:space="preserve"> 2008)</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val="en-US" w:eastAsia="zh-CN"/>
        </w:rPr>
        <w:t>The current incentive system must not only motivate existing managers and core employees, but also take into account the company's organizational plan five years later, and reserve a position for talents to enter in the future.</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lang w:val="en-US" w:eastAsia="zh-CN"/>
        </w:rPr>
        <w:t xml:space="preserve">At present, corporate incentives are the core key nodes of enterprises upstream and downstream, stimulating investors, and the industrial chain. They must be motivated according to strategic planning and development strategies. </w:t>
      </w:r>
    </w:p>
    <w:p>
      <w:pPr>
        <w:pStyle w:val="2"/>
        <w:numPr>
          <w:ilvl w:val="0"/>
          <w:numId w:val="0"/>
        </w:numPr>
        <w:bidi w:val="0"/>
        <w:outlineLvl w:val="9"/>
        <w:rPr>
          <w:rFonts w:hint="default" w:ascii="Times New Roman" w:hAnsi="Times New Roman" w:cs="Times New Roman"/>
          <w:sz w:val="32"/>
          <w:szCs w:val="32"/>
          <w:highlight w:val="none"/>
          <w:lang w:val="en-US" w:eastAsia="zh-CN"/>
        </w:rPr>
      </w:pPr>
      <w:bookmarkStart w:id="68" w:name="_Toc14567_WPSOffice_Level1"/>
      <w:bookmarkStart w:id="69" w:name="_Toc8792_WPSOffice_Level1"/>
      <w:bookmarkStart w:id="70" w:name="_Toc14509"/>
      <w:r>
        <w:rPr>
          <w:rFonts w:hint="default" w:ascii="Times New Roman" w:hAnsi="Times New Roman" w:cs="Times New Roman"/>
          <w:sz w:val="32"/>
          <w:szCs w:val="32"/>
          <w:highlight w:val="none"/>
          <w:lang w:val="en-US" w:eastAsia="zh-CN"/>
        </w:rPr>
        <w:t>5</w:t>
      </w:r>
      <w:r>
        <w:rPr>
          <w:rFonts w:hint="eastAsia" w:ascii="Times New Roman" w:hAnsi="Times New Roman" w:cs="Times New Roman"/>
          <w:sz w:val="32"/>
          <w:szCs w:val="32"/>
          <w:highlight w:val="none"/>
          <w:lang w:val="en-US" w:eastAsia="zh-CN"/>
        </w:rPr>
        <w:t xml:space="preserve"> </w:t>
      </w:r>
      <w:r>
        <w:rPr>
          <w:rFonts w:hint="default" w:ascii="Times New Roman" w:hAnsi="Times New Roman" w:cs="Times New Roman"/>
          <w:sz w:val="32"/>
          <w:szCs w:val="32"/>
          <w:highlight w:val="none"/>
          <w:lang w:val="en-US" w:eastAsia="zh-CN"/>
        </w:rPr>
        <w:t xml:space="preserve">Evaluation and </w:t>
      </w:r>
      <w:r>
        <w:rPr>
          <w:rFonts w:hint="eastAsia" w:ascii="Times New Roman" w:hAnsi="Times New Roman" w:cs="Times New Roman"/>
          <w:sz w:val="32"/>
          <w:szCs w:val="32"/>
          <w:highlight w:val="none"/>
          <w:lang w:val="en-US" w:eastAsia="zh-CN"/>
        </w:rPr>
        <w:t>S</w:t>
      </w:r>
      <w:r>
        <w:rPr>
          <w:rFonts w:hint="default" w:ascii="Times New Roman" w:hAnsi="Times New Roman" w:cs="Times New Roman"/>
          <w:sz w:val="32"/>
          <w:szCs w:val="32"/>
          <w:highlight w:val="none"/>
          <w:lang w:val="en-US" w:eastAsia="zh-CN"/>
        </w:rPr>
        <w:t>election</w:t>
      </w:r>
      <w:r>
        <w:rPr>
          <w:rFonts w:hint="eastAsia" w:ascii="Times New Roman" w:hAnsi="Times New Roman" w:cs="Times New Roman"/>
          <w:sz w:val="32"/>
          <w:szCs w:val="32"/>
          <w:highlight w:val="none"/>
          <w:lang w:val="en-US" w:eastAsia="zh-CN"/>
        </w:rPr>
        <w:t xml:space="preserve"> of </w:t>
      </w:r>
      <w:r>
        <w:rPr>
          <w:rFonts w:hint="default" w:ascii="Times New Roman" w:hAnsi="Times New Roman" w:cs="Times New Roman"/>
          <w:sz w:val="32"/>
          <w:szCs w:val="32"/>
          <w:highlight w:val="none"/>
          <w:lang w:val="en-US" w:eastAsia="zh-CN"/>
        </w:rPr>
        <w:t>Asset Securitization Path</w:t>
      </w:r>
      <w:bookmarkEnd w:id="68"/>
      <w:bookmarkEnd w:id="69"/>
      <w:bookmarkEnd w:id="70"/>
    </w:p>
    <w:p>
      <w:pPr>
        <w:pStyle w:val="3"/>
        <w:bidi w:val="0"/>
        <w:outlineLvl w:val="9"/>
        <w:rPr>
          <w:rFonts w:hint="default" w:ascii="Times New Roman" w:hAnsi="Times New Roman" w:cs="Times New Roman"/>
          <w:sz w:val="28"/>
          <w:szCs w:val="28"/>
          <w:lang w:val="en-US" w:eastAsia="zh-CN"/>
        </w:rPr>
      </w:pPr>
      <w:bookmarkStart w:id="71" w:name="_Toc26867_WPSOffice_Level2"/>
      <w:r>
        <w:rPr>
          <w:rFonts w:hint="default" w:ascii="Times New Roman" w:hAnsi="Times New Roman" w:cs="Times New Roman"/>
          <w:sz w:val="28"/>
          <w:szCs w:val="28"/>
          <w:lang w:val="en-US" w:eastAsia="zh-CN"/>
        </w:rPr>
        <w:t>5.1 Domestic IPO</w:t>
      </w:r>
      <w:bookmarkEnd w:id="71"/>
    </w:p>
    <w:p>
      <w:pPr>
        <w:numPr>
          <w:ilvl w:val="0"/>
          <w:numId w:val="0"/>
        </w:numPr>
        <w:spacing w:line="360" w:lineRule="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Although laws and regulations have cleared the way for private education enterprises to engage in profit-making activities, there are still problems at the specific implementation level. As the relevant supporting system has not kept up, the relevant regulatory authorities still have differences in the understanding of the scope of application of the law. The regulatory responsibilities are not clear, and many companies are still facing embarrassing situations. Currently, there are no education companies related to IPOs in China. In view of the relatively new business model of the company, there are still many reasons for the successful IPOs in the country and the strict supervision and uncertainty of the regulatory authorities. Under the existing domestic legal framework, companies are not recommended to conduct domestic IPO trials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Daudi</w:t>
      </w:r>
      <w:r>
        <w:rPr>
          <w:rFonts w:hint="eastAsia" w:ascii="Times New Roman" w:hAnsi="Times New Roman" w:cs="Times New Roman"/>
          <w:sz w:val="24"/>
          <w:szCs w:val="24"/>
          <w:lang w:val="en-US" w:eastAsia="zh-CN"/>
        </w:rPr>
        <w:t>, 2016)</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p>
    <w:p>
      <w:pPr>
        <w:pStyle w:val="3"/>
        <w:bidi w:val="0"/>
        <w:outlineLvl w:val="9"/>
        <w:rPr>
          <w:rFonts w:hint="default" w:ascii="Times New Roman" w:hAnsi="Times New Roman" w:cs="Times New Roman"/>
          <w:sz w:val="28"/>
          <w:szCs w:val="22"/>
          <w:lang w:val="en-US" w:eastAsia="zh-CN"/>
        </w:rPr>
      </w:pPr>
      <w:bookmarkStart w:id="72" w:name="_Toc15251_WPSOffice_Level2"/>
      <w:r>
        <w:rPr>
          <w:rFonts w:hint="default" w:ascii="Times New Roman" w:hAnsi="Times New Roman" w:cs="Times New Roman"/>
          <w:sz w:val="28"/>
          <w:szCs w:val="22"/>
          <w:lang w:val="en-US" w:eastAsia="zh-CN"/>
        </w:rPr>
        <w:t>5.2 Company Merger</w:t>
      </w:r>
      <w:bookmarkEnd w:id="72"/>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Regulators encourage listed companies to take control of the underlying companies and discourage the purchase of minority stakes. Once the company chooses to be merged by a listed company, it loses control of the company and becomes a subsidiary of the listed company. A-share mergers and acquisitions are the most mainstream way of listing education companies in recent years. There are successful precedents, the risk of review is relatively small, and the speed is also faster. Educational enterprises mainly landed in the A-share market through cash acquisitions and the issuance of shares to purchase assets, but they mainly adopted cash acquisitions</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Chituc</w:t>
      </w:r>
      <w:r>
        <w:rPr>
          <w:rFonts w:hint="eastAsia" w:ascii="Times New Roman" w:hAnsi="Times New Roman" w:cs="Times New Roman"/>
          <w:sz w:val="24"/>
          <w:szCs w:val="24"/>
          <w:lang w:val="en-US" w:eastAsia="zh-CN"/>
        </w:rPr>
        <w:t>, 2007)</w:t>
      </w:r>
      <w:r>
        <w:rPr>
          <w:rFonts w:hint="default" w:ascii="Times New Roman" w:hAnsi="Times New Roman" w:cs="Times New Roman"/>
          <w:sz w:val="24"/>
          <w:szCs w:val="24"/>
          <w:lang w:val="en-US" w:eastAsia="zh-CN"/>
        </w:rPr>
        <w:t>. The advantage is that it does not require the approval of the CSRC, but it takes a lot of money. The issue of shares to purchase assets is subject to uncertainty due to the approval of the CSRC. However, the company's business will generally become the second main business of the original listed company, the company's chairman became the second shareholder of the original listed company, responsible for the education sector business.</w:t>
      </w:r>
    </w:p>
    <w:p>
      <w:pPr>
        <w:pStyle w:val="3"/>
        <w:bidi w:val="0"/>
        <w:outlineLvl w:val="9"/>
        <w:rPr>
          <w:rFonts w:hint="default" w:ascii="Times New Roman" w:hAnsi="Times New Roman" w:cs="Times New Roman"/>
          <w:sz w:val="28"/>
          <w:szCs w:val="22"/>
          <w:lang w:val="en-US" w:eastAsia="zh-CN"/>
        </w:rPr>
      </w:pPr>
      <w:bookmarkStart w:id="73" w:name="_Toc30581_WPSOffice_Level2"/>
      <w:r>
        <w:rPr>
          <w:rFonts w:hint="default" w:ascii="Times New Roman" w:hAnsi="Times New Roman" w:cs="Times New Roman"/>
          <w:sz w:val="28"/>
          <w:szCs w:val="22"/>
          <w:lang w:val="en-US" w:eastAsia="zh-CN"/>
        </w:rPr>
        <w:t>5.3 Backdoor Listing</w:t>
      </w:r>
      <w:bookmarkEnd w:id="73"/>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company acquired 20%-30% of the shares of the listed company through the transfer of the tradable shares agreement, and became the controlling shareholder and actual controller of the listed company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Powell</w:t>
      </w:r>
      <w:r>
        <w:rPr>
          <w:rFonts w:hint="eastAsia" w:ascii="Times New Roman" w:hAnsi="Times New Roman" w:cs="Times New Roman"/>
          <w:sz w:val="24"/>
          <w:szCs w:val="24"/>
          <w:lang w:val="en-US" w:eastAsia="zh-CN"/>
        </w:rPr>
        <w:t>, 1996)</w:t>
      </w:r>
      <w:r>
        <w:rPr>
          <w:rFonts w:hint="default" w:ascii="Times New Roman" w:hAnsi="Times New Roman" w:cs="Times New Roman"/>
          <w:sz w:val="24"/>
          <w:szCs w:val="24"/>
          <w:lang w:val="en-US" w:eastAsia="zh-CN"/>
        </w:rPr>
        <w:t xml:space="preserve">. After obtaining the control of the listed company, the listed company will use the cash or issue shares to acquire the equity of </w:t>
      </w:r>
      <w:r>
        <w:rPr>
          <w:rFonts w:hint="default" w:ascii="Times New Roman" w:hAnsi="Times New Roman" w:cs="Times New Roman" w:eastAsiaTheme="minorEastAsia"/>
          <w:sz w:val="24"/>
          <w:szCs w:val="24"/>
          <w:lang w:val="en-US" w:eastAsia="zh-CN"/>
        </w:rPr>
        <w:t>Beijing Boyuan Network Technology company</w:t>
      </w:r>
      <w:r>
        <w:rPr>
          <w:rFonts w:hint="default" w:ascii="Times New Roman" w:hAnsi="Times New Roman" w:cs="Times New Roman"/>
          <w:sz w:val="24"/>
          <w:szCs w:val="24"/>
          <w:lang w:val="en-US" w:eastAsia="zh-CN"/>
        </w:rPr>
        <w:t>, and put the company's quality education and training assets into the listed company. By transferring the company's equity in exchange for the shares of the listed company to further strengthen the control of the listed company, or obtain cash considerations, alleviate the financial pressure on the agreement to acquire the listed company.</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For example, </w:t>
      </w:r>
      <w:r>
        <w:rPr>
          <w:rFonts w:hint="default" w:ascii="Times New Roman" w:hAnsi="Times New Roman" w:cs="Times New Roman" w:eastAsiaTheme="minorEastAsia"/>
          <w:sz w:val="24"/>
          <w:szCs w:val="24"/>
          <w:lang w:val="en-US" w:eastAsia="zh-CN"/>
        </w:rPr>
        <w:t>Beijing Boyuan Network Technology company</w:t>
      </w:r>
      <w:r>
        <w:rPr>
          <w:rFonts w:hint="default" w:ascii="Times New Roman" w:hAnsi="Times New Roman" w:cs="Times New Roman"/>
          <w:sz w:val="24"/>
          <w:szCs w:val="24"/>
          <w:lang w:val="en-US" w:eastAsia="zh-CN"/>
        </w:rPr>
        <w:t xml:space="preserve"> total assets, net assets, operating income, net profit and other indicators exceed the comparable indicators of the listed companies to be acquired, firstly issued by the listed company and paid for by cash. By adjusting the listed company to pay shares and cash to the shareholders of </w:t>
      </w:r>
      <w:r>
        <w:rPr>
          <w:rFonts w:hint="default" w:ascii="Times New Roman" w:hAnsi="Times New Roman" w:cs="Times New Roman" w:eastAsiaTheme="minorEastAsia"/>
          <w:sz w:val="24"/>
          <w:szCs w:val="24"/>
          <w:lang w:val="en-US" w:eastAsia="zh-CN"/>
        </w:rPr>
        <w:t>Beijing Boyuan Network Technology company</w:t>
      </w:r>
      <w:r>
        <w:rPr>
          <w:rFonts w:hint="default" w:ascii="Times New Roman" w:hAnsi="Times New Roman" w:cs="Times New Roman"/>
          <w:sz w:val="24"/>
          <w:szCs w:val="24"/>
          <w:lang w:val="en-US" w:eastAsia="zh-CN"/>
        </w:rPr>
        <w:t xml:space="preserve">. When the acquisition is completed, the original controlling shareholder becomes the second largest shareholder of the listed company, and the actual controller of the listed company remains unchanged. After the completion of the acquisition, the original actual controller of the listed company gradually reduced its shareholding, and the listed company acquired </w:t>
      </w:r>
      <w:r>
        <w:rPr>
          <w:rFonts w:hint="default" w:ascii="Times New Roman" w:hAnsi="Times New Roman" w:cs="Times New Roman" w:eastAsiaTheme="minorEastAsia"/>
          <w:sz w:val="24"/>
          <w:szCs w:val="24"/>
          <w:lang w:val="en-US" w:eastAsia="zh-CN"/>
        </w:rPr>
        <w:t>Beijing Boyuan Network Technology company</w:t>
      </w:r>
      <w:r>
        <w:rPr>
          <w:rFonts w:hint="default" w:ascii="Times New Roman" w:hAnsi="Times New Roman" w:cs="Times New Roman"/>
          <w:sz w:val="24"/>
          <w:szCs w:val="24"/>
          <w:lang w:val="en-US" w:eastAsia="zh-CN"/>
        </w:rPr>
        <w:t xml:space="preserve"> to obtain the shares of the original actual controller of the listed company.</w:t>
      </w:r>
    </w:p>
    <w:p>
      <w:pPr>
        <w:pStyle w:val="3"/>
        <w:bidi w:val="0"/>
        <w:outlineLvl w:val="9"/>
        <w:rPr>
          <w:rFonts w:hint="default" w:ascii="Times New Roman" w:hAnsi="Times New Roman" w:cs="Times New Roman"/>
          <w:sz w:val="28"/>
          <w:szCs w:val="22"/>
          <w:lang w:val="en-US" w:eastAsia="zh-CN"/>
        </w:rPr>
      </w:pPr>
      <w:bookmarkStart w:id="74" w:name="_Toc6396_WPSOffice_Level2"/>
      <w:r>
        <w:rPr>
          <w:rFonts w:hint="default" w:ascii="Times New Roman" w:hAnsi="Times New Roman" w:cs="Times New Roman"/>
          <w:sz w:val="28"/>
          <w:szCs w:val="22"/>
          <w:lang w:val="en-US" w:eastAsia="zh-CN"/>
        </w:rPr>
        <w:t>5.4 Logining Hong Kong</w:t>
      </w:r>
      <w:bookmarkEnd w:id="74"/>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Listing in Hong Kong is divided into two modes, red-chip mode and H-share mode. The red-chip model refers to the holding company as an overseas registered enterprise, but its business, profit, assets and management are all from the mainland of China, and the listed entity is an overseas holding company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Browne</w:t>
      </w:r>
      <w:r>
        <w:rPr>
          <w:rFonts w:hint="eastAsia" w:ascii="Times New Roman" w:hAnsi="Times New Roman" w:cs="Times New Roman"/>
          <w:sz w:val="24"/>
          <w:szCs w:val="24"/>
          <w:lang w:val="en-US" w:eastAsia="zh-CN"/>
        </w:rPr>
        <w:t>, 1995)</w:t>
      </w:r>
      <w:r>
        <w:rPr>
          <w:rFonts w:hint="default" w:ascii="Times New Roman" w:hAnsi="Times New Roman" w:cs="Times New Roman"/>
          <w:sz w:val="24"/>
          <w:szCs w:val="24"/>
          <w:lang w:val="en-US" w:eastAsia="zh-CN"/>
        </w:rPr>
        <w:t>. The H-share model refers to a company whose registered company is registered in China and whose listed entity is a company registered in mainland China.</w:t>
      </w: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main difference between the two models is that the H-share model requires the approval of the China Securities Regulatory Commission, and the red-chip model does not require the approval of the China Securities Regulatory Commission. However, the red-chip model requires the approval of the Ministry of Commerce when setting up a red-chip structure for a return purchase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Verdecho</w:t>
      </w:r>
      <w:r>
        <w:rPr>
          <w:rFonts w:hint="eastAsia" w:ascii="Times New Roman" w:hAnsi="Times New Roman" w:cs="Times New Roman"/>
          <w:sz w:val="24"/>
          <w:szCs w:val="24"/>
          <w:lang w:val="en-US" w:eastAsia="zh-CN"/>
        </w:rPr>
        <w:t>, 2012)</w:t>
      </w:r>
      <w:r>
        <w:rPr>
          <w:rFonts w:hint="default" w:ascii="Times New Roman" w:hAnsi="Times New Roman" w:cs="Times New Roman"/>
          <w:sz w:val="24"/>
          <w:szCs w:val="24"/>
          <w:lang w:val="en-US" w:eastAsia="zh-CN"/>
        </w:rPr>
        <w:t>. Under the H-share model, the original shareholders could not reduce their holdings in the Hong Kong market and could not fully circulate. However, the red chip mode can reduce the cash. Under the H-share model, the post-listing issuance still needs to obtain approval from the China Securities Regulatory Commission. But it is not needed in the red chip mode.</w:t>
      </w:r>
    </w:p>
    <w:p>
      <w:pPr>
        <w:pStyle w:val="3"/>
        <w:bidi w:val="0"/>
        <w:outlineLvl w:val="9"/>
        <w:rPr>
          <w:rFonts w:hint="default" w:ascii="Times New Roman" w:hAnsi="Times New Roman" w:cs="Times New Roman"/>
          <w:sz w:val="28"/>
          <w:szCs w:val="22"/>
          <w:lang w:val="en-US" w:eastAsia="zh-CN"/>
        </w:rPr>
      </w:pPr>
      <w:bookmarkStart w:id="75" w:name="_Toc9107_WPSOffice_Level2"/>
      <w:r>
        <w:rPr>
          <w:rFonts w:hint="default" w:ascii="Times New Roman" w:hAnsi="Times New Roman" w:cs="Times New Roman"/>
          <w:sz w:val="28"/>
          <w:szCs w:val="22"/>
          <w:lang w:val="en-US" w:eastAsia="zh-CN"/>
        </w:rPr>
        <w:t>5.5 US Securities Market</w:t>
      </w:r>
      <w:bookmarkEnd w:id="75"/>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general, Chinese companies can enter the US capital market in four ways: initial public offering (IPO) of common stock, American Depositary Receipt (ADR), private equity and US Securities Act 144A, and reverse merger</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Schulze</w:t>
      </w:r>
      <w:r>
        <w:rPr>
          <w:rFonts w:hint="eastAsia" w:ascii="Times New Roman" w:hAnsi="Times New Roman" w:cs="Times New Roman"/>
          <w:sz w:val="24"/>
          <w:szCs w:val="24"/>
          <w:lang w:val="en-US" w:eastAsia="zh-CN"/>
        </w:rPr>
        <w:t>, 2012)</w:t>
      </w:r>
      <w:r>
        <w:rPr>
          <w:rFonts w:hint="default" w:ascii="Times New Roman" w:hAnsi="Times New Roman" w:cs="Times New Roman"/>
          <w:sz w:val="24"/>
          <w:szCs w:val="24"/>
          <w:lang w:val="en-US" w:eastAsia="zh-CN"/>
        </w:rPr>
        <w:t xml:space="preserve">. The multi-level diversification of the US securities market can meet the financing requirements of different companies, but there are huge differences in geography, culture, language and law between China and the United States. Enterprises will encounter many obstacles in the process of listing. </w:t>
      </w:r>
    </w:p>
    <w:p>
      <w:pPr>
        <w:pStyle w:val="2"/>
        <w:numPr>
          <w:ilvl w:val="0"/>
          <w:numId w:val="0"/>
        </w:numPr>
        <w:bidi w:val="0"/>
        <w:outlineLvl w:val="9"/>
        <w:rPr>
          <w:rFonts w:hint="default" w:ascii="Times New Roman" w:hAnsi="Times New Roman" w:cs="Times New Roman"/>
          <w:sz w:val="32"/>
          <w:szCs w:val="32"/>
          <w:lang w:val="en-US" w:eastAsia="zh-CN"/>
        </w:rPr>
      </w:pPr>
      <w:bookmarkStart w:id="76" w:name="_Toc15775_WPSOffice_Level1"/>
      <w:r>
        <w:rPr>
          <w:rFonts w:hint="eastAsia" w:ascii="Times New Roman" w:hAnsi="Times New Roman" w:cs="Times New Roman"/>
          <w:sz w:val="32"/>
          <w:szCs w:val="32"/>
          <w:lang w:val="en-US" w:eastAsia="zh-CN"/>
        </w:rPr>
        <w:t xml:space="preserve">6 </w:t>
      </w:r>
      <w:r>
        <w:rPr>
          <w:rFonts w:hint="default" w:ascii="Times New Roman" w:hAnsi="Times New Roman" w:cs="Times New Roman"/>
          <w:sz w:val="32"/>
          <w:szCs w:val="32"/>
          <w:lang w:val="en-US" w:eastAsia="zh-CN"/>
        </w:rPr>
        <w:t>Conclusion</w:t>
      </w:r>
      <w:bookmarkEnd w:id="76"/>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The </w:t>
      </w:r>
      <w:r>
        <w:rPr>
          <w:rFonts w:hint="eastAsia" w:ascii="Times New Roman" w:hAnsi="Times New Roman" w:cs="Times New Roman"/>
          <w:sz w:val="24"/>
          <w:szCs w:val="24"/>
          <w:lang w:val="en-US" w:eastAsia="zh-CN"/>
        </w:rPr>
        <w:t>report</w:t>
      </w:r>
      <w:r>
        <w:rPr>
          <w:rFonts w:hint="default" w:ascii="Times New Roman" w:hAnsi="Times New Roman" w:cs="Times New Roman"/>
          <w:sz w:val="24"/>
          <w:szCs w:val="24"/>
          <w:lang w:val="en-US" w:eastAsia="zh-CN"/>
        </w:rPr>
        <w:t xml:space="preserve"> analyzes the advantages and disadvantages of the company's listing, the evaluation of the securities market and its characteristics. </w:t>
      </w:r>
      <w:r>
        <w:rPr>
          <w:rFonts w:hint="eastAsia" w:ascii="Times New Roman" w:hAnsi="Times New Roman" w:cs="Times New Roman"/>
          <w:sz w:val="24"/>
          <w:szCs w:val="24"/>
          <w:lang w:val="en-US" w:eastAsia="zh-CN"/>
        </w:rPr>
        <w:t>F</w:t>
      </w:r>
      <w:r>
        <w:rPr>
          <w:rFonts w:hint="default" w:ascii="Times New Roman" w:hAnsi="Times New Roman" w:cs="Times New Roman"/>
          <w:sz w:val="24"/>
          <w:szCs w:val="24"/>
          <w:lang w:val="en-US" w:eastAsia="zh-CN"/>
        </w:rPr>
        <w:t xml:space="preserve">rom the perspective of future planning and development strategies, the company's ideas for achieving endogenous and extended growth through capital operations will not change. However, at this stage, it is recommended that the company first consider the legal and financial issues to rectify, consolidate the core competitiveness of the main business and complete several rounds of financing arrangements. </w:t>
      </w:r>
    </w:p>
    <w:p>
      <w:pPr>
        <w:numPr>
          <w:ilvl w:val="0"/>
          <w:numId w:val="0"/>
        </w:numPr>
        <w:spacing w:line="360" w:lineRule="auto"/>
        <w:rPr>
          <w:rFonts w:hint="default" w:ascii="Times New Roman" w:hAnsi="Times New Roman" w:cs="Times New Roman"/>
          <w:sz w:val="24"/>
          <w:szCs w:val="24"/>
          <w:lang w:val="en-US" w:eastAsia="zh-CN"/>
        </w:rPr>
        <w:sectPr>
          <w:footerReference r:id="rId4" w:type="default"/>
          <w:pgSz w:w="11906" w:h="16838"/>
          <w:pgMar w:top="1440" w:right="1800" w:bottom="1440" w:left="1800" w:header="851" w:footer="992" w:gutter="0"/>
          <w:pgNumType w:fmt="decimal"/>
          <w:cols w:space="425" w:num="1"/>
          <w:docGrid w:type="lines" w:linePitch="312" w:charSpace="0"/>
        </w:sectPr>
      </w:pPr>
    </w:p>
    <w:p>
      <w:pPr>
        <w:pStyle w:val="2"/>
        <w:bidi w:val="0"/>
        <w:outlineLvl w:val="9"/>
        <w:rPr>
          <w:rFonts w:hint="default" w:ascii="Times New Roman" w:hAnsi="Times New Roman" w:cs="Times New Roman"/>
          <w:sz w:val="32"/>
          <w:szCs w:val="20"/>
          <w:lang w:val="en-US" w:eastAsia="zh-CN"/>
        </w:rPr>
      </w:pPr>
      <w:bookmarkStart w:id="77" w:name="_Toc17445_WPSOffice_Level1"/>
      <w:r>
        <w:rPr>
          <w:rFonts w:hint="default" w:ascii="Times New Roman" w:hAnsi="Times New Roman" w:cs="Times New Roman"/>
          <w:sz w:val="32"/>
          <w:szCs w:val="20"/>
          <w:lang w:val="en-US" w:eastAsia="zh-CN"/>
        </w:rPr>
        <w:t>Reference</w:t>
      </w:r>
      <w:bookmarkEnd w:id="77"/>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Abreu, A., P. Macedo, and L. M. Camarinha-Matos.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2008</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“Elements of a Methodology to Assess the Alignment of Core-values in Collaborative Networks.” International Journal of Production Research</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47(17)</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xml:space="preserve"> 47</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94.</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Afsarmanesh, H., L. M. Camarinha-Matos, and S. S. Msanjila.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2010</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“Models, Methodologies, and Tools Supporting Establishment and Management of Second-generation OCNs.” IEEE Transactions on Systems, Man, and Cybernetics – Part C</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41(5)</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692–710</w:t>
      </w:r>
      <w:r>
        <w:rPr>
          <w:rFonts w:hint="eastAsia" w:ascii="Times New Roman" w:hAnsi="Times New Roman" w:cs="Times New Roman"/>
          <w:sz w:val="24"/>
          <w:szCs w:val="24"/>
          <w:lang w:val="en-US" w:eastAsia="zh-CN"/>
        </w:rPr>
        <w:t>.</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Alawamleh, M., and K. Popplewell.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“Interpretive Structural Modelling of Risk Sources in a Virtual Organization.” International Journal of Production Research</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49(20)</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41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63</w:t>
      </w:r>
      <w:r>
        <w:rPr>
          <w:rFonts w:hint="eastAsia" w:ascii="Times New Roman" w:hAnsi="Times New Roman" w:cs="Times New Roman"/>
          <w:sz w:val="24"/>
          <w:szCs w:val="24"/>
          <w:lang w:val="en-US" w:eastAsia="zh-CN"/>
        </w:rPr>
        <w:t xml:space="preserve">. </w:t>
      </w:r>
    </w:p>
    <w:p>
      <w:pPr>
        <w:numPr>
          <w:ilvl w:val="0"/>
          <w:numId w:val="0"/>
        </w:numPr>
        <w:spacing w:line="360" w:lineRule="auto"/>
        <w:rPr>
          <w:rFonts w:hint="eastAsia" w:ascii="Times New Roman" w:hAnsi="Times New Roman" w:cs="Times New Roman"/>
          <w:sz w:val="24"/>
          <w:szCs w:val="24"/>
          <w:lang w:val="en-US" w:eastAsia="zh-CN"/>
        </w:rPr>
      </w:pPr>
    </w:p>
    <w:p>
      <w:pPr>
        <w:numPr>
          <w:ilvl w:val="0"/>
          <w:numId w:val="0"/>
        </w:numPr>
        <w:spacing w:line="360" w:lineRule="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Baldo, F., R. J. Rabelo, and R. V. Vallejos.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2009</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“A Framework for Selecting Performance Indicators for Virtual Organisation Partners’ Search and Selection.” International Journal of Production Research</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47(17)</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37</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45</w:t>
      </w:r>
      <w:r>
        <w:rPr>
          <w:rFonts w:hint="eastAsia" w:ascii="Times New Roman" w:hAnsi="Times New Roman" w:cs="Times New Roman"/>
          <w:sz w:val="24"/>
          <w:szCs w:val="24"/>
          <w:lang w:val="en-US" w:eastAsia="zh-CN"/>
        </w:rPr>
        <w:t>.</w:t>
      </w:r>
    </w:p>
    <w:p>
      <w:pPr>
        <w:numPr>
          <w:ilvl w:val="0"/>
          <w:numId w:val="0"/>
        </w:numPr>
        <w:spacing w:line="360" w:lineRule="auto"/>
        <w:rPr>
          <w:rFonts w:hint="eastAsia" w:ascii="Times New Roman" w:hAnsi="Times New Roman" w:cs="Times New Roman"/>
          <w:sz w:val="24"/>
          <w:szCs w:val="24"/>
          <w:lang w:val="en-US" w:eastAsia="zh-CN"/>
        </w:rPr>
      </w:pPr>
    </w:p>
    <w:p>
      <w:pPr>
        <w:numPr>
          <w:ilvl w:val="0"/>
          <w:numId w:val="0"/>
        </w:numPr>
        <w:spacing w:line="360" w:lineRule="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Beckett, R., and M. Jones.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“Collaborative Networks Success and the Variable Nature of Trust.” Production Planning &amp; Control</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2</w:t>
      </w:r>
      <w:r>
        <w:rPr>
          <w:rFonts w:hint="eastAsia" w:ascii="Times New Roman" w:hAnsi="Times New Roman" w:cs="Times New Roman"/>
          <w:sz w:val="24"/>
          <w:szCs w:val="24"/>
          <w:lang w:val="en-US" w:eastAsia="zh-CN"/>
        </w:rPr>
        <w:t>3</w:t>
      </w:r>
      <w:r>
        <w:rPr>
          <w:rFonts w:hint="default" w:ascii="Times New Roman" w:hAnsi="Times New Roman" w:cs="Times New Roman"/>
          <w:sz w:val="24"/>
          <w:szCs w:val="24"/>
          <w:lang w:val="en-US" w:eastAsia="zh-CN"/>
        </w:rPr>
        <w:t>(4)</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240</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251</w:t>
      </w:r>
      <w:r>
        <w:rPr>
          <w:rFonts w:hint="eastAsia" w:ascii="Times New Roman" w:hAnsi="Times New Roman" w:cs="Times New Roman"/>
          <w:sz w:val="24"/>
          <w:szCs w:val="24"/>
          <w:lang w:val="en-US" w:eastAsia="zh-CN"/>
        </w:rPr>
        <w:t>.</w:t>
      </w:r>
    </w:p>
    <w:p>
      <w:pPr>
        <w:numPr>
          <w:ilvl w:val="0"/>
          <w:numId w:val="0"/>
        </w:numPr>
        <w:spacing w:line="360" w:lineRule="auto"/>
        <w:rPr>
          <w:rFonts w:hint="eastAsia"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Berasategi, L., J. Arana, and E. Castellano.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“A Comprehensive Framework for Collaborative Networked Innovation.” Production Planning &amp; Control</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22(6)</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581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593.</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Bossink, B. A. G.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“The Development of Co-innovation Strategies: Stages and Interaction Patterns in Interfirm Innovation.” R&amp;D Management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32(4)</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311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320.</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Browne, J., P. J. Sackett, and J. C. Wortmann.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1995</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“Future Manufacturing Systems – Towards the Extended Enterprise.” Computers in Industry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25(3)</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235</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254.</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Camarinha-Matos, L. M., and H. Afsarmanesh.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2005</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“Collaborative Networks: A New Scientific Discipline.” Journal of Intelligent Manufacturing</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16(4)</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439</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452.</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Chituc, C.-M., and S. Y. Nof.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2007</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“The Join/Leave/Remain (JLR) Decision in Collaborative Networked Organizations.” Computers &amp; Industrial Engineering</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53(1)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173</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195.</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Cowan, R., N. Jonard, and J.-B. Zimmermann.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2007</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“Bilateral Collaboration and the Emergence of Innovation Networks.” Management Science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53(7)</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51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67.</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Crispim, J. A., and J. P. de Sousa.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2009</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“Partner Selection in Virtual Enterprises: A Multi-criteria Decision Support Approach.” International Journal of Production Research</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47(17)</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41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48.</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Daudi, M., J. B. Hauge, and K. D. Thoben.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2016</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“Behavioral Factors Influencing Partner Trust in Logistics Collaboration: A Review.” Logistics Research</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9(1)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9</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19.</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David, R. J., and S.-K. Han.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2004</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“A Systematic Assessment of the Empirical Support for Transaction Cost Economics.” Strategic Management Journal</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25</w:t>
      </w:r>
      <w:r>
        <w:rPr>
          <w:rFonts w:hint="eastAsia" w:ascii="Times New Roman" w:hAnsi="Times New Roman" w:cs="Times New Roman"/>
          <w:sz w:val="24"/>
          <w:szCs w:val="24"/>
          <w:lang w:val="en-US" w:eastAsia="zh-CN"/>
        </w:rPr>
        <w:t>(5),</w:t>
      </w:r>
      <w:r>
        <w:rPr>
          <w:rFonts w:hint="default" w:ascii="Times New Roman" w:hAnsi="Times New Roman" w:cs="Times New Roman"/>
          <w:sz w:val="24"/>
          <w:szCs w:val="24"/>
          <w:lang w:val="en-US" w:eastAsia="zh-CN"/>
        </w:rPr>
        <w:t> 39</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58.</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Davis, J. P., and K. M. Eisenhardt.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“Rotating Leadership and Collaborative Innovation: Recombination Processes in Symbiotic Relationships.” Administrative Science Quarterly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56(2)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159</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w:t>
      </w:r>
      <w:r>
        <w:rPr>
          <w:rFonts w:hint="eastAsia" w:ascii="Times New Roman" w:hAnsi="Times New Roman" w:cs="Times New Roman"/>
          <w:sz w:val="24"/>
          <w:szCs w:val="24"/>
          <w:lang w:val="en-US" w:eastAsia="zh-CN"/>
        </w:rPr>
        <w:t>.</w:t>
      </w:r>
    </w:p>
    <w:p>
      <w:pPr>
        <w:numPr>
          <w:ilvl w:val="0"/>
          <w:numId w:val="0"/>
        </w:numPr>
        <w:spacing w:line="360" w:lineRule="auto"/>
        <w:rPr>
          <w:rFonts w:hint="eastAsia"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Dekkers, R., ed.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2009</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Dispersed Manufacturing Networks – Challenges for Research and Practice. London: Springer-Verlag.</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Durugbo, C.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2016</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“Collaborative Networks: A Systematic Review and Multi-level Framework.” International Journal of Production Research</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54(12)</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349</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376.</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Eschenbächer, J., M. Seifert, and K.-D. Thoben.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“Improving Distributed Innovation Processes in Virtual Organisations through the Evaluation of Collaboration Intensities.” Production Planning &amp; Control</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22(6)</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473</w:t>
      </w:r>
      <w:r>
        <w:rPr>
          <w:rFonts w:hint="eastAsia" w:ascii="Times New Roman" w:hAnsi="Times New Roman" w:cs="Times New Roman"/>
          <w:sz w:val="24"/>
          <w:szCs w:val="24"/>
          <w:lang w:val="en-US" w:eastAsia="zh-CN"/>
        </w:rPr>
        <w:t>-4</w:t>
      </w:r>
      <w:r>
        <w:rPr>
          <w:rFonts w:hint="default" w:ascii="Times New Roman" w:hAnsi="Times New Roman" w:cs="Times New Roman"/>
          <w:sz w:val="24"/>
          <w:szCs w:val="24"/>
          <w:lang w:val="en-US" w:eastAsia="zh-CN"/>
        </w:rPr>
        <w:t>87.</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Gastaldi, L., F. P. Appio, A. Martini, and M. Corso.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2015</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“Academics as Orchestrators of Continuous Innovation Ecosystems: Towards a Fourth Generation of CI Initiatives.” International Journal of Technology Management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68(12)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Hollingsworth, D.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1993</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“Workflow Management Coalition: The Workflow Reference Model.” Accessed May 10, 2016. </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eastAsia"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Liang, F., R. Y. K. Fung, Z. Jang, and T. N. Wong.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2008</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“A Hybrid Control Architecture and Coordination Mechanism in Virtual Manufacturing Enterprise.” International Journal of Production Research</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46(13)</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341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363</w:t>
      </w:r>
      <w:r>
        <w:rPr>
          <w:rFonts w:hint="eastAsia" w:ascii="Times New Roman" w:hAnsi="Times New Roman" w:cs="Times New Roman"/>
          <w:sz w:val="24"/>
          <w:szCs w:val="24"/>
          <w:lang w:val="en-US" w:eastAsia="zh-CN"/>
        </w:rPr>
        <w:t>.</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Lin, H. K., J. A. Harding, and W. C. Tsai.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“A Rule-based Knowledge System on Semantic Web for Collaboration Moderator Services.” International Journal of Production Research</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50(3)</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805</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816.</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Loss, L., and S. Crave.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“Agile Business Models: An Approach to Support Collaborative Networks.” Production Planning &amp; Control</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22(6)</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571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580.</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Macedo, P., and L. M. Camarinha-Matos.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2013</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“A Qualitative Approach to Assess the Alignment of Value Systems in Collaborative Enterprises Networks.” Computers &amp; Industrial Engineering</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64(1</w:t>
      </w:r>
      <w:r>
        <w:rPr>
          <w:rFonts w:hint="eastAsia" w:ascii="Times New Roman" w:hAnsi="Times New Roman" w:cs="Times New Roman"/>
          <w:sz w:val="24"/>
          <w:szCs w:val="24"/>
          <w:lang w:val="en-US" w:eastAsia="zh-CN"/>
        </w:rPr>
        <w:t>2</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412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424.</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Mischen, P. A.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2015</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“Collaborative Network Capacity.” Public Management Review</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17(3)</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380</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403.</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Nord, J. H., and G. D. Nord.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1995</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“MIS Research: Journal Status Assessment and Analysis.” Information &amp; Management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29(1)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29</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42.</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Powell, W. W., K. W. Koput, and L. Smith-Doer.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1996</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“Interorganizational Collaboration and the Locus of Innovation: Networks of Learning in Biotechnology.” Administrative Science Quarterly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41(1</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116</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145.</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Romero, D., and A. Molina.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2010</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“Virtual Organisation Breeding Environments Toolkit: Reference Model, Management Framework and Instantiation Methodology.” Production Planning &amp; Control</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21(2)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181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217.</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Rosas, J., and L. M. Camarinha-Matos.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2009</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“An Approach to Assess Collaboration Readiness.” International Journal of Production Research</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47(17)</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4711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4735.</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Schulze, A., and G. J. C. Brojerdi.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“The Effect of the Distance between Partners’ Knowledge Components on Collaborative Innovation.” European Management Review</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9(2)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85–98.</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Shachaf, P.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2008</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“Cultural Diversity and Information and Communication Technology Impacts on Global Virtual Teams: An Exploratory Study.” Information &amp; Management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45(2)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131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142.</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Smals, R. G. M., and A. A. J. Smits.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“Value for Value – The Dynamics of Supplier Value in Collaborative New Product Development.” Industrial Marketing Management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41(1)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156</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165.</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Swink, M.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2006</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“Building Collaborative Innovation Capability.” Research-Technology Management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49(2)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37</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47.</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Thorgren, S., and J. Wincent.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“Interorganizational Trust: Origins, Dysfunctions and Regulation of Rigidities.” British Journal of Management</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22(1)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21</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41.</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Van Eck, N. J., and L. Waltman.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2010</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“Software Survey: VOSviewer, a Computer Program for Bibliometric Mapping.” Scientometrics</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84(2)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523</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538.</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Verdecho, M.-J., J. J. Alfaro-Saiz, R. Rodriguez-Rodriguez, and A. Ortiz-Bas.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“A Multi-criteria Approach for Managing Inter-enterprise Collaborative Relationships.” Omega</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40(3)</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249</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263.</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Vinhas, A. S., J. B. Heide, and S. D. Jap.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2012</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“Consistency Judgments, Embeddedness, and Relationship Outcomes in Interorganizational Networks.” Management Science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58(5)</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996</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1011.</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Willem, A., and S. Lucidarme.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2014</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“Pitfalls and Challenges for Trust and Effectiveness in Collaborative Networks.” Public Management Review</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16(5)</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733</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760.</w:t>
      </w:r>
    </w:p>
    <w:p>
      <w:pPr>
        <w:numPr>
          <w:ilvl w:val="0"/>
          <w:numId w:val="0"/>
        </w:numPr>
        <w:spacing w:line="360" w:lineRule="auto"/>
        <w:rPr>
          <w:rFonts w:hint="default" w:ascii="Times New Roman" w:hAnsi="Times New Roman" w:cs="Times New Roman"/>
          <w:sz w:val="24"/>
          <w:szCs w:val="24"/>
          <w:lang w:val="en-US" w:eastAsia="zh-CN"/>
        </w:rPr>
      </w:pPr>
    </w:p>
    <w:p>
      <w:pPr>
        <w:numPr>
          <w:ilvl w:val="0"/>
          <w:numId w:val="0"/>
        </w:numPr>
        <w:spacing w:line="360" w:lineRule="auto"/>
        <w:rPr>
          <w:rFonts w:hint="default" w:ascii="Times New Roman" w:hAnsi="Times New Roman" w:cs="Times New Roman"/>
          <w:sz w:val="24"/>
          <w:szCs w:val="24"/>
          <w:lang w:val="en-US" w:eastAsia="zh-CN"/>
        </w:rPr>
        <w:sectPr>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cs="Times New Roman"/>
          <w:sz w:val="24"/>
          <w:szCs w:val="24"/>
          <w:lang w:val="en-US" w:eastAsia="zh-CN"/>
        </w:rPr>
        <w:t>Zhao, D., and A. Strotmann. </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2008</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“Evolution of Research Activities and Intellectual Influences in Information Science 1996–2005: Introducing Author Bibliographic-coupling Analysis.” Journal of the American Society for Information Science and Technology</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59(13)</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 270</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286.</w:t>
      </w:r>
    </w:p>
    <w:p>
      <w:pPr>
        <w:pStyle w:val="2"/>
        <w:bidi w:val="0"/>
        <w:outlineLvl w:val="9"/>
        <w:rPr>
          <w:rFonts w:hint="default" w:ascii="Times New Roman" w:hAnsi="Times New Roman" w:cs="Times New Roman"/>
          <w:color w:val="auto"/>
          <w:sz w:val="32"/>
          <w:szCs w:val="20"/>
          <w:lang w:val="en-US" w:eastAsia="zh-CN"/>
        </w:rPr>
      </w:pPr>
      <w:bookmarkStart w:id="78" w:name="_Toc23657_WPSOffice_Level1"/>
      <w:bookmarkStart w:id="79" w:name="_Toc4315"/>
      <w:bookmarkStart w:id="80" w:name="_Toc8688_WPSOffice_Level1"/>
      <w:r>
        <w:rPr>
          <w:rFonts w:hint="default" w:ascii="Times New Roman" w:hAnsi="Times New Roman" w:cs="Times New Roman"/>
          <w:color w:val="auto"/>
          <w:sz w:val="32"/>
          <w:szCs w:val="20"/>
          <w:lang w:val="en-US" w:eastAsia="zh-CN"/>
        </w:rPr>
        <w:t>Appendix</w:t>
      </w:r>
      <w:bookmarkEnd w:id="78"/>
      <w:bookmarkEnd w:id="79"/>
      <w:bookmarkEnd w:id="80"/>
    </w:p>
    <w:p>
      <w:pPr>
        <w:numPr>
          <w:ilvl w:val="0"/>
          <w:numId w:val="0"/>
        </w:numPr>
        <w:spacing w:line="360" w:lineRule="auto"/>
        <w:rPr>
          <w:rFonts w:hint="eastAsia" w:ascii="Times New Roman" w:hAnsi="Times New Roman" w:cs="Times New Roman"/>
          <w:b/>
          <w:bCs/>
          <w:sz w:val="24"/>
          <w:szCs w:val="24"/>
          <w:highlight w:val="none"/>
          <w:lang w:val="en-US" w:eastAsia="zh-CN"/>
        </w:rPr>
      </w:pPr>
      <w:r>
        <w:rPr>
          <w:rFonts w:hint="eastAsia" w:ascii="Times New Roman" w:hAnsi="Times New Roman" w:cs="Times New Roman"/>
          <w:b/>
          <w:bCs/>
          <w:sz w:val="24"/>
          <w:szCs w:val="24"/>
          <w:lang w:val="en-US" w:eastAsia="zh-CN"/>
        </w:rPr>
        <w:t xml:space="preserve">Some questions about the interview of </w:t>
      </w:r>
      <w:r>
        <w:rPr>
          <w:rFonts w:hint="eastAsia" w:ascii="Times New Roman" w:hAnsi="Times New Roman" w:cs="Times New Roman"/>
          <w:b/>
          <w:bCs/>
          <w:sz w:val="24"/>
          <w:szCs w:val="24"/>
          <w:highlight w:val="none"/>
          <w:lang w:val="en-US" w:eastAsia="zh-CN"/>
        </w:rPr>
        <w:t>Beijing Boyuan Network Technology Co.</w:t>
      </w:r>
    </w:p>
    <w:p>
      <w:pPr>
        <w:numPr>
          <w:ilvl w:val="0"/>
          <w:numId w:val="0"/>
        </w:numPr>
        <w:spacing w:line="360" w:lineRule="auto"/>
        <w:rPr>
          <w:rFonts w:hint="eastAsia" w:ascii="Times New Roman" w:hAnsi="Times New Roman" w:cs="Times New Roman"/>
          <w:b/>
          <w:bCs/>
          <w:sz w:val="24"/>
          <w:szCs w:val="24"/>
          <w:highlight w:val="none"/>
          <w:lang w:val="en-US" w:eastAsia="zh-CN"/>
        </w:rPr>
      </w:pPr>
    </w:p>
    <w:p>
      <w:pPr>
        <w:numPr>
          <w:ilvl w:val="0"/>
          <w:numId w:val="0"/>
        </w:num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Q</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How does the company establish and enforce internal control?</w:t>
      </w:r>
    </w:p>
    <w:p>
      <w:pPr>
        <w:numPr>
          <w:ilvl w:val="0"/>
          <w:numId w:val="0"/>
        </w:num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 The column of the company's products is mainly based on the special recording of the invited teachers. According to the teacher's own professional and the director's custom content, the recorded content and the teacher signed a copyright-related agreement and negotiated a proportion. This part of the course is an extra pay-per-view course outside the VIP membership course. The company does not pay the teacher fee separately, and pays the teacher fee in the fee-sharing mode.</w:t>
      </w:r>
    </w:p>
    <w:p>
      <w:pPr>
        <w:numPr>
          <w:ilvl w:val="0"/>
          <w:numId w:val="0"/>
        </w:numPr>
        <w:spacing w:line="360" w:lineRule="auto"/>
        <w:rPr>
          <w:rFonts w:hint="eastAsia" w:ascii="Times New Roman" w:hAnsi="Times New Roman" w:cs="Times New Roman"/>
          <w:sz w:val="24"/>
          <w:szCs w:val="24"/>
          <w:lang w:val="en-US" w:eastAsia="zh-CN"/>
        </w:rPr>
      </w:pPr>
    </w:p>
    <w:p>
      <w:pPr>
        <w:numPr>
          <w:ilvl w:val="0"/>
          <w:numId w:val="0"/>
        </w:num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 What are the potential risks of copyright segregation?</w:t>
      </w:r>
    </w:p>
    <w:p>
      <w:pPr>
        <w:numPr>
          <w:ilvl w:val="0"/>
          <w:numId w:val="0"/>
        </w:num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 The risk of potential disputes in intellectual property rights is a matter of great concern to the regulatory authorities. It involves the company's ability to continue operations and its core competitiveness. The regulatory authorities usually focus on whether there are infringements of third-party intellectual property rights and potential legal risks and other disputes. There is a cost or cost of transferring intellectual property through joint development or sharing; the formation process of intellectual property rights, ownership ownership, whether it belongs to job creation or job technical achievements, and whether it has an important impact on the company's research and development, production, and operation.</w:t>
      </w:r>
    </w:p>
    <w:p>
      <w:pPr>
        <w:numPr>
          <w:ilvl w:val="0"/>
          <w:numId w:val="0"/>
        </w:numPr>
        <w:spacing w:line="360" w:lineRule="auto"/>
        <w:rPr>
          <w:rFonts w:hint="eastAsia" w:ascii="Times New Roman" w:hAnsi="Times New Roman" w:cs="Times New Roman"/>
          <w:sz w:val="24"/>
          <w:szCs w:val="24"/>
          <w:lang w:val="en-US" w:eastAsia="zh-CN"/>
        </w:rPr>
      </w:pPr>
    </w:p>
    <w:p>
      <w:pPr>
        <w:numPr>
          <w:ilvl w:val="0"/>
          <w:numId w:val="0"/>
        </w:num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 How does the company regulate the tax collection and payment behavior?</w:t>
      </w:r>
    </w:p>
    <w:p>
      <w:pPr>
        <w:numPr>
          <w:ilvl w:val="0"/>
          <w:numId w:val="0"/>
        </w:num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 The company adopts the distribution rebate policy for online promotion. VIP users can invite others to become VIPs by sharing their invitation links, and they can get rebates. At present, the company has not carried out a tax withholding for this part of the rebate, and there is a risk of tax inspection.</w:t>
      </w:r>
    </w:p>
    <w:p>
      <w:pPr>
        <w:numPr>
          <w:ilvl w:val="0"/>
          <w:numId w:val="0"/>
        </w:numPr>
        <w:spacing w:line="360" w:lineRule="auto"/>
        <w:rPr>
          <w:rFonts w:hint="eastAsia" w:ascii="Times New Roman" w:hAnsi="Times New Roman" w:cs="Times New Roman"/>
          <w:sz w:val="24"/>
          <w:szCs w:val="24"/>
          <w:lang w:val="en-US" w:eastAsia="zh-CN"/>
        </w:rPr>
      </w:pPr>
    </w:p>
    <w:p>
      <w:pPr>
        <w:numPr>
          <w:ilvl w:val="0"/>
          <w:numId w:val="0"/>
        </w:numPr>
        <w:spacing w:line="360" w:lineRule="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Q: What is the company's tax planning and financial subsidies?</w:t>
      </w:r>
    </w:p>
    <w:p>
      <w:pPr>
        <w:numPr>
          <w:ilvl w:val="0"/>
          <w:numId w:val="0"/>
        </w:num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A: The company has obtained a high-tech enterprise certificate, and the corporate income tax rate is 15%. At present, the company has established Beijing Bo Rui Siyuan Software Development Co., Ltd., and can further strive to obtain dual-soft certification in the future. After the successful certification, the VAT general taxpayer sells its own software products developed and produced by itself, and the part of the VAT actual tax burden exceeds 3%. The discount period will be calculated from the profit-making year before December 31, 2017. From the first year to the second year, the enterprise income tax will be exempted. In the third year to the fifth year, the enterprise income tax will be halved according to the statutory tax rate, and will be enjoyed until the expiration of the period. In addition, the company can make full use of financial subsidies or incentives for Internet education companies at all levels of government departments at the national, provincial and urban levels.</w:t>
      </w: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24"/>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4165C8"/>
    <w:rsid w:val="004908D5"/>
    <w:rsid w:val="0073768B"/>
    <w:rsid w:val="008F4B72"/>
    <w:rsid w:val="00F21BA6"/>
    <w:rsid w:val="01C26915"/>
    <w:rsid w:val="02700EBB"/>
    <w:rsid w:val="031C1385"/>
    <w:rsid w:val="0337127B"/>
    <w:rsid w:val="04586951"/>
    <w:rsid w:val="04901C00"/>
    <w:rsid w:val="05454F6F"/>
    <w:rsid w:val="06B07A88"/>
    <w:rsid w:val="0751455A"/>
    <w:rsid w:val="07947A98"/>
    <w:rsid w:val="0A225C88"/>
    <w:rsid w:val="0AAC5EFE"/>
    <w:rsid w:val="0AB557DA"/>
    <w:rsid w:val="0AC03576"/>
    <w:rsid w:val="0D7E04BE"/>
    <w:rsid w:val="0DCA3ED7"/>
    <w:rsid w:val="0EA131BF"/>
    <w:rsid w:val="0EEE4588"/>
    <w:rsid w:val="0EF26FA8"/>
    <w:rsid w:val="10572991"/>
    <w:rsid w:val="14585F59"/>
    <w:rsid w:val="14DA3E7F"/>
    <w:rsid w:val="15E2571F"/>
    <w:rsid w:val="16763D62"/>
    <w:rsid w:val="17E74392"/>
    <w:rsid w:val="1AA97C1D"/>
    <w:rsid w:val="1B0E208A"/>
    <w:rsid w:val="1B5A49BB"/>
    <w:rsid w:val="1B746A53"/>
    <w:rsid w:val="1BA36325"/>
    <w:rsid w:val="1C3E127D"/>
    <w:rsid w:val="1E244629"/>
    <w:rsid w:val="1F611DF1"/>
    <w:rsid w:val="1FCF1027"/>
    <w:rsid w:val="1FEE44D6"/>
    <w:rsid w:val="230327D9"/>
    <w:rsid w:val="231560A0"/>
    <w:rsid w:val="23EF6588"/>
    <w:rsid w:val="23FF3E1B"/>
    <w:rsid w:val="265601D6"/>
    <w:rsid w:val="28F71563"/>
    <w:rsid w:val="2C7F19C9"/>
    <w:rsid w:val="2C8848CD"/>
    <w:rsid w:val="2CD03C42"/>
    <w:rsid w:val="2E771DBD"/>
    <w:rsid w:val="2FB1089C"/>
    <w:rsid w:val="309E2840"/>
    <w:rsid w:val="31320EEE"/>
    <w:rsid w:val="31880595"/>
    <w:rsid w:val="32E829AD"/>
    <w:rsid w:val="34A53BAC"/>
    <w:rsid w:val="34FE6C87"/>
    <w:rsid w:val="3585697E"/>
    <w:rsid w:val="375627FF"/>
    <w:rsid w:val="385C1BA7"/>
    <w:rsid w:val="38DA05D3"/>
    <w:rsid w:val="3950758C"/>
    <w:rsid w:val="396C7654"/>
    <w:rsid w:val="3C6A1697"/>
    <w:rsid w:val="3F612948"/>
    <w:rsid w:val="3F8B2B9A"/>
    <w:rsid w:val="405358F2"/>
    <w:rsid w:val="40606D2A"/>
    <w:rsid w:val="41D15BA6"/>
    <w:rsid w:val="423A78A4"/>
    <w:rsid w:val="428857CB"/>
    <w:rsid w:val="46702D06"/>
    <w:rsid w:val="49B04532"/>
    <w:rsid w:val="4A55341E"/>
    <w:rsid w:val="4C4C36D2"/>
    <w:rsid w:val="4DA43506"/>
    <w:rsid w:val="4DC86869"/>
    <w:rsid w:val="4EE0062C"/>
    <w:rsid w:val="50BF6E1D"/>
    <w:rsid w:val="531A36B6"/>
    <w:rsid w:val="54AE7932"/>
    <w:rsid w:val="560A3D76"/>
    <w:rsid w:val="56B549B9"/>
    <w:rsid w:val="56E23B0A"/>
    <w:rsid w:val="57D63FCE"/>
    <w:rsid w:val="587A34DF"/>
    <w:rsid w:val="59313833"/>
    <w:rsid w:val="59812124"/>
    <w:rsid w:val="59F3508E"/>
    <w:rsid w:val="5BD51FF8"/>
    <w:rsid w:val="5C096773"/>
    <w:rsid w:val="608648BC"/>
    <w:rsid w:val="617D7AFD"/>
    <w:rsid w:val="61C91823"/>
    <w:rsid w:val="6232784B"/>
    <w:rsid w:val="63571881"/>
    <w:rsid w:val="64152D74"/>
    <w:rsid w:val="65240A67"/>
    <w:rsid w:val="65775695"/>
    <w:rsid w:val="65C53CEB"/>
    <w:rsid w:val="69861CFA"/>
    <w:rsid w:val="6C570078"/>
    <w:rsid w:val="6C631668"/>
    <w:rsid w:val="6C6A0413"/>
    <w:rsid w:val="6CBF0BBD"/>
    <w:rsid w:val="6DA91537"/>
    <w:rsid w:val="6E1D2B11"/>
    <w:rsid w:val="6E5F5ED8"/>
    <w:rsid w:val="6F0410A8"/>
    <w:rsid w:val="6F525189"/>
    <w:rsid w:val="71022A23"/>
    <w:rsid w:val="717A1258"/>
    <w:rsid w:val="72450481"/>
    <w:rsid w:val="726470BF"/>
    <w:rsid w:val="74A01F0E"/>
    <w:rsid w:val="757B5AEA"/>
    <w:rsid w:val="78984202"/>
    <w:rsid w:val="7B203B0D"/>
    <w:rsid w:val="7B4676B4"/>
    <w:rsid w:val="7BD5515C"/>
    <w:rsid w:val="7C9C14A5"/>
    <w:rsid w:val="7DE07801"/>
    <w:rsid w:val="7E240EF1"/>
    <w:rsid w:val="7E513287"/>
    <w:rsid w:val="7F2A036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宋体"/>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2">
    <w:name w:val="Default Paragraph Font"/>
    <w:semiHidden/>
    <w:qFormat/>
    <w:uiPriority w:val="0"/>
  </w:style>
  <w:style w:type="table" w:default="1" w:styleId="11">
    <w:name w:val="Normal Table"/>
    <w:semiHidden/>
    <w:qFormat/>
    <w:uiPriority w:val="0"/>
    <w:tblPr>
      <w:tblLayout w:type="fixed"/>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toc 3"/>
    <w:basedOn w:val="1"/>
    <w:next w:val="1"/>
    <w:qFormat/>
    <w:uiPriority w:val="0"/>
    <w:pPr>
      <w:ind w:left="840" w:leftChars="400"/>
    </w:pPr>
  </w:style>
  <w:style w:type="paragraph" w:styleId="7">
    <w:name w:val="footer"/>
    <w:basedOn w:val="1"/>
    <w:unhideWhenUsed/>
    <w:qFormat/>
    <w:uiPriority w:val="99"/>
    <w:pPr>
      <w:tabs>
        <w:tab w:val="center" w:pos="4153"/>
        <w:tab w:val="right" w:pos="8306"/>
      </w:tabs>
      <w:spacing w:beforeLines="0" w:afterLines="0"/>
    </w:pPr>
    <w:rPr>
      <w:rFonts w:hint="eastAsia"/>
      <w:sz w:val="24"/>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character" w:styleId="13">
    <w:name w:val="Hyperlink"/>
    <w:basedOn w:val="12"/>
    <w:uiPriority w:val="0"/>
    <w:rPr>
      <w:color w:val="0000FF"/>
      <w:u w:val="single"/>
    </w:rPr>
  </w:style>
  <w:style w:type="paragraph" w:styleId="14">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paragraph" w:customStyle="1" w:styleId="15">
    <w:name w:val="WPSOffice手动目录 1"/>
    <w:qFormat/>
    <w:uiPriority w:val="0"/>
    <w:pPr>
      <w:ind w:leftChars="0"/>
    </w:pPr>
    <w:rPr>
      <w:rFonts w:asciiTheme="minorHAnsi" w:hAnsiTheme="minorHAnsi" w:eastAsiaTheme="minorHAnsi" w:cstheme="minorBidi"/>
      <w:sz w:val="20"/>
      <w:szCs w:val="20"/>
    </w:rPr>
  </w:style>
  <w:style w:type="paragraph" w:customStyle="1" w:styleId="16">
    <w:name w:val="WPSOffice手动目录 2"/>
    <w:qFormat/>
    <w:uiPriority w:val="0"/>
    <w:pPr>
      <w:ind w:leftChars="200"/>
    </w:pPr>
    <w:rPr>
      <w:rFonts w:asciiTheme="minorHAnsi" w:hAnsiTheme="minorHAnsi" w:eastAsiaTheme="minorHAnsi" w:cstheme="minorBidi"/>
      <w:sz w:val="20"/>
      <w:szCs w:val="20"/>
    </w:rPr>
  </w:style>
  <w:style w:type="paragraph" w:customStyle="1" w:styleId="17">
    <w:name w:val="WPSOffice手动目录 3"/>
    <w:uiPriority w:val="0"/>
    <w:pPr>
      <w:ind w:leftChars="400"/>
    </w:pPr>
    <w:rPr>
      <w:rFonts w:asciiTheme="minorHAnsi" w:hAnsiTheme="minorHAnsi" w:eastAsiaTheme="minorHAnsi"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8963c87-0a87-4dea-8f26-c9248bb6cad7}"/>
        <w:style w:val=""/>
        <w:category>
          <w:name w:val="General"/>
          <w:gallery w:val="placeholder"/>
        </w:category>
        <w:types>
          <w:type w:val="bbPlcHdr"/>
        </w:types>
        <w:behaviors>
          <w:behavior w:val="content"/>
        </w:behaviors>
        <w:description w:val=""/>
        <w:guid w:val="{68963c87-0a87-4dea-8f26-c9248bb6cad7}"/>
      </w:docPartPr>
      <w:docPartBody>
        <w:p>
          <w:pPr>
            <w:pStyle w:val="1"/>
          </w:pPr>
          <w:r>
            <w:rPr>
              <w:rFonts w:asciiTheme="majorHAnsi" w:hAnsiTheme="majorHAnsi" w:eastAsiaTheme="majorEastAsia" w:cstheme="majorBidi"/>
              <w:caps/>
              <w:color w:val="5B9BD5" w:themeColor="accent1"/>
              <w:sz w:val="80"/>
              <w:szCs w:val="80"/>
              <w14:textFill>
                <w14:solidFill>
                  <w14:schemeClr w14:val="accent1"/>
                </w14:solidFill>
              </w14:textFill>
            </w:rPr>
            <w:t>[Document title]</w:t>
          </w:r>
        </w:p>
      </w:docPartBody>
    </w:docPart>
    <w:docPart>
      <w:docPartPr>
        <w:name w:val="{6a7939b9-f331-41da-93e6-17da4c74463a}"/>
        <w:style w:val=""/>
        <w:category>
          <w:name w:val="General"/>
          <w:gallery w:val="placeholder"/>
        </w:category>
        <w:types>
          <w:type w:val="bbPlcHdr"/>
        </w:types>
        <w:behaviors>
          <w:behavior w:val="content"/>
        </w:behaviors>
        <w:description w:val=""/>
        <w:guid w:val="{6a7939b9-f331-41da-93e6-17da4c74463a}"/>
      </w:docPartPr>
      <w:docPartBody>
        <w:p>
          <w:pPr>
            <w:pStyle w:val="2"/>
          </w:pPr>
          <w:r>
            <w:rPr>
              <w:color w:val="5B9BD5" w:themeColor="accent1"/>
              <w:sz w:val="28"/>
              <w:szCs w:val="28"/>
              <w14:textFill>
                <w14:solidFill>
                  <w14:schemeClr w14:val="accent1"/>
                </w14:solidFill>
              </w14:textFill>
            </w:rPr>
            <w:t>[Document subtitle]</w:t>
          </w:r>
        </w:p>
      </w:docPartBody>
    </w:docPart>
    <w:docPart>
      <w:docPartPr>
        <w:name w:val="{253dfcab-b4a3-4f2d-b999-205a946061bd}"/>
        <w:style w:val=""/>
        <w:category>
          <w:name w:val="常规"/>
          <w:gallery w:val="placeholder"/>
        </w:category>
        <w:types>
          <w:type w:val="bbPlcHdr"/>
        </w:types>
        <w:behaviors>
          <w:behavior w:val="content"/>
        </w:behaviors>
        <w:description w:val=""/>
        <w:guid w:val="{253dfcab-b4a3-4f2d-b999-205a946061bd}"/>
      </w:docPartPr>
      <w:docPartBody>
        <w:p>
          <w:r>
            <w:rPr>
              <w:color w:val="808080"/>
            </w:rPr>
            <w:t>单击此处输入文字。</w:t>
          </w:r>
        </w:p>
      </w:docPartBody>
    </w:docPart>
    <w:docPart>
      <w:docPartPr>
        <w:name w:val="{468c0608-41d2-4a6c-8d0e-25c765139b88}"/>
        <w:style w:val=""/>
        <w:category>
          <w:name w:val="常规"/>
          <w:gallery w:val="placeholder"/>
        </w:category>
        <w:types>
          <w:type w:val="bbPlcHdr"/>
        </w:types>
        <w:behaviors>
          <w:behavior w:val="content"/>
        </w:behaviors>
        <w:description w:val=""/>
        <w:guid w:val="{468c0608-41d2-4a6c-8d0e-25c765139b88}"/>
      </w:docPartPr>
      <w:docPartBody>
        <w:p>
          <w:r>
            <w:rPr>
              <w:color w:val="808080"/>
            </w:rPr>
            <w:t>单击此处输入文字。</w:t>
          </w:r>
        </w:p>
      </w:docPartBody>
    </w:docPart>
    <w:docPart>
      <w:docPartPr>
        <w:name w:val="{02ce6ecf-5519-49bf-ad93-3874b7064465}"/>
        <w:style w:val=""/>
        <w:category>
          <w:name w:val="常规"/>
          <w:gallery w:val="placeholder"/>
        </w:category>
        <w:types>
          <w:type w:val="bbPlcHdr"/>
        </w:types>
        <w:behaviors>
          <w:behavior w:val="content"/>
        </w:behaviors>
        <w:description w:val=""/>
        <w:guid w:val="{02ce6ecf-5519-49bf-ad93-3874b7064465}"/>
      </w:docPartPr>
      <w:docPartBody>
        <w:p>
          <w:r>
            <w:rPr>
              <w:color w:val="808080"/>
            </w:rPr>
            <w:t>单击此处输入文字。</w:t>
          </w:r>
        </w:p>
      </w:docPartBody>
    </w:docPart>
    <w:docPart>
      <w:docPartPr>
        <w:name w:val="{feb8ceee-b9ad-4c8f-8deb-f0503ec72e88}"/>
        <w:style w:val=""/>
        <w:category>
          <w:name w:val="常规"/>
          <w:gallery w:val="placeholder"/>
        </w:category>
        <w:types>
          <w:type w:val="bbPlcHdr"/>
        </w:types>
        <w:behaviors>
          <w:behavior w:val="content"/>
        </w:behaviors>
        <w:description w:val=""/>
        <w:guid w:val="{feb8ceee-b9ad-4c8f-8deb-f0503ec72e88}"/>
      </w:docPartPr>
      <w:docPartBody>
        <w:p>
          <w:r>
            <w:rPr>
              <w:color w:val="808080"/>
            </w:rPr>
            <w:t>单击此处输入文字。</w:t>
          </w:r>
        </w:p>
      </w:docPartBody>
    </w:docPart>
    <w:docPart>
      <w:docPartPr>
        <w:name w:val="{11598985-7c2a-4505-9970-717e27d0ef82}"/>
        <w:style w:val=""/>
        <w:category>
          <w:name w:val="常规"/>
          <w:gallery w:val="placeholder"/>
        </w:category>
        <w:types>
          <w:type w:val="bbPlcHdr"/>
        </w:types>
        <w:behaviors>
          <w:behavior w:val="content"/>
        </w:behaviors>
        <w:description w:val=""/>
        <w:guid w:val="{11598985-7c2a-4505-9970-717e27d0ef82}"/>
      </w:docPartPr>
      <w:docPartBody>
        <w:p>
          <w:r>
            <w:rPr>
              <w:color w:val="808080"/>
            </w:rPr>
            <w:t>单击此处输入文字。</w:t>
          </w:r>
        </w:p>
      </w:docPartBody>
    </w:docPart>
    <w:docPart>
      <w:docPartPr>
        <w:name w:val="{2d9526b0-03ac-4726-bd7f-8e62ac2b90a0}"/>
        <w:style w:val=""/>
        <w:category>
          <w:name w:val="常规"/>
          <w:gallery w:val="placeholder"/>
        </w:category>
        <w:types>
          <w:type w:val="bbPlcHdr"/>
        </w:types>
        <w:behaviors>
          <w:behavior w:val="content"/>
        </w:behaviors>
        <w:description w:val=""/>
        <w:guid w:val="{2d9526b0-03ac-4726-bd7f-8e62ac2b90a0}"/>
      </w:docPartPr>
      <w:docPartBody>
        <w:p>
          <w:r>
            <w:rPr>
              <w:color w:val="808080"/>
            </w:rPr>
            <w:t>单击此处输入文字。</w:t>
          </w:r>
        </w:p>
      </w:docPartBody>
    </w:docPart>
    <w:docPart>
      <w:docPartPr>
        <w:name w:val="{157dbce0-8277-46c1-804b-94ae66b7b309}"/>
        <w:style w:val=""/>
        <w:category>
          <w:name w:val="常规"/>
          <w:gallery w:val="placeholder"/>
        </w:category>
        <w:types>
          <w:type w:val="bbPlcHdr"/>
        </w:types>
        <w:behaviors>
          <w:behavior w:val="content"/>
        </w:behaviors>
        <w:description w:val=""/>
        <w:guid w:val="{157dbce0-8277-46c1-804b-94ae66b7b309}"/>
      </w:docPartPr>
      <w:docPartBody>
        <w:p>
          <w:r>
            <w:rPr>
              <w:color w:val="808080"/>
            </w:rPr>
            <w:t>单击此处输入文字。</w:t>
          </w:r>
        </w:p>
      </w:docPartBody>
    </w:docPart>
    <w:docPart>
      <w:docPartPr>
        <w:name w:val="{f693952a-4629-4b3b-afe6-670ef9b95476}"/>
        <w:style w:val=""/>
        <w:category>
          <w:name w:val="常规"/>
          <w:gallery w:val="placeholder"/>
        </w:category>
        <w:types>
          <w:type w:val="bbPlcHdr"/>
        </w:types>
        <w:behaviors>
          <w:behavior w:val="content"/>
        </w:behaviors>
        <w:description w:val=""/>
        <w:guid w:val="{f693952a-4629-4b3b-afe6-670ef9b95476}"/>
      </w:docPartPr>
      <w:docPartBody>
        <w:p>
          <w:r>
            <w:rPr>
              <w:color w:val="808080"/>
            </w:rPr>
            <w:t>单击此处输入文字。</w:t>
          </w:r>
        </w:p>
      </w:docPartBody>
    </w:docPart>
    <w:docPart>
      <w:docPartPr>
        <w:name w:val="{3ffac595-906b-492e-af5a-4ce0ce41f108}"/>
        <w:style w:val=""/>
        <w:category>
          <w:name w:val="常规"/>
          <w:gallery w:val="placeholder"/>
        </w:category>
        <w:types>
          <w:type w:val="bbPlcHdr"/>
        </w:types>
        <w:behaviors>
          <w:behavior w:val="content"/>
        </w:behaviors>
        <w:description w:val=""/>
        <w:guid w:val="{3ffac595-906b-492e-af5a-4ce0ce41f108}"/>
      </w:docPartPr>
      <w:docPartBody>
        <w:p>
          <w:r>
            <w:rPr>
              <w:color w:val="808080"/>
            </w:rPr>
            <w:t>单击此处输入文字。</w:t>
          </w:r>
        </w:p>
      </w:docPartBody>
    </w:docPart>
    <w:docPart>
      <w:docPartPr>
        <w:name w:val="{c98f11fd-d31f-49bc-8745-9e8cb55cc681}"/>
        <w:style w:val=""/>
        <w:category>
          <w:name w:val="常规"/>
          <w:gallery w:val="placeholder"/>
        </w:category>
        <w:types>
          <w:type w:val="bbPlcHdr"/>
        </w:types>
        <w:behaviors>
          <w:behavior w:val="content"/>
        </w:behaviors>
        <w:description w:val=""/>
        <w:guid w:val="{c98f11fd-d31f-49bc-8745-9e8cb55cc681}"/>
      </w:docPartPr>
      <w:docPartBody>
        <w:p>
          <w:r>
            <w:rPr>
              <w:color w:val="808080"/>
            </w:rPr>
            <w:t>单击此处输入文字。</w:t>
          </w:r>
        </w:p>
      </w:docPartBody>
    </w:docPart>
    <w:docPart>
      <w:docPartPr>
        <w:name w:val="{48a89e57-1ad8-4aa8-ab30-9ef908ffba5a}"/>
        <w:style w:val=""/>
        <w:category>
          <w:name w:val="常规"/>
          <w:gallery w:val="placeholder"/>
        </w:category>
        <w:types>
          <w:type w:val="bbPlcHdr"/>
        </w:types>
        <w:behaviors>
          <w:behavior w:val="content"/>
        </w:behaviors>
        <w:description w:val=""/>
        <w:guid w:val="{48a89e57-1ad8-4aa8-ab30-9ef908ffba5a}"/>
      </w:docPartPr>
      <w:docPartBody>
        <w:p>
          <w:r>
            <w:rPr>
              <w:color w:val="808080"/>
            </w:rPr>
            <w:t>单击此处输入文字。</w:t>
          </w:r>
        </w:p>
      </w:docPartBody>
    </w:docPart>
    <w:docPart>
      <w:docPartPr>
        <w:name w:val="{f7031f35-45cb-4c7b-afe7-f9b10151f430}"/>
        <w:style w:val=""/>
        <w:category>
          <w:name w:val="常规"/>
          <w:gallery w:val="placeholder"/>
        </w:category>
        <w:types>
          <w:type w:val="bbPlcHdr"/>
        </w:types>
        <w:behaviors>
          <w:behavior w:val="content"/>
        </w:behaviors>
        <w:description w:val=""/>
        <w:guid w:val="{f7031f35-45cb-4c7b-afe7-f9b10151f430}"/>
      </w:docPartPr>
      <w:docPartBody>
        <w:p>
          <w:r>
            <w:rPr>
              <w:color w:val="808080"/>
            </w:rPr>
            <w:t>单击此处输入文字。</w:t>
          </w:r>
        </w:p>
      </w:docPartBody>
    </w:docPart>
    <w:docPart>
      <w:docPartPr>
        <w:name w:val="{219fbdd6-9c2d-49e0-a1df-8858b7f05d30}"/>
        <w:style w:val=""/>
        <w:category>
          <w:name w:val="常规"/>
          <w:gallery w:val="placeholder"/>
        </w:category>
        <w:types>
          <w:type w:val="bbPlcHdr"/>
        </w:types>
        <w:behaviors>
          <w:behavior w:val="content"/>
        </w:behaviors>
        <w:description w:val=""/>
        <w:guid w:val="{219fbdd6-9c2d-49e0-a1df-8858b7f05d30}"/>
      </w:docPartPr>
      <w:docPartBody>
        <w:p>
          <w:r>
            <w:rPr>
              <w:color w:val="808080"/>
            </w:rPr>
            <w:t>单击此处输入文字。</w:t>
          </w:r>
        </w:p>
      </w:docPartBody>
    </w:docPart>
    <w:docPart>
      <w:docPartPr>
        <w:name w:val="{e23e332a-9ecc-4914-bdbd-10bfdb868a0d}"/>
        <w:style w:val=""/>
        <w:category>
          <w:name w:val="常规"/>
          <w:gallery w:val="placeholder"/>
        </w:category>
        <w:types>
          <w:type w:val="bbPlcHdr"/>
        </w:types>
        <w:behaviors>
          <w:behavior w:val="content"/>
        </w:behaviors>
        <w:description w:val=""/>
        <w:guid w:val="{e23e332a-9ecc-4914-bdbd-10bfdb868a0d}"/>
      </w:docPartPr>
      <w:docPartBody>
        <w:p>
          <w:r>
            <w:rPr>
              <w:color w:val="808080"/>
            </w:rPr>
            <w:t>单击此处输入文字。</w:t>
          </w:r>
        </w:p>
      </w:docPartBody>
    </w:docPart>
    <w:docPart>
      <w:docPartPr>
        <w:name w:val="{ca989a3a-5509-42d5-a94e-799124a081ad}"/>
        <w:style w:val=""/>
        <w:category>
          <w:name w:val="常规"/>
          <w:gallery w:val="placeholder"/>
        </w:category>
        <w:types>
          <w:type w:val="bbPlcHdr"/>
        </w:types>
        <w:behaviors>
          <w:behavior w:val="content"/>
        </w:behaviors>
        <w:description w:val=""/>
        <w:guid w:val="{ca989a3a-5509-42d5-a94e-799124a081ad}"/>
      </w:docPartPr>
      <w:docPartBody>
        <w:p>
          <w:r>
            <w:rPr>
              <w:color w:val="808080"/>
            </w:rPr>
            <w:t>单击此处输入文字。</w:t>
          </w:r>
        </w:p>
      </w:docPartBody>
    </w:docPart>
    <w:docPart>
      <w:docPartPr>
        <w:name w:val="{208bf7b3-192c-4c2b-a52b-32bf0fd4279a}"/>
        <w:style w:val=""/>
        <w:category>
          <w:name w:val="常规"/>
          <w:gallery w:val="placeholder"/>
        </w:category>
        <w:types>
          <w:type w:val="bbPlcHdr"/>
        </w:types>
        <w:behaviors>
          <w:behavior w:val="content"/>
        </w:behaviors>
        <w:description w:val=""/>
        <w:guid w:val="{208bf7b3-192c-4c2b-a52b-32bf0fd4279a}"/>
      </w:docPartPr>
      <w:docPartBody>
        <w:p>
          <w:r>
            <w:rPr>
              <w:color w:val="808080"/>
            </w:rPr>
            <w:t>单击此处输入文字。</w:t>
          </w:r>
        </w:p>
      </w:docPartBody>
    </w:docPart>
    <w:docPart>
      <w:docPartPr>
        <w:name w:val="{d9e6a37e-a6c9-4c7c-b895-1c6f7b220474}"/>
        <w:style w:val=""/>
        <w:category>
          <w:name w:val="常规"/>
          <w:gallery w:val="placeholder"/>
        </w:category>
        <w:types>
          <w:type w:val="bbPlcHdr"/>
        </w:types>
        <w:behaviors>
          <w:behavior w:val="content"/>
        </w:behaviors>
        <w:description w:val=""/>
        <w:guid w:val="{d9e6a37e-a6c9-4c7c-b895-1c6f7b220474}"/>
      </w:docPartPr>
      <w:docPartBody>
        <w:p>
          <w:r>
            <w:rPr>
              <w:color w:val="808080"/>
            </w:rPr>
            <w:t>单击此处输入文字。</w:t>
          </w:r>
        </w:p>
      </w:docPartBody>
    </w:docPart>
    <w:docPart>
      <w:docPartPr>
        <w:name w:val="{f7b3ad42-caf2-42c2-b2f7-0a320514882e}"/>
        <w:style w:val=""/>
        <w:category>
          <w:name w:val="常规"/>
          <w:gallery w:val="placeholder"/>
        </w:category>
        <w:types>
          <w:type w:val="bbPlcHdr"/>
        </w:types>
        <w:behaviors>
          <w:behavior w:val="content"/>
        </w:behaviors>
        <w:description w:val=""/>
        <w:guid w:val="{f7b3ad42-caf2-42c2-b2f7-0a320514882e}"/>
      </w:docPartPr>
      <w:docPartBody>
        <w:p>
          <w:r>
            <w:rPr>
              <w:color w:val="808080"/>
            </w:rPr>
            <w:t>单击此处输入文字。</w:t>
          </w:r>
        </w:p>
      </w:docPartBody>
    </w:docPart>
    <w:docPart>
      <w:docPartPr>
        <w:name w:val="{79ec2a63-7f2c-4697-9b42-c717c3de5cf8}"/>
        <w:style w:val=""/>
        <w:category>
          <w:name w:val="常规"/>
          <w:gallery w:val="placeholder"/>
        </w:category>
        <w:types>
          <w:type w:val="bbPlcHdr"/>
        </w:types>
        <w:behaviors>
          <w:behavior w:val="content"/>
        </w:behaviors>
        <w:description w:val=""/>
        <w:guid w:val="{79ec2a63-7f2c-4697-9b42-c717c3de5cf8}"/>
      </w:docPartPr>
      <w:docPartBody>
        <w:p>
          <w:r>
            <w:rPr>
              <w:color w:val="808080"/>
            </w:rPr>
            <w:t>单击此处输入文字。</w:t>
          </w:r>
        </w:p>
      </w:docPartBody>
    </w:docPart>
    <w:docPart>
      <w:docPartPr>
        <w:name w:val="{96d52f34-a871-49a8-8a2b-d861c8380273}"/>
        <w:style w:val=""/>
        <w:category>
          <w:name w:val="常规"/>
          <w:gallery w:val="placeholder"/>
        </w:category>
        <w:types>
          <w:type w:val="bbPlcHdr"/>
        </w:types>
        <w:behaviors>
          <w:behavior w:val="content"/>
        </w:behaviors>
        <w:description w:val=""/>
        <w:guid w:val="{96d52f34-a871-49a8-8a2b-d861c8380273}"/>
      </w:docPartPr>
      <w:docPartBody>
        <w:p>
          <w:r>
            <w:rPr>
              <w:color w:val="808080"/>
            </w:rPr>
            <w:t>单击此处输入文字。</w:t>
          </w:r>
        </w:p>
      </w:docPartBody>
    </w:docPart>
    <w:docPart>
      <w:docPartPr>
        <w:name w:val="{8dc9cf6f-f23d-447c-b315-9cf50b3539c2}"/>
        <w:style w:val=""/>
        <w:category>
          <w:name w:val="常规"/>
          <w:gallery w:val="placeholder"/>
        </w:category>
        <w:types>
          <w:type w:val="bbPlcHdr"/>
        </w:types>
        <w:behaviors>
          <w:behavior w:val="content"/>
        </w:behaviors>
        <w:description w:val=""/>
        <w:guid w:val="{8dc9cf6f-f23d-447c-b315-9cf50b3539c2}"/>
      </w:docPartPr>
      <w:docPartBody>
        <w:p>
          <w:r>
            <w:rPr>
              <w:color w:val="808080"/>
            </w:rPr>
            <w:t>单击此处输入文字。</w:t>
          </w:r>
        </w:p>
      </w:docPartBody>
    </w:docPart>
    <w:docPart>
      <w:docPartPr>
        <w:name w:val="{40b17382-5241-49e1-8396-95d39a3ff99c}"/>
        <w:style w:val=""/>
        <w:category>
          <w:name w:val="常规"/>
          <w:gallery w:val="placeholder"/>
        </w:category>
        <w:types>
          <w:type w:val="bbPlcHdr"/>
        </w:types>
        <w:behaviors>
          <w:behavior w:val="content"/>
        </w:behaviors>
        <w:description w:val=""/>
        <w:guid w:val="{40b17382-5241-49e1-8396-95d39a3ff99c}"/>
      </w:docPartPr>
      <w:docPartBody>
        <w:p>
          <w:r>
            <w:rPr>
              <w:color w:val="808080"/>
            </w:rPr>
            <w:t>单击此处输入文字。</w:t>
          </w:r>
        </w:p>
      </w:docPartBody>
    </w:docPart>
    <w:docPart>
      <w:docPartPr>
        <w:name w:val="{6ba5d31c-8a10-41b6-901e-38ac7e12135c}"/>
        <w:style w:val=""/>
        <w:category>
          <w:name w:val="常规"/>
          <w:gallery w:val="placeholder"/>
        </w:category>
        <w:types>
          <w:type w:val="bbPlcHdr"/>
        </w:types>
        <w:behaviors>
          <w:behavior w:val="content"/>
        </w:behaviors>
        <w:description w:val=""/>
        <w:guid w:val="{6ba5d31c-8a10-41b6-901e-38ac7e12135c}"/>
      </w:docPartPr>
      <w:docPartBody>
        <w:p>
          <w:r>
            <w:rPr>
              <w:color w:val="808080"/>
            </w:rPr>
            <w:t>单击此处输入文字。</w:t>
          </w:r>
        </w:p>
      </w:docPartBody>
    </w:docPart>
    <w:docPart>
      <w:docPartPr>
        <w:name w:val="{6526cabe-6fa3-4204-8bb0-930e45845d1f}"/>
        <w:style w:val=""/>
        <w:category>
          <w:name w:val="常规"/>
          <w:gallery w:val="placeholder"/>
        </w:category>
        <w:types>
          <w:type w:val="bbPlcHdr"/>
        </w:types>
        <w:behaviors>
          <w:behavior w:val="content"/>
        </w:behaviors>
        <w:description w:val=""/>
        <w:guid w:val="{6526cabe-6fa3-4204-8bb0-930e45845d1f}"/>
      </w:docPartPr>
      <w:docPartBody>
        <w:p>
          <w:r>
            <w:rPr>
              <w:color w:val="808080"/>
            </w:rPr>
            <w:t>单击此处输入文字。</w:t>
          </w:r>
        </w:p>
      </w:docPartBody>
    </w:docPart>
    <w:docPart>
      <w:docPartPr>
        <w:name w:val="{9b7193a1-9059-460a-bf47-2faafa7f116a}"/>
        <w:style w:val=""/>
        <w:category>
          <w:name w:val="常规"/>
          <w:gallery w:val="placeholder"/>
        </w:category>
        <w:types>
          <w:type w:val="bbPlcHdr"/>
        </w:types>
        <w:behaviors>
          <w:behavior w:val="content"/>
        </w:behaviors>
        <w:description w:val=""/>
        <w:guid w:val="{9b7193a1-9059-460a-bf47-2faafa7f116a}"/>
      </w:docPartPr>
      <w:docPartBody>
        <w:p>
          <w:r>
            <w:rPr>
              <w:color w:val="808080"/>
            </w:rPr>
            <w:t>单击此处输入文字。</w:t>
          </w:r>
        </w:p>
      </w:docPartBody>
    </w:docPart>
    <w:docPart>
      <w:docPartPr>
        <w:name w:val="{762b31c3-8c0e-4ca0-917d-56cc2d05d221}"/>
        <w:style w:val=""/>
        <w:category>
          <w:name w:val="常规"/>
          <w:gallery w:val="placeholder"/>
        </w:category>
        <w:types>
          <w:type w:val="bbPlcHdr"/>
        </w:types>
        <w:behaviors>
          <w:behavior w:val="content"/>
        </w:behaviors>
        <w:description w:val=""/>
        <w:guid w:val="{762b31c3-8c0e-4ca0-917d-56cc2d05d221}"/>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 w:type="paragraph" w:customStyle="1" w:styleId="1">
    <w:name w:val="DCBCB7F12FD741FCBCDF0AE63ED3B4BF"/>
    <w:qFormat/>
    <w:uiPriority w:val="0"/>
    <w:pPr>
      <w:spacing w:after="160" w:line="259" w:lineRule="auto"/>
    </w:pPr>
    <w:rPr>
      <w:rFonts w:asciiTheme="minorHAnsi" w:hAnsiTheme="minorHAnsi" w:eastAsiaTheme="minorEastAsia" w:cstheme="minorBidi"/>
      <w:sz w:val="22"/>
      <w:szCs w:val="22"/>
      <w:lang w:val="en-GB" w:eastAsia="en-GB" w:bidi="ar-SA"/>
    </w:rPr>
  </w:style>
  <w:style w:type="paragraph" w:customStyle="1" w:styleId="2">
    <w:name w:val="C05A49BEB3EC4F328035A1BA055AE16D"/>
    <w:qFormat/>
    <w:uiPriority w:val="0"/>
    <w:pPr>
      <w:spacing w:after="160" w:line="259" w:lineRule="auto"/>
    </w:pPr>
    <w:rPr>
      <w:rFonts w:asciiTheme="minorHAnsi" w:hAnsiTheme="minorHAnsi" w:eastAsiaTheme="minorEastAsia" w:cstheme="minorBidi"/>
      <w:sz w:val="22"/>
      <w:szCs w:val="22"/>
      <w:lang w:val="en-GB" w:eastAsia="en-GB"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app</dc:creator>
  <cp:lastModifiedBy>张作霖</cp:lastModifiedBy>
  <dcterms:modified xsi:type="dcterms:W3CDTF">2019-05-08T16:11:41Z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