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20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bookmarkStart w:id="0" w:name="_GoBack"/>
            <w:r w:rsidRPr="00D96906">
              <w:rPr>
                <w:rFonts w:cs="Arial"/>
                <w:b/>
              </w:rPr>
              <w:t>Module Code</w:t>
            </w:r>
          </w:p>
        </w:tc>
        <w:tc>
          <w:tcPr>
            <w:tcW w:w="6822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ECYW6004</w:t>
            </w:r>
          </w:p>
        </w:tc>
      </w:tr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Title</w:t>
            </w:r>
          </w:p>
        </w:tc>
        <w:tc>
          <w:tcPr>
            <w:tcW w:w="6822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Young People and Society 3: Trauma, Exploitation and Toxic Childhood</w:t>
            </w:r>
          </w:p>
        </w:tc>
      </w:tr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Date</w:t>
            </w:r>
          </w:p>
        </w:tc>
        <w:sdt>
          <w:sdtPr>
            <w:rPr>
              <w:rFonts w:cs="Arial"/>
              <w:b/>
            </w:rPr>
            <w:id w:val="-827131912"/>
            <w:placeholder>
              <w:docPart w:val="41D04A4E3500434AB3CF48EF549CA71C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:rsidR="00D96906" w:rsidRPr="00D96906" w:rsidRDefault="00D96906" w:rsidP="007F78E2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</w:rPr>
                </w:pPr>
                <w:r w:rsidRPr="00D96906">
                  <w:rPr>
                    <w:rFonts w:cs="Arial"/>
                    <w:b/>
                  </w:rPr>
                  <w:t>04/03/2020</w:t>
                </w:r>
              </w:p>
            </w:tc>
          </w:sdtContent>
        </w:sdt>
      </w:tr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Level</w:t>
            </w:r>
          </w:p>
        </w:tc>
        <w:sdt>
          <w:sdtPr>
            <w:rPr>
              <w:rFonts w:cs="Arial"/>
              <w:b/>
            </w:rPr>
            <w:id w:val="1646775271"/>
            <w:placeholder>
              <w:docPart w:val="1A12D73A90E34FE291D1E88BCE2E852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:rsidR="00D96906" w:rsidRPr="00D96906" w:rsidRDefault="00D96906" w:rsidP="007F78E2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</w:rPr>
                </w:pPr>
                <w:r w:rsidRPr="00D96906">
                  <w:rPr>
                    <w:rFonts w:cs="Arial"/>
                    <w:b/>
                  </w:rPr>
                  <w:t>6</w:t>
                </w:r>
              </w:p>
            </w:tc>
          </w:sdtContent>
        </w:sdt>
      </w:tr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Credits</w:t>
            </w:r>
          </w:p>
        </w:tc>
        <w:tc>
          <w:tcPr>
            <w:tcW w:w="6822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20</w:t>
            </w:r>
          </w:p>
        </w:tc>
      </w:tr>
      <w:tr w:rsidR="00D96906" w:rsidRPr="00D96906" w:rsidTr="00D96906">
        <w:tc>
          <w:tcPr>
            <w:tcW w:w="1838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Pre-Requisites</w:t>
            </w:r>
          </w:p>
        </w:tc>
        <w:tc>
          <w:tcPr>
            <w:tcW w:w="6822" w:type="dxa"/>
          </w:tcPr>
          <w:p w:rsidR="00D96906" w:rsidRPr="00D96906" w:rsidRDefault="00D96906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 xml:space="preserve">None </w:t>
            </w:r>
          </w:p>
        </w:tc>
      </w:tr>
    </w:tbl>
    <w:p w:rsidR="00D96906" w:rsidRPr="00D96906" w:rsidRDefault="00D96906" w:rsidP="00D96906">
      <w:pPr>
        <w:pBdr>
          <w:bottom w:val="single" w:sz="6" w:space="1" w:color="auto"/>
        </w:pBdr>
        <w:rPr>
          <w:rFonts w:cs="Arial"/>
        </w:rPr>
      </w:pPr>
    </w:p>
    <w:p w:rsidR="00D96906" w:rsidRPr="00D96906" w:rsidRDefault="00D96906" w:rsidP="00D96906">
      <w:pPr>
        <w:rPr>
          <w:rFonts w:cs="Arial"/>
          <w:b/>
        </w:rPr>
      </w:pPr>
    </w:p>
    <w:p w:rsidR="00D96906" w:rsidRPr="00D96906" w:rsidRDefault="00D96906" w:rsidP="00D96906">
      <w:pPr>
        <w:rPr>
          <w:rFonts w:cs="Arial"/>
          <w:b/>
        </w:rPr>
      </w:pPr>
      <w:r w:rsidRPr="00D96906">
        <w:rPr>
          <w:rFonts w:cs="Arial"/>
          <w:b/>
        </w:rPr>
        <w:t>AIM(S)</w:t>
      </w:r>
    </w:p>
    <w:p w:rsidR="00D96906" w:rsidRPr="00D96906" w:rsidRDefault="00D96906" w:rsidP="00D96906">
      <w:pPr>
        <w:numPr>
          <w:ilvl w:val="0"/>
          <w:numId w:val="1"/>
        </w:numPr>
        <w:spacing w:before="240"/>
        <w:ind w:left="851" w:hanging="567"/>
        <w:rPr>
          <w:rFonts w:cs="Arial"/>
          <w:b/>
        </w:rPr>
      </w:pPr>
      <w:r w:rsidRPr="00D96906">
        <w:rPr>
          <w:rFonts w:cs="Arial"/>
        </w:rPr>
        <w:t>To equip students with the in-depth knowledge and understanding of issues which impact upon the lives of children and young people in contemporary society within the themes of trauma, exploitation and toxic childhood.</w:t>
      </w:r>
    </w:p>
    <w:p w:rsidR="00D96906" w:rsidRPr="00D96906" w:rsidRDefault="00D96906" w:rsidP="00D96906">
      <w:pPr>
        <w:rPr>
          <w:rFonts w:cs="Arial"/>
          <w:b/>
        </w:rPr>
      </w:pPr>
    </w:p>
    <w:p w:rsidR="00D96906" w:rsidRPr="00D96906" w:rsidRDefault="00D96906" w:rsidP="00D96906">
      <w:pPr>
        <w:rPr>
          <w:rFonts w:cs="Arial"/>
          <w:b/>
        </w:rPr>
      </w:pPr>
      <w:r w:rsidRPr="00D96906">
        <w:rPr>
          <w:rFonts w:cs="Arial"/>
          <w:b/>
        </w:rPr>
        <w:t>LEARNING OUTCOMES</w:t>
      </w:r>
    </w:p>
    <w:p w:rsidR="00D96906" w:rsidRPr="00D96906" w:rsidRDefault="00D96906" w:rsidP="00D96906">
      <w:pPr>
        <w:rPr>
          <w:rFonts w:cs="Arial"/>
          <w:b/>
        </w:rPr>
      </w:pPr>
    </w:p>
    <w:p w:rsidR="00D96906" w:rsidRPr="00D96906" w:rsidRDefault="00D96906" w:rsidP="00D96906">
      <w:pPr>
        <w:rPr>
          <w:rFonts w:cs="Arial"/>
        </w:rPr>
      </w:pPr>
      <w:r w:rsidRPr="00D96906">
        <w:rPr>
          <w:rFonts w:cs="Arial"/>
        </w:rPr>
        <w:t>Upon the successful completion of this module, the student should be able to:</w:t>
      </w:r>
    </w:p>
    <w:p w:rsidR="00D96906" w:rsidRPr="00D96906" w:rsidRDefault="00D96906" w:rsidP="00D96906">
      <w:pPr>
        <w:numPr>
          <w:ilvl w:val="0"/>
          <w:numId w:val="1"/>
        </w:numPr>
        <w:spacing w:before="240"/>
        <w:rPr>
          <w:rFonts w:cs="Arial"/>
        </w:rPr>
      </w:pPr>
      <w:r w:rsidRPr="00D96906">
        <w:rPr>
          <w:rFonts w:cs="Arial"/>
        </w:rPr>
        <w:t xml:space="preserve">Demonstrate a critical understanding of the social factors which impact upon children and young people in contemporary society, and the consequent impact upon youth work practice and wider services for young people. </w:t>
      </w:r>
    </w:p>
    <w:p w:rsidR="00D96906" w:rsidRPr="00D96906" w:rsidRDefault="00D96906" w:rsidP="00D96906">
      <w:pPr>
        <w:numPr>
          <w:ilvl w:val="0"/>
          <w:numId w:val="1"/>
        </w:numPr>
        <w:spacing w:before="240"/>
        <w:rPr>
          <w:rFonts w:cs="Arial"/>
        </w:rPr>
      </w:pPr>
      <w:r w:rsidRPr="00D96906">
        <w:rPr>
          <w:rFonts w:cs="Arial"/>
        </w:rPr>
        <w:t>Critically consider the ways that youth work and practitioners can best support young people who are facing these challenges.</w:t>
      </w:r>
    </w:p>
    <w:p w:rsidR="00D96906" w:rsidRPr="00D96906" w:rsidRDefault="00D96906" w:rsidP="00D96906">
      <w:pPr>
        <w:numPr>
          <w:ilvl w:val="0"/>
          <w:numId w:val="1"/>
        </w:numPr>
        <w:spacing w:before="240" w:after="120"/>
        <w:rPr>
          <w:rFonts w:cs="Arial"/>
        </w:rPr>
      </w:pPr>
      <w:r w:rsidRPr="00D96906">
        <w:rPr>
          <w:rFonts w:cs="Arial"/>
        </w:rPr>
        <w:t>Organise their knowledge and learning through use of a range of information resources, and present their work appropriately.</w:t>
      </w:r>
    </w:p>
    <w:p w:rsidR="00D96906" w:rsidRPr="00D96906" w:rsidRDefault="00D96906" w:rsidP="00D96906">
      <w:pPr>
        <w:rPr>
          <w:rFonts w:cs="Arial"/>
        </w:rPr>
      </w:pP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D96906">
        <w:rPr>
          <w:rFonts w:cs="Arial"/>
          <w:b/>
        </w:rPr>
        <w:t>INDICATIVE CONTENT</w:t>
      </w: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:rsidR="00D96906" w:rsidRPr="00D96906" w:rsidRDefault="00D96906" w:rsidP="00D96906">
      <w:pPr>
        <w:numPr>
          <w:ilvl w:val="0"/>
          <w:numId w:val="2"/>
        </w:numPr>
        <w:rPr>
          <w:rFonts w:cs="Arial"/>
        </w:rPr>
      </w:pPr>
      <w:r w:rsidRPr="00D96906">
        <w:rPr>
          <w:rFonts w:cs="Arial"/>
        </w:rPr>
        <w:t>An exploration of a range of issues which affect young people in contemporary society, which include Child Sexual Exploitation, homelessness, addiction, poverty, obesity, toxic childhood, and County Lines.</w:t>
      </w:r>
    </w:p>
    <w:p w:rsidR="00D96906" w:rsidRPr="00D96906" w:rsidRDefault="00D96906" w:rsidP="00D96906">
      <w:pPr>
        <w:ind w:left="360"/>
        <w:rPr>
          <w:rFonts w:cs="Arial"/>
        </w:rPr>
      </w:pPr>
    </w:p>
    <w:p w:rsidR="00D96906" w:rsidRPr="00D96906" w:rsidRDefault="00D96906" w:rsidP="00D96906">
      <w:pPr>
        <w:numPr>
          <w:ilvl w:val="0"/>
          <w:numId w:val="2"/>
        </w:numPr>
        <w:rPr>
          <w:rFonts w:cs="Arial"/>
        </w:rPr>
      </w:pPr>
      <w:r w:rsidRPr="00D96906">
        <w:rPr>
          <w:rFonts w:cs="Arial"/>
        </w:rPr>
        <w:t>Understanding how trauma can affect young people’s future life chances.</w:t>
      </w:r>
    </w:p>
    <w:p w:rsidR="00D96906" w:rsidRPr="00D96906" w:rsidRDefault="00D96906" w:rsidP="00D96906">
      <w:pPr>
        <w:rPr>
          <w:rFonts w:cs="Arial"/>
        </w:rPr>
      </w:pPr>
    </w:p>
    <w:p w:rsidR="00D96906" w:rsidRPr="00D96906" w:rsidRDefault="00D96906" w:rsidP="00D96906">
      <w:pPr>
        <w:numPr>
          <w:ilvl w:val="0"/>
          <w:numId w:val="2"/>
        </w:numPr>
        <w:rPr>
          <w:rFonts w:cs="Arial"/>
        </w:rPr>
      </w:pPr>
      <w:r w:rsidRPr="00D96906">
        <w:rPr>
          <w:rFonts w:cs="Arial"/>
        </w:rPr>
        <w:t>Understanding society, the how this shapes and impacts upon both young people and the services that support them.</w:t>
      </w:r>
    </w:p>
    <w:p w:rsidR="00D96906" w:rsidRPr="00D96906" w:rsidRDefault="00D96906" w:rsidP="00D96906">
      <w:pPr>
        <w:rPr>
          <w:rFonts w:cs="Arial"/>
        </w:rPr>
      </w:pPr>
    </w:p>
    <w:p w:rsidR="00D96906" w:rsidRPr="00D96906" w:rsidRDefault="00D96906" w:rsidP="00D96906">
      <w:pPr>
        <w:numPr>
          <w:ilvl w:val="0"/>
          <w:numId w:val="2"/>
        </w:numPr>
        <w:rPr>
          <w:rFonts w:cs="Arial"/>
        </w:rPr>
      </w:pPr>
      <w:r w:rsidRPr="00D96906">
        <w:rPr>
          <w:rFonts w:cs="Arial"/>
        </w:rPr>
        <w:t>An exploration of the range of ways young people can be supported through these challenges including the foundational relationship building as a means of buffering young people and promoting transformational change.</w:t>
      </w:r>
    </w:p>
    <w:p w:rsidR="00D96906" w:rsidRPr="00D96906" w:rsidRDefault="00D96906" w:rsidP="00D96906">
      <w:pPr>
        <w:rPr>
          <w:rFonts w:cs="Arial"/>
        </w:rPr>
      </w:pPr>
    </w:p>
    <w:p w:rsidR="00D96906" w:rsidRPr="00D96906" w:rsidRDefault="00D96906" w:rsidP="00D96906">
      <w:pPr>
        <w:numPr>
          <w:ilvl w:val="0"/>
          <w:numId w:val="2"/>
        </w:numPr>
        <w:rPr>
          <w:rFonts w:cs="Arial"/>
        </w:rPr>
      </w:pPr>
      <w:r w:rsidRPr="00D96906">
        <w:rPr>
          <w:rFonts w:cs="Arial"/>
        </w:rPr>
        <w:t>Self-care – its place within practice.</w:t>
      </w: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:rsidR="00D96906" w:rsidRPr="00D96906" w:rsidRDefault="00D96906" w:rsidP="00D96906">
      <w:pPr>
        <w:rPr>
          <w:rFonts w:cs="Arial"/>
          <w:b/>
        </w:rPr>
      </w:pPr>
      <w:r w:rsidRPr="00D96906">
        <w:rPr>
          <w:rFonts w:cs="Arial"/>
          <w:b/>
        </w:rPr>
        <w:br w:type="page"/>
      </w: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D96906">
        <w:rPr>
          <w:rFonts w:cs="Arial"/>
          <w:b/>
        </w:rPr>
        <w:lastRenderedPageBreak/>
        <w:t>Study Time Allocation</w:t>
      </w:r>
    </w:p>
    <w:p w:rsidR="00D96906" w:rsidRPr="00D96906" w:rsidRDefault="00D96906" w:rsidP="00D96906">
      <w:pPr>
        <w:keepNext/>
        <w:rPr>
          <w:rFonts w:cs="Arial"/>
        </w:rPr>
      </w:pPr>
    </w:p>
    <w:p w:rsidR="00D96906" w:rsidRPr="00D96906" w:rsidRDefault="00D96906" w:rsidP="00D96906">
      <w:pPr>
        <w:keepNext/>
        <w:rPr>
          <w:rFonts w:cs="Arial"/>
        </w:rPr>
      </w:pPr>
      <w:r w:rsidRPr="00D96906">
        <w:rPr>
          <w:rFonts w:cs="Arial"/>
        </w:rPr>
        <w:t>The study time for the module is divided as follows:</w:t>
      </w:r>
    </w:p>
    <w:p w:rsidR="00D96906" w:rsidRPr="00D96906" w:rsidRDefault="00D96906" w:rsidP="00D96906">
      <w:pPr>
        <w:keepNext/>
        <w:rPr>
          <w:rFonts w:cs="Arial"/>
        </w:rPr>
      </w:pPr>
    </w:p>
    <w:tbl>
      <w:tblPr>
        <w:tblStyle w:val="TableGrid2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96906" w:rsidRPr="00D96906" w:rsidTr="00D9690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D96906" w:rsidRPr="00D96906" w:rsidRDefault="00D96906" w:rsidP="007F78E2">
            <w:pPr>
              <w:keepNext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Percentage</w:t>
            </w:r>
          </w:p>
        </w:tc>
      </w:tr>
      <w:tr w:rsidR="00D96906" w:rsidRPr="00D96906" w:rsidTr="00D96906">
        <w:tc>
          <w:tcPr>
            <w:tcW w:w="3969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  <w:r w:rsidRPr="00D96906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  <w:r w:rsidRPr="00D96906">
              <w:rPr>
                <w:rFonts w:cs="Arial"/>
              </w:rPr>
              <w:t>15</w:t>
            </w:r>
          </w:p>
        </w:tc>
      </w:tr>
      <w:tr w:rsidR="00D96906" w:rsidRPr="00D96906" w:rsidTr="00D96906">
        <w:tc>
          <w:tcPr>
            <w:tcW w:w="3969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  <w:r w:rsidRPr="00D96906">
              <w:rPr>
                <w:rFonts w:cs="Arial"/>
              </w:rPr>
              <w:t>170</w:t>
            </w:r>
          </w:p>
        </w:tc>
        <w:tc>
          <w:tcPr>
            <w:tcW w:w="1843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  <w:r w:rsidRPr="00D96906">
              <w:rPr>
                <w:rFonts w:cs="Arial"/>
              </w:rPr>
              <w:t>85</w:t>
            </w:r>
          </w:p>
        </w:tc>
      </w:tr>
      <w:tr w:rsidR="00D96906" w:rsidRPr="00D96906" w:rsidTr="00D96906">
        <w:tc>
          <w:tcPr>
            <w:tcW w:w="3969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D96906" w:rsidRPr="00D96906" w:rsidTr="00D96906">
        <w:tc>
          <w:tcPr>
            <w:tcW w:w="3969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100%</w:t>
            </w:r>
          </w:p>
        </w:tc>
      </w:tr>
    </w:tbl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D96906">
        <w:rPr>
          <w:rFonts w:cs="Arial"/>
          <w:b/>
        </w:rPr>
        <w:t>ASSESSMENT</w:t>
      </w:r>
    </w:p>
    <w:p w:rsidR="00D96906" w:rsidRPr="00D96906" w:rsidRDefault="00D96906" w:rsidP="00D96906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cs="Arial"/>
          <w:b/>
        </w:rPr>
      </w:pPr>
    </w:p>
    <w:p w:rsidR="00D96906" w:rsidRPr="00D96906" w:rsidRDefault="00D96906" w:rsidP="00D96906">
      <w:pPr>
        <w:rPr>
          <w:rFonts w:cs="Arial"/>
          <w:b/>
        </w:rPr>
      </w:pPr>
      <w:r w:rsidRPr="00D96906">
        <w:rPr>
          <w:rFonts w:cs="Arial"/>
          <w:b/>
        </w:rPr>
        <w:t>Assessment Component 1</w:t>
      </w:r>
    </w:p>
    <w:p w:rsidR="00D96906" w:rsidRPr="00D96906" w:rsidRDefault="00D96906" w:rsidP="00D96906">
      <w:pPr>
        <w:rPr>
          <w:rFonts w:cs="Arial"/>
          <w:b/>
          <w:i/>
        </w:rPr>
      </w:pPr>
    </w:p>
    <w:tbl>
      <w:tblPr>
        <w:tblStyle w:val="TableGrid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D96906" w:rsidRPr="00D96906" w:rsidTr="00D96906">
        <w:sdt>
          <w:sdtPr>
            <w:rPr>
              <w:rFonts w:cs="Arial"/>
            </w:rPr>
            <w:id w:val="-755277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96906" w:rsidRPr="00D96906" w:rsidRDefault="00D96906" w:rsidP="007F78E2">
                <w:pPr>
                  <w:rPr>
                    <w:rFonts w:cs="Arial"/>
                    <w:b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96906" w:rsidRPr="00D96906" w:rsidRDefault="00D96906" w:rsidP="007F78E2">
            <w:pPr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46292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96906" w:rsidRPr="00D96906" w:rsidRDefault="00D96906" w:rsidP="007F78E2">
                <w:pPr>
                  <w:rPr>
                    <w:rFonts w:cs="Arial"/>
                    <w:b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96906" w:rsidRPr="00D96906" w:rsidRDefault="00D96906" w:rsidP="007F78E2">
            <w:pPr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9592446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96906" w:rsidRPr="00D96906" w:rsidRDefault="00D96906" w:rsidP="007F78E2">
                <w:pPr>
                  <w:rPr>
                    <w:rFonts w:cs="Arial"/>
                    <w:b/>
                  </w:rPr>
                </w:pPr>
                <w:r w:rsidRPr="00D96906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96906" w:rsidRPr="00D96906" w:rsidRDefault="00D96906" w:rsidP="007F78E2">
            <w:pPr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Practical</w:t>
            </w:r>
          </w:p>
        </w:tc>
      </w:tr>
    </w:tbl>
    <w:p w:rsidR="00D96906" w:rsidRPr="00D96906" w:rsidRDefault="00D96906" w:rsidP="00D96906">
      <w:pPr>
        <w:rPr>
          <w:rFonts w:cs="Arial"/>
          <w:b/>
        </w:rPr>
      </w:pPr>
    </w:p>
    <w:tbl>
      <w:tblPr>
        <w:tblStyle w:val="TableGrid20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96906" w:rsidRPr="00D96906" w:rsidTr="00D96906">
        <w:tc>
          <w:tcPr>
            <w:tcW w:w="3256" w:type="dxa"/>
          </w:tcPr>
          <w:p w:rsidR="00D96906" w:rsidRPr="00D96906" w:rsidRDefault="00D96906" w:rsidP="007F78E2">
            <w:pPr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  <w:b/>
              </w:rPr>
              <w:t>Weighting</w:t>
            </w:r>
          </w:p>
        </w:tc>
      </w:tr>
      <w:tr w:rsidR="00D96906" w:rsidRPr="00D96906" w:rsidTr="00D96906">
        <w:tc>
          <w:tcPr>
            <w:tcW w:w="3256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Group Presentation </w:t>
            </w:r>
          </w:p>
        </w:tc>
        <w:tc>
          <w:tcPr>
            <w:tcW w:w="3969" w:type="dxa"/>
          </w:tcPr>
          <w:p w:rsidR="00D96906" w:rsidRPr="00D96906" w:rsidRDefault="00D96906" w:rsidP="007F78E2">
            <w:pPr>
              <w:rPr>
                <w:rFonts w:cs="Arial"/>
                <w:highlight w:val="yellow"/>
              </w:rPr>
            </w:pPr>
            <w:r w:rsidRPr="00D96906">
              <w:rPr>
                <w:rFonts w:cs="Arial"/>
              </w:rPr>
              <w:t xml:space="preserve">20 minutes per students </w:t>
            </w:r>
          </w:p>
        </w:tc>
        <w:tc>
          <w:tcPr>
            <w:tcW w:w="1559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>100%</w:t>
            </w:r>
          </w:p>
        </w:tc>
      </w:tr>
    </w:tbl>
    <w:p w:rsidR="00D96906" w:rsidRPr="00D96906" w:rsidRDefault="00D96906" w:rsidP="00D96906">
      <w:pPr>
        <w:rPr>
          <w:rFonts w:cs="Arial"/>
          <w:b/>
        </w:rPr>
      </w:pPr>
    </w:p>
    <w:p w:rsidR="00D96906" w:rsidRPr="00D96906" w:rsidRDefault="00D96906" w:rsidP="00D96906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D96906">
        <w:rPr>
          <w:rFonts w:cs="Arial"/>
          <w:b/>
        </w:rPr>
        <w:t>Assessment Summary</w:t>
      </w:r>
    </w:p>
    <w:p w:rsidR="00D96906" w:rsidRPr="00D96906" w:rsidRDefault="00D96906" w:rsidP="00D96906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tbl>
      <w:tblPr>
        <w:tblStyle w:val="TableGrid20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96906" w:rsidRPr="00D96906" w:rsidTr="00D9690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D96906" w:rsidRPr="00D96906" w:rsidRDefault="00D96906" w:rsidP="007F78E2">
            <w:pPr>
              <w:keepNext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Percentage</w:t>
            </w:r>
          </w:p>
        </w:tc>
      </w:tr>
      <w:tr w:rsidR="00D96906" w:rsidRPr="00D96906" w:rsidTr="00D96906">
        <w:tc>
          <w:tcPr>
            <w:tcW w:w="3261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D96906" w:rsidRPr="00D96906" w:rsidTr="00D96906">
        <w:tc>
          <w:tcPr>
            <w:tcW w:w="3261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D96906" w:rsidRPr="00D96906" w:rsidTr="00D96906">
        <w:tc>
          <w:tcPr>
            <w:tcW w:w="3261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</w:rPr>
            </w:pPr>
            <w:r w:rsidRPr="00D96906">
              <w:rPr>
                <w:rFonts w:cs="Arial"/>
              </w:rPr>
              <w:t>100%</w:t>
            </w:r>
          </w:p>
        </w:tc>
      </w:tr>
      <w:tr w:rsidR="00D96906" w:rsidRPr="00D96906" w:rsidTr="00D96906">
        <w:tc>
          <w:tcPr>
            <w:tcW w:w="3261" w:type="dxa"/>
          </w:tcPr>
          <w:p w:rsidR="00D96906" w:rsidRPr="00D96906" w:rsidRDefault="00D96906" w:rsidP="007F78E2">
            <w:pPr>
              <w:keepNext/>
              <w:rPr>
                <w:rFonts w:cs="Arial"/>
              </w:rPr>
            </w:pPr>
            <w:r w:rsidRPr="00D96906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D96906" w:rsidRPr="00D96906" w:rsidRDefault="00D96906" w:rsidP="007F78E2">
            <w:pPr>
              <w:keepNext/>
              <w:jc w:val="center"/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100%</w:t>
            </w:r>
          </w:p>
        </w:tc>
      </w:tr>
    </w:tbl>
    <w:p w:rsidR="00D96906" w:rsidRPr="00D96906" w:rsidRDefault="00D96906" w:rsidP="00D96906">
      <w:pPr>
        <w:rPr>
          <w:rFonts w:cs="Arial"/>
        </w:rPr>
      </w:pPr>
    </w:p>
    <w:p w:rsidR="00D96906" w:rsidRPr="00D96906" w:rsidRDefault="00D96906" w:rsidP="00D96906">
      <w:pPr>
        <w:rPr>
          <w:rFonts w:cs="Arial"/>
          <w:color w:val="000000"/>
        </w:rPr>
      </w:pPr>
      <w:r w:rsidRPr="00D96906">
        <w:rPr>
          <w:rFonts w:cs="Arial"/>
          <w:color w:val="000000"/>
        </w:rPr>
        <w:t>This module is part of a degree programme which is professionally endorsed by ETS Cymru.</w:t>
      </w:r>
    </w:p>
    <w:p w:rsidR="00D96906" w:rsidRPr="00D96906" w:rsidRDefault="00D96906" w:rsidP="00D96906">
      <w:pPr>
        <w:rPr>
          <w:rFonts w:cs="Arial"/>
          <w:b/>
        </w:rPr>
      </w:pPr>
      <w:r w:rsidRPr="00D96906">
        <w:rPr>
          <w:rFonts w:cs="Arial"/>
          <w:b/>
        </w:rPr>
        <w:t>INDICATIVE READING LIST</w:t>
      </w:r>
    </w:p>
    <w:p w:rsidR="00D96906" w:rsidRPr="00D96906" w:rsidRDefault="00D96906" w:rsidP="00D96906">
      <w:pPr>
        <w:rPr>
          <w:rFonts w:cs="Arial"/>
          <w:b/>
        </w:rPr>
      </w:pPr>
    </w:p>
    <w:tbl>
      <w:tblPr>
        <w:tblStyle w:val="TableGrid2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96906" w:rsidRPr="00D96906" w:rsidTr="00D96906">
        <w:tc>
          <w:tcPr>
            <w:tcW w:w="1689" w:type="dxa"/>
            <w:shd w:val="clear" w:color="auto" w:fill="BFBFBF" w:themeFill="background1" w:themeFillShade="BF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ECYW6004</w:t>
            </w:r>
          </w:p>
        </w:tc>
      </w:tr>
      <w:tr w:rsidR="00D96906" w:rsidRPr="00D96906" w:rsidTr="00D96906">
        <w:tc>
          <w:tcPr>
            <w:tcW w:w="1689" w:type="dxa"/>
            <w:shd w:val="clear" w:color="auto" w:fill="BFBFBF" w:themeFill="background1" w:themeFillShade="BF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Young People and Society 3: Trauma, Exploitation and Toxic Childhood</w:t>
            </w:r>
          </w:p>
        </w:tc>
      </w:tr>
      <w:tr w:rsidR="00D96906" w:rsidRPr="00D96906" w:rsidTr="00D96906">
        <w:tc>
          <w:tcPr>
            <w:tcW w:w="1689" w:type="dxa"/>
            <w:shd w:val="clear" w:color="auto" w:fill="BFBFBF" w:themeFill="background1" w:themeFillShade="BF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D96906">
              <w:rPr>
                <w:rFonts w:cs="Arial"/>
                <w:b/>
              </w:rPr>
              <w:t>Electronic*</w:t>
            </w:r>
          </w:p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Aynsley-Green, A. (2018) </w:t>
            </w:r>
            <w:r w:rsidRPr="00D96906">
              <w:rPr>
                <w:rFonts w:cs="Arial"/>
                <w:i/>
              </w:rPr>
              <w:t xml:space="preserve">The British Betrayal of Childhood, Challenging Uncomfortable Truths and Bringing About Change. </w:t>
            </w:r>
            <w:r w:rsidRPr="00D96906">
              <w:rPr>
                <w:rFonts w:cs="Arial"/>
              </w:rPr>
              <w:t>Routledge, London.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4686683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 xml:space="preserve">Green, J. &amp; Tones, K (2010) </w:t>
            </w:r>
            <w:r w:rsidRPr="00D96906">
              <w:rPr>
                <w:rFonts w:cs="Arial"/>
                <w:i/>
              </w:rPr>
              <w:t xml:space="preserve">Health Promotion: planning and strategies. </w:t>
            </w:r>
            <w:r w:rsidRPr="00D96906">
              <w:rPr>
                <w:rFonts w:cs="Arial"/>
              </w:rPr>
              <w:t>London: Sage Publications.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647917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  <w:p w:rsidR="00D96906" w:rsidRPr="00D96906" w:rsidRDefault="00D96906" w:rsidP="007F78E2">
            <w:pPr>
              <w:jc w:val="center"/>
              <w:rPr>
                <w:rFonts w:cs="Arial"/>
              </w:rPr>
            </w:pPr>
          </w:p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 xml:space="preserve">Larkin, M. (2013) </w:t>
            </w:r>
            <w:r w:rsidRPr="00D96906">
              <w:rPr>
                <w:rFonts w:cs="Arial"/>
                <w:i/>
              </w:rPr>
              <w:t xml:space="preserve">Health and Well-being across the life course. </w:t>
            </w:r>
            <w:r w:rsidRPr="00D96906">
              <w:rPr>
                <w:rFonts w:cs="Arial"/>
              </w:rPr>
              <w:t>London: Sage Publications.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1114375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  <w:shd w:val="clear" w:color="auto" w:fill="FFFFFF"/>
              </w:rPr>
              <w:t>McLeod, J. (2015</w:t>
            </w:r>
            <w:r w:rsidRPr="00D96906">
              <w:rPr>
                <w:rFonts w:cs="Arial"/>
                <w:i/>
                <w:shd w:val="clear" w:color="auto" w:fill="FFFFFF"/>
              </w:rPr>
              <w:t xml:space="preserve">) Rethinking youth wellbeing: critical perspectives. </w:t>
            </w:r>
            <w:r w:rsidRPr="00D96906">
              <w:rPr>
                <w:rFonts w:cs="Arial"/>
                <w:shd w:val="clear" w:color="auto" w:fill="FFFFFF"/>
              </w:rPr>
              <w:t>Singapore: Springer.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7075936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ind w:firstLine="44"/>
              <w:rPr>
                <w:rFonts w:cs="Arial"/>
                <w:bdr w:val="none" w:sz="0" w:space="0" w:color="auto" w:frame="1"/>
                <w:shd w:val="clear" w:color="auto" w:fill="FFFFFF"/>
              </w:rPr>
            </w:pPr>
            <w:r w:rsidRPr="00D96906">
              <w:rPr>
                <w:rFonts w:cs="Arial"/>
                <w:bdr w:val="none" w:sz="0" w:space="0" w:color="auto" w:frame="1"/>
                <w:shd w:val="clear" w:color="auto" w:fill="FFFFFF"/>
              </w:rPr>
              <w:t xml:space="preserve">Aaltonen, S. and Karvonen, S. Floating Downstream? ‘Parental Support and Future Expectations of Young People from Less Privileged Backgrounds’, </w:t>
            </w:r>
            <w:r w:rsidRPr="00D96906">
              <w:rPr>
                <w:rFonts w:cs="Arial"/>
                <w:i/>
                <w:bdr w:val="none" w:sz="0" w:space="0" w:color="auto" w:frame="1"/>
                <w:shd w:val="clear" w:color="auto" w:fill="FFFFFF"/>
              </w:rPr>
              <w:t xml:space="preserve">Sociology, </w:t>
            </w:r>
            <w:r w:rsidRPr="00D96906">
              <w:rPr>
                <w:rFonts w:cs="Arial"/>
                <w:bdr w:val="none" w:sz="0" w:space="0" w:color="auto" w:frame="1"/>
                <w:shd w:val="clear" w:color="auto" w:fill="FFFFFF"/>
              </w:rPr>
              <w:t>2016, Vol.50(4), pp. 714-730.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4648507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Adam, E.K, Chyu, L, Hoy, L.T, Doane, L.D, Boisjoly, J, Duncan, J, Chase-Lansdale, L, and McDade, W.M. ‘Adverse Adolescent Relationship Histories and Young Adult Health: Cumulative Effects of Loneliness, Low Parental Support, Relationship Instability, Intimate Partner Violence, and Loss’, </w:t>
            </w:r>
            <w:r w:rsidRPr="00D96906">
              <w:rPr>
                <w:rFonts w:cs="Arial"/>
                <w:i/>
              </w:rPr>
              <w:t>Journal of Adolescent Health</w:t>
            </w:r>
            <w:r w:rsidRPr="00D96906">
              <w:rPr>
                <w:rFonts w:cs="Arial"/>
              </w:rPr>
              <w:t>, Vol.49, Issue 3. September 2011, p278-286.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36912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Anderson, G., and Herr, K. (2015) New Public Management and the New Professionalism in Education: Framing the Issue. </w:t>
            </w:r>
            <w:r w:rsidRPr="00D96906">
              <w:rPr>
                <w:rFonts w:cs="Arial"/>
                <w:i/>
              </w:rPr>
              <w:t xml:space="preserve">Education, Policy and Analysis Archives. </w:t>
            </w:r>
            <w:r w:rsidRPr="00D96906">
              <w:rPr>
                <w:rFonts w:cs="Arial"/>
              </w:rPr>
              <w:t>Vol. 23(84), pp. 17.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3810969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  <w:bdr w:val="none" w:sz="0" w:space="0" w:color="auto" w:frame="1"/>
                <w:shd w:val="clear" w:color="auto" w:fill="FFFFFF"/>
              </w:rPr>
            </w:pPr>
            <w:r w:rsidRPr="00D96906">
              <w:rPr>
                <w:rFonts w:cs="Arial"/>
                <w:bdr w:val="none" w:sz="0" w:space="0" w:color="auto" w:frame="1"/>
                <w:shd w:val="clear" w:color="auto" w:fill="FFFFFF"/>
              </w:rPr>
              <w:t xml:space="preserve">Austin, A. On Well-Being and Public Policy: Are We Capable of Questioning the Hegemony of Happiness? </w:t>
            </w:r>
            <w:r w:rsidRPr="00D96906">
              <w:rPr>
                <w:rFonts w:cs="Arial"/>
                <w:i/>
                <w:bdr w:val="none" w:sz="0" w:space="0" w:color="auto" w:frame="1"/>
                <w:shd w:val="clear" w:color="auto" w:fill="FFFFFF"/>
              </w:rPr>
              <w:t xml:space="preserve">Social Indicators Research, </w:t>
            </w:r>
            <w:r w:rsidRPr="00D96906">
              <w:rPr>
                <w:rFonts w:cs="Arial"/>
                <w:bdr w:val="none" w:sz="0" w:space="0" w:color="auto" w:frame="1"/>
                <w:shd w:val="clear" w:color="auto" w:fill="FFFFFF"/>
              </w:rPr>
              <w:t>2016, Vol.127(1), pp. 123-128.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49325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ind w:firstLine="44"/>
              <w:rPr>
                <w:rFonts w:cs="Arial"/>
              </w:rPr>
            </w:pPr>
            <w:r w:rsidRPr="00D96906">
              <w:rPr>
                <w:rFonts w:cs="Arial"/>
              </w:rPr>
              <w:t xml:space="preserve">Bellis, M.A. Downing, J. and Ashton, J.R. (2006) ‘Adults at 12? Trends in puberty and their public health consequences’, </w:t>
            </w:r>
            <w:r w:rsidRPr="00D96906">
              <w:rPr>
                <w:rFonts w:cs="Arial"/>
                <w:i/>
                <w:iCs/>
              </w:rPr>
              <w:t xml:space="preserve">Journal of Epidemiology and Community Health, </w:t>
            </w:r>
            <w:r w:rsidRPr="00D96906">
              <w:rPr>
                <w:rFonts w:cs="Arial"/>
              </w:rPr>
              <w:t>(60), pp 910-911.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654004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ind w:left="44" w:hanging="44"/>
              <w:rPr>
                <w:rFonts w:cs="Arial"/>
              </w:rPr>
            </w:pPr>
            <w:r w:rsidRPr="00D96906">
              <w:rPr>
                <w:rFonts w:cs="Arial"/>
              </w:rPr>
              <w:t xml:space="preserve">Bockman, J. ‘Neoliberalism’, in </w:t>
            </w:r>
            <w:r w:rsidRPr="00D96906">
              <w:rPr>
                <w:rFonts w:cs="Arial"/>
                <w:i/>
              </w:rPr>
              <w:t>Contexts</w:t>
            </w:r>
            <w:r w:rsidRPr="00D96906">
              <w:rPr>
                <w:rFonts w:cs="Arial"/>
              </w:rPr>
              <w:t xml:space="preserve">, Vol. 12, No. 3, pp. 14-15. [Online] Available at American Sociological Association. </w:t>
            </w:r>
            <w:hyperlink r:id="rId5" w:history="1">
              <w:r w:rsidRPr="00D96906">
                <w:rPr>
                  <w:rFonts w:cs="Arial"/>
                  <w:color w:val="0000FF"/>
                  <w:u w:val="single"/>
                </w:rPr>
                <w:t>http://contexts.sagepub.com</w:t>
              </w:r>
            </w:hyperlink>
            <w:r w:rsidRPr="00D96906">
              <w:rPr>
                <w:rFonts w:cs="Arial"/>
              </w:rPr>
              <w:t xml:space="preserve">  Accessed 18.02.18.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9914842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Broadbent, E, Gougoulis, J, Lui, N, Pota, V, and Simons, J. (2017) </w:t>
            </w:r>
            <w:r w:rsidRPr="00D96906">
              <w:rPr>
                <w:rFonts w:cs="Arial"/>
                <w:i/>
              </w:rPr>
              <w:t xml:space="preserve">Generation Z: GLOBAL CITIZENSHIP SURVEY. </w:t>
            </w:r>
            <w:r w:rsidRPr="00D96906">
              <w:rPr>
                <w:rFonts w:cs="Arial"/>
              </w:rPr>
              <w:t>Varkey Foundation, London: England.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857305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eastAsia="MS Gothic"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Burger, K, and Samuel, R. ‘The Role of Perceived Stress and Self-Efficacy in Young People’s Life Satisfaction; A Longitudinal Study’. </w:t>
            </w:r>
            <w:r w:rsidRPr="00D96906">
              <w:rPr>
                <w:rFonts w:cs="Arial"/>
                <w:i/>
              </w:rPr>
              <w:t>Journal of Youth and Adolescence</w:t>
            </w:r>
            <w:r w:rsidRPr="00D96906">
              <w:rPr>
                <w:rFonts w:cs="Arial"/>
              </w:rPr>
              <w:t>, 2017. Vol. 46(1) 78-90.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4580295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Hanson, L. Deers, D, Lee, C. Lewin, A, and Seval, C. (2001) </w:t>
            </w:r>
            <w:r w:rsidRPr="00D96906">
              <w:rPr>
                <w:rFonts w:cs="Arial"/>
                <w:i/>
              </w:rPr>
              <w:t xml:space="preserve">Key Principles in Providing Integrated Behavioural Health Services for Young Children and Their Families: The Starting Early Starting Smart Experience. </w:t>
            </w:r>
            <w:r w:rsidRPr="00D96906">
              <w:rPr>
                <w:rFonts w:cs="Arial"/>
              </w:rPr>
              <w:t>Washington DC: Casey Family Programs and the US Department of Health and Human Services, Substance Abuse and Mental Health Services Administration.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130465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Hartas, D. (2014) </w:t>
            </w:r>
            <w:r w:rsidRPr="00D96906">
              <w:rPr>
                <w:rFonts w:cs="Arial"/>
                <w:i/>
              </w:rPr>
              <w:t xml:space="preserve">Parenting, Family Policy and Children’s Well-being in an Unequal Society, A new Culture War for Parents. </w:t>
            </w:r>
            <w:r w:rsidRPr="00D96906">
              <w:rPr>
                <w:rFonts w:cs="Arial"/>
              </w:rPr>
              <w:t xml:space="preserve"> Palgrave Macmillan: Basingstoke.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001841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tr w:rsidR="00D96906" w:rsidRPr="00D96906" w:rsidTr="00D96906">
        <w:tc>
          <w:tcPr>
            <w:tcW w:w="1689" w:type="dxa"/>
          </w:tcPr>
          <w:p w:rsidR="00D96906" w:rsidRPr="00D96906" w:rsidRDefault="00D96906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D9690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:rsidR="00D96906" w:rsidRPr="00D96906" w:rsidRDefault="00D96906" w:rsidP="007F78E2">
            <w:pPr>
              <w:rPr>
                <w:rFonts w:cs="Arial"/>
              </w:rPr>
            </w:pPr>
            <w:r w:rsidRPr="00D96906">
              <w:rPr>
                <w:rFonts w:cs="Arial"/>
              </w:rPr>
              <w:t xml:space="preserve">McGimpsey, I. Late neoliberalism: Delineating a policy regime. </w:t>
            </w:r>
            <w:r w:rsidRPr="00D96906">
              <w:rPr>
                <w:rFonts w:cs="Arial"/>
                <w:i/>
              </w:rPr>
              <w:t xml:space="preserve">Critical Social Policy, </w:t>
            </w:r>
            <w:r w:rsidRPr="00D96906">
              <w:rPr>
                <w:rFonts w:cs="Arial"/>
              </w:rPr>
              <w:t>2017, Vol.37(1), pp64-84.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399571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96906" w:rsidRPr="00D96906" w:rsidRDefault="00D96906" w:rsidP="007F78E2">
                <w:pPr>
                  <w:jc w:val="center"/>
                  <w:rPr>
                    <w:rFonts w:cs="Arial"/>
                  </w:rPr>
                </w:pPr>
                <w:r w:rsidRPr="00D96906">
                  <w:rPr>
                    <w:rFonts w:cs="Arial"/>
                  </w:rPr>
                  <w:t>☐</w:t>
                </w:r>
              </w:p>
            </w:sdtContent>
          </w:sdt>
        </w:tc>
      </w:tr>
      <w:bookmarkEnd w:id="0"/>
    </w:tbl>
    <w:p w:rsidR="00B3318C" w:rsidRPr="00D96906" w:rsidRDefault="00B3318C" w:rsidP="002E13CA">
      <w:pPr>
        <w:pStyle w:val="HTMLPreformatted"/>
        <w:rPr>
          <w:rFonts w:cs="Arial"/>
        </w:rPr>
      </w:pPr>
    </w:p>
    <w:sectPr w:rsidR="00B3318C" w:rsidRPr="00D96906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66012"/>
    <w:multiLevelType w:val="hybridMultilevel"/>
    <w:tmpl w:val="AD60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06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D26878"/>
    <w:rsid w:val="00D9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1DB92-0C38-4AC7-A4AD-EA1099D6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table" w:customStyle="1" w:styleId="TableGrid20">
    <w:name w:val="Table Grid20"/>
    <w:basedOn w:val="TableNormal"/>
    <w:next w:val="TableGrid"/>
    <w:uiPriority w:val="59"/>
    <w:rsid w:val="00D96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D96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96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ontexts.sagepub.com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1D04A4E3500434AB3CF48EF549CA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E9E68-D697-4B0D-8190-9EE24CD5A016}"/>
      </w:docPartPr>
      <w:docPartBody>
        <w:p w:rsidR="00000000" w:rsidRDefault="00240721" w:rsidP="00240721">
          <w:pPr>
            <w:pStyle w:val="41D04A4E3500434AB3CF48EF549CA71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1A12D73A90E34FE291D1E88BCE2E85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D8689-2817-4BB4-960D-71AB3581E8FF}"/>
      </w:docPartPr>
      <w:docPartBody>
        <w:p w:rsidR="00000000" w:rsidRDefault="00240721" w:rsidP="00240721">
          <w:pPr>
            <w:pStyle w:val="1A12D73A90E34FE291D1E88BCE2E852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721"/>
    <w:rsid w:val="0024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40721"/>
    <w:rPr>
      <w:color w:val="808080"/>
    </w:rPr>
  </w:style>
  <w:style w:type="paragraph" w:customStyle="1" w:styleId="41D04A4E3500434AB3CF48EF549CA71C">
    <w:name w:val="41D04A4E3500434AB3CF48EF549CA71C"/>
    <w:rsid w:val="00240721"/>
  </w:style>
  <w:style w:type="paragraph" w:customStyle="1" w:styleId="1A12D73A90E34FE291D1E88BCE2E852C">
    <w:name w:val="1A12D73A90E34FE291D1E88BCE2E852C"/>
    <w:rsid w:val="002407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Gwion Ramage</cp:lastModifiedBy>
  <cp:revision>1</cp:revision>
  <cp:lastPrinted>1900-01-01T00:00:00Z</cp:lastPrinted>
  <dcterms:created xsi:type="dcterms:W3CDTF">2020-03-10T13:55:00Z</dcterms:created>
  <dcterms:modified xsi:type="dcterms:W3CDTF">2020-03-10T13:55:00Z</dcterms:modified>
</cp:coreProperties>
</file>