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D65" w:rsidRDefault="00FD51BB" w:rsidP="00FD51BB">
      <w:pPr>
        <w:tabs>
          <w:tab w:val="left" w:pos="1020"/>
          <w:tab w:val="center" w:pos="4513"/>
        </w:tabs>
        <w:rPr>
          <w:rFonts w:ascii="Arial" w:hAnsi="Arial" w:cs="Arial"/>
          <w:sz w:val="28"/>
          <w:szCs w:val="24"/>
        </w:rPr>
      </w:pPr>
      <w:r>
        <w:rPr>
          <w:rFonts w:ascii="Arial" w:hAnsi="Arial" w:cs="Arial"/>
          <w:sz w:val="28"/>
          <w:szCs w:val="24"/>
        </w:rPr>
        <w:tab/>
      </w:r>
      <w:r>
        <w:rPr>
          <w:rFonts w:ascii="Arial" w:hAnsi="Arial" w:cs="Arial"/>
          <w:sz w:val="28"/>
          <w:szCs w:val="24"/>
        </w:rPr>
        <w:tab/>
      </w:r>
      <w:r w:rsidR="00D824A4" w:rsidRPr="00D824A4">
        <w:rPr>
          <w:rFonts w:ascii="Arial" w:hAnsi="Arial" w:cs="Arial"/>
          <w:sz w:val="28"/>
          <w:szCs w:val="24"/>
        </w:rPr>
        <w:t>Was death celebrated or feared in the Middle Ages?</w:t>
      </w:r>
    </w:p>
    <w:p w:rsidR="00FD5E78" w:rsidRDefault="00FD5E78" w:rsidP="00D824A4">
      <w:pPr>
        <w:jc w:val="both"/>
        <w:rPr>
          <w:rFonts w:ascii="Arial" w:hAnsi="Arial" w:cs="Arial"/>
          <w:sz w:val="24"/>
          <w:szCs w:val="24"/>
        </w:rPr>
      </w:pPr>
      <w:r>
        <w:rPr>
          <w:rFonts w:ascii="Arial" w:hAnsi="Arial" w:cs="Arial"/>
          <w:sz w:val="24"/>
          <w:szCs w:val="24"/>
        </w:rPr>
        <w:t xml:space="preserve">Death was both feared and celebrated in the Middle Ages. However, as this epoch spanned over 1,000 years, from 476AD to 1500AD, there were moments in which the strongest of these emotions were felt by the European populous. For example, under the reign of King John the people of England were heavily taxed </w:t>
      </w:r>
      <w:r w:rsidR="004C71CA">
        <w:rPr>
          <w:rFonts w:ascii="Arial" w:hAnsi="Arial" w:cs="Arial"/>
          <w:sz w:val="24"/>
          <w:szCs w:val="24"/>
        </w:rPr>
        <w:t xml:space="preserve">and so largely lived in great austerity; </w:t>
      </w:r>
      <w:r>
        <w:rPr>
          <w:rFonts w:ascii="Arial" w:hAnsi="Arial" w:cs="Arial"/>
          <w:sz w:val="24"/>
          <w:szCs w:val="24"/>
        </w:rPr>
        <w:t xml:space="preserve">therefore, upon his death in 1216 </w:t>
      </w:r>
      <w:r w:rsidR="004C71CA">
        <w:rPr>
          <w:rFonts w:ascii="Arial" w:hAnsi="Arial" w:cs="Arial"/>
          <w:sz w:val="24"/>
          <w:szCs w:val="24"/>
        </w:rPr>
        <w:t xml:space="preserve">crowds celebrated. </w:t>
      </w:r>
      <w:r w:rsidR="00A6302A">
        <w:rPr>
          <w:rFonts w:ascii="Arial" w:hAnsi="Arial" w:cs="Arial"/>
          <w:sz w:val="24"/>
          <w:szCs w:val="24"/>
        </w:rPr>
        <w:t>By</w:t>
      </w:r>
      <w:r w:rsidR="004C71CA">
        <w:rPr>
          <w:rFonts w:ascii="Arial" w:hAnsi="Arial" w:cs="Arial"/>
          <w:sz w:val="24"/>
          <w:szCs w:val="24"/>
        </w:rPr>
        <w:t xml:space="preserve"> contrast, </w:t>
      </w:r>
      <w:r w:rsidR="00A6302A">
        <w:rPr>
          <w:rFonts w:ascii="Arial" w:hAnsi="Arial" w:cs="Arial"/>
          <w:sz w:val="24"/>
          <w:szCs w:val="24"/>
        </w:rPr>
        <w:t xml:space="preserve">throughout </w:t>
      </w:r>
      <w:r w:rsidR="004C71CA">
        <w:rPr>
          <w:rFonts w:ascii="Arial" w:hAnsi="Arial" w:cs="Arial"/>
          <w:sz w:val="24"/>
          <w:szCs w:val="24"/>
        </w:rPr>
        <w:t xml:space="preserve">the reign of Richard the Lionheart, despite only being a physically present ruler of England for six months, </w:t>
      </w:r>
      <w:r w:rsidR="00A6302A">
        <w:rPr>
          <w:rFonts w:ascii="Arial" w:hAnsi="Arial" w:cs="Arial"/>
          <w:sz w:val="24"/>
          <w:szCs w:val="24"/>
        </w:rPr>
        <w:t>he was revered, loved and greatly missed upon his death; yet, although the population cherished the memory of their King, fear was felt throughout England because Richard’s loss left England without an heir for the Crown. This suggests that it was not merely the way in which the deceased passed that affected the feelings of the medieval populous; but the way that they had lived their lives: showing honour, piety and mercy. Although there were numerous other factors that affected people’s</w:t>
      </w:r>
      <w:r w:rsidR="00103D58">
        <w:rPr>
          <w:rFonts w:ascii="Arial" w:hAnsi="Arial" w:cs="Arial"/>
          <w:sz w:val="24"/>
          <w:szCs w:val="24"/>
        </w:rPr>
        <w:t xml:space="preserve"> reactions to death, the departed had a</w:t>
      </w:r>
      <w:r w:rsidR="00A6302A">
        <w:rPr>
          <w:rFonts w:ascii="Arial" w:hAnsi="Arial" w:cs="Arial"/>
          <w:sz w:val="24"/>
          <w:szCs w:val="24"/>
        </w:rPr>
        <w:t xml:space="preserve"> fate</w:t>
      </w:r>
      <w:r w:rsidR="00103D58">
        <w:rPr>
          <w:rFonts w:ascii="Arial" w:hAnsi="Arial" w:cs="Arial"/>
          <w:sz w:val="24"/>
          <w:szCs w:val="24"/>
        </w:rPr>
        <w:t xml:space="preserve"> </w:t>
      </w:r>
      <w:r w:rsidR="00A6302A">
        <w:rPr>
          <w:rFonts w:ascii="Arial" w:hAnsi="Arial" w:cs="Arial"/>
          <w:sz w:val="24"/>
          <w:szCs w:val="24"/>
        </w:rPr>
        <w:t xml:space="preserve">ultimately determined by the Catholic Church. </w:t>
      </w:r>
      <w:r w:rsidR="00103D58">
        <w:rPr>
          <w:rFonts w:ascii="Arial" w:hAnsi="Arial" w:cs="Arial"/>
          <w:sz w:val="24"/>
          <w:szCs w:val="24"/>
        </w:rPr>
        <w:t xml:space="preserve">The irresolute stance that the laity took towards death, a commonplace occurrence in the medieval world, was not shared by the Papacy: they were as certain about the eternal fires of Hell that faced sinners and the ethereal wonders of Heaven as laypeople were about the transitory nature of mortality. Thus, piety was the greatest factor in determining whether a death was feared or celebrated in the </w:t>
      </w:r>
      <w:r w:rsidR="001E1B93">
        <w:rPr>
          <w:rFonts w:ascii="Arial" w:hAnsi="Arial" w:cs="Arial"/>
          <w:sz w:val="24"/>
          <w:szCs w:val="24"/>
        </w:rPr>
        <w:t>medieval</w:t>
      </w:r>
      <w:r w:rsidR="00103D58">
        <w:rPr>
          <w:rFonts w:ascii="Arial" w:hAnsi="Arial" w:cs="Arial"/>
          <w:sz w:val="24"/>
          <w:szCs w:val="24"/>
        </w:rPr>
        <w:t xml:space="preserve"> world.</w:t>
      </w:r>
    </w:p>
    <w:p w:rsidR="000D0A70" w:rsidRDefault="000F75E3" w:rsidP="00D824A4">
      <w:pPr>
        <w:jc w:val="both"/>
        <w:rPr>
          <w:rFonts w:ascii="Arial" w:hAnsi="Arial" w:cs="Arial"/>
          <w:sz w:val="24"/>
          <w:szCs w:val="24"/>
        </w:rPr>
      </w:pPr>
      <w:r>
        <w:rPr>
          <w:rFonts w:ascii="Arial" w:hAnsi="Arial" w:cs="Arial"/>
          <w:sz w:val="24"/>
          <w:szCs w:val="24"/>
        </w:rPr>
        <w:t>The life of the deceased and the way in which they died had equal impact on their mourners’ reaction. Martyrdom was arguably the most honourable way that a pious Christian could wish to die</w:t>
      </w:r>
      <w:r w:rsidR="00ED74B2">
        <w:rPr>
          <w:rFonts w:ascii="Arial" w:hAnsi="Arial" w:cs="Arial"/>
          <w:sz w:val="24"/>
          <w:szCs w:val="24"/>
        </w:rPr>
        <w:t xml:space="preserve"> because </w:t>
      </w:r>
      <w:r w:rsidR="00597FB7">
        <w:rPr>
          <w:rFonts w:ascii="Arial" w:hAnsi="Arial" w:cs="Arial"/>
          <w:sz w:val="24"/>
          <w:szCs w:val="24"/>
        </w:rPr>
        <w:t>their death was a sacrifice for the security of England. Moreover, i</w:t>
      </w:r>
      <w:r w:rsidR="00536300">
        <w:rPr>
          <w:rFonts w:ascii="Arial" w:hAnsi="Arial" w:cs="Arial"/>
          <w:sz w:val="24"/>
          <w:szCs w:val="24"/>
        </w:rPr>
        <w:t>n</w:t>
      </w:r>
      <w:r w:rsidR="00597FB7">
        <w:rPr>
          <w:rFonts w:ascii="Arial" w:hAnsi="Arial" w:cs="Arial"/>
          <w:sz w:val="24"/>
          <w:szCs w:val="24"/>
        </w:rPr>
        <w:t xml:space="preserve"> 1095 at the Council of Clermont</w:t>
      </w:r>
      <w:r w:rsidR="00597FB7">
        <w:rPr>
          <w:rStyle w:val="FootnoteReference"/>
          <w:rFonts w:ascii="Arial" w:hAnsi="Arial" w:cs="Arial"/>
          <w:sz w:val="24"/>
          <w:szCs w:val="24"/>
        </w:rPr>
        <w:footnoteReference w:id="1"/>
      </w:r>
      <w:r w:rsidR="00597FB7">
        <w:rPr>
          <w:rFonts w:ascii="Arial" w:hAnsi="Arial" w:cs="Arial"/>
          <w:sz w:val="24"/>
          <w:szCs w:val="24"/>
        </w:rPr>
        <w:t xml:space="preserve"> </w:t>
      </w:r>
      <w:r w:rsidR="00ED74B2">
        <w:rPr>
          <w:rFonts w:ascii="Arial" w:hAnsi="Arial" w:cs="Arial"/>
          <w:sz w:val="24"/>
          <w:szCs w:val="24"/>
        </w:rPr>
        <w:t xml:space="preserve">Pope Urban II’s papal indulgence, a verbal contract </w:t>
      </w:r>
      <w:r w:rsidR="00597FB7">
        <w:rPr>
          <w:rFonts w:ascii="Arial" w:hAnsi="Arial" w:cs="Arial"/>
          <w:sz w:val="24"/>
          <w:szCs w:val="24"/>
        </w:rPr>
        <w:t>agreed upon</w:t>
      </w:r>
      <w:r w:rsidR="00ED74B2">
        <w:rPr>
          <w:rFonts w:ascii="Arial" w:hAnsi="Arial" w:cs="Arial"/>
          <w:sz w:val="24"/>
          <w:szCs w:val="24"/>
        </w:rPr>
        <w:t xml:space="preserve"> prior to the first Crusade, </w:t>
      </w:r>
      <w:r w:rsidR="00536300">
        <w:rPr>
          <w:rFonts w:ascii="Arial" w:hAnsi="Arial" w:cs="Arial"/>
          <w:sz w:val="24"/>
          <w:szCs w:val="24"/>
        </w:rPr>
        <w:t>granted</w:t>
      </w:r>
      <w:r w:rsidR="00ED74B2">
        <w:rPr>
          <w:rFonts w:ascii="Arial" w:hAnsi="Arial" w:cs="Arial"/>
          <w:sz w:val="24"/>
          <w:szCs w:val="24"/>
        </w:rPr>
        <w:t xml:space="preserve"> crusader</w:t>
      </w:r>
      <w:r w:rsidR="00536300">
        <w:rPr>
          <w:rFonts w:ascii="Arial" w:hAnsi="Arial" w:cs="Arial"/>
          <w:sz w:val="24"/>
          <w:szCs w:val="24"/>
        </w:rPr>
        <w:t>s absolution</w:t>
      </w:r>
      <w:r w:rsidR="00597FB7">
        <w:rPr>
          <w:rFonts w:ascii="Arial" w:hAnsi="Arial" w:cs="Arial"/>
          <w:sz w:val="24"/>
          <w:szCs w:val="24"/>
        </w:rPr>
        <w:t xml:space="preserve"> for the</w:t>
      </w:r>
      <w:r w:rsidR="001E1B93">
        <w:rPr>
          <w:rFonts w:ascii="Arial" w:hAnsi="Arial" w:cs="Arial"/>
          <w:sz w:val="24"/>
          <w:szCs w:val="24"/>
        </w:rPr>
        <w:t>ir</w:t>
      </w:r>
      <w:r w:rsidR="00597FB7">
        <w:rPr>
          <w:rFonts w:ascii="Arial" w:hAnsi="Arial" w:cs="Arial"/>
          <w:sz w:val="24"/>
          <w:szCs w:val="24"/>
        </w:rPr>
        <w:t xml:space="preserve"> previous and future transgressions which assured them </w:t>
      </w:r>
      <w:r w:rsidR="00536300">
        <w:rPr>
          <w:rFonts w:ascii="Arial" w:hAnsi="Arial" w:cs="Arial"/>
          <w:sz w:val="24"/>
          <w:szCs w:val="24"/>
        </w:rPr>
        <w:t xml:space="preserve">their transcendence </w:t>
      </w:r>
      <w:r w:rsidR="00597FB7">
        <w:rPr>
          <w:rFonts w:ascii="Arial" w:hAnsi="Arial" w:cs="Arial"/>
          <w:sz w:val="24"/>
          <w:szCs w:val="24"/>
        </w:rPr>
        <w:t>in</w:t>
      </w:r>
      <w:r w:rsidR="00536300">
        <w:rPr>
          <w:rFonts w:ascii="Arial" w:hAnsi="Arial" w:cs="Arial"/>
          <w:sz w:val="24"/>
          <w:szCs w:val="24"/>
        </w:rPr>
        <w:t>to Heaven</w:t>
      </w:r>
      <w:r w:rsidR="001E1B93">
        <w:rPr>
          <w:rFonts w:ascii="Arial" w:hAnsi="Arial" w:cs="Arial"/>
          <w:sz w:val="24"/>
          <w:szCs w:val="24"/>
        </w:rPr>
        <w:t xml:space="preserve"> upon death. Such a guarantee gave the families of crusaders who lost husbands, fathers, brothers and sons something </w:t>
      </w:r>
      <w:r w:rsidR="00237E0D">
        <w:rPr>
          <w:rFonts w:ascii="Arial" w:hAnsi="Arial" w:cs="Arial"/>
          <w:sz w:val="24"/>
          <w:szCs w:val="24"/>
        </w:rPr>
        <w:t>to celebrate and be proud of because Urban’s depiction of foreign nations’ atrocities committed against the English was so graphic: ‘pull out the end of their intestines… all their bowels pulled out, they fall lifeless to the ground.’</w:t>
      </w:r>
      <w:r w:rsidR="00237E0D">
        <w:rPr>
          <w:rStyle w:val="FootnoteReference"/>
          <w:rFonts w:ascii="Arial" w:hAnsi="Arial" w:cs="Arial"/>
          <w:sz w:val="24"/>
          <w:szCs w:val="24"/>
        </w:rPr>
        <w:footnoteReference w:id="2"/>
      </w:r>
      <w:r w:rsidR="00237E0D">
        <w:rPr>
          <w:rFonts w:ascii="Arial" w:hAnsi="Arial" w:cs="Arial"/>
          <w:sz w:val="24"/>
          <w:szCs w:val="24"/>
        </w:rPr>
        <w:t xml:space="preserve"> It is clear that Pope Urban II is employing hyperbole and mass exaggeration here, to achieve his ulterior motive: enlisting soldiers to recapture the Holy Land in the first Crusade; however, the assurance that God is on their side and that they are the righteous fighting the barbaric heathens removes </w:t>
      </w:r>
      <w:r w:rsidR="0042578E">
        <w:rPr>
          <w:rFonts w:ascii="Arial" w:hAnsi="Arial" w:cs="Arial"/>
          <w:sz w:val="24"/>
          <w:szCs w:val="24"/>
        </w:rPr>
        <w:t xml:space="preserve">the fear that crusaders had facing their deaths. </w:t>
      </w:r>
      <w:r w:rsidR="001E1B93">
        <w:rPr>
          <w:rFonts w:ascii="Arial" w:hAnsi="Arial" w:cs="Arial"/>
          <w:sz w:val="24"/>
          <w:szCs w:val="24"/>
        </w:rPr>
        <w:t xml:space="preserve">Yet, </w:t>
      </w:r>
      <w:r w:rsidR="0042578E">
        <w:rPr>
          <w:rFonts w:ascii="Arial" w:hAnsi="Arial" w:cs="Arial"/>
          <w:sz w:val="24"/>
          <w:szCs w:val="24"/>
        </w:rPr>
        <w:t xml:space="preserve">this peace was not echoed in the women left behind, as </w:t>
      </w:r>
      <w:r w:rsidR="001E1B93">
        <w:rPr>
          <w:rFonts w:ascii="Arial" w:hAnsi="Arial" w:cs="Arial"/>
          <w:sz w:val="24"/>
          <w:szCs w:val="24"/>
        </w:rPr>
        <w:t>due to the patriarchal nature of the Middle Ages the loss of the working man and figurehead of a family left women, ‘dependents’</w:t>
      </w:r>
      <w:r w:rsidR="001E1B93">
        <w:rPr>
          <w:rStyle w:val="FootnoteReference"/>
          <w:rFonts w:ascii="Arial" w:hAnsi="Arial" w:cs="Arial"/>
          <w:sz w:val="24"/>
          <w:szCs w:val="24"/>
        </w:rPr>
        <w:footnoteReference w:id="3"/>
      </w:r>
      <w:r w:rsidR="001E1B93">
        <w:rPr>
          <w:rFonts w:ascii="Arial" w:hAnsi="Arial" w:cs="Arial"/>
          <w:sz w:val="24"/>
          <w:szCs w:val="24"/>
        </w:rPr>
        <w:t xml:space="preserve"> as </w:t>
      </w:r>
      <w:r w:rsidR="001E1B93">
        <w:rPr>
          <w:rFonts w:ascii="Arial" w:hAnsi="Arial" w:cs="Arial"/>
          <w:sz w:val="24"/>
          <w:szCs w:val="24"/>
        </w:rPr>
        <w:lastRenderedPageBreak/>
        <w:t xml:space="preserve">Judith Bennett argues, struggling to survive and therefore fearful of their future. </w:t>
      </w:r>
      <w:r w:rsidR="0042578E">
        <w:rPr>
          <w:rFonts w:ascii="Arial" w:hAnsi="Arial" w:cs="Arial"/>
          <w:sz w:val="24"/>
          <w:szCs w:val="24"/>
        </w:rPr>
        <w:t>Moreover, before honouring the death of martyr English women faced the harsh reality of grieving their loss with little social freedom. B</w:t>
      </w:r>
      <w:r w:rsidR="007A7F47">
        <w:rPr>
          <w:rFonts w:ascii="Arial" w:hAnsi="Arial" w:cs="Arial"/>
          <w:sz w:val="24"/>
          <w:szCs w:val="24"/>
        </w:rPr>
        <w:t xml:space="preserve">y contrast, Jewish women in Medieval Spain are recorded doing the Dance of Death, in </w:t>
      </w:r>
      <w:r w:rsidR="007A7F47" w:rsidRPr="007A7F47">
        <w:rPr>
          <w:rFonts w:ascii="Arial" w:hAnsi="Arial" w:cs="Arial"/>
          <w:i/>
          <w:sz w:val="24"/>
          <w:szCs w:val="24"/>
        </w:rPr>
        <w:t>Endechas</w:t>
      </w:r>
      <w:r w:rsidR="007A7F47">
        <w:rPr>
          <w:rFonts w:ascii="Arial" w:hAnsi="Arial" w:cs="Arial"/>
          <w:sz w:val="24"/>
          <w:szCs w:val="24"/>
        </w:rPr>
        <w:t>,</w:t>
      </w:r>
      <w:r w:rsidR="007A7F47">
        <w:rPr>
          <w:rStyle w:val="FootnoteReference"/>
          <w:rFonts w:ascii="Arial" w:hAnsi="Arial" w:cs="Arial"/>
          <w:sz w:val="24"/>
          <w:szCs w:val="24"/>
        </w:rPr>
        <w:footnoteReference w:id="4"/>
      </w:r>
      <w:r w:rsidR="007A7F47">
        <w:rPr>
          <w:rFonts w:ascii="Arial" w:hAnsi="Arial" w:cs="Arial"/>
          <w:sz w:val="24"/>
          <w:szCs w:val="24"/>
        </w:rPr>
        <w:t xml:space="preserve"> a violently aggressive series of movements and shouts in an attempt to purge the body</w:t>
      </w:r>
      <w:r w:rsidR="0042578E">
        <w:rPr>
          <w:rFonts w:ascii="Arial" w:hAnsi="Arial" w:cs="Arial"/>
          <w:sz w:val="24"/>
          <w:szCs w:val="24"/>
        </w:rPr>
        <w:t xml:space="preserve"> and soul</w:t>
      </w:r>
      <w:r w:rsidR="007A7F47">
        <w:rPr>
          <w:rFonts w:ascii="Arial" w:hAnsi="Arial" w:cs="Arial"/>
          <w:sz w:val="24"/>
          <w:szCs w:val="24"/>
        </w:rPr>
        <w:t xml:space="preserve"> of sorrow</w:t>
      </w:r>
      <w:r w:rsidR="0042578E">
        <w:rPr>
          <w:rFonts w:ascii="Arial" w:hAnsi="Arial" w:cs="Arial"/>
          <w:sz w:val="24"/>
          <w:szCs w:val="24"/>
        </w:rPr>
        <w:t>, to stop</w:t>
      </w:r>
      <w:r w:rsidR="007A7F47">
        <w:rPr>
          <w:rFonts w:ascii="Arial" w:hAnsi="Arial" w:cs="Arial"/>
          <w:sz w:val="24"/>
          <w:szCs w:val="24"/>
        </w:rPr>
        <w:t xml:space="preserve"> lamenting the</w:t>
      </w:r>
      <w:r w:rsidR="0042578E">
        <w:rPr>
          <w:rFonts w:ascii="Arial" w:hAnsi="Arial" w:cs="Arial"/>
          <w:sz w:val="24"/>
          <w:szCs w:val="24"/>
        </w:rPr>
        <w:t>ir</w:t>
      </w:r>
      <w:r w:rsidR="007A7F47">
        <w:rPr>
          <w:rFonts w:ascii="Arial" w:hAnsi="Arial" w:cs="Arial"/>
          <w:sz w:val="24"/>
          <w:szCs w:val="24"/>
        </w:rPr>
        <w:t xml:space="preserve"> loss in order to celebrate the deceased’s life. </w:t>
      </w:r>
      <w:r w:rsidR="00C17139">
        <w:rPr>
          <w:rFonts w:ascii="Arial" w:hAnsi="Arial" w:cs="Arial"/>
          <w:sz w:val="24"/>
          <w:szCs w:val="24"/>
        </w:rPr>
        <w:t>However, this practice was not approved of by the Catholic Chu</w:t>
      </w:r>
      <w:r w:rsidR="00FA798A">
        <w:rPr>
          <w:rFonts w:ascii="Arial" w:hAnsi="Arial" w:cs="Arial"/>
          <w:sz w:val="24"/>
          <w:szCs w:val="24"/>
        </w:rPr>
        <w:t>rch, as they attributed it to ‘pagan superstition’</w:t>
      </w:r>
      <w:r w:rsidR="00FA798A">
        <w:rPr>
          <w:rStyle w:val="FootnoteReference"/>
          <w:rFonts w:ascii="Arial" w:hAnsi="Arial" w:cs="Arial"/>
          <w:sz w:val="24"/>
          <w:szCs w:val="24"/>
        </w:rPr>
        <w:footnoteReference w:id="5"/>
      </w:r>
      <w:r w:rsidR="00FA798A">
        <w:rPr>
          <w:rFonts w:ascii="Arial" w:hAnsi="Arial" w:cs="Arial"/>
          <w:sz w:val="24"/>
          <w:szCs w:val="24"/>
        </w:rPr>
        <w:t xml:space="preserve"> and so, bereaved women had no outlet for their sorrow.</w:t>
      </w:r>
      <w:r w:rsidR="00C17139">
        <w:rPr>
          <w:rFonts w:ascii="Arial" w:hAnsi="Arial" w:cs="Arial"/>
          <w:sz w:val="24"/>
          <w:szCs w:val="24"/>
        </w:rPr>
        <w:t xml:space="preserve"> </w:t>
      </w:r>
      <w:r w:rsidR="00D43D7F">
        <w:rPr>
          <w:rFonts w:ascii="Arial" w:hAnsi="Arial" w:cs="Arial"/>
          <w:sz w:val="24"/>
          <w:szCs w:val="24"/>
        </w:rPr>
        <w:t xml:space="preserve">Therefore, it could be argued that the deceased </w:t>
      </w:r>
      <w:r w:rsidR="00FA798A">
        <w:rPr>
          <w:rFonts w:ascii="Arial" w:hAnsi="Arial" w:cs="Arial"/>
          <w:sz w:val="24"/>
          <w:szCs w:val="24"/>
        </w:rPr>
        <w:t xml:space="preserve">in England had more to celebrate at the loss of a </w:t>
      </w:r>
      <w:r w:rsidR="0042578E">
        <w:rPr>
          <w:rFonts w:ascii="Arial" w:hAnsi="Arial" w:cs="Arial"/>
          <w:sz w:val="24"/>
          <w:szCs w:val="24"/>
        </w:rPr>
        <w:t xml:space="preserve">successful crusader </w:t>
      </w:r>
      <w:r w:rsidR="00FA798A">
        <w:rPr>
          <w:rFonts w:ascii="Arial" w:hAnsi="Arial" w:cs="Arial"/>
          <w:sz w:val="24"/>
          <w:szCs w:val="24"/>
        </w:rPr>
        <w:t>than the Spanish and yet, due to the austere nature of Catholicism, celebration was largely marred by anxiety and consequently: fear. However, the death of a m</w:t>
      </w:r>
      <w:r w:rsidR="00534E20">
        <w:rPr>
          <w:rFonts w:ascii="Arial" w:hAnsi="Arial" w:cs="Arial"/>
          <w:sz w:val="24"/>
          <w:szCs w:val="24"/>
        </w:rPr>
        <w:t>artyr did not always result in fear being felt amongst those who’d lost them</w:t>
      </w:r>
      <w:r w:rsidR="00FA798A">
        <w:rPr>
          <w:rFonts w:ascii="Arial" w:hAnsi="Arial" w:cs="Arial"/>
          <w:sz w:val="24"/>
          <w:szCs w:val="24"/>
        </w:rPr>
        <w:t xml:space="preserve">, as the case </w:t>
      </w:r>
      <w:r w:rsidR="0042578E">
        <w:rPr>
          <w:rFonts w:ascii="Arial" w:hAnsi="Arial" w:cs="Arial"/>
          <w:sz w:val="24"/>
          <w:szCs w:val="24"/>
        </w:rPr>
        <w:t xml:space="preserve">is </w:t>
      </w:r>
      <w:r w:rsidR="00FA798A">
        <w:rPr>
          <w:rFonts w:ascii="Arial" w:hAnsi="Arial" w:cs="Arial"/>
          <w:sz w:val="24"/>
          <w:szCs w:val="24"/>
        </w:rPr>
        <w:t xml:space="preserve">depicted in the </w:t>
      </w:r>
      <w:r w:rsidR="00FA798A" w:rsidRPr="00FA798A">
        <w:rPr>
          <w:rFonts w:ascii="Arial" w:hAnsi="Arial" w:cs="Arial"/>
          <w:i/>
          <w:sz w:val="24"/>
          <w:szCs w:val="24"/>
        </w:rPr>
        <w:t>Song of Roland</w:t>
      </w:r>
      <w:r w:rsidR="00FA798A">
        <w:rPr>
          <w:rFonts w:ascii="Arial" w:hAnsi="Arial" w:cs="Arial"/>
          <w:sz w:val="24"/>
          <w:szCs w:val="24"/>
        </w:rPr>
        <w:t xml:space="preserve">. </w:t>
      </w:r>
      <w:r w:rsidR="00534E20">
        <w:rPr>
          <w:rFonts w:ascii="Arial" w:hAnsi="Arial" w:cs="Arial"/>
          <w:sz w:val="24"/>
          <w:szCs w:val="24"/>
        </w:rPr>
        <w:t xml:space="preserve">This </w:t>
      </w:r>
      <w:r w:rsidR="00534E20" w:rsidRPr="00534E20">
        <w:rPr>
          <w:rFonts w:ascii="Arial" w:hAnsi="Arial" w:cs="Arial"/>
          <w:i/>
          <w:sz w:val="24"/>
          <w:szCs w:val="24"/>
        </w:rPr>
        <w:t>chanson de geste</w:t>
      </w:r>
      <w:r w:rsidR="00534E20">
        <w:rPr>
          <w:rFonts w:ascii="Arial" w:hAnsi="Arial" w:cs="Arial"/>
          <w:sz w:val="24"/>
          <w:szCs w:val="24"/>
        </w:rPr>
        <w:t xml:space="preserve"> is based on </w:t>
      </w:r>
      <w:r w:rsidR="00534E20" w:rsidRPr="00534E20">
        <w:rPr>
          <w:rFonts w:ascii="Arial" w:hAnsi="Arial" w:cs="Arial"/>
          <w:sz w:val="24"/>
          <w:szCs w:val="24"/>
        </w:rPr>
        <w:t>the</w:t>
      </w:r>
      <w:r w:rsidR="00534E20">
        <w:rPr>
          <w:rFonts w:ascii="Arial" w:hAnsi="Arial" w:cs="Arial"/>
          <w:sz w:val="24"/>
          <w:szCs w:val="24"/>
        </w:rPr>
        <w:t xml:space="preserve"> Battle of Roncevaux Pass in 778AD,</w:t>
      </w:r>
      <w:r w:rsidR="00534E20">
        <w:rPr>
          <w:rStyle w:val="FootnoteReference"/>
          <w:rFonts w:ascii="Arial" w:hAnsi="Arial" w:cs="Arial"/>
          <w:sz w:val="24"/>
          <w:szCs w:val="24"/>
        </w:rPr>
        <w:footnoteReference w:id="6"/>
      </w:r>
      <w:r w:rsidR="00534E20">
        <w:rPr>
          <w:rFonts w:ascii="Arial" w:hAnsi="Arial" w:cs="Arial"/>
          <w:sz w:val="24"/>
          <w:szCs w:val="24"/>
        </w:rPr>
        <w:t xml:space="preserve"> and </w:t>
      </w:r>
      <w:r w:rsidR="000D0A70">
        <w:rPr>
          <w:rFonts w:ascii="Arial" w:hAnsi="Arial" w:cs="Arial"/>
          <w:sz w:val="24"/>
          <w:szCs w:val="24"/>
        </w:rPr>
        <w:t xml:space="preserve">recalls the mighty events of Roland and his Twelve Peers as he heroically faced </w:t>
      </w:r>
      <w:r w:rsidR="005C24F8">
        <w:rPr>
          <w:rFonts w:ascii="Arial" w:hAnsi="Arial" w:cs="Arial"/>
          <w:sz w:val="24"/>
          <w:szCs w:val="24"/>
        </w:rPr>
        <w:t>a ‘wicked pagan’</w:t>
      </w:r>
      <w:r w:rsidR="005C24F8">
        <w:rPr>
          <w:rStyle w:val="FootnoteReference"/>
          <w:rFonts w:ascii="Arial" w:hAnsi="Arial" w:cs="Arial"/>
          <w:sz w:val="24"/>
          <w:szCs w:val="24"/>
        </w:rPr>
        <w:footnoteReference w:id="7"/>
      </w:r>
      <w:r w:rsidR="005C24F8">
        <w:rPr>
          <w:rFonts w:ascii="Arial" w:hAnsi="Arial" w:cs="Arial"/>
          <w:sz w:val="24"/>
          <w:szCs w:val="24"/>
        </w:rPr>
        <w:t xml:space="preserve"> </w:t>
      </w:r>
      <w:r w:rsidR="000D0A70">
        <w:rPr>
          <w:rFonts w:ascii="Arial" w:hAnsi="Arial" w:cs="Arial"/>
          <w:sz w:val="24"/>
          <w:szCs w:val="24"/>
        </w:rPr>
        <w:t>army whilst being outnumbered and in his final act of bravery and sacrifice for the Catholic Church</w:t>
      </w:r>
      <w:r w:rsidR="005C24F8">
        <w:rPr>
          <w:rFonts w:ascii="Arial" w:hAnsi="Arial" w:cs="Arial"/>
          <w:sz w:val="24"/>
          <w:szCs w:val="24"/>
        </w:rPr>
        <w:t>,</w:t>
      </w:r>
    </w:p>
    <w:p w:rsidR="000D0A70" w:rsidRPr="000D0A70" w:rsidRDefault="005C24F8" w:rsidP="005C24F8">
      <w:pPr>
        <w:spacing w:line="240" w:lineRule="auto"/>
        <w:ind w:left="720" w:firstLine="720"/>
        <w:jc w:val="both"/>
        <w:rPr>
          <w:rFonts w:ascii="Arial" w:hAnsi="Arial" w:cs="Arial"/>
          <w:sz w:val="24"/>
          <w:szCs w:val="24"/>
        </w:rPr>
      </w:pPr>
      <w:r>
        <w:rPr>
          <w:rFonts w:ascii="Arial" w:hAnsi="Arial" w:cs="Arial"/>
          <w:sz w:val="24"/>
          <w:szCs w:val="24"/>
        </w:rPr>
        <w:t>‘</w:t>
      </w:r>
      <w:r w:rsidR="000D0A70" w:rsidRPr="000D0A70">
        <w:rPr>
          <w:rFonts w:ascii="Arial" w:hAnsi="Arial" w:cs="Arial"/>
          <w:sz w:val="24"/>
          <w:szCs w:val="24"/>
        </w:rPr>
        <w:t>Count Roland's mouth runs red with his own blood.</w:t>
      </w:r>
    </w:p>
    <w:p w:rsidR="000D0A70" w:rsidRPr="000D0A70" w:rsidRDefault="000D0A70" w:rsidP="005C24F8">
      <w:pPr>
        <w:spacing w:line="240" w:lineRule="auto"/>
        <w:ind w:left="720" w:firstLine="720"/>
        <w:jc w:val="both"/>
        <w:rPr>
          <w:rFonts w:ascii="Arial" w:hAnsi="Arial" w:cs="Arial"/>
          <w:sz w:val="24"/>
          <w:szCs w:val="24"/>
        </w:rPr>
      </w:pPr>
      <w:r w:rsidRPr="000D0A70">
        <w:rPr>
          <w:rFonts w:ascii="Arial" w:hAnsi="Arial" w:cs="Arial"/>
          <w:sz w:val="24"/>
          <w:szCs w:val="24"/>
        </w:rPr>
        <w:t>And at the temple he has burst his skull.</w:t>
      </w:r>
    </w:p>
    <w:p w:rsidR="000D0A70" w:rsidRDefault="000D0A70" w:rsidP="005C24F8">
      <w:pPr>
        <w:spacing w:line="240" w:lineRule="auto"/>
        <w:ind w:left="720" w:firstLine="720"/>
        <w:jc w:val="both"/>
        <w:rPr>
          <w:rFonts w:ascii="Arial" w:hAnsi="Arial" w:cs="Arial"/>
          <w:sz w:val="24"/>
          <w:szCs w:val="24"/>
        </w:rPr>
      </w:pPr>
      <w:r w:rsidRPr="000D0A70">
        <w:rPr>
          <w:rFonts w:ascii="Arial" w:hAnsi="Arial" w:cs="Arial"/>
          <w:sz w:val="24"/>
          <w:szCs w:val="24"/>
        </w:rPr>
        <w:t>He sounds the oliphant with toil and pain.</w:t>
      </w:r>
      <w:r w:rsidR="005C24F8">
        <w:rPr>
          <w:rFonts w:ascii="Arial" w:hAnsi="Arial" w:cs="Arial"/>
          <w:sz w:val="24"/>
          <w:szCs w:val="24"/>
        </w:rPr>
        <w:t>’</w:t>
      </w:r>
      <w:r w:rsidR="005C24F8">
        <w:rPr>
          <w:rStyle w:val="FootnoteReference"/>
          <w:rFonts w:ascii="Arial" w:hAnsi="Arial" w:cs="Arial"/>
          <w:sz w:val="24"/>
          <w:szCs w:val="24"/>
        </w:rPr>
        <w:footnoteReference w:id="8"/>
      </w:r>
    </w:p>
    <w:p w:rsidR="005C24F8" w:rsidRDefault="005C24F8" w:rsidP="00D824A4">
      <w:pPr>
        <w:jc w:val="both"/>
        <w:rPr>
          <w:rFonts w:ascii="Arial" w:hAnsi="Arial" w:cs="Arial"/>
          <w:sz w:val="24"/>
          <w:szCs w:val="24"/>
        </w:rPr>
      </w:pPr>
      <w:r>
        <w:rPr>
          <w:rFonts w:ascii="Arial" w:hAnsi="Arial" w:cs="Arial"/>
          <w:sz w:val="24"/>
          <w:szCs w:val="24"/>
        </w:rPr>
        <w:t>Such heroism led to Charlemagne avenging Roland and consequently, Roland became a celebrated figure throughout twelfth and thirteenth century France because despite the majority of the populous being illiterate, this poem - in the vernacular -</w:t>
      </w:r>
      <w:r w:rsidR="00A30CD0">
        <w:rPr>
          <w:rFonts w:ascii="Arial" w:hAnsi="Arial" w:cs="Arial"/>
          <w:sz w:val="24"/>
          <w:szCs w:val="24"/>
        </w:rPr>
        <w:t xml:space="preserve"> was delivered orally. Arguably, this epic poem only </w:t>
      </w:r>
      <w:r w:rsidR="00A30CD0">
        <w:rPr>
          <w:rFonts w:ascii="Arial" w:hAnsi="Arial" w:cs="Arial"/>
          <w:sz w:val="24"/>
          <w:szCs w:val="24"/>
        </w:rPr>
        <w:t xml:space="preserve">intrigued and inspired patriotism in the Franks </w:t>
      </w:r>
      <w:r w:rsidR="00A30CD0">
        <w:rPr>
          <w:rFonts w:ascii="Arial" w:hAnsi="Arial" w:cs="Arial"/>
          <w:sz w:val="24"/>
          <w:szCs w:val="24"/>
        </w:rPr>
        <w:t xml:space="preserve">because of its graphic details and acts of selflessness performed on such grand scales that the poem appears almost mock epic. Therefore, it is clear that death was never really celebrated in the Middle Ages, it was the idea and illusion of death that encouraged celebration but the reality only incited fear. </w:t>
      </w:r>
    </w:p>
    <w:p w:rsidR="007F33A8" w:rsidRDefault="00A30CD0" w:rsidP="00D824A4">
      <w:pPr>
        <w:jc w:val="both"/>
        <w:rPr>
          <w:rFonts w:ascii="Arial" w:hAnsi="Arial" w:cs="Arial"/>
          <w:sz w:val="24"/>
          <w:szCs w:val="24"/>
        </w:rPr>
      </w:pPr>
      <w:r>
        <w:rPr>
          <w:rFonts w:ascii="Arial" w:hAnsi="Arial" w:cs="Arial"/>
          <w:sz w:val="24"/>
          <w:szCs w:val="24"/>
        </w:rPr>
        <w:t>In a similar vein, the plague during the fourteenth and fifteenth century had a disastrous effect on the European population</w:t>
      </w:r>
      <w:r w:rsidR="00FA2E50">
        <w:rPr>
          <w:rFonts w:ascii="Arial" w:hAnsi="Arial" w:cs="Arial"/>
          <w:sz w:val="24"/>
          <w:szCs w:val="24"/>
        </w:rPr>
        <w:t xml:space="preserve"> </w:t>
      </w:r>
      <w:r w:rsidR="00841EC9">
        <w:rPr>
          <w:rFonts w:ascii="Arial" w:hAnsi="Arial" w:cs="Arial"/>
          <w:sz w:val="24"/>
          <w:szCs w:val="24"/>
        </w:rPr>
        <w:t xml:space="preserve">size </w:t>
      </w:r>
      <w:r w:rsidR="00FA2E50">
        <w:rPr>
          <w:rFonts w:ascii="Arial" w:hAnsi="Arial" w:cs="Arial"/>
          <w:sz w:val="24"/>
          <w:szCs w:val="24"/>
        </w:rPr>
        <w:t xml:space="preserve">and the </w:t>
      </w:r>
      <w:r w:rsidR="00841EC9">
        <w:rPr>
          <w:rFonts w:ascii="Arial" w:hAnsi="Arial" w:cs="Arial"/>
          <w:sz w:val="24"/>
          <w:szCs w:val="24"/>
        </w:rPr>
        <w:t>physical manifestations of the disease s</w:t>
      </w:r>
      <w:r w:rsidR="00FA2E50">
        <w:rPr>
          <w:rFonts w:ascii="Arial" w:hAnsi="Arial" w:cs="Arial"/>
          <w:sz w:val="24"/>
          <w:szCs w:val="24"/>
        </w:rPr>
        <w:t>aw the most fearful reactions. Hanseatic trade, largely controlled by German communities, saw a sharp growth in the 13</w:t>
      </w:r>
      <w:r w:rsidR="00FA2E50" w:rsidRPr="00FA2E50">
        <w:rPr>
          <w:rFonts w:ascii="Arial" w:hAnsi="Arial" w:cs="Arial"/>
          <w:sz w:val="24"/>
          <w:szCs w:val="24"/>
          <w:vertAlign w:val="superscript"/>
        </w:rPr>
        <w:t>th</w:t>
      </w:r>
      <w:r w:rsidR="00FA2E50">
        <w:rPr>
          <w:rFonts w:ascii="Arial" w:hAnsi="Arial" w:cs="Arial"/>
          <w:sz w:val="24"/>
          <w:szCs w:val="24"/>
        </w:rPr>
        <w:t xml:space="preserve"> century,</w:t>
      </w:r>
      <w:r w:rsidR="00FA2E50">
        <w:rPr>
          <w:rStyle w:val="FootnoteReference"/>
          <w:rFonts w:ascii="Arial" w:hAnsi="Arial" w:cs="Arial"/>
          <w:sz w:val="24"/>
          <w:szCs w:val="24"/>
        </w:rPr>
        <w:footnoteReference w:id="9"/>
      </w:r>
      <w:r w:rsidR="00FA2E50">
        <w:rPr>
          <w:rFonts w:ascii="Arial" w:hAnsi="Arial" w:cs="Arial"/>
          <w:sz w:val="24"/>
          <w:szCs w:val="24"/>
        </w:rPr>
        <w:t xml:space="preserve"> which greatly benefitted the European economy; however, it also saw to a far greater multi-ethnic interaction </w:t>
      </w:r>
      <w:r w:rsidR="00FA2E50">
        <w:rPr>
          <w:rFonts w:ascii="Arial" w:hAnsi="Arial" w:cs="Arial"/>
          <w:sz w:val="24"/>
          <w:szCs w:val="24"/>
        </w:rPr>
        <w:lastRenderedPageBreak/>
        <w:t>than was previously established. Although these dealings led to socio-economic developments</w:t>
      </w:r>
      <w:r w:rsidR="00841EC9">
        <w:rPr>
          <w:rFonts w:ascii="Arial" w:hAnsi="Arial" w:cs="Arial"/>
          <w:sz w:val="24"/>
          <w:szCs w:val="24"/>
        </w:rPr>
        <w:t xml:space="preserve">, such as the agreement made between </w:t>
      </w:r>
      <w:r w:rsidR="00841EC9" w:rsidRPr="00841EC9">
        <w:rPr>
          <w:rFonts w:ascii="Arial" w:hAnsi="Arial" w:cs="Arial"/>
          <w:sz w:val="24"/>
          <w:szCs w:val="24"/>
        </w:rPr>
        <w:t xml:space="preserve">Lübeck and Hamburg </w:t>
      </w:r>
      <w:r w:rsidR="00841EC9">
        <w:rPr>
          <w:rFonts w:ascii="Arial" w:hAnsi="Arial" w:cs="Arial"/>
          <w:sz w:val="24"/>
          <w:szCs w:val="24"/>
        </w:rPr>
        <w:t>in 1241 which cemented a formal alliance against pirates,</w:t>
      </w:r>
      <w:r w:rsidR="00FA2E50">
        <w:rPr>
          <w:rFonts w:ascii="Arial" w:hAnsi="Arial" w:cs="Arial"/>
          <w:sz w:val="24"/>
          <w:szCs w:val="24"/>
        </w:rPr>
        <w:t xml:space="preserve"> they also brought differen</w:t>
      </w:r>
      <w:r w:rsidR="00841EC9">
        <w:rPr>
          <w:rFonts w:ascii="Arial" w:hAnsi="Arial" w:cs="Arial"/>
          <w:sz w:val="24"/>
          <w:szCs w:val="24"/>
        </w:rPr>
        <w:t>t strains of disease to England, for example Yersinia pestis –</w:t>
      </w:r>
      <w:r w:rsidR="00841EC9">
        <w:rPr>
          <w:rStyle w:val="FootnoteReference"/>
          <w:rFonts w:ascii="Arial" w:hAnsi="Arial" w:cs="Arial"/>
          <w:sz w:val="24"/>
          <w:szCs w:val="24"/>
        </w:rPr>
        <w:footnoteReference w:id="10"/>
      </w:r>
      <w:r w:rsidR="00841EC9">
        <w:rPr>
          <w:rFonts w:ascii="Arial" w:hAnsi="Arial" w:cs="Arial"/>
          <w:sz w:val="24"/>
          <w:szCs w:val="24"/>
        </w:rPr>
        <w:t xml:space="preserve"> the bacteria that caused the Black Death. </w:t>
      </w:r>
      <w:r w:rsidR="00FA2E50">
        <w:rPr>
          <w:rFonts w:ascii="Arial" w:hAnsi="Arial" w:cs="Arial"/>
          <w:sz w:val="24"/>
          <w:szCs w:val="24"/>
        </w:rPr>
        <w:t xml:space="preserve">In 1348, with the </w:t>
      </w:r>
      <w:r w:rsidR="00841EC9">
        <w:rPr>
          <w:rFonts w:ascii="Arial" w:hAnsi="Arial" w:cs="Arial"/>
          <w:sz w:val="24"/>
          <w:szCs w:val="24"/>
        </w:rPr>
        <w:t>plague arrived in Europe and thousands of people died in places like Italy, Germany, England and Spain. Although the sheer volume of death</w:t>
      </w:r>
      <w:r w:rsidR="00E46BF1">
        <w:rPr>
          <w:rFonts w:ascii="Arial" w:hAnsi="Arial" w:cs="Arial"/>
          <w:sz w:val="24"/>
          <w:szCs w:val="24"/>
        </w:rPr>
        <w:t xml:space="preserve"> (</w:t>
      </w:r>
      <w:r w:rsidR="00E46BF1" w:rsidRPr="00E46BF1">
        <w:rPr>
          <w:rFonts w:ascii="Arial" w:hAnsi="Arial" w:cs="Arial"/>
          <w:sz w:val="24"/>
          <w:szCs w:val="24"/>
        </w:rPr>
        <w:t>the Black Death</w:t>
      </w:r>
      <w:r w:rsidR="00E46BF1">
        <w:rPr>
          <w:rFonts w:ascii="Arial" w:hAnsi="Arial" w:cs="Arial"/>
          <w:sz w:val="24"/>
          <w:szCs w:val="24"/>
        </w:rPr>
        <w:t xml:space="preserve"> </w:t>
      </w:r>
      <w:r w:rsidR="00E46BF1">
        <w:rPr>
          <w:rFonts w:ascii="Arial" w:hAnsi="Arial" w:cs="Arial"/>
          <w:sz w:val="24"/>
          <w:szCs w:val="24"/>
        </w:rPr>
        <w:t>killed 1/3 to ½ of Europe’s population</w:t>
      </w:r>
      <w:r w:rsidR="00E46BF1">
        <w:rPr>
          <w:rStyle w:val="FootnoteReference"/>
          <w:rFonts w:ascii="Arial" w:hAnsi="Arial" w:cs="Arial"/>
          <w:sz w:val="24"/>
          <w:szCs w:val="24"/>
        </w:rPr>
        <w:footnoteReference w:id="11"/>
      </w:r>
      <w:r w:rsidR="00E46BF1">
        <w:rPr>
          <w:rFonts w:ascii="Arial" w:hAnsi="Arial" w:cs="Arial"/>
          <w:sz w:val="24"/>
          <w:szCs w:val="24"/>
        </w:rPr>
        <w:t xml:space="preserve">) </w:t>
      </w:r>
      <w:r w:rsidR="00841EC9">
        <w:rPr>
          <w:rFonts w:ascii="Arial" w:hAnsi="Arial" w:cs="Arial"/>
          <w:sz w:val="24"/>
          <w:szCs w:val="24"/>
        </w:rPr>
        <w:t xml:space="preserve">was </w:t>
      </w:r>
      <w:r w:rsidR="007F33A8">
        <w:rPr>
          <w:rFonts w:ascii="Arial" w:hAnsi="Arial" w:cs="Arial"/>
          <w:sz w:val="24"/>
          <w:szCs w:val="24"/>
        </w:rPr>
        <w:t xml:space="preserve">something that caused monarchs concern, and those with the ability to travel and therefore compare different communities, such as the </w:t>
      </w:r>
      <w:r w:rsidR="005F3CA2">
        <w:rPr>
          <w:rFonts w:ascii="Arial" w:hAnsi="Arial" w:cs="Arial"/>
          <w:sz w:val="24"/>
          <w:szCs w:val="24"/>
        </w:rPr>
        <w:t xml:space="preserve">Medieval </w:t>
      </w:r>
      <w:r w:rsidR="007F33A8">
        <w:rPr>
          <w:rFonts w:ascii="Arial" w:hAnsi="Arial" w:cs="Arial"/>
          <w:sz w:val="24"/>
          <w:szCs w:val="24"/>
        </w:rPr>
        <w:t xml:space="preserve">chronicler </w:t>
      </w:r>
      <w:r w:rsidR="007F33A8" w:rsidRPr="007F33A8">
        <w:rPr>
          <w:rFonts w:ascii="Arial" w:hAnsi="Arial" w:cs="Arial"/>
          <w:sz w:val="24"/>
          <w:szCs w:val="24"/>
        </w:rPr>
        <w:t>Ralph Higden of Cheste</w:t>
      </w:r>
      <w:r w:rsidR="007F33A8">
        <w:rPr>
          <w:rFonts w:ascii="Arial" w:hAnsi="Arial" w:cs="Arial"/>
          <w:sz w:val="24"/>
          <w:szCs w:val="24"/>
        </w:rPr>
        <w:t>r who believed</w:t>
      </w:r>
      <w:r w:rsidR="005F3CA2">
        <w:rPr>
          <w:rFonts w:ascii="Arial" w:hAnsi="Arial" w:cs="Arial"/>
          <w:sz w:val="24"/>
          <w:szCs w:val="24"/>
        </w:rPr>
        <w:t xml:space="preserve"> that</w:t>
      </w:r>
      <w:r w:rsidR="007F33A8">
        <w:rPr>
          <w:rFonts w:ascii="Arial" w:hAnsi="Arial" w:cs="Arial"/>
          <w:sz w:val="24"/>
          <w:szCs w:val="24"/>
        </w:rPr>
        <w:t xml:space="preserve"> </w:t>
      </w:r>
      <w:r w:rsidR="005F3CA2" w:rsidRPr="005F3CA2">
        <w:rPr>
          <w:rFonts w:ascii="Arial" w:hAnsi="Arial" w:cs="Arial"/>
          <w:sz w:val="24"/>
          <w:szCs w:val="24"/>
        </w:rPr>
        <w:t>'scarcely a tenth of mankind was left alive'</w:t>
      </w:r>
      <w:r w:rsidR="005F3CA2">
        <w:rPr>
          <w:rStyle w:val="FootnoteReference"/>
          <w:rFonts w:ascii="Arial" w:hAnsi="Arial" w:cs="Arial"/>
          <w:sz w:val="24"/>
          <w:szCs w:val="24"/>
        </w:rPr>
        <w:footnoteReference w:id="12"/>
      </w:r>
      <w:r w:rsidR="005F3CA2">
        <w:rPr>
          <w:rFonts w:ascii="Arial" w:hAnsi="Arial" w:cs="Arial"/>
          <w:sz w:val="24"/>
          <w:szCs w:val="24"/>
        </w:rPr>
        <w:t xml:space="preserve"> a few weeks into the Midsummer of 1348. </w:t>
      </w:r>
      <w:r w:rsidR="00E46BF1">
        <w:rPr>
          <w:rFonts w:ascii="Arial" w:hAnsi="Arial" w:cs="Arial"/>
          <w:sz w:val="24"/>
          <w:szCs w:val="24"/>
        </w:rPr>
        <w:t>T</w:t>
      </w:r>
      <w:r w:rsidR="005F3CA2">
        <w:rPr>
          <w:rFonts w:ascii="Arial" w:hAnsi="Arial" w:cs="Arial"/>
          <w:sz w:val="24"/>
          <w:szCs w:val="24"/>
        </w:rPr>
        <w:t>he average person’</w:t>
      </w:r>
      <w:r w:rsidR="00E46BF1">
        <w:rPr>
          <w:rFonts w:ascii="Arial" w:hAnsi="Arial" w:cs="Arial"/>
          <w:sz w:val="24"/>
          <w:szCs w:val="24"/>
        </w:rPr>
        <w:t>s fear of the plague was provoked by c</w:t>
      </w:r>
      <w:r w:rsidR="005F3CA2">
        <w:rPr>
          <w:rFonts w:ascii="Arial" w:hAnsi="Arial" w:cs="Arial"/>
          <w:sz w:val="24"/>
          <w:szCs w:val="24"/>
        </w:rPr>
        <w:t xml:space="preserve">oming face-to-face with the physical symptoms. The bubonic plague displayed buboes, oozing swellings, all over the body and the </w:t>
      </w:r>
      <w:r w:rsidR="00A53126" w:rsidRPr="00A53126">
        <w:rPr>
          <w:rFonts w:ascii="Arial" w:hAnsi="Arial" w:cs="Arial"/>
          <w:sz w:val="24"/>
          <w:szCs w:val="24"/>
        </w:rPr>
        <w:t>septicaemic</w:t>
      </w:r>
      <w:r w:rsidR="005F3CA2">
        <w:rPr>
          <w:rFonts w:ascii="Arial" w:hAnsi="Arial" w:cs="Arial"/>
          <w:sz w:val="24"/>
          <w:szCs w:val="24"/>
        </w:rPr>
        <w:t xml:space="preserve"> plague saw the discolouration of skin to black (hence the ‘Black Death’).</w:t>
      </w:r>
      <w:r w:rsidR="005F3CA2">
        <w:rPr>
          <w:rStyle w:val="FootnoteReference"/>
          <w:rFonts w:ascii="Arial" w:hAnsi="Arial" w:cs="Arial"/>
          <w:sz w:val="24"/>
          <w:szCs w:val="24"/>
        </w:rPr>
        <w:footnoteReference w:id="13"/>
      </w:r>
      <w:r w:rsidR="005F3CA2">
        <w:rPr>
          <w:rFonts w:ascii="Arial" w:hAnsi="Arial" w:cs="Arial"/>
          <w:sz w:val="24"/>
          <w:szCs w:val="24"/>
        </w:rPr>
        <w:t xml:space="preserve"> With little </w:t>
      </w:r>
      <w:r w:rsidR="00E46BF1">
        <w:rPr>
          <w:rFonts w:ascii="Arial" w:hAnsi="Arial" w:cs="Arial"/>
          <w:sz w:val="24"/>
          <w:szCs w:val="24"/>
        </w:rPr>
        <w:t>development</w:t>
      </w:r>
      <w:r w:rsidR="005F3CA2">
        <w:rPr>
          <w:rFonts w:ascii="Arial" w:hAnsi="Arial" w:cs="Arial"/>
          <w:sz w:val="24"/>
          <w:szCs w:val="24"/>
        </w:rPr>
        <w:t xml:space="preserve"> in the field of medicine in the fourteenth century, people attributed such physical deformity to the displeasure of God w</w:t>
      </w:r>
      <w:r w:rsidR="00E46BF1">
        <w:rPr>
          <w:rFonts w:ascii="Arial" w:hAnsi="Arial" w:cs="Arial"/>
          <w:sz w:val="24"/>
          <w:szCs w:val="24"/>
        </w:rPr>
        <w:t xml:space="preserve">hich, paired with the Medieval belief that your inner soul, goodness and piety physically manifest themselves on your exterior façade, </w:t>
      </w:r>
      <w:r w:rsidR="005F3CA2">
        <w:rPr>
          <w:rFonts w:ascii="Arial" w:hAnsi="Arial" w:cs="Arial"/>
          <w:sz w:val="24"/>
          <w:szCs w:val="24"/>
        </w:rPr>
        <w:t>exacerbated the fear that people felt</w:t>
      </w:r>
      <w:r w:rsidR="00E46BF1">
        <w:rPr>
          <w:rFonts w:ascii="Arial" w:hAnsi="Arial" w:cs="Arial"/>
          <w:sz w:val="24"/>
          <w:szCs w:val="24"/>
        </w:rPr>
        <w:t xml:space="preserve"> surrounded by the plague as it was most likely perceived to be synonymous with living in a pit of sinners who were destined for Hell. </w:t>
      </w:r>
      <w:r w:rsidR="00A53126">
        <w:rPr>
          <w:rFonts w:ascii="Arial" w:hAnsi="Arial" w:cs="Arial"/>
          <w:sz w:val="24"/>
          <w:szCs w:val="24"/>
        </w:rPr>
        <w:t>Moreover, with the pneumonic plague being contracted by spitting or sneezing,</w:t>
      </w:r>
      <w:r w:rsidR="00A53126">
        <w:rPr>
          <w:rStyle w:val="FootnoteReference"/>
          <w:rFonts w:ascii="Arial" w:hAnsi="Arial" w:cs="Arial"/>
          <w:sz w:val="24"/>
          <w:szCs w:val="24"/>
        </w:rPr>
        <w:footnoteReference w:id="14"/>
      </w:r>
      <w:r w:rsidR="00A53126">
        <w:rPr>
          <w:rFonts w:ascii="Arial" w:hAnsi="Arial" w:cs="Arial"/>
          <w:sz w:val="24"/>
          <w:szCs w:val="24"/>
        </w:rPr>
        <w:t xml:space="preserve"> being surrounded by those ridden with the plague and then catching it yourself, without an understanding of the nature of the virus, would further encourage the medieval populous to believe that the spread of sin was the cause. Ergo, t</w:t>
      </w:r>
      <w:r w:rsidR="00E46BF1">
        <w:rPr>
          <w:rFonts w:ascii="Arial" w:hAnsi="Arial" w:cs="Arial"/>
          <w:sz w:val="24"/>
          <w:szCs w:val="24"/>
        </w:rPr>
        <w:t xml:space="preserve">he plague is illustrative of the idea that it was not death itself that spread fear, but the process of dying. </w:t>
      </w:r>
    </w:p>
    <w:p w:rsidR="00E247FC" w:rsidRDefault="00A53126" w:rsidP="00832C01">
      <w:pPr>
        <w:rPr>
          <w:rFonts w:ascii="Arial" w:hAnsi="Arial" w:cs="Arial"/>
          <w:sz w:val="24"/>
          <w:szCs w:val="24"/>
        </w:rPr>
      </w:pPr>
      <w:r>
        <w:rPr>
          <w:rFonts w:ascii="Arial" w:hAnsi="Arial" w:cs="Arial"/>
          <w:sz w:val="24"/>
          <w:szCs w:val="24"/>
        </w:rPr>
        <w:t xml:space="preserve">This notion is echoed by a real fear of famine and starvation in the middle ages. With common ground being many families’ only source of food via the foraging of berries, fruit and the growth of substandard corn, it is no surprise that malnutrition was prominent. In the highly stratified feudal hierarchy of the </w:t>
      </w:r>
      <w:r w:rsidR="00E247FC">
        <w:rPr>
          <w:rFonts w:ascii="Arial" w:hAnsi="Arial" w:cs="Arial"/>
          <w:sz w:val="24"/>
          <w:szCs w:val="24"/>
        </w:rPr>
        <w:t>medieval</w:t>
      </w:r>
      <w:r>
        <w:rPr>
          <w:rFonts w:ascii="Arial" w:hAnsi="Arial" w:cs="Arial"/>
          <w:sz w:val="24"/>
          <w:szCs w:val="24"/>
        </w:rPr>
        <w:t xml:space="preserve"> era, only the wealthy could afford to eat well</w:t>
      </w:r>
      <w:r w:rsidR="00E247FC">
        <w:rPr>
          <w:rFonts w:ascii="Arial" w:hAnsi="Arial" w:cs="Arial"/>
          <w:sz w:val="24"/>
          <w:szCs w:val="24"/>
        </w:rPr>
        <w:t>. Bread was the staple for most and so, during the Great Famine in the early fourteenth century climate change led to a massive drop in temperature, which resulted incredibly heavy rainfall, spanning the seven year period from 1315 to 1322</w:t>
      </w:r>
      <w:r w:rsidR="00E247FC">
        <w:rPr>
          <w:rStyle w:val="FootnoteReference"/>
          <w:rFonts w:ascii="Arial" w:hAnsi="Arial" w:cs="Arial"/>
          <w:sz w:val="24"/>
          <w:szCs w:val="24"/>
        </w:rPr>
        <w:footnoteReference w:id="15"/>
      </w:r>
      <w:r w:rsidR="00E247FC">
        <w:rPr>
          <w:rFonts w:ascii="Arial" w:hAnsi="Arial" w:cs="Arial"/>
          <w:sz w:val="24"/>
          <w:szCs w:val="24"/>
        </w:rPr>
        <w:t xml:space="preserve">, farmers struggled to grow corn and bread became an expensive commodity. Also faced with the depths of winter, during the ‘Little Ice </w:t>
      </w:r>
      <w:r w:rsidR="00E247FC">
        <w:rPr>
          <w:rFonts w:ascii="Arial" w:hAnsi="Arial" w:cs="Arial"/>
          <w:sz w:val="24"/>
          <w:szCs w:val="24"/>
        </w:rPr>
        <w:lastRenderedPageBreak/>
        <w:t>Age’,</w:t>
      </w:r>
      <w:r w:rsidR="00E247FC">
        <w:rPr>
          <w:rStyle w:val="FootnoteReference"/>
          <w:rFonts w:ascii="Arial" w:hAnsi="Arial" w:cs="Arial"/>
          <w:sz w:val="24"/>
          <w:szCs w:val="24"/>
        </w:rPr>
        <w:footnoteReference w:id="16"/>
      </w:r>
      <w:r w:rsidR="00E247FC">
        <w:rPr>
          <w:rFonts w:ascii="Arial" w:hAnsi="Arial" w:cs="Arial"/>
          <w:sz w:val="24"/>
          <w:szCs w:val="24"/>
        </w:rPr>
        <w:t xml:space="preserve"> people were not only starving but freezing to death. </w:t>
      </w:r>
      <w:r w:rsidR="00A53881">
        <w:rPr>
          <w:rFonts w:ascii="Arial" w:hAnsi="Arial" w:cs="Arial"/>
          <w:sz w:val="24"/>
          <w:szCs w:val="24"/>
        </w:rPr>
        <w:t>Hunger, as argued by Brian Fagan ‘was a powerful motivator of human action’</w:t>
      </w:r>
      <w:r w:rsidR="00A53881">
        <w:rPr>
          <w:rStyle w:val="FootnoteReference"/>
          <w:rFonts w:ascii="Arial" w:hAnsi="Arial" w:cs="Arial"/>
          <w:sz w:val="24"/>
          <w:szCs w:val="24"/>
        </w:rPr>
        <w:footnoteReference w:id="17"/>
      </w:r>
      <w:r w:rsidR="00A53881">
        <w:rPr>
          <w:rFonts w:ascii="Arial" w:hAnsi="Arial" w:cs="Arial"/>
          <w:sz w:val="24"/>
          <w:szCs w:val="24"/>
        </w:rPr>
        <w:t xml:space="preserve"> and therefore, even though people feared the death that accompanied starvation it may be argued that they feared the lengths that they were willing to go to, despite being God-fearing Christians, to feed themselves. However, as a Marxist historian Fagan’s view is somewhat marred by the economic result of famine; whereas the social historian </w:t>
      </w:r>
      <w:r w:rsidR="00A53881" w:rsidRPr="00A53881">
        <w:rPr>
          <w:rFonts w:ascii="Arial" w:hAnsi="Arial" w:cs="Arial"/>
          <w:sz w:val="24"/>
          <w:szCs w:val="24"/>
        </w:rPr>
        <w:t>Wolfgang Behringer</w:t>
      </w:r>
      <w:r w:rsidR="00A53881">
        <w:rPr>
          <w:rFonts w:ascii="Arial" w:hAnsi="Arial" w:cs="Arial"/>
          <w:sz w:val="24"/>
          <w:szCs w:val="24"/>
        </w:rPr>
        <w:t xml:space="preserve"> focuses more on the </w:t>
      </w:r>
      <w:r w:rsidR="00832C01">
        <w:rPr>
          <w:rFonts w:ascii="Arial" w:hAnsi="Arial" w:cs="Arial"/>
          <w:sz w:val="24"/>
          <w:szCs w:val="24"/>
        </w:rPr>
        <w:t xml:space="preserve">anthropological effects of climate change, for example he suggests that </w:t>
      </w:r>
      <w:r w:rsidR="00832C01" w:rsidRPr="00832C01">
        <w:rPr>
          <w:rFonts w:ascii="Arial" w:hAnsi="Arial" w:cs="Arial"/>
          <w:sz w:val="24"/>
          <w:szCs w:val="24"/>
        </w:rPr>
        <w:t>the</w:t>
      </w:r>
      <w:r w:rsidR="00832C01">
        <w:rPr>
          <w:rFonts w:ascii="Arial" w:hAnsi="Arial" w:cs="Arial"/>
          <w:sz w:val="24"/>
          <w:szCs w:val="24"/>
        </w:rPr>
        <w:t xml:space="preserve">re is a </w:t>
      </w:r>
      <w:r w:rsidR="00832C01" w:rsidRPr="00832C01">
        <w:rPr>
          <w:rFonts w:ascii="Arial" w:hAnsi="Arial" w:cs="Arial"/>
          <w:sz w:val="24"/>
          <w:szCs w:val="24"/>
        </w:rPr>
        <w:t>strong link between the ‘little ice age’ and witch persecutions</w:t>
      </w:r>
      <w:r w:rsidR="00832C01">
        <w:rPr>
          <w:rStyle w:val="FootnoteReference"/>
          <w:rFonts w:ascii="Arial" w:hAnsi="Arial" w:cs="Arial"/>
          <w:sz w:val="24"/>
          <w:szCs w:val="24"/>
        </w:rPr>
        <w:footnoteReference w:id="18"/>
      </w:r>
      <w:r w:rsidR="00832C01">
        <w:rPr>
          <w:rFonts w:ascii="Arial" w:hAnsi="Arial" w:cs="Arial"/>
          <w:sz w:val="24"/>
          <w:szCs w:val="24"/>
        </w:rPr>
        <w:t xml:space="preserve"> which is illustrative of the increased paranoia that accompanied starvation when paired with the </w:t>
      </w:r>
      <w:r w:rsidR="00EC1F1B">
        <w:rPr>
          <w:rFonts w:ascii="Arial" w:hAnsi="Arial" w:cs="Arial"/>
          <w:sz w:val="24"/>
          <w:szCs w:val="24"/>
        </w:rPr>
        <w:t xml:space="preserve">fear </w:t>
      </w:r>
      <w:r w:rsidR="00832C01">
        <w:rPr>
          <w:rFonts w:ascii="Arial" w:hAnsi="Arial" w:cs="Arial"/>
          <w:sz w:val="24"/>
          <w:szCs w:val="24"/>
        </w:rPr>
        <w:t xml:space="preserve">that </w:t>
      </w:r>
      <w:r w:rsidR="00EC1F1B">
        <w:rPr>
          <w:rFonts w:ascii="Arial" w:hAnsi="Arial" w:cs="Arial"/>
          <w:sz w:val="24"/>
          <w:szCs w:val="24"/>
        </w:rPr>
        <w:t xml:space="preserve">stemmed from knowing that </w:t>
      </w:r>
      <w:r w:rsidR="00832C01">
        <w:rPr>
          <w:rFonts w:ascii="Arial" w:hAnsi="Arial" w:cs="Arial"/>
          <w:sz w:val="24"/>
          <w:szCs w:val="24"/>
        </w:rPr>
        <w:t>such painful death was imminent.</w:t>
      </w:r>
    </w:p>
    <w:p w:rsidR="00832C01" w:rsidRPr="00832C01" w:rsidRDefault="00EC1F1B" w:rsidP="00832C01">
      <w:pPr>
        <w:rPr>
          <w:rFonts w:ascii="Arial" w:hAnsi="Arial" w:cs="Arial"/>
          <w:sz w:val="24"/>
          <w:szCs w:val="24"/>
        </w:rPr>
      </w:pPr>
      <w:r>
        <w:rPr>
          <w:rFonts w:ascii="Arial" w:hAnsi="Arial" w:cs="Arial"/>
          <w:sz w:val="24"/>
          <w:szCs w:val="24"/>
        </w:rPr>
        <w:t xml:space="preserve">Childbirth saw the celebration of a new life and yet, because of the undeveloped nature of medieval medicine it often resulted in the death of a mother. Fear surrounded pregnancy and infancy, not only because of the pain attributable to the delivery of the child but also due to the incredibly high infant mortality rates of the Middle Ages, as it is estimated that </w:t>
      </w:r>
      <w:r w:rsidRPr="00EC1F1B">
        <w:rPr>
          <w:rFonts w:ascii="Arial" w:hAnsi="Arial" w:cs="Arial"/>
          <w:sz w:val="24"/>
          <w:szCs w:val="24"/>
        </w:rPr>
        <w:t>20–30 per cent of children under seven died</w:t>
      </w:r>
      <w:r>
        <w:rPr>
          <w:rFonts w:ascii="Arial" w:hAnsi="Arial" w:cs="Arial"/>
          <w:sz w:val="24"/>
          <w:szCs w:val="24"/>
        </w:rPr>
        <w:t>.</w:t>
      </w:r>
      <w:r>
        <w:rPr>
          <w:rStyle w:val="FootnoteReference"/>
          <w:rFonts w:ascii="Arial" w:hAnsi="Arial" w:cs="Arial"/>
          <w:sz w:val="24"/>
          <w:szCs w:val="24"/>
        </w:rPr>
        <w:footnoteReference w:id="19"/>
      </w:r>
      <w:r>
        <w:rPr>
          <w:rFonts w:ascii="Arial" w:hAnsi="Arial" w:cs="Arial"/>
          <w:sz w:val="24"/>
          <w:szCs w:val="24"/>
        </w:rPr>
        <w:t xml:space="preserve"> Partially due to malnutrition, the life of the mother and the child were feared for at birth, but largely because of the brutal, uneducated delivery of children if something went wrong. Moreover, high status </w:t>
      </w:r>
      <w:r w:rsidR="007E036D">
        <w:rPr>
          <w:rFonts w:ascii="Arial" w:hAnsi="Arial" w:cs="Arial"/>
          <w:sz w:val="24"/>
          <w:szCs w:val="24"/>
        </w:rPr>
        <w:t xml:space="preserve">and mass wealth </w:t>
      </w:r>
      <w:r>
        <w:rPr>
          <w:rFonts w:ascii="Arial" w:hAnsi="Arial" w:cs="Arial"/>
          <w:sz w:val="24"/>
          <w:szCs w:val="24"/>
        </w:rPr>
        <w:t>did n</w:t>
      </w:r>
      <w:r w:rsidR="007E036D">
        <w:rPr>
          <w:rFonts w:ascii="Arial" w:hAnsi="Arial" w:cs="Arial"/>
          <w:sz w:val="24"/>
          <w:szCs w:val="24"/>
        </w:rPr>
        <w:t xml:space="preserve">ot ensure the safety of a child, despite the assurance of a good, well-balanced diet; </w:t>
      </w:r>
      <w:r>
        <w:rPr>
          <w:rFonts w:ascii="Arial" w:hAnsi="Arial" w:cs="Arial"/>
          <w:sz w:val="24"/>
          <w:szCs w:val="24"/>
        </w:rPr>
        <w:t xml:space="preserve">as, between </w:t>
      </w:r>
      <w:r w:rsidRPr="00EC1F1B">
        <w:rPr>
          <w:rFonts w:ascii="Arial" w:hAnsi="Arial" w:cs="Arial"/>
          <w:sz w:val="24"/>
          <w:szCs w:val="24"/>
        </w:rPr>
        <w:t>1330 and 1479</w:t>
      </w:r>
      <w:r>
        <w:rPr>
          <w:rFonts w:ascii="Arial" w:hAnsi="Arial" w:cs="Arial"/>
          <w:sz w:val="24"/>
          <w:szCs w:val="24"/>
        </w:rPr>
        <w:t xml:space="preserve"> one third of children, in ducal families, </w:t>
      </w:r>
      <w:r w:rsidRPr="00EC1F1B">
        <w:rPr>
          <w:rFonts w:ascii="Arial" w:hAnsi="Arial" w:cs="Arial"/>
          <w:sz w:val="24"/>
          <w:szCs w:val="24"/>
        </w:rPr>
        <w:t>died before the age of five</w:t>
      </w:r>
      <w:r>
        <w:rPr>
          <w:rFonts w:ascii="Arial" w:hAnsi="Arial" w:cs="Arial"/>
          <w:sz w:val="24"/>
          <w:szCs w:val="24"/>
        </w:rPr>
        <w:t>.</w:t>
      </w:r>
      <w:r w:rsidR="007E036D">
        <w:rPr>
          <w:rStyle w:val="FootnoteReference"/>
          <w:rFonts w:ascii="Arial" w:hAnsi="Arial" w:cs="Arial"/>
          <w:sz w:val="24"/>
          <w:szCs w:val="24"/>
        </w:rPr>
        <w:footnoteReference w:id="20"/>
      </w:r>
      <w:r w:rsidR="007E036D">
        <w:rPr>
          <w:rFonts w:ascii="Arial" w:hAnsi="Arial" w:cs="Arial"/>
          <w:sz w:val="24"/>
          <w:szCs w:val="24"/>
        </w:rPr>
        <w:t xml:space="preserve"> Fear was clearly synonymous with birth; although, the mother feared for her child, it is likely that she did not fear for her own life until the safety of her baby had been ensured and it is almost certain that the baby had little fear for its own wellbeing. Nevertheless, the family of the mother and child greatly feared for their safety and more so if that child was a boy because a boy was an heir. King Henry VIII’s own desperation to conceive a legitimate heir is apparent by his irrefutable schism from Rome in 1536: having to wait until his third wife, Jane Seymour, before Edward VI was born. However, Jane’s death, days later, was not an event to be celebrated but mourned; although John Guy has suggested that Henry was growing somewhat tired of Jane</w:t>
      </w:r>
      <w:r w:rsidR="004D1D31">
        <w:rPr>
          <w:rStyle w:val="FootnoteReference"/>
          <w:rFonts w:ascii="Arial" w:hAnsi="Arial" w:cs="Arial"/>
          <w:sz w:val="24"/>
          <w:szCs w:val="24"/>
        </w:rPr>
        <w:footnoteReference w:id="21"/>
      </w:r>
      <w:r w:rsidR="007E036D">
        <w:rPr>
          <w:rFonts w:ascii="Arial" w:hAnsi="Arial" w:cs="Arial"/>
          <w:sz w:val="24"/>
          <w:szCs w:val="24"/>
        </w:rPr>
        <w:t xml:space="preserve"> and </w:t>
      </w:r>
      <w:r w:rsidR="004D1D31">
        <w:rPr>
          <w:rFonts w:ascii="Arial" w:hAnsi="Arial" w:cs="Arial"/>
          <w:sz w:val="24"/>
          <w:szCs w:val="24"/>
        </w:rPr>
        <w:t xml:space="preserve">therefore, it may be suggested that the death of Jane, a mother, was privately celebrated. </w:t>
      </w:r>
    </w:p>
    <w:p w:rsidR="00FD5E78" w:rsidRDefault="004D1D31" w:rsidP="00D824A4">
      <w:pPr>
        <w:jc w:val="both"/>
        <w:rPr>
          <w:rFonts w:ascii="Arial" w:hAnsi="Arial" w:cs="Arial"/>
          <w:sz w:val="24"/>
          <w:szCs w:val="24"/>
        </w:rPr>
      </w:pPr>
      <w:r>
        <w:rPr>
          <w:rFonts w:ascii="Arial" w:hAnsi="Arial" w:cs="Arial"/>
          <w:sz w:val="24"/>
          <w:szCs w:val="24"/>
        </w:rPr>
        <w:lastRenderedPageBreak/>
        <w:t>In conclusion, death was overwhelmingly feared in the medieval ages. On occasion, there were some celebratory elements to death; however, in the mundane lives of the serfdom of the middle ages, death was treated as a tragedy.</w:t>
      </w:r>
    </w:p>
    <w:p w:rsidR="004D1D31" w:rsidRDefault="004D1D31" w:rsidP="00D824A4">
      <w:pPr>
        <w:jc w:val="both"/>
        <w:rPr>
          <w:rFonts w:ascii="Arial" w:hAnsi="Arial" w:cs="Arial"/>
          <w:sz w:val="24"/>
          <w:szCs w:val="24"/>
        </w:rPr>
      </w:pPr>
      <w:bookmarkStart w:id="0" w:name="_GoBack"/>
      <w:bookmarkEnd w:id="0"/>
    </w:p>
    <w:p w:rsidR="004D1D31" w:rsidRDefault="004D1D31" w:rsidP="00D824A4">
      <w:pPr>
        <w:jc w:val="both"/>
        <w:rPr>
          <w:rFonts w:ascii="Arial" w:hAnsi="Arial" w:cs="Arial"/>
          <w:sz w:val="24"/>
          <w:szCs w:val="24"/>
        </w:rPr>
      </w:pPr>
    </w:p>
    <w:p w:rsidR="00FD5E78" w:rsidRDefault="00FD5E78" w:rsidP="00D824A4">
      <w:pPr>
        <w:jc w:val="both"/>
        <w:rPr>
          <w:rFonts w:ascii="Arial" w:hAnsi="Arial" w:cs="Arial"/>
          <w:sz w:val="24"/>
          <w:szCs w:val="24"/>
        </w:rPr>
      </w:pPr>
    </w:p>
    <w:p w:rsidR="00BC0EC1" w:rsidRDefault="00BC0EC1" w:rsidP="00D824A4">
      <w:pPr>
        <w:jc w:val="both"/>
        <w:rPr>
          <w:rFonts w:ascii="Arial" w:hAnsi="Arial" w:cs="Arial"/>
          <w:sz w:val="24"/>
          <w:szCs w:val="24"/>
        </w:rPr>
      </w:pPr>
    </w:p>
    <w:p w:rsidR="00D824A4" w:rsidRDefault="00CE2ECB" w:rsidP="00FD51BB">
      <w:pPr>
        <w:tabs>
          <w:tab w:val="left" w:pos="3840"/>
        </w:tabs>
        <w:jc w:val="both"/>
        <w:rPr>
          <w:rFonts w:ascii="Arial" w:hAnsi="Arial" w:cs="Arial"/>
          <w:sz w:val="24"/>
          <w:szCs w:val="24"/>
        </w:rPr>
      </w:pPr>
      <w:r>
        <w:rPr>
          <w:rFonts w:ascii="Arial" w:hAnsi="Arial" w:cs="Arial"/>
          <w:sz w:val="24"/>
          <w:szCs w:val="24"/>
        </w:rPr>
        <w:t xml:space="preserve"> </w:t>
      </w:r>
      <w:r w:rsidR="00FD51BB">
        <w:rPr>
          <w:rFonts w:ascii="Arial" w:hAnsi="Arial" w:cs="Arial"/>
          <w:sz w:val="24"/>
          <w:szCs w:val="24"/>
        </w:rPr>
        <w:tab/>
      </w: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Default="004D1D31" w:rsidP="00FD51BB">
      <w:pPr>
        <w:tabs>
          <w:tab w:val="left" w:pos="3840"/>
        </w:tabs>
        <w:jc w:val="both"/>
        <w:rPr>
          <w:rFonts w:ascii="Arial" w:hAnsi="Arial" w:cs="Arial"/>
          <w:sz w:val="24"/>
          <w:szCs w:val="24"/>
        </w:rPr>
      </w:pPr>
    </w:p>
    <w:p w:rsidR="004D1D31" w:rsidRPr="004D1D31" w:rsidRDefault="004D1D31" w:rsidP="00FD51BB">
      <w:pPr>
        <w:tabs>
          <w:tab w:val="left" w:pos="3840"/>
        </w:tabs>
        <w:jc w:val="both"/>
        <w:rPr>
          <w:rFonts w:ascii="Arial" w:hAnsi="Arial" w:cs="Arial"/>
          <w:b/>
          <w:sz w:val="28"/>
          <w:szCs w:val="24"/>
        </w:rPr>
      </w:pPr>
      <w:r w:rsidRPr="004D1D31">
        <w:rPr>
          <w:rFonts w:ascii="Arial" w:hAnsi="Arial" w:cs="Arial"/>
          <w:b/>
          <w:sz w:val="28"/>
          <w:szCs w:val="24"/>
        </w:rPr>
        <w:lastRenderedPageBreak/>
        <w:t>Bibliography</w:t>
      </w:r>
    </w:p>
    <w:p w:rsidR="004D1D31" w:rsidRDefault="004D1D31" w:rsidP="00FD51BB">
      <w:pPr>
        <w:tabs>
          <w:tab w:val="left" w:pos="3840"/>
        </w:tabs>
        <w:jc w:val="both"/>
        <w:rPr>
          <w:rFonts w:ascii="Arial" w:hAnsi="Arial" w:cs="Arial"/>
          <w:sz w:val="24"/>
          <w:szCs w:val="24"/>
        </w:rPr>
      </w:pPr>
      <w:r w:rsidRPr="004D1D31">
        <w:rPr>
          <w:rFonts w:ascii="Arial" w:hAnsi="Arial" w:cs="Arial"/>
          <w:sz w:val="24"/>
          <w:szCs w:val="24"/>
        </w:rPr>
        <w:t>K. Olson, 10 dangers of the medieval period, https://www.historyextra.com/period/medieval/10-dangers-of-the-medieval-period/ , [accessed 11 October 2018].</w:t>
      </w:r>
    </w:p>
    <w:p w:rsidR="004D1D31" w:rsidRDefault="004D1D31" w:rsidP="00FD51BB">
      <w:pPr>
        <w:tabs>
          <w:tab w:val="left" w:pos="3840"/>
        </w:tabs>
        <w:jc w:val="both"/>
        <w:rPr>
          <w:rFonts w:ascii="Arial" w:hAnsi="Arial" w:cs="Arial"/>
          <w:sz w:val="24"/>
          <w:szCs w:val="24"/>
        </w:rPr>
      </w:pPr>
      <w:r w:rsidRPr="004D1D31">
        <w:rPr>
          <w:rFonts w:ascii="Arial" w:hAnsi="Arial" w:cs="Arial"/>
          <w:sz w:val="24"/>
          <w:szCs w:val="24"/>
        </w:rPr>
        <w:t>T. James, Black Death: The lasting impact, http://www.bbc.co.uk/history/british/middle_ages/black_impact_01.shtml , [accessed 11 October 2018].</w:t>
      </w:r>
    </w:p>
    <w:p w:rsidR="004D1D31" w:rsidRPr="004D1D31" w:rsidRDefault="004D1D31" w:rsidP="004D1D31">
      <w:pPr>
        <w:tabs>
          <w:tab w:val="left" w:pos="3840"/>
        </w:tabs>
        <w:jc w:val="both"/>
        <w:rPr>
          <w:rFonts w:ascii="Arial" w:hAnsi="Arial" w:cs="Arial"/>
          <w:sz w:val="24"/>
          <w:szCs w:val="24"/>
        </w:rPr>
      </w:pPr>
      <w:r w:rsidRPr="004D1D31">
        <w:rPr>
          <w:rFonts w:ascii="Arial" w:hAnsi="Arial" w:cs="Arial"/>
          <w:sz w:val="24"/>
          <w:szCs w:val="24"/>
        </w:rPr>
        <w:t>B. Fagan, The Little Ice Age: How Climate Made History 1300-1850, (New York: Basic Books, 2002), p. xiv.</w:t>
      </w:r>
    </w:p>
    <w:p w:rsidR="004D1D31" w:rsidRDefault="004D1D31" w:rsidP="004D1D31">
      <w:pPr>
        <w:tabs>
          <w:tab w:val="left" w:pos="3840"/>
        </w:tabs>
        <w:jc w:val="both"/>
        <w:rPr>
          <w:rFonts w:ascii="Arial" w:hAnsi="Arial" w:cs="Arial"/>
          <w:sz w:val="24"/>
          <w:szCs w:val="24"/>
        </w:rPr>
      </w:pPr>
      <w:r w:rsidRPr="004D1D31">
        <w:rPr>
          <w:rFonts w:ascii="Arial" w:hAnsi="Arial" w:cs="Arial"/>
          <w:sz w:val="24"/>
          <w:szCs w:val="24"/>
        </w:rPr>
        <w:t xml:space="preserve">  W. Behringer, A Cultural History of Climate , (London: Polity Press, 2009), p. 132.</w:t>
      </w:r>
    </w:p>
    <w:p w:rsidR="004D1D31" w:rsidRPr="004D1D31" w:rsidRDefault="004D1D31" w:rsidP="004D1D31">
      <w:pPr>
        <w:tabs>
          <w:tab w:val="left" w:pos="3840"/>
        </w:tabs>
        <w:jc w:val="both"/>
        <w:rPr>
          <w:rFonts w:ascii="Arial" w:hAnsi="Arial" w:cs="Arial"/>
          <w:sz w:val="24"/>
          <w:szCs w:val="24"/>
        </w:rPr>
      </w:pPr>
      <w:r w:rsidRPr="004D1D31">
        <w:rPr>
          <w:rFonts w:ascii="Arial" w:hAnsi="Arial" w:cs="Arial"/>
          <w:sz w:val="24"/>
          <w:szCs w:val="24"/>
        </w:rPr>
        <w:t>J. Guy,  Henry VIII: The Quest for Fame, (New York: Penguin, 2014) p. 54.</w:t>
      </w:r>
    </w:p>
    <w:p w:rsidR="004D1D31" w:rsidRDefault="004D1D31" w:rsidP="00FD51BB">
      <w:pPr>
        <w:tabs>
          <w:tab w:val="left" w:pos="3840"/>
        </w:tabs>
        <w:jc w:val="both"/>
        <w:rPr>
          <w:rFonts w:ascii="Arial" w:hAnsi="Arial" w:cs="Arial"/>
          <w:sz w:val="24"/>
          <w:szCs w:val="24"/>
        </w:rPr>
      </w:pPr>
      <w:r w:rsidRPr="004D1D31">
        <w:rPr>
          <w:rFonts w:ascii="Arial" w:hAnsi="Arial" w:cs="Arial"/>
          <w:sz w:val="24"/>
          <w:szCs w:val="24"/>
        </w:rPr>
        <w:t>Turold, Chanson de Roland. English., trans. D. Owen (Suffolk: Boydell Press, 1999), p.73.</w:t>
      </w:r>
    </w:p>
    <w:p w:rsidR="004D1D31" w:rsidRPr="004D1D31" w:rsidRDefault="004D1D31" w:rsidP="004D1D31">
      <w:pPr>
        <w:tabs>
          <w:tab w:val="left" w:pos="3840"/>
        </w:tabs>
        <w:jc w:val="both"/>
        <w:rPr>
          <w:rFonts w:ascii="Arial" w:hAnsi="Arial" w:cs="Arial"/>
          <w:sz w:val="24"/>
          <w:szCs w:val="24"/>
        </w:rPr>
      </w:pPr>
      <w:r w:rsidRPr="004D1D31">
        <w:rPr>
          <w:rFonts w:ascii="Arial" w:hAnsi="Arial" w:cs="Arial"/>
          <w:sz w:val="24"/>
          <w:szCs w:val="24"/>
        </w:rPr>
        <w:t>Robert the Monk, Historia Iherosolimitana: Clermont and Peter the Hermit, November 1095-October 1096, trans. Carol Sweetnham (New York: Routledge, 2016), p. 80.</w:t>
      </w:r>
    </w:p>
    <w:p w:rsidR="004D1D31" w:rsidRDefault="004D1D31" w:rsidP="00FD51BB">
      <w:pPr>
        <w:tabs>
          <w:tab w:val="left" w:pos="3840"/>
        </w:tabs>
        <w:jc w:val="both"/>
        <w:rPr>
          <w:rFonts w:ascii="Arial" w:hAnsi="Arial" w:cs="Arial"/>
          <w:sz w:val="24"/>
          <w:szCs w:val="24"/>
        </w:rPr>
      </w:pPr>
      <w:r w:rsidRPr="004D1D31">
        <w:rPr>
          <w:rFonts w:ascii="Arial" w:hAnsi="Arial" w:cs="Arial"/>
          <w:sz w:val="24"/>
          <w:szCs w:val="24"/>
        </w:rPr>
        <w:t xml:space="preserve"> J. Bennett, Women in the Medieval English Countryside: Gender and Household in Brigstock before the Plague, (Oxford: Oxford University Press, 1989), p. 5.</w:t>
      </w:r>
    </w:p>
    <w:p w:rsidR="004D1D31" w:rsidRDefault="004D1D31" w:rsidP="00FD51BB">
      <w:pPr>
        <w:tabs>
          <w:tab w:val="left" w:pos="3840"/>
        </w:tabs>
        <w:jc w:val="both"/>
        <w:rPr>
          <w:rFonts w:ascii="Arial" w:hAnsi="Arial" w:cs="Arial"/>
          <w:sz w:val="24"/>
          <w:szCs w:val="24"/>
        </w:rPr>
      </w:pPr>
      <w:r w:rsidRPr="004D1D31">
        <w:rPr>
          <w:rFonts w:ascii="Arial" w:hAnsi="Arial" w:cs="Arial"/>
          <w:sz w:val="24"/>
          <w:szCs w:val="24"/>
        </w:rPr>
        <w:t>B. Gascoigne, HISTORY OF TRADE, http://www.historyworld.net/wrldhis/PlainTextHistories.asp?ParagraphID=gpy , [accessed 11 October 2018].</w:t>
      </w:r>
    </w:p>
    <w:p w:rsidR="004D1D31" w:rsidRDefault="004D1D31" w:rsidP="00FD51BB">
      <w:pPr>
        <w:tabs>
          <w:tab w:val="left" w:pos="3840"/>
        </w:tabs>
        <w:jc w:val="both"/>
        <w:rPr>
          <w:rFonts w:ascii="Arial" w:hAnsi="Arial" w:cs="Arial"/>
          <w:sz w:val="24"/>
          <w:szCs w:val="24"/>
        </w:rPr>
      </w:pPr>
    </w:p>
    <w:p w:rsidR="004D1D31" w:rsidRPr="00D824A4" w:rsidRDefault="004D1D31" w:rsidP="00FD51BB">
      <w:pPr>
        <w:tabs>
          <w:tab w:val="left" w:pos="3840"/>
        </w:tabs>
        <w:jc w:val="both"/>
        <w:rPr>
          <w:rFonts w:ascii="Arial" w:hAnsi="Arial" w:cs="Arial"/>
          <w:sz w:val="24"/>
          <w:szCs w:val="24"/>
        </w:rPr>
      </w:pPr>
    </w:p>
    <w:sectPr w:rsidR="004D1D31" w:rsidRPr="00D824A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183" w:rsidRDefault="005B3183" w:rsidP="00D824A4">
      <w:pPr>
        <w:spacing w:after="0" w:line="240" w:lineRule="auto"/>
      </w:pPr>
      <w:r>
        <w:separator/>
      </w:r>
    </w:p>
  </w:endnote>
  <w:endnote w:type="continuationSeparator" w:id="0">
    <w:p w:rsidR="005B3183" w:rsidRDefault="005B3183" w:rsidP="00D82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183" w:rsidRDefault="005B3183" w:rsidP="00D824A4">
      <w:pPr>
        <w:spacing w:after="0" w:line="240" w:lineRule="auto"/>
      </w:pPr>
      <w:r>
        <w:separator/>
      </w:r>
    </w:p>
  </w:footnote>
  <w:footnote w:type="continuationSeparator" w:id="0">
    <w:p w:rsidR="005B3183" w:rsidRDefault="005B3183" w:rsidP="00D824A4">
      <w:pPr>
        <w:spacing w:after="0" w:line="240" w:lineRule="auto"/>
      </w:pPr>
      <w:r>
        <w:continuationSeparator/>
      </w:r>
    </w:p>
  </w:footnote>
  <w:footnote w:id="1">
    <w:p w:rsidR="00597FB7" w:rsidRPr="00597FB7" w:rsidRDefault="00597FB7">
      <w:pPr>
        <w:pStyle w:val="FootnoteText"/>
      </w:pPr>
      <w:r>
        <w:rPr>
          <w:rStyle w:val="FootnoteReference"/>
        </w:rPr>
        <w:footnoteRef/>
      </w:r>
      <w:r>
        <w:t xml:space="preserve"> Robert the Monk, </w:t>
      </w:r>
      <w:r w:rsidRPr="00597FB7">
        <w:rPr>
          <w:i/>
        </w:rPr>
        <w:t>Historia Iherosolimitana</w:t>
      </w:r>
      <w:r>
        <w:rPr>
          <w:i/>
        </w:rPr>
        <w:t xml:space="preserve">: Clermont and Peter the Hermit, November 1095-October 1096, </w:t>
      </w:r>
      <w:r w:rsidR="001E1B93">
        <w:t>trans. Carol Sweetnham (New York: Routledge, 2016), p. 79.</w:t>
      </w:r>
      <w:r>
        <w:rPr>
          <w:i/>
        </w:rPr>
        <w:t xml:space="preserve"> </w:t>
      </w:r>
    </w:p>
  </w:footnote>
  <w:footnote w:id="2">
    <w:p w:rsidR="00237E0D" w:rsidRDefault="00237E0D" w:rsidP="00237E0D">
      <w:pPr>
        <w:pStyle w:val="FootnoteText"/>
      </w:pPr>
      <w:r>
        <w:rPr>
          <w:rStyle w:val="FootnoteReference"/>
        </w:rPr>
        <w:footnoteRef/>
      </w:r>
      <w:r>
        <w:t xml:space="preserve"> </w:t>
      </w:r>
      <w:r>
        <w:t xml:space="preserve">Robert the Monk, </w:t>
      </w:r>
      <w:r w:rsidRPr="00597FB7">
        <w:rPr>
          <w:i/>
        </w:rPr>
        <w:t>Historia Iherosolimitana</w:t>
      </w:r>
      <w:r>
        <w:rPr>
          <w:i/>
        </w:rPr>
        <w:t xml:space="preserve">: Clermont and Peter the Hermit, November 1095-October 1096, </w:t>
      </w:r>
      <w:r>
        <w:t>trans. Carol Sweetnham (New York: Routledge, 2016)</w:t>
      </w:r>
      <w:r>
        <w:t>, p. 80</w:t>
      </w:r>
      <w:r>
        <w:t>.</w:t>
      </w:r>
    </w:p>
  </w:footnote>
  <w:footnote w:id="3">
    <w:p w:rsidR="001E1B93" w:rsidRPr="007A7F47" w:rsidRDefault="001E1B93">
      <w:pPr>
        <w:pStyle w:val="FootnoteText"/>
      </w:pPr>
      <w:r>
        <w:rPr>
          <w:rStyle w:val="FootnoteReference"/>
        </w:rPr>
        <w:footnoteRef/>
      </w:r>
      <w:r>
        <w:t>J</w:t>
      </w:r>
      <w:r w:rsidRPr="001E1B93">
        <w:t>. Bennett</w:t>
      </w:r>
      <w:r>
        <w:t xml:space="preserve">, </w:t>
      </w:r>
      <w:r w:rsidRPr="001E1B93">
        <w:rPr>
          <w:i/>
        </w:rPr>
        <w:t>Women in the Medieval English Countryside: Gender and Household in Brigstock before the Plague</w:t>
      </w:r>
      <w:r>
        <w:rPr>
          <w:i/>
        </w:rPr>
        <w:t xml:space="preserve">, </w:t>
      </w:r>
      <w:r w:rsidR="007A7F47">
        <w:t>(Oxford: Oxford University Press, 1989), p. 5.</w:t>
      </w:r>
    </w:p>
  </w:footnote>
  <w:footnote w:id="4">
    <w:p w:rsidR="007A7F47" w:rsidRDefault="007A7F47">
      <w:pPr>
        <w:pStyle w:val="FootnoteText"/>
      </w:pPr>
      <w:r>
        <w:rPr>
          <w:rStyle w:val="FootnoteReference"/>
        </w:rPr>
        <w:footnoteRef/>
      </w:r>
      <w:r>
        <w:t xml:space="preserve"> C. Sautter, Women, dance, death and lament in Medieval Spain and the Mediterranean: Jewish, Christian and Muslim e</w:t>
      </w:r>
      <w:r w:rsidR="00D43D7F">
        <w:t>xamples (New York: Routledge, 2017) p.93.</w:t>
      </w:r>
    </w:p>
  </w:footnote>
  <w:footnote w:id="5">
    <w:p w:rsidR="00FA798A" w:rsidRDefault="00FA798A">
      <w:pPr>
        <w:pStyle w:val="FootnoteText"/>
      </w:pPr>
      <w:r>
        <w:rPr>
          <w:rStyle w:val="FootnoteReference"/>
        </w:rPr>
        <w:footnoteRef/>
      </w:r>
      <w:r>
        <w:t xml:space="preserve"> </w:t>
      </w:r>
      <w:r>
        <w:t>C. Sautter, Women, dance, death and lament in Medieval Spain and the Mediterranean: Jewish, Christian and Muslim examples (New York: Routledge, 2017) p.93.</w:t>
      </w:r>
    </w:p>
  </w:footnote>
  <w:footnote w:id="6">
    <w:p w:rsidR="00534E20" w:rsidRPr="00534E20" w:rsidRDefault="00534E20">
      <w:pPr>
        <w:pStyle w:val="FootnoteText"/>
      </w:pPr>
      <w:r>
        <w:rPr>
          <w:rStyle w:val="FootnoteReference"/>
        </w:rPr>
        <w:footnoteRef/>
      </w:r>
      <w:r w:rsidR="000D0A70">
        <w:t>Timeless Myths</w:t>
      </w:r>
      <w:r>
        <w:t xml:space="preserve">, </w:t>
      </w:r>
      <w:r w:rsidRPr="00534E20">
        <w:rPr>
          <w:i/>
        </w:rPr>
        <w:t>Song of Roland</w:t>
      </w:r>
      <w:r w:rsidRPr="00534E20">
        <w:t xml:space="preserve">, </w:t>
      </w:r>
      <w:hyperlink r:id="rId1" w:history="1">
        <w:r w:rsidRPr="00534E20">
          <w:rPr>
            <w:rStyle w:val="Hyperlink"/>
          </w:rPr>
          <w:t>https://www.timelessmyths.com/arthurian/roland.html</w:t>
        </w:r>
      </w:hyperlink>
      <w:r>
        <w:t xml:space="preserve">, </w:t>
      </w:r>
      <w:r w:rsidR="000D0A70">
        <w:t>[accessed 11 October 2018]</w:t>
      </w:r>
      <w:r w:rsidR="00FA2E50">
        <w:t>.</w:t>
      </w:r>
    </w:p>
  </w:footnote>
  <w:footnote w:id="7">
    <w:p w:rsidR="005C24F8" w:rsidRDefault="005C24F8">
      <w:pPr>
        <w:pStyle w:val="FootnoteText"/>
      </w:pPr>
      <w:r>
        <w:rPr>
          <w:rStyle w:val="FootnoteReference"/>
        </w:rPr>
        <w:footnoteRef/>
      </w:r>
      <w:r>
        <w:t xml:space="preserve"> Turold, </w:t>
      </w:r>
      <w:r w:rsidRPr="005C24F8">
        <w:rPr>
          <w:i/>
        </w:rPr>
        <w:t>Chanson de Roland. English.</w:t>
      </w:r>
      <w:r>
        <w:t xml:space="preserve">, trans. D. Owen (Suffolk: </w:t>
      </w:r>
      <w:r w:rsidRPr="005C24F8">
        <w:t>Boydell Press, 199</w:t>
      </w:r>
      <w:r>
        <w:t>9), p.73.</w:t>
      </w:r>
    </w:p>
  </w:footnote>
  <w:footnote w:id="8">
    <w:p w:rsidR="005C24F8" w:rsidRDefault="005C24F8">
      <w:pPr>
        <w:pStyle w:val="FootnoteText"/>
      </w:pPr>
      <w:r>
        <w:rPr>
          <w:rStyle w:val="FootnoteReference"/>
        </w:rPr>
        <w:footnoteRef/>
      </w:r>
      <w:r>
        <w:t xml:space="preserve"> </w:t>
      </w:r>
      <w:r>
        <w:t xml:space="preserve">Turold, </w:t>
      </w:r>
      <w:r w:rsidRPr="005C24F8">
        <w:rPr>
          <w:i/>
        </w:rPr>
        <w:t>Chanson de Roland. English.</w:t>
      </w:r>
      <w:r>
        <w:t xml:space="preserve">, trans. D. Owen (Suffolk: </w:t>
      </w:r>
      <w:r w:rsidRPr="005C24F8">
        <w:t>Boydell Press, 199</w:t>
      </w:r>
      <w:r>
        <w:t>9), p</w:t>
      </w:r>
      <w:r>
        <w:t>. 92.</w:t>
      </w:r>
    </w:p>
  </w:footnote>
  <w:footnote w:id="9">
    <w:p w:rsidR="00FA2E50" w:rsidRDefault="00FA2E50">
      <w:pPr>
        <w:pStyle w:val="FootnoteText"/>
      </w:pPr>
      <w:r>
        <w:rPr>
          <w:rStyle w:val="FootnoteReference"/>
        </w:rPr>
        <w:footnoteRef/>
      </w:r>
      <w:r>
        <w:t xml:space="preserve"> B. </w:t>
      </w:r>
      <w:r w:rsidRPr="00FA2E50">
        <w:t>Gascoigne</w:t>
      </w:r>
      <w:r>
        <w:t xml:space="preserve">, </w:t>
      </w:r>
      <w:r w:rsidRPr="00FA2E50">
        <w:rPr>
          <w:i/>
        </w:rPr>
        <w:t>HISTORY OF TRADE</w:t>
      </w:r>
      <w:r>
        <w:t xml:space="preserve">, </w:t>
      </w:r>
      <w:hyperlink r:id="rId2" w:history="1">
        <w:r w:rsidRPr="00DF2E1D">
          <w:rPr>
            <w:rStyle w:val="Hyperlink"/>
          </w:rPr>
          <w:t>http://www.historyworld.net/wrldhis/PlainTextHistories.asp?ParagraphID=gpy</w:t>
        </w:r>
      </w:hyperlink>
      <w:r>
        <w:t xml:space="preserve"> , </w:t>
      </w:r>
      <w:r w:rsidRPr="00FA2E50">
        <w:t>[accessed 11 October 2018]</w:t>
      </w:r>
      <w:r>
        <w:t>.</w:t>
      </w:r>
    </w:p>
  </w:footnote>
  <w:footnote w:id="10">
    <w:p w:rsidR="00841EC9" w:rsidRDefault="00841EC9">
      <w:pPr>
        <w:pStyle w:val="FootnoteText"/>
      </w:pPr>
      <w:r>
        <w:rPr>
          <w:rStyle w:val="FootnoteReference"/>
        </w:rPr>
        <w:footnoteRef/>
      </w:r>
      <w:r>
        <w:t xml:space="preserve"> K. Olson, </w:t>
      </w:r>
      <w:r w:rsidRPr="00841EC9">
        <w:rPr>
          <w:i/>
        </w:rPr>
        <w:t>10 dangers of the medieval period</w:t>
      </w:r>
      <w:r>
        <w:t xml:space="preserve">, </w:t>
      </w:r>
      <w:hyperlink r:id="rId3" w:history="1">
        <w:r w:rsidRPr="00DF2E1D">
          <w:rPr>
            <w:rStyle w:val="Hyperlink"/>
          </w:rPr>
          <w:t>https://www.historyextra.com/period/medieval/10-dangers-of-the-medieval-period/</w:t>
        </w:r>
      </w:hyperlink>
      <w:r>
        <w:t xml:space="preserve"> , </w:t>
      </w:r>
      <w:r w:rsidRPr="00FA2E50">
        <w:t>[accessed 11 October 2018]</w:t>
      </w:r>
      <w:r>
        <w:t>.</w:t>
      </w:r>
    </w:p>
  </w:footnote>
  <w:footnote w:id="11">
    <w:p w:rsidR="00E46BF1" w:rsidRDefault="00E46BF1" w:rsidP="00E46BF1">
      <w:pPr>
        <w:pStyle w:val="FootnoteText"/>
      </w:pPr>
      <w:r>
        <w:rPr>
          <w:rStyle w:val="FootnoteReference"/>
        </w:rPr>
        <w:footnoteRef/>
      </w:r>
      <w:r>
        <w:t xml:space="preserve"> </w:t>
      </w:r>
      <w:r>
        <w:t>K. Olson</w:t>
      </w:r>
      <w:r w:rsidRPr="00A53881">
        <w:rPr>
          <w:i/>
        </w:rPr>
        <w:t>, 10 dangers of the medieval period</w:t>
      </w:r>
      <w:r>
        <w:t>, https://www.historyextra.com/period/medieval/10-dangers-of-the-medieval-period</w:t>
      </w:r>
      <w:r>
        <w:t>/ , [accessed 11 October 2018].</w:t>
      </w:r>
    </w:p>
  </w:footnote>
  <w:footnote w:id="12">
    <w:p w:rsidR="005F3CA2" w:rsidRDefault="005F3CA2">
      <w:pPr>
        <w:pStyle w:val="FootnoteText"/>
      </w:pPr>
      <w:r>
        <w:rPr>
          <w:rStyle w:val="FootnoteReference"/>
        </w:rPr>
        <w:footnoteRef/>
      </w:r>
      <w:r>
        <w:t xml:space="preserve"> T. James, </w:t>
      </w:r>
      <w:r w:rsidRPr="005F3CA2">
        <w:t>Black Death: The lasting impact</w:t>
      </w:r>
      <w:r>
        <w:t xml:space="preserve">, </w:t>
      </w:r>
      <w:hyperlink r:id="rId4" w:history="1">
        <w:r w:rsidRPr="00DF2E1D">
          <w:rPr>
            <w:rStyle w:val="Hyperlink"/>
          </w:rPr>
          <w:t>http://www.bbc.co.uk/history/british/middle_ages/black_impact_01.shtml</w:t>
        </w:r>
      </w:hyperlink>
      <w:r>
        <w:t xml:space="preserve"> , </w:t>
      </w:r>
      <w:r w:rsidRPr="00FA2E50">
        <w:t>[accessed 11 October 2018]</w:t>
      </w:r>
      <w:r>
        <w:t>.</w:t>
      </w:r>
    </w:p>
  </w:footnote>
  <w:footnote w:id="13">
    <w:p w:rsidR="005F3CA2" w:rsidRDefault="005F3CA2">
      <w:pPr>
        <w:pStyle w:val="FootnoteText"/>
      </w:pPr>
      <w:r>
        <w:rPr>
          <w:rStyle w:val="FootnoteReference"/>
        </w:rPr>
        <w:footnoteRef/>
      </w:r>
      <w:r>
        <w:t xml:space="preserve"> </w:t>
      </w:r>
      <w:r>
        <w:t xml:space="preserve">K. Olson, </w:t>
      </w:r>
      <w:r w:rsidRPr="00841EC9">
        <w:rPr>
          <w:i/>
        </w:rPr>
        <w:t>10 dangers of the medieval period</w:t>
      </w:r>
      <w:r>
        <w:t xml:space="preserve">, </w:t>
      </w:r>
      <w:hyperlink r:id="rId5" w:history="1">
        <w:r w:rsidRPr="00DF2E1D">
          <w:rPr>
            <w:rStyle w:val="Hyperlink"/>
          </w:rPr>
          <w:t>https://www.historyextra.com/period/medieval/10-dangers-of-the-medieval-period/</w:t>
        </w:r>
      </w:hyperlink>
      <w:r>
        <w:t xml:space="preserve"> , </w:t>
      </w:r>
      <w:r w:rsidRPr="00FA2E50">
        <w:t>[accessed 11 October 2018]</w:t>
      </w:r>
      <w:r>
        <w:t>.</w:t>
      </w:r>
    </w:p>
  </w:footnote>
  <w:footnote w:id="14">
    <w:p w:rsidR="00A53126" w:rsidRDefault="00A53126">
      <w:pPr>
        <w:pStyle w:val="FootnoteText"/>
      </w:pPr>
      <w:r>
        <w:rPr>
          <w:rStyle w:val="FootnoteReference"/>
        </w:rPr>
        <w:footnoteRef/>
      </w:r>
      <w:r>
        <w:t xml:space="preserve"> </w:t>
      </w:r>
      <w:r w:rsidRPr="00A53126">
        <w:t xml:space="preserve">K. Olson, </w:t>
      </w:r>
      <w:r w:rsidRPr="00A53881">
        <w:rPr>
          <w:i/>
        </w:rPr>
        <w:t>10 dangers of the medieval period</w:t>
      </w:r>
      <w:r w:rsidRPr="00A53126">
        <w:t xml:space="preserve">, </w:t>
      </w:r>
      <w:hyperlink r:id="rId6" w:history="1">
        <w:r w:rsidR="00E247FC" w:rsidRPr="00DF2E1D">
          <w:rPr>
            <w:rStyle w:val="Hyperlink"/>
          </w:rPr>
          <w:t>https://www.historyextra.com/period/medieval/10-dangers-of-the-medieval-period/</w:t>
        </w:r>
      </w:hyperlink>
      <w:r w:rsidR="00E247FC">
        <w:t xml:space="preserve"> </w:t>
      </w:r>
      <w:r w:rsidR="00E247FC" w:rsidRPr="00A53126">
        <w:t>,</w:t>
      </w:r>
      <w:r w:rsidRPr="00A53126">
        <w:t xml:space="preserve"> [accessed 11 October 2018].</w:t>
      </w:r>
    </w:p>
  </w:footnote>
  <w:footnote w:id="15">
    <w:p w:rsidR="00E247FC" w:rsidRDefault="00E247FC" w:rsidP="00E247FC">
      <w:pPr>
        <w:pStyle w:val="FootnoteText"/>
      </w:pPr>
      <w:r>
        <w:rPr>
          <w:rStyle w:val="FootnoteReference"/>
        </w:rPr>
        <w:footnoteRef/>
      </w:r>
      <w:r>
        <w:t xml:space="preserve"> </w:t>
      </w:r>
      <w:r w:rsidRPr="00A53126">
        <w:t>K. Olson</w:t>
      </w:r>
      <w:r w:rsidRPr="00A53881">
        <w:rPr>
          <w:i/>
        </w:rPr>
        <w:t>, 10 dangers of the medieval period</w:t>
      </w:r>
      <w:r w:rsidRPr="00A53126">
        <w:t xml:space="preserve">, </w:t>
      </w:r>
      <w:hyperlink r:id="rId7" w:history="1">
        <w:r w:rsidRPr="00DF2E1D">
          <w:rPr>
            <w:rStyle w:val="Hyperlink"/>
          </w:rPr>
          <w:t>https://www.historyextra.com/period/medieval/10-dangers-of-the-medieval-period/</w:t>
        </w:r>
      </w:hyperlink>
      <w:r>
        <w:t xml:space="preserve"> </w:t>
      </w:r>
      <w:r w:rsidRPr="00A53126">
        <w:t>, [accessed 11 October 2018].</w:t>
      </w:r>
    </w:p>
  </w:footnote>
  <w:footnote w:id="16">
    <w:p w:rsidR="00E247FC" w:rsidRDefault="00E247FC">
      <w:pPr>
        <w:pStyle w:val="FootnoteText"/>
      </w:pPr>
      <w:r>
        <w:rPr>
          <w:rStyle w:val="FootnoteReference"/>
        </w:rPr>
        <w:footnoteRef/>
      </w:r>
      <w:r>
        <w:t xml:space="preserve"> </w:t>
      </w:r>
      <w:r w:rsidRPr="00A53126">
        <w:t xml:space="preserve">K. Olson, </w:t>
      </w:r>
      <w:r w:rsidRPr="00A53881">
        <w:rPr>
          <w:i/>
        </w:rPr>
        <w:t>10 dangers of the medieval period</w:t>
      </w:r>
      <w:r w:rsidRPr="00A53126">
        <w:t xml:space="preserve">, </w:t>
      </w:r>
      <w:hyperlink r:id="rId8" w:history="1">
        <w:r w:rsidRPr="00DF2E1D">
          <w:rPr>
            <w:rStyle w:val="Hyperlink"/>
          </w:rPr>
          <w:t>https://www.historyextra.com/period/medieval/10-dangers-of-the-medieval-period/</w:t>
        </w:r>
      </w:hyperlink>
      <w:r>
        <w:t xml:space="preserve"> </w:t>
      </w:r>
      <w:r w:rsidRPr="00A53126">
        <w:t>, [accessed 11 October 2018].</w:t>
      </w:r>
    </w:p>
  </w:footnote>
  <w:footnote w:id="17">
    <w:p w:rsidR="00A53881" w:rsidRPr="00A53881" w:rsidRDefault="00A53881">
      <w:pPr>
        <w:pStyle w:val="FootnoteText"/>
      </w:pPr>
      <w:r>
        <w:rPr>
          <w:rStyle w:val="FootnoteReference"/>
        </w:rPr>
        <w:footnoteRef/>
      </w:r>
      <w:r>
        <w:t xml:space="preserve"> B. Fagan, </w:t>
      </w:r>
      <w:r w:rsidRPr="00A53881">
        <w:rPr>
          <w:i/>
        </w:rPr>
        <w:t>The Little Ice Age: How Climate Made History 1300-1850</w:t>
      </w:r>
      <w:r>
        <w:rPr>
          <w:i/>
        </w:rPr>
        <w:t xml:space="preserve">, </w:t>
      </w:r>
      <w:r>
        <w:t>(New York: Basic Books, 2002), p. xiv.</w:t>
      </w:r>
    </w:p>
  </w:footnote>
  <w:footnote w:id="18">
    <w:p w:rsidR="00832C01" w:rsidRDefault="00832C01">
      <w:pPr>
        <w:pStyle w:val="FootnoteText"/>
      </w:pPr>
      <w:r>
        <w:rPr>
          <w:rStyle w:val="FootnoteReference"/>
        </w:rPr>
        <w:footnoteRef/>
      </w:r>
      <w:r>
        <w:t xml:space="preserve"> W.</w:t>
      </w:r>
      <w:r w:rsidRPr="00832C01">
        <w:t xml:space="preserve"> Behringer</w:t>
      </w:r>
      <w:r>
        <w:t xml:space="preserve">, </w:t>
      </w:r>
      <w:r w:rsidRPr="00832C01">
        <w:rPr>
          <w:i/>
        </w:rPr>
        <w:t xml:space="preserve">A Cultural History of Climate </w:t>
      </w:r>
      <w:r>
        <w:rPr>
          <w:i/>
        </w:rPr>
        <w:t xml:space="preserve">, </w:t>
      </w:r>
      <w:r>
        <w:t>(</w:t>
      </w:r>
      <w:r>
        <w:t>London:</w:t>
      </w:r>
      <w:r w:rsidRPr="00832C01">
        <w:t xml:space="preserve"> Polity Press, 2009</w:t>
      </w:r>
      <w:r>
        <w:t xml:space="preserve">), p. </w:t>
      </w:r>
      <w:r>
        <w:t>132</w:t>
      </w:r>
      <w:r>
        <w:t>.</w:t>
      </w:r>
    </w:p>
  </w:footnote>
  <w:footnote w:id="19">
    <w:p w:rsidR="00EC1F1B" w:rsidRDefault="00EC1F1B">
      <w:pPr>
        <w:pStyle w:val="FootnoteText"/>
      </w:pPr>
      <w:r>
        <w:rPr>
          <w:rStyle w:val="FootnoteReference"/>
        </w:rPr>
        <w:footnoteRef/>
      </w:r>
      <w:r>
        <w:t xml:space="preserve"> </w:t>
      </w:r>
      <w:r>
        <w:t xml:space="preserve">K. Olson, </w:t>
      </w:r>
      <w:r w:rsidRPr="00841EC9">
        <w:rPr>
          <w:i/>
        </w:rPr>
        <w:t>10 dangers of the medieval period</w:t>
      </w:r>
      <w:r>
        <w:t xml:space="preserve">, </w:t>
      </w:r>
      <w:hyperlink r:id="rId9" w:history="1">
        <w:r w:rsidRPr="00DF2E1D">
          <w:rPr>
            <w:rStyle w:val="Hyperlink"/>
          </w:rPr>
          <w:t>https://www.historyextra.com/period/medieval/10-dangers-of-the-medieval-period/</w:t>
        </w:r>
      </w:hyperlink>
      <w:r>
        <w:t xml:space="preserve"> , </w:t>
      </w:r>
      <w:r w:rsidRPr="00FA2E50">
        <w:t>[accessed 11 October 2018]</w:t>
      </w:r>
      <w:r>
        <w:t>.</w:t>
      </w:r>
    </w:p>
  </w:footnote>
  <w:footnote w:id="20">
    <w:p w:rsidR="007E036D" w:rsidRDefault="007E036D">
      <w:pPr>
        <w:pStyle w:val="FootnoteText"/>
      </w:pPr>
      <w:r>
        <w:rPr>
          <w:rStyle w:val="FootnoteReference"/>
        </w:rPr>
        <w:footnoteRef/>
      </w:r>
      <w:r>
        <w:t xml:space="preserve"> </w:t>
      </w:r>
      <w:r w:rsidRPr="007E036D">
        <w:t xml:space="preserve">K. Olson, </w:t>
      </w:r>
      <w:r w:rsidRPr="004D1D31">
        <w:rPr>
          <w:i/>
        </w:rPr>
        <w:t>10 dangers of the medieval period</w:t>
      </w:r>
      <w:r w:rsidRPr="007E036D">
        <w:t xml:space="preserve">, </w:t>
      </w:r>
      <w:hyperlink r:id="rId10" w:history="1">
        <w:r w:rsidRPr="00DF2E1D">
          <w:rPr>
            <w:rStyle w:val="Hyperlink"/>
          </w:rPr>
          <w:t>https://www.historyextra.com/period/medieval/10-dangers-of-the-medieval-period/</w:t>
        </w:r>
      </w:hyperlink>
      <w:r>
        <w:t xml:space="preserve"> </w:t>
      </w:r>
      <w:r w:rsidRPr="007E036D">
        <w:t>, [accessed 11 October 2018].</w:t>
      </w:r>
    </w:p>
  </w:footnote>
  <w:footnote w:id="21">
    <w:p w:rsidR="004D1D31" w:rsidRPr="004D1D31" w:rsidRDefault="004D1D31" w:rsidP="004D1D31">
      <w:pPr>
        <w:pStyle w:val="FootnoteText"/>
      </w:pPr>
      <w:r>
        <w:rPr>
          <w:rStyle w:val="FootnoteReference"/>
        </w:rPr>
        <w:footnoteRef/>
      </w:r>
      <w:r>
        <w:t xml:space="preserve">J. Guy,  </w:t>
      </w:r>
      <w:r w:rsidRPr="004D1D31">
        <w:rPr>
          <w:i/>
        </w:rPr>
        <w:t xml:space="preserve">Henry VIII: </w:t>
      </w:r>
      <w:r w:rsidRPr="004D1D31">
        <w:rPr>
          <w:i/>
        </w:rPr>
        <w:t>The Quest for Fame</w:t>
      </w:r>
      <w:r>
        <w:rPr>
          <w:i/>
        </w:rPr>
        <w:t>, (New York: Penguin, 2014) p. 54.</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7956203"/>
      <w:docPartObj>
        <w:docPartGallery w:val="Page Numbers (Top of Page)"/>
        <w:docPartUnique/>
      </w:docPartObj>
    </w:sdtPr>
    <w:sdtEndPr>
      <w:rPr>
        <w:noProof/>
      </w:rPr>
    </w:sdtEndPr>
    <w:sdtContent>
      <w:p w:rsidR="00A4790A" w:rsidRDefault="00A4790A">
        <w:pPr>
          <w:pStyle w:val="Header"/>
          <w:jc w:val="center"/>
        </w:pPr>
        <w:r>
          <w:fldChar w:fldCharType="begin"/>
        </w:r>
        <w:r>
          <w:instrText xml:space="preserve"> PAGE   \* MERGEFORMAT </w:instrText>
        </w:r>
        <w:r>
          <w:fldChar w:fldCharType="separate"/>
        </w:r>
        <w:r w:rsidR="004D1D31">
          <w:rPr>
            <w:noProof/>
          </w:rPr>
          <w:t>4</w:t>
        </w:r>
        <w:r>
          <w:rPr>
            <w:noProof/>
          </w:rPr>
          <w:fldChar w:fldCharType="end"/>
        </w:r>
      </w:p>
    </w:sdtContent>
  </w:sdt>
  <w:p w:rsidR="00A4790A" w:rsidRDefault="00A479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4A4"/>
    <w:rsid w:val="000D0A70"/>
    <w:rsid w:val="000F75E3"/>
    <w:rsid w:val="00103D58"/>
    <w:rsid w:val="001A30A4"/>
    <w:rsid w:val="001E1B93"/>
    <w:rsid w:val="00237E0D"/>
    <w:rsid w:val="0042578E"/>
    <w:rsid w:val="004C71CA"/>
    <w:rsid w:val="004D1D31"/>
    <w:rsid w:val="004D6213"/>
    <w:rsid w:val="00534E20"/>
    <w:rsid w:val="00536300"/>
    <w:rsid w:val="00597FB7"/>
    <w:rsid w:val="005B3183"/>
    <w:rsid w:val="005C24F8"/>
    <w:rsid w:val="005F3CA2"/>
    <w:rsid w:val="00646526"/>
    <w:rsid w:val="007A7F47"/>
    <w:rsid w:val="007E036D"/>
    <w:rsid w:val="007F33A8"/>
    <w:rsid w:val="00832C01"/>
    <w:rsid w:val="00841EC9"/>
    <w:rsid w:val="00A30CD0"/>
    <w:rsid w:val="00A4790A"/>
    <w:rsid w:val="00A52A7A"/>
    <w:rsid w:val="00A53126"/>
    <w:rsid w:val="00A53881"/>
    <w:rsid w:val="00A6302A"/>
    <w:rsid w:val="00AD0877"/>
    <w:rsid w:val="00B03D65"/>
    <w:rsid w:val="00BC0EC1"/>
    <w:rsid w:val="00C17139"/>
    <w:rsid w:val="00CE2ECB"/>
    <w:rsid w:val="00D43D7F"/>
    <w:rsid w:val="00D824A4"/>
    <w:rsid w:val="00E247FC"/>
    <w:rsid w:val="00E46BF1"/>
    <w:rsid w:val="00EC1F1B"/>
    <w:rsid w:val="00ED74B2"/>
    <w:rsid w:val="00F6673F"/>
    <w:rsid w:val="00FA2E50"/>
    <w:rsid w:val="00FA798A"/>
    <w:rsid w:val="00FD51BB"/>
    <w:rsid w:val="00FD5E78"/>
    <w:rsid w:val="00FF3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B147"/>
  <w15:docId w15:val="{D0E01CED-F873-4511-9391-5AF29E0D4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4A4"/>
  </w:style>
  <w:style w:type="paragraph" w:styleId="Footer">
    <w:name w:val="footer"/>
    <w:basedOn w:val="Normal"/>
    <w:link w:val="FooterChar"/>
    <w:uiPriority w:val="99"/>
    <w:unhideWhenUsed/>
    <w:rsid w:val="00D82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4A4"/>
  </w:style>
  <w:style w:type="paragraph" w:styleId="FootnoteText">
    <w:name w:val="footnote text"/>
    <w:basedOn w:val="Normal"/>
    <w:link w:val="FootnoteTextChar"/>
    <w:uiPriority w:val="99"/>
    <w:unhideWhenUsed/>
    <w:rsid w:val="00FD5E78"/>
    <w:pPr>
      <w:spacing w:after="0" w:line="240" w:lineRule="auto"/>
    </w:pPr>
    <w:rPr>
      <w:sz w:val="20"/>
      <w:szCs w:val="20"/>
    </w:rPr>
  </w:style>
  <w:style w:type="character" w:customStyle="1" w:styleId="FootnoteTextChar">
    <w:name w:val="Footnote Text Char"/>
    <w:basedOn w:val="DefaultParagraphFont"/>
    <w:link w:val="FootnoteText"/>
    <w:uiPriority w:val="99"/>
    <w:rsid w:val="00FD5E78"/>
    <w:rPr>
      <w:sz w:val="20"/>
      <w:szCs w:val="20"/>
    </w:rPr>
  </w:style>
  <w:style w:type="character" w:styleId="FootnoteReference">
    <w:name w:val="footnote reference"/>
    <w:basedOn w:val="DefaultParagraphFont"/>
    <w:uiPriority w:val="99"/>
    <w:semiHidden/>
    <w:unhideWhenUsed/>
    <w:rsid w:val="00FD5E78"/>
    <w:rPr>
      <w:vertAlign w:val="superscript"/>
    </w:rPr>
  </w:style>
  <w:style w:type="character" w:styleId="Hyperlink">
    <w:name w:val="Hyperlink"/>
    <w:basedOn w:val="DefaultParagraphFont"/>
    <w:uiPriority w:val="99"/>
    <w:unhideWhenUsed/>
    <w:rsid w:val="00534E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historyextra.com/period/medieval/10-dangers-of-the-medieval-period/" TargetMode="External"/><Relationship Id="rId3" Type="http://schemas.openxmlformats.org/officeDocument/2006/relationships/hyperlink" Target="https://www.historyextra.com/period/medieval/10-dangers-of-the-medieval-period/" TargetMode="External"/><Relationship Id="rId7" Type="http://schemas.openxmlformats.org/officeDocument/2006/relationships/hyperlink" Target="https://www.historyextra.com/period/medieval/10-dangers-of-the-medieval-period/" TargetMode="External"/><Relationship Id="rId2" Type="http://schemas.openxmlformats.org/officeDocument/2006/relationships/hyperlink" Target="http://www.historyworld.net/wrldhis/PlainTextHistories.asp?ParagraphID=gpy" TargetMode="External"/><Relationship Id="rId1" Type="http://schemas.openxmlformats.org/officeDocument/2006/relationships/hyperlink" Target="https://www.timelessmyths.com/arthurian/roland.html" TargetMode="External"/><Relationship Id="rId6" Type="http://schemas.openxmlformats.org/officeDocument/2006/relationships/hyperlink" Target="https://www.historyextra.com/period/medieval/10-dangers-of-the-medieval-period/" TargetMode="External"/><Relationship Id="rId5" Type="http://schemas.openxmlformats.org/officeDocument/2006/relationships/hyperlink" Target="https://www.historyextra.com/period/medieval/10-dangers-of-the-medieval-period/" TargetMode="External"/><Relationship Id="rId10" Type="http://schemas.openxmlformats.org/officeDocument/2006/relationships/hyperlink" Target="https://www.historyextra.com/period/medieval/10-dangers-of-the-medieval-period/" TargetMode="External"/><Relationship Id="rId4" Type="http://schemas.openxmlformats.org/officeDocument/2006/relationships/hyperlink" Target="http://www.bbc.co.uk/history/british/middle_ages/black_impact_01.shtml" TargetMode="External"/><Relationship Id="rId9" Type="http://schemas.openxmlformats.org/officeDocument/2006/relationships/hyperlink" Target="https://www.historyextra.com/period/medieval/10-dangers-of-the-medieval-peri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544DAD-F64C-4736-AC54-FE633307D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owner</dc:creator>
  <cp:lastModifiedBy>Niamh Patterson (1801288)</cp:lastModifiedBy>
  <cp:revision>2</cp:revision>
  <dcterms:created xsi:type="dcterms:W3CDTF">2018-10-12T22:55:00Z</dcterms:created>
  <dcterms:modified xsi:type="dcterms:W3CDTF">2018-10-12T22:55:00Z</dcterms:modified>
</cp:coreProperties>
</file>