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D589C" w14:textId="1549D064" w:rsidR="00F12726" w:rsidRDefault="00F20A14" w:rsidP="003B549F">
      <w:pPr>
        <w:jc w:val="center"/>
        <w:rPr>
          <w:rFonts w:asciiTheme="majorHAnsi" w:hAnsiTheme="majorHAnsi" w:cstheme="majorHAnsi"/>
          <w:b/>
          <w:bCs/>
          <w:sz w:val="32"/>
          <w:szCs w:val="32"/>
        </w:rPr>
      </w:pPr>
      <w:r w:rsidRPr="003B549F">
        <w:rPr>
          <w:rFonts w:asciiTheme="majorHAnsi" w:hAnsiTheme="majorHAnsi" w:cstheme="majorHAnsi"/>
          <w:b/>
          <w:bCs/>
          <w:sz w:val="32"/>
          <w:szCs w:val="32"/>
        </w:rPr>
        <w:t>Dan</w:t>
      </w:r>
      <w:r w:rsidR="00764EC1">
        <w:rPr>
          <w:rFonts w:asciiTheme="majorHAnsi" w:hAnsiTheme="majorHAnsi" w:cstheme="majorHAnsi"/>
          <w:b/>
          <w:bCs/>
          <w:sz w:val="32"/>
          <w:szCs w:val="32"/>
        </w:rPr>
        <w:t>iel</w:t>
      </w:r>
      <w:r w:rsidRPr="003B549F">
        <w:rPr>
          <w:rFonts w:asciiTheme="majorHAnsi" w:hAnsiTheme="majorHAnsi" w:cstheme="majorHAnsi"/>
          <w:b/>
          <w:bCs/>
          <w:sz w:val="32"/>
          <w:szCs w:val="32"/>
        </w:rPr>
        <w:t xml:space="preserve"> Edwards – UWTSD </w:t>
      </w:r>
      <w:r w:rsidR="003B549F" w:rsidRPr="003B549F">
        <w:rPr>
          <w:rFonts w:asciiTheme="majorHAnsi" w:hAnsiTheme="majorHAnsi" w:cstheme="majorHAnsi"/>
          <w:b/>
          <w:bCs/>
          <w:sz w:val="32"/>
          <w:szCs w:val="32"/>
        </w:rPr>
        <w:t>2124833</w:t>
      </w:r>
    </w:p>
    <w:p w14:paraId="4BCC4366" w14:textId="76428D4C" w:rsidR="00917B50" w:rsidRPr="003B549F" w:rsidRDefault="00917B50" w:rsidP="003B549F">
      <w:pPr>
        <w:jc w:val="center"/>
        <w:rPr>
          <w:rFonts w:asciiTheme="majorHAnsi" w:hAnsiTheme="majorHAnsi" w:cstheme="majorHAnsi"/>
          <w:b/>
          <w:bCs/>
          <w:sz w:val="32"/>
          <w:szCs w:val="32"/>
        </w:rPr>
      </w:pPr>
      <w:r w:rsidRPr="003B549F">
        <w:rPr>
          <w:rFonts w:asciiTheme="majorHAnsi" w:hAnsiTheme="majorHAnsi" w:cstheme="majorHAnsi"/>
          <w:b/>
          <w:bCs/>
          <w:sz w:val="32"/>
          <w:szCs w:val="32"/>
        </w:rPr>
        <w:t>PCDA Assignment 1</w:t>
      </w:r>
    </w:p>
    <w:p w14:paraId="673B8844" w14:textId="71E775B0" w:rsidR="003B549F" w:rsidRPr="003B549F" w:rsidRDefault="003B549F" w:rsidP="003B549F">
      <w:pPr>
        <w:rPr>
          <w:rFonts w:asciiTheme="majorHAnsi" w:hAnsiTheme="majorHAnsi" w:cstheme="majorHAnsi"/>
          <w:b/>
          <w:bCs/>
          <w:sz w:val="32"/>
          <w:szCs w:val="32"/>
        </w:rPr>
      </w:pPr>
    </w:p>
    <w:p w14:paraId="579ACABC" w14:textId="4F000DC2" w:rsidR="003B549F" w:rsidRPr="003B549F" w:rsidRDefault="003B549F" w:rsidP="003B549F">
      <w:pPr>
        <w:rPr>
          <w:rFonts w:asciiTheme="majorHAnsi" w:hAnsiTheme="majorHAnsi" w:cstheme="majorHAnsi"/>
          <w:b/>
          <w:bCs/>
          <w:sz w:val="28"/>
          <w:szCs w:val="28"/>
        </w:rPr>
      </w:pPr>
      <w:r w:rsidRPr="003B549F">
        <w:rPr>
          <w:rFonts w:asciiTheme="majorHAnsi" w:hAnsiTheme="majorHAnsi" w:cstheme="majorHAnsi"/>
          <w:b/>
          <w:bCs/>
          <w:sz w:val="28"/>
          <w:szCs w:val="28"/>
        </w:rPr>
        <w:t>How have past instances of police malpractice and misconduct influenced modern professional policing?</w:t>
      </w:r>
    </w:p>
    <w:p w14:paraId="501CAE4E" w14:textId="5FF49730" w:rsidR="003B549F" w:rsidRPr="001620E2" w:rsidRDefault="00100833" w:rsidP="001620E2">
      <w:r w:rsidRPr="001620E2">
        <w:t>Modern policing has been influenced in many ways by past i</w:t>
      </w:r>
      <w:r w:rsidR="00B615C4" w:rsidRPr="001620E2">
        <w:t>nstances of p</w:t>
      </w:r>
      <w:r w:rsidR="003B549F" w:rsidRPr="001620E2">
        <w:t xml:space="preserve">olice malpractice and misconduct </w:t>
      </w:r>
      <w:r w:rsidRPr="001620E2">
        <w:t xml:space="preserve">which </w:t>
      </w:r>
      <w:r w:rsidR="00FB6C08" w:rsidRPr="001620E2">
        <w:t>often draw significant attention from the public</w:t>
      </w:r>
      <w:r w:rsidRPr="001620E2">
        <w:t xml:space="preserve">. To maintain the </w:t>
      </w:r>
      <w:proofErr w:type="spellStart"/>
      <w:r w:rsidRPr="001620E2">
        <w:t>publics</w:t>
      </w:r>
      <w:proofErr w:type="spellEnd"/>
      <w:r w:rsidRPr="001620E2">
        <w:t xml:space="preserve"> trust and confidence in UK policing, changes to policy and procedure must constantly be made with the aim to limit and prevent future instances from occurring. Even in recent years, </w:t>
      </w:r>
      <w:r w:rsidR="00533E53" w:rsidRPr="001620E2">
        <w:t>there has been new legislation passed by the government as well as organisational changes made with the aim of preventing misconduct and malpractice.</w:t>
      </w:r>
    </w:p>
    <w:p w14:paraId="4558E514" w14:textId="0497CDE3" w:rsidR="00693B11" w:rsidRPr="001620E2" w:rsidRDefault="00693B11" w:rsidP="001620E2">
      <w:r w:rsidRPr="001620E2">
        <w:t xml:space="preserve">Police officers are granted </w:t>
      </w:r>
      <w:r w:rsidR="00660238" w:rsidRPr="001620E2">
        <w:t>a statutory power over others which includes the power to make an arrest, taking away another person’s liberties</w:t>
      </w:r>
      <w:r w:rsidR="000F54DD" w:rsidRPr="001620E2">
        <w:t>. With this comes a responsibility to act in a manner that does not bring discredit to policing as an organisation and to carry out the duties of the office diligently</w:t>
      </w:r>
      <w:r w:rsidR="00377E95" w:rsidRPr="001620E2">
        <w:t xml:space="preserve"> (College of Policing, 2014) </w:t>
      </w:r>
      <w:r w:rsidR="009147C8" w:rsidRPr="001620E2">
        <w:t xml:space="preserve">it is </w:t>
      </w:r>
      <w:r w:rsidR="00377E95" w:rsidRPr="001620E2">
        <w:t>failures in these responsibilities</w:t>
      </w:r>
      <w:r w:rsidR="004673DB" w:rsidRPr="001620E2">
        <w:t xml:space="preserve"> which constitute misconduct or malpractice. When these arise; </w:t>
      </w:r>
      <w:r w:rsidR="00377E95" w:rsidRPr="001620E2">
        <w:t>a</w:t>
      </w:r>
      <w:r w:rsidR="004673DB" w:rsidRPr="001620E2">
        <w:t>n</w:t>
      </w:r>
      <w:r w:rsidR="00377E95" w:rsidRPr="001620E2">
        <w:t xml:space="preserve"> efficient, </w:t>
      </w:r>
      <w:proofErr w:type="gramStart"/>
      <w:r w:rsidR="00377E95" w:rsidRPr="001620E2">
        <w:t>effective</w:t>
      </w:r>
      <w:proofErr w:type="gramEnd"/>
      <w:r w:rsidR="00377E95" w:rsidRPr="001620E2">
        <w:t xml:space="preserve"> and fair system</w:t>
      </w:r>
      <w:r w:rsidR="00496096" w:rsidRPr="001620E2">
        <w:t xml:space="preserve"> to handle these instances</w:t>
      </w:r>
      <w:r w:rsidR="00377E95" w:rsidRPr="001620E2">
        <w:t xml:space="preserve"> and</w:t>
      </w:r>
      <w:r w:rsidR="00496096" w:rsidRPr="001620E2">
        <w:t xml:space="preserve"> such a system</w:t>
      </w:r>
      <w:r w:rsidR="00377E95" w:rsidRPr="001620E2">
        <w:t xml:space="preserve"> has become a core requirement of modern policing (Smith, 2010).</w:t>
      </w:r>
    </w:p>
    <w:p w14:paraId="33F27542" w14:textId="15DAF76D" w:rsidR="00B42C1F" w:rsidRPr="001620E2" w:rsidRDefault="00533E53" w:rsidP="001620E2">
      <w:r w:rsidRPr="001620E2">
        <w:t>All instances of police misconduct and malpractice</w:t>
      </w:r>
      <w:r w:rsidR="005A0326" w:rsidRPr="001620E2">
        <w:t xml:space="preserve"> have the potential to negatively impact not only the individuals directly involved but also the policing organisations and </w:t>
      </w:r>
      <w:r w:rsidR="0033009A" w:rsidRPr="001620E2">
        <w:t xml:space="preserve">the </w:t>
      </w:r>
      <w:proofErr w:type="gramStart"/>
      <w:r w:rsidR="005A0326" w:rsidRPr="001620E2">
        <w:t>general public</w:t>
      </w:r>
      <w:proofErr w:type="gramEnd"/>
      <w:r w:rsidR="005A0326" w:rsidRPr="001620E2">
        <w:t xml:space="preserve"> as a whole (Lersch, 2002</w:t>
      </w:r>
      <w:r w:rsidR="00594B15" w:rsidRPr="001620E2">
        <w:t xml:space="preserve">, cited in </w:t>
      </w:r>
      <w:proofErr w:type="spellStart"/>
      <w:r w:rsidR="00594B15" w:rsidRPr="001620E2">
        <w:t>Fridell</w:t>
      </w:r>
      <w:proofErr w:type="spellEnd"/>
      <w:r w:rsidR="00594B15" w:rsidRPr="001620E2">
        <w:t>, 2021</w:t>
      </w:r>
      <w:r w:rsidR="005A0326" w:rsidRPr="001620E2">
        <w:t xml:space="preserve">). In the UK, police forces </w:t>
      </w:r>
      <w:r w:rsidR="00693B11" w:rsidRPr="001620E2">
        <w:t>were built on</w:t>
      </w:r>
      <w:r w:rsidR="005A0326" w:rsidRPr="001620E2">
        <w:t xml:space="preserve"> </w:t>
      </w:r>
      <w:r w:rsidR="0033009A" w:rsidRPr="001620E2">
        <w:t xml:space="preserve">the principle of having </w:t>
      </w:r>
      <w:r w:rsidR="005A0326" w:rsidRPr="001620E2">
        <w:t>consent of the public</w:t>
      </w:r>
      <w:r w:rsidR="0033009A" w:rsidRPr="001620E2">
        <w:t xml:space="preserve"> to do so</w:t>
      </w:r>
      <w:r w:rsidR="009F589C" w:rsidRPr="001620E2">
        <w:t xml:space="preserve"> thusly dependant on th</w:t>
      </w:r>
      <w:r w:rsidR="00693B11" w:rsidRPr="001620E2">
        <w:t>e publics’ continued</w:t>
      </w:r>
      <w:r w:rsidR="009F589C" w:rsidRPr="001620E2">
        <w:t xml:space="preserve"> confidence and trust</w:t>
      </w:r>
      <w:r w:rsidR="00693B11" w:rsidRPr="001620E2">
        <w:t xml:space="preserve"> in the policing system</w:t>
      </w:r>
      <w:r w:rsidR="0033009A" w:rsidRPr="001620E2">
        <w:t xml:space="preserve"> (College of Policing, 2023)</w:t>
      </w:r>
      <w:r w:rsidR="00962F04" w:rsidRPr="001620E2">
        <w:t>.</w:t>
      </w:r>
      <w:r w:rsidR="00B42C1F" w:rsidRPr="001620E2">
        <w:t xml:space="preserve"> When the publics’ trust in the police is diminished, they are less inclined to cooperate with investigations or report crimes</w:t>
      </w:r>
      <w:r w:rsidR="00B46BB3" w:rsidRPr="001620E2">
        <w:t xml:space="preserve"> which in-turn fuels further distrust as the police are not seen to be tackling crime</w:t>
      </w:r>
      <w:r w:rsidR="00B42C1F" w:rsidRPr="001620E2">
        <w:t xml:space="preserve">. Mistrust of the police can lead to </w:t>
      </w:r>
      <w:r w:rsidR="00AD0C87" w:rsidRPr="001620E2">
        <w:t>an unbalanced community</w:t>
      </w:r>
      <w:r w:rsidR="00B42C1F" w:rsidRPr="001620E2">
        <w:t xml:space="preserve"> and heightened feelings of unfairness</w:t>
      </w:r>
      <w:r w:rsidR="00AD0C87" w:rsidRPr="001620E2">
        <w:t xml:space="preserve"> where some members of the public feel well served and others not so</w:t>
      </w:r>
      <w:r w:rsidR="00B46BB3" w:rsidRPr="001620E2">
        <w:t xml:space="preserve"> (Brown, 2023)</w:t>
      </w:r>
      <w:r w:rsidR="00B42C1F" w:rsidRPr="001620E2">
        <w:t xml:space="preserve">. </w:t>
      </w:r>
      <w:r w:rsidR="00B46BB3" w:rsidRPr="001620E2">
        <w:t>I</w:t>
      </w:r>
      <w:r w:rsidR="00B42C1F" w:rsidRPr="001620E2">
        <w:t>mprovement</w:t>
      </w:r>
      <w:r w:rsidR="00B46BB3" w:rsidRPr="001620E2">
        <w:t>s can be made in the relationship between</w:t>
      </w:r>
      <w:r w:rsidR="00B42C1F" w:rsidRPr="001620E2">
        <w:t xml:space="preserve"> police and the communities they serve </w:t>
      </w:r>
      <w:r w:rsidR="00B46BB3" w:rsidRPr="001620E2">
        <w:t xml:space="preserve">by police forces being seen to carry out their duties efficiently. </w:t>
      </w:r>
      <w:r w:rsidR="00B42C1F" w:rsidRPr="001620E2">
        <w:t xml:space="preserve"> </w:t>
      </w:r>
    </w:p>
    <w:p w14:paraId="50C2E823" w14:textId="494277CC" w:rsidR="00533E53" w:rsidRPr="001620E2" w:rsidRDefault="00B42C1F" w:rsidP="001620E2">
      <w:r w:rsidRPr="001620E2">
        <w:t>I</w:t>
      </w:r>
      <w:r w:rsidR="009F589C" w:rsidRPr="001620E2">
        <w:t>nstances of malpractice and misconduct are likely to undermine that trust</w:t>
      </w:r>
      <w:r w:rsidR="00155D75" w:rsidRPr="001620E2">
        <w:t xml:space="preserve"> and negatively impact policing</w:t>
      </w:r>
      <w:r w:rsidR="009F589C" w:rsidRPr="001620E2">
        <w:t>.</w:t>
      </w:r>
      <w:r w:rsidR="00155D75" w:rsidRPr="001620E2">
        <w:t xml:space="preserve"> Police malpractice and misconduct is not limited to the UK</w:t>
      </w:r>
      <w:r w:rsidR="00A8011E" w:rsidRPr="001620E2">
        <w:t xml:space="preserve"> however, UK policing has continued to feel the effects of such instances which occur in other countries. An example of this</w:t>
      </w:r>
      <w:r w:rsidR="00155D75" w:rsidRPr="001620E2">
        <w:t xml:space="preserve"> in recent years </w:t>
      </w:r>
      <w:r w:rsidR="00A8011E" w:rsidRPr="001620E2">
        <w:t>is the death of George Floyd in the USA; the f</w:t>
      </w:r>
      <w:r w:rsidR="00155D75" w:rsidRPr="001620E2">
        <w:t xml:space="preserve">ormer police officer Derek Chauvin </w:t>
      </w:r>
      <w:r w:rsidR="00A8011E" w:rsidRPr="001620E2">
        <w:t>of the Minneapolis Police was</w:t>
      </w:r>
      <w:r w:rsidR="00155D75" w:rsidRPr="001620E2">
        <w:t xml:space="preserve"> convicted of the murder of George Floyd whilst on duty</w:t>
      </w:r>
      <w:r w:rsidR="00731431" w:rsidRPr="001620E2">
        <w:t xml:space="preserve"> (BBC, 2021)</w:t>
      </w:r>
      <w:r w:rsidR="00A8011E" w:rsidRPr="001620E2">
        <w:t xml:space="preserve"> and this event led to added tensions between the public and the police in the UK and </w:t>
      </w:r>
      <w:r w:rsidR="00BE4633" w:rsidRPr="001620E2">
        <w:t>negatively affected</w:t>
      </w:r>
      <w:r w:rsidR="00A8011E" w:rsidRPr="001620E2">
        <w:t xml:space="preserve"> how policing was </w:t>
      </w:r>
      <w:r w:rsidR="00BE4633" w:rsidRPr="001620E2">
        <w:t>viewed</w:t>
      </w:r>
      <w:r w:rsidR="00A8011E" w:rsidRPr="001620E2">
        <w:t xml:space="preserve"> on UK streets</w:t>
      </w:r>
      <w:r w:rsidR="00BE4633" w:rsidRPr="001620E2">
        <w:t xml:space="preserve"> by members of the community</w:t>
      </w:r>
      <w:r w:rsidR="00A8011E" w:rsidRPr="001620E2">
        <w:t xml:space="preserve"> (Thompson, 2020).</w:t>
      </w:r>
      <w:r w:rsidR="00B46BB3" w:rsidRPr="001620E2">
        <w:t xml:space="preserve"> A survey carried out by YouGov and </w:t>
      </w:r>
      <w:proofErr w:type="gramStart"/>
      <w:r w:rsidR="00B46BB3" w:rsidRPr="001620E2">
        <w:t>Abraham(</w:t>
      </w:r>
      <w:proofErr w:type="gramEnd"/>
      <w:r w:rsidR="00B46BB3" w:rsidRPr="001620E2">
        <w:t>2021)</w:t>
      </w:r>
      <w:r w:rsidR="0053225D" w:rsidRPr="001620E2">
        <w:t xml:space="preserve"> suggested that the UK publics’ trust in the police fell between 2020 and 2021, with 50% of ethnic minority adults in the UK polled now stating that they do not have trust in the police, this is compared to 60% of the wider general public who state that they do trust the police. This difference has been attributed to the results showing that </w:t>
      </w:r>
      <w:proofErr w:type="gramStart"/>
      <w:r w:rsidR="0053225D" w:rsidRPr="001620E2">
        <w:t>the majority of</w:t>
      </w:r>
      <w:proofErr w:type="gramEnd"/>
      <w:r w:rsidR="0053225D" w:rsidRPr="001620E2">
        <w:t xml:space="preserve"> the persons from ethnic minorities that were polled think that they are treated less fairly by the police and criminal justice system</w:t>
      </w:r>
      <w:r w:rsidR="004B65AE" w:rsidRPr="001620E2">
        <w:t xml:space="preserve"> with instances of police misconduct and malpractice</w:t>
      </w:r>
      <w:r w:rsidR="00522DBA" w:rsidRPr="001620E2">
        <w:t>.</w:t>
      </w:r>
      <w:r w:rsidR="0053225D" w:rsidRPr="001620E2">
        <w:t xml:space="preserve"> </w:t>
      </w:r>
    </w:p>
    <w:p w14:paraId="525C7956" w14:textId="056C2E21" w:rsidR="00D62CE6" w:rsidRPr="001620E2" w:rsidRDefault="00BE4633" w:rsidP="001620E2">
      <w:r w:rsidRPr="001620E2">
        <w:lastRenderedPageBreak/>
        <w:t xml:space="preserve">In England and Wales, since 1976, there have been </w:t>
      </w:r>
      <w:proofErr w:type="gramStart"/>
      <w:r w:rsidRPr="001620E2">
        <w:t>a number of</w:t>
      </w:r>
      <w:proofErr w:type="gramEnd"/>
      <w:r w:rsidRPr="001620E2">
        <w:t xml:space="preserve"> national bodies formed with the purpose of providing independent oversight into how complaints against police, especially with regards to malpractice and misconduct, are handled by local forces. The first of which came with the introduction of the </w:t>
      </w:r>
      <w:r w:rsidR="00B51EAC" w:rsidRPr="001620E2">
        <w:t>(</w:t>
      </w:r>
      <w:r w:rsidRPr="001620E2">
        <w:t>Police Act 1976</w:t>
      </w:r>
      <w:r w:rsidR="00B51EAC" w:rsidRPr="001620E2">
        <w:t>)</w:t>
      </w:r>
      <w:r w:rsidRPr="001620E2">
        <w:t>; forming the Police Complaints Board</w:t>
      </w:r>
      <w:r w:rsidR="00B51EAC" w:rsidRPr="001620E2">
        <w:t xml:space="preserve"> and giving police forces a statutory responsibility to forward all relevant complaint to the board</w:t>
      </w:r>
      <w:r w:rsidR="00665475" w:rsidRPr="001620E2">
        <w:t xml:space="preserve"> for review.</w:t>
      </w:r>
      <w:r w:rsidR="00B51EAC" w:rsidRPr="001620E2">
        <w:t xml:space="preserve"> </w:t>
      </w:r>
      <w:r w:rsidR="00665475" w:rsidRPr="001620E2">
        <w:t xml:space="preserve">This Police Complaints Board was later replaced by the Police Complaints Authority and then the Independent Police Complaints Commission which has </w:t>
      </w:r>
      <w:r w:rsidR="00D62CE6" w:rsidRPr="001620E2">
        <w:t>in 2018</w:t>
      </w:r>
      <w:r w:rsidR="00665475" w:rsidRPr="001620E2">
        <w:t xml:space="preserve"> </w:t>
      </w:r>
      <w:r w:rsidR="00D62CE6" w:rsidRPr="001620E2">
        <w:t>been renamed</w:t>
      </w:r>
      <w:r w:rsidR="00665475" w:rsidRPr="001620E2">
        <w:t xml:space="preserve"> as</w:t>
      </w:r>
      <w:r w:rsidR="00D62CE6" w:rsidRPr="001620E2">
        <w:t xml:space="preserve"> the ‘Independent Office for Police Conduct' (IOPC), as each of these bodies were formed, greater statutory power was granted to them (</w:t>
      </w:r>
      <w:proofErr w:type="spellStart"/>
      <w:r w:rsidR="00D62CE6" w:rsidRPr="001620E2">
        <w:t>Torrible</w:t>
      </w:r>
      <w:proofErr w:type="spellEnd"/>
      <w:r w:rsidR="00D62CE6" w:rsidRPr="001620E2">
        <w:t>, 2020).</w:t>
      </w:r>
      <w:r w:rsidR="00CC1C38" w:rsidRPr="001620E2">
        <w:t xml:space="preserve"> The name </w:t>
      </w:r>
      <w:r w:rsidR="00771D93" w:rsidRPr="001620E2">
        <w:t>changes</w:t>
      </w:r>
      <w:r w:rsidR="00CC1C38" w:rsidRPr="001620E2">
        <w:t xml:space="preserve"> to the IOPC came after the then IPCC was handling six times as many investigations into police misconduct and malpractice</w:t>
      </w:r>
      <w:r w:rsidR="00771D93" w:rsidRPr="001620E2">
        <w:t xml:space="preserve">, the government then implementing this change into the Policing and Crime Act 2017 (IOPC, </w:t>
      </w:r>
      <w:proofErr w:type="spellStart"/>
      <w:r w:rsidR="00771D93" w:rsidRPr="001620E2">
        <w:t>nd</w:t>
      </w:r>
      <w:proofErr w:type="spellEnd"/>
      <w:r w:rsidR="00771D93" w:rsidRPr="001620E2">
        <w:t>)</w:t>
      </w:r>
      <w:r w:rsidR="00281790" w:rsidRPr="001620E2">
        <w:t xml:space="preserve">. The number of police complaints more than doubled between 2002 and 2016 (IOPC, 2020) and </w:t>
      </w:r>
      <w:r w:rsidR="00771D93" w:rsidRPr="001620E2">
        <w:t>as instances of misconduct and malpractice were increasing, the government passed this new legislation to allow the IOPC to deal with these more effectively.</w:t>
      </w:r>
    </w:p>
    <w:p w14:paraId="22324EF4" w14:textId="493EB429" w:rsidR="006817A5" w:rsidRPr="001620E2" w:rsidRDefault="006817A5" w:rsidP="001620E2">
      <w:r w:rsidRPr="001620E2">
        <w:t xml:space="preserve">In conclusion, past instances of police misconduct and malpractice have had and continue to make a detrimental impact on policing and the service it delivers by diminishing trust in the service, members of the public are less likely to report crimes or cooperate with officers which in turn leads to views that the police are not fit for service as they are not or unable to combat crime and keep the community safe which is their core purpose. Instances that occur around the globe have the potential to impact other forces in different countries with the same effect. </w:t>
      </w:r>
      <w:proofErr w:type="gramStart"/>
      <w:r w:rsidRPr="001620E2">
        <w:t>In an attempt to</w:t>
      </w:r>
      <w:proofErr w:type="gramEnd"/>
      <w:r w:rsidRPr="001620E2">
        <w:t xml:space="preserve"> combat this, the government has introduced significant legislation and national bodies to provide oversight into the management of police complaints of misconduct, intending to provide an independent and impartial service that can alleviate the </w:t>
      </w:r>
      <w:r w:rsidR="001620E2" w:rsidRPr="001620E2">
        <w:t>public’s</w:t>
      </w:r>
      <w:r w:rsidRPr="001620E2">
        <w:t xml:space="preserve"> concern. </w:t>
      </w:r>
      <w:r w:rsidR="002C7C0C" w:rsidRPr="001620E2">
        <w:t xml:space="preserve">With numbers of police complaints in the UK still appearing to rise, it is likely that the government will continue </w:t>
      </w:r>
      <w:r w:rsidR="00F91CC9" w:rsidRPr="001620E2">
        <w:t>its</w:t>
      </w:r>
      <w:r w:rsidR="002C7C0C" w:rsidRPr="001620E2">
        <w:t xml:space="preserve"> pattern of producing further legislation with the aim of providing these independent bodies with more statutory power as further instances arise and the </w:t>
      </w:r>
      <w:r w:rsidR="001620E2" w:rsidRPr="001620E2">
        <w:t>public’s</w:t>
      </w:r>
      <w:r w:rsidR="002C7C0C" w:rsidRPr="001620E2">
        <w:t xml:space="preserve"> perception of the job that officers do improves.</w:t>
      </w:r>
      <w:r w:rsidR="00F91CC9" w:rsidRPr="001620E2">
        <w:t xml:space="preserve"> With these oversight bodies in place, it is important to note that it is the small minority of police officers that are responsible for these instances of misconduct; out of 14,393 public complaints on police officers in the UK for the year ending 2021, only 1% of those were referred to misconduct proceedings and it was found that no action was required in 92% of them</w:t>
      </w:r>
      <w:r w:rsidR="001620E2" w:rsidRPr="001620E2">
        <w:t xml:space="preserve"> (Home Office, 2022)</w:t>
      </w:r>
      <w:r w:rsidR="00F91CC9" w:rsidRPr="001620E2">
        <w:t>.</w:t>
      </w:r>
    </w:p>
    <w:p w14:paraId="60A718B8" w14:textId="49AEFF67" w:rsidR="006817A5" w:rsidRPr="00A00BDD" w:rsidRDefault="00A00BDD" w:rsidP="001620E2">
      <w:pPr>
        <w:rPr>
          <w:b/>
          <w:bCs/>
        </w:rPr>
      </w:pPr>
      <w:r w:rsidRPr="00A00BDD">
        <w:rPr>
          <w:b/>
          <w:bCs/>
        </w:rPr>
        <w:t>Word Count: 1015</w:t>
      </w:r>
    </w:p>
    <w:p w14:paraId="16336102"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r w:rsidRPr="00A00BDD">
        <w:rPr>
          <w:rFonts w:asciiTheme="minorHAnsi" w:eastAsiaTheme="minorHAnsi" w:hAnsiTheme="minorHAnsi" w:cstheme="minorBidi"/>
          <w:sz w:val="22"/>
          <w:szCs w:val="22"/>
          <w:lang w:eastAsia="en-US"/>
        </w:rPr>
        <w:t>Abraham, T. (2021) “Trust in the police has fallen amongst ethnic minority Britons,” YouGov [Preprint]. Available at: https://yougov.co.uk/topics/politics/articles-reports/2021/12/15/trust-police-has-fallen-amongst-ethnic-minority-br.</w:t>
      </w:r>
    </w:p>
    <w:p w14:paraId="4C1D4418"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r w:rsidRPr="00A00BDD">
        <w:rPr>
          <w:rFonts w:asciiTheme="minorHAnsi" w:eastAsiaTheme="minorHAnsi" w:hAnsiTheme="minorHAnsi" w:cstheme="minorBidi"/>
          <w:sz w:val="22"/>
          <w:szCs w:val="22"/>
          <w:lang w:eastAsia="en-US"/>
        </w:rPr>
        <w:t xml:space="preserve">BBC (2021) George Floyd Murder: Derek Chauvin sentenced to over 22 years, BBC News. BBC. Available at: https://www.bbc.co.uk/news/world-us-canada-57618356 (Accessed: May 1, 2023). </w:t>
      </w:r>
    </w:p>
    <w:p w14:paraId="19CA39AB"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r w:rsidRPr="00A00BDD">
        <w:rPr>
          <w:rFonts w:asciiTheme="minorHAnsi" w:eastAsiaTheme="minorHAnsi" w:hAnsiTheme="minorHAnsi" w:cstheme="minorBidi"/>
          <w:sz w:val="22"/>
          <w:szCs w:val="22"/>
          <w:lang w:eastAsia="en-US"/>
        </w:rPr>
        <w:t xml:space="preserve">Brown, R. (2023) “Do We Trust the </w:t>
      </w:r>
      <w:proofErr w:type="gramStart"/>
      <w:r w:rsidRPr="00A00BDD">
        <w:rPr>
          <w:rFonts w:asciiTheme="minorHAnsi" w:eastAsiaTheme="minorHAnsi" w:hAnsiTheme="minorHAnsi" w:cstheme="minorBidi"/>
          <w:sz w:val="22"/>
          <w:szCs w:val="22"/>
          <w:lang w:eastAsia="en-US"/>
        </w:rPr>
        <w:t>Police?,</w:t>
      </w:r>
      <w:proofErr w:type="gramEnd"/>
      <w:r w:rsidRPr="00A00BDD">
        <w:rPr>
          <w:rFonts w:asciiTheme="minorHAnsi" w:eastAsiaTheme="minorHAnsi" w:hAnsiTheme="minorHAnsi" w:cstheme="minorBidi"/>
          <w:sz w:val="22"/>
          <w:szCs w:val="22"/>
          <w:lang w:eastAsia="en-US"/>
        </w:rPr>
        <w:t>” Psychology Today, 28 April. Available at: https://www.psychologytoday.com/gb/blog/understanding-health-behaviors/202303/do-we-trust-the-police.</w:t>
      </w:r>
    </w:p>
    <w:p w14:paraId="7E130CA4"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r w:rsidRPr="00A00BDD">
        <w:rPr>
          <w:rFonts w:asciiTheme="minorHAnsi" w:eastAsiaTheme="minorHAnsi" w:hAnsiTheme="minorHAnsi" w:cstheme="minorBidi"/>
          <w:sz w:val="22"/>
          <w:szCs w:val="22"/>
          <w:lang w:eastAsia="en-US"/>
        </w:rPr>
        <w:t xml:space="preserve">College of Policing (2014) Code of Ethics. College of Policing. Available at: https://assets.college.police.uk/s3fs-public/2021-02/code_of_ethics.pdf (Accessed: May 1, 2023). </w:t>
      </w:r>
    </w:p>
    <w:p w14:paraId="3BD8E045"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proofErr w:type="spellStart"/>
      <w:r w:rsidRPr="00A00BDD">
        <w:rPr>
          <w:rFonts w:asciiTheme="minorHAnsi" w:eastAsiaTheme="minorHAnsi" w:hAnsiTheme="minorHAnsi" w:cstheme="minorBidi"/>
          <w:sz w:val="22"/>
          <w:szCs w:val="22"/>
          <w:lang w:eastAsia="en-US"/>
        </w:rPr>
        <w:lastRenderedPageBreak/>
        <w:t>Fridell</w:t>
      </w:r>
      <w:proofErr w:type="spellEnd"/>
      <w:r w:rsidRPr="00A00BDD">
        <w:rPr>
          <w:rFonts w:asciiTheme="minorHAnsi" w:eastAsiaTheme="minorHAnsi" w:hAnsiTheme="minorHAnsi" w:cstheme="minorBidi"/>
          <w:sz w:val="22"/>
          <w:szCs w:val="22"/>
          <w:lang w:eastAsia="en-US"/>
        </w:rPr>
        <w:t xml:space="preserve">, L.A. (2021) “The relationship between organisational justice and police officer attitudes toward misconduct,” Policing and Society, 31(9). Available at: https://doi.org/10.1080/10439463.2020.1834558. </w:t>
      </w:r>
    </w:p>
    <w:p w14:paraId="0A20981A"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r w:rsidRPr="00A00BDD">
        <w:rPr>
          <w:rFonts w:asciiTheme="minorHAnsi" w:eastAsiaTheme="minorHAnsi" w:hAnsiTheme="minorHAnsi" w:cstheme="minorBidi"/>
          <w:sz w:val="22"/>
          <w:szCs w:val="22"/>
          <w:lang w:eastAsia="en-US"/>
        </w:rPr>
        <w:t>Home Office (2022) Police misconduct, England and Wales year ending 31 March 2021. Available at: https://www.gov.uk/government/statistics/police-misconduct-england-and-wales-year-ending-31-march-2021/police-misconduct-england-and-wales-year-ending-31-march-2021.</w:t>
      </w:r>
    </w:p>
    <w:p w14:paraId="1F77D98A"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r w:rsidRPr="00A00BDD">
        <w:rPr>
          <w:rFonts w:asciiTheme="minorHAnsi" w:eastAsiaTheme="minorHAnsi" w:hAnsiTheme="minorHAnsi" w:cstheme="minorBidi"/>
          <w:sz w:val="22"/>
          <w:szCs w:val="22"/>
          <w:lang w:eastAsia="en-US"/>
        </w:rPr>
        <w:t xml:space="preserve">IOPC (2020) Police complaints: Statistics for England and Wales, IOPC. Independent Office for Police Conduct. Available at: https://www.policeconduct.gov.uk/sites/default/files/Documents/statistics/complaints_statistics_2019_20.pdf (Accessed: May 1, 2023). </w:t>
      </w:r>
    </w:p>
    <w:p w14:paraId="53E15088"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r w:rsidRPr="00A00BDD">
        <w:rPr>
          <w:rFonts w:asciiTheme="minorHAnsi" w:eastAsiaTheme="minorHAnsi" w:hAnsiTheme="minorHAnsi" w:cstheme="minorBidi"/>
          <w:sz w:val="22"/>
          <w:szCs w:val="22"/>
          <w:lang w:eastAsia="en-US"/>
        </w:rPr>
        <w:t xml:space="preserve">IOPC (n.d.) Becoming the IOPC, Independent Office for Police Conduct. Available at: https://www.policeconduct.gov.uk/becoming-iopc (Accessed: May 1, 2023). </w:t>
      </w:r>
    </w:p>
    <w:p w14:paraId="05DB639A"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r w:rsidRPr="00A00BDD">
        <w:rPr>
          <w:rFonts w:asciiTheme="minorHAnsi" w:eastAsiaTheme="minorHAnsi" w:hAnsiTheme="minorHAnsi" w:cstheme="minorBidi"/>
          <w:sz w:val="22"/>
          <w:szCs w:val="22"/>
          <w:lang w:eastAsia="en-US"/>
        </w:rPr>
        <w:t>Lersch, K.M., 2002. Policing and misconduct. Upper Saddle River, NJ: Pearson.</w:t>
      </w:r>
    </w:p>
    <w:p w14:paraId="4C88B787"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r w:rsidRPr="00A00BDD">
        <w:rPr>
          <w:rFonts w:asciiTheme="minorHAnsi" w:eastAsiaTheme="minorHAnsi" w:hAnsiTheme="minorHAnsi" w:cstheme="minorBidi"/>
          <w:sz w:val="22"/>
          <w:szCs w:val="22"/>
          <w:lang w:eastAsia="en-US"/>
        </w:rPr>
        <w:t>Police Act 1976, c. 46. Available at: https://www.legislation.gov.uk/ukpga/1976/46/enacted (Accessed: April 27, 2003).</w:t>
      </w:r>
    </w:p>
    <w:p w14:paraId="33F592CE"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r w:rsidRPr="00A00BDD">
        <w:rPr>
          <w:rFonts w:asciiTheme="minorHAnsi" w:eastAsiaTheme="minorHAnsi" w:hAnsiTheme="minorHAnsi" w:cstheme="minorBidi"/>
          <w:sz w:val="22"/>
          <w:szCs w:val="22"/>
          <w:lang w:eastAsia="en-US"/>
        </w:rPr>
        <w:t xml:space="preserve">Professional standards (2023) College of Policing. Available at: https://www.college.police.uk/app/professional-standards (Accessed: April 27, 2023). </w:t>
      </w:r>
    </w:p>
    <w:p w14:paraId="6F0DBDBA"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r w:rsidRPr="00A00BDD">
        <w:rPr>
          <w:rFonts w:asciiTheme="minorHAnsi" w:eastAsiaTheme="minorHAnsi" w:hAnsiTheme="minorHAnsi" w:cstheme="minorBidi"/>
          <w:sz w:val="22"/>
          <w:szCs w:val="22"/>
          <w:lang w:eastAsia="en-US"/>
        </w:rPr>
        <w:t xml:space="preserve">Smith, G. (2010) “Every complaint matters: Human rights commissioner's opinion concerning independent and effective determination of complaints against the police,” International Journal of Law, Crime and Justice, 38(2), pp. 59–74. Available at: https://doi.org/10.1016/j.ijlcj.2010.03.001. </w:t>
      </w:r>
    </w:p>
    <w:p w14:paraId="7D34810D" w14:textId="77777777" w:rsidR="00A00BDD" w:rsidRPr="00A00BDD" w:rsidRDefault="00A00BDD" w:rsidP="00A00BDD">
      <w:pPr>
        <w:pStyle w:val="NormalWeb"/>
        <w:ind w:left="567" w:hanging="567"/>
        <w:rPr>
          <w:rFonts w:asciiTheme="minorHAnsi" w:eastAsiaTheme="minorHAnsi" w:hAnsiTheme="minorHAnsi" w:cstheme="minorBidi"/>
          <w:sz w:val="22"/>
          <w:szCs w:val="22"/>
          <w:lang w:eastAsia="en-US"/>
        </w:rPr>
      </w:pPr>
      <w:r w:rsidRPr="00A00BDD">
        <w:rPr>
          <w:rFonts w:asciiTheme="minorHAnsi" w:eastAsiaTheme="minorHAnsi" w:hAnsiTheme="minorHAnsi" w:cstheme="minorBidi"/>
          <w:sz w:val="22"/>
          <w:szCs w:val="22"/>
          <w:lang w:eastAsia="en-US"/>
        </w:rPr>
        <w:t>Thompson, D. (2020) “Chief’s blog: it’s going to be tough,” Former CC Dave Thompson, 1 June. Available at: https://ccdavethompson.wordpress.com/ (Accessed: April 27, 2023).</w:t>
      </w:r>
    </w:p>
    <w:p w14:paraId="54EC6033" w14:textId="5E349408" w:rsidR="00377E95" w:rsidRDefault="00A00BDD" w:rsidP="00A00BDD">
      <w:pPr>
        <w:pStyle w:val="NormalWeb"/>
        <w:ind w:left="567" w:hanging="567"/>
      </w:pPr>
      <w:proofErr w:type="spellStart"/>
      <w:r w:rsidRPr="00A00BDD">
        <w:rPr>
          <w:rFonts w:asciiTheme="minorHAnsi" w:eastAsiaTheme="minorHAnsi" w:hAnsiTheme="minorHAnsi" w:cstheme="minorBidi"/>
          <w:sz w:val="22"/>
          <w:szCs w:val="22"/>
          <w:lang w:eastAsia="en-US"/>
        </w:rPr>
        <w:t>Torrible</w:t>
      </w:r>
      <w:proofErr w:type="spellEnd"/>
      <w:r w:rsidRPr="00A00BDD">
        <w:rPr>
          <w:rFonts w:asciiTheme="minorHAnsi" w:eastAsiaTheme="minorHAnsi" w:hAnsiTheme="minorHAnsi" w:cstheme="minorBidi"/>
          <w:sz w:val="22"/>
          <w:szCs w:val="22"/>
          <w:lang w:eastAsia="en-US"/>
        </w:rPr>
        <w:t xml:space="preserve">, C. (2020) “Police complaints and discipline: Integrity, Lesson Learning, Independence and accountability: Some implications of the reforms under the Policing and Crime Act 2017,” Policing and Society, 31(9), pp. 1117–1132. Available at: https://doi.org/10.1080/10439463.2020.1838516.  </w:t>
      </w:r>
    </w:p>
    <w:p w14:paraId="67461EE5" w14:textId="77777777" w:rsidR="00771D93" w:rsidRDefault="00771D93" w:rsidP="00665475">
      <w:pPr>
        <w:pStyle w:val="NormalWeb"/>
        <w:ind w:left="567" w:hanging="567"/>
      </w:pPr>
    </w:p>
    <w:p w14:paraId="002806C2" w14:textId="77777777" w:rsidR="00665475" w:rsidRDefault="00665475" w:rsidP="00A8011E">
      <w:pPr>
        <w:pStyle w:val="NormalWeb"/>
        <w:ind w:left="567" w:hanging="567"/>
      </w:pPr>
    </w:p>
    <w:p w14:paraId="259D24CF" w14:textId="77777777" w:rsidR="00A8011E" w:rsidRDefault="00A8011E" w:rsidP="0033009A">
      <w:pPr>
        <w:pStyle w:val="NormalWeb"/>
        <w:ind w:left="567" w:hanging="567"/>
      </w:pPr>
    </w:p>
    <w:p w14:paraId="57D0DF53" w14:textId="77777777" w:rsidR="0033009A" w:rsidRPr="005A0326" w:rsidRDefault="0033009A" w:rsidP="005A0326">
      <w:pPr>
        <w:rPr>
          <w:rFonts w:cstheme="minorHAnsi"/>
          <w:sz w:val="24"/>
          <w:szCs w:val="24"/>
        </w:rPr>
      </w:pPr>
    </w:p>
    <w:p w14:paraId="7E738C24" w14:textId="31D43644" w:rsidR="003B549F" w:rsidRPr="003B549F" w:rsidRDefault="003B549F" w:rsidP="003B549F">
      <w:pPr>
        <w:rPr>
          <w:rFonts w:cstheme="minorHAnsi"/>
          <w:sz w:val="24"/>
          <w:szCs w:val="24"/>
        </w:rPr>
      </w:pPr>
    </w:p>
    <w:p w14:paraId="3532ABD7" w14:textId="73F7287A" w:rsidR="003B549F" w:rsidRPr="003B549F" w:rsidRDefault="003B549F" w:rsidP="003B549F">
      <w:pPr>
        <w:rPr>
          <w:rFonts w:cstheme="minorHAnsi"/>
          <w:sz w:val="24"/>
          <w:szCs w:val="24"/>
        </w:rPr>
      </w:pPr>
    </w:p>
    <w:p w14:paraId="62E0EB54" w14:textId="77777777" w:rsidR="00B8287D" w:rsidRDefault="00B8287D" w:rsidP="003B549F">
      <w:pPr>
        <w:rPr>
          <w:rFonts w:asciiTheme="majorHAnsi" w:hAnsiTheme="majorHAnsi" w:cstheme="majorHAnsi"/>
          <w:b/>
          <w:bCs/>
          <w:sz w:val="28"/>
          <w:szCs w:val="28"/>
        </w:rPr>
      </w:pPr>
    </w:p>
    <w:p w14:paraId="6BD8B433" w14:textId="69B0D2E0" w:rsidR="003B549F" w:rsidRDefault="003B549F" w:rsidP="003B549F">
      <w:pPr>
        <w:rPr>
          <w:rFonts w:asciiTheme="majorHAnsi" w:hAnsiTheme="majorHAnsi" w:cstheme="majorHAnsi"/>
          <w:b/>
          <w:bCs/>
          <w:sz w:val="28"/>
          <w:szCs w:val="28"/>
        </w:rPr>
      </w:pPr>
      <w:r w:rsidRPr="003B549F">
        <w:rPr>
          <w:rFonts w:asciiTheme="majorHAnsi" w:hAnsiTheme="majorHAnsi" w:cstheme="majorHAnsi"/>
          <w:b/>
          <w:bCs/>
          <w:sz w:val="28"/>
          <w:szCs w:val="28"/>
        </w:rPr>
        <w:lastRenderedPageBreak/>
        <w:t>How does media coverage affect policing strategies in relation to public protection incidents?</w:t>
      </w:r>
    </w:p>
    <w:p w14:paraId="7E2BCE4E" w14:textId="77777777" w:rsidR="008B17B3" w:rsidRPr="00930ADF" w:rsidRDefault="008B17B3" w:rsidP="008B17B3">
      <w:r w:rsidRPr="00930ADF">
        <w:t xml:space="preserve">Media coverage affects policing strategies in relation to public protection incidents in </w:t>
      </w:r>
      <w:proofErr w:type="gramStart"/>
      <w:r w:rsidRPr="00930ADF">
        <w:t>a number of</w:t>
      </w:r>
      <w:proofErr w:type="gramEnd"/>
      <w:r w:rsidRPr="00930ADF">
        <w:t xml:space="preserve"> ways. The media has a great power which </w:t>
      </w:r>
      <w:proofErr w:type="gramStart"/>
      <w:r w:rsidRPr="00930ADF">
        <w:t>is able to</w:t>
      </w:r>
      <w:proofErr w:type="gramEnd"/>
      <w:r w:rsidRPr="00930ADF">
        <w:t xml:space="preserve"> sway and influence public opinion not only in regard to how the public perceive the police and their progress in an investigation but also how the victim, perpetrators or even potential perpetrators are perceived. Inaccurate reporting can be damaging to both an investigation, court case and the perceived character of those who may or may not be involved. </w:t>
      </w:r>
    </w:p>
    <w:p w14:paraId="71967E12" w14:textId="77777777" w:rsidR="008B17B3" w:rsidRPr="00930ADF" w:rsidRDefault="008B17B3" w:rsidP="008B17B3">
      <w:r w:rsidRPr="00930ADF">
        <w:t xml:space="preserve">Media coverage is no longer limited to mainstream media outlets such as the BBC, the rise of social media has presented new challenges to policing and allowed individuals and corporations to publish any narrative they see fit for their own gain, regardless of how accurate or damaging the information they give to members of the public can be, being known colloquially as “Fake News” (Olan et al., 2022). “Fake news” and other videos posted in the new media often show a limited portion of an event and are often edited, </w:t>
      </w:r>
      <w:proofErr w:type="gramStart"/>
      <w:r w:rsidRPr="00930ADF">
        <w:t>clipped</w:t>
      </w:r>
      <w:proofErr w:type="gramEnd"/>
      <w:r w:rsidRPr="00930ADF">
        <w:t xml:space="preserve"> or shortened to provoke a reaction from the public and has been used to portray an altered version of events, possibly involving the victim, perpetrator(s) or police in public protection incidents (Molina, 2019). These such videos can have a negative effect on a police investigation and Capellan (2020) suggests that the ‘Ferguson effect’, named after the portrayal of police in the media following the fatal shooting of Michael Brown by a police officer in the USA in 2014, contributes to negative views on the police resulting in the community being less likely to engage with officers during an investigation into incidents as well as police officers feeling as though the community does not want to engage with them; Interactions between the police and the general public, becoming increasingly tense as mutual trust declines, leading to potential loss of evidence and less thorough investigations (Nix and Pickett, 2017). The number of reported public protection incidents has been increasing steadily over the last 10 years but despite the increase in the number of complaints of these crimes, the policing of rape and other serious sexual assaults has come under increased scrutiny due to high attrition rates and a steady drop in charge and conviction rates (Her Majesty’s Inspectorate of Constabulary and Fire &amp; Rescue Services, 2021), (CPS, 2021). </w:t>
      </w:r>
    </w:p>
    <w:p w14:paraId="356F5C92" w14:textId="77777777" w:rsidR="008B17B3" w:rsidRPr="00930ADF" w:rsidRDefault="008B17B3" w:rsidP="008B17B3">
      <w:r w:rsidRPr="00930ADF">
        <w:t xml:space="preserve">Between 2010 and 2015 the media reported on a number of public protection incidents which included a number of grooming rings across the UK where the perpetrators of which were south-Asian men, eventually convicted of rape as well as conspiracy to engage in sexual activity with children, trafficking for sexual exploitation, sexual activity with a girl under sixteen, aiding and abetting rape, and sexual assault; as the media focused on the fact that the perpetrators were Muslims and of Asian origin, instances of islamophobia increased (Gill and Harrison, 2015). This is one example where following a public protection incident, the media caused the vilification of a wider community based on a small number of individuals. This is </w:t>
      </w:r>
      <w:proofErr w:type="gramStart"/>
      <w:r w:rsidRPr="00930ADF">
        <w:t>similar to</w:t>
      </w:r>
      <w:proofErr w:type="gramEnd"/>
      <w:r w:rsidRPr="00930ADF">
        <w:t xml:space="preserve"> the 2014 enquiry into cases of child abuse and how public bodies failed to protect children under their care; the media published a number of articles which created a deep fear within the public and vilified all those in the social work profession at the time (Leigh, 2017).</w:t>
      </w:r>
    </w:p>
    <w:p w14:paraId="0C3F1366" w14:textId="77777777" w:rsidR="008B17B3" w:rsidRPr="00930ADF" w:rsidRDefault="008B17B3" w:rsidP="008B17B3">
      <w:r w:rsidRPr="00930ADF">
        <w:t xml:space="preserve">The media does not always play a negative role in public protection incidents, while some individuals would not feel comfortable in reporting incidents to the police for </w:t>
      </w:r>
      <w:proofErr w:type="gramStart"/>
      <w:r w:rsidRPr="00930ADF">
        <w:t>a number of</w:t>
      </w:r>
      <w:proofErr w:type="gramEnd"/>
      <w:r w:rsidRPr="00930ADF">
        <w:t xml:space="preserve"> reasons such as mistrust or tensions between members of the public with different cultural identities (</w:t>
      </w:r>
      <w:proofErr w:type="spellStart"/>
      <w:r w:rsidRPr="00930ADF">
        <w:t>Machura</w:t>
      </w:r>
      <w:proofErr w:type="spellEnd"/>
      <w:r w:rsidRPr="00930ADF">
        <w:t xml:space="preserve"> et al., 2019), they may be comfortable in reporting instances to other parties. Over the last 25 years, the media has played an instrumental role in bringing the cases of child abuse and the mishandling or coverups of allegations of such abuse from within the catholic church to the attention of the public (Powell and Scanlon, 2017) and continue to bring to light further instances of abuse, all whilst </w:t>
      </w:r>
      <w:r w:rsidRPr="00930ADF">
        <w:lastRenderedPageBreak/>
        <w:t>keeping the important issue in the headlines, forcing action to be taken by the government, police service and the church (Butler and Drakeford, 2003. Cited in Powell and Scanlon, 2017).</w:t>
      </w:r>
    </w:p>
    <w:p w14:paraId="6AD7F908" w14:textId="77777777" w:rsidR="008B17B3" w:rsidRPr="00930ADF" w:rsidRDefault="008B17B3" w:rsidP="008B17B3">
      <w:bookmarkStart w:id="0" w:name="_Hlk134180485"/>
      <w:r w:rsidRPr="00930ADF">
        <w:t>In 2001, the UK government introduced multi-agency public protection arrangements (MAPPA) in legislation. Both the Police and HM Prisons and Probation services are responsible authorities who are required to work together to identify and manage dangerous and violent offenders, including sex offenders and offenders in public protection incidents, who pose a higher risk to other members of the public. MAPPA works collaboratively with other agencies such as the local authority and the NHS (HM Inspectorate of Probation, 2021).</w:t>
      </w:r>
    </w:p>
    <w:bookmarkEnd w:id="0"/>
    <w:p w14:paraId="7A79A4F5" w14:textId="77777777" w:rsidR="008B17B3" w:rsidRPr="00930ADF" w:rsidRDefault="008B17B3" w:rsidP="008B17B3">
      <w:r w:rsidRPr="00930ADF">
        <w:t xml:space="preserve">In conclusion, media coverage has </w:t>
      </w:r>
      <w:proofErr w:type="gramStart"/>
      <w:r w:rsidRPr="00930ADF">
        <w:t>a number of</w:t>
      </w:r>
      <w:proofErr w:type="gramEnd"/>
      <w:r w:rsidRPr="00930ADF">
        <w:t xml:space="preserve"> possible outcomes on policing strategies in relation to public protection incidents. Whilst the mainstream media in the UK is governed by certain regulatory bodies such as Ofcom and regulations such as section 5 which states that ‘news, in whatever form, is reported with due accuracy and presented with due impartiality’ (Ofcom, 2023) meaning that published reports are required to be accurate; these regulations do not yet extend to the parties who are especially active on social media and mostly responsible for the influx of ‘fake news’ which includes inaccurate or damaging material. </w:t>
      </w:r>
      <w:proofErr w:type="gramStart"/>
      <w:r w:rsidRPr="00930ADF">
        <w:t>Both of these</w:t>
      </w:r>
      <w:proofErr w:type="gramEnd"/>
      <w:r w:rsidRPr="00930ADF">
        <w:t xml:space="preserve"> regulated and unregulated sources can cause harm in relation to public protection incidents, unnecessarily vilifying individuals or harming an investigation. It has also been shown how the media can positively influence public protection incidents </w:t>
      </w:r>
      <w:proofErr w:type="gramStart"/>
      <w:r w:rsidRPr="00930ADF">
        <w:t>in regard to</w:t>
      </w:r>
      <w:proofErr w:type="gramEnd"/>
      <w:r w:rsidRPr="00930ADF">
        <w:t xml:space="preserve"> the handing of the child abuse scandals in the catholic church, assisting victims in coming forward with allegations of abuse and preventing possible cover-ups by the catholic church. Due to the changing influence the media has on individual instances, the police are not able to adopt a ‘one size fits all’ approach and policing organisations must continue to make decisions on a case-by-case basis and be adaptive to the media’s presentation of the case. By working collaboratively with partner agencies, the police can remain transparent in </w:t>
      </w:r>
      <w:proofErr w:type="spellStart"/>
      <w:proofErr w:type="gramStart"/>
      <w:r w:rsidRPr="00930ADF">
        <w:t>it’s</w:t>
      </w:r>
      <w:proofErr w:type="spellEnd"/>
      <w:proofErr w:type="gramEnd"/>
      <w:r w:rsidRPr="00930ADF">
        <w:t xml:space="preserve"> activities and work to limit the harm done by known offenders in public protection incidents.</w:t>
      </w:r>
    </w:p>
    <w:p w14:paraId="27BA515A" w14:textId="77777777" w:rsidR="008B17B3" w:rsidRPr="00930ADF" w:rsidRDefault="008B17B3" w:rsidP="008B17B3">
      <w:r w:rsidRPr="008B17B3">
        <w:rPr>
          <w:b/>
          <w:bCs/>
        </w:rPr>
        <w:t>Word Count</w:t>
      </w:r>
      <w:r w:rsidRPr="00930ADF">
        <w:t xml:space="preserve"> 1023</w:t>
      </w:r>
    </w:p>
    <w:p w14:paraId="31CFB766" w14:textId="77777777" w:rsidR="008B17B3" w:rsidRPr="00930ADF" w:rsidRDefault="008B17B3" w:rsidP="008B17B3"/>
    <w:p w14:paraId="08BB8565" w14:textId="77777777" w:rsidR="008B17B3" w:rsidRPr="00930ADF" w:rsidRDefault="008B17B3" w:rsidP="008B17B3">
      <w:r w:rsidRPr="00930ADF">
        <w:t>Butler, I. and Drakeford, M. (2003) Scandal, social policy and social welfare, Bristol: Policy Press.</w:t>
      </w:r>
    </w:p>
    <w:p w14:paraId="1CF93628" w14:textId="77777777" w:rsidR="008B17B3" w:rsidRPr="00930ADF" w:rsidRDefault="008B17B3" w:rsidP="008B17B3">
      <w:r w:rsidRPr="00930ADF">
        <w:t>Capellan, J. A. (2020) “Deconstructing the Ferguson effect: a multilevel mediation analysis of public scrutiny, de-policing, and crime,” Journal of Crime and Justice, 43(2), pp. 125–144. Available at: https://doi-org.ezproxy.uwtsd.ac.uk/10.1080/0735648X.2019.1652921.</w:t>
      </w:r>
    </w:p>
    <w:p w14:paraId="1F9F546E" w14:textId="77777777" w:rsidR="008B17B3" w:rsidRPr="00930ADF" w:rsidRDefault="008B17B3" w:rsidP="008B17B3">
      <w:r w:rsidRPr="00930ADF">
        <w:t>CPS (2021) CPS data summary Quarter 4 2020-2021. Available at: https://www.cps.gov.uk/publication/cps-data-summary-quarter-4-2020-2021.</w:t>
      </w:r>
    </w:p>
    <w:p w14:paraId="3E76C6C5" w14:textId="77777777" w:rsidR="008B17B3" w:rsidRPr="00930ADF" w:rsidRDefault="008B17B3" w:rsidP="008B17B3">
      <w:r w:rsidRPr="00930ADF">
        <w:t xml:space="preserve">Gill, A.K. and Harrison, K. (2015) “Child Grooming and Sexual Exploitation: Are South Asian Men the UK Media’s New Folk </w:t>
      </w:r>
      <w:proofErr w:type="gramStart"/>
      <w:r w:rsidRPr="00930ADF">
        <w:t>Devils?,</w:t>
      </w:r>
      <w:proofErr w:type="gramEnd"/>
      <w:r w:rsidRPr="00930ADF">
        <w:t>” International Journal for Crime, Justice and Social Democracy, 4(2), pp. 34–49. Available at: https://doi.org/10.5204/ijcjsd.v4i2.214.</w:t>
      </w:r>
    </w:p>
    <w:p w14:paraId="6DB43FFE" w14:textId="77777777" w:rsidR="008B17B3" w:rsidRPr="00930ADF" w:rsidRDefault="008B17B3" w:rsidP="008B17B3">
      <w:r w:rsidRPr="00930ADF">
        <w:t>Her Majesty’s Inspectorate of Constabulary and Fire &amp; Rescue Services. (2021). “Police response to violence against women and girls”. Final inspection report. HMICFRS. Available at: from https://www.justiceinspectorates.gov.uk/hmicfrs/wp-content/uploads/police-response-to-violence-against-women-and-girls-final-inspection-report.pdf</w:t>
      </w:r>
    </w:p>
    <w:p w14:paraId="3707D79A" w14:textId="77777777" w:rsidR="008B17B3" w:rsidRPr="00930ADF" w:rsidRDefault="008B17B3" w:rsidP="008B17B3">
      <w:bookmarkStart w:id="1" w:name="_Hlk134180499"/>
      <w:r w:rsidRPr="00930ADF">
        <w:t>HM Inspectorate of Probation (2021) Multi-agency public protection arrangements. Available at: https://www.justiceinspectorates.gov.uk/hmiprobation/research/the-evidence-base-probation/specific-types-of-delivery/mappa/.</w:t>
      </w:r>
    </w:p>
    <w:bookmarkEnd w:id="1"/>
    <w:p w14:paraId="42E7112D" w14:textId="77777777" w:rsidR="008B17B3" w:rsidRPr="00930ADF" w:rsidRDefault="008B17B3" w:rsidP="008B17B3">
      <w:r w:rsidRPr="00930ADF">
        <w:lastRenderedPageBreak/>
        <w:t>Leigh, J. (2017) Blame, Culture and Child Protection, Palgrave Macmillan UK eBooks. Available at: https://doi.org/10.1057/978-1-137-47009-6.</w:t>
      </w:r>
    </w:p>
    <w:p w14:paraId="358ACA35" w14:textId="77777777" w:rsidR="008B17B3" w:rsidRPr="00930ADF" w:rsidRDefault="008B17B3" w:rsidP="008B17B3">
      <w:proofErr w:type="spellStart"/>
      <w:r w:rsidRPr="00930ADF">
        <w:t>Machura</w:t>
      </w:r>
      <w:proofErr w:type="spellEnd"/>
      <w:r w:rsidRPr="00930ADF">
        <w:t xml:space="preserve">, S. et al. (2019) “National identity and distrust in the police: The case of </w:t>
      </w:r>
      <w:proofErr w:type="gramStart"/>
      <w:r w:rsidRPr="00930ADF">
        <w:t>North West</w:t>
      </w:r>
      <w:proofErr w:type="gramEnd"/>
      <w:r w:rsidRPr="00930ADF">
        <w:t xml:space="preserve"> Wales,” European Journal of Criminology, 16(1), pp. 60–80. Available at: https://doi.org/10.1177/1477370818764835.</w:t>
      </w:r>
    </w:p>
    <w:p w14:paraId="287C2B72" w14:textId="77777777" w:rsidR="008B17B3" w:rsidRPr="00930ADF" w:rsidRDefault="008B17B3" w:rsidP="008B17B3">
      <w:r w:rsidRPr="00930ADF">
        <w:t>Molina, M. D. (2019) “‘Fake News’ Is Not Simply False Information: A Concept Explication and Taxonomy of Online Content,” American Behavioural Scientist, 65(2), pp. 180–212. Available at: https://doi.org/10.1177/0002764219878224.</w:t>
      </w:r>
    </w:p>
    <w:p w14:paraId="3E9B863C" w14:textId="77777777" w:rsidR="008B17B3" w:rsidRPr="00930ADF" w:rsidRDefault="008B17B3" w:rsidP="008B17B3">
      <w:r w:rsidRPr="00930ADF">
        <w:t xml:space="preserve">Nix, J. and Pickett, J. T. (2017) “Third-Person Perceptions, Hostile Media Effects, and Policing: Developing a Theoretical Framework for Assessing the Ferguson Developing a Theoretical Framework for Assessing the Ferguson Effect </w:t>
      </w:r>
      <w:proofErr w:type="spellStart"/>
      <w:r w:rsidRPr="00930ADF">
        <w:t>Effect</w:t>
      </w:r>
      <w:proofErr w:type="spellEnd"/>
      <w:r w:rsidRPr="00930ADF">
        <w:t>,” Forthcoming in Journal of Criminal Justice [Preprint]. Available at: https://core.ac.uk/reader/270047360.</w:t>
      </w:r>
    </w:p>
    <w:p w14:paraId="6F79931F" w14:textId="77777777" w:rsidR="008B17B3" w:rsidRPr="00930ADF" w:rsidRDefault="008B17B3" w:rsidP="008B17B3">
      <w:r w:rsidRPr="00930ADF">
        <w:t>Ofcom (2023) Section five: Due impartiality and due accuracy. Available at: https://www.ofcom.org.uk/tv-radio-and-on-demand/broadcast-codes/broadcast-code/section-five-due-impartiality-accuracy.</w:t>
      </w:r>
    </w:p>
    <w:p w14:paraId="260DF89C" w14:textId="77777777" w:rsidR="008B17B3" w:rsidRPr="00930ADF" w:rsidRDefault="008B17B3" w:rsidP="008B17B3">
      <w:r w:rsidRPr="00930ADF">
        <w:t xml:space="preserve">Olan, F. et al. (2022) “Fake news on Social Media: </w:t>
      </w:r>
      <w:proofErr w:type="gramStart"/>
      <w:r w:rsidRPr="00930ADF">
        <w:t>the</w:t>
      </w:r>
      <w:proofErr w:type="gramEnd"/>
      <w:r w:rsidRPr="00930ADF">
        <w:t xml:space="preserve"> Impact on Society,” Information Systems Frontiers [Preprint]. Available at: https://doi.org/10.1007/s10796-022-10242-z.</w:t>
      </w:r>
    </w:p>
    <w:p w14:paraId="01074554" w14:textId="77777777" w:rsidR="008B17B3" w:rsidRPr="00930ADF" w:rsidRDefault="008B17B3" w:rsidP="008B17B3">
      <w:r w:rsidRPr="00930ADF">
        <w:t xml:space="preserve">Powell, F. and Scanlon, M. (2017) “The Catholic Church, scandal and media,” in Dark secrets of childhood. 1st </w:t>
      </w:r>
      <w:proofErr w:type="spellStart"/>
      <w:r w:rsidRPr="00930ADF">
        <w:t>edn</w:t>
      </w:r>
      <w:proofErr w:type="spellEnd"/>
      <w:r w:rsidRPr="00930ADF">
        <w:t>, pp. 85–126. Available at: https://doi.org/10.2307/j.ctt1t891cw.7.</w:t>
      </w:r>
    </w:p>
    <w:p w14:paraId="4E7BCB1C" w14:textId="77777777" w:rsidR="008B17B3" w:rsidRPr="003B549F" w:rsidRDefault="008B17B3" w:rsidP="003B549F">
      <w:pPr>
        <w:rPr>
          <w:rFonts w:asciiTheme="majorHAnsi" w:hAnsiTheme="majorHAnsi" w:cstheme="majorHAnsi"/>
          <w:b/>
          <w:bCs/>
          <w:sz w:val="28"/>
          <w:szCs w:val="28"/>
        </w:rPr>
      </w:pPr>
    </w:p>
    <w:p w14:paraId="05ED30A0" w14:textId="776F1FEC" w:rsidR="003B549F" w:rsidRPr="003B549F" w:rsidRDefault="003B549F" w:rsidP="003B549F">
      <w:pPr>
        <w:rPr>
          <w:rFonts w:asciiTheme="majorHAnsi" w:hAnsiTheme="majorHAnsi" w:cstheme="majorHAnsi"/>
          <w:b/>
          <w:bCs/>
          <w:sz w:val="28"/>
          <w:szCs w:val="28"/>
        </w:rPr>
      </w:pPr>
    </w:p>
    <w:p w14:paraId="7D288A9B" w14:textId="175A4F7A" w:rsidR="003B549F" w:rsidRPr="003B549F" w:rsidRDefault="003B549F" w:rsidP="003B549F">
      <w:pPr>
        <w:rPr>
          <w:rFonts w:asciiTheme="majorHAnsi" w:hAnsiTheme="majorHAnsi" w:cstheme="majorHAnsi"/>
          <w:b/>
          <w:bCs/>
          <w:sz w:val="28"/>
          <w:szCs w:val="28"/>
        </w:rPr>
      </w:pPr>
    </w:p>
    <w:p w14:paraId="282C78A6" w14:textId="77777777" w:rsidR="003B549F" w:rsidRPr="003B549F" w:rsidRDefault="003B549F" w:rsidP="003B549F">
      <w:pPr>
        <w:pStyle w:val="Default"/>
        <w:rPr>
          <w:rFonts w:asciiTheme="majorHAnsi" w:hAnsiTheme="majorHAnsi" w:cstheme="majorHAnsi"/>
          <w:b/>
          <w:bCs/>
          <w:sz w:val="28"/>
          <w:szCs w:val="28"/>
        </w:rPr>
      </w:pPr>
      <w:r w:rsidRPr="003B549F">
        <w:rPr>
          <w:rFonts w:asciiTheme="majorHAnsi" w:hAnsiTheme="majorHAnsi" w:cstheme="majorHAnsi"/>
          <w:b/>
          <w:bCs/>
          <w:sz w:val="28"/>
          <w:szCs w:val="28"/>
        </w:rPr>
        <w:t xml:space="preserve">How effective is early intervention in preventing young people from offending, or re-offending? </w:t>
      </w:r>
    </w:p>
    <w:p w14:paraId="7EA7B5D6" w14:textId="3206FF55" w:rsidR="003B549F" w:rsidRPr="003B549F" w:rsidRDefault="003B549F" w:rsidP="003B549F">
      <w:pPr>
        <w:rPr>
          <w:rFonts w:asciiTheme="majorHAnsi" w:hAnsiTheme="majorHAnsi" w:cstheme="majorHAnsi"/>
          <w:sz w:val="24"/>
          <w:szCs w:val="24"/>
        </w:rPr>
      </w:pPr>
    </w:p>
    <w:p w14:paraId="4C3DFBD1" w14:textId="77777777" w:rsidR="00F551B2" w:rsidRDefault="00F551B2" w:rsidP="00F551B2">
      <w:r>
        <w:t>The effectiveness of early intervention in preventing young people from offending or re-offending in the UK has been the subject of substantial debate and study in past years and its effectiveness is subjective to a number of variables which are both current and variables which have occurred in the past and whilst the agencies conducting early intervention may have limited methods of controlling these variables, the majority of which are part of a larger, social issue.</w:t>
      </w:r>
    </w:p>
    <w:p w14:paraId="00F2627D" w14:textId="77777777" w:rsidR="00F551B2" w:rsidRDefault="00F551B2" w:rsidP="00F551B2">
      <w:r>
        <w:t xml:space="preserve">In the UK, whilst offenders over the age of 18 who pose a significant risk of reoffending are managed by multi-agency public protection arrangements (MAPPA) this scheme is not open for those under 18. To provide to early intervention to young people who are deemed to be ‘at risk’ of offending or young offenders themselves, intervention is routinely conducted by agencies working in partnership including the police, </w:t>
      </w:r>
      <w:r w:rsidRPr="008A35CD">
        <w:t>probation service, education authorities, NHS and local authorities (GOV.UK, 2015), members from these agencies make up part of ‘youth offending teams’ across the country</w:t>
      </w:r>
      <w:r>
        <w:t xml:space="preserve"> and a requirement on their existence under the Crime and Disorder Act 1998</w:t>
      </w:r>
      <w:r w:rsidRPr="008A35CD">
        <w:t xml:space="preserve">. To reach their full potential and become their best selves, all </w:t>
      </w:r>
      <w:r>
        <w:t>young people</w:t>
      </w:r>
      <w:r w:rsidRPr="008A35CD">
        <w:t xml:space="preserve"> require the assistance and guidance of adults. This guidance is especially crucial when </w:t>
      </w:r>
      <w:r>
        <w:t>young people</w:t>
      </w:r>
      <w:r w:rsidRPr="008A35CD">
        <w:t xml:space="preserve"> are dealing with issues that, if left unresolved, may increase the possibility that they may end up offending or re-offending </w:t>
      </w:r>
      <w:r>
        <w:t xml:space="preserve">(Youth </w:t>
      </w:r>
      <w:r>
        <w:lastRenderedPageBreak/>
        <w:t xml:space="preserve">Justice </w:t>
      </w:r>
      <w:r w:rsidRPr="0096012D">
        <w:t>Board, 2021). There is a high risk of social isolation for many of the young people associated with the youth offending teams since they are often among the most vulnerable</w:t>
      </w:r>
      <w:r>
        <w:t xml:space="preserve"> (Leicestershire County Council, 2013)</w:t>
      </w:r>
      <w:r w:rsidRPr="0096012D">
        <w:t>.</w:t>
      </w:r>
      <w:r>
        <w:t xml:space="preserve"> </w:t>
      </w:r>
      <w:r w:rsidRPr="00521751">
        <w:t>The youth offending teams offer a link from these young people to health and education services, tackling the source of their behavioural difficulties. These young people are frequently victims of crime, many of whom have a history with social services, low school attendance, a lack of education, and potential mental health concerns</w:t>
      </w:r>
      <w:r>
        <w:t xml:space="preserve"> (Taylor, 2016) these risk factors are referred to as Adverse Childhood Experiences or ACEs</w:t>
      </w:r>
      <w:r w:rsidRPr="00521751">
        <w:t>.</w:t>
      </w:r>
      <w:r>
        <w:t xml:space="preserve"> </w:t>
      </w:r>
    </w:p>
    <w:p w14:paraId="6DB8F58D" w14:textId="77777777" w:rsidR="00F551B2" w:rsidRDefault="00F551B2" w:rsidP="00F551B2">
      <w:r>
        <w:t>Whilst different UK counties have early intervention plans that differ slightly from others, most youth offending teams and youth justice plans laid out by local governments in the UK focus on development by improving life chances of those involved, supporting and empowering young people involved in early intervention programmes to gain life skills in order to play an active part in society, with other counties operating on a wide range between ‘minimalist’ and ‘robust’ approaches (Smith and Gray, 2019).</w:t>
      </w:r>
    </w:p>
    <w:p w14:paraId="6BB11F80" w14:textId="77777777" w:rsidR="00F551B2" w:rsidRPr="0096012D" w:rsidRDefault="00F551B2" w:rsidP="00F551B2">
      <w:r>
        <w:t xml:space="preserve">In the UK, there are two main types of early intervention used; those targeted at young persons before they have offended, working with young people to reduce risk factors, minimising the effect of ACEs by working with education authorities; and those that are targeted to young persons who have already committed offences but working with them to reduce risk factors, aiming to deter them from more serious or violent crime (Boyd and </w:t>
      </w:r>
      <w:proofErr w:type="spellStart"/>
      <w:r>
        <w:t>Bermingham</w:t>
      </w:r>
      <w:proofErr w:type="spellEnd"/>
      <w:r>
        <w:t>, 2019) these are then further divided and many kinds of support can be offered from mentoring, school therapy and family based support programmes. Early i</w:t>
      </w:r>
      <w:r w:rsidRPr="00C347AF">
        <w:t xml:space="preserve">nterventions </w:t>
      </w:r>
      <w:r>
        <w:t>in a</w:t>
      </w:r>
      <w:r w:rsidRPr="00C347AF">
        <w:t xml:space="preserve"> school</w:t>
      </w:r>
      <w:r>
        <w:t xml:space="preserve"> or education environment</w:t>
      </w:r>
      <w:r w:rsidRPr="00C347AF">
        <w:t xml:space="preserve"> can identify students who are underachieving</w:t>
      </w:r>
      <w:r>
        <w:t xml:space="preserve"> </w:t>
      </w:r>
      <w:r w:rsidRPr="00C347AF">
        <w:t>academically</w:t>
      </w:r>
      <w:r>
        <w:t>, displaying behavioural issues</w:t>
      </w:r>
      <w:r w:rsidRPr="00C347AF">
        <w:t xml:space="preserve"> or at danger of </w:t>
      </w:r>
      <w:r>
        <w:t>suspension or expulsion</w:t>
      </w:r>
      <w:r w:rsidRPr="00C347AF">
        <w:t xml:space="preserve"> and provide additional academic and behavioural support. When </w:t>
      </w:r>
      <w:r>
        <w:t xml:space="preserve">further support is </w:t>
      </w:r>
      <w:r w:rsidRPr="00C347AF">
        <w:t>used in</w:t>
      </w:r>
      <w:r>
        <w:t xml:space="preserve"> favour</w:t>
      </w:r>
      <w:r w:rsidRPr="00C347AF">
        <w:t xml:space="preserve"> of </w:t>
      </w:r>
      <w:r>
        <w:t xml:space="preserve">suspensions or </w:t>
      </w:r>
      <w:r w:rsidRPr="00C347AF">
        <w:t>exclusions, this tactic has been shown to increase social engagement</w:t>
      </w:r>
      <w:r>
        <w:t xml:space="preserve">, academic achievement, and emotional control (Scott and Spencer, 2013). A government report </w:t>
      </w:r>
      <w:proofErr w:type="spellStart"/>
      <w:r>
        <w:t>sated</w:t>
      </w:r>
      <w:proofErr w:type="spellEnd"/>
      <w:r>
        <w:t xml:space="preserve"> that young persons who are excluded from school are twice as likely to carry a knife (Sheridan, 2018). Multisystemic therapy (MST) is another type of early intervention used by youth offending services, this intervention is focused on family and community for young people who are at danger of being removed from their homes and placed in care or in detention because they have serious behavioural issues or have committed criminal offences; the main objectives are to prevent young people from engaging in anti-social activities by ensuring </w:t>
      </w:r>
      <w:proofErr w:type="spellStart"/>
      <w:r>
        <w:t>them</w:t>
      </w:r>
      <w:proofErr w:type="spellEnd"/>
      <w:r>
        <w:t xml:space="preserve"> safety at home and at school where they are away from negative influences (MSTUK, </w:t>
      </w:r>
      <w:proofErr w:type="spellStart"/>
      <w:r>
        <w:t>n.d</w:t>
      </w:r>
      <w:proofErr w:type="spellEnd"/>
      <w:r>
        <w:t xml:space="preserve">). In a 2011 study, the use of multisystemic therapy instead of typical youth offending team interventions was shown to decrease offending rates even further than that of typical interventions concluding that multisystemic therapy adds to the current types of intervention used and whilst the results were positive, multisystemic therapy should not be used to replace current methods but should be used in addition to them (Butler </w:t>
      </w:r>
      <w:r>
        <w:rPr>
          <w:i/>
          <w:iCs/>
        </w:rPr>
        <w:t>et al.</w:t>
      </w:r>
      <w:r>
        <w:t xml:space="preserve">, 2011). </w:t>
      </w:r>
      <w:r w:rsidRPr="001215D4">
        <w:t xml:space="preserve">The most efficient approaches to preventing and treating mental health problems are frequently diverse and tailored to the person, necessitating the use of one or more highly skilled and experienced practitioners. In families where there are known parenting risks, "child-parent psychotherapy," which has good evidence of lowering the risk of child neglect (which contributes to ACEs), has many similarities to MST. With this approach, parents receive therapy over an extended </w:t>
      </w:r>
      <w:proofErr w:type="gramStart"/>
      <w:r w:rsidRPr="001215D4">
        <w:t>period of time</w:t>
      </w:r>
      <w:proofErr w:type="gramEnd"/>
      <w:r w:rsidRPr="001215D4">
        <w:t xml:space="preserve"> to help them work through traumatising emotions and develop effective strategies for promoting their children's development and enforcing parental authority</w:t>
      </w:r>
      <w:r>
        <w:t xml:space="preserve"> (Early Intervention Foundation, 2018)</w:t>
      </w:r>
      <w:r w:rsidRPr="001215D4">
        <w:t>.</w:t>
      </w:r>
    </w:p>
    <w:p w14:paraId="051271DB" w14:textId="77777777" w:rsidR="00F551B2" w:rsidRDefault="00F551B2" w:rsidP="00F551B2">
      <w:r>
        <w:t xml:space="preserve">In conclusion, early intervention is effective in reducing the offending and re-offending rates in young people. The partnership approach that it uses, brought in by the Crime and Disorder Act 1998 has reduced the number of young people taken into police custody (Haydon, 2014) and continues to </w:t>
      </w:r>
      <w:r>
        <w:lastRenderedPageBreak/>
        <w:t xml:space="preserve">change and adapt, bringing in the use of new intervention methods and techniques </w:t>
      </w:r>
      <w:proofErr w:type="gramStart"/>
      <w:r>
        <w:t>in order to</w:t>
      </w:r>
      <w:proofErr w:type="gramEnd"/>
      <w:r>
        <w:t xml:space="preserve"> target the source of the issues causing young persons to offend. There is still learning to be done around methods that are most effective however it is evident that intervention tools must be tailored to each young person at risk. There is not currently a standardised list of methods across the UK, instead each county has a different approach which suits each individual community. Identifying and targeting root causes of criminal behaviour in young persons is a specific function of the youth offending teams and it has been shown that attempting to limit the harm done by adverse childhood experiences has a direct impact on offending and reoffending rates.</w:t>
      </w:r>
    </w:p>
    <w:p w14:paraId="2FA697E1" w14:textId="77777777" w:rsidR="00F551B2" w:rsidRDefault="00F551B2" w:rsidP="00F551B2">
      <w:r>
        <w:t>Word count: 1010</w:t>
      </w:r>
    </w:p>
    <w:p w14:paraId="31308D98" w14:textId="158FFB30" w:rsidR="00F551B2" w:rsidRDefault="00F551B2" w:rsidP="00F551B2"/>
    <w:p w14:paraId="4FA419E8" w14:textId="77777777" w:rsidR="00B8287D" w:rsidRPr="00E52DFA" w:rsidRDefault="00B8287D" w:rsidP="00F551B2"/>
    <w:p w14:paraId="2EB4C5FA" w14:textId="77777777" w:rsidR="00F551B2" w:rsidRPr="00E52DFA" w:rsidRDefault="00F551B2" w:rsidP="00F551B2">
      <w:r w:rsidRPr="00E52DFA">
        <w:t xml:space="preserve">Boyd, F. and </w:t>
      </w:r>
      <w:proofErr w:type="spellStart"/>
      <w:r w:rsidRPr="00E52DFA">
        <w:t>Bermingham</w:t>
      </w:r>
      <w:proofErr w:type="spellEnd"/>
      <w:r w:rsidRPr="00E52DFA">
        <w:t>, R. (2019) Early Interventions to Reduce Violent Crime, UK Parliament POST. UK Parliament POST. Available at: https://post.parliament.uk/research-briefings/post-pn-0599/.</w:t>
      </w:r>
    </w:p>
    <w:p w14:paraId="681BE5C7" w14:textId="77777777" w:rsidR="00F551B2" w:rsidRPr="00E52DFA" w:rsidRDefault="00F551B2" w:rsidP="00F551B2">
      <w:r w:rsidRPr="00E52DFA">
        <w:t>Butler, S.F. et al. (2011) “A Randomized Controlled Trial of Multisystemic Therapy and a Statutory Therapeutic Intervention for Young Offenders,” Journal of the American Academy of Child and Adolescent Psychiatry, 50(12), pp. 1220-1235.e2. Available at: https://doi.org/10.1016/j.jaac.2011.09.017.</w:t>
      </w:r>
    </w:p>
    <w:p w14:paraId="114AFAF5" w14:textId="77777777" w:rsidR="00F551B2" w:rsidRPr="00E52DFA" w:rsidRDefault="00F551B2" w:rsidP="00F551B2">
      <w:r w:rsidRPr="00E52DFA">
        <w:t>Early Intervention Foundation (2018) Realising the potential of early intervention. Available at: https://www.eif.org.uk/report/realising-the-potential-of-early-intervention.</w:t>
      </w:r>
    </w:p>
    <w:p w14:paraId="048A3F8E" w14:textId="77777777" w:rsidR="00F551B2" w:rsidRDefault="00F551B2" w:rsidP="00F551B2">
      <w:r w:rsidRPr="00E52DFA">
        <w:t xml:space="preserve">GOV.UK (2015) Youth offending teams. Available at: </w:t>
      </w:r>
      <w:hyperlink r:id="rId7" w:history="1">
        <w:r w:rsidRPr="00D2281F">
          <w:rPr>
            <w:rStyle w:val="Hyperlink"/>
          </w:rPr>
          <w:t>https://www.gov.uk/youth-offending-team</w:t>
        </w:r>
      </w:hyperlink>
      <w:r w:rsidRPr="00E52DFA">
        <w:t>.</w:t>
      </w:r>
    </w:p>
    <w:p w14:paraId="46B4E70E" w14:textId="77777777" w:rsidR="00F551B2" w:rsidRPr="00E52DFA" w:rsidRDefault="00F551B2" w:rsidP="00F551B2">
      <w:r w:rsidRPr="00B83930">
        <w:t>Haydon, D. (2014) “Early Intervention for the Prevention of Offending in Northern Ireland,” Youth Justice [Preprint]. Available at: https://doi.org/10.1177/1473225414549693.</w:t>
      </w:r>
    </w:p>
    <w:p w14:paraId="2510CDF8" w14:textId="77777777" w:rsidR="00F551B2" w:rsidRPr="00E52DFA" w:rsidRDefault="00F551B2" w:rsidP="00F551B2">
      <w:r w:rsidRPr="00E52DFA">
        <w:t xml:space="preserve">Leicestershire County Council (2013) </w:t>
      </w:r>
      <w:proofErr w:type="gramStart"/>
      <w:r w:rsidRPr="00E52DFA">
        <w:t>Leicestershire  Youth</w:t>
      </w:r>
      <w:proofErr w:type="gramEnd"/>
      <w:r w:rsidRPr="00E52DFA">
        <w:t xml:space="preserve"> Justice Strategic Plan  2014 - 2015, Leicestershire County Council. Available at: https://politics.leics.gov.uk/documents/s93892/Appendix%201%20-%20Youth%20Justice%20Strategic%20Plan%202014%20-%202015.pdf.</w:t>
      </w:r>
    </w:p>
    <w:p w14:paraId="10BA5A52" w14:textId="77777777" w:rsidR="00F551B2" w:rsidRPr="00E52DFA" w:rsidRDefault="00F551B2" w:rsidP="00F551B2">
      <w:r w:rsidRPr="00E52DFA">
        <w:t>MSTUK (no date) What is MST? Available at: http://www.mstuk.org/multisystemic-therapy-mst.</w:t>
      </w:r>
    </w:p>
    <w:p w14:paraId="5827AA3E" w14:textId="77777777" w:rsidR="00F551B2" w:rsidRPr="00E52DFA" w:rsidRDefault="00F551B2" w:rsidP="00F551B2">
      <w:r w:rsidRPr="00E52DFA">
        <w:t xml:space="preserve">Scott, J. and Spencer, L. (2013) School meets street: exploring the links between low achievement, school exclusion and youth crime among African-Caribbean boys in </w:t>
      </w:r>
      <w:proofErr w:type="gramStart"/>
      <w:r w:rsidRPr="00E52DFA">
        <w:t>London  –</w:t>
      </w:r>
      <w:proofErr w:type="gramEnd"/>
      <w:r w:rsidRPr="00E52DFA">
        <w:t xml:space="preserve"> Institute for Social and Economic Research. Available at: https://www.iser.essex.ac.uk/research/publications/working-papers/iser/2013-25.</w:t>
      </w:r>
    </w:p>
    <w:p w14:paraId="04BAFE0B" w14:textId="77777777" w:rsidR="00F551B2" w:rsidRPr="00E52DFA" w:rsidRDefault="00F551B2" w:rsidP="00F551B2">
      <w:r w:rsidRPr="00E52DFA">
        <w:t>Sheridan, M. (2018) Knife crime: a shared problem. Available at: https://educationinspection.blog.gov.uk/2018/11/12/knife-crime-a-shared-problem/.</w:t>
      </w:r>
    </w:p>
    <w:p w14:paraId="14B0A698" w14:textId="77777777" w:rsidR="00F551B2" w:rsidRPr="00E52DFA" w:rsidRDefault="00F551B2" w:rsidP="00F551B2">
      <w:r w:rsidRPr="00E52DFA">
        <w:t>Smith, R. and Gray, P. (2019) “The changing shape of youth justice: Models of practice,” Criminology &amp; Criminal Justice, 19(5), pp. 554–571. Available at: https://doi.org/10.1177/1748895818781199.</w:t>
      </w:r>
    </w:p>
    <w:p w14:paraId="57F3CA57" w14:textId="77777777" w:rsidR="00F551B2" w:rsidRPr="00E52DFA" w:rsidRDefault="00F551B2" w:rsidP="00F551B2">
      <w:r w:rsidRPr="00E52DFA">
        <w:t>Taylor, C., (2016) Review of the youth justice system in England and Wales.</w:t>
      </w:r>
    </w:p>
    <w:p w14:paraId="0D3FB0AE" w14:textId="4874200F" w:rsidR="003B549F" w:rsidRPr="003B549F" w:rsidRDefault="00F551B2" w:rsidP="003B549F">
      <w:pPr>
        <w:rPr>
          <w:rFonts w:asciiTheme="majorHAnsi" w:hAnsiTheme="majorHAnsi" w:cstheme="majorHAnsi"/>
          <w:b/>
          <w:bCs/>
          <w:sz w:val="28"/>
          <w:szCs w:val="28"/>
        </w:rPr>
      </w:pPr>
      <w:r w:rsidRPr="00E52DFA">
        <w:lastRenderedPageBreak/>
        <w:t>Youth Justice Board (2021) Strategic Plan 2021 - 2024, Youth Justice Board for England and Wales. UK Government Publishing Service. Available at: https://www.gov.uk/government/statistics/youth-justice-statistics-2020-to-2021/youth-justice-statistics-2020-to-2021-accessible-version.</w:t>
      </w:r>
    </w:p>
    <w:p w14:paraId="1E839E44" w14:textId="77777777" w:rsidR="00EE15B3" w:rsidRDefault="00EE15B3" w:rsidP="003B549F">
      <w:pPr>
        <w:rPr>
          <w:rFonts w:asciiTheme="majorHAnsi" w:hAnsiTheme="majorHAnsi" w:cstheme="majorHAnsi"/>
          <w:b/>
          <w:bCs/>
          <w:sz w:val="28"/>
          <w:szCs w:val="28"/>
        </w:rPr>
      </w:pPr>
      <w:bookmarkStart w:id="2" w:name="_Hlk134131726"/>
    </w:p>
    <w:p w14:paraId="5B25904A" w14:textId="77777777" w:rsidR="00EE15B3" w:rsidRDefault="00EE15B3" w:rsidP="003B549F">
      <w:pPr>
        <w:rPr>
          <w:rFonts w:asciiTheme="majorHAnsi" w:hAnsiTheme="majorHAnsi" w:cstheme="majorHAnsi"/>
          <w:b/>
          <w:bCs/>
          <w:sz w:val="28"/>
          <w:szCs w:val="28"/>
        </w:rPr>
      </w:pPr>
    </w:p>
    <w:p w14:paraId="3F2E6983" w14:textId="77777777" w:rsidR="00EE15B3" w:rsidRDefault="00EE15B3" w:rsidP="003B549F">
      <w:pPr>
        <w:rPr>
          <w:rFonts w:asciiTheme="majorHAnsi" w:hAnsiTheme="majorHAnsi" w:cstheme="majorHAnsi"/>
          <w:b/>
          <w:bCs/>
          <w:sz w:val="28"/>
          <w:szCs w:val="28"/>
        </w:rPr>
      </w:pPr>
    </w:p>
    <w:p w14:paraId="7FB3DB86" w14:textId="77777777" w:rsidR="00EE15B3" w:rsidRDefault="00EE15B3" w:rsidP="003B549F">
      <w:pPr>
        <w:rPr>
          <w:rFonts w:asciiTheme="majorHAnsi" w:hAnsiTheme="majorHAnsi" w:cstheme="majorHAnsi"/>
          <w:b/>
          <w:bCs/>
          <w:sz w:val="28"/>
          <w:szCs w:val="28"/>
        </w:rPr>
      </w:pPr>
    </w:p>
    <w:p w14:paraId="50CBE9F4" w14:textId="77777777" w:rsidR="00EE15B3" w:rsidRDefault="00EE15B3" w:rsidP="003B549F">
      <w:pPr>
        <w:rPr>
          <w:rFonts w:asciiTheme="majorHAnsi" w:hAnsiTheme="majorHAnsi" w:cstheme="majorHAnsi"/>
          <w:b/>
          <w:bCs/>
          <w:sz w:val="28"/>
          <w:szCs w:val="28"/>
        </w:rPr>
      </w:pPr>
    </w:p>
    <w:p w14:paraId="7256A050" w14:textId="39DB05D1" w:rsidR="003B549F" w:rsidRDefault="003B549F" w:rsidP="003B549F">
      <w:pPr>
        <w:rPr>
          <w:rFonts w:asciiTheme="majorHAnsi" w:hAnsiTheme="majorHAnsi" w:cstheme="majorHAnsi"/>
          <w:b/>
          <w:bCs/>
          <w:sz w:val="28"/>
          <w:szCs w:val="28"/>
        </w:rPr>
      </w:pPr>
      <w:r w:rsidRPr="003B549F">
        <w:rPr>
          <w:rFonts w:asciiTheme="majorHAnsi" w:hAnsiTheme="majorHAnsi" w:cstheme="majorHAnsi"/>
          <w:b/>
          <w:bCs/>
          <w:sz w:val="28"/>
          <w:szCs w:val="28"/>
        </w:rPr>
        <w:t>Are partnership approaches the most effective means of rehabilitating offenders?</w:t>
      </w:r>
      <w:bookmarkEnd w:id="2"/>
    </w:p>
    <w:p w14:paraId="227AE40A" w14:textId="5F8B278D" w:rsidR="00EE15B3" w:rsidRDefault="00EE15B3" w:rsidP="003B549F">
      <w:pPr>
        <w:rPr>
          <w:rFonts w:asciiTheme="majorHAnsi" w:hAnsiTheme="majorHAnsi" w:cstheme="majorHAnsi"/>
          <w:b/>
          <w:bCs/>
          <w:sz w:val="28"/>
          <w:szCs w:val="28"/>
        </w:rPr>
      </w:pPr>
    </w:p>
    <w:p w14:paraId="5D39E884" w14:textId="77777777" w:rsidR="00EE15B3" w:rsidRDefault="00EE15B3" w:rsidP="00EE15B3">
      <w:r>
        <w:t xml:space="preserve">In the UK, the rehabilitation of offenders </w:t>
      </w:r>
      <w:r w:rsidRPr="002E2CB8">
        <w:t>is primarily the responsibility of the prison and probation agency in England and Wales</w:t>
      </w:r>
      <w:r>
        <w:t xml:space="preserve"> however, the police, local authority and </w:t>
      </w:r>
      <w:proofErr w:type="spellStart"/>
      <w:proofErr w:type="gramStart"/>
      <w:r>
        <w:t>non profit</w:t>
      </w:r>
      <w:proofErr w:type="spellEnd"/>
      <w:proofErr w:type="gramEnd"/>
      <w:r>
        <w:t xml:space="preserve"> organisations all play an important role and work in partnership with each other to assist in the rehabilitation of offenders. (Taylor, 2022)</w:t>
      </w:r>
      <w:r w:rsidRPr="002E2CB8">
        <w:t>.</w:t>
      </w:r>
      <w:r>
        <w:t xml:space="preserve"> There are many approaches to the rehabilitation of offenders across the world with a range of stances on rehabilitation ranging from minimal input to extensive.</w:t>
      </w:r>
    </w:p>
    <w:p w14:paraId="1199E719" w14:textId="77777777" w:rsidR="00EE15B3" w:rsidRDefault="00EE15B3" w:rsidP="00EE15B3">
      <w:r w:rsidRPr="00EF45BD">
        <w:t>Partnership strategies are generally based on the idea that</w:t>
      </w:r>
      <w:r>
        <w:t xml:space="preserve"> as crime has evolved,</w:t>
      </w:r>
      <w:r w:rsidRPr="00EF45BD">
        <w:t xml:space="preserve"> no one</w:t>
      </w:r>
      <w:r>
        <w:t xml:space="preserve"> single</w:t>
      </w:r>
      <w:r w:rsidRPr="00EF45BD">
        <w:t xml:space="preserve"> agency can effectively address</w:t>
      </w:r>
      <w:r>
        <w:t xml:space="preserve"> the</w:t>
      </w:r>
      <w:r w:rsidRPr="00EF45BD">
        <w:t xml:space="preserve"> complex issues </w:t>
      </w:r>
      <w:r>
        <w:t xml:space="preserve">arising </w:t>
      </w:r>
      <w:r w:rsidRPr="00EF45BD">
        <w:t>relating to public safety and crime</w:t>
      </w:r>
      <w:r>
        <w:t xml:space="preserve"> alone (Berry, 2011)</w:t>
      </w:r>
      <w:r w:rsidRPr="00EF45BD">
        <w:t>.</w:t>
      </w:r>
      <w:r>
        <w:t xml:space="preserve"> During the conception of partnership working with the police in the 1980s, some of the main focuses were on making the police more transparent to the public and reducing fear of crime in communities, the focus has now shifted away from this instead becoming more focused on managing ‘quality of life offences and related disorder (Cox, 2019). After a 1995 report, ‘Drug Action Teams’ were formed in local areas between the police, NHS, drug treatment services and other non-profit organisations to target offenders of crime that used drugs (Home Office, 1995). Imprisonment alone, when used as a punishment against drug users has limited success in preventing them reoffending or preventing future drug abuse (Stevenson, 2011). With the introduction of the Criminal Justice Act 2003 came drug and alcohol treatment orders that could be put in place by the courts, mandating that offenders who suffer with drug and alcohol abuse attend substance abuse treatment courses with the aim of curbing their addiction, the </w:t>
      </w:r>
      <w:proofErr w:type="gramStart"/>
      <w:r>
        <w:t>ultimate goal</w:t>
      </w:r>
      <w:proofErr w:type="gramEnd"/>
      <w:r>
        <w:t xml:space="preserve"> being the reduction of reoffending and overall crime. Not only was this power given to the courts but police forces were now able to order offenders of low-level crime associated with drug and alcohol use to attend courses instead of issuing a charge to court, both reducing the strain on the criminal justice system and providing support to those who were at risk of offending due to their vulnerability to substance misuse. As-well as the courts and police force making improvements in relation to partnership working in regards to the rehabilitation of drug and alcohol users who commit offences, significant improvement has been made in the prison system where UK prisons are now working with healthcare professionals and </w:t>
      </w:r>
      <w:proofErr w:type="spellStart"/>
      <w:r>
        <w:t>non profit</w:t>
      </w:r>
      <w:proofErr w:type="spellEnd"/>
      <w:r>
        <w:t xml:space="preserve"> organisations to assist with substance addictions, in some cases assisting in providing detoxes to those who require it (Prison Reform Trust, 2022), this support inside prison has only become widely available within the last 30 years where non-profit organisations continue to have contact with prisoners even after their release, sometimes mandated by courts but also often voluntarily. The requirement for partnership working around the </w:t>
      </w:r>
      <w:r>
        <w:lastRenderedPageBreak/>
        <w:t xml:space="preserve">identification, support and management of drug and alcohol offenders is massive, information sharing between agencies such as the prison service and the </w:t>
      </w:r>
      <w:proofErr w:type="spellStart"/>
      <w:r>
        <w:t>non profit</w:t>
      </w:r>
      <w:proofErr w:type="spellEnd"/>
      <w:r>
        <w:t xml:space="preserve"> or health organisation managing treatment is crucial not only to identify offenders who would benefit from treatment plans but also identifying associated risks </w:t>
      </w:r>
      <w:proofErr w:type="gramStart"/>
      <w:r>
        <w:t>in order to</w:t>
      </w:r>
      <w:proofErr w:type="gramEnd"/>
      <w:r>
        <w:t xml:space="preserve"> tailor treatment to the specific individual (</w:t>
      </w:r>
      <w:proofErr w:type="spellStart"/>
      <w:r>
        <w:t>Tiquet</w:t>
      </w:r>
      <w:proofErr w:type="spellEnd"/>
      <w:r>
        <w:t>, 2019).</w:t>
      </w:r>
    </w:p>
    <w:p w14:paraId="58436713" w14:textId="77777777" w:rsidR="00EE15B3" w:rsidRDefault="00EE15B3" w:rsidP="00EE15B3">
      <w:r>
        <w:t xml:space="preserve">A report by </w:t>
      </w:r>
      <w:proofErr w:type="spellStart"/>
      <w:r>
        <w:t>Pudney</w:t>
      </w:r>
      <w:proofErr w:type="spellEnd"/>
      <w:r>
        <w:t xml:space="preserve"> (2017) examines the effect of a </w:t>
      </w:r>
      <w:r w:rsidRPr="00DA11AD">
        <w:t>community archaeology project had on rehabilitating offenders who were serving custodial sentences in HMP and YOI Parc, the ‘Motivating Offender Rehabilitation Through Archaeological Recording, Investigation and Analysis’</w:t>
      </w:r>
      <w:r>
        <w:t xml:space="preserve"> or MORTARIA project took place between 2012 and 2014. The prison and young offenders institute Parc aims to rehabilitate offenders and to give them skills </w:t>
      </w:r>
      <w:proofErr w:type="gramStart"/>
      <w:r>
        <w:t>in order to</w:t>
      </w:r>
      <w:proofErr w:type="gramEnd"/>
      <w:r>
        <w:t xml:space="preserve"> allow them to play an active part in society upon their release (HMP PARC, 2022), introducing the skill of archaeology to prisoners is fitting with the prison’s philosophy of equipping prisoners with skills they can use upon their release to society.</w:t>
      </w:r>
    </w:p>
    <w:p w14:paraId="2CD61833" w14:textId="77777777" w:rsidR="00EE15B3" w:rsidRPr="00930ADF" w:rsidRDefault="00EE15B3" w:rsidP="00EE15B3">
      <w:r w:rsidRPr="00930ADF">
        <w:t>In 2001, the UK government introduced multi-agency public protection arrangements (MAPPA) in legislation. Both the Police and HM Prisons and Probation services are responsible authorities who are required to work together to identify and manage dangerous and violent offenders, including sex offenders and offenders in public protection incidents, who pose a higher risk to other members of the public. MAPPA works collaboratively with other agencies such as the local authority and the NHS (HM Inspectorate of Probation, 2021).</w:t>
      </w:r>
      <w:r>
        <w:t xml:space="preserve"> There appears to be great collaboration between the police and probation service however there has not been as much communication between these two services and the prison service (Wood and </w:t>
      </w:r>
      <w:proofErr w:type="spellStart"/>
      <w:r>
        <w:t>Kemshall</w:t>
      </w:r>
      <w:proofErr w:type="spellEnd"/>
      <w:r>
        <w:t>, 2007). The opportunity to learn from partner agencies should be a key priority for those involved in multi-agency working however there has been some reported disconnect in the case of MAPPA where the prison and probation agencies are not as interested from learning from each other as the police, respondents in a survey suggesting that they would have nothing of relevance to learn from the other agency as their role did not interchange with their own (Nash and Walker, 2009).</w:t>
      </w:r>
    </w:p>
    <w:p w14:paraId="2C6B1D44" w14:textId="77777777" w:rsidR="00EE15B3" w:rsidRPr="00EA1821" w:rsidRDefault="00EE15B3" w:rsidP="00EE15B3">
      <w:r w:rsidRPr="00EA1821">
        <w:t>In conclusion, partnership approaches are an effective means of rehabilitating offenders</w:t>
      </w:r>
      <w:r>
        <w:t>, it has been shown that the rehabilitation of offenders cannot be left to a single organisation and requires collaboration between several different parties. These partnership approaches have been put in place by the governments passing of legislation and just a couple have been covered in this essay. Improvements and changes are being made constantly to the way these partnership approaches to rehabilitation are being delivered, with lessons being learned from past results. Whilst data is scarce on the direct relation of some of these rehabilitation methods on re offending rates, it has been made clear that the existence and current implementation of these methods are making a positive impact into the lives of some offenders who have chosen to work with the programmes available, especially in the case of drug and alcohol treatments around offenders in prison. With the police and criminal justice system as stretched as it currently is, society is relying on partnership working with non-profit and other organisations to help fill the gap left by current services; current services would not be able to effectively manage effective rehabilitation of offenders on their own.</w:t>
      </w:r>
    </w:p>
    <w:p w14:paraId="244E9125" w14:textId="77777777" w:rsidR="00EE15B3" w:rsidRDefault="00EE15B3" w:rsidP="00EE15B3">
      <w:r w:rsidRPr="00410432">
        <w:rPr>
          <w:b/>
          <w:bCs/>
        </w:rPr>
        <w:t>Word count:</w:t>
      </w:r>
      <w:r>
        <w:t xml:space="preserve"> 1007</w:t>
      </w:r>
    </w:p>
    <w:p w14:paraId="7523114E" w14:textId="77777777" w:rsidR="00EE15B3" w:rsidRDefault="00EE15B3" w:rsidP="00EE15B3"/>
    <w:p w14:paraId="5D5BC782" w14:textId="77777777" w:rsidR="00EE15B3" w:rsidRDefault="00EE15B3" w:rsidP="00EE15B3">
      <w:r>
        <w:t xml:space="preserve">Berry, G. (2011) The effectiveness of partnership </w:t>
      </w:r>
      <w:proofErr w:type="gramStart"/>
      <w:r>
        <w:t>working  in</w:t>
      </w:r>
      <w:proofErr w:type="gramEnd"/>
      <w:r>
        <w:t xml:space="preserve"> a crime and disorder context, UK GOV Publishing Service. Available at: https://assets.publishing.service.gov.uk/government/uploads/system/uploads/attachment_data/file/116548/horr52-summary.pdf.</w:t>
      </w:r>
    </w:p>
    <w:p w14:paraId="2501AEE7" w14:textId="77777777" w:rsidR="00EE15B3" w:rsidRDefault="00EE15B3" w:rsidP="00EE15B3">
      <w:r>
        <w:lastRenderedPageBreak/>
        <w:t xml:space="preserve">Cox, C.E. (2019) “Policing a diverse </w:t>
      </w:r>
      <w:proofErr w:type="gramStart"/>
      <w:r>
        <w:t>society:,</w:t>
      </w:r>
      <w:proofErr w:type="gramEnd"/>
      <w:r>
        <w:t>” in Policy Press eBooks, pp. 105–120. Available at: https://doi.org/10.2307/j.ctvq4c0j8.12.</w:t>
      </w:r>
    </w:p>
    <w:p w14:paraId="4C9FA43E" w14:textId="77777777" w:rsidR="00EE15B3" w:rsidRDefault="00EE15B3" w:rsidP="00EE15B3">
      <w:r>
        <w:t>Criminal Justice Act 2003, c. 44. Available at: https://www.legislation.gov.uk/ukpga/2003/44/contents</w:t>
      </w:r>
    </w:p>
    <w:p w14:paraId="236CAD93" w14:textId="77777777" w:rsidR="00EE15B3" w:rsidRDefault="00EE15B3" w:rsidP="00EE15B3">
      <w:r>
        <w:t>HM Inspectorate of Probation (2021) Multi-agency public protection arrangements. Available at: https://www.justiceinspectorates.gov.uk/hmiprobation/research/the-evidence-base-probation/specific-types-of-delivery/mappa/.</w:t>
      </w:r>
    </w:p>
    <w:p w14:paraId="1B4BAC15" w14:textId="77777777" w:rsidR="00EE15B3" w:rsidRDefault="00EE15B3" w:rsidP="00EE15B3">
      <w:r>
        <w:t xml:space="preserve">HMP PARC (2022) HMP Parc - Making the Difference to All We Come </w:t>
      </w:r>
      <w:proofErr w:type="gramStart"/>
      <w:r>
        <w:t>Into</w:t>
      </w:r>
      <w:proofErr w:type="gramEnd"/>
      <w:r>
        <w:t xml:space="preserve"> Contact With. Available at: https://hmpparc.co.uk/.</w:t>
      </w:r>
    </w:p>
    <w:p w14:paraId="411566A3" w14:textId="77777777" w:rsidR="00EE15B3" w:rsidRDefault="00EE15B3" w:rsidP="00EE15B3">
      <w:r>
        <w:t>Home Office (1995) Tackling Drugs to Build a Better Britain, UK Government. Available at: https://assets.publishing.service.gov.uk/government/uploads/system/uploads/attachment_data/file/259785/3945.pdf.</w:t>
      </w:r>
    </w:p>
    <w:p w14:paraId="6D0F6037" w14:textId="77777777" w:rsidR="00EE15B3" w:rsidRDefault="00EE15B3" w:rsidP="00EE15B3">
      <w:r>
        <w:t>Nash, M. and Walker, L.M. (2009) “</w:t>
      </w:r>
      <w:proofErr w:type="spellStart"/>
      <w:r>
        <w:t>Mappa</w:t>
      </w:r>
      <w:proofErr w:type="spellEnd"/>
      <w:r>
        <w:t xml:space="preserve">--Is Closer Collaboration Really the Key to </w:t>
      </w:r>
      <w:proofErr w:type="gramStart"/>
      <w:r>
        <w:t>Effectiveness?,</w:t>
      </w:r>
      <w:proofErr w:type="gramEnd"/>
      <w:r>
        <w:t>” Policing: A Journal of Policy and Practice, 3(2), pp. 172–180. Available at: https://doi.org/10.1093/police/pap007.</w:t>
      </w:r>
    </w:p>
    <w:p w14:paraId="01EB187E" w14:textId="77777777" w:rsidR="00EE15B3" w:rsidRDefault="00EE15B3" w:rsidP="00EE15B3">
      <w:r>
        <w:t>Prison Reform Trust (2022) Substance misuse support in prison | Prison Reform Trust. Available at: https://prisonreformtrust.org.uk/adviceguide/substance-misuse-support-in-prison/.</w:t>
      </w:r>
    </w:p>
    <w:p w14:paraId="33174CA7" w14:textId="77777777" w:rsidR="00EE15B3" w:rsidRDefault="00EE15B3" w:rsidP="00EE15B3">
      <w:proofErr w:type="spellStart"/>
      <w:r>
        <w:t>Pudney</w:t>
      </w:r>
      <w:proofErr w:type="spellEnd"/>
      <w:r>
        <w:t>, C. (2017) “Romans and Reducing Recidivism: Archaeology, Social Benefit, and Working with Offenders in Wales (Part 1),” Public Archaeology [Preprint]. Available at: https://doi.org/10.1080/14655187.2017.1411142.</w:t>
      </w:r>
    </w:p>
    <w:p w14:paraId="1FE462F6" w14:textId="77777777" w:rsidR="00EE15B3" w:rsidRDefault="00EE15B3" w:rsidP="00EE15B3">
      <w:r>
        <w:t xml:space="preserve">Stevenson, B. (2011) DRUG POLICY, CRIMINAL </w:t>
      </w:r>
      <w:proofErr w:type="gramStart"/>
      <w:r>
        <w:t>JUSTICE</w:t>
      </w:r>
      <w:proofErr w:type="gramEnd"/>
      <w:r>
        <w:t xml:space="preserve"> AND MASS IMPRISONMENT. Available at: https://www.globalcommissionondrugs.org/wp-content/themes/gcdp_v1/pdf/Global_Com_Bryan_Stevenson.pdf.</w:t>
      </w:r>
    </w:p>
    <w:p w14:paraId="17B53C01" w14:textId="77777777" w:rsidR="00EE15B3" w:rsidRDefault="00EE15B3" w:rsidP="00EE15B3">
      <w:r>
        <w:t>Taylor, R. (2022) Crime and rehabilitation: An overview. Available at: https://lordslibrary.parliament.uk/crime-and-rehabilitation-an-overview/.</w:t>
      </w:r>
    </w:p>
    <w:p w14:paraId="1ECBB487" w14:textId="77777777" w:rsidR="00EE15B3" w:rsidRDefault="00EE15B3" w:rsidP="00EE15B3">
      <w:proofErr w:type="spellStart"/>
      <w:r>
        <w:t>Tiquet</w:t>
      </w:r>
      <w:proofErr w:type="spellEnd"/>
      <w:r>
        <w:t xml:space="preserve">, M.-E. (2019) “Enforcement and </w:t>
      </w:r>
      <w:proofErr w:type="gramStart"/>
      <w:r>
        <w:t>rehabilitation:,</w:t>
      </w:r>
      <w:proofErr w:type="gramEnd"/>
      <w:r>
        <w:t>” in Policy Press eBooks, pp. 255–270. Available at: https://doi.org/10.2307/j.ctvq4c0j8.21.</w:t>
      </w:r>
    </w:p>
    <w:p w14:paraId="07D9616F" w14:textId="77777777" w:rsidR="00EE15B3" w:rsidRDefault="00EE15B3" w:rsidP="00EE15B3">
      <w:r>
        <w:t xml:space="preserve">Wood, J. and </w:t>
      </w:r>
      <w:proofErr w:type="spellStart"/>
      <w:r>
        <w:t>Kemshall</w:t>
      </w:r>
      <w:proofErr w:type="spellEnd"/>
      <w:r>
        <w:t xml:space="preserve">, H. (2007) The operation and experience of Multi-Agency Public Protection Arrangements (MAPPA). British Home Office. </w:t>
      </w:r>
    </w:p>
    <w:p w14:paraId="787936D8" w14:textId="77777777" w:rsidR="00EE15B3" w:rsidRPr="003B549F" w:rsidRDefault="00EE15B3" w:rsidP="003B549F">
      <w:pPr>
        <w:rPr>
          <w:rFonts w:asciiTheme="majorHAnsi" w:hAnsiTheme="majorHAnsi" w:cstheme="majorHAnsi"/>
          <w:b/>
          <w:bCs/>
          <w:sz w:val="44"/>
          <w:szCs w:val="44"/>
        </w:rPr>
      </w:pPr>
    </w:p>
    <w:sectPr w:rsidR="00EE15B3" w:rsidRPr="003B54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F376C3" w14:textId="77777777" w:rsidR="009A5946" w:rsidRDefault="009A5946" w:rsidP="00715E6D">
      <w:pPr>
        <w:spacing w:after="0" w:line="240" w:lineRule="auto"/>
      </w:pPr>
      <w:r>
        <w:separator/>
      </w:r>
    </w:p>
  </w:endnote>
  <w:endnote w:type="continuationSeparator" w:id="0">
    <w:p w14:paraId="38DD5D5D" w14:textId="77777777" w:rsidR="009A5946" w:rsidRDefault="009A5946" w:rsidP="00715E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2E6C4" w14:textId="77777777" w:rsidR="009A5946" w:rsidRDefault="009A5946" w:rsidP="00715E6D">
      <w:pPr>
        <w:spacing w:after="0" w:line="240" w:lineRule="auto"/>
      </w:pPr>
      <w:r>
        <w:separator/>
      </w:r>
    </w:p>
  </w:footnote>
  <w:footnote w:type="continuationSeparator" w:id="0">
    <w:p w14:paraId="76D68151" w14:textId="77777777" w:rsidR="009A5946" w:rsidRDefault="009A5946" w:rsidP="00715E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D96BE0"/>
    <w:multiLevelType w:val="hybridMultilevel"/>
    <w:tmpl w:val="39A4CC00"/>
    <w:lvl w:ilvl="0" w:tplc="F36896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4709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A14"/>
    <w:rsid w:val="000B54DC"/>
    <w:rsid w:val="000F54DD"/>
    <w:rsid w:val="00100833"/>
    <w:rsid w:val="00155D75"/>
    <w:rsid w:val="001620E2"/>
    <w:rsid w:val="001A4794"/>
    <w:rsid w:val="00281790"/>
    <w:rsid w:val="002C7C0C"/>
    <w:rsid w:val="0033009A"/>
    <w:rsid w:val="00377E95"/>
    <w:rsid w:val="003B549F"/>
    <w:rsid w:val="00401BE4"/>
    <w:rsid w:val="00444919"/>
    <w:rsid w:val="004673DB"/>
    <w:rsid w:val="00496096"/>
    <w:rsid w:val="004B65AE"/>
    <w:rsid w:val="004C5823"/>
    <w:rsid w:val="00522DBA"/>
    <w:rsid w:val="0053225D"/>
    <w:rsid w:val="00533E53"/>
    <w:rsid w:val="00587B66"/>
    <w:rsid w:val="00594B15"/>
    <w:rsid w:val="005A0326"/>
    <w:rsid w:val="00660238"/>
    <w:rsid w:val="00665475"/>
    <w:rsid w:val="00665A15"/>
    <w:rsid w:val="006817A5"/>
    <w:rsid w:val="00682CBA"/>
    <w:rsid w:val="00693B11"/>
    <w:rsid w:val="00715E6D"/>
    <w:rsid w:val="00731431"/>
    <w:rsid w:val="007645C5"/>
    <w:rsid w:val="00764EC1"/>
    <w:rsid w:val="00771D93"/>
    <w:rsid w:val="007B324F"/>
    <w:rsid w:val="00812870"/>
    <w:rsid w:val="008227B2"/>
    <w:rsid w:val="0084155B"/>
    <w:rsid w:val="00846264"/>
    <w:rsid w:val="008B17B3"/>
    <w:rsid w:val="008C5E6A"/>
    <w:rsid w:val="009147C8"/>
    <w:rsid w:val="00917B50"/>
    <w:rsid w:val="00962F04"/>
    <w:rsid w:val="00987084"/>
    <w:rsid w:val="009A5946"/>
    <w:rsid w:val="009F589C"/>
    <w:rsid w:val="00A00BDD"/>
    <w:rsid w:val="00A2598E"/>
    <w:rsid w:val="00A56451"/>
    <w:rsid w:val="00A8011E"/>
    <w:rsid w:val="00AC3B4A"/>
    <w:rsid w:val="00AD0C87"/>
    <w:rsid w:val="00AE5BF5"/>
    <w:rsid w:val="00B117CB"/>
    <w:rsid w:val="00B42C1F"/>
    <w:rsid w:val="00B46BB3"/>
    <w:rsid w:val="00B51EAC"/>
    <w:rsid w:val="00B615C4"/>
    <w:rsid w:val="00B76FEC"/>
    <w:rsid w:val="00B7701B"/>
    <w:rsid w:val="00B8287D"/>
    <w:rsid w:val="00B93965"/>
    <w:rsid w:val="00BE4633"/>
    <w:rsid w:val="00CC1C38"/>
    <w:rsid w:val="00D62CE6"/>
    <w:rsid w:val="00EE15B3"/>
    <w:rsid w:val="00F20A14"/>
    <w:rsid w:val="00F551B2"/>
    <w:rsid w:val="00F91CC9"/>
    <w:rsid w:val="00FB6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0AEDA"/>
  <w15:chartTrackingRefBased/>
  <w15:docId w15:val="{C0E66CC6-9182-407F-8893-10D55C16C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549F"/>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82CBA"/>
    <w:pPr>
      <w:ind w:left="720"/>
      <w:contextualSpacing/>
    </w:pPr>
  </w:style>
  <w:style w:type="character" w:customStyle="1" w:styleId="hlfld-contribauthor">
    <w:name w:val="hlfld-contribauthor"/>
    <w:basedOn w:val="DefaultParagraphFont"/>
    <w:rsid w:val="005A0326"/>
  </w:style>
  <w:style w:type="character" w:customStyle="1" w:styleId="nlmgiven-names">
    <w:name w:val="nlm_given-names"/>
    <w:basedOn w:val="DefaultParagraphFont"/>
    <w:rsid w:val="005A0326"/>
  </w:style>
  <w:style w:type="character" w:customStyle="1" w:styleId="nlmyear">
    <w:name w:val="nlm_year"/>
    <w:basedOn w:val="DefaultParagraphFont"/>
    <w:rsid w:val="005A0326"/>
  </w:style>
  <w:style w:type="character" w:customStyle="1" w:styleId="nlmpublisher-loc">
    <w:name w:val="nlm_publisher-loc"/>
    <w:basedOn w:val="DefaultParagraphFont"/>
    <w:rsid w:val="005A0326"/>
  </w:style>
  <w:style w:type="character" w:customStyle="1" w:styleId="nlmpublisher-name">
    <w:name w:val="nlm_publisher-name"/>
    <w:basedOn w:val="DefaultParagraphFont"/>
    <w:rsid w:val="005A0326"/>
  </w:style>
  <w:style w:type="paragraph" w:styleId="NormalWeb">
    <w:name w:val="Normal (Web)"/>
    <w:basedOn w:val="Normal"/>
    <w:uiPriority w:val="99"/>
    <w:unhideWhenUsed/>
    <w:rsid w:val="00594B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xonomy-tooltip-element">
    <w:name w:val="taxonomy-tooltip-element"/>
    <w:basedOn w:val="DefaultParagraphFont"/>
    <w:rsid w:val="00731431"/>
  </w:style>
  <w:style w:type="character" w:styleId="Hyperlink">
    <w:name w:val="Hyperlink"/>
    <w:basedOn w:val="DefaultParagraphFont"/>
    <w:uiPriority w:val="99"/>
    <w:semiHidden/>
    <w:unhideWhenUsed/>
    <w:rsid w:val="00B51EAC"/>
    <w:rPr>
      <w:color w:val="0000FF"/>
      <w:u w:val="single"/>
    </w:rPr>
  </w:style>
  <w:style w:type="character" w:styleId="Emphasis">
    <w:name w:val="Emphasis"/>
    <w:basedOn w:val="DefaultParagraphFont"/>
    <w:uiPriority w:val="20"/>
    <w:qFormat/>
    <w:rsid w:val="00771D9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18086">
      <w:bodyDiv w:val="1"/>
      <w:marLeft w:val="0"/>
      <w:marRight w:val="0"/>
      <w:marTop w:val="0"/>
      <w:marBottom w:val="0"/>
      <w:divBdr>
        <w:top w:val="none" w:sz="0" w:space="0" w:color="auto"/>
        <w:left w:val="none" w:sz="0" w:space="0" w:color="auto"/>
        <w:bottom w:val="none" w:sz="0" w:space="0" w:color="auto"/>
        <w:right w:val="none" w:sz="0" w:space="0" w:color="auto"/>
      </w:divBdr>
    </w:div>
    <w:div w:id="343938208">
      <w:bodyDiv w:val="1"/>
      <w:marLeft w:val="0"/>
      <w:marRight w:val="0"/>
      <w:marTop w:val="0"/>
      <w:marBottom w:val="0"/>
      <w:divBdr>
        <w:top w:val="none" w:sz="0" w:space="0" w:color="auto"/>
        <w:left w:val="none" w:sz="0" w:space="0" w:color="auto"/>
        <w:bottom w:val="none" w:sz="0" w:space="0" w:color="auto"/>
        <w:right w:val="none" w:sz="0" w:space="0" w:color="auto"/>
      </w:divBdr>
    </w:div>
    <w:div w:id="405032612">
      <w:bodyDiv w:val="1"/>
      <w:marLeft w:val="0"/>
      <w:marRight w:val="0"/>
      <w:marTop w:val="0"/>
      <w:marBottom w:val="0"/>
      <w:divBdr>
        <w:top w:val="none" w:sz="0" w:space="0" w:color="auto"/>
        <w:left w:val="none" w:sz="0" w:space="0" w:color="auto"/>
        <w:bottom w:val="none" w:sz="0" w:space="0" w:color="auto"/>
        <w:right w:val="none" w:sz="0" w:space="0" w:color="auto"/>
      </w:divBdr>
    </w:div>
    <w:div w:id="624427643">
      <w:bodyDiv w:val="1"/>
      <w:marLeft w:val="0"/>
      <w:marRight w:val="0"/>
      <w:marTop w:val="0"/>
      <w:marBottom w:val="0"/>
      <w:divBdr>
        <w:top w:val="none" w:sz="0" w:space="0" w:color="auto"/>
        <w:left w:val="none" w:sz="0" w:space="0" w:color="auto"/>
        <w:bottom w:val="none" w:sz="0" w:space="0" w:color="auto"/>
        <w:right w:val="none" w:sz="0" w:space="0" w:color="auto"/>
      </w:divBdr>
    </w:div>
    <w:div w:id="634875927">
      <w:bodyDiv w:val="1"/>
      <w:marLeft w:val="0"/>
      <w:marRight w:val="0"/>
      <w:marTop w:val="0"/>
      <w:marBottom w:val="0"/>
      <w:divBdr>
        <w:top w:val="none" w:sz="0" w:space="0" w:color="auto"/>
        <w:left w:val="none" w:sz="0" w:space="0" w:color="auto"/>
        <w:bottom w:val="none" w:sz="0" w:space="0" w:color="auto"/>
        <w:right w:val="none" w:sz="0" w:space="0" w:color="auto"/>
      </w:divBdr>
    </w:div>
    <w:div w:id="873928359">
      <w:bodyDiv w:val="1"/>
      <w:marLeft w:val="0"/>
      <w:marRight w:val="0"/>
      <w:marTop w:val="0"/>
      <w:marBottom w:val="0"/>
      <w:divBdr>
        <w:top w:val="none" w:sz="0" w:space="0" w:color="auto"/>
        <w:left w:val="none" w:sz="0" w:space="0" w:color="auto"/>
        <w:bottom w:val="none" w:sz="0" w:space="0" w:color="auto"/>
        <w:right w:val="none" w:sz="0" w:space="0" w:color="auto"/>
      </w:divBdr>
    </w:div>
    <w:div w:id="972951407">
      <w:bodyDiv w:val="1"/>
      <w:marLeft w:val="0"/>
      <w:marRight w:val="0"/>
      <w:marTop w:val="0"/>
      <w:marBottom w:val="0"/>
      <w:divBdr>
        <w:top w:val="none" w:sz="0" w:space="0" w:color="auto"/>
        <w:left w:val="none" w:sz="0" w:space="0" w:color="auto"/>
        <w:bottom w:val="none" w:sz="0" w:space="0" w:color="auto"/>
        <w:right w:val="none" w:sz="0" w:space="0" w:color="auto"/>
      </w:divBdr>
    </w:div>
    <w:div w:id="1104303740">
      <w:bodyDiv w:val="1"/>
      <w:marLeft w:val="0"/>
      <w:marRight w:val="0"/>
      <w:marTop w:val="0"/>
      <w:marBottom w:val="0"/>
      <w:divBdr>
        <w:top w:val="none" w:sz="0" w:space="0" w:color="auto"/>
        <w:left w:val="none" w:sz="0" w:space="0" w:color="auto"/>
        <w:bottom w:val="none" w:sz="0" w:space="0" w:color="auto"/>
        <w:right w:val="none" w:sz="0" w:space="0" w:color="auto"/>
      </w:divBdr>
    </w:div>
    <w:div w:id="1197618501">
      <w:bodyDiv w:val="1"/>
      <w:marLeft w:val="0"/>
      <w:marRight w:val="0"/>
      <w:marTop w:val="0"/>
      <w:marBottom w:val="0"/>
      <w:divBdr>
        <w:top w:val="none" w:sz="0" w:space="0" w:color="auto"/>
        <w:left w:val="none" w:sz="0" w:space="0" w:color="auto"/>
        <w:bottom w:val="none" w:sz="0" w:space="0" w:color="auto"/>
        <w:right w:val="none" w:sz="0" w:space="0" w:color="auto"/>
      </w:divBdr>
    </w:div>
    <w:div w:id="1374961795">
      <w:bodyDiv w:val="1"/>
      <w:marLeft w:val="0"/>
      <w:marRight w:val="0"/>
      <w:marTop w:val="0"/>
      <w:marBottom w:val="0"/>
      <w:divBdr>
        <w:top w:val="none" w:sz="0" w:space="0" w:color="auto"/>
        <w:left w:val="none" w:sz="0" w:space="0" w:color="auto"/>
        <w:bottom w:val="none" w:sz="0" w:space="0" w:color="auto"/>
        <w:right w:val="none" w:sz="0" w:space="0" w:color="auto"/>
      </w:divBdr>
    </w:div>
    <w:div w:id="1684042945">
      <w:bodyDiv w:val="1"/>
      <w:marLeft w:val="0"/>
      <w:marRight w:val="0"/>
      <w:marTop w:val="0"/>
      <w:marBottom w:val="0"/>
      <w:divBdr>
        <w:top w:val="none" w:sz="0" w:space="0" w:color="auto"/>
        <w:left w:val="none" w:sz="0" w:space="0" w:color="auto"/>
        <w:bottom w:val="none" w:sz="0" w:space="0" w:color="auto"/>
        <w:right w:val="none" w:sz="0" w:space="0" w:color="auto"/>
      </w:divBdr>
    </w:div>
    <w:div w:id="1687901716">
      <w:bodyDiv w:val="1"/>
      <w:marLeft w:val="0"/>
      <w:marRight w:val="0"/>
      <w:marTop w:val="0"/>
      <w:marBottom w:val="0"/>
      <w:divBdr>
        <w:top w:val="none" w:sz="0" w:space="0" w:color="auto"/>
        <w:left w:val="none" w:sz="0" w:space="0" w:color="auto"/>
        <w:bottom w:val="none" w:sz="0" w:space="0" w:color="auto"/>
        <w:right w:val="none" w:sz="0" w:space="0" w:color="auto"/>
      </w:divBdr>
    </w:div>
    <w:div w:id="185290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youth-offending-te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5419</Words>
  <Characters>30892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Edwards,Daniel swp8145</dc:creator>
  <cp:keywords/>
  <dc:description/>
  <cp:lastModifiedBy>Edwards,Daniel swp8145</cp:lastModifiedBy>
  <cp:revision>2</cp:revision>
  <dcterms:created xsi:type="dcterms:W3CDTF">2023-05-05T12:55:00Z</dcterms:created>
  <dcterms:modified xsi:type="dcterms:W3CDTF">2023-05-05T12:55:00Z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2023-03-28T13:06:46Z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b45560ef-8cc6-41ec-88a3-63a1bc0f9524</vt:lpwstr>
  </property>
  <property fmtid="{D5CDD505-2E9C-101B-9397-08002B2CF9AE}" pid="8" name="MSIP_Label_66cf8fe5-b7b7-4df7-b38d-1c61ac2f6639_ContentBits">
    <vt:lpwstr>0</vt:lpwstr>
  </property>
</Properties>
</file>