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mc:Ignorable="w14 w15 w16se w16cid w16 w16cex w16sdtdh w16sdtfl w16du wp14">
  <w:body>
    <w:p w:rsidR="22D1C5DC" w:rsidP="7A7DCE30" w:rsidRDefault="22D1C5DC" w14:paraId="3A42DDCA" w14:textId="7CF0A0EA">
      <w:pPr>
        <w:bidi w:val="0"/>
        <w:spacing w:before="0" w:beforeAutospacing="off" w:after="160" w:afterAutospacing="off" w:line="278" w:lineRule="auto"/>
        <w:ind w:left="0" w:right="0"/>
        <w:jc w:val="left"/>
        <w:rPr>
          <w:rFonts w:ascii="Arial" w:hAnsi="Arial" w:eastAsia="Arial" w:cs="Arial"/>
          <w:b w:val="0"/>
          <w:bCs w:val="0"/>
          <w:i w:val="0"/>
          <w:iCs w:val="0"/>
          <w:caps w:val="0"/>
          <w:smallCaps w:val="0"/>
          <w:noProof w:val="0"/>
          <w:color w:val="000000" w:themeColor="text1" w:themeTint="FF" w:themeShade="FF"/>
          <w:sz w:val="28"/>
          <w:szCs w:val="28"/>
          <w:lang w:val="en-GB"/>
        </w:rPr>
      </w:pPr>
      <w:r w:rsidRPr="7A7DCE30" w:rsidR="22D1C5DC">
        <w:rPr>
          <w:rFonts w:ascii="Arial" w:hAnsi="Arial" w:eastAsia="Arial" w:cs="Arial"/>
          <w:b w:val="1"/>
          <w:bCs w:val="1"/>
          <w:i w:val="0"/>
          <w:iCs w:val="0"/>
          <w:caps w:val="0"/>
          <w:smallCaps w:val="0"/>
          <w:noProof w:val="0"/>
          <w:color w:val="000000" w:themeColor="text1" w:themeTint="FF" w:themeShade="FF"/>
          <w:sz w:val="28"/>
          <w:szCs w:val="28"/>
          <w:lang w:val="en-GB"/>
        </w:rPr>
        <w:t>Museum Catalogue Entry</w:t>
      </w:r>
    </w:p>
    <w:p w:rsidR="22D1C5DC" w:rsidP="7A7DCE30" w:rsidRDefault="22D1C5DC" w14:paraId="20EAC87B" w14:textId="38CF7C59">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7A7DCE30" w:rsidR="22D1C5DC">
        <w:rPr>
          <w:rFonts w:ascii="Arial" w:hAnsi="Arial" w:eastAsia="Arial" w:cs="Arial"/>
          <w:b w:val="0"/>
          <w:bCs w:val="0"/>
          <w:i w:val="0"/>
          <w:iCs w:val="0"/>
          <w:caps w:val="0"/>
          <w:smallCaps w:val="0"/>
          <w:noProof w:val="0"/>
          <w:color w:val="000000" w:themeColor="text1" w:themeTint="FF" w:themeShade="FF"/>
          <w:sz w:val="22"/>
          <w:szCs w:val="22"/>
          <w:lang w:val="en-GB"/>
        </w:rPr>
        <w:t> </w:t>
      </w:r>
      <w:r w:rsidR="22D1C5DC">
        <w:drawing>
          <wp:inline wp14:editId="68611BEF" wp14:anchorId="02B00360">
            <wp:extent cx="1790700" cy="2686050"/>
            <wp:effectExtent l="0" t="0" r="0" b="0"/>
            <wp:docPr id="189173252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91732527" name=""/>
                    <pic:cNvPicPr/>
                  </pic:nvPicPr>
                  <pic:blipFill>
                    <a:blip xmlns:r="http://schemas.openxmlformats.org/officeDocument/2006/relationships" r:embed="rId1731611048">
                      <a:extLst>
                        <a:ext xmlns:a="http://schemas.openxmlformats.org/drawingml/2006/main" uri="{28A0092B-C50C-407E-A947-70E740481C1C}">
                          <a14:useLocalDpi xmlns:a14="http://schemas.microsoft.com/office/drawing/2010/main" val="0"/>
                        </a:ext>
                      </a:extLst>
                    </a:blip>
                    <a:stretch>
                      <a:fillRect/>
                    </a:stretch>
                  </pic:blipFill>
                  <pic:spPr>
                    <a:xfrm>
                      <a:off x="0" y="0"/>
                      <a:ext cx="1790700" cy="2686050"/>
                    </a:xfrm>
                    <a:prstGeom prst="rect">
                      <a:avLst/>
                    </a:prstGeom>
                  </pic:spPr>
                </pic:pic>
              </a:graphicData>
            </a:graphic>
          </wp:inline>
        </w:drawing>
      </w:r>
    </w:p>
    <w:p w:rsidR="22D1C5DC" w:rsidP="7A7DCE30" w:rsidRDefault="22D1C5DC" w14:paraId="0E84D341" w14:textId="23AAE1B5">
      <w:pPr>
        <w:bidi w:val="0"/>
        <w:rPr>
          <w:rFonts w:ascii="Arial" w:hAnsi="Arial" w:eastAsia="Arial" w:cs="Arial"/>
          <w:b w:val="0"/>
          <w:bCs w:val="0"/>
          <w:i w:val="0"/>
          <w:iCs w:val="0"/>
          <w:caps w:val="0"/>
          <w:smallCaps w:val="0"/>
          <w:noProof w:val="0"/>
          <w:color w:val="000000" w:themeColor="text1" w:themeTint="FF" w:themeShade="FF"/>
          <w:sz w:val="28"/>
          <w:szCs w:val="28"/>
          <w:lang w:val="en-GB"/>
        </w:rPr>
      </w:pPr>
      <w:r w:rsidRPr="7A7DCE30" w:rsidR="22D1C5DC">
        <w:rPr>
          <w:rFonts w:ascii="Arial" w:hAnsi="Arial" w:eastAsia="Arial" w:cs="Arial"/>
          <w:b w:val="1"/>
          <w:bCs w:val="1"/>
          <w:i w:val="0"/>
          <w:iCs w:val="0"/>
          <w:caps w:val="0"/>
          <w:smallCaps w:val="0"/>
          <w:noProof w:val="0"/>
          <w:color w:val="000000" w:themeColor="text1" w:themeTint="FF" w:themeShade="FF"/>
          <w:sz w:val="28"/>
          <w:szCs w:val="28"/>
          <w:lang w:val="en-GB"/>
        </w:rPr>
        <w:t>Black-topped Beaker</w:t>
      </w:r>
    </w:p>
    <w:p w:rsidR="22D1C5DC" w:rsidP="7A7DCE30" w:rsidRDefault="22D1C5DC" w14:paraId="4F903012" w14:textId="5B23BB5C">
      <w:pPr>
        <w:bidi w:val="0"/>
        <w:rPr>
          <w:rFonts w:ascii="Arial" w:hAnsi="Arial" w:eastAsia="Arial" w:cs="Arial"/>
          <w:b w:val="0"/>
          <w:bCs w:val="0"/>
          <w:i w:val="0"/>
          <w:iCs w:val="0"/>
          <w:caps w:val="0"/>
          <w:smallCaps w:val="0"/>
          <w:noProof w:val="0"/>
          <w:color w:val="000000" w:themeColor="text1" w:themeTint="FF" w:themeShade="FF"/>
          <w:sz w:val="22"/>
          <w:szCs w:val="22"/>
          <w:lang w:val="en-GB"/>
        </w:rPr>
      </w:pPr>
      <w:r w:rsidRPr="7A7DCE30" w:rsidR="22D1C5DC">
        <w:rPr>
          <w:rFonts w:ascii="Arial" w:hAnsi="Arial" w:eastAsia="Arial" w:cs="Arial"/>
          <w:b w:val="1"/>
          <w:bCs w:val="1"/>
          <w:i w:val="0"/>
          <w:iCs w:val="0"/>
          <w:caps w:val="0"/>
          <w:smallCaps w:val="0"/>
          <w:noProof w:val="0"/>
          <w:color w:val="000000" w:themeColor="text1" w:themeTint="FF" w:themeShade="FF"/>
          <w:sz w:val="22"/>
          <w:szCs w:val="22"/>
          <w:lang w:val="en-GB"/>
        </w:rPr>
        <w:t>Cyfarthfa Castle, Merthyr Tydfil CCM 322.004</w:t>
      </w:r>
    </w:p>
    <w:p w:rsidR="22D1C5DC" w:rsidP="7A7DCE30" w:rsidRDefault="22D1C5DC" w14:paraId="3726B89A" w14:textId="2820ADA0">
      <w:pPr>
        <w:bidi w:val="0"/>
        <w:rPr>
          <w:rFonts w:ascii="Arial" w:hAnsi="Arial" w:eastAsia="Arial" w:cs="Arial"/>
          <w:b w:val="0"/>
          <w:bCs w:val="0"/>
          <w:i w:val="0"/>
          <w:iCs w:val="0"/>
          <w:caps w:val="0"/>
          <w:smallCaps w:val="0"/>
          <w:noProof w:val="0"/>
          <w:color w:val="000000" w:themeColor="text1" w:themeTint="FF" w:themeShade="FF"/>
          <w:sz w:val="22"/>
          <w:szCs w:val="22"/>
          <w:lang w:val="en-GB"/>
        </w:rPr>
      </w:pPr>
      <w:r w:rsidRPr="7A7DCE30" w:rsidR="22D1C5DC">
        <w:rPr>
          <w:rFonts w:ascii="Arial" w:hAnsi="Arial" w:eastAsia="Arial" w:cs="Arial"/>
          <w:b w:val="1"/>
          <w:bCs w:val="1"/>
          <w:i w:val="0"/>
          <w:iCs w:val="0"/>
          <w:caps w:val="0"/>
          <w:smallCaps w:val="0"/>
          <w:noProof w:val="0"/>
          <w:color w:val="000000" w:themeColor="text1" w:themeTint="FF" w:themeShade="FF"/>
          <w:sz w:val="22"/>
          <w:szCs w:val="22"/>
          <w:lang w:val="en-GB"/>
        </w:rPr>
        <w:t>Object type:</w:t>
      </w:r>
      <w:r w:rsidRPr="7A7DCE30" w:rsidR="22D1C5DC">
        <w:rPr>
          <w:rFonts w:ascii="Arial" w:hAnsi="Arial" w:eastAsia="Arial" w:cs="Arial"/>
          <w:b w:val="0"/>
          <w:bCs w:val="0"/>
          <w:i w:val="0"/>
          <w:iCs w:val="0"/>
          <w:caps w:val="0"/>
          <w:smallCaps w:val="0"/>
          <w:noProof w:val="0"/>
          <w:color w:val="000000" w:themeColor="text1" w:themeTint="FF" w:themeShade="FF"/>
          <w:sz w:val="22"/>
          <w:szCs w:val="22"/>
          <w:lang w:val="en-GB"/>
        </w:rPr>
        <w:t xml:space="preserve"> Vessel</w:t>
      </w:r>
    </w:p>
    <w:p w:rsidR="22D1C5DC" w:rsidP="7A7DCE30" w:rsidRDefault="22D1C5DC" w14:paraId="38EFBEF5" w14:textId="22CDA0F4">
      <w:pPr>
        <w:bidi w:val="0"/>
        <w:rPr>
          <w:rFonts w:ascii="Arial" w:hAnsi="Arial" w:eastAsia="Arial" w:cs="Arial"/>
          <w:b w:val="0"/>
          <w:bCs w:val="0"/>
          <w:i w:val="0"/>
          <w:iCs w:val="0"/>
          <w:caps w:val="0"/>
          <w:smallCaps w:val="0"/>
          <w:noProof w:val="0"/>
          <w:color w:val="000000" w:themeColor="text1" w:themeTint="FF" w:themeShade="FF"/>
          <w:sz w:val="22"/>
          <w:szCs w:val="22"/>
          <w:lang w:val="en-GB"/>
        </w:rPr>
      </w:pPr>
      <w:r w:rsidRPr="7A7DCE30" w:rsidR="22D1C5DC">
        <w:rPr>
          <w:rFonts w:ascii="Arial" w:hAnsi="Arial" w:eastAsia="Arial" w:cs="Arial"/>
          <w:b w:val="1"/>
          <w:bCs w:val="1"/>
          <w:i w:val="0"/>
          <w:iCs w:val="0"/>
          <w:caps w:val="0"/>
          <w:smallCaps w:val="0"/>
          <w:noProof w:val="0"/>
          <w:color w:val="000000" w:themeColor="text1" w:themeTint="FF" w:themeShade="FF"/>
          <w:sz w:val="22"/>
          <w:szCs w:val="22"/>
          <w:lang w:val="en-GB"/>
        </w:rPr>
        <w:t>Material</w:t>
      </w:r>
      <w:r w:rsidRPr="7A7DCE30" w:rsidR="22D1C5DC">
        <w:rPr>
          <w:rFonts w:ascii="Arial" w:hAnsi="Arial" w:eastAsia="Arial" w:cs="Arial"/>
          <w:b w:val="0"/>
          <w:bCs w:val="0"/>
          <w:i w:val="0"/>
          <w:iCs w:val="0"/>
          <w:caps w:val="0"/>
          <w:smallCaps w:val="0"/>
          <w:noProof w:val="0"/>
          <w:color w:val="000000" w:themeColor="text1" w:themeTint="FF" w:themeShade="FF"/>
          <w:sz w:val="22"/>
          <w:szCs w:val="22"/>
          <w:lang w:val="en-GB"/>
        </w:rPr>
        <w:t>: Nile silt clay (presumed)</w:t>
      </w:r>
    </w:p>
    <w:p w:rsidR="22D1C5DC" w:rsidP="7A7DCE30" w:rsidRDefault="22D1C5DC" w14:paraId="4323D355" w14:textId="35FCBA38">
      <w:pPr>
        <w:bidi w:val="0"/>
        <w:rPr>
          <w:rFonts w:ascii="Arial" w:hAnsi="Arial" w:eastAsia="Arial" w:cs="Arial"/>
          <w:b w:val="0"/>
          <w:bCs w:val="0"/>
          <w:i w:val="0"/>
          <w:iCs w:val="0"/>
          <w:caps w:val="0"/>
          <w:smallCaps w:val="0"/>
          <w:noProof w:val="0"/>
          <w:color w:val="000000" w:themeColor="text1" w:themeTint="FF" w:themeShade="FF"/>
          <w:sz w:val="22"/>
          <w:szCs w:val="22"/>
          <w:lang w:val="en-GB"/>
        </w:rPr>
      </w:pPr>
      <w:r w:rsidRPr="7A7DCE30" w:rsidR="22D1C5DC">
        <w:rPr>
          <w:rFonts w:ascii="Arial" w:hAnsi="Arial" w:eastAsia="Arial" w:cs="Arial"/>
          <w:b w:val="1"/>
          <w:bCs w:val="1"/>
          <w:i w:val="0"/>
          <w:iCs w:val="0"/>
          <w:caps w:val="0"/>
          <w:smallCaps w:val="0"/>
          <w:noProof w:val="0"/>
          <w:color w:val="000000" w:themeColor="text1" w:themeTint="FF" w:themeShade="FF"/>
          <w:sz w:val="22"/>
          <w:szCs w:val="22"/>
          <w:lang w:val="en-GB"/>
        </w:rPr>
        <w:t>Period:</w:t>
      </w:r>
      <w:r w:rsidRPr="7A7DCE30" w:rsidR="22D1C5DC">
        <w:rPr>
          <w:rFonts w:ascii="Arial" w:hAnsi="Arial" w:eastAsia="Arial" w:cs="Arial"/>
          <w:b w:val="0"/>
          <w:bCs w:val="0"/>
          <w:i w:val="0"/>
          <w:iCs w:val="0"/>
          <w:caps w:val="0"/>
          <w:smallCaps w:val="0"/>
          <w:noProof w:val="0"/>
          <w:color w:val="000000" w:themeColor="text1" w:themeTint="FF" w:themeShade="FF"/>
          <w:sz w:val="22"/>
          <w:szCs w:val="22"/>
          <w:lang w:val="en-GB"/>
        </w:rPr>
        <w:t xml:space="preserve"> Naqada I and II (presumed)</w:t>
      </w:r>
    </w:p>
    <w:p w:rsidR="22D1C5DC" w:rsidP="7A7DCE30" w:rsidRDefault="22D1C5DC" w14:paraId="2D0830D7" w14:textId="191B3FB0">
      <w:pPr>
        <w:bidi w:val="0"/>
        <w:rPr>
          <w:rFonts w:ascii="Arial" w:hAnsi="Arial" w:eastAsia="Arial" w:cs="Arial"/>
          <w:b w:val="0"/>
          <w:bCs w:val="0"/>
          <w:i w:val="0"/>
          <w:iCs w:val="0"/>
          <w:caps w:val="0"/>
          <w:smallCaps w:val="0"/>
          <w:noProof w:val="0"/>
          <w:color w:val="000000" w:themeColor="text1" w:themeTint="FF" w:themeShade="FF"/>
          <w:sz w:val="22"/>
          <w:szCs w:val="22"/>
          <w:lang w:val="en-GB"/>
        </w:rPr>
      </w:pPr>
      <w:r w:rsidRPr="7A7DCE30" w:rsidR="22D1C5DC">
        <w:rPr>
          <w:rFonts w:ascii="Arial" w:hAnsi="Arial" w:eastAsia="Arial" w:cs="Arial"/>
          <w:b w:val="1"/>
          <w:bCs w:val="1"/>
          <w:i w:val="0"/>
          <w:iCs w:val="0"/>
          <w:caps w:val="0"/>
          <w:smallCaps w:val="0"/>
          <w:noProof w:val="0"/>
          <w:color w:val="000000" w:themeColor="text1" w:themeTint="FF" w:themeShade="FF"/>
          <w:sz w:val="22"/>
          <w:szCs w:val="22"/>
          <w:lang w:val="en-GB"/>
        </w:rPr>
        <w:t>Provenance:</w:t>
      </w:r>
      <w:r w:rsidRPr="7A7DCE30" w:rsidR="22D1C5DC">
        <w:rPr>
          <w:rFonts w:ascii="Arial" w:hAnsi="Arial" w:eastAsia="Arial" w:cs="Arial"/>
          <w:b w:val="0"/>
          <w:bCs w:val="0"/>
          <w:i w:val="0"/>
          <w:iCs w:val="0"/>
          <w:caps w:val="0"/>
          <w:smallCaps w:val="0"/>
          <w:noProof w:val="0"/>
          <w:color w:val="000000" w:themeColor="text1" w:themeTint="FF" w:themeShade="FF"/>
          <w:sz w:val="22"/>
          <w:szCs w:val="22"/>
          <w:lang w:val="en-GB"/>
        </w:rPr>
        <w:t xml:space="preserve"> Egypt (presumed)</w:t>
      </w:r>
    </w:p>
    <w:p w:rsidR="22D1C5DC" w:rsidP="7A7DCE30" w:rsidRDefault="22D1C5DC" w14:paraId="17B32C1C" w14:textId="77EBFE1C">
      <w:pPr>
        <w:bidi w:val="0"/>
        <w:rPr>
          <w:rFonts w:ascii="Arial" w:hAnsi="Arial" w:eastAsia="Arial" w:cs="Arial"/>
          <w:b w:val="0"/>
          <w:bCs w:val="0"/>
          <w:i w:val="0"/>
          <w:iCs w:val="0"/>
          <w:caps w:val="0"/>
          <w:smallCaps w:val="0"/>
          <w:noProof w:val="0"/>
          <w:color w:val="000000" w:themeColor="text1" w:themeTint="FF" w:themeShade="FF"/>
          <w:sz w:val="22"/>
          <w:szCs w:val="22"/>
          <w:lang w:val="en-GB"/>
        </w:rPr>
      </w:pPr>
      <w:r w:rsidRPr="7A7DCE30" w:rsidR="22D1C5DC">
        <w:rPr>
          <w:rFonts w:ascii="Arial" w:hAnsi="Arial" w:eastAsia="Arial" w:cs="Arial"/>
          <w:b w:val="1"/>
          <w:bCs w:val="1"/>
          <w:i w:val="0"/>
          <w:iCs w:val="0"/>
          <w:caps w:val="0"/>
          <w:smallCaps w:val="0"/>
          <w:noProof w:val="0"/>
          <w:color w:val="000000" w:themeColor="text1" w:themeTint="FF" w:themeShade="FF"/>
          <w:sz w:val="22"/>
          <w:szCs w:val="22"/>
          <w:lang w:val="en-GB"/>
        </w:rPr>
        <w:t>Dimensions:</w:t>
      </w:r>
      <w:r w:rsidRPr="7A7DCE30" w:rsidR="22D1C5DC">
        <w:rPr>
          <w:rFonts w:ascii="Arial" w:hAnsi="Arial" w:eastAsia="Arial" w:cs="Arial"/>
          <w:b w:val="0"/>
          <w:bCs w:val="0"/>
          <w:i w:val="0"/>
          <w:iCs w:val="0"/>
          <w:caps w:val="0"/>
          <w:smallCaps w:val="0"/>
          <w:noProof w:val="0"/>
          <w:color w:val="000000" w:themeColor="text1" w:themeTint="FF" w:themeShade="FF"/>
          <w:sz w:val="22"/>
          <w:szCs w:val="22"/>
          <w:lang w:val="en-GB"/>
        </w:rPr>
        <w:t xml:space="preserve"> Height 12.5cm, rim diameter 7.2cm, base diameter 3.8cm</w:t>
      </w:r>
    </w:p>
    <w:p w:rsidR="22D1C5DC" w:rsidRDefault="22D1C5DC" w14:paraId="1B64371A" w14:textId="6E2F3782">
      <w:r w:rsidRPr="7A7DCE30" w:rsidR="22D1C5DC">
        <w:rPr>
          <w:rFonts w:ascii="Arial" w:hAnsi="Arial" w:eastAsia="Arial" w:cs="Arial"/>
          <w:b w:val="0"/>
          <w:bCs w:val="0"/>
          <w:i w:val="0"/>
          <w:iCs w:val="0"/>
          <w:caps w:val="0"/>
          <w:smallCaps w:val="0"/>
          <w:noProof w:val="0"/>
          <w:color w:val="000000" w:themeColor="text1" w:themeTint="FF" w:themeShade="FF"/>
          <w:sz w:val="22"/>
          <w:szCs w:val="22"/>
          <w:lang w:val="en-GB"/>
        </w:rPr>
        <w:t>Object analysis by: Kay Woodhouse</w:t>
      </w:r>
      <w:r w:rsidRPr="7A7DCE30" w:rsidR="22D1C5DC">
        <w:rPr>
          <w:rFonts w:ascii="Arial" w:hAnsi="Arial" w:eastAsia="Arial" w:cs="Arial"/>
          <w:b w:val="1"/>
          <w:bCs w:val="1"/>
          <w:i w:val="0"/>
          <w:iCs w:val="0"/>
          <w:caps w:val="0"/>
          <w:smallCaps w:val="0"/>
          <w:noProof w:val="0"/>
          <w:color w:val="000000" w:themeColor="text1" w:themeTint="FF" w:themeShade="FF"/>
          <w:sz w:val="28"/>
          <w:szCs w:val="28"/>
          <w:lang w:val="en-GB"/>
        </w:rPr>
        <w:t xml:space="preserve"> </w:t>
      </w:r>
    </w:p>
    <w:p w:rsidR="16088AA7" w:rsidP="7A7DCE30" w:rsidRDefault="16088AA7" w14:paraId="59EEE340" w14:textId="1FAD962D">
      <w:pPr>
        <w:bidi w:val="0"/>
        <w:rPr>
          <w:rFonts w:ascii="Arial" w:hAnsi="Arial" w:eastAsia="Arial" w:cs="Arial"/>
          <w:b w:val="0"/>
          <w:bCs w:val="0"/>
          <w:i w:val="0"/>
          <w:iCs w:val="0"/>
          <w:caps w:val="0"/>
          <w:smallCaps w:val="0"/>
          <w:noProof w:val="0"/>
          <w:color w:val="000000" w:themeColor="text1" w:themeTint="FF" w:themeShade="FF"/>
          <w:sz w:val="28"/>
          <w:szCs w:val="28"/>
          <w:lang w:val="en-GB"/>
        </w:rPr>
      </w:pPr>
      <w:r w:rsidRPr="7A7DCE30" w:rsidR="16088AA7">
        <w:rPr>
          <w:rFonts w:ascii="Arial" w:hAnsi="Arial" w:eastAsia="Arial" w:cs="Arial"/>
          <w:b w:val="1"/>
          <w:bCs w:val="1"/>
          <w:i w:val="0"/>
          <w:iCs w:val="0"/>
          <w:caps w:val="0"/>
          <w:smallCaps w:val="0"/>
          <w:noProof w:val="0"/>
          <w:color w:val="000000" w:themeColor="text1" w:themeTint="FF" w:themeShade="FF"/>
          <w:sz w:val="28"/>
          <w:szCs w:val="28"/>
          <w:lang w:val="en-GB"/>
        </w:rPr>
        <w:t>Description</w:t>
      </w:r>
    </w:p>
    <w:p w:rsidR="16088AA7" w:rsidP="7A7DCE30" w:rsidRDefault="16088AA7" w14:paraId="579C5772" w14:textId="10B0326C">
      <w:pPr>
        <w:bidi w:val="0"/>
        <w:spacing w:before="0" w:beforeAutospacing="off" w:after="160" w:afterAutospacing="off" w:line="278"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 xml:space="preserve">Unprovenanced two tone pottery beaker having a circular body and the appearance of tapering from the rim to the base, it is marginally convex, with a maximum diameter of 7.8cm, towards the rim. The plain rim is circular and of uneven thickness. The base is convex allowing the beaker to stand but unsteadily. </w:t>
      </w:r>
    </w:p>
    <w:p w:rsidR="16088AA7" w:rsidP="7A7DCE30" w:rsidRDefault="16088AA7" w14:paraId="546D123E" w14:textId="7E67BD29">
      <w:pPr>
        <w:bidi w:val="0"/>
        <w:rPr>
          <w:rFonts w:ascii="Arial" w:hAnsi="Arial" w:eastAsia="Arial" w:cs="Arial"/>
          <w:b w:val="0"/>
          <w:bCs w:val="0"/>
          <w:i w:val="0"/>
          <w:iCs w:val="0"/>
          <w:caps w:val="0"/>
          <w:smallCaps w:val="0"/>
          <w:noProof w:val="0"/>
          <w:color w:val="000000" w:themeColor="text1" w:themeTint="FF" w:themeShade="FF"/>
          <w:sz w:val="22"/>
          <w:szCs w:val="22"/>
          <w:lang w:val="en-GB"/>
        </w:rPr>
      </w:pP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Externally the top section of body is black and the bottom red with the colours meeting on an irregular diagonal horizon, 75% sharply defined</w:t>
      </w:r>
      <w:r w:rsidRPr="7A7DCE30" w:rsidR="18824F32">
        <w:rPr>
          <w:rFonts w:ascii="Arial" w:hAnsi="Arial" w:eastAsia="Arial" w:cs="Arial"/>
          <w:b w:val="0"/>
          <w:bCs w:val="0"/>
          <w:i w:val="0"/>
          <w:iCs w:val="0"/>
          <w:caps w:val="0"/>
          <w:smallCaps w:val="0"/>
          <w:noProof w:val="0"/>
          <w:color w:val="000000" w:themeColor="text1" w:themeTint="FF" w:themeShade="FF"/>
          <w:sz w:val="22"/>
          <w:szCs w:val="22"/>
          <w:lang w:val="en-GB"/>
        </w:rPr>
        <w:t>,</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 xml:space="preserve"> with blurring across the </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remainder</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Approximately a</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 xml:space="preserve"> third of the external body surface is black, with black </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evident</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 xml:space="preserve"> on the rim but not inside the beaker</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 xml:space="preserve">A red slip has been applied to the </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body,</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 xml:space="preserve"> now largely cracked</w:t>
      </w:r>
      <w:r w:rsidRPr="7A7DCE30" w:rsidR="37F69963">
        <w:rPr>
          <w:rFonts w:ascii="Arial" w:hAnsi="Arial" w:eastAsia="Arial" w:cs="Arial"/>
          <w:b w:val="0"/>
          <w:bCs w:val="0"/>
          <w:i w:val="0"/>
          <w:iCs w:val="0"/>
          <w:caps w:val="0"/>
          <w:smallCaps w:val="0"/>
          <w:noProof w:val="0"/>
          <w:color w:val="000000" w:themeColor="text1" w:themeTint="FF" w:themeShade="FF"/>
          <w:sz w:val="22"/>
          <w:szCs w:val="22"/>
          <w:lang w:val="en-GB"/>
        </w:rPr>
        <w:t>,</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 xml:space="preserve"> burnishing marks are </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evident</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 xml:space="preserve">. The beaker has a sheen, whether from the production process or post excavation cleaning is not known. </w:t>
      </w:r>
    </w:p>
    <w:p w:rsidR="16088AA7" w:rsidP="7A7DCE30" w:rsidRDefault="16088AA7" w14:paraId="427A3B84" w14:textId="55578670">
      <w:pPr>
        <w:bidi w:val="0"/>
        <w:rPr>
          <w:rFonts w:ascii="Arial" w:hAnsi="Arial" w:eastAsia="Arial" w:cs="Arial"/>
          <w:b w:val="0"/>
          <w:bCs w:val="0"/>
          <w:i w:val="0"/>
          <w:iCs w:val="0"/>
          <w:caps w:val="0"/>
          <w:smallCaps w:val="0"/>
          <w:noProof w:val="0"/>
          <w:color w:val="000000" w:themeColor="text1" w:themeTint="FF" w:themeShade="FF"/>
          <w:sz w:val="22"/>
          <w:szCs w:val="22"/>
          <w:lang w:val="en-GB"/>
        </w:rPr>
      </w:pP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Internally the beaker is pale grey with an irregular, uneven texture, ranging from a width of 0.4cm at the rim, to 0.8 cm in places at a depth of 7cm. Marks from smoothing tools (at least one flat and one combed) and fingers are visible on the interior fabric. There is residue or staining towards the base along with some straw like, organic material.</w:t>
      </w:r>
    </w:p>
    <w:p w:rsidR="16088AA7" w:rsidP="7A7DCE30" w:rsidRDefault="16088AA7" w14:paraId="142E8931" w14:textId="2F3A2612">
      <w:pPr>
        <w:bidi w:val="0"/>
        <w:rPr>
          <w:rFonts w:ascii="Arial" w:hAnsi="Arial" w:eastAsia="Arial" w:cs="Arial"/>
          <w:b w:val="0"/>
          <w:bCs w:val="0"/>
          <w:i w:val="0"/>
          <w:iCs w:val="0"/>
          <w:caps w:val="0"/>
          <w:smallCaps w:val="0"/>
          <w:noProof w:val="0"/>
          <w:color w:val="000000" w:themeColor="text1" w:themeTint="FF" w:themeShade="FF"/>
          <w:sz w:val="22"/>
          <w:szCs w:val="22"/>
          <w:lang w:val="en-GB"/>
        </w:rPr>
      </w:pP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The slip bears general evidence of wear at the rim, base and on the body.</w:t>
      </w:r>
    </w:p>
    <w:p w:rsidR="16088AA7" w:rsidP="7A7DCE30" w:rsidRDefault="16088AA7" w14:paraId="06DB5D0C" w14:textId="7D88B53D">
      <w:pPr>
        <w:bidi w:val="0"/>
        <w:rPr>
          <w:rFonts w:ascii="Arial" w:hAnsi="Arial" w:eastAsia="Arial" w:cs="Arial"/>
          <w:b w:val="0"/>
          <w:bCs w:val="0"/>
          <w:i w:val="0"/>
          <w:iCs w:val="0"/>
          <w:caps w:val="0"/>
          <w:smallCaps w:val="0"/>
          <w:noProof w:val="0"/>
          <w:color w:val="000000" w:themeColor="text1" w:themeTint="FF" w:themeShade="FF"/>
          <w:sz w:val="22"/>
          <w:szCs w:val="22"/>
          <w:lang w:val="en-GB"/>
        </w:rPr>
      </w:pP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Restoration affecting 50% of the rim has taken place.  Minor losses are evident on the rim and two sherds of pot from the body have not been reinstated, a triangular piece which leaves a hole (c0.6cm²) and a piece of exterior where the interior survives (c1.5cm²). The break edges are not worn. Excess glue from the repair is evident inside the beaker. The beaker is 98% present.</w:t>
      </w:r>
    </w:p>
    <w:p w:rsidR="16088AA7" w:rsidP="7A7DCE30" w:rsidRDefault="16088AA7" w14:paraId="4F9F3E5E" w14:textId="46C3A2E6">
      <w:pPr>
        <w:bidi w:val="0"/>
        <w:rPr>
          <w:rFonts w:ascii="Arial" w:hAnsi="Arial" w:eastAsia="Arial" w:cs="Arial"/>
          <w:b w:val="0"/>
          <w:bCs w:val="0"/>
          <w:i w:val="0"/>
          <w:iCs w:val="0"/>
          <w:caps w:val="0"/>
          <w:smallCaps w:val="0"/>
          <w:noProof w:val="0"/>
          <w:color w:val="000000" w:themeColor="text1" w:themeTint="FF" w:themeShade="FF"/>
          <w:sz w:val="28"/>
          <w:szCs w:val="28"/>
          <w:lang w:val="en-GB"/>
        </w:rPr>
      </w:pPr>
      <w:r w:rsidRPr="7A7DCE30" w:rsidR="16088AA7">
        <w:rPr>
          <w:rFonts w:ascii="Arial" w:hAnsi="Arial" w:eastAsia="Arial" w:cs="Arial"/>
          <w:b w:val="1"/>
          <w:bCs w:val="1"/>
          <w:i w:val="0"/>
          <w:iCs w:val="0"/>
          <w:caps w:val="0"/>
          <w:smallCaps w:val="0"/>
          <w:noProof w:val="0"/>
          <w:color w:val="000000" w:themeColor="text1" w:themeTint="FF" w:themeShade="FF"/>
          <w:sz w:val="28"/>
          <w:szCs w:val="28"/>
          <w:lang w:val="en-GB"/>
        </w:rPr>
        <w:t>Interpretation</w:t>
      </w:r>
    </w:p>
    <w:p w:rsidR="16088AA7" w:rsidP="7A7DCE30" w:rsidRDefault="16088AA7" w14:paraId="089A4D4F" w14:textId="799FB2BE">
      <w:pPr>
        <w:pStyle w:val="Normal"/>
        <w:bidi w:val="0"/>
        <w:rPr>
          <w:rFonts w:ascii="Arial" w:hAnsi="Arial" w:eastAsia="Arial" w:cs="Arial"/>
          <w:b w:val="0"/>
          <w:bCs w:val="0"/>
          <w:i w:val="0"/>
          <w:iCs w:val="0"/>
          <w:caps w:val="0"/>
          <w:smallCaps w:val="0"/>
          <w:noProof w:val="0"/>
          <w:color w:val="000000" w:themeColor="text1" w:themeTint="FF" w:themeShade="FF"/>
          <w:sz w:val="22"/>
          <w:szCs w:val="22"/>
          <w:lang w:val="en-GB"/>
        </w:rPr>
      </w:pP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The vessel type is known as Black-topped ware (B-ware)</w:t>
      </w:r>
      <w:r w:rsidRPr="7A7DCE30" w:rsidR="5A2D4FAE">
        <w:rPr>
          <w:rFonts w:ascii="Arial" w:hAnsi="Arial" w:eastAsia="Arial" w:cs="Arial"/>
          <w:b w:val="0"/>
          <w:bCs w:val="0"/>
          <w:i w:val="0"/>
          <w:iCs w:val="0"/>
          <w:caps w:val="0"/>
          <w:smallCaps w:val="0"/>
          <w:noProof w:val="0"/>
          <w:color w:val="000000" w:themeColor="text1" w:themeTint="FF" w:themeShade="FF"/>
          <w:sz w:val="22"/>
          <w:szCs w:val="22"/>
          <w:lang w:val="en-GB"/>
        </w:rPr>
        <w:t>, it</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 xml:space="preserve"> appears extensively in the </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Naqada</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 xml:space="preserve"> I </w:t>
      </w:r>
      <w:r w:rsidRPr="7A7DCE30" w:rsidR="7164EBDF">
        <w:rPr>
          <w:rFonts w:ascii="Arial" w:hAnsi="Arial" w:eastAsia="Arial" w:cs="Arial"/>
          <w:b w:val="0"/>
          <w:bCs w:val="0"/>
          <w:i w:val="0"/>
          <w:iCs w:val="0"/>
          <w:caps w:val="0"/>
          <w:smallCaps w:val="0"/>
          <w:noProof w:val="0"/>
          <w:color w:val="000000" w:themeColor="text1" w:themeTint="FF" w:themeShade="FF"/>
          <w:sz w:val="22"/>
          <w:szCs w:val="22"/>
          <w:lang w:val="en-GB"/>
        </w:rPr>
        <w:t xml:space="preserve">and II periods </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w:t>
      </w:r>
      <w:r w:rsidRPr="7A7DCE30" w:rsidR="6CBF1920">
        <w:rPr>
          <w:rFonts w:ascii="Arial" w:hAnsi="Arial" w:eastAsia="Arial" w:cs="Arial"/>
          <w:b w:val="0"/>
          <w:bCs w:val="0"/>
          <w:i w:val="0"/>
          <w:iCs w:val="0"/>
          <w:caps w:val="0"/>
          <w:smallCaps w:val="0"/>
          <w:noProof w:val="0"/>
          <w:color w:val="000000" w:themeColor="text1" w:themeTint="FF" w:themeShade="FF"/>
          <w:sz w:val="22"/>
          <w:szCs w:val="22"/>
          <w:lang w:val="en-GB"/>
        </w:rPr>
        <w:t>4000-3500 BC/</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3500-3200 BC)</w:t>
      </w:r>
      <w:r w:rsidRPr="7A7DCE30" w:rsidR="03499A9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 xml:space="preserve">forming 70% of excavated grave pottery in </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Naqada</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 xml:space="preserve"> I declining to 5% by the end of </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Naqada</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 xml:space="preserve"> II </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(Bard, 1994, p.41-44)</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w:t>
      </w:r>
      <w:r w:rsidRPr="7A7DCE30" w:rsidR="2C138C3C">
        <w:rPr>
          <w:rFonts w:ascii="Arial" w:hAnsi="Arial" w:eastAsia="Arial" w:cs="Arial"/>
          <w:b w:val="0"/>
          <w:bCs w:val="0"/>
          <w:i w:val="0"/>
          <w:iCs w:val="0"/>
          <w:caps w:val="0"/>
          <w:smallCaps w:val="0"/>
          <w:noProof w:val="0"/>
          <w:color w:val="000000" w:themeColor="text1" w:themeTint="FF" w:themeShade="FF"/>
          <w:sz w:val="22"/>
          <w:szCs w:val="22"/>
          <w:lang w:val="en-GB"/>
        </w:rPr>
        <w:t xml:space="preserve"> Similarly finished vessels occasionally occur in earlier Upper Egyptian burials of the Badarian period (4400-4000 BC) (Brewer, 2012, p.65-66).</w:t>
      </w:r>
    </w:p>
    <w:p w:rsidR="16088AA7" w:rsidP="7A7DCE30" w:rsidRDefault="16088AA7" w14:paraId="1D74FF68" w14:textId="6254D571">
      <w:pPr>
        <w:bidi w:val="0"/>
        <w:rPr>
          <w:rFonts w:ascii="Arial" w:hAnsi="Arial" w:eastAsia="Arial" w:cs="Arial"/>
          <w:b w:val="0"/>
          <w:bCs w:val="0"/>
          <w:i w:val="0"/>
          <w:iCs w:val="0"/>
          <w:caps w:val="0"/>
          <w:smallCaps w:val="0"/>
          <w:noProof w:val="0"/>
          <w:color w:val="000000" w:themeColor="text1" w:themeTint="FF" w:themeShade="FF"/>
          <w:sz w:val="22"/>
          <w:szCs w:val="22"/>
          <w:lang w:val="en-GB"/>
        </w:rPr>
      </w:pP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 xml:space="preserve">Excavating in 1898-9, Flinders Petrie </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identified</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 xml:space="preserve"> B-ware as Predynastic, he developed a method to </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relatively sequence</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 xml:space="preserve"> date pottery types based</w:t>
      </w:r>
      <w:r w:rsidRPr="7A7DCE30" w:rsidR="79EFA1B3">
        <w:rPr>
          <w:rFonts w:ascii="Arial" w:hAnsi="Arial" w:eastAsia="Arial" w:cs="Arial"/>
          <w:b w:val="0"/>
          <w:bCs w:val="0"/>
          <w:i w:val="0"/>
          <w:iCs w:val="0"/>
          <w:caps w:val="0"/>
          <w:smallCaps w:val="0"/>
          <w:noProof w:val="0"/>
          <w:color w:val="000000" w:themeColor="text1" w:themeTint="FF" w:themeShade="FF"/>
          <w:sz w:val="22"/>
          <w:szCs w:val="22"/>
          <w:lang w:val="en-GB"/>
        </w:rPr>
        <w:t xml:space="preserve"> on their attributes, </w:t>
      </w:r>
      <w:r w:rsidRPr="7A7DCE30" w:rsidR="79EFA1B3">
        <w:rPr>
          <w:rFonts w:ascii="Arial" w:hAnsi="Arial" w:eastAsia="Arial" w:cs="Arial"/>
          <w:b w:val="0"/>
          <w:bCs w:val="0"/>
          <w:i w:val="0"/>
          <w:iCs w:val="0"/>
          <w:caps w:val="0"/>
          <w:smallCaps w:val="0"/>
          <w:noProof w:val="0"/>
          <w:color w:val="000000" w:themeColor="text1" w:themeTint="FF" w:themeShade="FF"/>
          <w:sz w:val="22"/>
          <w:szCs w:val="22"/>
          <w:lang w:val="en-GB"/>
        </w:rPr>
        <w:t>establishing</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 xml:space="preserve"> a chronology for the Predynastic </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 xml:space="preserve">(Petrie, 1901, </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p.4-6)</w:t>
      </w:r>
      <w:r w:rsidRPr="7A7DCE30" w:rsidR="0C6D8337">
        <w:rPr>
          <w:rFonts w:ascii="Arial" w:hAnsi="Arial" w:eastAsia="Arial" w:cs="Arial"/>
          <w:b w:val="0"/>
          <w:bCs w:val="0"/>
          <w:i w:val="0"/>
          <w:iCs w:val="0"/>
          <w:caps w:val="0"/>
          <w:smallCaps w:val="0"/>
          <w:noProof w:val="0"/>
          <w:color w:val="000000" w:themeColor="text1" w:themeTint="FF" w:themeShade="FF"/>
          <w:sz w:val="22"/>
          <w:szCs w:val="22"/>
          <w:lang w:val="en-GB"/>
        </w:rPr>
        <w:t>.</w:t>
      </w:r>
      <w:r w:rsidRPr="7A7DCE30" w:rsidR="77BE74FA">
        <w:rPr>
          <w:rFonts w:ascii="Arial" w:hAnsi="Arial" w:eastAsia="Arial" w:cs="Arial"/>
          <w:b w:val="0"/>
          <w:bCs w:val="0"/>
          <w:i w:val="0"/>
          <w:iCs w:val="0"/>
          <w:caps w:val="0"/>
          <w:smallCaps w:val="0"/>
          <w:noProof w:val="0"/>
          <w:color w:val="000000" w:themeColor="text1" w:themeTint="FF" w:themeShade="FF"/>
          <w:sz w:val="22"/>
          <w:szCs w:val="22"/>
          <w:lang w:val="en-GB"/>
        </w:rPr>
        <w:t xml:space="preserve"> Whilst periodically</w:t>
      </w:r>
      <w:r w:rsidRPr="7A7DCE30" w:rsidR="0C6D833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modified</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 xml:space="preserve">, radiocarbon dating confirms the reliability of Petrie’s </w:t>
      </w:r>
      <w:r w:rsidRPr="7A7DCE30" w:rsidR="5456A025">
        <w:rPr>
          <w:rFonts w:ascii="Arial" w:hAnsi="Arial" w:eastAsia="Arial" w:cs="Arial"/>
          <w:b w:val="0"/>
          <w:bCs w:val="0"/>
          <w:i w:val="0"/>
          <w:iCs w:val="0"/>
          <w:caps w:val="0"/>
          <w:smallCaps w:val="0"/>
          <w:noProof w:val="0"/>
          <w:color w:val="000000" w:themeColor="text1" w:themeTint="FF" w:themeShade="FF"/>
          <w:sz w:val="22"/>
          <w:szCs w:val="22"/>
          <w:lang w:val="en-GB"/>
        </w:rPr>
        <w:t>concept</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(Dee et al, 2025, p.321-323).</w:t>
      </w:r>
    </w:p>
    <w:p w:rsidR="16088AA7" w:rsidP="7A7DCE30" w:rsidRDefault="16088AA7" w14:paraId="337012AA" w14:textId="48A6A28C">
      <w:pPr>
        <w:pStyle w:val="Normal"/>
        <w:bidi w:val="0"/>
        <w:spacing w:before="0" w:beforeAutospacing="off" w:after="160" w:afterAutospacing="off" w:line="278"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 xml:space="preserve">B-ware </w:t>
      </w:r>
      <w:r w:rsidRPr="7A7DCE30" w:rsidR="4D9436BB">
        <w:rPr>
          <w:rFonts w:ascii="Arial" w:hAnsi="Arial" w:eastAsia="Arial" w:cs="Arial"/>
          <w:b w:val="0"/>
          <w:bCs w:val="0"/>
          <w:i w:val="0"/>
          <w:iCs w:val="0"/>
          <w:caps w:val="0"/>
          <w:smallCaps w:val="0"/>
          <w:noProof w:val="0"/>
          <w:color w:val="000000" w:themeColor="text1" w:themeTint="FF" w:themeShade="FF"/>
          <w:sz w:val="22"/>
          <w:szCs w:val="22"/>
          <w:lang w:val="en-GB"/>
        </w:rPr>
        <w:t>is</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A7DCE30" w:rsidR="7B5B920E">
        <w:rPr>
          <w:rFonts w:ascii="Arial" w:hAnsi="Arial" w:eastAsia="Arial" w:cs="Arial"/>
          <w:b w:val="0"/>
          <w:bCs w:val="0"/>
          <w:i w:val="0"/>
          <w:iCs w:val="0"/>
          <w:caps w:val="0"/>
          <w:smallCaps w:val="0"/>
          <w:noProof w:val="0"/>
          <w:color w:val="000000" w:themeColor="text1" w:themeTint="FF" w:themeShade="FF"/>
          <w:sz w:val="22"/>
          <w:szCs w:val="22"/>
          <w:lang w:val="en-GB"/>
        </w:rPr>
        <w:t>formed from</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 xml:space="preserve"> levigated (refined, fine particle) Type A Nile silt clay. Vessels were formed on a solid base, with the body made using coils of clay, shaped by hand and tool. A red clay slip was </w:t>
      </w:r>
      <w:r w:rsidRPr="7A7DCE30" w:rsidR="06D0CF48">
        <w:rPr>
          <w:rFonts w:ascii="Arial" w:hAnsi="Arial" w:eastAsia="Arial" w:cs="Arial"/>
          <w:b w:val="0"/>
          <w:bCs w:val="0"/>
          <w:i w:val="0"/>
          <w:iCs w:val="0"/>
          <w:caps w:val="0"/>
          <w:smallCaps w:val="0"/>
          <w:noProof w:val="0"/>
          <w:color w:val="000000" w:themeColor="text1" w:themeTint="FF" w:themeShade="FF"/>
          <w:sz w:val="22"/>
          <w:szCs w:val="22"/>
          <w:lang w:val="en-GB"/>
        </w:rPr>
        <w:t>applied,</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 xml:space="preserve"> and the vessel burnished using a smooth stone, diagonally on the body and horizontally around the rim. Vessels were open fired and debate continues as to how the black effect was achieved with theories from single to double firing, inversion in ash/sawdust/dung and use of smoke</w:t>
      </w:r>
      <w:r w:rsidRPr="7A7DCE30" w:rsidR="2EC1955D">
        <w:rPr>
          <w:rFonts w:ascii="Arial" w:hAnsi="Arial" w:eastAsia="Arial" w:cs="Arial"/>
          <w:b w:val="0"/>
          <w:bCs w:val="0"/>
          <w:i w:val="0"/>
          <w:iCs w:val="0"/>
          <w:caps w:val="0"/>
          <w:smallCaps w:val="0"/>
          <w:noProof w:val="0"/>
          <w:color w:val="000000" w:themeColor="text1" w:themeTint="FF" w:themeShade="FF"/>
          <w:sz w:val="22"/>
          <w:szCs w:val="22"/>
          <w:lang w:val="en-GB"/>
        </w:rPr>
        <w:t>. Finished vessels are a fine</w:t>
      </w:r>
      <w:r w:rsidRPr="7A7DCE30" w:rsidR="0DC3C6CB">
        <w:rPr>
          <w:rFonts w:ascii="Arial" w:hAnsi="Arial" w:eastAsia="Arial" w:cs="Arial"/>
          <w:b w:val="0"/>
          <w:bCs w:val="0"/>
          <w:i w:val="0"/>
          <w:iCs w:val="0"/>
          <w:caps w:val="0"/>
          <w:smallCaps w:val="0"/>
          <w:noProof w:val="0"/>
          <w:color w:val="000000" w:themeColor="text1" w:themeTint="FF" w:themeShade="FF"/>
          <w:sz w:val="22"/>
          <w:szCs w:val="22"/>
          <w:lang w:val="en-GB"/>
        </w:rPr>
        <w:t xml:space="preserve"> ware with a quality</w:t>
      </w:r>
      <w:r w:rsidRPr="7A7DCE30" w:rsidR="2EC1955D">
        <w:rPr>
          <w:rFonts w:ascii="Arial" w:hAnsi="Arial" w:eastAsia="Arial" w:cs="Arial"/>
          <w:b w:val="0"/>
          <w:bCs w:val="0"/>
          <w:i w:val="0"/>
          <w:iCs w:val="0"/>
          <w:caps w:val="0"/>
          <w:smallCaps w:val="0"/>
          <w:noProof w:val="0"/>
          <w:color w:val="000000" w:themeColor="text1" w:themeTint="FF" w:themeShade="FF"/>
          <w:sz w:val="22"/>
          <w:szCs w:val="22"/>
          <w:lang w:val="en-GB"/>
        </w:rPr>
        <w:t xml:space="preserve"> indicating specialised production beyond domestic capabilities however no production facilities have been identified</w:t>
      </w:r>
      <w:r w:rsidRPr="7A7DCE30" w:rsidR="0EEE431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Bajedot</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 Ownby and Gatto, 2024, p.452-3</w:t>
      </w:r>
      <w:r w:rsidRPr="7A7DCE30" w:rsidR="01A2D4EC">
        <w:rPr>
          <w:rFonts w:ascii="Arial" w:hAnsi="Arial" w:eastAsia="Arial" w:cs="Arial"/>
          <w:b w:val="0"/>
          <w:bCs w:val="0"/>
          <w:i w:val="0"/>
          <w:iCs w:val="0"/>
          <w:caps w:val="0"/>
          <w:smallCaps w:val="0"/>
          <w:noProof w:val="0"/>
          <w:color w:val="000000" w:themeColor="text1" w:themeTint="FF" w:themeShade="FF"/>
          <w:sz w:val="22"/>
          <w:szCs w:val="22"/>
          <w:lang w:val="en-GB"/>
        </w:rPr>
        <w:t>,</w:t>
      </w:r>
      <w:r w:rsidRPr="7A7DCE30" w:rsidR="51CB2D7F">
        <w:rPr>
          <w:rFonts w:ascii="Arial" w:hAnsi="Arial" w:eastAsia="Arial" w:cs="Arial"/>
          <w:b w:val="0"/>
          <w:bCs w:val="0"/>
          <w:i w:val="0"/>
          <w:iCs w:val="0"/>
          <w:caps w:val="0"/>
          <w:smallCaps w:val="0"/>
          <w:noProof w:val="0"/>
          <w:color w:val="000000" w:themeColor="text1" w:themeTint="FF" w:themeShade="FF"/>
          <w:sz w:val="22"/>
          <w:szCs w:val="22"/>
          <w:lang w:val="en-GB"/>
        </w:rPr>
        <w:t xml:space="preserve">467, </w:t>
      </w:r>
      <w:r w:rsidRPr="7A7DCE30" w:rsidR="01A2D4E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Bourriau</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 Nicholson and Rose, 2000, p.121-128</w:t>
      </w:r>
      <w:r w:rsidRPr="7A7DCE30" w:rsidR="6F4830D5">
        <w:rPr>
          <w:rFonts w:ascii="Arial" w:hAnsi="Arial" w:eastAsia="Arial" w:cs="Arial"/>
          <w:b w:val="0"/>
          <w:bCs w:val="0"/>
          <w:i w:val="0"/>
          <w:iCs w:val="0"/>
          <w:caps w:val="0"/>
          <w:smallCaps w:val="0"/>
          <w:noProof w:val="0"/>
          <w:color w:val="000000" w:themeColor="text1" w:themeTint="FF" w:themeShade="FF"/>
          <w:sz w:val="22"/>
          <w:szCs w:val="22"/>
          <w:lang w:val="en-GB"/>
        </w:rPr>
        <w:t>, 137-8</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A7DCE30" w:rsidR="59BDF9E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w:t>
      </w:r>
      <w:r w:rsidRPr="7A7DCE30" w:rsidR="16088AA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Hendrickx, S., Friedman, R. and </w:t>
      </w:r>
      <w:r w:rsidRPr="7A7DCE30" w:rsidR="16088AA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L</w:t>
      </w:r>
      <w:r w:rsidRPr="7A7DCE30" w:rsidR="16088AA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oyens</w:t>
      </w:r>
      <w:r w:rsidRPr="7A7DCE30" w:rsidR="16088AA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F. (2000), p.173-183, </w:t>
      </w:r>
      <w:r w:rsidRPr="7A7DCE30" w:rsidR="48F9D7E6">
        <w:rPr>
          <w:rFonts w:ascii="Arial" w:hAnsi="Arial" w:eastAsia="Arial" w:cs="Arial"/>
          <w:b w:val="0"/>
          <w:bCs w:val="0"/>
          <w:i w:val="0"/>
          <w:iCs w:val="0"/>
          <w:caps w:val="0"/>
          <w:smallCaps w:val="0"/>
          <w:noProof w:val="0"/>
          <w:color w:val="000000" w:themeColor="text1" w:themeTint="FF" w:themeShade="FF"/>
          <w:sz w:val="22"/>
          <w:szCs w:val="22"/>
          <w:lang w:val="en-GB"/>
        </w:rPr>
        <w:t>Midant</w:t>
      </w:r>
      <w:r w:rsidRPr="7A7DCE30" w:rsidR="48F9D7E6">
        <w:rPr>
          <w:rFonts w:ascii="Arial" w:hAnsi="Arial" w:eastAsia="Arial" w:cs="Arial"/>
          <w:b w:val="0"/>
          <w:bCs w:val="0"/>
          <w:i w:val="0"/>
          <w:iCs w:val="0"/>
          <w:caps w:val="0"/>
          <w:smallCaps w:val="0"/>
          <w:noProof w:val="0"/>
          <w:color w:val="000000" w:themeColor="text1" w:themeTint="FF" w:themeShade="FF"/>
          <w:sz w:val="22"/>
          <w:szCs w:val="22"/>
          <w:lang w:val="en-GB"/>
        </w:rPr>
        <w:t xml:space="preserve">-Reynes et al, 1996, p.93-4) </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Takenouchi</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 xml:space="preserve"> and </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Yamahana</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 2021, p.14, Wenke, 2009, p.127, Zakrzewski, Shortland and Rowland, 2016, p.257-262).</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16088AA7" w:rsidP="7A7DCE30" w:rsidRDefault="16088AA7" w14:paraId="721D7DD2" w14:textId="3C65A511">
      <w:pPr>
        <w:pStyle w:val="Normal"/>
        <w:bidi w:val="0"/>
        <w:spacing w:before="0" w:beforeAutospacing="off" w:after="160" w:afterAutospacing="off" w:line="278"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 xml:space="preserve">B-ware is found in both settlement and funerary contexts, </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frequently</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 xml:space="preserve"> with other pottery types. B-ware types are functional and/or decorative, they are not funerary specific, with some burial context vessels bearing evidence of use prior to internment (</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 xml:space="preserve">Bard,1994, p.86, </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Eyckerman</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 xml:space="preserve"> and Hendrickx, 2008, p.388</w:t>
      </w:r>
      <w:r w:rsidRPr="7A7DCE30" w:rsidR="08F3106F">
        <w:rPr>
          <w:rFonts w:ascii="Arial" w:hAnsi="Arial" w:eastAsia="Arial" w:cs="Arial"/>
          <w:b w:val="0"/>
          <w:bCs w:val="0"/>
          <w:i w:val="0"/>
          <w:iCs w:val="0"/>
          <w:caps w:val="0"/>
          <w:smallCaps w:val="0"/>
          <w:noProof w:val="0"/>
          <w:color w:val="000000" w:themeColor="text1" w:themeTint="FF" w:themeShade="FF"/>
          <w:sz w:val="22"/>
          <w:szCs w:val="22"/>
          <w:lang w:val="en-GB"/>
        </w:rPr>
        <w:t>,</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 xml:space="preserve">407, Hendrickx, </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Huyge</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 xml:space="preserve"> and Wendrich, 2010, p.23). S</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ome settlement B-ware never appear</w:t>
      </w:r>
      <w:r w:rsidRPr="7A7DCE30" w:rsidR="4A9BA68F">
        <w:rPr>
          <w:rFonts w:ascii="Arial" w:hAnsi="Arial" w:eastAsia="Arial" w:cs="Arial"/>
          <w:b w:val="0"/>
          <w:bCs w:val="0"/>
          <w:i w:val="0"/>
          <w:iCs w:val="0"/>
          <w:caps w:val="0"/>
          <w:smallCaps w:val="0"/>
          <w:noProof w:val="0"/>
          <w:color w:val="000000" w:themeColor="text1" w:themeTint="FF" w:themeShade="FF"/>
          <w:sz w:val="22"/>
          <w:szCs w:val="22"/>
          <w:lang w:val="en-GB"/>
        </w:rPr>
        <w:t>s</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 xml:space="preserve"> in the </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burial</w:t>
      </w:r>
      <w:r w:rsidRPr="7A7DCE30" w:rsidR="29C04847">
        <w:rPr>
          <w:rFonts w:ascii="Arial" w:hAnsi="Arial" w:eastAsia="Arial" w:cs="Arial"/>
          <w:b w:val="0"/>
          <w:bCs w:val="0"/>
          <w:i w:val="0"/>
          <w:iCs w:val="0"/>
          <w:caps w:val="0"/>
          <w:smallCaps w:val="0"/>
          <w:noProof w:val="0"/>
          <w:color w:val="000000" w:themeColor="text1" w:themeTint="FF" w:themeShade="FF"/>
          <w:sz w:val="22"/>
          <w:szCs w:val="22"/>
          <w:lang w:val="en-GB"/>
        </w:rPr>
        <w:t xml:space="preserve"> context </w:t>
      </w:r>
      <w:r w:rsidRPr="7A7DCE30" w:rsidR="29C04847">
        <w:rPr>
          <w:rFonts w:ascii="Arial" w:hAnsi="Arial" w:eastAsia="Arial" w:cs="Arial"/>
          <w:b w:val="0"/>
          <w:bCs w:val="0"/>
          <w:i w:val="0"/>
          <w:iCs w:val="0"/>
          <w:caps w:val="0"/>
          <w:smallCaps w:val="0"/>
          <w:noProof w:val="0"/>
          <w:color w:val="000000" w:themeColor="text1" w:themeTint="FF" w:themeShade="FF"/>
          <w:sz w:val="22"/>
          <w:szCs w:val="22"/>
          <w:lang w:val="en-GB"/>
        </w:rPr>
        <w:t>indicating</w:t>
      </w:r>
      <w:r w:rsidRPr="7A7DCE30" w:rsidR="29C04847">
        <w:rPr>
          <w:rFonts w:ascii="Arial" w:hAnsi="Arial" w:eastAsia="Arial" w:cs="Arial"/>
          <w:b w:val="0"/>
          <w:bCs w:val="0"/>
          <w:i w:val="0"/>
          <w:iCs w:val="0"/>
          <w:caps w:val="0"/>
          <w:smallCaps w:val="0"/>
          <w:noProof w:val="0"/>
          <w:color w:val="000000" w:themeColor="text1" w:themeTint="FF" w:themeShade="FF"/>
          <w:sz w:val="22"/>
          <w:szCs w:val="22"/>
          <w:lang w:val="en-GB"/>
        </w:rPr>
        <w:t xml:space="preserve"> a decorative or belief</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 xml:space="preserve"> vale beyond </w:t>
      </w:r>
      <w:bookmarkStart w:name="_Int_tTUwhcLZ" w:id="467865458"/>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it’s</w:t>
      </w:r>
      <w:bookmarkEnd w:id="467865458"/>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 xml:space="preserve"> functional use </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Midant</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-Reynes et al, 1996, p.97</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w:t>
      </w:r>
    </w:p>
    <w:p w:rsidR="16088AA7" w:rsidP="7A7DCE30" w:rsidRDefault="16088AA7" w14:paraId="2BCD0F12" w14:textId="3BB44EA7">
      <w:pPr>
        <w:bidi w:val="0"/>
        <w:rPr>
          <w:rFonts w:ascii="Arial" w:hAnsi="Arial" w:eastAsia="Arial" w:cs="Arial"/>
          <w:b w:val="0"/>
          <w:bCs w:val="0"/>
          <w:i w:val="0"/>
          <w:iCs w:val="0"/>
          <w:caps w:val="0"/>
          <w:smallCaps w:val="0"/>
          <w:noProof w:val="0"/>
          <w:color w:val="000000" w:themeColor="text1" w:themeTint="FF" w:themeShade="FF"/>
          <w:sz w:val="22"/>
          <w:szCs w:val="22"/>
          <w:lang w:val="en-GB"/>
        </w:rPr>
      </w:pP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 xml:space="preserve">The formal burial practices of the </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Naqada</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 xml:space="preserve"> period may infer a social organisation or community with respect for the dead, w</w:t>
      </w:r>
      <w:r w:rsidRPr="7A7DCE30" w:rsidR="38C36FAA">
        <w:rPr>
          <w:rFonts w:ascii="Arial" w:hAnsi="Arial" w:eastAsia="Arial" w:cs="Arial"/>
          <w:b w:val="0"/>
          <w:bCs w:val="0"/>
          <w:i w:val="0"/>
          <w:iCs w:val="0"/>
          <w:caps w:val="0"/>
          <w:smallCaps w:val="0"/>
          <w:noProof w:val="0"/>
          <w:color w:val="000000" w:themeColor="text1" w:themeTint="FF" w:themeShade="FF"/>
          <w:sz w:val="22"/>
          <w:szCs w:val="22"/>
          <w:lang w:val="en-GB"/>
        </w:rPr>
        <w:t xml:space="preserve">here the </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 xml:space="preserve">grave </w:t>
      </w:r>
      <w:r w:rsidRPr="7A7DCE30" w:rsidR="7BAD1F77">
        <w:rPr>
          <w:rFonts w:ascii="Arial" w:hAnsi="Arial" w:eastAsia="Arial" w:cs="Arial"/>
          <w:b w:val="0"/>
          <w:bCs w:val="0"/>
          <w:i w:val="0"/>
          <w:iCs w:val="0"/>
          <w:caps w:val="0"/>
          <w:smallCaps w:val="0"/>
          <w:noProof w:val="0"/>
          <w:color w:val="000000" w:themeColor="text1" w:themeTint="FF" w:themeShade="FF"/>
          <w:sz w:val="22"/>
          <w:szCs w:val="22"/>
          <w:lang w:val="en-GB"/>
        </w:rPr>
        <w:t>i</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 xml:space="preserve">s evidence of a religious belief </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 xml:space="preserve">(Taylor and Antoine, 2014, p.22-43, Zakrzewski, Shortland and Rowland, 2016, p.218). B-ware is one of a range of grave goods placed in a confined space whose </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type and volume are indicative of social stratification (</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 xml:space="preserve">Ikram, 2003, p.73, van der </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Mieroop</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 xml:space="preserve">, 2011, p.24). </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Placement of pottery (including B-ware) in a grave,</w:t>
      </w:r>
      <w:r w:rsidRPr="7A7DCE30" w:rsidR="28C6624C">
        <w:rPr>
          <w:rFonts w:ascii="Arial" w:hAnsi="Arial" w:eastAsia="Arial" w:cs="Arial"/>
          <w:b w:val="0"/>
          <w:bCs w:val="0"/>
          <w:i w:val="0"/>
          <w:iCs w:val="0"/>
          <w:caps w:val="0"/>
          <w:smallCaps w:val="0"/>
          <w:noProof w:val="0"/>
          <w:color w:val="000000" w:themeColor="text1" w:themeTint="FF" w:themeShade="FF"/>
          <w:sz w:val="22"/>
          <w:szCs w:val="22"/>
          <w:lang w:val="en-GB"/>
        </w:rPr>
        <w:t xml:space="preserve"> sometimes </w:t>
      </w:r>
      <w:r w:rsidRPr="7A7DCE30" w:rsidR="28C6624C">
        <w:rPr>
          <w:rFonts w:ascii="Arial" w:hAnsi="Arial" w:eastAsia="Arial" w:cs="Arial"/>
          <w:b w:val="0"/>
          <w:bCs w:val="0"/>
          <w:i w:val="0"/>
          <w:iCs w:val="0"/>
          <w:caps w:val="0"/>
          <w:smallCaps w:val="0"/>
          <w:noProof w:val="0"/>
          <w:color w:val="000000" w:themeColor="text1" w:themeTint="FF" w:themeShade="FF"/>
          <w:sz w:val="22"/>
          <w:szCs w:val="22"/>
          <w:lang w:val="en-GB"/>
        </w:rPr>
        <w:t>containing</w:t>
      </w:r>
      <w:r w:rsidRPr="7A7DCE30" w:rsidR="28C6624C">
        <w:rPr>
          <w:rFonts w:ascii="Arial" w:hAnsi="Arial" w:eastAsia="Arial" w:cs="Arial"/>
          <w:b w:val="0"/>
          <w:bCs w:val="0"/>
          <w:i w:val="0"/>
          <w:iCs w:val="0"/>
          <w:caps w:val="0"/>
          <w:smallCaps w:val="0"/>
          <w:noProof w:val="0"/>
          <w:color w:val="000000" w:themeColor="text1" w:themeTint="FF" w:themeShade="FF"/>
          <w:sz w:val="22"/>
          <w:szCs w:val="22"/>
          <w:lang w:val="en-GB"/>
        </w:rPr>
        <w:t xml:space="preserve"> food,</w:t>
      </w:r>
    </w:p>
    <w:p w:rsidR="7A7DCE30" w:rsidP="7A7DCE30" w:rsidRDefault="7A7DCE30" w14:paraId="4F337EBE" w14:textId="7491EF70">
      <w:pPr>
        <w:bidi w:val="0"/>
        <w:rPr>
          <w:rFonts w:ascii="Arial" w:hAnsi="Arial" w:eastAsia="Arial" w:cs="Arial"/>
          <w:b w:val="0"/>
          <w:bCs w:val="0"/>
          <w:i w:val="0"/>
          <w:iCs w:val="0"/>
          <w:caps w:val="0"/>
          <w:smallCaps w:val="0"/>
          <w:noProof w:val="0"/>
          <w:color w:val="000000" w:themeColor="text1" w:themeTint="FF" w:themeShade="FF"/>
          <w:sz w:val="22"/>
          <w:szCs w:val="22"/>
          <w:lang w:val="en-GB"/>
        </w:rPr>
      </w:pPr>
    </w:p>
    <w:p w:rsidR="7A7DCE30" w:rsidP="7A7DCE30" w:rsidRDefault="7A7DCE30" w14:paraId="0F609DB0" w14:textId="4253EFEC">
      <w:pPr>
        <w:bidi w:val="0"/>
        <w:rPr>
          <w:rFonts w:ascii="Arial" w:hAnsi="Arial" w:eastAsia="Arial" w:cs="Arial"/>
          <w:b w:val="0"/>
          <w:bCs w:val="0"/>
          <w:i w:val="0"/>
          <w:iCs w:val="0"/>
          <w:caps w:val="0"/>
          <w:smallCaps w:val="0"/>
          <w:noProof w:val="0"/>
          <w:color w:val="000000" w:themeColor="text1" w:themeTint="FF" w:themeShade="FF"/>
          <w:sz w:val="22"/>
          <w:szCs w:val="22"/>
          <w:lang w:val="en-GB"/>
        </w:rPr>
      </w:pPr>
    </w:p>
    <w:p w:rsidR="16088AA7" w:rsidP="7A7DCE30" w:rsidRDefault="16088AA7" w14:paraId="28C61C72" w14:textId="179610B8">
      <w:pPr>
        <w:bidi w:val="0"/>
        <w:rPr>
          <w:rFonts w:ascii="Arial" w:hAnsi="Arial" w:eastAsia="Arial" w:cs="Arial"/>
          <w:b w:val="0"/>
          <w:bCs w:val="0"/>
          <w:i w:val="0"/>
          <w:iCs w:val="0"/>
          <w:caps w:val="0"/>
          <w:smallCaps w:val="0"/>
          <w:noProof w:val="0"/>
          <w:color w:val="000000" w:themeColor="text1" w:themeTint="FF" w:themeShade="FF"/>
          <w:sz w:val="22"/>
          <w:szCs w:val="22"/>
          <w:lang w:val="en-GB"/>
        </w:rPr>
      </w:pP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may infer a belief in survival beyond death, an afterlife. That afterlife being an extension of an earthly existence</w:t>
      </w:r>
      <w:r w:rsidRPr="7A7DCE30" w:rsidR="45A3C66D">
        <w:rPr>
          <w:rFonts w:ascii="Arial" w:hAnsi="Arial" w:eastAsia="Arial" w:cs="Arial"/>
          <w:b w:val="0"/>
          <w:bCs w:val="0"/>
          <w:i w:val="0"/>
          <w:iCs w:val="0"/>
          <w:caps w:val="0"/>
          <w:smallCaps w:val="0"/>
          <w:noProof w:val="0"/>
          <w:color w:val="000000" w:themeColor="text1" w:themeTint="FF" w:themeShade="FF"/>
          <w:sz w:val="22"/>
          <w:szCs w:val="22"/>
          <w:lang w:val="en-GB"/>
        </w:rPr>
        <w:t xml:space="preserve">, where the </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 xml:space="preserve">same needs and comforts as in life needed to be provided, </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 xml:space="preserve">where physical activity </w:t>
      </w:r>
      <w:r w:rsidRPr="7A7DCE30" w:rsidR="1F51BA43">
        <w:rPr>
          <w:rFonts w:ascii="Arial" w:hAnsi="Arial" w:eastAsia="Arial" w:cs="Arial"/>
          <w:b w:val="0"/>
          <w:bCs w:val="0"/>
          <w:i w:val="0"/>
          <w:iCs w:val="0"/>
          <w:caps w:val="0"/>
          <w:smallCaps w:val="0"/>
          <w:noProof w:val="0"/>
          <w:color w:val="000000" w:themeColor="text1" w:themeTint="FF" w:themeShade="FF"/>
          <w:sz w:val="22"/>
          <w:szCs w:val="22"/>
          <w:lang w:val="en-GB"/>
        </w:rPr>
        <w:t>is</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 xml:space="preserve"> possible and nourishment </w:t>
      </w:r>
      <w:r w:rsidRPr="7A7DCE30" w:rsidR="527B7282">
        <w:rPr>
          <w:rFonts w:ascii="Arial" w:hAnsi="Arial" w:eastAsia="Arial" w:cs="Arial"/>
          <w:b w:val="0"/>
          <w:bCs w:val="0"/>
          <w:i w:val="0"/>
          <w:iCs w:val="0"/>
          <w:caps w:val="0"/>
          <w:smallCaps w:val="0"/>
          <w:noProof w:val="0"/>
          <w:color w:val="000000" w:themeColor="text1" w:themeTint="FF" w:themeShade="FF"/>
          <w:sz w:val="22"/>
          <w:szCs w:val="22"/>
          <w:lang w:val="en-GB"/>
        </w:rPr>
        <w:t>is</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required</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 xml:space="preserve">(Adams, 1988, p.45, Hendrickx, </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Huyge</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 xml:space="preserve"> and Wendrich, 2010, p.23, Taylor, 2001, p.13-15)</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w:t>
      </w:r>
    </w:p>
    <w:p w:rsidR="16088AA7" w:rsidP="7A7DCE30" w:rsidRDefault="16088AA7" w14:paraId="2A83943D" w14:textId="7DFCA69C">
      <w:pPr>
        <w:bidi w:val="0"/>
        <w:rPr>
          <w:rFonts w:ascii="Arial" w:hAnsi="Arial" w:eastAsia="Arial" w:cs="Arial"/>
          <w:b w:val="0"/>
          <w:bCs w:val="0"/>
          <w:i w:val="0"/>
          <w:iCs w:val="0"/>
          <w:caps w:val="0"/>
          <w:smallCaps w:val="0"/>
          <w:noProof w:val="0"/>
          <w:color w:val="000000" w:themeColor="text1" w:themeTint="FF" w:themeShade="FF"/>
          <w:sz w:val="22"/>
          <w:szCs w:val="22"/>
          <w:lang w:val="en-GB"/>
        </w:rPr>
      </w:pP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 xml:space="preserve">Production of B-ware ceased by </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Naqada</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 xml:space="preserve"> III (3200-3100 BC)</w:t>
      </w:r>
      <w:r w:rsidRPr="7A7DCE30" w:rsidR="12A5CAE2">
        <w:rPr>
          <w:rFonts w:ascii="Arial" w:hAnsi="Arial" w:eastAsia="Arial" w:cs="Arial"/>
          <w:b w:val="0"/>
          <w:bCs w:val="0"/>
          <w:i w:val="0"/>
          <w:iCs w:val="0"/>
          <w:caps w:val="0"/>
          <w:smallCaps w:val="0"/>
          <w:noProof w:val="0"/>
          <w:color w:val="000000" w:themeColor="text1" w:themeTint="FF" w:themeShade="FF"/>
          <w:sz w:val="22"/>
          <w:szCs w:val="22"/>
          <w:lang w:val="en-GB"/>
        </w:rPr>
        <w:t xml:space="preserve">, a </w:t>
      </w:r>
      <w:r w:rsidRPr="7A7DCE30" w:rsidR="56113179">
        <w:rPr>
          <w:rFonts w:ascii="Arial" w:hAnsi="Arial" w:eastAsia="Arial" w:cs="Arial"/>
          <w:b w:val="0"/>
          <w:bCs w:val="0"/>
          <w:i w:val="0"/>
          <w:iCs w:val="0"/>
          <w:caps w:val="0"/>
          <w:smallCaps w:val="0"/>
          <w:noProof w:val="0"/>
          <w:color w:val="000000" w:themeColor="text1" w:themeTint="FF" w:themeShade="FF"/>
          <w:sz w:val="22"/>
          <w:szCs w:val="22"/>
          <w:lang w:val="en-GB"/>
        </w:rPr>
        <w:t>revival</w:t>
      </w:r>
      <w:r w:rsidRPr="7A7DCE30" w:rsidR="12A5CAE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occurred in the Early Dynastic (3100-2686 BC)</w:t>
      </w:r>
      <w:r w:rsidRPr="7A7DCE30" w:rsidR="3E54480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Hes</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 xml:space="preserve">-jars </w:t>
      </w:r>
      <w:r w:rsidRPr="7A7DCE30" w:rsidR="7A21D577">
        <w:rPr>
          <w:rFonts w:ascii="Arial" w:hAnsi="Arial" w:eastAsia="Arial" w:cs="Arial"/>
          <w:b w:val="0"/>
          <w:bCs w:val="0"/>
          <w:i w:val="0"/>
          <w:iCs w:val="0"/>
          <w:caps w:val="0"/>
          <w:smallCaps w:val="0"/>
          <w:noProof w:val="0"/>
          <w:color w:val="000000" w:themeColor="text1" w:themeTint="FF" w:themeShade="FF"/>
          <w:sz w:val="22"/>
          <w:szCs w:val="22"/>
          <w:lang w:val="en-GB"/>
        </w:rPr>
        <w:t xml:space="preserve">are </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used in</w:t>
      </w:r>
      <w:r w:rsidRPr="7A7DCE30" w:rsidR="0EF6775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A7DCE30" w:rsidR="04ACCE68">
        <w:rPr>
          <w:rFonts w:ascii="Arial" w:hAnsi="Arial" w:eastAsia="Arial" w:cs="Arial"/>
          <w:b w:val="0"/>
          <w:bCs w:val="0"/>
          <w:i w:val="0"/>
          <w:iCs w:val="0"/>
          <w:caps w:val="0"/>
          <w:smallCaps w:val="0"/>
          <w:noProof w:val="0"/>
          <w:color w:val="000000" w:themeColor="text1" w:themeTint="FF" w:themeShade="FF"/>
          <w:sz w:val="22"/>
          <w:szCs w:val="22"/>
          <w:lang w:val="en-GB"/>
        </w:rPr>
        <w:t>funerary ritual and cultic contexts</w:t>
      </w:r>
      <w:r w:rsidRPr="7A7DCE30" w:rsidR="3BFD1560">
        <w:rPr>
          <w:rFonts w:ascii="Arial" w:hAnsi="Arial" w:eastAsia="Arial" w:cs="Arial"/>
          <w:b w:val="0"/>
          <w:bCs w:val="0"/>
          <w:i w:val="0"/>
          <w:iCs w:val="0"/>
          <w:caps w:val="0"/>
          <w:smallCaps w:val="0"/>
          <w:noProof w:val="0"/>
          <w:color w:val="000000" w:themeColor="text1" w:themeTint="FF" w:themeShade="FF"/>
          <w:sz w:val="22"/>
          <w:szCs w:val="22"/>
          <w:lang w:val="en-GB"/>
        </w:rPr>
        <w:t xml:space="preserve"> and</w:t>
      </w:r>
      <w:r w:rsidRPr="7A7DCE30" w:rsidR="04ACCE68">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 xml:space="preserve">depicted on offering stela, with symbolic significance linked to the ritual function of the vessel. The material escalation of funerary proceedings in the period and the rise of the mortuary cult appears to have a foundation in Predynastic beliefs </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 xml:space="preserve">(Shaw, 2000, p.75, Sowada, 1999, p.85, 99-102, Stevenson, 2015, p.155). </w:t>
      </w:r>
    </w:p>
    <w:p w:rsidR="16088AA7" w:rsidP="7A7DCE30" w:rsidRDefault="16088AA7" w14:paraId="12015217" w14:textId="0C6EB09A">
      <w:pPr>
        <w:bidi w:val="0"/>
        <w:spacing w:before="0" w:beforeAutospacing="off" w:after="160" w:afterAutospacing="off" w:line="278"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Symbolically th</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 xml:space="preserve">e beaker may be an attempt to recognise the duality of the Egyptian landscape – the black of the fertile Nile but also of resurrection and the underworld and the red of the chaotic desert and death or it’s cyclical renewal </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(Sowada,</w:t>
      </w:r>
      <w:r w:rsidRPr="7A7DCE30" w:rsidR="778B322B">
        <w:rPr>
          <w:rFonts w:ascii="Arial" w:hAnsi="Arial" w:eastAsia="Arial" w:cs="Arial"/>
          <w:b w:val="0"/>
          <w:bCs w:val="0"/>
          <w:i w:val="0"/>
          <w:iCs w:val="0"/>
          <w:caps w:val="0"/>
          <w:smallCaps w:val="0"/>
          <w:noProof w:val="0"/>
          <w:color w:val="000000" w:themeColor="text1" w:themeTint="FF" w:themeShade="FF"/>
          <w:sz w:val="22"/>
          <w:szCs w:val="22"/>
          <w:lang w:val="en-GB"/>
        </w:rPr>
        <w:t xml:space="preserve"> 1999, p.102,</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Finkenstaedt</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 1988, p.6-7)</w:t>
      </w:r>
      <w:r w:rsidRPr="7A7DCE30" w:rsidR="5B1B44D0">
        <w:rPr>
          <w:rFonts w:ascii="Arial" w:hAnsi="Arial" w:eastAsia="Arial" w:cs="Arial"/>
          <w:b w:val="0"/>
          <w:bCs w:val="0"/>
          <w:i w:val="0"/>
          <w:iCs w:val="0"/>
          <w:caps w:val="0"/>
          <w:smallCaps w:val="0"/>
          <w:noProof w:val="0"/>
          <w:color w:val="000000" w:themeColor="text1" w:themeTint="FF" w:themeShade="FF"/>
          <w:sz w:val="22"/>
          <w:szCs w:val="22"/>
          <w:lang w:val="en-GB"/>
        </w:rPr>
        <w:t xml:space="preserve">. Alternatively, it may </w:t>
      </w:r>
      <w:r w:rsidRPr="7A7DCE30" w:rsidR="5B1B44D0">
        <w:rPr>
          <w:rFonts w:ascii="Arial" w:hAnsi="Arial" w:eastAsia="Arial" w:cs="Arial"/>
          <w:b w:val="0"/>
          <w:bCs w:val="0"/>
          <w:i w:val="0"/>
          <w:iCs w:val="0"/>
          <w:caps w:val="0"/>
          <w:smallCaps w:val="0"/>
          <w:noProof w:val="0"/>
          <w:color w:val="000000" w:themeColor="text1" w:themeTint="FF" w:themeShade="FF"/>
          <w:sz w:val="22"/>
          <w:szCs w:val="22"/>
          <w:lang w:val="en-GB"/>
        </w:rPr>
        <w:t>reflect</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 xml:space="preserve"> the period of ideological and cultural expansion which preceded the political expansion leading to unification, with</w:t>
      </w:r>
      <w:r w:rsidRPr="7A7DCE30" w:rsidR="74D980EF">
        <w:rPr>
          <w:rFonts w:ascii="Arial" w:hAnsi="Arial" w:eastAsia="Arial" w:cs="Arial"/>
          <w:b w:val="0"/>
          <w:bCs w:val="0"/>
          <w:i w:val="0"/>
          <w:iCs w:val="0"/>
          <w:caps w:val="0"/>
          <w:smallCaps w:val="0"/>
          <w:noProof w:val="0"/>
          <w:color w:val="000000" w:themeColor="text1" w:themeTint="FF" w:themeShade="FF"/>
          <w:sz w:val="22"/>
          <w:szCs w:val="22"/>
          <w:lang w:val="en-GB"/>
        </w:rPr>
        <w:t xml:space="preserve"> B-ware</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 xml:space="preserve"> appearing in Lower Egypt settlement contexts</w:t>
      </w:r>
      <w:r w:rsidRPr="7A7DCE30" w:rsidR="6A1D2313">
        <w:rPr>
          <w:rFonts w:ascii="Arial" w:hAnsi="Arial" w:eastAsia="Arial" w:cs="Arial"/>
          <w:b w:val="0"/>
          <w:bCs w:val="0"/>
          <w:i w:val="0"/>
          <w:iCs w:val="0"/>
          <w:caps w:val="0"/>
          <w:smallCaps w:val="0"/>
          <w:noProof w:val="0"/>
          <w:color w:val="000000" w:themeColor="text1" w:themeTint="FF" w:themeShade="FF"/>
          <w:sz w:val="22"/>
          <w:szCs w:val="22"/>
          <w:lang w:val="en-GB"/>
        </w:rPr>
        <w:t xml:space="preserve"> in </w:t>
      </w:r>
      <w:r w:rsidRPr="7A7DCE30" w:rsidR="6A1D2313">
        <w:rPr>
          <w:rFonts w:ascii="Arial" w:hAnsi="Arial" w:eastAsia="Arial" w:cs="Arial"/>
          <w:b w:val="0"/>
          <w:bCs w:val="0"/>
          <w:i w:val="0"/>
          <w:iCs w:val="0"/>
          <w:caps w:val="0"/>
          <w:smallCaps w:val="0"/>
          <w:noProof w:val="0"/>
          <w:color w:val="000000" w:themeColor="text1" w:themeTint="FF" w:themeShade="FF"/>
          <w:sz w:val="22"/>
          <w:szCs w:val="22"/>
          <w:lang w:val="en-GB"/>
        </w:rPr>
        <w:t>Naqada</w:t>
      </w:r>
      <w:r w:rsidRPr="7A7DCE30" w:rsidR="6A1D2313">
        <w:rPr>
          <w:rFonts w:ascii="Arial" w:hAnsi="Arial" w:eastAsia="Arial" w:cs="Arial"/>
          <w:b w:val="0"/>
          <w:bCs w:val="0"/>
          <w:i w:val="0"/>
          <w:iCs w:val="0"/>
          <w:caps w:val="0"/>
          <w:smallCaps w:val="0"/>
          <w:noProof w:val="0"/>
          <w:color w:val="000000" w:themeColor="text1" w:themeTint="FF" w:themeShade="FF"/>
          <w:sz w:val="22"/>
          <w:szCs w:val="22"/>
          <w:lang w:val="en-GB"/>
        </w:rPr>
        <w:t xml:space="preserve"> II</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(Brewer, 2012, p.77, Ikram, 2003, p.71-73, Wenke, 2009, p.190).</w:t>
      </w:r>
    </w:p>
    <w:p w:rsidR="16088AA7" w:rsidP="7A7DCE30" w:rsidRDefault="16088AA7" w14:paraId="3FE1D946" w14:textId="6F4C358D">
      <w:pPr>
        <w:bidi w:val="0"/>
        <w:spacing w:before="0" w:beforeAutospacing="off" w:after="160" w:afterAutospacing="off" w:line="278"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 xml:space="preserve">CCM 322.004 is a B-ware Type 29b, appearing in Sequence Dates 34, 41 and 58 which fall in the </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Naqada</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 xml:space="preserve"> I and </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Naqada</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 xml:space="preserve"> II periods (Petrie, 1921, Plate IV), wear of the slip indicates a period of functional use, such vessels frequently appear in funerary settings (</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 xml:space="preserve">Bard,1994, p.86, Hendrickx, </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Huyge</w:t>
      </w:r>
      <w:r w:rsidRPr="7A7DCE30" w:rsidR="16088AA7">
        <w:rPr>
          <w:rFonts w:ascii="Arial" w:hAnsi="Arial" w:eastAsia="Arial" w:cs="Arial"/>
          <w:b w:val="0"/>
          <w:bCs w:val="0"/>
          <w:i w:val="0"/>
          <w:iCs w:val="0"/>
          <w:caps w:val="0"/>
          <w:smallCaps w:val="0"/>
          <w:noProof w:val="0"/>
          <w:color w:val="000000" w:themeColor="text1" w:themeTint="FF" w:themeShade="FF"/>
          <w:sz w:val="22"/>
          <w:szCs w:val="22"/>
          <w:lang w:val="en-GB"/>
        </w:rPr>
        <w:t xml:space="preserve"> and Wendrich, 2010, p.23).</w:t>
      </w:r>
    </w:p>
    <w:p w:rsidR="7A7DCE30" w:rsidP="7A7DCE30" w:rsidRDefault="7A7DCE30" w14:paraId="71A2AD40" w14:textId="782DAB5F">
      <w:pPr>
        <w:bidi w:val="0"/>
        <w:spacing w:before="0" w:beforeAutospacing="off" w:after="160" w:afterAutospacing="off" w:line="278"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highlight w:val="green"/>
          <w:lang w:val="en-GB"/>
        </w:rPr>
      </w:pPr>
    </w:p>
    <w:p w:rsidR="7A7DCE30" w:rsidP="7A7DCE30" w:rsidRDefault="7A7DCE30" w14:paraId="54C9472A" w14:textId="2944CF68">
      <w:pPr>
        <w:bidi w:val="0"/>
        <w:spacing w:before="0" w:beforeAutospacing="off" w:after="160" w:afterAutospacing="off" w:line="278"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highlight w:val="green"/>
          <w:lang w:val="en-GB"/>
        </w:rPr>
      </w:pPr>
    </w:p>
    <w:p w:rsidR="7A7DCE30" w:rsidP="7A7DCE30" w:rsidRDefault="7A7DCE30" w14:paraId="73257CB0" w14:textId="5D1C9561">
      <w:pPr>
        <w:bidi w:val="0"/>
        <w:spacing w:before="0" w:beforeAutospacing="off" w:after="160" w:afterAutospacing="off" w:line="278"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highlight w:val="green"/>
          <w:lang w:val="en-GB"/>
        </w:rPr>
      </w:pPr>
    </w:p>
    <w:p w:rsidR="7A7DCE30" w:rsidP="7A7DCE30" w:rsidRDefault="7A7DCE30" w14:paraId="08A864FE" w14:textId="79EC31D3">
      <w:pPr>
        <w:bidi w:val="0"/>
        <w:spacing w:before="0" w:beforeAutospacing="off" w:after="160" w:afterAutospacing="off" w:line="278"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highlight w:val="green"/>
          <w:lang w:val="en-GB"/>
        </w:rPr>
      </w:pPr>
    </w:p>
    <w:p w:rsidR="7A7DCE30" w:rsidP="7A7DCE30" w:rsidRDefault="7A7DCE30" w14:paraId="164263F2" w14:textId="6A86E75D">
      <w:pPr>
        <w:bidi w:val="0"/>
        <w:spacing w:before="0" w:beforeAutospacing="off" w:after="160" w:afterAutospacing="off" w:line="278"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highlight w:val="green"/>
          <w:lang w:val="en-GB"/>
        </w:rPr>
      </w:pPr>
    </w:p>
    <w:p w:rsidR="7A7DCE30" w:rsidP="7A7DCE30" w:rsidRDefault="7A7DCE30" w14:paraId="7DE38AF9" w14:textId="1553735E">
      <w:pPr>
        <w:bidi w:val="0"/>
        <w:spacing w:before="0" w:beforeAutospacing="off" w:after="160" w:afterAutospacing="off" w:line="278"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highlight w:val="green"/>
          <w:lang w:val="en-GB"/>
        </w:rPr>
      </w:pPr>
    </w:p>
    <w:p w:rsidR="7A7DCE30" w:rsidP="7A7DCE30" w:rsidRDefault="7A7DCE30" w14:paraId="6909A5DF" w14:textId="3890CAC4">
      <w:pPr>
        <w:bidi w:val="0"/>
        <w:spacing w:before="0" w:beforeAutospacing="off" w:after="160" w:afterAutospacing="off" w:line="278"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highlight w:val="green"/>
          <w:lang w:val="en-GB"/>
        </w:rPr>
      </w:pPr>
    </w:p>
    <w:p w:rsidR="7A7DCE30" w:rsidP="7A7DCE30" w:rsidRDefault="7A7DCE30" w14:paraId="62D028DE" w14:textId="26892EF6">
      <w:pPr>
        <w:bidi w:val="0"/>
        <w:spacing w:before="0" w:beforeAutospacing="off" w:after="160" w:afterAutospacing="off" w:line="278"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highlight w:val="green"/>
          <w:lang w:val="en-GB"/>
        </w:rPr>
      </w:pPr>
    </w:p>
    <w:p w:rsidR="7A7DCE30" w:rsidP="7A7DCE30" w:rsidRDefault="7A7DCE30" w14:paraId="2DBD8BCE" w14:textId="6D2F974E">
      <w:pPr>
        <w:bidi w:val="0"/>
        <w:spacing w:before="0" w:beforeAutospacing="off" w:after="160" w:afterAutospacing="off" w:line="278"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highlight w:val="green"/>
          <w:lang w:val="en-GB"/>
        </w:rPr>
      </w:pPr>
    </w:p>
    <w:p w:rsidR="7A7DCE30" w:rsidP="7A7DCE30" w:rsidRDefault="7A7DCE30" w14:paraId="44C533F7" w14:textId="5D3489EE">
      <w:pPr>
        <w:bidi w:val="0"/>
        <w:spacing w:before="0" w:beforeAutospacing="off" w:after="160" w:afterAutospacing="off" w:line="278"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highlight w:val="green"/>
          <w:lang w:val="en-GB"/>
        </w:rPr>
      </w:pPr>
    </w:p>
    <w:p w:rsidR="7A7DCE30" w:rsidP="7A7DCE30" w:rsidRDefault="7A7DCE30" w14:paraId="6E59B520" w14:textId="4928C025">
      <w:pPr>
        <w:bidi w:val="0"/>
        <w:spacing w:before="0" w:beforeAutospacing="off" w:after="160" w:afterAutospacing="off" w:line="278"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highlight w:val="green"/>
          <w:lang w:val="en-GB"/>
        </w:rPr>
      </w:pPr>
    </w:p>
    <w:p w:rsidR="7A7DCE30" w:rsidP="7A7DCE30" w:rsidRDefault="7A7DCE30" w14:paraId="7AE173F3" w14:textId="4ECB382F">
      <w:pPr>
        <w:bidi w:val="0"/>
        <w:spacing w:before="0" w:beforeAutospacing="off" w:after="160" w:afterAutospacing="off" w:line="278"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highlight w:val="green"/>
          <w:lang w:val="en-GB"/>
        </w:rPr>
      </w:pPr>
    </w:p>
    <w:p w:rsidR="7A7DCE30" w:rsidP="7A7DCE30" w:rsidRDefault="7A7DCE30" w14:paraId="745747BE" w14:textId="09407E8B">
      <w:pPr>
        <w:bidi w:val="0"/>
        <w:spacing w:before="0" w:beforeAutospacing="off" w:after="160" w:afterAutospacing="off" w:line="278"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highlight w:val="green"/>
          <w:lang w:val="en-GB"/>
        </w:rPr>
      </w:pPr>
    </w:p>
    <w:p w:rsidR="7A7DCE30" w:rsidP="7A7DCE30" w:rsidRDefault="7A7DCE30" w14:paraId="4FAA82A3" w14:textId="1866C53A">
      <w:pPr>
        <w:bidi w:val="0"/>
        <w:spacing w:before="0" w:beforeAutospacing="off" w:after="160" w:afterAutospacing="off" w:line="278"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highlight w:val="green"/>
          <w:lang w:val="en-GB"/>
        </w:rPr>
      </w:pPr>
    </w:p>
    <w:p w:rsidR="7A7DCE30" w:rsidP="7A7DCE30" w:rsidRDefault="7A7DCE30" w14:paraId="4F6A9759" w14:textId="5E2474BB">
      <w:pPr>
        <w:bidi w:val="0"/>
        <w:spacing w:before="0" w:beforeAutospacing="off" w:after="160" w:afterAutospacing="off" w:line="278"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highlight w:val="green"/>
          <w:lang w:val="en-GB"/>
        </w:rPr>
      </w:pPr>
    </w:p>
    <w:p w:rsidR="7A7DCE30" w:rsidP="7A7DCE30" w:rsidRDefault="7A7DCE30" w14:paraId="338C6C43" w14:textId="0DAC3D99">
      <w:pPr>
        <w:bidi w:val="0"/>
        <w:spacing w:line="278" w:lineRule="auto"/>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US"/>
        </w:rPr>
      </w:pPr>
    </w:p>
    <w:p w:rsidR="3176FDEF" w:rsidP="7A7DCE30" w:rsidRDefault="3176FDEF" w14:paraId="1B8F4513" w14:textId="2EA8FA96">
      <w:pPr>
        <w:bidi w:val="0"/>
        <w:spacing w:line="278"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A7DCE30" w:rsidR="3176FDEF">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US"/>
        </w:rPr>
        <w:t xml:space="preserve">Bibliography </w:t>
      </w:r>
    </w:p>
    <w:p w:rsidR="3176FDEF" w:rsidP="7A7DCE30" w:rsidRDefault="3176FDEF" w14:paraId="5D4A966D" w14:textId="131C0822">
      <w:pPr>
        <w:bidi w:val="0"/>
        <w:spacing w:line="278"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Adams, B. (1988) </w:t>
      </w:r>
      <w:r w:rsidRPr="7A7DCE30" w:rsidR="3176FDEF">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US"/>
        </w:rPr>
        <w:t xml:space="preserve">Predynastic Egypt. </w:t>
      </w: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Shire Publications.</w:t>
      </w:r>
    </w:p>
    <w:p w:rsidR="3176FDEF" w:rsidP="7A7DCE30" w:rsidRDefault="3176FDEF" w14:paraId="459D878D" w14:textId="012B62F0">
      <w:pPr>
        <w:bidi w:val="0"/>
        <w:spacing w:line="278"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Bajedot, J., Ownby, M. and Gatto, M.C. (2024) ‘The Social Implication of a “mixed” Ceramic Assemblage: Understanding the Predynastic Community of Nag el-Qarmila (First Nile Cataract, Egypt) Through Pottery Technology’, </w:t>
      </w:r>
      <w:r w:rsidRPr="7A7DCE30" w:rsidR="3176FDEF">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GB"/>
        </w:rPr>
        <w:t>African Archaeological Review</w:t>
      </w: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41, pp. </w:t>
      </w: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443–475. Available at </w:t>
      </w:r>
      <w:hyperlink r:id="Rd65a2bd50e4f4ca1">
        <w:r w:rsidRPr="7A7DCE30" w:rsidR="3176FDEF">
          <w:rPr>
            <w:rStyle w:val="Hyperlink"/>
            <w:rFonts w:ascii="Arial" w:hAnsi="Arial" w:eastAsia="Arial" w:cs="Arial"/>
            <w:b w:val="0"/>
            <w:bCs w:val="0"/>
            <w:i w:val="0"/>
            <w:iCs w:val="0"/>
            <w:caps w:val="0"/>
            <w:smallCaps w:val="0"/>
            <w:strike w:val="0"/>
            <w:dstrike w:val="0"/>
            <w:noProof w:val="0"/>
            <w:sz w:val="22"/>
            <w:szCs w:val="22"/>
            <w:lang w:val="en-US"/>
          </w:rPr>
          <w:t>https://link.springer.com/article/10.1007/s10437-024-09602-8</w:t>
        </w:r>
      </w:hyperlink>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(Accessed 13 October 2025)</w:t>
      </w:r>
    </w:p>
    <w:p w:rsidR="3176FDEF" w:rsidP="7A7DCE30" w:rsidRDefault="3176FDEF" w14:paraId="5CE96C2F" w14:textId="6939A8B9">
      <w:pPr>
        <w:bidi w:val="0"/>
        <w:spacing w:line="278"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Bard, K.A. (1994) </w:t>
      </w:r>
      <w:r w:rsidRPr="7A7DCE30" w:rsidR="3176FDEF">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US"/>
        </w:rPr>
        <w:t xml:space="preserve">From Farmers to Pharaohs. Mortuary Evidence for the Rise of Complex Society in Egypt. </w:t>
      </w: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Sheffield Academic Press. </w:t>
      </w:r>
    </w:p>
    <w:p w:rsidR="3176FDEF" w:rsidP="7A7DCE30" w:rsidRDefault="3176FDEF" w14:paraId="567611A8" w14:textId="10A322B3">
      <w:pPr>
        <w:bidi w:val="0"/>
        <w:spacing w:line="278"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Bourriau, J. D., Nicholson, P. T. and Rose, P. J. (2000) ‘Pottery’ in Nicholson, P. T. and Shaw, I. (eds) </w:t>
      </w:r>
      <w:r w:rsidRPr="7A7DCE30" w:rsidR="3176FDEF">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GB"/>
        </w:rPr>
        <w:t xml:space="preserve">Ancient Egyptian materials and technology. </w:t>
      </w: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Cambridge University Press, pp. 121-147.</w:t>
      </w:r>
    </w:p>
    <w:p w:rsidR="3176FDEF" w:rsidP="7A7DCE30" w:rsidRDefault="3176FDEF" w14:paraId="1A503F2E" w14:textId="6B5F5471">
      <w:pPr>
        <w:bidi w:val="0"/>
        <w:rPr>
          <w:rFonts w:ascii="Arial" w:hAnsi="Arial" w:eastAsia="Arial" w:cs="Arial"/>
          <w:b w:val="0"/>
          <w:bCs w:val="0"/>
          <w:i w:val="0"/>
          <w:iCs w:val="0"/>
          <w:caps w:val="0"/>
          <w:smallCaps w:val="0"/>
          <w:noProof w:val="0"/>
          <w:color w:val="000000" w:themeColor="text1" w:themeTint="FF" w:themeShade="FF"/>
          <w:sz w:val="22"/>
          <w:szCs w:val="22"/>
          <w:lang w:val="en-GB"/>
        </w:rPr>
      </w:pP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Brewer, D. J. (2012) </w:t>
      </w:r>
      <w:r w:rsidRPr="7A7DCE30" w:rsidR="3176FDEF">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GB"/>
        </w:rPr>
        <w:t xml:space="preserve">The Archaeology of Ancient Egypt Beyond Pharaohs. </w:t>
      </w: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Cambridge University Press.</w:t>
      </w:r>
    </w:p>
    <w:p w:rsidR="3176FDEF" w:rsidP="7A7DCE30" w:rsidRDefault="3176FDEF" w14:paraId="30437D14" w14:textId="7843BF72">
      <w:pPr>
        <w:bidi w:val="0"/>
        <w:rPr>
          <w:rFonts w:ascii="Arial" w:hAnsi="Arial" w:eastAsia="Arial" w:cs="Arial"/>
          <w:b w:val="0"/>
          <w:bCs w:val="0"/>
          <w:i w:val="0"/>
          <w:iCs w:val="0"/>
          <w:caps w:val="0"/>
          <w:smallCaps w:val="0"/>
          <w:noProof w:val="0"/>
          <w:color w:val="000000" w:themeColor="text1" w:themeTint="FF" w:themeShade="FF"/>
          <w:sz w:val="22"/>
          <w:szCs w:val="22"/>
          <w:lang w:val="en-GB"/>
        </w:rPr>
      </w:pP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Dee, M. W., Wengrow, D., Shortland, A. J., Stevenson, A., Brock, F. and Ramsey, C. B. (2014) ‘Radio Carbon Dating and the Naqada relative chronology’, </w:t>
      </w:r>
      <w:r w:rsidRPr="7A7DCE30" w:rsidR="3176FDEF">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GB"/>
        </w:rPr>
        <w:t xml:space="preserve">Journal of Archaeological Science, </w:t>
      </w: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46, pp. 319-323. Available at: </w:t>
      </w:r>
      <w:hyperlink r:id="Raeccc94d21274ecf">
        <w:r w:rsidRPr="7A7DCE30" w:rsidR="3176FDEF">
          <w:rPr>
            <w:rStyle w:val="Hyperlink"/>
            <w:rFonts w:ascii="Arial" w:hAnsi="Arial" w:eastAsia="Arial" w:cs="Arial"/>
            <w:b w:val="0"/>
            <w:bCs w:val="0"/>
            <w:i w:val="0"/>
            <w:iCs w:val="0"/>
            <w:caps w:val="0"/>
            <w:smallCaps w:val="0"/>
            <w:strike w:val="0"/>
            <w:dstrike w:val="0"/>
            <w:noProof w:val="0"/>
            <w:sz w:val="22"/>
            <w:szCs w:val="22"/>
            <w:lang w:val="en-GB"/>
          </w:rPr>
          <w:t>https://doi.org/10.1016/j.jas.2014.03.016.</w:t>
        </w:r>
      </w:hyperlink>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(Accessed 15 October 2025)</w:t>
      </w:r>
    </w:p>
    <w:p w:rsidR="3176FDEF" w:rsidP="7A7DCE30" w:rsidRDefault="3176FDEF" w14:paraId="49C46B19" w14:textId="06AFB961">
      <w:pPr>
        <w:bidi w:val="0"/>
        <w:rPr>
          <w:rFonts w:ascii="Arial" w:hAnsi="Arial" w:eastAsia="Arial" w:cs="Arial"/>
          <w:b w:val="0"/>
          <w:bCs w:val="0"/>
          <w:i w:val="0"/>
          <w:iCs w:val="0"/>
          <w:caps w:val="0"/>
          <w:smallCaps w:val="0"/>
          <w:noProof w:val="0"/>
          <w:color w:val="000000" w:themeColor="text1" w:themeTint="FF" w:themeShade="FF"/>
          <w:sz w:val="22"/>
          <w:szCs w:val="22"/>
          <w:lang w:val="en-GB"/>
        </w:rPr>
      </w:pP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Eyckerman, M and Hendrickx, S. (2008) ‘The Naqada I tombs H17 and H41 at el-Mahâsna: A Visual Reconstruction’ in Friedman, R. F. and Fiske, P. N. (eds) </w:t>
      </w:r>
      <w:r w:rsidRPr="7A7DCE30" w:rsidR="3176FDEF">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US"/>
        </w:rPr>
        <w:t>Proceedings of the Third International Conference “Origin of the State. Predynastic and Early Dynastic Egypt”, London, 27th July – 1st August 2008</w:t>
      </w: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pp. 379-427. Available at </w:t>
      </w:r>
      <w:hyperlink r:id="Ra27ad260e16f470d">
        <w:r w:rsidRPr="7A7DCE30" w:rsidR="3176FDEF">
          <w:rPr>
            <w:rStyle w:val="Hyperlink"/>
            <w:rFonts w:ascii="Arial" w:hAnsi="Arial" w:eastAsia="Arial" w:cs="Arial"/>
            <w:b w:val="0"/>
            <w:bCs w:val="0"/>
            <w:i w:val="0"/>
            <w:iCs w:val="0"/>
            <w:caps w:val="0"/>
            <w:smallCaps w:val="0"/>
            <w:strike w:val="0"/>
            <w:dstrike w:val="0"/>
            <w:noProof w:val="0"/>
            <w:sz w:val="22"/>
            <w:szCs w:val="22"/>
            <w:lang w:val="en-US"/>
          </w:rPr>
          <w:t>https://www.academia.edu/855402/Eyckerman_M_and_Hendrickx_S_The_Naqada_I_tombs_H17_and_H41_at_el_Mahasna_a_visual_reconstruction_in_Friedman_R_F_and_Fiske_P_N_eds_Egypt_at_its_Origins_3_Proceedings_of_the_International_Conference_Origin_of_the_State</w:t>
        </w:r>
      </w:hyperlink>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_Predynastic_and_Early_Dynastic_Egypt_London_27th_July_1st_August_2008_OLA_205_Leuven_379_429</w:t>
      </w: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(Accessed: 18 October 2025)</w:t>
      </w:r>
    </w:p>
    <w:p w:rsidR="3176FDEF" w:rsidP="7A7DCE30" w:rsidRDefault="3176FDEF" w14:paraId="23AF35AD" w14:textId="7AFC3ACF">
      <w:pPr>
        <w:bidi w:val="0"/>
        <w:rPr>
          <w:rFonts w:ascii="Arial" w:hAnsi="Arial" w:eastAsia="Arial" w:cs="Arial"/>
          <w:b w:val="0"/>
          <w:bCs w:val="0"/>
          <w:i w:val="0"/>
          <w:iCs w:val="0"/>
          <w:caps w:val="0"/>
          <w:smallCaps w:val="0"/>
          <w:noProof w:val="0"/>
          <w:color w:val="000000" w:themeColor="text1" w:themeTint="FF" w:themeShade="FF"/>
          <w:sz w:val="22"/>
          <w:szCs w:val="22"/>
          <w:lang w:val="en-GB"/>
        </w:rPr>
      </w:pP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Finkenstaedt, E. (1988) ‘Prehistoric Egyptian Pottery’, </w:t>
      </w:r>
      <w:r w:rsidRPr="7A7DCE30" w:rsidR="3176FDEF">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US"/>
        </w:rPr>
        <w:t>The Bulletin of the Cleveland Museum of Art</w:t>
      </w: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75(3), pp. 74-94.  Available at: </w:t>
      </w:r>
      <w:hyperlink r:id="Redcb88bb9a09448d">
        <w:r w:rsidRPr="7A7DCE30" w:rsidR="3176FDEF">
          <w:rPr>
            <w:rStyle w:val="Hyperlink"/>
            <w:rFonts w:ascii="Arial" w:hAnsi="Arial" w:eastAsia="Arial" w:cs="Arial"/>
            <w:b w:val="0"/>
            <w:bCs w:val="0"/>
            <w:i w:val="0"/>
            <w:iCs w:val="0"/>
            <w:caps w:val="0"/>
            <w:smallCaps w:val="0"/>
            <w:strike w:val="0"/>
            <w:dstrike w:val="0"/>
            <w:noProof w:val="0"/>
            <w:sz w:val="22"/>
            <w:szCs w:val="22"/>
            <w:lang w:val="en-US"/>
          </w:rPr>
          <w:t>www.jstor.org/stable/2516002</w:t>
        </w:r>
      </w:hyperlink>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Accessed (17 October 2025)</w:t>
      </w:r>
    </w:p>
    <w:p w:rsidR="3176FDEF" w:rsidP="7A7DCE30" w:rsidRDefault="3176FDEF" w14:paraId="39C021F0" w14:textId="6D6967BB">
      <w:pPr>
        <w:bidi w:val="0"/>
        <w:rPr>
          <w:rFonts w:ascii="Arial" w:hAnsi="Arial" w:eastAsia="Arial" w:cs="Arial"/>
          <w:b w:val="0"/>
          <w:bCs w:val="0"/>
          <w:i w:val="0"/>
          <w:iCs w:val="0"/>
          <w:caps w:val="0"/>
          <w:smallCaps w:val="0"/>
          <w:noProof w:val="0"/>
          <w:color w:val="000000" w:themeColor="text1" w:themeTint="FF" w:themeShade="FF"/>
          <w:sz w:val="22"/>
          <w:szCs w:val="22"/>
          <w:lang w:val="en-GB"/>
        </w:rPr>
      </w:pP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Hendrickx, S. (2011) ‘Craft and Craft Specializations’ in Teeter, E. (ed) </w:t>
      </w:r>
      <w:r w:rsidRPr="7A7DCE30" w:rsidR="3176FDEF">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US"/>
        </w:rPr>
        <w:t>Before the Pyramids.</w:t>
      </w: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University of Chicago, pp. 93-102.</w:t>
      </w:r>
    </w:p>
    <w:p w:rsidR="3176FDEF" w:rsidP="7A7DCE30" w:rsidRDefault="3176FDEF" w14:paraId="2354D77A" w14:textId="41054884">
      <w:pPr>
        <w:bidi w:val="0"/>
        <w:rPr>
          <w:rFonts w:ascii="Arial" w:hAnsi="Arial" w:eastAsia="Arial" w:cs="Arial"/>
          <w:b w:val="0"/>
          <w:bCs w:val="0"/>
          <w:i w:val="0"/>
          <w:iCs w:val="0"/>
          <w:caps w:val="0"/>
          <w:smallCaps w:val="0"/>
          <w:noProof w:val="0"/>
          <w:color w:val="000000" w:themeColor="text1" w:themeTint="FF" w:themeShade="FF"/>
          <w:sz w:val="22"/>
          <w:szCs w:val="22"/>
          <w:lang w:val="en-GB"/>
        </w:rPr>
      </w:pP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Hendrickx, S., Friedman, R. and Loyens, F. (2000) ‘Experimental Archaeology concerning Black-Topped Pottery from Ancient Egypt and the Sudan’, </w:t>
      </w:r>
      <w:r w:rsidRPr="7A7DCE30" w:rsidR="3176FDEF">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US"/>
        </w:rPr>
        <w:t xml:space="preserve">Cahiers de le Ceramique Egyptienne, </w:t>
      </w: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6, pp.171-187. Available at: </w:t>
      </w:r>
      <w:hyperlink r:id="R4f4097c7dede41b9">
        <w:r w:rsidRPr="7A7DCE30" w:rsidR="3176FDEF">
          <w:rPr>
            <w:rStyle w:val="Hyperlink"/>
            <w:rFonts w:ascii="Arial" w:hAnsi="Arial" w:eastAsia="Arial" w:cs="Arial"/>
            <w:b w:val="0"/>
            <w:bCs w:val="0"/>
            <w:i w:val="0"/>
            <w:iCs w:val="0"/>
            <w:caps w:val="0"/>
            <w:smallCaps w:val="0"/>
            <w:strike w:val="0"/>
            <w:dstrike w:val="0"/>
            <w:noProof w:val="0"/>
            <w:sz w:val="22"/>
            <w:szCs w:val="22"/>
            <w:lang w:val="en-US"/>
          </w:rPr>
          <w:t>https://www.academia.edu/800341/Hendrickx_S_Friedman_R_F_and_Loyens_F_Experimental_archaeology_concerning_black_topped_pottery_from_ancient_Egypt_and_the_Sudan_in_Marchand_S_ed_Cahiers_de_la_C%C3%A9ramique_%C3%89gyptienne_6_Le_Caire_2000_171_187</w:t>
        </w:r>
      </w:hyperlink>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(Accessed: 18 October 2025)</w:t>
      </w:r>
    </w:p>
    <w:p w:rsidR="3176FDEF" w:rsidP="7A7DCE30" w:rsidRDefault="3176FDEF" w14:paraId="14C69FCE" w14:textId="7233DDBB">
      <w:pPr>
        <w:bidi w:val="0"/>
        <w:rPr>
          <w:rFonts w:ascii="Arial" w:hAnsi="Arial" w:eastAsia="Arial" w:cs="Arial"/>
          <w:b w:val="0"/>
          <w:bCs w:val="0"/>
          <w:i w:val="0"/>
          <w:iCs w:val="0"/>
          <w:caps w:val="0"/>
          <w:smallCaps w:val="0"/>
          <w:noProof w:val="0"/>
          <w:color w:val="000000" w:themeColor="text1" w:themeTint="FF" w:themeShade="FF"/>
          <w:sz w:val="22"/>
          <w:szCs w:val="22"/>
          <w:lang w:val="en-GB"/>
        </w:rPr>
      </w:pP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Hendrickx, S., Huyge, D. and Wendrich, W. (2010) ‘Worship without writing’ in Wendrich, W. (ed) </w:t>
      </w:r>
      <w:r w:rsidRPr="7A7DCE30" w:rsidR="3176FDEF">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US"/>
        </w:rPr>
        <w:t xml:space="preserve">Egyptian archeology. </w:t>
      </w: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Wiley Blackwell, pp 15-35.</w:t>
      </w:r>
    </w:p>
    <w:p w:rsidR="3176FDEF" w:rsidP="7A7DCE30" w:rsidRDefault="3176FDEF" w14:paraId="63936DE4" w14:textId="1F6F97ED">
      <w:pPr>
        <w:bidi w:val="0"/>
        <w:rPr>
          <w:rFonts w:ascii="Arial" w:hAnsi="Arial" w:eastAsia="Arial" w:cs="Arial"/>
          <w:b w:val="0"/>
          <w:bCs w:val="0"/>
          <w:i w:val="0"/>
          <w:iCs w:val="0"/>
          <w:caps w:val="0"/>
          <w:smallCaps w:val="0"/>
          <w:noProof w:val="0"/>
          <w:color w:val="000000" w:themeColor="text1" w:themeTint="FF" w:themeShade="FF"/>
          <w:sz w:val="22"/>
          <w:szCs w:val="22"/>
          <w:lang w:val="en-GB"/>
        </w:rPr>
      </w:pP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Ikram, S. (2003) </w:t>
      </w:r>
      <w:r w:rsidRPr="7A7DCE30" w:rsidR="3176FDEF">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US"/>
        </w:rPr>
        <w:t>Death and Burial in Ancient Egypt</w:t>
      </w: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American University in Cairo Press. </w:t>
      </w:r>
    </w:p>
    <w:p w:rsidR="3176FDEF" w:rsidP="7A7DCE30" w:rsidRDefault="3176FDEF" w14:paraId="683EC194" w14:textId="3D142CDC">
      <w:pPr>
        <w:bidi w:val="0"/>
        <w:rPr>
          <w:rFonts w:ascii="Arial" w:hAnsi="Arial" w:eastAsia="Arial" w:cs="Arial"/>
          <w:b w:val="0"/>
          <w:bCs w:val="0"/>
          <w:i w:val="0"/>
          <w:iCs w:val="0"/>
          <w:caps w:val="0"/>
          <w:smallCaps w:val="0"/>
          <w:noProof w:val="0"/>
          <w:color w:val="000000" w:themeColor="text1" w:themeTint="FF" w:themeShade="FF"/>
          <w:sz w:val="22"/>
          <w:szCs w:val="22"/>
          <w:lang w:val="en-GB"/>
        </w:rPr>
      </w:pP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Midant-Reynes, B. Buchez, N., Crubezy, E. and Janin, T. (1996) ‘The Predynastic Site of Adaima: Settlement and Cemetery’ in Spencer, J. (ed) </w:t>
      </w:r>
      <w:r w:rsidRPr="7A7DCE30" w:rsidR="3176FDEF">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US"/>
        </w:rPr>
        <w:t xml:space="preserve">Aspects of Early Egypt. </w:t>
      </w: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British Museum Press, pp. 93-97.</w:t>
      </w:r>
    </w:p>
    <w:p w:rsidR="3176FDEF" w:rsidP="7A7DCE30" w:rsidRDefault="3176FDEF" w14:paraId="1AFBD8BA" w14:textId="7E76A659">
      <w:pPr>
        <w:bidi w:val="0"/>
        <w:rPr>
          <w:rFonts w:ascii="Arial" w:hAnsi="Arial" w:eastAsia="Arial" w:cs="Arial"/>
          <w:b w:val="0"/>
          <w:bCs w:val="0"/>
          <w:i w:val="0"/>
          <w:iCs w:val="0"/>
          <w:caps w:val="0"/>
          <w:smallCaps w:val="0"/>
          <w:noProof w:val="0"/>
          <w:color w:val="000000" w:themeColor="text1" w:themeTint="FF" w:themeShade="FF"/>
          <w:sz w:val="22"/>
          <w:szCs w:val="22"/>
          <w:lang w:val="en-GB"/>
        </w:rPr>
      </w:pP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Petrie, W. M. F. (1901) </w:t>
      </w:r>
      <w:r w:rsidRPr="7A7DCE30" w:rsidR="3176FDEF">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US"/>
        </w:rPr>
        <w:t xml:space="preserve">Diospolis Parva the cemeteries at Abadiyeh and Hu 1898-9. </w:t>
      </w: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Egypt Exploration Fund. Available at: </w:t>
      </w:r>
      <w:hyperlink r:id="Rd9cd665a62a1457e">
        <w:r w:rsidRPr="7A7DCE30" w:rsidR="3176FDEF">
          <w:rPr>
            <w:rStyle w:val="Hyperlink"/>
            <w:rFonts w:ascii="Arial" w:hAnsi="Arial" w:eastAsia="Arial" w:cs="Arial"/>
            <w:b w:val="0"/>
            <w:bCs w:val="0"/>
            <w:i w:val="0"/>
            <w:iCs w:val="0"/>
            <w:caps w:val="0"/>
            <w:smallCaps w:val="0"/>
            <w:strike w:val="0"/>
            <w:dstrike w:val="0"/>
            <w:noProof w:val="0"/>
            <w:sz w:val="22"/>
            <w:szCs w:val="22"/>
            <w:lang w:val="en-US"/>
          </w:rPr>
          <w:t>https://ia801303.us.archive.org/8/items/diospolisparvac01macegoog/diospolisparvac01macegoog.pdf</w:t>
        </w:r>
      </w:hyperlink>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(Accessed: 15 October </w:t>
      </w: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2025)</w:t>
      </w:r>
    </w:p>
    <w:p w:rsidR="3176FDEF" w:rsidP="7A7DCE30" w:rsidRDefault="3176FDEF" w14:paraId="761F2410" w14:textId="52B02F16">
      <w:pPr>
        <w:bidi w:val="0"/>
        <w:rPr>
          <w:rFonts w:ascii="Arial" w:hAnsi="Arial" w:eastAsia="Arial" w:cs="Arial"/>
          <w:b w:val="0"/>
          <w:bCs w:val="0"/>
          <w:i w:val="0"/>
          <w:iCs w:val="0"/>
          <w:caps w:val="0"/>
          <w:smallCaps w:val="0"/>
          <w:noProof w:val="0"/>
          <w:color w:val="000000" w:themeColor="text1" w:themeTint="FF" w:themeShade="FF"/>
          <w:sz w:val="22"/>
          <w:szCs w:val="22"/>
          <w:lang w:val="en-GB"/>
        </w:rPr>
      </w:pP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Petrie, W. M. F. (1921) </w:t>
      </w:r>
      <w:r w:rsidRPr="7A7DCE30" w:rsidR="3176FDEF">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US"/>
        </w:rPr>
        <w:t xml:space="preserve">Corpus of Prehistoric Pottery and Pallets. </w:t>
      </w: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British School of Archaeology in Egypt. Available at: </w:t>
      </w:r>
      <w:hyperlink r:id="R063a397449c241ce">
        <w:r w:rsidRPr="7A7DCE30" w:rsidR="3176FDEF">
          <w:rPr>
            <w:rStyle w:val="Hyperlink"/>
            <w:rFonts w:ascii="Arial" w:hAnsi="Arial" w:eastAsia="Arial" w:cs="Arial"/>
            <w:b w:val="0"/>
            <w:bCs w:val="0"/>
            <w:i w:val="0"/>
            <w:iCs w:val="0"/>
            <w:caps w:val="0"/>
            <w:smallCaps w:val="0"/>
            <w:strike w:val="0"/>
            <w:dstrike w:val="0"/>
            <w:noProof w:val="0"/>
            <w:sz w:val="22"/>
            <w:szCs w:val="22"/>
            <w:lang w:val="en-US"/>
          </w:rPr>
          <w:t>https://ia903403.us.archive.org/20/items/corpus-of-prehistoric-pottery-and-palettes/Corpus%20of%20Prehistoric%20Pottery%20and%20Palettes.pdf</w:t>
        </w:r>
      </w:hyperlink>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(Accessed 15 October 2025)</w:t>
      </w:r>
    </w:p>
    <w:p w:rsidR="3176FDEF" w:rsidP="7A7DCE30" w:rsidRDefault="3176FDEF" w14:paraId="2B236038" w14:textId="1EAADB7C">
      <w:pPr>
        <w:bidi w:val="0"/>
        <w:rPr>
          <w:rFonts w:ascii="Arial" w:hAnsi="Arial" w:eastAsia="Arial" w:cs="Arial"/>
          <w:b w:val="0"/>
          <w:bCs w:val="0"/>
          <w:i w:val="0"/>
          <w:iCs w:val="0"/>
          <w:caps w:val="0"/>
          <w:smallCaps w:val="0"/>
          <w:noProof w:val="0"/>
          <w:color w:val="000000" w:themeColor="text1" w:themeTint="FF" w:themeShade="FF"/>
          <w:sz w:val="22"/>
          <w:szCs w:val="22"/>
          <w:lang w:val="en-GB"/>
        </w:rPr>
      </w:pP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Shaw, I. (2000) </w:t>
      </w:r>
      <w:r w:rsidRPr="7A7DCE30" w:rsidR="3176FDEF">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US"/>
        </w:rPr>
        <w:t xml:space="preserve">The Oxford History of Ancient Egypt. </w:t>
      </w: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Oxford University Press.</w:t>
      </w:r>
    </w:p>
    <w:p w:rsidR="3176FDEF" w:rsidP="7A7DCE30" w:rsidRDefault="3176FDEF" w14:paraId="320E28B0" w14:textId="4594D2AF">
      <w:pPr>
        <w:bidi w:val="0"/>
        <w:rPr>
          <w:rFonts w:ascii="Arial" w:hAnsi="Arial" w:eastAsia="Arial" w:cs="Arial"/>
          <w:b w:val="0"/>
          <w:bCs w:val="0"/>
          <w:i w:val="0"/>
          <w:iCs w:val="0"/>
          <w:caps w:val="0"/>
          <w:smallCaps w:val="0"/>
          <w:noProof w:val="0"/>
          <w:color w:val="000000" w:themeColor="text1" w:themeTint="FF" w:themeShade="FF"/>
          <w:sz w:val="22"/>
          <w:szCs w:val="22"/>
          <w:lang w:val="en-GB"/>
        </w:rPr>
      </w:pP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Sowada, K.N. (1999) ‘Black topped ware in Early Dynastic Contexts’, </w:t>
      </w:r>
      <w:r w:rsidRPr="7A7DCE30" w:rsidR="3176FDEF">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GB"/>
        </w:rPr>
        <w:t>Egypt Exploration Society; Journal of Egyptian archaeology</w:t>
      </w: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85 (1), pp. 85-102. Available at: </w:t>
      </w:r>
      <w:hyperlink r:id="R7ed7fe17ddbb421e">
        <w:r w:rsidRPr="7A7DCE30" w:rsidR="3176FDEF">
          <w:rPr>
            <w:rStyle w:val="Hyperlink"/>
            <w:rFonts w:ascii="Arial" w:hAnsi="Arial" w:eastAsia="Arial" w:cs="Arial"/>
            <w:b w:val="0"/>
            <w:bCs w:val="0"/>
            <w:i w:val="0"/>
            <w:iCs w:val="0"/>
            <w:caps w:val="0"/>
            <w:smallCaps w:val="0"/>
            <w:strike w:val="0"/>
            <w:dstrike w:val="0"/>
            <w:noProof w:val="0"/>
            <w:sz w:val="22"/>
            <w:szCs w:val="22"/>
            <w:lang w:val="en-GB"/>
          </w:rPr>
          <w:t>https://journals.sagepub.com/doi/epdf/10.1177/030751339908500106.</w:t>
        </w:r>
      </w:hyperlink>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(Accessed 13 October 2025)</w:t>
      </w:r>
    </w:p>
    <w:p w:rsidR="3176FDEF" w:rsidP="7A7DCE30" w:rsidRDefault="3176FDEF" w14:paraId="37901BCF" w14:textId="6E90AD60">
      <w:pPr>
        <w:bidi w:val="0"/>
        <w:rPr>
          <w:rFonts w:ascii="Arial" w:hAnsi="Arial" w:eastAsia="Arial" w:cs="Arial"/>
          <w:b w:val="0"/>
          <w:bCs w:val="0"/>
          <w:i w:val="0"/>
          <w:iCs w:val="0"/>
          <w:caps w:val="0"/>
          <w:smallCaps w:val="0"/>
          <w:noProof w:val="0"/>
          <w:color w:val="000000" w:themeColor="text1" w:themeTint="FF" w:themeShade="FF"/>
          <w:sz w:val="22"/>
          <w:szCs w:val="22"/>
          <w:lang w:val="en-GB"/>
        </w:rPr>
      </w:pP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Stevenson, A. (2015) ‘Telling Times: Time and Ritual in the Realization of the early Egyptian State’, </w:t>
      </w:r>
      <w:r w:rsidRPr="7A7DCE30" w:rsidR="3176FDEF">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US"/>
        </w:rPr>
        <w:t xml:space="preserve">Cambridge Archaeological Journal, </w:t>
      </w: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25(1), pp. 145-161. Available at doi: 10.1017/S0959774314000742. (Accessed: 18 October 2025)</w:t>
      </w:r>
    </w:p>
    <w:p w:rsidR="3176FDEF" w:rsidP="7A7DCE30" w:rsidRDefault="3176FDEF" w14:paraId="5C554D9C" w14:textId="1DDACB4E">
      <w:pPr>
        <w:bidi w:val="0"/>
        <w:rPr>
          <w:rFonts w:ascii="Arial" w:hAnsi="Arial" w:eastAsia="Arial" w:cs="Arial"/>
          <w:b w:val="0"/>
          <w:bCs w:val="0"/>
          <w:i w:val="0"/>
          <w:iCs w:val="0"/>
          <w:caps w:val="0"/>
          <w:smallCaps w:val="0"/>
          <w:noProof w:val="0"/>
          <w:color w:val="000000" w:themeColor="text1" w:themeTint="FF" w:themeShade="FF"/>
          <w:sz w:val="22"/>
          <w:szCs w:val="22"/>
          <w:lang w:val="en-GB"/>
        </w:rPr>
      </w:pP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Takenouchi, K. and Yamahana, K. (2021) ‘Fine pottery shaping techniques in Predynastic Egypt: A pilot study on non-destructive analysis using an X-ray CT scanning system’, </w:t>
      </w:r>
      <w:r w:rsidRPr="7A7DCE30" w:rsidR="3176FDEF">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US"/>
        </w:rPr>
        <w:t>Journal of Archaeological Science: Reports</w:t>
      </w: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37, pp. 1-15. Available at </w:t>
      </w:r>
      <w:hyperlink r:id="Rc449cd52bef549f3">
        <w:r w:rsidRPr="7A7DCE30" w:rsidR="3176FDEF">
          <w:rPr>
            <w:rStyle w:val="Hyperlink"/>
            <w:rFonts w:ascii="Arial" w:hAnsi="Arial" w:eastAsia="Arial" w:cs="Arial"/>
            <w:b w:val="0"/>
            <w:bCs w:val="0"/>
            <w:i w:val="0"/>
            <w:iCs w:val="0"/>
            <w:caps w:val="0"/>
            <w:smallCaps w:val="0"/>
            <w:strike w:val="0"/>
            <w:dstrike w:val="0"/>
            <w:noProof w:val="0"/>
            <w:sz w:val="22"/>
            <w:szCs w:val="22"/>
            <w:lang w:val="en-US"/>
          </w:rPr>
          <w:t>https://www.sciencedirect.com/science/article/pii/S2352409X21002017</w:t>
        </w:r>
      </w:hyperlink>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(Accessed 15 October 2025)</w:t>
      </w: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w:t>
      </w:r>
    </w:p>
    <w:p w:rsidR="3176FDEF" w:rsidP="7A7DCE30" w:rsidRDefault="3176FDEF" w14:paraId="748F9470" w14:textId="542FC55D">
      <w:pPr>
        <w:bidi w:val="0"/>
        <w:rPr>
          <w:rFonts w:ascii="Arial" w:hAnsi="Arial" w:eastAsia="Arial" w:cs="Arial"/>
          <w:b w:val="0"/>
          <w:bCs w:val="0"/>
          <w:i w:val="0"/>
          <w:iCs w:val="0"/>
          <w:caps w:val="0"/>
          <w:smallCaps w:val="0"/>
          <w:noProof w:val="0"/>
          <w:color w:val="000000" w:themeColor="text1" w:themeTint="FF" w:themeShade="FF"/>
          <w:sz w:val="22"/>
          <w:szCs w:val="22"/>
          <w:lang w:val="en-GB"/>
        </w:rPr>
      </w:pP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Taylor, J. H. (2001) </w:t>
      </w:r>
      <w:r w:rsidRPr="7A7DCE30" w:rsidR="3176FDEF">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US"/>
        </w:rPr>
        <w:t xml:space="preserve">Death and the Afterlife in Ancient Egypt. </w:t>
      </w: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British Museum.</w:t>
      </w:r>
    </w:p>
    <w:p w:rsidR="3176FDEF" w:rsidP="7A7DCE30" w:rsidRDefault="3176FDEF" w14:paraId="6E20F746" w14:textId="46B14147">
      <w:pPr>
        <w:bidi w:val="0"/>
        <w:rPr>
          <w:rFonts w:ascii="Arial" w:hAnsi="Arial" w:eastAsia="Arial" w:cs="Arial"/>
          <w:b w:val="0"/>
          <w:bCs w:val="0"/>
          <w:i w:val="0"/>
          <w:iCs w:val="0"/>
          <w:caps w:val="0"/>
          <w:smallCaps w:val="0"/>
          <w:noProof w:val="0"/>
          <w:color w:val="000000" w:themeColor="text1" w:themeTint="FF" w:themeShade="FF"/>
          <w:sz w:val="22"/>
          <w:szCs w:val="22"/>
          <w:lang w:val="en-GB"/>
        </w:rPr>
      </w:pP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Taylor, J.H. and Antoine, D. (2014) </w:t>
      </w:r>
      <w:r w:rsidRPr="7A7DCE30" w:rsidR="3176FDEF">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US"/>
        </w:rPr>
        <w:t xml:space="preserve">Ancient lives new discoveries. </w:t>
      </w: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British Museum Press.</w:t>
      </w:r>
    </w:p>
    <w:p w:rsidR="3176FDEF" w:rsidP="7A7DCE30" w:rsidRDefault="3176FDEF" w14:paraId="6DBA32B1" w14:textId="3F8A2A07">
      <w:pPr>
        <w:bidi w:val="0"/>
        <w:rPr>
          <w:rFonts w:ascii="Arial" w:hAnsi="Arial" w:eastAsia="Arial" w:cs="Arial"/>
          <w:b w:val="0"/>
          <w:bCs w:val="0"/>
          <w:i w:val="0"/>
          <w:iCs w:val="0"/>
          <w:caps w:val="0"/>
          <w:smallCaps w:val="0"/>
          <w:noProof w:val="0"/>
          <w:color w:val="000000" w:themeColor="text1" w:themeTint="FF" w:themeShade="FF"/>
          <w:sz w:val="22"/>
          <w:szCs w:val="22"/>
          <w:lang w:val="en-GB"/>
        </w:rPr>
      </w:pP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Van De Mieroop, M. (2011) </w:t>
      </w:r>
      <w:r w:rsidRPr="7A7DCE30" w:rsidR="3176FDEF">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US"/>
        </w:rPr>
        <w:t xml:space="preserve">A History of Ancient Egypt. </w:t>
      </w: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Wiley-Blackwell.</w:t>
      </w:r>
    </w:p>
    <w:p w:rsidR="3176FDEF" w:rsidP="7A7DCE30" w:rsidRDefault="3176FDEF" w14:paraId="7D6EBF39" w14:textId="63FAE0FB">
      <w:pPr>
        <w:bidi w:val="0"/>
        <w:rPr>
          <w:rFonts w:ascii="Arial" w:hAnsi="Arial" w:eastAsia="Arial" w:cs="Arial"/>
          <w:b w:val="0"/>
          <w:bCs w:val="0"/>
          <w:i w:val="0"/>
          <w:iCs w:val="0"/>
          <w:caps w:val="0"/>
          <w:smallCaps w:val="0"/>
          <w:noProof w:val="0"/>
          <w:color w:val="000000" w:themeColor="text1" w:themeTint="FF" w:themeShade="FF"/>
          <w:sz w:val="22"/>
          <w:szCs w:val="22"/>
          <w:lang w:val="en-GB"/>
        </w:rPr>
      </w:pP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Wenke, R. J. (2009) </w:t>
      </w:r>
      <w:r w:rsidRPr="7A7DCE30" w:rsidR="3176FDEF">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US"/>
        </w:rPr>
        <w:t xml:space="preserve">The Ancient Egyptian state. The origins of Egyptian Culture (c8000-2000BC). </w:t>
      </w: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Cambridge University Press.</w:t>
      </w:r>
    </w:p>
    <w:p w:rsidR="3176FDEF" w:rsidP="7A7DCE30" w:rsidRDefault="3176FDEF" w14:paraId="5BF94575" w14:textId="55B5B2EA">
      <w:pPr>
        <w:bidi w:val="0"/>
        <w:rPr>
          <w:rFonts w:ascii="Arial" w:hAnsi="Arial" w:eastAsia="Arial" w:cs="Arial"/>
          <w:b w:val="0"/>
          <w:bCs w:val="0"/>
          <w:i w:val="0"/>
          <w:iCs w:val="0"/>
          <w:caps w:val="0"/>
          <w:smallCaps w:val="0"/>
          <w:noProof w:val="0"/>
          <w:color w:val="000000" w:themeColor="text1" w:themeTint="FF" w:themeShade="FF"/>
          <w:sz w:val="22"/>
          <w:szCs w:val="22"/>
          <w:lang w:val="en-GB"/>
        </w:rPr>
      </w:pP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Zakrzewski, S., Shortland, </w:t>
      </w: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A.</w:t>
      </w: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and Rowland, J. (2016) </w:t>
      </w:r>
      <w:r w:rsidRPr="7A7DCE30" w:rsidR="3176FDEF">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US"/>
        </w:rPr>
        <w:t>Science in the study of Ancient Egypt</w:t>
      </w: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Routledge.</w:t>
      </w:r>
    </w:p>
    <w:p w:rsidR="7A7DCE30" w:rsidP="7A7DCE30" w:rsidRDefault="7A7DCE30" w14:paraId="48005154" w14:textId="23862F26">
      <w:pPr>
        <w:bidi w:val="0"/>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pPr>
    </w:p>
    <w:p w:rsidR="3176FDEF" w:rsidP="7A7DCE30" w:rsidRDefault="3176FDEF" w14:paraId="43F5777F" w14:textId="5DDDA44F">
      <w:pPr>
        <w:bidi w:val="0"/>
        <w:rPr>
          <w:rFonts w:ascii="Arial" w:hAnsi="Arial" w:eastAsia="Arial" w:cs="Arial"/>
          <w:b w:val="0"/>
          <w:bCs w:val="0"/>
          <w:i w:val="0"/>
          <w:iCs w:val="0"/>
          <w:caps w:val="0"/>
          <w:smallCaps w:val="0"/>
          <w:noProof w:val="0"/>
          <w:color w:val="000000" w:themeColor="text1" w:themeTint="FF" w:themeShade="FF"/>
          <w:sz w:val="22"/>
          <w:szCs w:val="22"/>
          <w:lang w:val="en-GB"/>
        </w:rPr>
      </w:pPr>
      <w:r w:rsidRPr="7A7DCE30" w:rsidR="3176FDEF">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Image</w:t>
      </w:r>
    </w:p>
    <w:p w:rsidR="3176FDEF" w:rsidP="7A7DCE30" w:rsidRDefault="3176FDEF" w14:paraId="43C895D3" w14:textId="79E017DB">
      <w:pPr>
        <w:bidi w:val="0"/>
        <w:rPr>
          <w:rFonts w:ascii="Arial" w:hAnsi="Arial" w:eastAsia="Arial" w:cs="Arial"/>
          <w:b w:val="0"/>
          <w:bCs w:val="0"/>
          <w:i w:val="0"/>
          <w:iCs w:val="0"/>
          <w:caps w:val="0"/>
          <w:smallCaps w:val="0"/>
          <w:noProof w:val="0"/>
          <w:color w:val="000000" w:themeColor="text1" w:themeTint="FF" w:themeShade="FF"/>
          <w:sz w:val="22"/>
          <w:szCs w:val="22"/>
          <w:lang w:val="en-GB"/>
        </w:rPr>
      </w:pP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Personal collection. (2025)</w:t>
      </w:r>
    </w:p>
    <w:p w:rsidR="7A7DCE30" w:rsidP="7A7DCE30" w:rsidRDefault="7A7DCE30" w14:paraId="38A2032F" w14:textId="1143E1F1">
      <w:pPr>
        <w:bidi w:val="0"/>
        <w:rPr>
          <w:rFonts w:ascii="Arial" w:hAnsi="Arial" w:eastAsia="Arial" w:cs="Arial"/>
          <w:b w:val="0"/>
          <w:bCs w:val="0"/>
          <w:i w:val="0"/>
          <w:iCs w:val="0"/>
          <w:caps w:val="0"/>
          <w:smallCaps w:val="0"/>
          <w:noProof w:val="0"/>
          <w:color w:val="000000" w:themeColor="text1" w:themeTint="FF" w:themeShade="FF"/>
          <w:sz w:val="22"/>
          <w:szCs w:val="22"/>
          <w:lang w:val="en-GB"/>
        </w:rPr>
      </w:pPr>
    </w:p>
    <w:p w:rsidR="7A7DCE30" w:rsidP="7A7DCE30" w:rsidRDefault="7A7DCE30" w14:paraId="0F808990" w14:textId="12264B4D">
      <w:pPr>
        <w:bidi w:val="0"/>
        <w:rPr>
          <w:rFonts w:ascii="Arial" w:hAnsi="Arial" w:eastAsia="Arial" w:cs="Arial"/>
          <w:b w:val="0"/>
          <w:bCs w:val="0"/>
          <w:i w:val="0"/>
          <w:iCs w:val="0"/>
          <w:caps w:val="0"/>
          <w:smallCaps w:val="0"/>
          <w:noProof w:val="0"/>
          <w:color w:val="000000" w:themeColor="text1" w:themeTint="FF" w:themeShade="FF"/>
          <w:sz w:val="22"/>
          <w:szCs w:val="22"/>
          <w:lang w:val="en-GB"/>
        </w:rPr>
      </w:pPr>
    </w:p>
    <w:p w:rsidR="7A7DCE30" w:rsidP="7A7DCE30" w:rsidRDefault="7A7DCE30" w14:paraId="59237866" w14:textId="7714601A">
      <w:pPr>
        <w:bidi w:val="0"/>
        <w:rPr>
          <w:rFonts w:ascii="Arial" w:hAnsi="Arial" w:eastAsia="Arial" w:cs="Arial"/>
          <w:b w:val="0"/>
          <w:bCs w:val="0"/>
          <w:i w:val="0"/>
          <w:iCs w:val="0"/>
          <w:caps w:val="0"/>
          <w:smallCaps w:val="0"/>
          <w:noProof w:val="0"/>
          <w:color w:val="000000" w:themeColor="text1" w:themeTint="FF" w:themeShade="FF"/>
          <w:sz w:val="22"/>
          <w:szCs w:val="22"/>
          <w:lang w:val="en-GB"/>
        </w:rPr>
      </w:pPr>
    </w:p>
    <w:p w:rsidR="3176FDEF" w:rsidP="7A7DCE30" w:rsidRDefault="3176FDEF" w14:paraId="5DF1BBEE" w14:textId="7B6BEE81">
      <w:pPr>
        <w:bidi w:val="0"/>
        <w:rPr>
          <w:rFonts w:ascii="Arial" w:hAnsi="Arial" w:eastAsia="Arial" w:cs="Arial"/>
          <w:b w:val="0"/>
          <w:bCs w:val="0"/>
          <w:i w:val="0"/>
          <w:iCs w:val="0"/>
          <w:caps w:val="0"/>
          <w:smallCaps w:val="0"/>
          <w:noProof w:val="0"/>
          <w:color w:val="000000" w:themeColor="text1" w:themeTint="FF" w:themeShade="FF"/>
          <w:sz w:val="22"/>
          <w:szCs w:val="22"/>
          <w:lang w:val="en-GB"/>
        </w:rPr>
      </w:pPr>
      <w:r w:rsidRPr="7A7DCE30" w:rsidR="3176FDEF">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Further reading</w:t>
      </w:r>
    </w:p>
    <w:p w:rsidR="3176FDEF" w:rsidP="7A7DCE30" w:rsidRDefault="3176FDEF" w14:paraId="3D51E1E0" w14:textId="475F2480">
      <w:pPr>
        <w:bidi w:val="0"/>
        <w:spacing w:line="278"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Ayrton, E. R. and Loat, W.L.S (1911) </w:t>
      </w:r>
      <w:r w:rsidRPr="7A7DCE30" w:rsidR="3176FDEF">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US"/>
        </w:rPr>
        <w:t>Pre-dynastic cemetery at El Mahasna.</w:t>
      </w: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Egypt Exploration Fund. </w:t>
      </w:r>
    </w:p>
    <w:p w:rsidR="3176FDEF" w:rsidP="7A7DCE30" w:rsidRDefault="3176FDEF" w14:paraId="173DC3CC" w14:textId="27DF6AB5">
      <w:pPr>
        <w:bidi w:val="0"/>
        <w:spacing w:line="278"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Bard, K.A. (1994) ’The Egyptian Predynastic: A Review of the Evidence’, </w:t>
      </w:r>
      <w:r w:rsidRPr="7A7DCE30" w:rsidR="3176FDEF">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US"/>
        </w:rPr>
        <w:t>Journal of Field Archaeology</w:t>
      </w: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21(3), pp. 265-288. Available at: </w:t>
      </w:r>
      <w:hyperlink r:id="Rfc2cf9dbdab2413f">
        <w:r w:rsidRPr="7A7DCE30" w:rsidR="3176FDEF">
          <w:rPr>
            <w:rStyle w:val="Hyperlink"/>
            <w:rFonts w:ascii="Arial" w:hAnsi="Arial" w:eastAsia="Arial" w:cs="Arial"/>
            <w:b w:val="0"/>
            <w:bCs w:val="0"/>
            <w:i w:val="0"/>
            <w:iCs w:val="0"/>
            <w:caps w:val="0"/>
            <w:smallCaps w:val="0"/>
            <w:strike w:val="0"/>
            <w:dstrike w:val="0"/>
            <w:noProof w:val="0"/>
            <w:sz w:val="22"/>
            <w:szCs w:val="22"/>
            <w:lang w:val="en-US"/>
          </w:rPr>
          <w:t>https://www.jstor.org/stable/53033</w:t>
        </w:r>
      </w:hyperlink>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(Accessed 18 October 2025</w:t>
      </w: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w:t>
      </w:r>
    </w:p>
    <w:p w:rsidR="3176FDEF" w:rsidP="7A7DCE30" w:rsidRDefault="3176FDEF" w14:paraId="47987F87" w14:textId="0AE954BA">
      <w:pPr>
        <w:bidi w:val="0"/>
        <w:rPr>
          <w:rFonts w:ascii="Arial" w:hAnsi="Arial" w:eastAsia="Arial" w:cs="Arial"/>
          <w:b w:val="0"/>
          <w:bCs w:val="0"/>
          <w:i w:val="0"/>
          <w:iCs w:val="0"/>
          <w:caps w:val="0"/>
          <w:smallCaps w:val="0"/>
          <w:noProof w:val="0"/>
          <w:color w:val="000000" w:themeColor="text1" w:themeTint="FF" w:themeShade="FF"/>
          <w:sz w:val="22"/>
          <w:szCs w:val="22"/>
          <w:lang w:val="en-GB"/>
        </w:rPr>
      </w:pP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Berman, L. M. and Bohač, K. J. (1999). </w:t>
      </w:r>
      <w:r w:rsidRPr="7A7DCE30" w:rsidR="3176FDEF">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US"/>
        </w:rPr>
        <w:t>Catalogue of Egyptian art: the Cleveland Museum of Art</w:t>
      </w: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Cleveland Museum of Art.</w:t>
      </w:r>
    </w:p>
    <w:p w:rsidR="3176FDEF" w:rsidP="7A7DCE30" w:rsidRDefault="3176FDEF" w14:paraId="0EDCB672" w14:textId="2FE0D24A">
      <w:pPr>
        <w:bidi w:val="0"/>
        <w:rPr>
          <w:rFonts w:ascii="Arial" w:hAnsi="Arial" w:eastAsia="Arial" w:cs="Arial"/>
          <w:b w:val="0"/>
          <w:bCs w:val="0"/>
          <w:i w:val="0"/>
          <w:iCs w:val="0"/>
          <w:caps w:val="0"/>
          <w:smallCaps w:val="0"/>
          <w:noProof w:val="0"/>
          <w:color w:val="000000" w:themeColor="text1" w:themeTint="FF" w:themeShade="FF"/>
          <w:sz w:val="22"/>
          <w:szCs w:val="22"/>
          <w:lang w:val="en-GB"/>
        </w:rPr>
      </w:pP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Brewer, D. J. and Teeter, E. (1999) </w:t>
      </w:r>
      <w:r w:rsidRPr="7A7DCE30" w:rsidR="3176FDEF">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GB"/>
        </w:rPr>
        <w:t xml:space="preserve">Egypt and the Egyptians. </w:t>
      </w: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Cambridge University Press.</w:t>
      </w:r>
    </w:p>
    <w:p w:rsidR="3176FDEF" w:rsidP="7A7DCE30" w:rsidRDefault="3176FDEF" w14:paraId="36530BDA" w14:textId="1278FE8A">
      <w:pPr>
        <w:bidi w:val="0"/>
        <w:rPr>
          <w:rFonts w:ascii="Arial" w:hAnsi="Arial" w:eastAsia="Arial" w:cs="Arial"/>
          <w:b w:val="0"/>
          <w:bCs w:val="0"/>
          <w:i w:val="0"/>
          <w:iCs w:val="0"/>
          <w:caps w:val="0"/>
          <w:smallCaps w:val="0"/>
          <w:noProof w:val="0"/>
          <w:color w:val="000000" w:themeColor="text1" w:themeTint="FF" w:themeShade="FF"/>
          <w:sz w:val="22"/>
          <w:szCs w:val="22"/>
          <w:lang w:val="en-GB"/>
        </w:rPr>
      </w:pP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Dunand, F. and Lichtenberg, R. (2006) </w:t>
      </w:r>
      <w:r w:rsidRPr="7A7DCE30" w:rsidR="3176FDEF">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US"/>
        </w:rPr>
        <w:t xml:space="preserve">Mummies and Death in Egypt. </w:t>
      </w: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Cornell University Press.</w:t>
      </w:r>
    </w:p>
    <w:p w:rsidR="3176FDEF" w:rsidP="7A7DCE30" w:rsidRDefault="3176FDEF" w14:paraId="0B9FA544" w14:textId="0C497E0E">
      <w:pPr>
        <w:bidi w:val="0"/>
        <w:rPr>
          <w:rFonts w:ascii="Arial" w:hAnsi="Arial" w:eastAsia="Arial" w:cs="Arial"/>
          <w:b w:val="0"/>
          <w:bCs w:val="0"/>
          <w:i w:val="0"/>
          <w:iCs w:val="0"/>
          <w:caps w:val="0"/>
          <w:smallCaps w:val="0"/>
          <w:noProof w:val="0"/>
          <w:color w:val="000000" w:themeColor="text1" w:themeTint="FF" w:themeShade="FF"/>
          <w:sz w:val="22"/>
          <w:szCs w:val="22"/>
          <w:lang w:val="en-GB"/>
        </w:rPr>
      </w:pP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Friedman, R. F. (1994) </w:t>
      </w:r>
      <w:r w:rsidRPr="7A7DCE30" w:rsidR="3176FDEF">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US"/>
        </w:rPr>
        <w:t xml:space="preserve">Predynastic Settlement Ceramics of Upper Egypt: A comparative study of the ceramics of Hemamieh, Nagada and Hierakonpolis. Published PhD thesis. </w:t>
      </w: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PHD dissertation. Available at: </w:t>
      </w:r>
      <w:hyperlink r:id="R1071240b39634c0f">
        <w:r w:rsidRPr="7A7DCE30" w:rsidR="3176FDEF">
          <w:rPr>
            <w:rStyle w:val="Hyperlink"/>
            <w:rFonts w:ascii="Arial" w:hAnsi="Arial" w:eastAsia="Arial" w:cs="Arial"/>
            <w:b w:val="0"/>
            <w:bCs w:val="0"/>
            <w:i w:val="0"/>
            <w:iCs w:val="0"/>
            <w:caps w:val="0"/>
            <w:smallCaps w:val="0"/>
            <w:strike w:val="0"/>
            <w:dstrike w:val="0"/>
            <w:noProof w:val="0"/>
            <w:sz w:val="22"/>
            <w:szCs w:val="22"/>
            <w:lang w:val="en-US"/>
          </w:rPr>
          <w:t>https://www.academia.edu/4167696/Predynastic_settlement_ceramics_of_Upper_Egypt_A_comparative_study_of_the_ceramics_of_Hemamieh_Nagada_and_Hierakonpolis_Chapters_1_2</w:t>
        </w:r>
      </w:hyperlink>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(Accessed 15 October 2025)</w:t>
      </w:r>
    </w:p>
    <w:p w:rsidR="3176FDEF" w:rsidP="7A7DCE30" w:rsidRDefault="3176FDEF" w14:paraId="7048676B" w14:textId="69A6A1DB">
      <w:pPr>
        <w:bidi w:val="0"/>
        <w:rPr>
          <w:rFonts w:ascii="Arial" w:hAnsi="Arial" w:eastAsia="Arial" w:cs="Arial"/>
          <w:b w:val="0"/>
          <w:bCs w:val="0"/>
          <w:i w:val="0"/>
          <w:iCs w:val="0"/>
          <w:caps w:val="0"/>
          <w:smallCaps w:val="0"/>
          <w:noProof w:val="0"/>
          <w:color w:val="000000" w:themeColor="text1" w:themeTint="FF" w:themeShade="FF"/>
          <w:sz w:val="22"/>
          <w:szCs w:val="22"/>
          <w:lang w:val="en-GB"/>
        </w:rPr>
      </w:pP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Grajetzki, W. (2003) </w:t>
      </w:r>
      <w:r w:rsidRPr="7A7DCE30" w:rsidR="3176FDEF">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US"/>
        </w:rPr>
        <w:t>Burial Customs in Ancient Egypt: Life in Death for Rich and Poor.</w:t>
      </w: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Duckworth.</w:t>
      </w:r>
    </w:p>
    <w:p w:rsidR="3176FDEF" w:rsidP="7A7DCE30" w:rsidRDefault="3176FDEF" w14:paraId="4BE393DA" w14:textId="2DA89AB4">
      <w:pPr>
        <w:bidi w:val="0"/>
        <w:rPr>
          <w:rFonts w:ascii="Arial" w:hAnsi="Arial" w:eastAsia="Arial" w:cs="Arial"/>
          <w:b w:val="0"/>
          <w:bCs w:val="0"/>
          <w:i w:val="0"/>
          <w:iCs w:val="0"/>
          <w:caps w:val="0"/>
          <w:smallCaps w:val="0"/>
          <w:noProof w:val="0"/>
          <w:color w:val="000000" w:themeColor="text1" w:themeTint="FF" w:themeShade="FF"/>
          <w:sz w:val="22"/>
          <w:szCs w:val="22"/>
          <w:lang w:val="en-GB"/>
        </w:rPr>
      </w:pP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Ikram, S. (2010) </w:t>
      </w:r>
      <w:r w:rsidRPr="7A7DCE30" w:rsidR="3176FDEF">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US"/>
        </w:rPr>
        <w:t xml:space="preserve">Ancient Egypt. An Introduction. </w:t>
      </w: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Cambridge University Press</w:t>
      </w:r>
      <w:r w:rsidRPr="7A7DCE30" w:rsidR="3176FDEF">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US"/>
        </w:rPr>
        <w:t>.</w:t>
      </w:r>
    </w:p>
    <w:p w:rsidR="3176FDEF" w:rsidP="7A7DCE30" w:rsidRDefault="3176FDEF" w14:paraId="72A43DBB" w14:textId="0F668C9A">
      <w:pPr>
        <w:bidi w:val="0"/>
        <w:rPr>
          <w:rFonts w:ascii="Arial" w:hAnsi="Arial" w:eastAsia="Arial" w:cs="Arial"/>
          <w:b w:val="0"/>
          <w:bCs w:val="0"/>
          <w:i w:val="0"/>
          <w:iCs w:val="0"/>
          <w:caps w:val="0"/>
          <w:smallCaps w:val="0"/>
          <w:noProof w:val="0"/>
          <w:color w:val="000000" w:themeColor="text1" w:themeTint="FF" w:themeShade="FF"/>
          <w:sz w:val="22"/>
          <w:szCs w:val="22"/>
          <w:lang w:val="en-GB"/>
        </w:rPr>
      </w:pP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Leeman, D. (2006) </w:t>
      </w:r>
      <w:r w:rsidRPr="7A7DCE30" w:rsidR="3176FDEF">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US"/>
        </w:rPr>
        <w:t xml:space="preserve">An overview of the Predynastic Pottery of Ancient Egypt. </w:t>
      </w: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Self published. Available at: </w:t>
      </w:r>
      <w:hyperlink r:id="R5ee0f56ae7724b09">
        <w:r w:rsidRPr="7A7DCE30" w:rsidR="3176FDEF">
          <w:rPr>
            <w:rStyle w:val="Hyperlink"/>
            <w:rFonts w:ascii="Arial" w:hAnsi="Arial" w:eastAsia="Arial" w:cs="Arial"/>
            <w:b w:val="0"/>
            <w:bCs w:val="0"/>
            <w:i w:val="0"/>
            <w:iCs w:val="0"/>
            <w:caps w:val="0"/>
            <w:smallCaps w:val="0"/>
            <w:strike w:val="0"/>
            <w:dstrike w:val="0"/>
            <w:noProof w:val="0"/>
            <w:sz w:val="22"/>
            <w:szCs w:val="22"/>
            <w:lang w:val="en-US"/>
          </w:rPr>
          <w:t>https://www.academia.edu/40541488/An_overview_of_the_Predynastic_Pottery_of_Ancient_Egypt</w:t>
        </w:r>
      </w:hyperlink>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(Accessed: </w:t>
      </w: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17 October 2025)</w:t>
      </w:r>
    </w:p>
    <w:p w:rsidR="3176FDEF" w:rsidP="7A7DCE30" w:rsidRDefault="3176FDEF" w14:paraId="16D39CE3" w14:textId="6EC6D0F4">
      <w:pPr>
        <w:bidi w:val="0"/>
        <w:rPr>
          <w:rFonts w:ascii="Arial" w:hAnsi="Arial" w:eastAsia="Arial" w:cs="Arial"/>
          <w:b w:val="0"/>
          <w:bCs w:val="0"/>
          <w:i w:val="0"/>
          <w:iCs w:val="0"/>
          <w:caps w:val="0"/>
          <w:smallCaps w:val="0"/>
          <w:noProof w:val="0"/>
          <w:color w:val="000000" w:themeColor="text1" w:themeTint="FF" w:themeShade="FF"/>
          <w:sz w:val="22"/>
          <w:szCs w:val="22"/>
          <w:lang w:val="en-GB"/>
        </w:rPr>
      </w:pP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Nordstrom, H. A. and Bourriau. J. ‘Ceramic Technology: Clays and Fabrics’ in Arnold, D. and Bourriau, J. (eds) </w:t>
      </w:r>
      <w:r w:rsidRPr="7A7DCE30" w:rsidR="3176FDEF">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US"/>
        </w:rPr>
        <w:t>An introduction to early Egyptian pottery</w:t>
      </w: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Deutsches Archaologisches Institut Abteilung Kairo. Available at: </w:t>
      </w:r>
      <w:hyperlink r:id="R9ea38a00fe7e4f58">
        <w:r w:rsidRPr="7A7DCE30" w:rsidR="3176FDEF">
          <w:rPr>
            <w:rStyle w:val="Hyperlink"/>
            <w:rFonts w:ascii="Arial" w:hAnsi="Arial" w:eastAsia="Arial" w:cs="Arial"/>
            <w:b w:val="0"/>
            <w:bCs w:val="0"/>
            <w:i w:val="0"/>
            <w:iCs w:val="0"/>
            <w:caps w:val="0"/>
            <w:smallCaps w:val="0"/>
            <w:strike w:val="0"/>
            <w:dstrike w:val="0"/>
            <w:noProof w:val="0"/>
            <w:sz w:val="22"/>
            <w:szCs w:val="22"/>
            <w:lang w:val="en-US"/>
          </w:rPr>
          <w:t>https://www.academia.edu/84542579/Janine_Bourriau_introduction_ancient_Egyptian_Pottery_2_</w:t>
        </w:r>
      </w:hyperlink>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(Accessed: 17 October 2025)</w:t>
      </w:r>
    </w:p>
    <w:p w:rsidR="3176FDEF" w:rsidP="7A7DCE30" w:rsidRDefault="3176FDEF" w14:paraId="1A96D6D6" w14:textId="593D8D06">
      <w:pPr>
        <w:bidi w:val="0"/>
        <w:rPr>
          <w:rFonts w:ascii="Arial" w:hAnsi="Arial" w:eastAsia="Arial" w:cs="Arial"/>
          <w:b w:val="0"/>
          <w:bCs w:val="0"/>
          <w:i w:val="0"/>
          <w:iCs w:val="0"/>
          <w:caps w:val="0"/>
          <w:smallCaps w:val="0"/>
          <w:noProof w:val="0"/>
          <w:color w:val="000000" w:themeColor="text1" w:themeTint="FF" w:themeShade="FF"/>
          <w:sz w:val="22"/>
          <w:szCs w:val="22"/>
          <w:lang w:val="en-GB"/>
        </w:rPr>
      </w:pP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Robins, G. (2000) </w:t>
      </w:r>
      <w:r w:rsidRPr="7A7DCE30" w:rsidR="3176FDEF">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US"/>
        </w:rPr>
        <w:t xml:space="preserve">The Art of Ancient Egypt. </w:t>
      </w: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Harvard University Press.</w:t>
      </w:r>
    </w:p>
    <w:p w:rsidR="3176FDEF" w:rsidP="7A7DCE30" w:rsidRDefault="3176FDEF" w14:paraId="6386A104" w14:textId="5379E1FF">
      <w:pPr>
        <w:bidi w:val="0"/>
        <w:rPr>
          <w:rFonts w:ascii="Arial" w:hAnsi="Arial" w:eastAsia="Arial" w:cs="Arial"/>
          <w:b w:val="0"/>
          <w:bCs w:val="0"/>
          <w:i w:val="0"/>
          <w:iCs w:val="0"/>
          <w:caps w:val="0"/>
          <w:smallCaps w:val="0"/>
          <w:noProof w:val="0"/>
          <w:color w:val="000000" w:themeColor="text1" w:themeTint="FF" w:themeShade="FF"/>
          <w:sz w:val="22"/>
          <w:szCs w:val="22"/>
          <w:lang w:val="en-GB"/>
        </w:rPr>
      </w:pP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Shaw, I. (2012) </w:t>
      </w:r>
      <w:r w:rsidRPr="7A7DCE30" w:rsidR="3176FDEF">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US"/>
        </w:rPr>
        <w:t>Ancient Egyptian Technology and Innovation</w:t>
      </w: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Bloomsbury.</w:t>
      </w:r>
    </w:p>
    <w:p w:rsidR="3176FDEF" w:rsidP="7A7DCE30" w:rsidRDefault="3176FDEF" w14:paraId="5D96BB7F" w14:textId="0CF53072">
      <w:pPr>
        <w:bidi w:val="0"/>
        <w:rPr>
          <w:rFonts w:ascii="Arial" w:hAnsi="Arial" w:eastAsia="Arial" w:cs="Arial"/>
          <w:b w:val="0"/>
          <w:bCs w:val="0"/>
          <w:i w:val="0"/>
          <w:iCs w:val="0"/>
          <w:caps w:val="0"/>
          <w:smallCaps w:val="0"/>
          <w:noProof w:val="0"/>
          <w:color w:val="000000" w:themeColor="text1" w:themeTint="FF" w:themeShade="FF"/>
          <w:sz w:val="22"/>
          <w:szCs w:val="22"/>
          <w:lang w:val="en-GB"/>
        </w:rPr>
      </w:pP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Spencer, A.J. (1997) ‘Pottery in predynastic Egypt’, in Freestone, I and Gaimster, D. (eds) Pottery in the Making Ceramic Traditions. Smithsonian Institute Press, pp. 44-59. Available at: </w:t>
      </w:r>
      <w:hyperlink r:id="R6ef5e7b971674b8b">
        <w:r w:rsidRPr="7A7DCE30" w:rsidR="3176FDEF">
          <w:rPr>
            <w:rStyle w:val="Hyperlink"/>
            <w:rFonts w:ascii="Arial" w:hAnsi="Arial" w:eastAsia="Arial" w:cs="Arial"/>
            <w:b w:val="0"/>
            <w:bCs w:val="0"/>
            <w:i w:val="0"/>
            <w:iCs w:val="0"/>
            <w:caps w:val="0"/>
            <w:smallCaps w:val="0"/>
            <w:strike w:val="0"/>
            <w:dstrike w:val="0"/>
            <w:noProof w:val="0"/>
            <w:sz w:val="22"/>
            <w:szCs w:val="22"/>
            <w:lang w:val="en-GB"/>
          </w:rPr>
          <w:t>https://archive.org/details/potteryinmakingc0000unse/page/n243/mode/2up</w:t>
        </w:r>
      </w:hyperlink>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w:t>
      </w: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Accessed 15 October 2025)</w:t>
      </w:r>
    </w:p>
    <w:p w:rsidR="3176FDEF" w:rsidP="7A7DCE30" w:rsidRDefault="3176FDEF" w14:paraId="69B05D05" w14:textId="02BCC747">
      <w:pPr>
        <w:bidi w:val="0"/>
        <w:rPr>
          <w:rFonts w:ascii="Arial" w:hAnsi="Arial" w:eastAsia="Arial" w:cs="Arial"/>
          <w:b w:val="0"/>
          <w:bCs w:val="0"/>
          <w:i w:val="0"/>
          <w:iCs w:val="0"/>
          <w:caps w:val="0"/>
          <w:smallCaps w:val="0"/>
          <w:noProof w:val="0"/>
          <w:color w:val="000000" w:themeColor="text1" w:themeTint="FF" w:themeShade="FF"/>
          <w:sz w:val="22"/>
          <w:szCs w:val="22"/>
          <w:lang w:val="en-GB"/>
        </w:rPr>
      </w:pP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Stevenson, A. (2011) ‘Material Culture of the Predynastic Period’ in Teeter, E. (ed) </w:t>
      </w:r>
      <w:r w:rsidRPr="7A7DCE30" w:rsidR="3176FDEF">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US"/>
        </w:rPr>
        <w:t>Before the Pyramids.</w:t>
      </w: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University of Chicago, pp. 65-74.</w:t>
      </w:r>
    </w:p>
    <w:p w:rsidR="3176FDEF" w:rsidP="7A7DCE30" w:rsidRDefault="3176FDEF" w14:paraId="38CE1A3D" w14:textId="62F32CF5">
      <w:pPr>
        <w:bidi w:val="0"/>
        <w:spacing w:after="0"/>
        <w:rPr>
          <w:rFonts w:ascii="Arial" w:hAnsi="Arial" w:eastAsia="Arial" w:cs="Arial"/>
          <w:b w:val="0"/>
          <w:bCs w:val="0"/>
          <w:i w:val="0"/>
          <w:iCs w:val="0"/>
          <w:caps w:val="0"/>
          <w:smallCaps w:val="0"/>
          <w:noProof w:val="0"/>
          <w:color w:val="000000" w:themeColor="text1" w:themeTint="FF" w:themeShade="FF"/>
          <w:sz w:val="22"/>
          <w:szCs w:val="22"/>
          <w:lang w:val="en-GB"/>
        </w:rPr>
      </w:pP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Tsiafakis, D (2019). ‘Colum-Kraters’ in </w:t>
      </w:r>
      <w:r w:rsidRPr="7A7DCE30" w:rsidR="3176FDEF">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US"/>
        </w:rPr>
        <w:t>Corpus Vasorum Antiquorum, Fascicule 10: Athenian Red-Figure Column and Volute Kraters</w:t>
      </w: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(pp. 1–34). Getty Publications. Available at: </w:t>
      </w:r>
      <w:hyperlink r:id="R9661865db2e04ad1">
        <w:r w:rsidRPr="7A7DCE30" w:rsidR="3176FDEF">
          <w:rPr>
            <w:rStyle w:val="Hyperlink"/>
            <w:rFonts w:ascii="Arial" w:hAnsi="Arial" w:eastAsia="Arial" w:cs="Arial"/>
            <w:b w:val="0"/>
            <w:bCs w:val="0"/>
            <w:i w:val="0"/>
            <w:iCs w:val="0"/>
            <w:caps w:val="0"/>
            <w:smallCaps w:val="0"/>
            <w:strike w:val="0"/>
            <w:dstrike w:val="0"/>
            <w:noProof w:val="0"/>
            <w:sz w:val="22"/>
            <w:szCs w:val="22"/>
            <w:lang w:val="en-US"/>
          </w:rPr>
          <w:t>https://doi.org/10.2307/jj.6142258.6</w:t>
        </w:r>
      </w:hyperlink>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(Accessed 21 October 2025)</w:t>
      </w:r>
    </w:p>
    <w:p w:rsidR="7A7DCE30" w:rsidP="7A7DCE30" w:rsidRDefault="7A7DCE30" w14:paraId="0404BFF2" w14:textId="335B87B0">
      <w:pPr>
        <w:bidi w:val="0"/>
        <w:spacing w:after="0"/>
        <w:rPr>
          <w:rFonts w:ascii="Arial" w:hAnsi="Arial" w:eastAsia="Arial" w:cs="Arial"/>
          <w:b w:val="0"/>
          <w:bCs w:val="0"/>
          <w:i w:val="0"/>
          <w:iCs w:val="0"/>
          <w:caps w:val="0"/>
          <w:smallCaps w:val="0"/>
          <w:noProof w:val="0"/>
          <w:color w:val="000000" w:themeColor="text1" w:themeTint="FF" w:themeShade="FF"/>
          <w:sz w:val="22"/>
          <w:szCs w:val="22"/>
          <w:lang w:val="en-GB"/>
        </w:rPr>
      </w:pPr>
    </w:p>
    <w:p w:rsidR="3176FDEF" w:rsidP="7A7DCE30" w:rsidRDefault="3176FDEF" w14:paraId="29FAE131" w14:textId="79C27886">
      <w:pPr>
        <w:bidi w:val="0"/>
        <w:spacing w:after="0"/>
        <w:rPr>
          <w:rFonts w:ascii="Arial" w:hAnsi="Arial" w:eastAsia="Arial" w:cs="Arial"/>
          <w:b w:val="0"/>
          <w:bCs w:val="0"/>
          <w:i w:val="0"/>
          <w:iCs w:val="0"/>
          <w:caps w:val="0"/>
          <w:smallCaps w:val="0"/>
          <w:noProof w:val="0"/>
          <w:color w:val="000000" w:themeColor="text1" w:themeTint="FF" w:themeShade="FF"/>
          <w:sz w:val="22"/>
          <w:szCs w:val="22"/>
          <w:lang w:val="en-GB"/>
        </w:rPr>
      </w:pPr>
      <w:hyperlink r:id="Rcd3840202b484b9a">
        <w:r w:rsidRPr="7A7DCE30" w:rsidR="3176FDEF">
          <w:rPr>
            <w:rStyle w:val="Hyperlink"/>
            <w:rFonts w:ascii="Arial" w:hAnsi="Arial" w:eastAsia="Arial" w:cs="Arial"/>
            <w:b w:val="0"/>
            <w:bCs w:val="0"/>
            <w:i w:val="0"/>
            <w:iCs w:val="0"/>
            <w:caps w:val="0"/>
            <w:smallCaps w:val="0"/>
            <w:strike w:val="0"/>
            <w:dstrike w:val="0"/>
            <w:noProof w:val="0"/>
            <w:sz w:val="22"/>
            <w:szCs w:val="22"/>
            <w:lang w:val="en-US"/>
          </w:rPr>
          <w:t>www.ucl.ac.uk/museums-static/digitalegypt</w:t>
        </w:r>
      </w:hyperlink>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(2025) </w:t>
      </w:r>
      <w:r w:rsidRPr="7A7DCE30" w:rsidR="3176FDEF">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US"/>
        </w:rPr>
        <w:t xml:space="preserve">Naqada Period. </w:t>
      </w: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(Accessed 24 October 2025)</w:t>
      </w:r>
    </w:p>
    <w:p w:rsidR="7A7DCE30" w:rsidP="7A7DCE30" w:rsidRDefault="7A7DCE30" w14:paraId="4500A2C3" w14:textId="21F834CA">
      <w:pPr>
        <w:bidi w:val="0"/>
        <w:spacing w:after="0"/>
        <w:rPr>
          <w:rFonts w:ascii="Arial" w:hAnsi="Arial" w:eastAsia="Arial" w:cs="Arial"/>
          <w:b w:val="0"/>
          <w:bCs w:val="0"/>
          <w:i w:val="0"/>
          <w:iCs w:val="0"/>
          <w:caps w:val="0"/>
          <w:smallCaps w:val="0"/>
          <w:noProof w:val="0"/>
          <w:color w:val="000000" w:themeColor="text1" w:themeTint="FF" w:themeShade="FF"/>
          <w:sz w:val="22"/>
          <w:szCs w:val="22"/>
          <w:lang w:val="en-GB"/>
        </w:rPr>
      </w:pPr>
    </w:p>
    <w:p w:rsidR="3176FDEF" w:rsidP="7A7DCE30" w:rsidRDefault="3176FDEF" w14:paraId="5D07F8F9" w14:textId="1AEDB49B">
      <w:pPr>
        <w:bidi w:val="0"/>
        <w:spacing w:after="0"/>
        <w:rPr>
          <w:rFonts w:ascii="Arial" w:hAnsi="Arial" w:eastAsia="Arial" w:cs="Arial"/>
          <w:b w:val="0"/>
          <w:bCs w:val="0"/>
          <w:i w:val="0"/>
          <w:iCs w:val="0"/>
          <w:caps w:val="0"/>
          <w:smallCaps w:val="0"/>
          <w:noProof w:val="0"/>
          <w:color w:val="000000" w:themeColor="text1" w:themeTint="FF" w:themeShade="FF"/>
          <w:sz w:val="22"/>
          <w:szCs w:val="22"/>
          <w:lang w:val="en-GB"/>
        </w:rPr>
      </w:pPr>
      <w:hyperlink r:id="R0ecef8dc13b44792">
        <w:r w:rsidRPr="7A7DCE30" w:rsidR="3176FDEF">
          <w:rPr>
            <w:rStyle w:val="Hyperlink"/>
            <w:rFonts w:ascii="Arial" w:hAnsi="Arial" w:eastAsia="Arial" w:cs="Arial"/>
            <w:b w:val="0"/>
            <w:bCs w:val="0"/>
            <w:i w:val="0"/>
            <w:iCs w:val="0"/>
            <w:caps w:val="0"/>
            <w:smallCaps w:val="0"/>
            <w:strike w:val="0"/>
            <w:dstrike w:val="0"/>
            <w:noProof w:val="0"/>
            <w:sz w:val="22"/>
            <w:szCs w:val="22"/>
            <w:lang w:val="en-US"/>
          </w:rPr>
          <w:t>www.ucl.ac.uk/museums-static/digitalegypt</w:t>
        </w:r>
      </w:hyperlink>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(2025) </w:t>
      </w:r>
      <w:r w:rsidRPr="7A7DCE30" w:rsidR="3176FDEF">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US"/>
        </w:rPr>
        <w:t xml:space="preserve">Burial customs in Early Dynastic Egypt. </w:t>
      </w: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(Accessed 24 October 2025)</w:t>
      </w:r>
    </w:p>
    <w:p w:rsidR="7A7DCE30" w:rsidP="7A7DCE30" w:rsidRDefault="7A7DCE30" w14:paraId="31F5D960" w14:textId="401D5BC8">
      <w:pPr>
        <w:bidi w:val="0"/>
        <w:spacing w:after="0"/>
        <w:rPr>
          <w:rFonts w:ascii="Arial" w:hAnsi="Arial" w:eastAsia="Arial" w:cs="Arial"/>
          <w:b w:val="0"/>
          <w:bCs w:val="0"/>
          <w:i w:val="0"/>
          <w:iCs w:val="0"/>
          <w:caps w:val="0"/>
          <w:smallCaps w:val="0"/>
          <w:noProof w:val="0"/>
          <w:color w:val="000000" w:themeColor="text1" w:themeTint="FF" w:themeShade="FF"/>
          <w:sz w:val="22"/>
          <w:szCs w:val="22"/>
          <w:lang w:val="en-GB"/>
        </w:rPr>
      </w:pPr>
    </w:p>
    <w:p w:rsidR="3176FDEF" w:rsidP="7A7DCE30" w:rsidRDefault="3176FDEF" w14:paraId="35BFAED3" w14:textId="477848AA">
      <w:pPr>
        <w:bidi w:val="0"/>
        <w:rPr>
          <w:rFonts w:ascii="Arial" w:hAnsi="Arial" w:eastAsia="Arial" w:cs="Arial"/>
          <w:b w:val="0"/>
          <w:bCs w:val="0"/>
          <w:i w:val="0"/>
          <w:iCs w:val="0"/>
          <w:caps w:val="0"/>
          <w:smallCaps w:val="0"/>
          <w:noProof w:val="0"/>
          <w:color w:val="000000" w:themeColor="text1" w:themeTint="FF" w:themeShade="FF"/>
          <w:sz w:val="22"/>
          <w:szCs w:val="22"/>
          <w:lang w:val="en-GB"/>
        </w:rPr>
      </w:pP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Wilkinson, R. H. (1994) </w:t>
      </w:r>
      <w:r w:rsidRPr="7A7DCE30" w:rsidR="3176FDEF">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US"/>
        </w:rPr>
        <w:t xml:space="preserve">Symbol &amp; Magic in Egyptian Art. </w:t>
      </w:r>
      <w:r w:rsidRPr="7A7DCE30" w:rsidR="3176FD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Thames and Hudson. </w:t>
      </w:r>
    </w:p>
    <w:p w:rsidR="7A7DCE30" w:rsidP="7A7DCE30" w:rsidRDefault="7A7DCE30" w14:paraId="1CF21C7E" w14:textId="2EB9B0B1">
      <w:pPr>
        <w:bidi w:val="0"/>
        <w:rPr>
          <w:rFonts w:ascii="Aptos" w:hAnsi="Aptos" w:eastAsia="Aptos" w:cs="Aptos"/>
          <w:b w:val="0"/>
          <w:bCs w:val="0"/>
          <w:i w:val="0"/>
          <w:iCs w:val="0"/>
          <w:caps w:val="0"/>
          <w:smallCaps w:val="0"/>
          <w:noProof w:val="0"/>
          <w:color w:val="000000" w:themeColor="text1" w:themeTint="FF" w:themeShade="FF"/>
          <w:sz w:val="20"/>
          <w:szCs w:val="20"/>
          <w:lang w:val="en-GB"/>
        </w:rPr>
      </w:pPr>
    </w:p>
    <w:p w:rsidR="7A7DCE30" w:rsidP="7A7DCE30" w:rsidRDefault="7A7DCE30" w14:paraId="4CBD6295" w14:textId="2C066C98">
      <w:pPr>
        <w:bidi w:val="0"/>
        <w:spacing w:before="0" w:beforeAutospacing="off" w:after="160" w:afterAutospacing="off" w:line="278"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highlight w:val="green"/>
          <w:lang w:val="en-GB"/>
        </w:rPr>
      </w:pPr>
    </w:p>
    <w:p w:rsidR="7A7DCE30" w:rsidP="7A7DCE30" w:rsidRDefault="7A7DCE30" w14:paraId="07E2E151" w14:textId="725EB0D9">
      <w:pPr>
        <w:bidi w:val="0"/>
        <w:spacing w:line="278" w:lineRule="auto"/>
        <w:rPr>
          <w:rFonts w:ascii="Aptos" w:hAnsi="Aptos" w:eastAsia="Aptos" w:cs="Aptos"/>
          <w:b w:val="0"/>
          <w:bCs w:val="0"/>
          <w:i w:val="0"/>
          <w:iCs w:val="0"/>
          <w:caps w:val="0"/>
          <w:smallCaps w:val="0"/>
          <w:noProof w:val="0"/>
          <w:color w:val="000000" w:themeColor="text1" w:themeTint="FF" w:themeShade="FF"/>
          <w:sz w:val="20"/>
          <w:szCs w:val="20"/>
          <w:lang w:val="en-GB"/>
        </w:rPr>
      </w:pPr>
    </w:p>
    <w:p w:rsidR="7A7DCE30" w:rsidP="7A7DCE30" w:rsidRDefault="7A7DCE30" w14:paraId="7085C63A" w14:textId="4DCAC59F">
      <w:pPr>
        <w:bidi w:val="0"/>
        <w:spacing w:line="278" w:lineRule="auto"/>
        <w:rPr>
          <w:rFonts w:ascii="Aptos" w:hAnsi="Aptos" w:eastAsia="Aptos" w:cs="Aptos"/>
          <w:b w:val="0"/>
          <w:bCs w:val="0"/>
          <w:i w:val="0"/>
          <w:iCs w:val="0"/>
          <w:caps w:val="0"/>
          <w:smallCaps w:val="0"/>
          <w:noProof w:val="0"/>
          <w:color w:val="000000" w:themeColor="text1" w:themeTint="FF" w:themeShade="FF"/>
          <w:sz w:val="20"/>
          <w:szCs w:val="20"/>
          <w:lang w:val="en-GB"/>
        </w:rPr>
      </w:pPr>
    </w:p>
    <w:p w:rsidR="7A7DCE30" w:rsidP="7A7DCE30" w:rsidRDefault="7A7DCE30" w14:paraId="6C08393F" w14:textId="5FD22F9F">
      <w:pPr>
        <w:bidi w:val="0"/>
        <w:spacing w:line="278" w:lineRule="auto"/>
        <w:rPr>
          <w:rFonts w:ascii="Aptos" w:hAnsi="Aptos" w:eastAsia="Aptos" w:cs="Aptos"/>
          <w:b w:val="0"/>
          <w:bCs w:val="0"/>
          <w:i w:val="0"/>
          <w:iCs w:val="0"/>
          <w:caps w:val="0"/>
          <w:smallCaps w:val="0"/>
          <w:noProof w:val="0"/>
          <w:color w:val="000000" w:themeColor="text1" w:themeTint="FF" w:themeShade="FF"/>
          <w:sz w:val="20"/>
          <w:szCs w:val="20"/>
          <w:lang w:val="en-GB"/>
        </w:rPr>
      </w:pPr>
    </w:p>
    <w:p w:rsidR="7A7DCE30" w:rsidP="7A7DCE30" w:rsidRDefault="7A7DCE30" w14:paraId="7E1B07A0" w14:textId="456ED840">
      <w:pPr>
        <w:pStyle w:val="Normal"/>
        <w:suppressLineNumbers w:val="0"/>
        <w:bidi w:val="0"/>
        <w:spacing w:before="0" w:beforeAutospacing="off" w:after="160" w:afterAutospacing="off" w:line="278" w:lineRule="auto"/>
        <w:ind w:left="0" w:right="0"/>
        <w:jc w:val="left"/>
        <w:rPr>
          <w:rFonts w:ascii="Arial" w:hAnsi="Arial" w:eastAsia="Arial" w:cs="Arial"/>
          <w:b w:val="0"/>
          <w:bCs w:val="0"/>
          <w:i w:val="0"/>
          <w:iCs w:val="0"/>
          <w:caps w:val="0"/>
          <w:smallCaps w:val="0"/>
          <w:noProof w:val="0"/>
          <w:color w:val="auto"/>
          <w:sz w:val="22"/>
          <w:szCs w:val="22"/>
          <w:highlight w:val="green"/>
          <w:lang w:val="en-GB"/>
        </w:rPr>
      </w:pPr>
    </w:p>
    <w:p w:rsidR="7A7DCE30" w:rsidP="7A7DCE30" w:rsidRDefault="7A7DCE30" w14:paraId="1700C074" w14:textId="4C824A3C">
      <w:pPr>
        <w:bidi w:val="0"/>
        <w:spacing w:line="278" w:lineRule="auto"/>
        <w:rPr>
          <w:rFonts w:ascii="Aptos" w:hAnsi="Aptos" w:eastAsia="Aptos" w:cs="Aptos"/>
          <w:b w:val="1"/>
          <w:bCs w:val="1"/>
          <w:i w:val="0"/>
          <w:iCs w:val="0"/>
          <w:caps w:val="0"/>
          <w:smallCaps w:val="0"/>
          <w:noProof w:val="0"/>
          <w:color w:val="000000" w:themeColor="text1" w:themeTint="FF" w:themeShade="FF"/>
          <w:sz w:val="20"/>
          <w:szCs w:val="20"/>
          <w:lang w:val="en-US"/>
        </w:rPr>
      </w:pPr>
    </w:p>
    <w:p w:rsidR="7A7DCE30" w:rsidP="7A7DCE30" w:rsidRDefault="7A7DCE30" w14:paraId="464C918E" w14:textId="2FA1E0B8">
      <w:pPr>
        <w:bidi w:val="0"/>
        <w:spacing w:line="278" w:lineRule="auto"/>
        <w:rPr>
          <w:rFonts w:ascii="Aptos" w:hAnsi="Aptos" w:eastAsia="Aptos" w:cs="Aptos"/>
          <w:b w:val="1"/>
          <w:bCs w:val="1"/>
          <w:i w:val="0"/>
          <w:iCs w:val="0"/>
          <w:caps w:val="0"/>
          <w:smallCaps w:val="0"/>
          <w:noProof w:val="0"/>
          <w:color w:val="000000" w:themeColor="text1" w:themeTint="FF" w:themeShade="FF"/>
          <w:sz w:val="20"/>
          <w:szCs w:val="20"/>
          <w:lang w:val="en-US"/>
        </w:rPr>
      </w:pPr>
    </w:p>
    <w:p w:rsidR="7A7DCE30" w:rsidP="7A7DCE30" w:rsidRDefault="7A7DCE30" w14:paraId="189A158D" w14:textId="5F315D60">
      <w:pPr>
        <w:bidi w:val="0"/>
        <w:spacing w:line="278" w:lineRule="auto"/>
        <w:rPr>
          <w:rFonts w:ascii="Aptos" w:hAnsi="Aptos" w:eastAsia="Aptos" w:cs="Aptos"/>
          <w:b w:val="1"/>
          <w:bCs w:val="1"/>
          <w:i w:val="0"/>
          <w:iCs w:val="0"/>
          <w:caps w:val="0"/>
          <w:smallCaps w:val="0"/>
          <w:noProof w:val="0"/>
          <w:color w:val="000000" w:themeColor="text1" w:themeTint="FF" w:themeShade="FF"/>
          <w:sz w:val="20"/>
          <w:szCs w:val="20"/>
          <w:lang w:val="en-US"/>
        </w:rPr>
      </w:pPr>
    </w:p>
    <w:p w:rsidR="7A7DCE30" w:rsidP="7A7DCE30" w:rsidRDefault="7A7DCE30" w14:paraId="4F766798" w14:textId="46484E3C">
      <w:pPr>
        <w:pStyle w:val="Normal"/>
        <w:bidi w:val="0"/>
        <w:spacing w:line="278" w:lineRule="auto"/>
        <w:rPr>
          <w:rFonts w:ascii="Aptos" w:hAnsi="Aptos" w:eastAsia="Aptos" w:cs="Aptos"/>
          <w:b w:val="1"/>
          <w:bCs w:val="1"/>
          <w:i w:val="0"/>
          <w:iCs w:val="0"/>
          <w:caps w:val="0"/>
          <w:smallCaps w:val="0"/>
          <w:noProof w:val="0"/>
          <w:color w:val="000000" w:themeColor="text1" w:themeTint="FF" w:themeShade="FF"/>
          <w:sz w:val="20"/>
          <w:szCs w:val="20"/>
          <w:lang w:val="en-US"/>
        </w:rPr>
      </w:pPr>
    </w:p>
    <w:sectPr w:rsidRPr="001D17D1" w:rsidR="007B5744">
      <w:pgSz w:w="11906" w:h="16838" w:orient="portrait"/>
      <w:pgMar w:top="1440" w:right="1440" w:bottom="1440" w:left="1440" w:header="708" w:footer="708" w:gutter="0"/>
      <w:cols w:space="708"/>
      <w:docGrid w:linePitch="360"/>
      <w:headerReference w:type="default" r:id="R7f4e101406564845"/>
      <w:footerReference w:type="default" r:id="R1b12f6488e3b49b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Segoe Script">
    <w:panose1 w:val="030B0504020000000003"/>
    <w:charset w:val="00"/>
    <w:family w:val="script"/>
    <w:pitch w:val="variable"/>
    <w:sig w:usb0="0000028F" w:usb1="00000000" w:usb2="00000000" w:usb3="00000000" w:csb0="0000009F" w:csb1="00000000"/>
  </w:font>
  <w:font w:name="Yu Mincho">
    <w:altName w:val="游明朝"/>
    <w:panose1 w:val="00000000000000000000"/>
    <w:charset w:val="80"/>
    <w:family w:val="roman"/>
    <w:notTrueType/>
    <w:pitch w:val="default"/>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5"/>
      <w:gridCol w:w="5665"/>
      <w:gridCol w:w="3005"/>
    </w:tblGrid>
    <w:tr w:rsidR="7A7DCE30" w:rsidTr="7A7DCE30" w14:paraId="07A1C926">
      <w:trPr>
        <w:trHeight w:val="300"/>
      </w:trPr>
      <w:tc>
        <w:tcPr>
          <w:tcW w:w="345" w:type="dxa"/>
          <w:tcMar/>
        </w:tcPr>
        <w:p w:rsidR="7A7DCE30" w:rsidP="7A7DCE30" w:rsidRDefault="7A7DCE30" w14:paraId="3CE4777E" w14:textId="5F9B03C9">
          <w:pPr>
            <w:pStyle w:val="Header"/>
            <w:bidi w:val="0"/>
            <w:ind w:left="-115"/>
            <w:jc w:val="left"/>
          </w:pPr>
        </w:p>
      </w:tc>
      <w:tc>
        <w:tcPr>
          <w:tcW w:w="5665" w:type="dxa"/>
          <w:tcMar/>
        </w:tcPr>
        <w:p w:rsidR="7A7DCE30" w:rsidP="7A7DCE30" w:rsidRDefault="7A7DCE30" w14:paraId="14F40F0E">
          <w:pPr>
            <w:rPr>
              <w:rFonts w:ascii="Arial" w:hAnsi="Arial" w:cs="Arial"/>
              <w:sz w:val="16"/>
              <w:szCs w:val="16"/>
            </w:rPr>
          </w:pPr>
          <w:r w:rsidRPr="7A7DCE30" w:rsidR="7A7DCE30">
            <w:rPr>
              <w:rFonts w:ascii="Arial" w:hAnsi="Arial" w:cs="Arial"/>
              <w:sz w:val="16"/>
              <w:szCs w:val="16"/>
            </w:rPr>
            <w:t>Woodhouse - HPAH5085 – Assignment 3</w:t>
          </w:r>
        </w:p>
        <w:p w:rsidR="7A7DCE30" w:rsidP="7A7DCE30" w:rsidRDefault="7A7DCE30" w14:paraId="2525E8B2" w14:textId="7A86F193">
          <w:pPr>
            <w:pStyle w:val="Header"/>
            <w:bidi w:val="0"/>
            <w:jc w:val="center"/>
          </w:pPr>
        </w:p>
      </w:tc>
      <w:tc>
        <w:tcPr>
          <w:tcW w:w="3005" w:type="dxa"/>
          <w:tcMar/>
        </w:tcPr>
        <w:p w:rsidR="7A7DCE30" w:rsidP="7A7DCE30" w:rsidRDefault="7A7DCE30" w14:paraId="572A9343" w14:textId="0A7F5A55">
          <w:pPr>
            <w:pStyle w:val="Header"/>
            <w:bidi w:val="0"/>
            <w:ind w:right="-115"/>
            <w:jc w:val="right"/>
          </w:pPr>
        </w:p>
      </w:tc>
    </w:tr>
  </w:tbl>
  <w:p w:rsidR="7A7DCE30" w:rsidP="7A7DCE30" w:rsidRDefault="7A7DCE30" w14:paraId="62D99F7E" w14:textId="6D00B5B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A7DCE30" w:rsidTr="7A7DCE30" w14:paraId="408E6018">
      <w:trPr>
        <w:trHeight w:val="300"/>
      </w:trPr>
      <w:tc>
        <w:tcPr>
          <w:tcW w:w="3005" w:type="dxa"/>
          <w:tcMar/>
        </w:tcPr>
        <w:p w:rsidR="7A7DCE30" w:rsidP="7A7DCE30" w:rsidRDefault="7A7DCE30" w14:paraId="53A8725C" w14:textId="2ECE057C">
          <w:pPr>
            <w:pStyle w:val="Header"/>
            <w:bidi w:val="0"/>
            <w:ind w:left="-115"/>
            <w:jc w:val="left"/>
          </w:pPr>
        </w:p>
      </w:tc>
      <w:tc>
        <w:tcPr>
          <w:tcW w:w="3005" w:type="dxa"/>
          <w:tcMar/>
        </w:tcPr>
        <w:p w:rsidR="7A7DCE30" w:rsidP="7A7DCE30" w:rsidRDefault="7A7DCE30" w14:paraId="5E117185" w14:textId="3A2CB1AD">
          <w:pPr>
            <w:pStyle w:val="Header"/>
            <w:bidi w:val="0"/>
            <w:jc w:val="center"/>
          </w:pPr>
        </w:p>
      </w:tc>
      <w:tc>
        <w:tcPr>
          <w:tcW w:w="3005" w:type="dxa"/>
          <w:tcMar/>
        </w:tcPr>
        <w:p w:rsidR="7A7DCE30" w:rsidP="7A7DCE30" w:rsidRDefault="7A7DCE30" w14:paraId="656AF6B5" w14:textId="64A3E40A">
          <w:pPr>
            <w:pStyle w:val="Header"/>
            <w:bidi w:val="0"/>
            <w:ind w:right="-115"/>
            <w:jc w:val="right"/>
          </w:pPr>
        </w:p>
      </w:tc>
    </w:tr>
  </w:tbl>
  <w:p w:rsidR="7A7DCE30" w:rsidP="7A7DCE30" w:rsidRDefault="7A7DCE30" w14:paraId="52353C9F" w14:textId="10FAAF76">
    <w:pPr>
      <w:pStyle w:val="Header"/>
      <w:bidi w:val="0"/>
    </w:pPr>
  </w:p>
</w:hdr>
</file>

<file path=word/intelligence2.xml><?xml version="1.0" encoding="utf-8"?>
<int2:intelligence xmlns:int2="http://schemas.microsoft.com/office/intelligence/2020/intelligence">
  <int2:observations>
    <int2:textHash int2:hashCode="zU23Bt00Q7JdOA" int2:id="pq1NGmvX">
      <int2:state int2:type="spell" int2:value="Rejected"/>
    </int2:textHash>
    <int2:textHash int2:hashCode="uDxA4/D/cs7fSr" int2:id="bZ8h4Azk">
      <int2:state int2:type="spell" int2:value="Rejected"/>
    </int2:textHash>
    <int2:textHash int2:hashCode="6iTzwDtajYOItF" int2:id="61T3pkE3">
      <int2:state int2:type="spell" int2:value="Rejected"/>
    </int2:textHash>
    <int2:textHash int2:hashCode="8VrxWSBVOp7mmb" int2:id="YBRSsH97">
      <int2:state int2:type="spell" int2:value="Rejected"/>
    </int2:textHash>
    <int2:textHash int2:hashCode="ufsdklNhztWkeu" int2:id="Tvs09u74">
      <int2:state int2:type="spell" int2:value="Rejected"/>
    </int2:textHash>
    <int2:textHash int2:hashCode="UoW7HVRA3VQxYt" int2:id="hHvzHcCM">
      <int2:state int2:type="spell" int2:value="Rejected"/>
    </int2:textHash>
    <int2:textHash int2:hashCode="lQ2cwYAb4whP+W" int2:id="sj1VNwsx">
      <int2:state int2:type="spell" int2:value="Rejected"/>
    </int2:textHash>
    <int2:textHash int2:hashCode="c/+vAs/u4kK1rZ" int2:id="teMUkct6">
      <int2:state int2:type="spell" int2:value="Rejected"/>
    </int2:textHash>
    <int2:textHash int2:hashCode="mc6/2PHIoGQBNp" int2:id="YSdiXMls">
      <int2:state int2:type="spell" int2:value="Rejected"/>
    </int2:textHash>
    <int2:textHash int2:hashCode="zihhnYELQQBNXy" int2:id="RAsTCwka">
      <int2:state int2:type="spell" int2:value="Rejected"/>
    </int2:textHash>
    <int2:textHash int2:hashCode="koWLPtq5AEV2P3" int2:id="kiBsP3Da">
      <int2:state int2:type="spell" int2:value="Rejected"/>
    </int2:textHash>
    <int2:textHash int2:hashCode="gWJ1OEo97H2rqF" int2:id="tLyNMTwQ">
      <int2:state int2:type="spell" int2:value="Rejected"/>
    </int2:textHash>
    <int2:textHash int2:hashCode="S8Hyt/wKD8HIVd" int2:id="5Ammu8Gl">
      <int2:state int2:type="spell" int2:value="Rejected"/>
    </int2:textHash>
    <int2:textHash int2:hashCode="SOVj8UjcBNizHJ" int2:id="3h6sWuJM">
      <int2:state int2:type="spell" int2:value="Rejected"/>
    </int2:textHash>
    <int2:textHash int2:hashCode="Cep595JwLjEQMa" int2:id="wlfwkw6M">
      <int2:state int2:type="spell" int2:value="Rejected"/>
    </int2:textHash>
    <int2:textHash int2:hashCode="fNr87RyLIc8OuK" int2:id="OnP4Stix">
      <int2:state int2:type="spell" int2:value="Rejected"/>
    </int2:textHash>
    <int2:textHash int2:hashCode="hC/PV+31dWTVlR" int2:id="M7QP8NPP">
      <int2:state int2:type="spell" int2:value="Rejected"/>
    </int2:textHash>
    <int2:textHash int2:hashCode="UaNe5L+z+tQyqz" int2:id="SOmHFbvK">
      <int2:state int2:type="spell" int2:value="Rejected"/>
    </int2:textHash>
    <int2:textHash int2:hashCode="PK+VIgAVRd9Ju0" int2:id="r1hRGJf0">
      <int2:state int2:type="spell" int2:value="Rejected"/>
    </int2:textHash>
    <int2:textHash int2:hashCode="uh4lfW8oTqqfBN" int2:id="dV9G9nXR">
      <int2:state int2:type="spell" int2:value="Rejected"/>
    </int2:textHash>
    <int2:textHash int2:hashCode="PqhEiUXGVQU3vd" int2:id="MwFTXMg6">
      <int2:state int2:type="spell" int2:value="Rejected"/>
    </int2:textHash>
    <int2:textHash int2:hashCode="U/KwV4jl7cnHkg" int2:id="7yvtjDN3">
      <int2:state int2:type="spell" int2:value="Rejected"/>
    </int2:textHash>
    <int2:textHash int2:hashCode="1+DqoVYsayLORp" int2:id="eQD3REzO">
      <int2:state int2:type="spell" int2:value="Rejected"/>
    </int2:textHash>
    <int2:textHash int2:hashCode="EUxkLAIvHH1sf+" int2:id="Uh52dcmN">
      <int2:state int2:type="spell" int2:value="Rejected"/>
    </int2:textHash>
    <int2:textHash int2:hashCode="NGSxRetFeb3yOw" int2:id="VfXpswM6">
      <int2:state int2:type="spell" int2:value="Rejected"/>
    </int2:textHash>
    <int2:textHash int2:hashCode="AhC9E4KGao0Uzy" int2:id="1xgOGuig">
      <int2:state int2:type="spell" int2:value="Rejected"/>
    </int2:textHash>
    <int2:textHash int2:hashCode="+9CKCgHZTsBttY" int2:id="ijR8OiOv">
      <int2:state int2:type="spell" int2:value="Rejected"/>
    </int2:textHash>
    <int2:textHash int2:hashCode="lneiqv346ASpoe" int2:id="doDKVOAb">
      <int2:state int2:type="spell" int2:value="Rejected"/>
    </int2:textHash>
    <int2:textHash int2:hashCode="vSbyR52WctJ7vn" int2:id="1SCbUADa">
      <int2:state int2:type="spell" int2:value="Rejected"/>
    </int2:textHash>
    <int2:textHash int2:hashCode="n/RnCYf0CpETM2" int2:id="AkbaGHsk">
      <int2:state int2:type="spell" int2:value="Rejected"/>
    </int2:textHash>
    <int2:textHash int2:hashCode="A8MkSz9Ozp6OD7" int2:id="CNwP2PHn">
      <int2:state int2:type="spell" int2:value="Rejected"/>
    </int2:textHash>
    <int2:textHash int2:hashCode="YjtFZ82VrEp3Cm" int2:id="o9Z2wiFP">
      <int2:state int2:type="spell" int2:value="Rejected"/>
    </int2:textHash>
    <int2:textHash int2:hashCode="/qzF2OB/qABHzQ" int2:id="czzrVYIB">
      <int2:state int2:type="spell" int2:value="Rejected"/>
    </int2:textHash>
    <int2:textHash int2:hashCode="9bopdFRp6mFomN" int2:id="RLM49v8F">
      <int2:state int2:type="spell" int2:value="Rejected"/>
    </int2:textHash>
    <int2:textHash int2:hashCode="hG23jAuSJ9lt/p" int2:id="IDZTwJ3W">
      <int2:state int2:type="spell" int2:value="Rejected"/>
    </int2:textHash>
    <int2:textHash int2:hashCode="5h4OfVz0c9Le5U" int2:id="I6PHiiGH">
      <int2:state int2:type="spell" int2:value="Rejected"/>
    </int2:textHash>
    <int2:bookmark int2:bookmarkName="_Int_tTUwhcLZ" int2:invalidationBookmarkName="" int2:hashCode="biDSsgPPvG2yGX" int2:id="2qdieKqC">
      <int2:state int2:type="gram" int2:value="Rejected"/>
    </int2:bookmark>
    <int2:bookmark int2:bookmarkName="_Int_E7RNhqoI" int2:invalidationBookmarkName="" int2:hashCode="fOf9EIPp6nfn+9" int2:id="wEwSB3So">
      <int2:state int2:type="gram" int2:value="Rejected"/>
    </int2:bookmark>
    <int2:bookmark int2:bookmarkName="_Int_ifZMGcfs" int2:invalidationBookmarkName="" int2:hashCode="RqhmcRGM7U3nVn" int2:id="GNFS9YMp">
      <int2:state int2:type="style" int2:value="Rejected"/>
    </int2:bookmark>
  </int2:observations>
  <int2:intelligenceSettings/>
</int2:intelligenc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view w:val="normal"/>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7FCD"/>
    <w:rsid w:val="00001CE5"/>
    <w:rsid w:val="000075D4"/>
    <w:rsid w:val="00011C17"/>
    <w:rsid w:val="0001243D"/>
    <w:rsid w:val="00015150"/>
    <w:rsid w:val="000151D7"/>
    <w:rsid w:val="00015FA0"/>
    <w:rsid w:val="00024508"/>
    <w:rsid w:val="00030485"/>
    <w:rsid w:val="00033834"/>
    <w:rsid w:val="00034460"/>
    <w:rsid w:val="00034FE2"/>
    <w:rsid w:val="0003740F"/>
    <w:rsid w:val="000407A4"/>
    <w:rsid w:val="0004287E"/>
    <w:rsid w:val="000437D7"/>
    <w:rsid w:val="000477A7"/>
    <w:rsid w:val="000478B0"/>
    <w:rsid w:val="000514CA"/>
    <w:rsid w:val="00055030"/>
    <w:rsid w:val="00055447"/>
    <w:rsid w:val="000558B5"/>
    <w:rsid w:val="00056423"/>
    <w:rsid w:val="000622C6"/>
    <w:rsid w:val="00062820"/>
    <w:rsid w:val="00063A92"/>
    <w:rsid w:val="00077106"/>
    <w:rsid w:val="00077452"/>
    <w:rsid w:val="0008162C"/>
    <w:rsid w:val="0008167C"/>
    <w:rsid w:val="000925EE"/>
    <w:rsid w:val="00092B17"/>
    <w:rsid w:val="00096C35"/>
    <w:rsid w:val="000A476E"/>
    <w:rsid w:val="000B0B2F"/>
    <w:rsid w:val="000B2FA2"/>
    <w:rsid w:val="000B52C9"/>
    <w:rsid w:val="000C1B7A"/>
    <w:rsid w:val="000C578B"/>
    <w:rsid w:val="000C719D"/>
    <w:rsid w:val="000C7366"/>
    <w:rsid w:val="000D170B"/>
    <w:rsid w:val="000D39E5"/>
    <w:rsid w:val="000D4549"/>
    <w:rsid w:val="000F06C7"/>
    <w:rsid w:val="000F52CD"/>
    <w:rsid w:val="000F5BC2"/>
    <w:rsid w:val="000F745E"/>
    <w:rsid w:val="00104483"/>
    <w:rsid w:val="00105504"/>
    <w:rsid w:val="00105816"/>
    <w:rsid w:val="00112FF9"/>
    <w:rsid w:val="00115D05"/>
    <w:rsid w:val="0012121B"/>
    <w:rsid w:val="00122A56"/>
    <w:rsid w:val="00122FE8"/>
    <w:rsid w:val="00123B04"/>
    <w:rsid w:val="00130907"/>
    <w:rsid w:val="00130999"/>
    <w:rsid w:val="0013181C"/>
    <w:rsid w:val="00131F2A"/>
    <w:rsid w:val="0013257C"/>
    <w:rsid w:val="001331CC"/>
    <w:rsid w:val="00136711"/>
    <w:rsid w:val="00140F09"/>
    <w:rsid w:val="00141C47"/>
    <w:rsid w:val="001429BC"/>
    <w:rsid w:val="00147128"/>
    <w:rsid w:val="00167BBA"/>
    <w:rsid w:val="00171151"/>
    <w:rsid w:val="0017636F"/>
    <w:rsid w:val="0017780A"/>
    <w:rsid w:val="00180513"/>
    <w:rsid w:val="00181478"/>
    <w:rsid w:val="00186C7A"/>
    <w:rsid w:val="00192954"/>
    <w:rsid w:val="00194EAC"/>
    <w:rsid w:val="001966AB"/>
    <w:rsid w:val="001A0789"/>
    <w:rsid w:val="001A0D5E"/>
    <w:rsid w:val="001A490B"/>
    <w:rsid w:val="001B2C64"/>
    <w:rsid w:val="001C3B00"/>
    <w:rsid w:val="001C4FA7"/>
    <w:rsid w:val="001D1626"/>
    <w:rsid w:val="001D17D1"/>
    <w:rsid w:val="001D2298"/>
    <w:rsid w:val="001D4454"/>
    <w:rsid w:val="001D4A5B"/>
    <w:rsid w:val="001D513A"/>
    <w:rsid w:val="001D790D"/>
    <w:rsid w:val="001E02AE"/>
    <w:rsid w:val="001E2F7A"/>
    <w:rsid w:val="001F719F"/>
    <w:rsid w:val="00200E53"/>
    <w:rsid w:val="00201712"/>
    <w:rsid w:val="002041EA"/>
    <w:rsid w:val="00205490"/>
    <w:rsid w:val="00210825"/>
    <w:rsid w:val="00211D12"/>
    <w:rsid w:val="00214C40"/>
    <w:rsid w:val="00214FC3"/>
    <w:rsid w:val="002216E1"/>
    <w:rsid w:val="00223B20"/>
    <w:rsid w:val="00223DC6"/>
    <w:rsid w:val="00230430"/>
    <w:rsid w:val="00230910"/>
    <w:rsid w:val="0023532E"/>
    <w:rsid w:val="002360A1"/>
    <w:rsid w:val="00237FC5"/>
    <w:rsid w:val="002423DF"/>
    <w:rsid w:val="00242639"/>
    <w:rsid w:val="00243489"/>
    <w:rsid w:val="0025249C"/>
    <w:rsid w:val="0025718A"/>
    <w:rsid w:val="00264917"/>
    <w:rsid w:val="00267D93"/>
    <w:rsid w:val="00271A23"/>
    <w:rsid w:val="00274897"/>
    <w:rsid w:val="00280ECB"/>
    <w:rsid w:val="00282661"/>
    <w:rsid w:val="00283B39"/>
    <w:rsid w:val="00283F82"/>
    <w:rsid w:val="00285C80"/>
    <w:rsid w:val="002866DB"/>
    <w:rsid w:val="00287F3D"/>
    <w:rsid w:val="00292B61"/>
    <w:rsid w:val="00293E15"/>
    <w:rsid w:val="0029FD7B"/>
    <w:rsid w:val="002A321C"/>
    <w:rsid w:val="002A5F21"/>
    <w:rsid w:val="002B0197"/>
    <w:rsid w:val="002B5D7C"/>
    <w:rsid w:val="002B73F5"/>
    <w:rsid w:val="002B79AB"/>
    <w:rsid w:val="002C288B"/>
    <w:rsid w:val="002C3684"/>
    <w:rsid w:val="002D3304"/>
    <w:rsid w:val="002D5C45"/>
    <w:rsid w:val="002E1C52"/>
    <w:rsid w:val="002E47BA"/>
    <w:rsid w:val="002E6238"/>
    <w:rsid w:val="002E7DAF"/>
    <w:rsid w:val="002F16F9"/>
    <w:rsid w:val="002F2B09"/>
    <w:rsid w:val="002F3764"/>
    <w:rsid w:val="002F56C6"/>
    <w:rsid w:val="002F57AF"/>
    <w:rsid w:val="002FEC85"/>
    <w:rsid w:val="003018AB"/>
    <w:rsid w:val="00302A3D"/>
    <w:rsid w:val="00306138"/>
    <w:rsid w:val="00310526"/>
    <w:rsid w:val="00310855"/>
    <w:rsid w:val="0031159B"/>
    <w:rsid w:val="00312934"/>
    <w:rsid w:val="00316433"/>
    <w:rsid w:val="003178E0"/>
    <w:rsid w:val="00322391"/>
    <w:rsid w:val="0032793D"/>
    <w:rsid w:val="0033005D"/>
    <w:rsid w:val="00330A7A"/>
    <w:rsid w:val="00330C61"/>
    <w:rsid w:val="00333A82"/>
    <w:rsid w:val="00337679"/>
    <w:rsid w:val="00342475"/>
    <w:rsid w:val="0034362C"/>
    <w:rsid w:val="003444CF"/>
    <w:rsid w:val="00345E6E"/>
    <w:rsid w:val="00346568"/>
    <w:rsid w:val="00347731"/>
    <w:rsid w:val="00352227"/>
    <w:rsid w:val="00353BB1"/>
    <w:rsid w:val="00356663"/>
    <w:rsid w:val="00362279"/>
    <w:rsid w:val="003664F4"/>
    <w:rsid w:val="003720DE"/>
    <w:rsid w:val="00372986"/>
    <w:rsid w:val="003740CE"/>
    <w:rsid w:val="00375742"/>
    <w:rsid w:val="0038037E"/>
    <w:rsid w:val="003808DE"/>
    <w:rsid w:val="00386335"/>
    <w:rsid w:val="003864F8"/>
    <w:rsid w:val="0039121E"/>
    <w:rsid w:val="003939FA"/>
    <w:rsid w:val="00395B87"/>
    <w:rsid w:val="003A51A4"/>
    <w:rsid w:val="003A7482"/>
    <w:rsid w:val="003B32A4"/>
    <w:rsid w:val="003B48F0"/>
    <w:rsid w:val="003B6A43"/>
    <w:rsid w:val="003C14DE"/>
    <w:rsid w:val="003C16CD"/>
    <w:rsid w:val="003C4A80"/>
    <w:rsid w:val="003C55C3"/>
    <w:rsid w:val="003D5787"/>
    <w:rsid w:val="003D5DB3"/>
    <w:rsid w:val="003D7177"/>
    <w:rsid w:val="003E178A"/>
    <w:rsid w:val="003E474A"/>
    <w:rsid w:val="003E77AB"/>
    <w:rsid w:val="003F1D2E"/>
    <w:rsid w:val="003F2388"/>
    <w:rsid w:val="003F2A20"/>
    <w:rsid w:val="004048B7"/>
    <w:rsid w:val="0041190E"/>
    <w:rsid w:val="00412B57"/>
    <w:rsid w:val="00413BC3"/>
    <w:rsid w:val="00414289"/>
    <w:rsid w:val="00415D11"/>
    <w:rsid w:val="00420D5C"/>
    <w:rsid w:val="00421050"/>
    <w:rsid w:val="00423963"/>
    <w:rsid w:val="00424213"/>
    <w:rsid w:val="00424EDE"/>
    <w:rsid w:val="00425DF3"/>
    <w:rsid w:val="004278E4"/>
    <w:rsid w:val="00434B6F"/>
    <w:rsid w:val="00435F70"/>
    <w:rsid w:val="00436A7F"/>
    <w:rsid w:val="004375A9"/>
    <w:rsid w:val="0044082F"/>
    <w:rsid w:val="0044116E"/>
    <w:rsid w:val="004448E5"/>
    <w:rsid w:val="00451D05"/>
    <w:rsid w:val="00453886"/>
    <w:rsid w:val="004552FB"/>
    <w:rsid w:val="00455E16"/>
    <w:rsid w:val="0045696B"/>
    <w:rsid w:val="00461182"/>
    <w:rsid w:val="00466033"/>
    <w:rsid w:val="00466EB3"/>
    <w:rsid w:val="00467741"/>
    <w:rsid w:val="00472234"/>
    <w:rsid w:val="00483835"/>
    <w:rsid w:val="0048503F"/>
    <w:rsid w:val="00487710"/>
    <w:rsid w:val="004908DA"/>
    <w:rsid w:val="0049178F"/>
    <w:rsid w:val="00496CA4"/>
    <w:rsid w:val="004A02A5"/>
    <w:rsid w:val="004A6149"/>
    <w:rsid w:val="004B0DA2"/>
    <w:rsid w:val="004B4687"/>
    <w:rsid w:val="004C2450"/>
    <w:rsid w:val="004C4517"/>
    <w:rsid w:val="004C6B9A"/>
    <w:rsid w:val="004D0555"/>
    <w:rsid w:val="004D26F1"/>
    <w:rsid w:val="004D446C"/>
    <w:rsid w:val="004D6961"/>
    <w:rsid w:val="004D7F9C"/>
    <w:rsid w:val="004E16B2"/>
    <w:rsid w:val="004E2BDF"/>
    <w:rsid w:val="004E305B"/>
    <w:rsid w:val="004E743B"/>
    <w:rsid w:val="004F19DD"/>
    <w:rsid w:val="004F1DB3"/>
    <w:rsid w:val="004F3CE3"/>
    <w:rsid w:val="004F5E28"/>
    <w:rsid w:val="004F6B7E"/>
    <w:rsid w:val="0050071F"/>
    <w:rsid w:val="00502F6D"/>
    <w:rsid w:val="00507D71"/>
    <w:rsid w:val="005106F0"/>
    <w:rsid w:val="00511603"/>
    <w:rsid w:val="00522A20"/>
    <w:rsid w:val="00524060"/>
    <w:rsid w:val="00527F1F"/>
    <w:rsid w:val="005309C3"/>
    <w:rsid w:val="00530D70"/>
    <w:rsid w:val="005310CF"/>
    <w:rsid w:val="005324E0"/>
    <w:rsid w:val="00543C8F"/>
    <w:rsid w:val="005440F2"/>
    <w:rsid w:val="005451CB"/>
    <w:rsid w:val="00546200"/>
    <w:rsid w:val="005560F9"/>
    <w:rsid w:val="005610CD"/>
    <w:rsid w:val="0056140D"/>
    <w:rsid w:val="0056278A"/>
    <w:rsid w:val="00567F23"/>
    <w:rsid w:val="00571699"/>
    <w:rsid w:val="00573004"/>
    <w:rsid w:val="005732F0"/>
    <w:rsid w:val="005770BB"/>
    <w:rsid w:val="0057725F"/>
    <w:rsid w:val="00580CC9"/>
    <w:rsid w:val="005859D6"/>
    <w:rsid w:val="00597058"/>
    <w:rsid w:val="00597A85"/>
    <w:rsid w:val="00597B0A"/>
    <w:rsid w:val="00597D81"/>
    <w:rsid w:val="005A2B11"/>
    <w:rsid w:val="005A3A57"/>
    <w:rsid w:val="005B3269"/>
    <w:rsid w:val="005B4904"/>
    <w:rsid w:val="005B4D01"/>
    <w:rsid w:val="005B5536"/>
    <w:rsid w:val="005B5739"/>
    <w:rsid w:val="005D5831"/>
    <w:rsid w:val="005D5B13"/>
    <w:rsid w:val="005D6234"/>
    <w:rsid w:val="005D630A"/>
    <w:rsid w:val="005D6B8C"/>
    <w:rsid w:val="005D7D27"/>
    <w:rsid w:val="005E0107"/>
    <w:rsid w:val="005F0F83"/>
    <w:rsid w:val="00600E8F"/>
    <w:rsid w:val="0060396D"/>
    <w:rsid w:val="00607A0B"/>
    <w:rsid w:val="00607B36"/>
    <w:rsid w:val="006101B7"/>
    <w:rsid w:val="00613241"/>
    <w:rsid w:val="00615E9B"/>
    <w:rsid w:val="00627A7E"/>
    <w:rsid w:val="00630617"/>
    <w:rsid w:val="00632DBA"/>
    <w:rsid w:val="00643924"/>
    <w:rsid w:val="00645715"/>
    <w:rsid w:val="00657086"/>
    <w:rsid w:val="00663822"/>
    <w:rsid w:val="00665DCA"/>
    <w:rsid w:val="00671EA8"/>
    <w:rsid w:val="00672CDE"/>
    <w:rsid w:val="006800C1"/>
    <w:rsid w:val="00684526"/>
    <w:rsid w:val="00687146"/>
    <w:rsid w:val="0069667B"/>
    <w:rsid w:val="006A320D"/>
    <w:rsid w:val="006A3377"/>
    <w:rsid w:val="006A4668"/>
    <w:rsid w:val="006A50FC"/>
    <w:rsid w:val="006A6983"/>
    <w:rsid w:val="006A6E05"/>
    <w:rsid w:val="006B1CEF"/>
    <w:rsid w:val="006B247A"/>
    <w:rsid w:val="006C1C48"/>
    <w:rsid w:val="006C61EF"/>
    <w:rsid w:val="006C7E45"/>
    <w:rsid w:val="006D2502"/>
    <w:rsid w:val="006D59FB"/>
    <w:rsid w:val="006D7D86"/>
    <w:rsid w:val="006E066F"/>
    <w:rsid w:val="006E1C58"/>
    <w:rsid w:val="006E2BE7"/>
    <w:rsid w:val="006E4FE6"/>
    <w:rsid w:val="006F3190"/>
    <w:rsid w:val="006F4AEF"/>
    <w:rsid w:val="006F6047"/>
    <w:rsid w:val="007024B6"/>
    <w:rsid w:val="00702CE1"/>
    <w:rsid w:val="00705FCE"/>
    <w:rsid w:val="00706D39"/>
    <w:rsid w:val="00715601"/>
    <w:rsid w:val="00716A96"/>
    <w:rsid w:val="00723284"/>
    <w:rsid w:val="0072501C"/>
    <w:rsid w:val="00726821"/>
    <w:rsid w:val="007313FF"/>
    <w:rsid w:val="00736C1B"/>
    <w:rsid w:val="00742822"/>
    <w:rsid w:val="00747920"/>
    <w:rsid w:val="007500F8"/>
    <w:rsid w:val="00752023"/>
    <w:rsid w:val="0075710E"/>
    <w:rsid w:val="007609A4"/>
    <w:rsid w:val="007632B9"/>
    <w:rsid w:val="007650D6"/>
    <w:rsid w:val="0076591D"/>
    <w:rsid w:val="00765C5A"/>
    <w:rsid w:val="00770D73"/>
    <w:rsid w:val="007721BD"/>
    <w:rsid w:val="007754FE"/>
    <w:rsid w:val="0077554F"/>
    <w:rsid w:val="0079197E"/>
    <w:rsid w:val="00792CFA"/>
    <w:rsid w:val="00795A2F"/>
    <w:rsid w:val="007A13D0"/>
    <w:rsid w:val="007A62CB"/>
    <w:rsid w:val="007A794D"/>
    <w:rsid w:val="007B0556"/>
    <w:rsid w:val="007B1ABC"/>
    <w:rsid w:val="007B2A80"/>
    <w:rsid w:val="007B33E3"/>
    <w:rsid w:val="007B5744"/>
    <w:rsid w:val="007B7111"/>
    <w:rsid w:val="007C1122"/>
    <w:rsid w:val="007C4E3B"/>
    <w:rsid w:val="007C5102"/>
    <w:rsid w:val="007D35E9"/>
    <w:rsid w:val="007E0516"/>
    <w:rsid w:val="007E0A62"/>
    <w:rsid w:val="007F2750"/>
    <w:rsid w:val="00803391"/>
    <w:rsid w:val="008167F1"/>
    <w:rsid w:val="008179B7"/>
    <w:rsid w:val="008203EA"/>
    <w:rsid w:val="00826622"/>
    <w:rsid w:val="00827A7F"/>
    <w:rsid w:val="00833ED6"/>
    <w:rsid w:val="00834865"/>
    <w:rsid w:val="008355FC"/>
    <w:rsid w:val="008360F3"/>
    <w:rsid w:val="008361D0"/>
    <w:rsid w:val="00836613"/>
    <w:rsid w:val="0084175B"/>
    <w:rsid w:val="00841C46"/>
    <w:rsid w:val="00842AD0"/>
    <w:rsid w:val="008461AC"/>
    <w:rsid w:val="008475A0"/>
    <w:rsid w:val="00857642"/>
    <w:rsid w:val="0086587B"/>
    <w:rsid w:val="0086657F"/>
    <w:rsid w:val="00867206"/>
    <w:rsid w:val="00872834"/>
    <w:rsid w:val="0087624F"/>
    <w:rsid w:val="0088500A"/>
    <w:rsid w:val="0088671D"/>
    <w:rsid w:val="00887B91"/>
    <w:rsid w:val="008913A7"/>
    <w:rsid w:val="00893233"/>
    <w:rsid w:val="00896537"/>
    <w:rsid w:val="008A1E70"/>
    <w:rsid w:val="008A4705"/>
    <w:rsid w:val="008A7AF7"/>
    <w:rsid w:val="008A7D21"/>
    <w:rsid w:val="008B03A2"/>
    <w:rsid w:val="008B2007"/>
    <w:rsid w:val="008B5C43"/>
    <w:rsid w:val="008B5D13"/>
    <w:rsid w:val="008B6693"/>
    <w:rsid w:val="008C1473"/>
    <w:rsid w:val="008C350B"/>
    <w:rsid w:val="008C4FCA"/>
    <w:rsid w:val="008D03D3"/>
    <w:rsid w:val="008D2091"/>
    <w:rsid w:val="008D33A0"/>
    <w:rsid w:val="008D5135"/>
    <w:rsid w:val="008D6506"/>
    <w:rsid w:val="008E0210"/>
    <w:rsid w:val="008E0623"/>
    <w:rsid w:val="008E17A2"/>
    <w:rsid w:val="008F022E"/>
    <w:rsid w:val="008F42EB"/>
    <w:rsid w:val="008F6CB9"/>
    <w:rsid w:val="009030F8"/>
    <w:rsid w:val="00907311"/>
    <w:rsid w:val="00913E94"/>
    <w:rsid w:val="00915C8F"/>
    <w:rsid w:val="00915CDD"/>
    <w:rsid w:val="00920C30"/>
    <w:rsid w:val="00924CB5"/>
    <w:rsid w:val="00925BA5"/>
    <w:rsid w:val="0092640C"/>
    <w:rsid w:val="00932891"/>
    <w:rsid w:val="009354E3"/>
    <w:rsid w:val="00936576"/>
    <w:rsid w:val="00940798"/>
    <w:rsid w:val="00941600"/>
    <w:rsid w:val="00941A93"/>
    <w:rsid w:val="00942109"/>
    <w:rsid w:val="009434B2"/>
    <w:rsid w:val="00943CD2"/>
    <w:rsid w:val="00943E5C"/>
    <w:rsid w:val="00944719"/>
    <w:rsid w:val="00945443"/>
    <w:rsid w:val="0096496A"/>
    <w:rsid w:val="00975BF4"/>
    <w:rsid w:val="00976F7E"/>
    <w:rsid w:val="00980077"/>
    <w:rsid w:val="009834B9"/>
    <w:rsid w:val="00990083"/>
    <w:rsid w:val="00990A90"/>
    <w:rsid w:val="00990C2C"/>
    <w:rsid w:val="00993CCE"/>
    <w:rsid w:val="0099410D"/>
    <w:rsid w:val="00995526"/>
    <w:rsid w:val="009A06F7"/>
    <w:rsid w:val="009A27CC"/>
    <w:rsid w:val="009A292B"/>
    <w:rsid w:val="009A3A6D"/>
    <w:rsid w:val="009B2011"/>
    <w:rsid w:val="009B29BC"/>
    <w:rsid w:val="009B63D9"/>
    <w:rsid w:val="009B79BA"/>
    <w:rsid w:val="009C0060"/>
    <w:rsid w:val="009C2D71"/>
    <w:rsid w:val="009C6852"/>
    <w:rsid w:val="009C6D15"/>
    <w:rsid w:val="009D002D"/>
    <w:rsid w:val="009D1834"/>
    <w:rsid w:val="009D19C9"/>
    <w:rsid w:val="009D1B87"/>
    <w:rsid w:val="009D2CC9"/>
    <w:rsid w:val="009D38A9"/>
    <w:rsid w:val="009D59C7"/>
    <w:rsid w:val="009D5C52"/>
    <w:rsid w:val="009D64AF"/>
    <w:rsid w:val="009E1F5E"/>
    <w:rsid w:val="009E4946"/>
    <w:rsid w:val="009E5EBD"/>
    <w:rsid w:val="009E6D70"/>
    <w:rsid w:val="009E7C9D"/>
    <w:rsid w:val="009F1880"/>
    <w:rsid w:val="00A02638"/>
    <w:rsid w:val="00A058C2"/>
    <w:rsid w:val="00A0602F"/>
    <w:rsid w:val="00A13995"/>
    <w:rsid w:val="00A2054C"/>
    <w:rsid w:val="00A2297F"/>
    <w:rsid w:val="00A22B87"/>
    <w:rsid w:val="00A234C1"/>
    <w:rsid w:val="00A25F63"/>
    <w:rsid w:val="00A30501"/>
    <w:rsid w:val="00A31B29"/>
    <w:rsid w:val="00A36C60"/>
    <w:rsid w:val="00A37137"/>
    <w:rsid w:val="00A4245C"/>
    <w:rsid w:val="00A4301E"/>
    <w:rsid w:val="00A435A5"/>
    <w:rsid w:val="00A439CD"/>
    <w:rsid w:val="00A441EC"/>
    <w:rsid w:val="00A53820"/>
    <w:rsid w:val="00A540D2"/>
    <w:rsid w:val="00A54500"/>
    <w:rsid w:val="00A56D44"/>
    <w:rsid w:val="00A635E6"/>
    <w:rsid w:val="00A63A49"/>
    <w:rsid w:val="00A64824"/>
    <w:rsid w:val="00A66442"/>
    <w:rsid w:val="00A72EB2"/>
    <w:rsid w:val="00A73B02"/>
    <w:rsid w:val="00A84AC6"/>
    <w:rsid w:val="00A9007A"/>
    <w:rsid w:val="00A95CF6"/>
    <w:rsid w:val="00A96446"/>
    <w:rsid w:val="00A9C914"/>
    <w:rsid w:val="00AA508E"/>
    <w:rsid w:val="00AB0BFE"/>
    <w:rsid w:val="00AB0E57"/>
    <w:rsid w:val="00ABD77C"/>
    <w:rsid w:val="00AC48B9"/>
    <w:rsid w:val="00AC4B4A"/>
    <w:rsid w:val="00AC5796"/>
    <w:rsid w:val="00AD0B6F"/>
    <w:rsid w:val="00AD1E73"/>
    <w:rsid w:val="00AD2F79"/>
    <w:rsid w:val="00AD4EDB"/>
    <w:rsid w:val="00AD7229"/>
    <w:rsid w:val="00AF39DD"/>
    <w:rsid w:val="00AF45BC"/>
    <w:rsid w:val="00AF77BB"/>
    <w:rsid w:val="00B02272"/>
    <w:rsid w:val="00B02787"/>
    <w:rsid w:val="00B0531F"/>
    <w:rsid w:val="00B0583D"/>
    <w:rsid w:val="00B06048"/>
    <w:rsid w:val="00B07876"/>
    <w:rsid w:val="00B10132"/>
    <w:rsid w:val="00B12A2F"/>
    <w:rsid w:val="00B13B42"/>
    <w:rsid w:val="00B14D13"/>
    <w:rsid w:val="00B15749"/>
    <w:rsid w:val="00B16CA1"/>
    <w:rsid w:val="00B220ED"/>
    <w:rsid w:val="00B238FF"/>
    <w:rsid w:val="00B33111"/>
    <w:rsid w:val="00B43D71"/>
    <w:rsid w:val="00B505B6"/>
    <w:rsid w:val="00B53BE9"/>
    <w:rsid w:val="00B53CB8"/>
    <w:rsid w:val="00B60582"/>
    <w:rsid w:val="00B610BF"/>
    <w:rsid w:val="00B637C1"/>
    <w:rsid w:val="00B65DBD"/>
    <w:rsid w:val="00B67060"/>
    <w:rsid w:val="00B67FCD"/>
    <w:rsid w:val="00B71EC5"/>
    <w:rsid w:val="00B72AF0"/>
    <w:rsid w:val="00B751FD"/>
    <w:rsid w:val="00B7556E"/>
    <w:rsid w:val="00B80231"/>
    <w:rsid w:val="00B824E1"/>
    <w:rsid w:val="00B8431B"/>
    <w:rsid w:val="00B85917"/>
    <w:rsid w:val="00B90D92"/>
    <w:rsid w:val="00B93493"/>
    <w:rsid w:val="00BA1070"/>
    <w:rsid w:val="00BA4D6D"/>
    <w:rsid w:val="00BA7602"/>
    <w:rsid w:val="00BB316F"/>
    <w:rsid w:val="00BB358D"/>
    <w:rsid w:val="00BB5E39"/>
    <w:rsid w:val="00BC089D"/>
    <w:rsid w:val="00BC0D5F"/>
    <w:rsid w:val="00BC0FD3"/>
    <w:rsid w:val="00BD1D7F"/>
    <w:rsid w:val="00BD2345"/>
    <w:rsid w:val="00BD377B"/>
    <w:rsid w:val="00BD3AEC"/>
    <w:rsid w:val="00BD49A5"/>
    <w:rsid w:val="00BD752F"/>
    <w:rsid w:val="00BE23B8"/>
    <w:rsid w:val="00BF07D1"/>
    <w:rsid w:val="00BF5941"/>
    <w:rsid w:val="00C0404A"/>
    <w:rsid w:val="00C167B2"/>
    <w:rsid w:val="00C205D0"/>
    <w:rsid w:val="00C207E7"/>
    <w:rsid w:val="00C216BB"/>
    <w:rsid w:val="00C2516D"/>
    <w:rsid w:val="00C3024D"/>
    <w:rsid w:val="00C31D2B"/>
    <w:rsid w:val="00C34340"/>
    <w:rsid w:val="00C34907"/>
    <w:rsid w:val="00C3636C"/>
    <w:rsid w:val="00C37671"/>
    <w:rsid w:val="00C37C63"/>
    <w:rsid w:val="00C41994"/>
    <w:rsid w:val="00C50661"/>
    <w:rsid w:val="00C53E51"/>
    <w:rsid w:val="00C547D2"/>
    <w:rsid w:val="00C57297"/>
    <w:rsid w:val="00C613BA"/>
    <w:rsid w:val="00C656B3"/>
    <w:rsid w:val="00C66225"/>
    <w:rsid w:val="00C736A9"/>
    <w:rsid w:val="00C73E0F"/>
    <w:rsid w:val="00C77517"/>
    <w:rsid w:val="00C810C5"/>
    <w:rsid w:val="00C82AD1"/>
    <w:rsid w:val="00C82B61"/>
    <w:rsid w:val="00C83815"/>
    <w:rsid w:val="00C84620"/>
    <w:rsid w:val="00C84C24"/>
    <w:rsid w:val="00C84F1A"/>
    <w:rsid w:val="00C86A60"/>
    <w:rsid w:val="00C8796A"/>
    <w:rsid w:val="00C92219"/>
    <w:rsid w:val="00C93A6C"/>
    <w:rsid w:val="00C9449B"/>
    <w:rsid w:val="00C95792"/>
    <w:rsid w:val="00C9589E"/>
    <w:rsid w:val="00C95F0E"/>
    <w:rsid w:val="00C97ED4"/>
    <w:rsid w:val="00CA7591"/>
    <w:rsid w:val="00CA7AE0"/>
    <w:rsid w:val="00CB0783"/>
    <w:rsid w:val="00CC10AA"/>
    <w:rsid w:val="00CC1FE8"/>
    <w:rsid w:val="00CC34D3"/>
    <w:rsid w:val="00CC381A"/>
    <w:rsid w:val="00CC582E"/>
    <w:rsid w:val="00CC5D2D"/>
    <w:rsid w:val="00CC7395"/>
    <w:rsid w:val="00CD0693"/>
    <w:rsid w:val="00CD1D82"/>
    <w:rsid w:val="00CD46C5"/>
    <w:rsid w:val="00CD5160"/>
    <w:rsid w:val="00CD5CD9"/>
    <w:rsid w:val="00CD61C7"/>
    <w:rsid w:val="00CD6E22"/>
    <w:rsid w:val="00CD705C"/>
    <w:rsid w:val="00CE4593"/>
    <w:rsid w:val="00CF34B2"/>
    <w:rsid w:val="00CF4827"/>
    <w:rsid w:val="00CF4E53"/>
    <w:rsid w:val="00D02921"/>
    <w:rsid w:val="00D02CAA"/>
    <w:rsid w:val="00D04FB8"/>
    <w:rsid w:val="00D06533"/>
    <w:rsid w:val="00D06B82"/>
    <w:rsid w:val="00D06F3F"/>
    <w:rsid w:val="00D10ADA"/>
    <w:rsid w:val="00D13408"/>
    <w:rsid w:val="00D1394C"/>
    <w:rsid w:val="00D15F3C"/>
    <w:rsid w:val="00D20835"/>
    <w:rsid w:val="00D267CF"/>
    <w:rsid w:val="00D3327C"/>
    <w:rsid w:val="00D33D82"/>
    <w:rsid w:val="00D345C7"/>
    <w:rsid w:val="00D40637"/>
    <w:rsid w:val="00D4620F"/>
    <w:rsid w:val="00D46C47"/>
    <w:rsid w:val="00D501E1"/>
    <w:rsid w:val="00D50D17"/>
    <w:rsid w:val="00D50D86"/>
    <w:rsid w:val="00D53AD4"/>
    <w:rsid w:val="00D55A66"/>
    <w:rsid w:val="00D62870"/>
    <w:rsid w:val="00D6333B"/>
    <w:rsid w:val="00D63958"/>
    <w:rsid w:val="00D64C9E"/>
    <w:rsid w:val="00D66576"/>
    <w:rsid w:val="00D67864"/>
    <w:rsid w:val="00D71D95"/>
    <w:rsid w:val="00D74599"/>
    <w:rsid w:val="00D75610"/>
    <w:rsid w:val="00D76DC5"/>
    <w:rsid w:val="00D80CC9"/>
    <w:rsid w:val="00D80FA9"/>
    <w:rsid w:val="00D842B8"/>
    <w:rsid w:val="00D87778"/>
    <w:rsid w:val="00D9242E"/>
    <w:rsid w:val="00D92603"/>
    <w:rsid w:val="00D97CB3"/>
    <w:rsid w:val="00DA014C"/>
    <w:rsid w:val="00DA15E7"/>
    <w:rsid w:val="00DA3BAC"/>
    <w:rsid w:val="00DC1A6F"/>
    <w:rsid w:val="00DC337E"/>
    <w:rsid w:val="00DC4B98"/>
    <w:rsid w:val="00DC5B81"/>
    <w:rsid w:val="00DD1949"/>
    <w:rsid w:val="00DD47A0"/>
    <w:rsid w:val="00DD5AD9"/>
    <w:rsid w:val="00DD6F00"/>
    <w:rsid w:val="00DD70AE"/>
    <w:rsid w:val="00DE0013"/>
    <w:rsid w:val="00DE116C"/>
    <w:rsid w:val="00DE1DD3"/>
    <w:rsid w:val="00DE4A59"/>
    <w:rsid w:val="00DE4C4B"/>
    <w:rsid w:val="00DE571D"/>
    <w:rsid w:val="00DE5C58"/>
    <w:rsid w:val="00DE6401"/>
    <w:rsid w:val="00DF1E0C"/>
    <w:rsid w:val="00DF648E"/>
    <w:rsid w:val="00DF79D7"/>
    <w:rsid w:val="00DFAC1C"/>
    <w:rsid w:val="00E01768"/>
    <w:rsid w:val="00E030D5"/>
    <w:rsid w:val="00E060B8"/>
    <w:rsid w:val="00E10211"/>
    <w:rsid w:val="00E1275F"/>
    <w:rsid w:val="00E1562D"/>
    <w:rsid w:val="00E22A40"/>
    <w:rsid w:val="00E2420A"/>
    <w:rsid w:val="00E34689"/>
    <w:rsid w:val="00E4329F"/>
    <w:rsid w:val="00E46ABF"/>
    <w:rsid w:val="00E526B2"/>
    <w:rsid w:val="00E52FDE"/>
    <w:rsid w:val="00E53381"/>
    <w:rsid w:val="00E54C2C"/>
    <w:rsid w:val="00E5752F"/>
    <w:rsid w:val="00E6212F"/>
    <w:rsid w:val="00E62633"/>
    <w:rsid w:val="00E7123E"/>
    <w:rsid w:val="00E72391"/>
    <w:rsid w:val="00E83A16"/>
    <w:rsid w:val="00E847DB"/>
    <w:rsid w:val="00E862FB"/>
    <w:rsid w:val="00E87534"/>
    <w:rsid w:val="00E92BAB"/>
    <w:rsid w:val="00E9718E"/>
    <w:rsid w:val="00E973C8"/>
    <w:rsid w:val="00E97875"/>
    <w:rsid w:val="00EA13E7"/>
    <w:rsid w:val="00EA1E2A"/>
    <w:rsid w:val="00EA5C93"/>
    <w:rsid w:val="00EA6D54"/>
    <w:rsid w:val="00EA757E"/>
    <w:rsid w:val="00EB338C"/>
    <w:rsid w:val="00EB6FD8"/>
    <w:rsid w:val="00EC0440"/>
    <w:rsid w:val="00EC0BB9"/>
    <w:rsid w:val="00EC34CE"/>
    <w:rsid w:val="00EC389D"/>
    <w:rsid w:val="00EC38DE"/>
    <w:rsid w:val="00EC4988"/>
    <w:rsid w:val="00ED334B"/>
    <w:rsid w:val="00EE21B9"/>
    <w:rsid w:val="00EE7505"/>
    <w:rsid w:val="00EF1E90"/>
    <w:rsid w:val="00EF28F0"/>
    <w:rsid w:val="00EF478E"/>
    <w:rsid w:val="00EF5DA7"/>
    <w:rsid w:val="00EF60AD"/>
    <w:rsid w:val="00EF6397"/>
    <w:rsid w:val="00F00B29"/>
    <w:rsid w:val="00F00B99"/>
    <w:rsid w:val="00F069F9"/>
    <w:rsid w:val="00F11DF2"/>
    <w:rsid w:val="00F12C9D"/>
    <w:rsid w:val="00F15682"/>
    <w:rsid w:val="00F17A94"/>
    <w:rsid w:val="00F22FDC"/>
    <w:rsid w:val="00F24624"/>
    <w:rsid w:val="00F27F12"/>
    <w:rsid w:val="00F40320"/>
    <w:rsid w:val="00F40748"/>
    <w:rsid w:val="00F427BB"/>
    <w:rsid w:val="00F429D5"/>
    <w:rsid w:val="00F45278"/>
    <w:rsid w:val="00F5193D"/>
    <w:rsid w:val="00F52C97"/>
    <w:rsid w:val="00F55C47"/>
    <w:rsid w:val="00F60857"/>
    <w:rsid w:val="00F671F4"/>
    <w:rsid w:val="00F67E7C"/>
    <w:rsid w:val="00F777B3"/>
    <w:rsid w:val="00F81290"/>
    <w:rsid w:val="00F84DD4"/>
    <w:rsid w:val="00F86DA6"/>
    <w:rsid w:val="00F91966"/>
    <w:rsid w:val="00F95CDA"/>
    <w:rsid w:val="00F97D49"/>
    <w:rsid w:val="00FA0A14"/>
    <w:rsid w:val="00FA23FD"/>
    <w:rsid w:val="00FA24A0"/>
    <w:rsid w:val="00FA374C"/>
    <w:rsid w:val="00FA60E7"/>
    <w:rsid w:val="00FB003B"/>
    <w:rsid w:val="00FB0E40"/>
    <w:rsid w:val="00FC0169"/>
    <w:rsid w:val="00FC0C9C"/>
    <w:rsid w:val="00FC0E9E"/>
    <w:rsid w:val="00FC2C90"/>
    <w:rsid w:val="00FC31BE"/>
    <w:rsid w:val="00FC5352"/>
    <w:rsid w:val="00FC5B62"/>
    <w:rsid w:val="00FC60CA"/>
    <w:rsid w:val="00FC62D8"/>
    <w:rsid w:val="00FC649D"/>
    <w:rsid w:val="00FD5E66"/>
    <w:rsid w:val="00FE00ED"/>
    <w:rsid w:val="00FE563C"/>
    <w:rsid w:val="00FE74F1"/>
    <w:rsid w:val="00FF2255"/>
    <w:rsid w:val="00FF285F"/>
    <w:rsid w:val="00FF5AA1"/>
    <w:rsid w:val="018176A3"/>
    <w:rsid w:val="0185FC8A"/>
    <w:rsid w:val="01A1E5F0"/>
    <w:rsid w:val="01A2D4EC"/>
    <w:rsid w:val="01A989F9"/>
    <w:rsid w:val="01B0668A"/>
    <w:rsid w:val="01C1D161"/>
    <w:rsid w:val="01DED37F"/>
    <w:rsid w:val="021E86CD"/>
    <w:rsid w:val="027761BB"/>
    <w:rsid w:val="02BE2394"/>
    <w:rsid w:val="02BFCD8D"/>
    <w:rsid w:val="02E2DDB1"/>
    <w:rsid w:val="0337F8B0"/>
    <w:rsid w:val="03499A99"/>
    <w:rsid w:val="041906D7"/>
    <w:rsid w:val="0438CC01"/>
    <w:rsid w:val="04ACCE68"/>
    <w:rsid w:val="04B31822"/>
    <w:rsid w:val="04DFA87A"/>
    <w:rsid w:val="050BD9F8"/>
    <w:rsid w:val="051F6F95"/>
    <w:rsid w:val="052D4954"/>
    <w:rsid w:val="0581826F"/>
    <w:rsid w:val="05BC66C1"/>
    <w:rsid w:val="05E73656"/>
    <w:rsid w:val="06385BD4"/>
    <w:rsid w:val="066321DD"/>
    <w:rsid w:val="067B8CAC"/>
    <w:rsid w:val="06D0CF48"/>
    <w:rsid w:val="0750A5DC"/>
    <w:rsid w:val="0751AAD5"/>
    <w:rsid w:val="07586CD4"/>
    <w:rsid w:val="07DCBBC0"/>
    <w:rsid w:val="081C4B7A"/>
    <w:rsid w:val="081D4BC9"/>
    <w:rsid w:val="0856BC41"/>
    <w:rsid w:val="085A18C9"/>
    <w:rsid w:val="0894C522"/>
    <w:rsid w:val="08DBCF70"/>
    <w:rsid w:val="08DCF6EC"/>
    <w:rsid w:val="08E21A9E"/>
    <w:rsid w:val="08E6569C"/>
    <w:rsid w:val="08F3106F"/>
    <w:rsid w:val="09054B08"/>
    <w:rsid w:val="09AE6A8C"/>
    <w:rsid w:val="09B996DB"/>
    <w:rsid w:val="09E6E0C7"/>
    <w:rsid w:val="09ED340B"/>
    <w:rsid w:val="09F31A60"/>
    <w:rsid w:val="0A068D40"/>
    <w:rsid w:val="0A3547DB"/>
    <w:rsid w:val="0A57D68B"/>
    <w:rsid w:val="0A866CB2"/>
    <w:rsid w:val="0AE48782"/>
    <w:rsid w:val="0B46E7A0"/>
    <w:rsid w:val="0BB1C123"/>
    <w:rsid w:val="0BDA635A"/>
    <w:rsid w:val="0BE1E8C9"/>
    <w:rsid w:val="0C1E4F49"/>
    <w:rsid w:val="0C6C53C4"/>
    <w:rsid w:val="0C6D8337"/>
    <w:rsid w:val="0CEAA079"/>
    <w:rsid w:val="0CEBE430"/>
    <w:rsid w:val="0D20F854"/>
    <w:rsid w:val="0D5A51FD"/>
    <w:rsid w:val="0DA90DA0"/>
    <w:rsid w:val="0DAAD1F2"/>
    <w:rsid w:val="0DBAFEE1"/>
    <w:rsid w:val="0DC3C6CB"/>
    <w:rsid w:val="0DD9C2E4"/>
    <w:rsid w:val="0E6440EA"/>
    <w:rsid w:val="0E9D38BE"/>
    <w:rsid w:val="0EBA74C5"/>
    <w:rsid w:val="0EEE431B"/>
    <w:rsid w:val="0EF137A2"/>
    <w:rsid w:val="0EF6775C"/>
    <w:rsid w:val="0F56EDEE"/>
    <w:rsid w:val="0F69AC67"/>
    <w:rsid w:val="0F9E115A"/>
    <w:rsid w:val="0F9E6778"/>
    <w:rsid w:val="0FAA25CA"/>
    <w:rsid w:val="0FB6ED93"/>
    <w:rsid w:val="0FDD1672"/>
    <w:rsid w:val="0FEA1AB1"/>
    <w:rsid w:val="102E279B"/>
    <w:rsid w:val="107AC5F8"/>
    <w:rsid w:val="1090E823"/>
    <w:rsid w:val="10DFBDE4"/>
    <w:rsid w:val="10EF6CCB"/>
    <w:rsid w:val="1145046F"/>
    <w:rsid w:val="11481EBC"/>
    <w:rsid w:val="11544C90"/>
    <w:rsid w:val="118E44EC"/>
    <w:rsid w:val="11CC3E36"/>
    <w:rsid w:val="11CD1446"/>
    <w:rsid w:val="11EBAB2E"/>
    <w:rsid w:val="11F2A115"/>
    <w:rsid w:val="11FEF1A0"/>
    <w:rsid w:val="1210EBBA"/>
    <w:rsid w:val="12A5CAE2"/>
    <w:rsid w:val="12C038A3"/>
    <w:rsid w:val="12FF1FF0"/>
    <w:rsid w:val="1303C0B4"/>
    <w:rsid w:val="1307020D"/>
    <w:rsid w:val="130A59C5"/>
    <w:rsid w:val="1325681D"/>
    <w:rsid w:val="13725B8D"/>
    <w:rsid w:val="13B65E56"/>
    <w:rsid w:val="13DF3E11"/>
    <w:rsid w:val="141D11AE"/>
    <w:rsid w:val="1464BBAF"/>
    <w:rsid w:val="1499FBBC"/>
    <w:rsid w:val="14E57D33"/>
    <w:rsid w:val="150C9688"/>
    <w:rsid w:val="159716AC"/>
    <w:rsid w:val="15FE5FC5"/>
    <w:rsid w:val="16088AA7"/>
    <w:rsid w:val="161C40A5"/>
    <w:rsid w:val="16A1AB5B"/>
    <w:rsid w:val="16ADE8FC"/>
    <w:rsid w:val="1716DFC4"/>
    <w:rsid w:val="17D3A1F7"/>
    <w:rsid w:val="17E057F4"/>
    <w:rsid w:val="17F3C421"/>
    <w:rsid w:val="1811C56B"/>
    <w:rsid w:val="181B9D1D"/>
    <w:rsid w:val="18275A91"/>
    <w:rsid w:val="182891FC"/>
    <w:rsid w:val="18824F32"/>
    <w:rsid w:val="18828A31"/>
    <w:rsid w:val="18969185"/>
    <w:rsid w:val="19041425"/>
    <w:rsid w:val="190DAAB0"/>
    <w:rsid w:val="192A2B1D"/>
    <w:rsid w:val="19A6C0AB"/>
    <w:rsid w:val="19D56398"/>
    <w:rsid w:val="1A5C431C"/>
    <w:rsid w:val="1A5C5D0A"/>
    <w:rsid w:val="1A81CE79"/>
    <w:rsid w:val="1AACB2CF"/>
    <w:rsid w:val="1AE0B70D"/>
    <w:rsid w:val="1AE1BE85"/>
    <w:rsid w:val="1B1EA4C9"/>
    <w:rsid w:val="1B29CADE"/>
    <w:rsid w:val="1B3FA8B6"/>
    <w:rsid w:val="1B4E43DB"/>
    <w:rsid w:val="1BB86F61"/>
    <w:rsid w:val="1C3894FC"/>
    <w:rsid w:val="1C3CA3C8"/>
    <w:rsid w:val="1CB7A433"/>
    <w:rsid w:val="1CDC0D67"/>
    <w:rsid w:val="1D1E2098"/>
    <w:rsid w:val="1DC8561E"/>
    <w:rsid w:val="1E2874D9"/>
    <w:rsid w:val="1E7C8F3C"/>
    <w:rsid w:val="1E8A8504"/>
    <w:rsid w:val="1E8AE177"/>
    <w:rsid w:val="1E977FD5"/>
    <w:rsid w:val="1F007B74"/>
    <w:rsid w:val="1F045005"/>
    <w:rsid w:val="1F22F95A"/>
    <w:rsid w:val="1F342FBD"/>
    <w:rsid w:val="1F5056C1"/>
    <w:rsid w:val="1F51BA43"/>
    <w:rsid w:val="1F694CD7"/>
    <w:rsid w:val="2013863D"/>
    <w:rsid w:val="20544DE2"/>
    <w:rsid w:val="206039BC"/>
    <w:rsid w:val="2074957D"/>
    <w:rsid w:val="209EAAA3"/>
    <w:rsid w:val="20FFB937"/>
    <w:rsid w:val="214E7B6D"/>
    <w:rsid w:val="216E049B"/>
    <w:rsid w:val="2195DC1D"/>
    <w:rsid w:val="219F1895"/>
    <w:rsid w:val="21A85809"/>
    <w:rsid w:val="21E5E850"/>
    <w:rsid w:val="2253F270"/>
    <w:rsid w:val="22B121CD"/>
    <w:rsid w:val="22BAB8BC"/>
    <w:rsid w:val="22C78326"/>
    <w:rsid w:val="22D1C5DC"/>
    <w:rsid w:val="2337B6FA"/>
    <w:rsid w:val="2347B050"/>
    <w:rsid w:val="2353E6B0"/>
    <w:rsid w:val="2354AFA3"/>
    <w:rsid w:val="2373A975"/>
    <w:rsid w:val="23861F5F"/>
    <w:rsid w:val="23D4DB04"/>
    <w:rsid w:val="23DE302F"/>
    <w:rsid w:val="23F6F58B"/>
    <w:rsid w:val="240423F2"/>
    <w:rsid w:val="2405B79B"/>
    <w:rsid w:val="242CFB23"/>
    <w:rsid w:val="2434F697"/>
    <w:rsid w:val="24475A89"/>
    <w:rsid w:val="24649BD2"/>
    <w:rsid w:val="247E3687"/>
    <w:rsid w:val="24A33AFC"/>
    <w:rsid w:val="24C357BA"/>
    <w:rsid w:val="24C50B96"/>
    <w:rsid w:val="24E01C95"/>
    <w:rsid w:val="24E5B86A"/>
    <w:rsid w:val="25150874"/>
    <w:rsid w:val="25616F43"/>
    <w:rsid w:val="25BC491B"/>
    <w:rsid w:val="25F0E729"/>
    <w:rsid w:val="26D6B8BF"/>
    <w:rsid w:val="2700174D"/>
    <w:rsid w:val="27449307"/>
    <w:rsid w:val="27A608F2"/>
    <w:rsid w:val="27A8CCC2"/>
    <w:rsid w:val="27F492B3"/>
    <w:rsid w:val="285C2DF4"/>
    <w:rsid w:val="288A94A7"/>
    <w:rsid w:val="28C6624C"/>
    <w:rsid w:val="28C9C368"/>
    <w:rsid w:val="28E4B32E"/>
    <w:rsid w:val="292AF70D"/>
    <w:rsid w:val="29B82E76"/>
    <w:rsid w:val="29BBD35B"/>
    <w:rsid w:val="29C04847"/>
    <w:rsid w:val="2A06A70E"/>
    <w:rsid w:val="2A170EBE"/>
    <w:rsid w:val="2A1B8DE6"/>
    <w:rsid w:val="2A6329C8"/>
    <w:rsid w:val="2A84B6E2"/>
    <w:rsid w:val="2A88385A"/>
    <w:rsid w:val="2B247245"/>
    <w:rsid w:val="2B33D6AD"/>
    <w:rsid w:val="2B6676A7"/>
    <w:rsid w:val="2C138C3C"/>
    <w:rsid w:val="2C28CA91"/>
    <w:rsid w:val="2C292D4B"/>
    <w:rsid w:val="2C451730"/>
    <w:rsid w:val="2C4E3039"/>
    <w:rsid w:val="2C839AB7"/>
    <w:rsid w:val="2C8BB1A7"/>
    <w:rsid w:val="2C99261F"/>
    <w:rsid w:val="2CC84043"/>
    <w:rsid w:val="2D262F35"/>
    <w:rsid w:val="2D376BE3"/>
    <w:rsid w:val="2D8335E7"/>
    <w:rsid w:val="2DAA72E3"/>
    <w:rsid w:val="2DC29360"/>
    <w:rsid w:val="2DD07A65"/>
    <w:rsid w:val="2E0E0B32"/>
    <w:rsid w:val="2E231580"/>
    <w:rsid w:val="2E310AF8"/>
    <w:rsid w:val="2E3E7E8A"/>
    <w:rsid w:val="2EA754E5"/>
    <w:rsid w:val="2EC1955D"/>
    <w:rsid w:val="2EC4DF8E"/>
    <w:rsid w:val="2EF6F59D"/>
    <w:rsid w:val="2F41322C"/>
    <w:rsid w:val="2F42A955"/>
    <w:rsid w:val="2F7894D9"/>
    <w:rsid w:val="307578D3"/>
    <w:rsid w:val="308DC387"/>
    <w:rsid w:val="30D84E15"/>
    <w:rsid w:val="3136FE88"/>
    <w:rsid w:val="313FF6FD"/>
    <w:rsid w:val="3150F306"/>
    <w:rsid w:val="317307E4"/>
    <w:rsid w:val="3176FDEF"/>
    <w:rsid w:val="3186A41B"/>
    <w:rsid w:val="31911709"/>
    <w:rsid w:val="31B65D0E"/>
    <w:rsid w:val="31E0306E"/>
    <w:rsid w:val="32273A97"/>
    <w:rsid w:val="32349947"/>
    <w:rsid w:val="3236084B"/>
    <w:rsid w:val="32ADECE5"/>
    <w:rsid w:val="32ED0AF0"/>
    <w:rsid w:val="33334362"/>
    <w:rsid w:val="3363945D"/>
    <w:rsid w:val="3367AA8A"/>
    <w:rsid w:val="33907038"/>
    <w:rsid w:val="33EAAA44"/>
    <w:rsid w:val="344718AF"/>
    <w:rsid w:val="3455D32C"/>
    <w:rsid w:val="347C9264"/>
    <w:rsid w:val="3481616F"/>
    <w:rsid w:val="34B4CD2A"/>
    <w:rsid w:val="34D34B6B"/>
    <w:rsid w:val="35057A39"/>
    <w:rsid w:val="350A8E4C"/>
    <w:rsid w:val="351295E9"/>
    <w:rsid w:val="3518EB65"/>
    <w:rsid w:val="3577F515"/>
    <w:rsid w:val="35A9C0BF"/>
    <w:rsid w:val="35B8B4B1"/>
    <w:rsid w:val="361F9929"/>
    <w:rsid w:val="36280904"/>
    <w:rsid w:val="362A6CDC"/>
    <w:rsid w:val="36462161"/>
    <w:rsid w:val="367E1B5D"/>
    <w:rsid w:val="36965EC0"/>
    <w:rsid w:val="36995D8B"/>
    <w:rsid w:val="36ACE88A"/>
    <w:rsid w:val="36BA341D"/>
    <w:rsid w:val="36BB5383"/>
    <w:rsid w:val="36C0200E"/>
    <w:rsid w:val="36DF2E28"/>
    <w:rsid w:val="3725C47C"/>
    <w:rsid w:val="3750DD93"/>
    <w:rsid w:val="37525876"/>
    <w:rsid w:val="377A3FA8"/>
    <w:rsid w:val="37A75129"/>
    <w:rsid w:val="37F69963"/>
    <w:rsid w:val="380B5187"/>
    <w:rsid w:val="382F6DD5"/>
    <w:rsid w:val="383C58F7"/>
    <w:rsid w:val="383FC880"/>
    <w:rsid w:val="38745F79"/>
    <w:rsid w:val="3891D660"/>
    <w:rsid w:val="38978361"/>
    <w:rsid w:val="38C36FAA"/>
    <w:rsid w:val="38CB7CCB"/>
    <w:rsid w:val="38F8EB5F"/>
    <w:rsid w:val="38FCC146"/>
    <w:rsid w:val="395A091E"/>
    <w:rsid w:val="395B908D"/>
    <w:rsid w:val="3A0DE331"/>
    <w:rsid w:val="3A42316B"/>
    <w:rsid w:val="3A48FDD0"/>
    <w:rsid w:val="3AABA861"/>
    <w:rsid w:val="3ABE21D0"/>
    <w:rsid w:val="3AF41006"/>
    <w:rsid w:val="3B39996F"/>
    <w:rsid w:val="3B4C6702"/>
    <w:rsid w:val="3BAB888F"/>
    <w:rsid w:val="3BBF387E"/>
    <w:rsid w:val="3BF98032"/>
    <w:rsid w:val="3BFD1560"/>
    <w:rsid w:val="3C09219D"/>
    <w:rsid w:val="3C1D5555"/>
    <w:rsid w:val="3C1E2AF8"/>
    <w:rsid w:val="3C386681"/>
    <w:rsid w:val="3C4CE86D"/>
    <w:rsid w:val="3CB4F097"/>
    <w:rsid w:val="3CF5AE32"/>
    <w:rsid w:val="3D2FC409"/>
    <w:rsid w:val="3DC20FAE"/>
    <w:rsid w:val="3E127D59"/>
    <w:rsid w:val="3E544809"/>
    <w:rsid w:val="3E563DD5"/>
    <w:rsid w:val="3E842475"/>
    <w:rsid w:val="3EC6B18D"/>
    <w:rsid w:val="3F0A071D"/>
    <w:rsid w:val="3F92CDB2"/>
    <w:rsid w:val="3FD12172"/>
    <w:rsid w:val="3FD5D8DF"/>
    <w:rsid w:val="40078B5A"/>
    <w:rsid w:val="400BF912"/>
    <w:rsid w:val="40167324"/>
    <w:rsid w:val="402C7546"/>
    <w:rsid w:val="4068293A"/>
    <w:rsid w:val="406B3B71"/>
    <w:rsid w:val="407BA9E9"/>
    <w:rsid w:val="408A3B50"/>
    <w:rsid w:val="40CC5A5C"/>
    <w:rsid w:val="40DF2314"/>
    <w:rsid w:val="40E10110"/>
    <w:rsid w:val="40ED1A88"/>
    <w:rsid w:val="411C44EA"/>
    <w:rsid w:val="4126898F"/>
    <w:rsid w:val="4165C1D2"/>
    <w:rsid w:val="4181517E"/>
    <w:rsid w:val="4223F4BD"/>
    <w:rsid w:val="423064FB"/>
    <w:rsid w:val="425E3A4B"/>
    <w:rsid w:val="42A159F7"/>
    <w:rsid w:val="431E0376"/>
    <w:rsid w:val="433436D2"/>
    <w:rsid w:val="43C1EE52"/>
    <w:rsid w:val="43D35C8C"/>
    <w:rsid w:val="43D42CCF"/>
    <w:rsid w:val="43DA11FA"/>
    <w:rsid w:val="44558AC9"/>
    <w:rsid w:val="44719EA8"/>
    <w:rsid w:val="44BA17B2"/>
    <w:rsid w:val="44EBEE88"/>
    <w:rsid w:val="4510E5DD"/>
    <w:rsid w:val="45133B2C"/>
    <w:rsid w:val="457D030A"/>
    <w:rsid w:val="45A3C66D"/>
    <w:rsid w:val="460C8D94"/>
    <w:rsid w:val="462131D8"/>
    <w:rsid w:val="466340FF"/>
    <w:rsid w:val="46B44A76"/>
    <w:rsid w:val="46FE8C45"/>
    <w:rsid w:val="4703D942"/>
    <w:rsid w:val="47426E34"/>
    <w:rsid w:val="477328E8"/>
    <w:rsid w:val="478E159D"/>
    <w:rsid w:val="47B63AA9"/>
    <w:rsid w:val="47B95005"/>
    <w:rsid w:val="47C151D2"/>
    <w:rsid w:val="47CAE5B6"/>
    <w:rsid w:val="47E1EB7C"/>
    <w:rsid w:val="480CCE99"/>
    <w:rsid w:val="487710B2"/>
    <w:rsid w:val="488D144A"/>
    <w:rsid w:val="489641AB"/>
    <w:rsid w:val="48CF8E3F"/>
    <w:rsid w:val="48F9D7E6"/>
    <w:rsid w:val="4906BD53"/>
    <w:rsid w:val="492A1E97"/>
    <w:rsid w:val="4932F6FB"/>
    <w:rsid w:val="4939B8C1"/>
    <w:rsid w:val="4964926E"/>
    <w:rsid w:val="496AFD32"/>
    <w:rsid w:val="499169F5"/>
    <w:rsid w:val="499A4CE8"/>
    <w:rsid w:val="49EB6085"/>
    <w:rsid w:val="49F9E52E"/>
    <w:rsid w:val="4A29C3F3"/>
    <w:rsid w:val="4A4A7F03"/>
    <w:rsid w:val="4A8BED99"/>
    <w:rsid w:val="4A9BA68F"/>
    <w:rsid w:val="4AA8274F"/>
    <w:rsid w:val="4ACCF318"/>
    <w:rsid w:val="4ACFEC69"/>
    <w:rsid w:val="4AEC096F"/>
    <w:rsid w:val="4B4ADF9B"/>
    <w:rsid w:val="4B738D17"/>
    <w:rsid w:val="4B957DB6"/>
    <w:rsid w:val="4BB347CE"/>
    <w:rsid w:val="4BFEB8C4"/>
    <w:rsid w:val="4C28CE96"/>
    <w:rsid w:val="4C37D660"/>
    <w:rsid w:val="4C39F0B7"/>
    <w:rsid w:val="4C3BB6E6"/>
    <w:rsid w:val="4C53B72C"/>
    <w:rsid w:val="4C69419E"/>
    <w:rsid w:val="4C7E2D66"/>
    <w:rsid w:val="4C996361"/>
    <w:rsid w:val="4D18DF92"/>
    <w:rsid w:val="4D9436BB"/>
    <w:rsid w:val="4D9774F1"/>
    <w:rsid w:val="4DB761D5"/>
    <w:rsid w:val="4DE01991"/>
    <w:rsid w:val="4DEC5BE8"/>
    <w:rsid w:val="4E0B54C9"/>
    <w:rsid w:val="4E41E867"/>
    <w:rsid w:val="4E6FE8BC"/>
    <w:rsid w:val="4E840F4B"/>
    <w:rsid w:val="4EAE3826"/>
    <w:rsid w:val="4EB53831"/>
    <w:rsid w:val="4EB9856F"/>
    <w:rsid w:val="4F1D0649"/>
    <w:rsid w:val="4F3449F5"/>
    <w:rsid w:val="4F3F0EA8"/>
    <w:rsid w:val="4F8BBBAC"/>
    <w:rsid w:val="4FC296BD"/>
    <w:rsid w:val="4FF6CE83"/>
    <w:rsid w:val="50445AEB"/>
    <w:rsid w:val="5067B7A4"/>
    <w:rsid w:val="50740EBF"/>
    <w:rsid w:val="507E4E78"/>
    <w:rsid w:val="508B2D19"/>
    <w:rsid w:val="50C198F2"/>
    <w:rsid w:val="50CA862B"/>
    <w:rsid w:val="50CE32B5"/>
    <w:rsid w:val="5105A5EF"/>
    <w:rsid w:val="51456ED3"/>
    <w:rsid w:val="51CB2D7F"/>
    <w:rsid w:val="51D46621"/>
    <w:rsid w:val="51D4F030"/>
    <w:rsid w:val="51F0028E"/>
    <w:rsid w:val="51F9A17B"/>
    <w:rsid w:val="527B7282"/>
    <w:rsid w:val="52C88039"/>
    <w:rsid w:val="52F9B7D9"/>
    <w:rsid w:val="5335D9B3"/>
    <w:rsid w:val="53D16B24"/>
    <w:rsid w:val="53F92BC1"/>
    <w:rsid w:val="53FE2750"/>
    <w:rsid w:val="541D4AD5"/>
    <w:rsid w:val="54281631"/>
    <w:rsid w:val="5456A025"/>
    <w:rsid w:val="54803BDC"/>
    <w:rsid w:val="54C5F4C6"/>
    <w:rsid w:val="54E25254"/>
    <w:rsid w:val="54E997CE"/>
    <w:rsid w:val="55210330"/>
    <w:rsid w:val="55394E56"/>
    <w:rsid w:val="5566867F"/>
    <w:rsid w:val="55B7407A"/>
    <w:rsid w:val="55F85E13"/>
    <w:rsid w:val="5608AEE2"/>
    <w:rsid w:val="56113179"/>
    <w:rsid w:val="56464663"/>
    <w:rsid w:val="5658FC0F"/>
    <w:rsid w:val="567AE684"/>
    <w:rsid w:val="568E543A"/>
    <w:rsid w:val="56B466E2"/>
    <w:rsid w:val="56B8C629"/>
    <w:rsid w:val="56E5CE45"/>
    <w:rsid w:val="574210EA"/>
    <w:rsid w:val="576E4A95"/>
    <w:rsid w:val="57B72E35"/>
    <w:rsid w:val="584236C4"/>
    <w:rsid w:val="5872F288"/>
    <w:rsid w:val="5890FCD4"/>
    <w:rsid w:val="589295D1"/>
    <w:rsid w:val="58DD9126"/>
    <w:rsid w:val="591BD97B"/>
    <w:rsid w:val="596ABFEA"/>
    <w:rsid w:val="59BDF9ED"/>
    <w:rsid w:val="59D323A1"/>
    <w:rsid w:val="59F587D4"/>
    <w:rsid w:val="5A104E68"/>
    <w:rsid w:val="5A1D9437"/>
    <w:rsid w:val="5A2D4FAE"/>
    <w:rsid w:val="5A45DA82"/>
    <w:rsid w:val="5AD98869"/>
    <w:rsid w:val="5ADACC79"/>
    <w:rsid w:val="5AFBF636"/>
    <w:rsid w:val="5AFF5879"/>
    <w:rsid w:val="5AFFDE42"/>
    <w:rsid w:val="5B1B44D0"/>
    <w:rsid w:val="5B29909C"/>
    <w:rsid w:val="5B3CC7EB"/>
    <w:rsid w:val="5B86CA91"/>
    <w:rsid w:val="5BB5A000"/>
    <w:rsid w:val="5BCABA5A"/>
    <w:rsid w:val="5C27FC0D"/>
    <w:rsid w:val="5C3287A8"/>
    <w:rsid w:val="5C742DD6"/>
    <w:rsid w:val="5C99A503"/>
    <w:rsid w:val="5CB2A141"/>
    <w:rsid w:val="5CC2A5C4"/>
    <w:rsid w:val="5CCA1392"/>
    <w:rsid w:val="5CCB249A"/>
    <w:rsid w:val="5D169C6D"/>
    <w:rsid w:val="5D4E2E8E"/>
    <w:rsid w:val="5D5D6AB2"/>
    <w:rsid w:val="5D87876C"/>
    <w:rsid w:val="5D9C1B95"/>
    <w:rsid w:val="5DA5BC32"/>
    <w:rsid w:val="5DAF9AC2"/>
    <w:rsid w:val="5DB7186B"/>
    <w:rsid w:val="5E1FD367"/>
    <w:rsid w:val="5E2B504D"/>
    <w:rsid w:val="5E2DB117"/>
    <w:rsid w:val="5EC70050"/>
    <w:rsid w:val="5F595A38"/>
    <w:rsid w:val="5F6ED8E0"/>
    <w:rsid w:val="5F9B7434"/>
    <w:rsid w:val="6008FC6B"/>
    <w:rsid w:val="602AF772"/>
    <w:rsid w:val="60439EEF"/>
    <w:rsid w:val="605624E7"/>
    <w:rsid w:val="60875B8B"/>
    <w:rsid w:val="6094BEF8"/>
    <w:rsid w:val="60BD53F0"/>
    <w:rsid w:val="60E2034B"/>
    <w:rsid w:val="60E5DE01"/>
    <w:rsid w:val="61146954"/>
    <w:rsid w:val="616145BB"/>
    <w:rsid w:val="6179F9B6"/>
    <w:rsid w:val="61821129"/>
    <w:rsid w:val="61BA18AF"/>
    <w:rsid w:val="61EFCD61"/>
    <w:rsid w:val="6205131B"/>
    <w:rsid w:val="62279E05"/>
    <w:rsid w:val="624F8966"/>
    <w:rsid w:val="6251B559"/>
    <w:rsid w:val="62CD389F"/>
    <w:rsid w:val="62F2B180"/>
    <w:rsid w:val="62FF4D82"/>
    <w:rsid w:val="637B65D4"/>
    <w:rsid w:val="638755EF"/>
    <w:rsid w:val="63BF2749"/>
    <w:rsid w:val="63BF7D07"/>
    <w:rsid w:val="640BC476"/>
    <w:rsid w:val="644715E3"/>
    <w:rsid w:val="6472A17F"/>
    <w:rsid w:val="6493E268"/>
    <w:rsid w:val="64B6D610"/>
    <w:rsid w:val="64B88C76"/>
    <w:rsid w:val="64BE221E"/>
    <w:rsid w:val="64CC2E42"/>
    <w:rsid w:val="64D07DEE"/>
    <w:rsid w:val="6505F122"/>
    <w:rsid w:val="65ABC243"/>
    <w:rsid w:val="65E9C3E3"/>
    <w:rsid w:val="660B773B"/>
    <w:rsid w:val="660CE97C"/>
    <w:rsid w:val="6625F141"/>
    <w:rsid w:val="66508B35"/>
    <w:rsid w:val="665B8A67"/>
    <w:rsid w:val="66733C61"/>
    <w:rsid w:val="6682C86A"/>
    <w:rsid w:val="66A99BD9"/>
    <w:rsid w:val="66B28B07"/>
    <w:rsid w:val="67500B02"/>
    <w:rsid w:val="67682492"/>
    <w:rsid w:val="6781C480"/>
    <w:rsid w:val="68313CA3"/>
    <w:rsid w:val="684CDAD2"/>
    <w:rsid w:val="6851A9A4"/>
    <w:rsid w:val="687EDA65"/>
    <w:rsid w:val="6886B4B8"/>
    <w:rsid w:val="6887BFDF"/>
    <w:rsid w:val="68EEA234"/>
    <w:rsid w:val="691A3CC4"/>
    <w:rsid w:val="6942AC65"/>
    <w:rsid w:val="694EE50F"/>
    <w:rsid w:val="6963C343"/>
    <w:rsid w:val="69720EEE"/>
    <w:rsid w:val="697D1556"/>
    <w:rsid w:val="6A03C2F4"/>
    <w:rsid w:val="6A0B2549"/>
    <w:rsid w:val="6A1D2313"/>
    <w:rsid w:val="6A3BD69E"/>
    <w:rsid w:val="6A46376F"/>
    <w:rsid w:val="6A88E72B"/>
    <w:rsid w:val="6A8CB306"/>
    <w:rsid w:val="6ABDB37D"/>
    <w:rsid w:val="6B4B7109"/>
    <w:rsid w:val="6B5130A7"/>
    <w:rsid w:val="6B59B41C"/>
    <w:rsid w:val="6B8A1A75"/>
    <w:rsid w:val="6BA9B350"/>
    <w:rsid w:val="6BDB7BD4"/>
    <w:rsid w:val="6BE38135"/>
    <w:rsid w:val="6BF113B1"/>
    <w:rsid w:val="6C061F8A"/>
    <w:rsid w:val="6C0AF71C"/>
    <w:rsid w:val="6C0C73D5"/>
    <w:rsid w:val="6C6B274F"/>
    <w:rsid w:val="6C9252DD"/>
    <w:rsid w:val="6C95B348"/>
    <w:rsid w:val="6CBF1920"/>
    <w:rsid w:val="6CC07E32"/>
    <w:rsid w:val="6CE3A542"/>
    <w:rsid w:val="6D17A967"/>
    <w:rsid w:val="6D1C4CA1"/>
    <w:rsid w:val="6D21E65A"/>
    <w:rsid w:val="6D446A11"/>
    <w:rsid w:val="6D4DB064"/>
    <w:rsid w:val="6D892CA4"/>
    <w:rsid w:val="6DA14D3D"/>
    <w:rsid w:val="6DC8F9B9"/>
    <w:rsid w:val="6DCE78B6"/>
    <w:rsid w:val="6DEE1BEB"/>
    <w:rsid w:val="6E42EA53"/>
    <w:rsid w:val="6E638DF3"/>
    <w:rsid w:val="6E97027A"/>
    <w:rsid w:val="6EA9F332"/>
    <w:rsid w:val="6EF5852C"/>
    <w:rsid w:val="6F1EFC56"/>
    <w:rsid w:val="6F2E7458"/>
    <w:rsid w:val="6F4830D5"/>
    <w:rsid w:val="6F51A6AE"/>
    <w:rsid w:val="6F5EE26F"/>
    <w:rsid w:val="6F765F5E"/>
    <w:rsid w:val="6FAA451B"/>
    <w:rsid w:val="7023E819"/>
    <w:rsid w:val="703EC570"/>
    <w:rsid w:val="7044E4EB"/>
    <w:rsid w:val="7075B099"/>
    <w:rsid w:val="707F73D5"/>
    <w:rsid w:val="7090B104"/>
    <w:rsid w:val="711AD60B"/>
    <w:rsid w:val="714EA1A9"/>
    <w:rsid w:val="7164EBDF"/>
    <w:rsid w:val="717C95D3"/>
    <w:rsid w:val="71FBA35A"/>
    <w:rsid w:val="725F7B32"/>
    <w:rsid w:val="72A191C0"/>
    <w:rsid w:val="72B68995"/>
    <w:rsid w:val="72CF2DBB"/>
    <w:rsid w:val="72FC02C7"/>
    <w:rsid w:val="730BED46"/>
    <w:rsid w:val="730D5EDD"/>
    <w:rsid w:val="74094408"/>
    <w:rsid w:val="7441E185"/>
    <w:rsid w:val="74B6E957"/>
    <w:rsid w:val="74D9298E"/>
    <w:rsid w:val="74D980EF"/>
    <w:rsid w:val="74DE554E"/>
    <w:rsid w:val="7509F56C"/>
    <w:rsid w:val="7512754A"/>
    <w:rsid w:val="751D5AE1"/>
    <w:rsid w:val="7541114D"/>
    <w:rsid w:val="754AC967"/>
    <w:rsid w:val="75892532"/>
    <w:rsid w:val="761ED3D3"/>
    <w:rsid w:val="7644B57E"/>
    <w:rsid w:val="7689DB63"/>
    <w:rsid w:val="76C45182"/>
    <w:rsid w:val="770469E0"/>
    <w:rsid w:val="77075288"/>
    <w:rsid w:val="7716E3F9"/>
    <w:rsid w:val="7719BF4B"/>
    <w:rsid w:val="771B7D5A"/>
    <w:rsid w:val="777AE48F"/>
    <w:rsid w:val="778B322B"/>
    <w:rsid w:val="77A0E462"/>
    <w:rsid w:val="77A3F349"/>
    <w:rsid w:val="77BE74FA"/>
    <w:rsid w:val="77FB5AC7"/>
    <w:rsid w:val="7800D0C7"/>
    <w:rsid w:val="7816CD6A"/>
    <w:rsid w:val="785F2CFE"/>
    <w:rsid w:val="789BA59E"/>
    <w:rsid w:val="789D56E6"/>
    <w:rsid w:val="78D590D7"/>
    <w:rsid w:val="78D6C9D2"/>
    <w:rsid w:val="791321A2"/>
    <w:rsid w:val="79957217"/>
    <w:rsid w:val="79B7CB40"/>
    <w:rsid w:val="79D2A10E"/>
    <w:rsid w:val="79EFA1B3"/>
    <w:rsid w:val="79F0B18E"/>
    <w:rsid w:val="7A0D4E49"/>
    <w:rsid w:val="7A15EC41"/>
    <w:rsid w:val="7A21D577"/>
    <w:rsid w:val="7A30A1A6"/>
    <w:rsid w:val="7A30E29C"/>
    <w:rsid w:val="7A4B5A28"/>
    <w:rsid w:val="7A55276C"/>
    <w:rsid w:val="7A7DCE30"/>
    <w:rsid w:val="7AD64E3A"/>
    <w:rsid w:val="7ADD2D20"/>
    <w:rsid w:val="7AF2490E"/>
    <w:rsid w:val="7AF38B3A"/>
    <w:rsid w:val="7B059C5F"/>
    <w:rsid w:val="7B5B920E"/>
    <w:rsid w:val="7BA6E508"/>
    <w:rsid w:val="7BAA4C4F"/>
    <w:rsid w:val="7BAD1F77"/>
    <w:rsid w:val="7BC8C232"/>
    <w:rsid w:val="7BD9B35D"/>
    <w:rsid w:val="7BF0AD5B"/>
    <w:rsid w:val="7BF2C8DD"/>
    <w:rsid w:val="7BF8E923"/>
    <w:rsid w:val="7C6A9788"/>
    <w:rsid w:val="7C741C4B"/>
    <w:rsid w:val="7CE23F43"/>
    <w:rsid w:val="7CED4108"/>
    <w:rsid w:val="7CF671AF"/>
    <w:rsid w:val="7D048E8C"/>
    <w:rsid w:val="7D3C483F"/>
    <w:rsid w:val="7D4301EC"/>
    <w:rsid w:val="7D44CB66"/>
    <w:rsid w:val="7D636EA8"/>
    <w:rsid w:val="7D8339DC"/>
    <w:rsid w:val="7E0551C0"/>
    <w:rsid w:val="7E0CBAA3"/>
    <w:rsid w:val="7E14B7C4"/>
    <w:rsid w:val="7E16C6BE"/>
    <w:rsid w:val="7E2DEBAB"/>
    <w:rsid w:val="7E4E24DC"/>
    <w:rsid w:val="7E5A0298"/>
    <w:rsid w:val="7E6A5F21"/>
    <w:rsid w:val="7E77A02F"/>
    <w:rsid w:val="7E8F6414"/>
    <w:rsid w:val="7EB42985"/>
    <w:rsid w:val="7EC0412A"/>
    <w:rsid w:val="7ECBF67C"/>
    <w:rsid w:val="7ECFE23C"/>
    <w:rsid w:val="7EF1A6AF"/>
    <w:rsid w:val="7EF605FE"/>
    <w:rsid w:val="7F1103BE"/>
    <w:rsid w:val="7F414623"/>
    <w:rsid w:val="7F504FA6"/>
    <w:rsid w:val="7F7699B2"/>
    <w:rsid w:val="7F8651FA"/>
    <w:rsid w:val="7FA8F8BB"/>
    <w:rsid w:val="7FC7A22C"/>
    <w:rsid w:val="7FFC00F6"/>
    <w:rsid w:val="7FFC714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0B793D56"/>
  <w15:chartTrackingRefBased/>
  <w15:docId w15:val="{EA43F27D-4794-446C-A30B-E32489C387D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67FCD"/>
  </w:style>
  <w:style w:type="paragraph" w:styleId="Heading1">
    <w:name w:val="heading 1"/>
    <w:basedOn w:val="Normal"/>
    <w:next w:val="Normal"/>
    <w:link w:val="Heading1Char"/>
    <w:uiPriority w:val="9"/>
    <w:qFormat/>
    <w:rsid w:val="00B67FCD"/>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67FCD"/>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67FC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67FC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67FC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67F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7F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7F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7FCD"/>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B67FCD"/>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B67FCD"/>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B67FCD"/>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B67FCD"/>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B67FCD"/>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B67FCD"/>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B67FCD"/>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B67FCD"/>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B67FCD"/>
    <w:rPr>
      <w:rFonts w:eastAsiaTheme="majorEastAsia" w:cstheme="majorBidi"/>
      <w:color w:val="272727" w:themeColor="text1" w:themeTint="D8"/>
    </w:rPr>
  </w:style>
  <w:style w:type="paragraph" w:styleId="Title">
    <w:name w:val="Title"/>
    <w:basedOn w:val="Normal"/>
    <w:next w:val="Normal"/>
    <w:link w:val="TitleChar"/>
    <w:uiPriority w:val="10"/>
    <w:qFormat/>
    <w:rsid w:val="00B67FCD"/>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B67FCD"/>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B67FCD"/>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B67F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7FCD"/>
    <w:pPr>
      <w:spacing w:before="160"/>
      <w:jc w:val="center"/>
    </w:pPr>
    <w:rPr>
      <w:i/>
      <w:iCs/>
      <w:color w:val="404040" w:themeColor="text1" w:themeTint="BF"/>
    </w:rPr>
  </w:style>
  <w:style w:type="character" w:styleId="QuoteChar" w:customStyle="1">
    <w:name w:val="Quote Char"/>
    <w:basedOn w:val="DefaultParagraphFont"/>
    <w:link w:val="Quote"/>
    <w:uiPriority w:val="29"/>
    <w:rsid w:val="00B67FCD"/>
    <w:rPr>
      <w:i/>
      <w:iCs/>
      <w:color w:val="404040" w:themeColor="text1" w:themeTint="BF"/>
    </w:rPr>
  </w:style>
  <w:style w:type="paragraph" w:styleId="ListParagraph">
    <w:name w:val="List Paragraph"/>
    <w:basedOn w:val="Normal"/>
    <w:uiPriority w:val="34"/>
    <w:qFormat/>
    <w:rsid w:val="00B67FCD"/>
    <w:pPr>
      <w:ind w:left="720"/>
      <w:contextualSpacing/>
    </w:pPr>
  </w:style>
  <w:style w:type="character" w:styleId="IntenseEmphasis">
    <w:name w:val="Intense Emphasis"/>
    <w:basedOn w:val="DefaultParagraphFont"/>
    <w:uiPriority w:val="21"/>
    <w:qFormat/>
    <w:rsid w:val="00B67FCD"/>
    <w:rPr>
      <w:i/>
      <w:iCs/>
      <w:color w:val="0F4761" w:themeColor="accent1" w:themeShade="BF"/>
    </w:rPr>
  </w:style>
  <w:style w:type="paragraph" w:styleId="IntenseQuote">
    <w:name w:val="Intense Quote"/>
    <w:basedOn w:val="Normal"/>
    <w:next w:val="Normal"/>
    <w:link w:val="IntenseQuoteChar"/>
    <w:uiPriority w:val="30"/>
    <w:qFormat/>
    <w:rsid w:val="00B67FCD"/>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B67FCD"/>
    <w:rPr>
      <w:i/>
      <w:iCs/>
      <w:color w:val="0F4761" w:themeColor="accent1" w:themeShade="BF"/>
    </w:rPr>
  </w:style>
  <w:style w:type="character" w:styleId="IntenseReference">
    <w:name w:val="Intense Reference"/>
    <w:basedOn w:val="DefaultParagraphFont"/>
    <w:uiPriority w:val="32"/>
    <w:qFormat/>
    <w:rsid w:val="00B67FCD"/>
    <w:rPr>
      <w:b/>
      <w:bCs/>
      <w:smallCaps/>
      <w:color w:val="0F4761" w:themeColor="accent1" w:themeShade="BF"/>
      <w:spacing w:val="5"/>
    </w:rPr>
  </w:style>
  <w:style w:type="character" w:styleId="Hyperlink">
    <w:name w:val="Hyperlink"/>
    <w:basedOn w:val="DefaultParagraphFont"/>
    <w:uiPriority w:val="99"/>
    <w:unhideWhenUsed/>
    <w:rsid w:val="00B67FCD"/>
    <w:rPr>
      <w:color w:val="467886" w:themeColor="hyperlink"/>
      <w:u w:val="single"/>
    </w:rPr>
  </w:style>
  <w:style w:type="paragraph" w:styleId="Header">
    <w:uiPriority w:val="99"/>
    <w:name w:val="header"/>
    <w:basedOn w:val="Normal"/>
    <w:unhideWhenUsed/>
    <w:rsid w:val="7A7DCE30"/>
    <w:pPr>
      <w:tabs>
        <w:tab w:val="center" w:leader="none" w:pos="4680"/>
        <w:tab w:val="right" w:leader="none" w:pos="9360"/>
      </w:tabs>
      <w:spacing w:after="0" w:line="240" w:lineRule="auto"/>
    </w:pPr>
  </w:style>
  <w:style w:type="paragraph" w:styleId="Footer">
    <w:uiPriority w:val="99"/>
    <w:name w:val="footer"/>
    <w:basedOn w:val="Normal"/>
    <w:unhideWhenUsed/>
    <w:rsid w:val="7A7DCE30"/>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styles" Target="styles.xml" Id="rId4" /><Relationship Type="http://schemas.openxmlformats.org/officeDocument/2006/relationships/theme" Target="theme/theme1.xml" Id="rId9" /><Relationship Type="http://schemas.openxmlformats.org/officeDocument/2006/relationships/image" Target="/media/image2.png" Id="rId1731611048" /><Relationship Type="http://schemas.openxmlformats.org/officeDocument/2006/relationships/hyperlink" Target="https://link.springer.com/article/10.1007/s10437-024-09602-8" TargetMode="External" Id="Rd65a2bd50e4f4ca1" /><Relationship Type="http://schemas.openxmlformats.org/officeDocument/2006/relationships/hyperlink" Target="https://doi.org/10.1016/j.jas.2014.03.016." TargetMode="External" Id="Raeccc94d21274ecf" /><Relationship Type="http://schemas.openxmlformats.org/officeDocument/2006/relationships/hyperlink" Target="https://www.academia.edu/855402/Eyckerman_M_and_Hendrickx_S_The_Naqada_I_tombs_H17_and_H41_at_el_Mahasna_a_visual_reconstruction_in_Friedman_R_F_and_Fiske_P_N_eds_Egypt_at_its_Origins_3_Proceedings_of_the_International_Conference_Origin_of_the_State" TargetMode="External" Id="Ra27ad260e16f470d" /><Relationship Type="http://schemas.openxmlformats.org/officeDocument/2006/relationships/hyperlink" Target="https://www.jstor.org/stable/2516002" TargetMode="External" Id="Redcb88bb9a09448d" /><Relationship Type="http://schemas.openxmlformats.org/officeDocument/2006/relationships/hyperlink" Target="https://www.academia.edu/800341/Hendrickx_S_Friedman_R_F_and_Loyens_F_Experimental_archaeology_concerning_black_topped_pottery_from_ancient_Egypt_and_the_Sudan_in_Marchand_S_ed_Cahiers_de_la_C%C3%A9ramique_%C3%89gyptienne_6_Le_Caire_2000_171_187" TargetMode="External" Id="R4f4097c7dede41b9" /><Relationship Type="http://schemas.openxmlformats.org/officeDocument/2006/relationships/hyperlink" Target="https://ia801303.us.archive.org/8/items/diospolisparvac01macegoog/diospolisparvac01macegoog.pdf" TargetMode="External" Id="Rd9cd665a62a1457e" /><Relationship Type="http://schemas.openxmlformats.org/officeDocument/2006/relationships/hyperlink" Target="https://ia903403.us.archive.org/20/items/corpus-of-prehistoric-pottery-and-palettes/Corpus%20of%20Prehistoric%20Pottery%20and%20Palettes.pdf" TargetMode="External" Id="R063a397449c241ce" /><Relationship Type="http://schemas.openxmlformats.org/officeDocument/2006/relationships/hyperlink" Target="https://journals.sagepub.com/doi/epdf/10.1177/030751339908500106." TargetMode="External" Id="R7ed7fe17ddbb421e" /><Relationship Type="http://schemas.openxmlformats.org/officeDocument/2006/relationships/hyperlink" Target="https://www.sciencedirect.com/science/article/pii/S2352409X21002017" TargetMode="External" Id="Rc449cd52bef549f3" /><Relationship Type="http://schemas.openxmlformats.org/officeDocument/2006/relationships/hyperlink" Target="https://www.jstor.org/stable/53033" TargetMode="External" Id="Rfc2cf9dbdab2413f" /><Relationship Type="http://schemas.openxmlformats.org/officeDocument/2006/relationships/hyperlink" Target="https://www.academia.edu/4167696/Predynastic_settlement_ceramics_of_Upper_Egypt_A_comparative_study_of_the_ceramics_of_Hemamieh_Nagada_and_Hierakonpolis_Chapters_1_2" TargetMode="External" Id="R1071240b39634c0f" /><Relationship Type="http://schemas.openxmlformats.org/officeDocument/2006/relationships/hyperlink" Target="https://www.academia.edu/40541488/An_overview_of_the_Predynastic_Pottery_of_Ancient_Egypt" TargetMode="External" Id="R5ee0f56ae7724b09" /><Relationship Type="http://schemas.openxmlformats.org/officeDocument/2006/relationships/hyperlink" Target="https://www.academia.edu/84542579/Janine_Bourriau_introduction_ancient_Egyptian_Pottery_2_" TargetMode="External" Id="R9ea38a00fe7e4f58" /><Relationship Type="http://schemas.openxmlformats.org/officeDocument/2006/relationships/hyperlink" Target="https://archive.org/details/potteryinmakingc0000unse/page/n243/mode/2up" TargetMode="External" Id="R6ef5e7b971674b8b" /><Relationship Type="http://schemas.openxmlformats.org/officeDocument/2006/relationships/hyperlink" Target="https://doi.org/10.2307/jj.6142258.6" TargetMode="External" Id="R9661865db2e04ad1" /><Relationship Type="http://schemas.openxmlformats.org/officeDocument/2006/relationships/hyperlink" Target="https://www.ucl.ac.uk/museums-static/digitalegypt" TargetMode="External" Id="Rcd3840202b484b9a" /><Relationship Type="http://schemas.openxmlformats.org/officeDocument/2006/relationships/hyperlink" Target="https://www.ucl.ac.uk/museums-static/digitalegypt" TargetMode="External" Id="R0ecef8dc13b44792" /><Relationship Type="http://schemas.openxmlformats.org/officeDocument/2006/relationships/header" Target="header.xml" Id="R7f4e101406564845" /><Relationship Type="http://schemas.openxmlformats.org/officeDocument/2006/relationships/footer" Target="footer.xml" Id="R1b12f6488e3b49bf" /><Relationship Type="http://schemas.microsoft.com/office/2020/10/relationships/intelligence" Target="intelligence2.xml" Id="R98365375d91f4273"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834F8B426A30F4D89225E7C19967DB8" ma:contentTypeVersion="15" ma:contentTypeDescription="Create a new document." ma:contentTypeScope="" ma:versionID="18a6c5eb70f560fda8745c4557c386c9">
  <xsd:schema xmlns:xsd="http://www.w3.org/2001/XMLSchema" xmlns:xs="http://www.w3.org/2001/XMLSchema" xmlns:p="http://schemas.microsoft.com/office/2006/metadata/properties" xmlns:ns3="0129b9fd-52ee-4735-801a-8d39556133ce" xmlns:ns4="b0fe3e24-d995-423c-a7fa-dbcb21490404" targetNamespace="http://schemas.microsoft.com/office/2006/metadata/properties" ma:root="true" ma:fieldsID="c11bd36aacb18913ed45634e8642f6f8" ns3:_="" ns4:_="">
    <xsd:import namespace="0129b9fd-52ee-4735-801a-8d39556133ce"/>
    <xsd:import namespace="b0fe3e24-d995-423c-a7fa-dbcb2149040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29b9fd-52ee-4735-801a-8d39556133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0fe3e24-d995-423c-a7fa-dbcb2149040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129b9fd-52ee-4735-801a-8d39556133ce" xsi:nil="true"/>
  </documentManagement>
</p:properties>
</file>

<file path=customXml/itemProps1.xml><?xml version="1.0" encoding="utf-8"?>
<ds:datastoreItem xmlns:ds="http://schemas.openxmlformats.org/officeDocument/2006/customXml" ds:itemID="{C00CDD21-7B26-4464-B862-B079574AAA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29b9fd-52ee-4735-801a-8d39556133ce"/>
    <ds:schemaRef ds:uri="b0fe3e24-d995-423c-a7fa-dbcb214904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25EE09A-3342-482F-839C-13A196864C5F}">
  <ds:schemaRefs>
    <ds:schemaRef ds:uri="http://schemas.microsoft.com/sharepoint/v3/contenttype/forms"/>
  </ds:schemaRefs>
</ds:datastoreItem>
</file>

<file path=customXml/itemProps3.xml><?xml version="1.0" encoding="utf-8"?>
<ds:datastoreItem xmlns:ds="http://schemas.openxmlformats.org/officeDocument/2006/customXml" ds:itemID="{E4BD8890-6D96-467D-97FF-EE8419CA8DFE}">
  <ds:schemaRefs>
    <ds:schemaRef ds:uri="http://schemas.microsoft.com/office/2006/metadata/properties"/>
    <ds:schemaRef ds:uri="http://schemas.microsoft.com/office/infopath/2007/PartnerControls"/>
    <ds:schemaRef ds:uri="0129b9fd-52ee-4735-801a-8d39556133c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Kay Woodhouse (2110818)</dc:creator>
  <keywords/>
  <dc:description/>
  <lastModifiedBy>Kay Woodhouse (2110818)</lastModifiedBy>
  <revision>194</revision>
  <dcterms:created xsi:type="dcterms:W3CDTF">2025-10-23T12:23:00.0000000Z</dcterms:created>
  <dcterms:modified xsi:type="dcterms:W3CDTF">2025-10-26T12:08:16.1255153Z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0x010100B834F8B426A30F4D89225E7C19967DB8</vt:lpwstr>
  </property>
</Properties>
</file>