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9027A" w14:textId="77777777" w:rsidR="00B85DAB" w:rsidRDefault="00B85DAB" w:rsidP="00A830F8">
      <w:pPr>
        <w:jc w:val="center"/>
        <w:rPr>
          <w:rFonts w:ascii="Arial" w:hAnsi="Arial" w:cs="Arial"/>
          <w:b/>
          <w:bCs/>
        </w:rPr>
      </w:pPr>
    </w:p>
    <w:p w14:paraId="55B79B1F" w14:textId="77777777" w:rsidR="00B85DAB" w:rsidRDefault="00B85DAB" w:rsidP="00A830F8">
      <w:pPr>
        <w:jc w:val="center"/>
        <w:rPr>
          <w:rFonts w:ascii="Arial" w:hAnsi="Arial" w:cs="Arial"/>
          <w:b/>
          <w:bCs/>
        </w:rPr>
      </w:pPr>
    </w:p>
    <w:p w14:paraId="0A281E40" w14:textId="77777777" w:rsidR="00B85DAB" w:rsidRDefault="00B85DAB" w:rsidP="00A830F8">
      <w:pPr>
        <w:jc w:val="center"/>
        <w:rPr>
          <w:rFonts w:ascii="Arial" w:hAnsi="Arial" w:cs="Arial"/>
          <w:b/>
          <w:bCs/>
        </w:rPr>
      </w:pPr>
    </w:p>
    <w:p w14:paraId="38CC794C" w14:textId="77777777" w:rsidR="00B85DAB" w:rsidRDefault="00B85DAB" w:rsidP="00A830F8">
      <w:pPr>
        <w:jc w:val="center"/>
        <w:rPr>
          <w:rFonts w:ascii="Arial" w:hAnsi="Arial" w:cs="Arial"/>
          <w:b/>
          <w:bCs/>
        </w:rPr>
      </w:pPr>
    </w:p>
    <w:p w14:paraId="60AC3984" w14:textId="77777777" w:rsidR="00B85DAB" w:rsidRDefault="00B85DAB" w:rsidP="00A830F8">
      <w:pPr>
        <w:jc w:val="center"/>
        <w:rPr>
          <w:rFonts w:ascii="Arial" w:hAnsi="Arial" w:cs="Arial"/>
          <w:b/>
          <w:bCs/>
        </w:rPr>
      </w:pPr>
    </w:p>
    <w:p w14:paraId="48BCE8AE" w14:textId="17C72CE5" w:rsidR="004B2DC0" w:rsidRDefault="000941EB" w:rsidP="004B2DC0">
      <w:pPr>
        <w:rPr>
          <w:rFonts w:ascii="Arial" w:hAnsi="Arial" w:cs="Arial"/>
        </w:rPr>
      </w:pPr>
      <w:r>
        <w:rPr>
          <w:noProof/>
        </w:rPr>
        <w:drawing>
          <wp:anchor distT="0" distB="0" distL="114300" distR="114300" simplePos="0" relativeHeight="251657216" behindDoc="0" locked="0" layoutInCell="1" allowOverlap="1" wp14:anchorId="7E16522F" wp14:editId="6F43EBB0">
            <wp:simplePos x="0" y="0"/>
            <wp:positionH relativeFrom="column">
              <wp:posOffset>1638300</wp:posOffset>
            </wp:positionH>
            <wp:positionV relativeFrom="paragraph">
              <wp:posOffset>61595</wp:posOffset>
            </wp:positionV>
            <wp:extent cx="2619375" cy="1165894"/>
            <wp:effectExtent l="0" t="0" r="0" b="0"/>
            <wp:wrapNone/>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9375" cy="1165894"/>
                    </a:xfrm>
                    <a:prstGeom prst="rect">
                      <a:avLst/>
                    </a:prstGeom>
                    <a:noFill/>
                  </pic:spPr>
                </pic:pic>
              </a:graphicData>
            </a:graphic>
          </wp:anchor>
        </w:drawing>
      </w:r>
    </w:p>
    <w:p w14:paraId="1E97A826" w14:textId="298CC0A4" w:rsidR="007864DA" w:rsidRDefault="007864DA" w:rsidP="004B2DC0">
      <w:pPr>
        <w:rPr>
          <w:rFonts w:ascii="Arial" w:hAnsi="Arial" w:cs="Arial"/>
        </w:rPr>
      </w:pPr>
    </w:p>
    <w:p w14:paraId="04B33D39" w14:textId="77777777" w:rsidR="007864DA" w:rsidRDefault="007864DA" w:rsidP="004B2DC0">
      <w:pPr>
        <w:rPr>
          <w:rFonts w:ascii="Arial" w:hAnsi="Arial" w:cs="Arial"/>
        </w:rPr>
      </w:pPr>
    </w:p>
    <w:p w14:paraId="1F985533" w14:textId="77777777" w:rsidR="007864DA" w:rsidRDefault="007864DA" w:rsidP="004B2DC0">
      <w:pPr>
        <w:rPr>
          <w:rFonts w:ascii="Arial" w:hAnsi="Arial" w:cs="Arial"/>
        </w:rPr>
      </w:pPr>
    </w:p>
    <w:p w14:paraId="57E0C225" w14:textId="77777777" w:rsidR="00C44761" w:rsidRDefault="00C44761" w:rsidP="004B2DC0">
      <w:pPr>
        <w:rPr>
          <w:rFonts w:ascii="Arial" w:hAnsi="Arial" w:cs="Arial"/>
        </w:rPr>
      </w:pPr>
    </w:p>
    <w:p w14:paraId="12374098" w14:textId="77777777" w:rsidR="004B2DC0" w:rsidRPr="00F430AB" w:rsidRDefault="004B2DC0" w:rsidP="004B2DC0">
      <w:pPr>
        <w:rPr>
          <w:rFonts w:ascii="Arial" w:hAnsi="Arial" w:cs="Arial"/>
        </w:rPr>
      </w:pPr>
    </w:p>
    <w:p w14:paraId="6CB5B17A" w14:textId="77777777" w:rsidR="004B2DC0" w:rsidRPr="00917122" w:rsidRDefault="004B2DC0" w:rsidP="004B2DC0">
      <w:pPr>
        <w:rPr>
          <w:rFonts w:ascii="Arial" w:hAnsi="Arial" w:cs="Arial"/>
          <w:sz w:val="28"/>
          <w:szCs w:val="28"/>
          <w:lang w:val="es-SV"/>
        </w:rPr>
      </w:pPr>
      <w:r w:rsidRPr="00917122">
        <w:rPr>
          <w:rFonts w:ascii="Arial" w:hAnsi="Arial" w:cs="Arial"/>
          <w:b/>
          <w:bCs/>
          <w:sz w:val="28"/>
          <w:szCs w:val="28"/>
          <w:lang w:val="es-SV"/>
        </w:rPr>
        <w:t>Name:</w:t>
      </w:r>
      <w:r w:rsidRPr="00917122">
        <w:rPr>
          <w:rFonts w:ascii="Arial" w:hAnsi="Arial" w:cs="Arial"/>
          <w:sz w:val="28"/>
          <w:szCs w:val="28"/>
          <w:lang w:val="es-SV"/>
        </w:rPr>
        <w:t xml:space="preserve"> Katya Alexandra Pleitez De </w:t>
      </w:r>
      <w:proofErr w:type="spellStart"/>
      <w:r w:rsidRPr="00917122">
        <w:rPr>
          <w:rFonts w:ascii="Arial" w:hAnsi="Arial" w:cs="Arial"/>
          <w:sz w:val="28"/>
          <w:szCs w:val="28"/>
          <w:lang w:val="es-SV"/>
        </w:rPr>
        <w:t>Mendez</w:t>
      </w:r>
      <w:proofErr w:type="spellEnd"/>
      <w:r w:rsidRPr="00917122">
        <w:rPr>
          <w:rFonts w:ascii="Arial" w:hAnsi="Arial" w:cs="Arial"/>
          <w:sz w:val="28"/>
          <w:szCs w:val="28"/>
          <w:lang w:val="es-SV"/>
        </w:rPr>
        <w:t>.</w:t>
      </w:r>
    </w:p>
    <w:p w14:paraId="1166803F" w14:textId="77777777" w:rsidR="004B2DC0" w:rsidRPr="00917122" w:rsidRDefault="004B2DC0" w:rsidP="004B2DC0">
      <w:pPr>
        <w:rPr>
          <w:rFonts w:ascii="Arial" w:hAnsi="Arial" w:cs="Arial"/>
          <w:sz w:val="28"/>
          <w:szCs w:val="28"/>
        </w:rPr>
      </w:pPr>
      <w:r w:rsidRPr="00917122">
        <w:rPr>
          <w:rFonts w:ascii="Arial" w:hAnsi="Arial" w:cs="Arial"/>
          <w:b/>
          <w:bCs/>
          <w:sz w:val="28"/>
          <w:szCs w:val="28"/>
        </w:rPr>
        <w:t>Student ID:</w:t>
      </w:r>
      <w:r w:rsidRPr="00917122">
        <w:rPr>
          <w:rFonts w:ascii="Arial" w:hAnsi="Arial" w:cs="Arial"/>
          <w:sz w:val="28"/>
          <w:szCs w:val="28"/>
        </w:rPr>
        <w:t xml:space="preserve"> 24333390.</w:t>
      </w:r>
    </w:p>
    <w:p w14:paraId="2452AC28" w14:textId="35E09F79" w:rsidR="004B2DC0" w:rsidRPr="00917122" w:rsidRDefault="004B2DC0" w:rsidP="004B2DC0">
      <w:pPr>
        <w:rPr>
          <w:rFonts w:ascii="Arial" w:hAnsi="Arial" w:cs="Arial"/>
          <w:sz w:val="28"/>
          <w:szCs w:val="28"/>
        </w:rPr>
      </w:pPr>
      <w:r w:rsidRPr="00917122">
        <w:rPr>
          <w:rFonts w:ascii="Arial" w:hAnsi="Arial" w:cs="Arial"/>
          <w:b/>
          <w:bCs/>
          <w:sz w:val="28"/>
          <w:szCs w:val="28"/>
        </w:rPr>
        <w:t>Module Code:</w:t>
      </w:r>
      <w:r w:rsidRPr="00917122">
        <w:rPr>
          <w:rFonts w:ascii="Arial" w:hAnsi="Arial" w:cs="Arial"/>
          <w:sz w:val="28"/>
          <w:szCs w:val="28"/>
        </w:rPr>
        <w:t xml:space="preserve"> </w:t>
      </w:r>
      <w:r w:rsidR="00DA3F04" w:rsidRPr="00917122">
        <w:rPr>
          <w:rFonts w:ascii="Arial" w:hAnsi="Arial" w:cs="Arial"/>
          <w:sz w:val="28"/>
          <w:szCs w:val="28"/>
        </w:rPr>
        <w:t>LCHS4008_BIRM</w:t>
      </w:r>
      <w:r w:rsidR="008D1E43" w:rsidRPr="00917122">
        <w:rPr>
          <w:rFonts w:ascii="Arial" w:hAnsi="Arial" w:cs="Arial"/>
          <w:sz w:val="28"/>
          <w:szCs w:val="28"/>
        </w:rPr>
        <w:t>.</w:t>
      </w:r>
    </w:p>
    <w:p w14:paraId="12A34803" w14:textId="6484EB44" w:rsidR="004B2DC0" w:rsidRPr="00917122" w:rsidRDefault="004B2DC0" w:rsidP="004B2DC0">
      <w:pPr>
        <w:rPr>
          <w:rFonts w:ascii="Arial" w:hAnsi="Arial" w:cs="Arial"/>
          <w:sz w:val="28"/>
          <w:szCs w:val="28"/>
        </w:rPr>
      </w:pPr>
      <w:r w:rsidRPr="00917122">
        <w:rPr>
          <w:rFonts w:ascii="Arial" w:hAnsi="Arial" w:cs="Arial"/>
          <w:b/>
          <w:bCs/>
          <w:sz w:val="28"/>
          <w:szCs w:val="28"/>
        </w:rPr>
        <w:t>Module:</w:t>
      </w:r>
      <w:r w:rsidRPr="00917122">
        <w:rPr>
          <w:rFonts w:ascii="Arial" w:hAnsi="Arial" w:cs="Arial"/>
          <w:sz w:val="28"/>
          <w:szCs w:val="28"/>
        </w:rPr>
        <w:t xml:space="preserve"> </w:t>
      </w:r>
      <w:r w:rsidR="005203D1" w:rsidRPr="00917122">
        <w:rPr>
          <w:rFonts w:ascii="Arial" w:hAnsi="Arial" w:cs="Arial"/>
          <w:sz w:val="28"/>
          <w:szCs w:val="28"/>
        </w:rPr>
        <w:t>Introduction to Public Health</w:t>
      </w:r>
      <w:r w:rsidR="00C44761" w:rsidRPr="00917122">
        <w:rPr>
          <w:rFonts w:ascii="Arial" w:hAnsi="Arial" w:cs="Arial"/>
          <w:sz w:val="28"/>
          <w:szCs w:val="28"/>
        </w:rPr>
        <w:t>.</w:t>
      </w:r>
    </w:p>
    <w:p w14:paraId="1D0E4786" w14:textId="11B429E9" w:rsidR="004B2DC0" w:rsidRPr="00917122" w:rsidRDefault="004B2DC0" w:rsidP="004B2DC0">
      <w:pPr>
        <w:rPr>
          <w:rFonts w:ascii="Arial" w:hAnsi="Arial" w:cs="Arial"/>
          <w:sz w:val="28"/>
          <w:szCs w:val="28"/>
        </w:rPr>
      </w:pPr>
      <w:r w:rsidRPr="00917122">
        <w:rPr>
          <w:rFonts w:ascii="Arial" w:hAnsi="Arial" w:cs="Arial"/>
          <w:b/>
          <w:bCs/>
          <w:sz w:val="28"/>
          <w:szCs w:val="28"/>
        </w:rPr>
        <w:t>Lecturer:</w:t>
      </w:r>
      <w:r w:rsidRPr="00917122">
        <w:rPr>
          <w:rFonts w:ascii="Arial" w:hAnsi="Arial" w:cs="Arial"/>
          <w:sz w:val="28"/>
          <w:szCs w:val="28"/>
        </w:rPr>
        <w:t xml:space="preserve"> </w:t>
      </w:r>
      <w:proofErr w:type="spellStart"/>
      <w:r w:rsidR="00917122" w:rsidRPr="00917122">
        <w:rPr>
          <w:rFonts w:ascii="Arial" w:hAnsi="Arial" w:cs="Arial"/>
          <w:sz w:val="28"/>
          <w:szCs w:val="28"/>
        </w:rPr>
        <w:t>Tsiwani</w:t>
      </w:r>
      <w:proofErr w:type="spellEnd"/>
      <w:r w:rsidR="00917122" w:rsidRPr="00917122">
        <w:rPr>
          <w:rFonts w:ascii="Arial" w:hAnsi="Arial" w:cs="Arial"/>
          <w:sz w:val="28"/>
          <w:szCs w:val="28"/>
        </w:rPr>
        <w:t xml:space="preserve"> Khumalo</w:t>
      </w:r>
      <w:r w:rsidR="00917122" w:rsidRPr="00917122">
        <w:rPr>
          <w:rFonts w:ascii="Arial" w:hAnsi="Arial" w:cs="Arial"/>
          <w:sz w:val="28"/>
          <w:szCs w:val="28"/>
        </w:rPr>
        <w:t>.</w:t>
      </w:r>
    </w:p>
    <w:p w14:paraId="664A0C9A" w14:textId="77777777" w:rsidR="00B85DAB" w:rsidRDefault="00B85DAB" w:rsidP="00A830F8">
      <w:pPr>
        <w:jc w:val="center"/>
        <w:rPr>
          <w:rFonts w:ascii="Arial" w:hAnsi="Arial" w:cs="Arial"/>
          <w:b/>
          <w:bCs/>
        </w:rPr>
      </w:pPr>
    </w:p>
    <w:p w14:paraId="3BFAEEF8" w14:textId="77777777" w:rsidR="00B85DAB" w:rsidRDefault="00B85DAB" w:rsidP="00A830F8">
      <w:pPr>
        <w:jc w:val="center"/>
        <w:rPr>
          <w:rFonts w:ascii="Arial" w:hAnsi="Arial" w:cs="Arial"/>
          <w:b/>
          <w:bCs/>
        </w:rPr>
      </w:pPr>
    </w:p>
    <w:p w14:paraId="5118FF12" w14:textId="77777777" w:rsidR="00B85DAB" w:rsidRDefault="00B85DAB" w:rsidP="00A830F8">
      <w:pPr>
        <w:jc w:val="center"/>
        <w:rPr>
          <w:rFonts w:ascii="Arial" w:hAnsi="Arial" w:cs="Arial"/>
          <w:b/>
          <w:bCs/>
        </w:rPr>
      </w:pPr>
    </w:p>
    <w:p w14:paraId="1F9D7739" w14:textId="77777777" w:rsidR="00B85DAB" w:rsidRDefault="00B85DAB" w:rsidP="00A830F8">
      <w:pPr>
        <w:jc w:val="center"/>
        <w:rPr>
          <w:rFonts w:ascii="Arial" w:hAnsi="Arial" w:cs="Arial"/>
          <w:b/>
          <w:bCs/>
        </w:rPr>
      </w:pPr>
    </w:p>
    <w:p w14:paraId="79A461E4" w14:textId="77777777" w:rsidR="00B85DAB" w:rsidRDefault="00B85DAB" w:rsidP="00A830F8">
      <w:pPr>
        <w:jc w:val="center"/>
        <w:rPr>
          <w:rFonts w:ascii="Arial" w:hAnsi="Arial" w:cs="Arial"/>
          <w:b/>
          <w:bCs/>
        </w:rPr>
      </w:pPr>
    </w:p>
    <w:p w14:paraId="39A43C9E" w14:textId="77777777" w:rsidR="00B85DAB" w:rsidRDefault="00B85DAB" w:rsidP="00A830F8">
      <w:pPr>
        <w:jc w:val="center"/>
        <w:rPr>
          <w:rFonts w:ascii="Arial" w:hAnsi="Arial" w:cs="Arial"/>
          <w:b/>
          <w:bCs/>
        </w:rPr>
      </w:pPr>
    </w:p>
    <w:p w14:paraId="28C6C6CB" w14:textId="77777777" w:rsidR="00B85DAB" w:rsidRDefault="00B85DAB" w:rsidP="00A830F8">
      <w:pPr>
        <w:jc w:val="center"/>
        <w:rPr>
          <w:rFonts w:ascii="Arial" w:hAnsi="Arial" w:cs="Arial"/>
          <w:b/>
          <w:bCs/>
        </w:rPr>
      </w:pPr>
    </w:p>
    <w:p w14:paraId="601A440C" w14:textId="77777777" w:rsidR="00B85DAB" w:rsidRDefault="00B85DAB" w:rsidP="00A830F8">
      <w:pPr>
        <w:jc w:val="center"/>
        <w:rPr>
          <w:rFonts w:ascii="Arial" w:hAnsi="Arial" w:cs="Arial"/>
          <w:b/>
          <w:bCs/>
        </w:rPr>
      </w:pPr>
    </w:p>
    <w:p w14:paraId="344800E3" w14:textId="77777777" w:rsidR="00B85DAB" w:rsidRDefault="00B85DAB" w:rsidP="00A830F8">
      <w:pPr>
        <w:jc w:val="center"/>
        <w:rPr>
          <w:rFonts w:ascii="Arial" w:hAnsi="Arial" w:cs="Arial"/>
          <w:b/>
          <w:bCs/>
        </w:rPr>
      </w:pPr>
    </w:p>
    <w:p w14:paraId="20C4143D" w14:textId="77777777" w:rsidR="00B85DAB" w:rsidRDefault="00B85DAB" w:rsidP="00A830F8">
      <w:pPr>
        <w:jc w:val="center"/>
        <w:rPr>
          <w:rFonts w:ascii="Arial" w:hAnsi="Arial" w:cs="Arial"/>
          <w:b/>
          <w:bCs/>
        </w:rPr>
      </w:pPr>
    </w:p>
    <w:p w14:paraId="1CE35DC8" w14:textId="77777777" w:rsidR="00B85DAB" w:rsidRDefault="00B85DAB" w:rsidP="00A830F8">
      <w:pPr>
        <w:jc w:val="center"/>
        <w:rPr>
          <w:rFonts w:ascii="Arial" w:hAnsi="Arial" w:cs="Arial"/>
          <w:b/>
          <w:bCs/>
        </w:rPr>
      </w:pPr>
    </w:p>
    <w:p w14:paraId="3C6FA937" w14:textId="77777777" w:rsidR="00B85DAB" w:rsidRDefault="00B85DAB" w:rsidP="00A830F8">
      <w:pPr>
        <w:jc w:val="center"/>
        <w:rPr>
          <w:rFonts w:ascii="Arial" w:hAnsi="Arial" w:cs="Arial"/>
          <w:b/>
          <w:bCs/>
        </w:rPr>
      </w:pPr>
    </w:p>
    <w:p w14:paraId="0AB9781B" w14:textId="77777777" w:rsidR="00B85DAB" w:rsidRDefault="00B85DAB" w:rsidP="00A830F8">
      <w:pPr>
        <w:jc w:val="center"/>
        <w:rPr>
          <w:rFonts w:ascii="Arial" w:hAnsi="Arial" w:cs="Arial"/>
          <w:b/>
          <w:bCs/>
        </w:rPr>
      </w:pPr>
    </w:p>
    <w:p w14:paraId="4FBE062C" w14:textId="77777777" w:rsidR="00B85DAB" w:rsidRDefault="00B85DAB" w:rsidP="00A830F8">
      <w:pPr>
        <w:jc w:val="center"/>
        <w:rPr>
          <w:rFonts w:ascii="Arial" w:hAnsi="Arial" w:cs="Arial"/>
          <w:b/>
          <w:bCs/>
        </w:rPr>
      </w:pPr>
    </w:p>
    <w:p w14:paraId="33DFBC1F" w14:textId="77777777" w:rsidR="00B85DAB" w:rsidRDefault="00B85DAB" w:rsidP="00A830F8">
      <w:pPr>
        <w:jc w:val="center"/>
        <w:rPr>
          <w:rFonts w:ascii="Arial" w:hAnsi="Arial" w:cs="Arial"/>
          <w:b/>
          <w:bCs/>
        </w:rPr>
      </w:pPr>
    </w:p>
    <w:p w14:paraId="31ABE4EF" w14:textId="3C61CC03" w:rsidR="00B85DAB" w:rsidRDefault="00DE597F" w:rsidP="00A830F8">
      <w:pPr>
        <w:jc w:val="center"/>
        <w:rPr>
          <w:rFonts w:ascii="Arial" w:hAnsi="Arial" w:cs="Arial"/>
          <w:b/>
          <w:bCs/>
        </w:rPr>
      </w:pPr>
      <w:r>
        <w:rPr>
          <w:rFonts w:ascii="Arial" w:hAnsi="Arial" w:cs="Arial"/>
          <w:b/>
          <w:bCs/>
        </w:rPr>
        <w:lastRenderedPageBreak/>
        <w:t>CONTENT.</w:t>
      </w:r>
    </w:p>
    <w:p w14:paraId="37A9D008" w14:textId="77777777" w:rsidR="00DE597F" w:rsidRDefault="00DE597F" w:rsidP="00A830F8">
      <w:pPr>
        <w:jc w:val="center"/>
        <w:rPr>
          <w:rFonts w:ascii="Arial" w:hAnsi="Arial" w:cs="Arial"/>
          <w:b/>
          <w:bCs/>
        </w:rPr>
      </w:pPr>
    </w:p>
    <w:p w14:paraId="14E1B278" w14:textId="4CBA4FCE" w:rsidR="003C2E63" w:rsidRPr="00222C3D" w:rsidRDefault="00DE597F" w:rsidP="002E40FB">
      <w:pPr>
        <w:jc w:val="both"/>
        <w:rPr>
          <w:rFonts w:ascii="Arial" w:hAnsi="Arial" w:cs="Arial"/>
          <w:b/>
          <w:bCs/>
        </w:rPr>
      </w:pPr>
      <w:r>
        <w:rPr>
          <w:rFonts w:ascii="Arial" w:hAnsi="Arial" w:cs="Arial"/>
          <w:b/>
          <w:bCs/>
        </w:rPr>
        <w:t>1.</w:t>
      </w:r>
      <w:r w:rsidR="003A41EA">
        <w:rPr>
          <w:rFonts w:ascii="Arial" w:hAnsi="Arial" w:cs="Arial"/>
          <w:b/>
          <w:bCs/>
        </w:rPr>
        <w:t xml:space="preserve"> </w:t>
      </w:r>
      <w:r w:rsidR="003C2E63" w:rsidRPr="00222C3D">
        <w:rPr>
          <w:rFonts w:ascii="Arial" w:hAnsi="Arial" w:cs="Arial"/>
          <w:b/>
          <w:bCs/>
        </w:rPr>
        <w:t>Introduction</w:t>
      </w:r>
      <w:r w:rsidR="002E40FB">
        <w:rPr>
          <w:rFonts w:ascii="Arial" w:hAnsi="Arial" w:cs="Arial"/>
          <w:b/>
          <w:bCs/>
        </w:rPr>
        <w:t>……………………………………………………………………………………   3</w:t>
      </w:r>
    </w:p>
    <w:p w14:paraId="47326598" w14:textId="3188570C" w:rsidR="00DE597F" w:rsidRDefault="00DE597F" w:rsidP="002E40FB">
      <w:pPr>
        <w:jc w:val="both"/>
        <w:rPr>
          <w:rFonts w:ascii="Arial" w:hAnsi="Arial" w:cs="Arial"/>
          <w:b/>
          <w:bCs/>
        </w:rPr>
      </w:pPr>
    </w:p>
    <w:p w14:paraId="10A59AF6" w14:textId="7511F393" w:rsidR="003C2E63" w:rsidRPr="00401545" w:rsidRDefault="00DE597F" w:rsidP="002E40FB">
      <w:pPr>
        <w:jc w:val="both"/>
        <w:rPr>
          <w:rFonts w:ascii="Arial" w:hAnsi="Arial" w:cs="Arial"/>
          <w:b/>
          <w:bCs/>
        </w:rPr>
      </w:pPr>
      <w:r>
        <w:rPr>
          <w:rFonts w:ascii="Arial" w:hAnsi="Arial" w:cs="Arial"/>
          <w:b/>
          <w:bCs/>
        </w:rPr>
        <w:t>2.</w:t>
      </w:r>
      <w:r w:rsidR="003A41EA">
        <w:rPr>
          <w:rFonts w:ascii="Arial" w:hAnsi="Arial" w:cs="Arial"/>
          <w:b/>
          <w:bCs/>
        </w:rPr>
        <w:t xml:space="preserve"> </w:t>
      </w:r>
      <w:r w:rsidR="003C2E63">
        <w:rPr>
          <w:rFonts w:ascii="Arial" w:hAnsi="Arial" w:cs="Arial"/>
          <w:b/>
          <w:bCs/>
        </w:rPr>
        <w:t>1.</w:t>
      </w:r>
      <w:r w:rsidR="003C2E63" w:rsidRPr="00401545">
        <w:rPr>
          <w:rFonts w:ascii="Arial" w:hAnsi="Arial" w:cs="Arial"/>
          <w:b/>
          <w:bCs/>
        </w:rPr>
        <w:t xml:space="preserve"> Different</w:t>
      </w:r>
      <w:r w:rsidR="003C2E63" w:rsidRPr="00401545">
        <w:rPr>
          <w:rFonts w:ascii="Arial" w:hAnsi="Arial" w:cs="Arial"/>
          <w:b/>
          <w:bCs/>
        </w:rPr>
        <w:t xml:space="preserve"> Approaches Used to Measure and Monitor Type 1 Diabetes</w:t>
      </w:r>
      <w:r w:rsidR="002E40FB">
        <w:rPr>
          <w:rFonts w:ascii="Arial" w:hAnsi="Arial" w:cs="Arial"/>
          <w:b/>
          <w:bCs/>
        </w:rPr>
        <w:t>………….    4</w:t>
      </w:r>
    </w:p>
    <w:p w14:paraId="31C9D5BF" w14:textId="3C36937A" w:rsidR="00DE597F" w:rsidRDefault="00DE597F" w:rsidP="002E40FB">
      <w:pPr>
        <w:jc w:val="both"/>
        <w:rPr>
          <w:rFonts w:ascii="Arial" w:hAnsi="Arial" w:cs="Arial"/>
          <w:b/>
          <w:bCs/>
        </w:rPr>
      </w:pPr>
    </w:p>
    <w:p w14:paraId="2DAED193" w14:textId="1FB16F92" w:rsidR="003C2E63" w:rsidRPr="00BB2B98" w:rsidRDefault="00DE597F" w:rsidP="002E40FB">
      <w:pPr>
        <w:jc w:val="both"/>
        <w:rPr>
          <w:rFonts w:ascii="Arial" w:hAnsi="Arial" w:cs="Arial"/>
          <w:b/>
          <w:bCs/>
        </w:rPr>
      </w:pPr>
      <w:r>
        <w:rPr>
          <w:rFonts w:ascii="Arial" w:hAnsi="Arial" w:cs="Arial"/>
          <w:b/>
          <w:bCs/>
        </w:rPr>
        <w:t>3.</w:t>
      </w:r>
      <w:r w:rsidR="003C2E63" w:rsidRPr="003C2E63">
        <w:rPr>
          <w:rFonts w:ascii="Arial" w:hAnsi="Arial" w:cs="Arial"/>
          <w:b/>
          <w:bCs/>
        </w:rPr>
        <w:t xml:space="preserve"> </w:t>
      </w:r>
      <w:r w:rsidR="003C2E63" w:rsidRPr="009A421E">
        <w:rPr>
          <w:rFonts w:ascii="Arial" w:hAnsi="Arial" w:cs="Arial"/>
          <w:b/>
          <w:bCs/>
        </w:rPr>
        <w:t>2. How</w:t>
      </w:r>
      <w:r w:rsidR="003C2E63" w:rsidRPr="009A421E">
        <w:rPr>
          <w:rFonts w:ascii="Arial" w:hAnsi="Arial" w:cs="Arial"/>
          <w:b/>
          <w:bCs/>
        </w:rPr>
        <w:t xml:space="preserve"> Type 1 Diabetes is Controlled</w:t>
      </w:r>
      <w:r w:rsidR="002E40FB">
        <w:rPr>
          <w:rFonts w:ascii="Arial" w:hAnsi="Arial" w:cs="Arial"/>
          <w:b/>
          <w:bCs/>
        </w:rPr>
        <w:t>…………………………………………………….     5</w:t>
      </w:r>
    </w:p>
    <w:p w14:paraId="35391460" w14:textId="26AACFD1" w:rsidR="00DE597F" w:rsidRDefault="00DE597F" w:rsidP="002E40FB">
      <w:pPr>
        <w:jc w:val="both"/>
        <w:rPr>
          <w:rFonts w:ascii="Arial" w:hAnsi="Arial" w:cs="Arial"/>
          <w:b/>
          <w:bCs/>
        </w:rPr>
      </w:pPr>
    </w:p>
    <w:p w14:paraId="1F6E4BFB" w14:textId="71C56BC3" w:rsidR="003C2E63" w:rsidRPr="00254CE5" w:rsidRDefault="00DE597F" w:rsidP="002E40FB">
      <w:pPr>
        <w:jc w:val="both"/>
        <w:rPr>
          <w:rFonts w:ascii="Arial" w:hAnsi="Arial" w:cs="Arial"/>
          <w:b/>
          <w:bCs/>
        </w:rPr>
      </w:pPr>
      <w:r>
        <w:rPr>
          <w:rFonts w:ascii="Arial" w:hAnsi="Arial" w:cs="Arial"/>
          <w:b/>
          <w:bCs/>
        </w:rPr>
        <w:t>4.</w:t>
      </w:r>
      <w:r w:rsidR="003C2E63" w:rsidRPr="003C2E63">
        <w:rPr>
          <w:rFonts w:ascii="Arial" w:hAnsi="Arial" w:cs="Arial"/>
          <w:b/>
          <w:bCs/>
        </w:rPr>
        <w:t xml:space="preserve"> </w:t>
      </w:r>
      <w:r w:rsidR="003C2E63" w:rsidRPr="000A6FC1">
        <w:rPr>
          <w:rFonts w:ascii="Arial" w:hAnsi="Arial" w:cs="Arial"/>
          <w:b/>
          <w:bCs/>
        </w:rPr>
        <w:t>3. Consequences</w:t>
      </w:r>
      <w:r w:rsidR="003C2E63" w:rsidRPr="000A6FC1">
        <w:rPr>
          <w:rFonts w:ascii="Arial" w:hAnsi="Arial" w:cs="Arial"/>
          <w:b/>
          <w:bCs/>
        </w:rPr>
        <w:t xml:space="preserve"> of Type 1 Diabetes on People in the Community</w:t>
      </w:r>
      <w:r w:rsidR="002E40FB">
        <w:rPr>
          <w:rFonts w:ascii="Arial" w:hAnsi="Arial" w:cs="Arial"/>
          <w:b/>
          <w:bCs/>
        </w:rPr>
        <w:t>……………….     6</w:t>
      </w:r>
    </w:p>
    <w:p w14:paraId="52712A29" w14:textId="65659833" w:rsidR="00DE597F" w:rsidRDefault="00DE597F" w:rsidP="002E40FB">
      <w:pPr>
        <w:jc w:val="both"/>
        <w:rPr>
          <w:rFonts w:ascii="Arial" w:hAnsi="Arial" w:cs="Arial"/>
          <w:b/>
          <w:bCs/>
        </w:rPr>
      </w:pPr>
    </w:p>
    <w:p w14:paraId="3584D13B" w14:textId="50489E59" w:rsidR="003C2E63" w:rsidRPr="00895367" w:rsidRDefault="00DE597F" w:rsidP="002E40FB">
      <w:pPr>
        <w:jc w:val="both"/>
        <w:rPr>
          <w:rFonts w:ascii="Arial" w:hAnsi="Arial" w:cs="Arial"/>
          <w:b/>
          <w:bCs/>
        </w:rPr>
      </w:pPr>
      <w:r>
        <w:rPr>
          <w:rFonts w:ascii="Arial" w:hAnsi="Arial" w:cs="Arial"/>
          <w:b/>
          <w:bCs/>
        </w:rPr>
        <w:t>5.</w:t>
      </w:r>
      <w:r w:rsidR="003C2E63">
        <w:rPr>
          <w:rFonts w:ascii="Arial" w:hAnsi="Arial" w:cs="Arial"/>
          <w:b/>
          <w:bCs/>
        </w:rPr>
        <w:t>4.</w:t>
      </w:r>
      <w:r w:rsidR="003C2E63" w:rsidRPr="00895367">
        <w:rPr>
          <w:rFonts w:ascii="Arial" w:hAnsi="Arial" w:cs="Arial"/>
          <w:b/>
          <w:bCs/>
        </w:rPr>
        <w:t xml:space="preserve"> Health</w:t>
      </w:r>
      <w:r w:rsidR="003C2E63" w:rsidRPr="00895367">
        <w:rPr>
          <w:rFonts w:ascii="Arial" w:hAnsi="Arial" w:cs="Arial"/>
          <w:b/>
          <w:bCs/>
        </w:rPr>
        <w:t xml:space="preserve"> and Social Care Support Services for People Living with Type 1 </w:t>
      </w:r>
      <w:r w:rsidR="002E40FB" w:rsidRPr="00895367">
        <w:rPr>
          <w:rFonts w:ascii="Arial" w:hAnsi="Arial" w:cs="Arial"/>
          <w:b/>
          <w:bCs/>
        </w:rPr>
        <w:t>Diabetes</w:t>
      </w:r>
      <w:r w:rsidR="002E40FB">
        <w:rPr>
          <w:rFonts w:ascii="Arial" w:hAnsi="Arial" w:cs="Arial"/>
          <w:b/>
          <w:bCs/>
        </w:rPr>
        <w:t xml:space="preserve"> 7</w:t>
      </w:r>
    </w:p>
    <w:p w14:paraId="790D9B87" w14:textId="435B8865" w:rsidR="00DE597F" w:rsidRDefault="00DE597F" w:rsidP="002E40FB">
      <w:pPr>
        <w:jc w:val="both"/>
        <w:rPr>
          <w:rFonts w:ascii="Arial" w:hAnsi="Arial" w:cs="Arial"/>
          <w:b/>
          <w:bCs/>
        </w:rPr>
      </w:pPr>
    </w:p>
    <w:p w14:paraId="616A859A" w14:textId="0CEF9460" w:rsidR="003C2E63" w:rsidRPr="00072751" w:rsidRDefault="00DE597F" w:rsidP="002E40FB">
      <w:pPr>
        <w:jc w:val="both"/>
        <w:rPr>
          <w:rFonts w:ascii="Arial" w:hAnsi="Arial" w:cs="Arial"/>
          <w:b/>
          <w:bCs/>
        </w:rPr>
      </w:pPr>
      <w:r>
        <w:rPr>
          <w:rFonts w:ascii="Arial" w:hAnsi="Arial" w:cs="Arial"/>
          <w:b/>
          <w:bCs/>
        </w:rPr>
        <w:t>6.</w:t>
      </w:r>
      <w:r w:rsidR="003C2E63" w:rsidRPr="003C2E63">
        <w:rPr>
          <w:rFonts w:ascii="Arial" w:hAnsi="Arial" w:cs="Arial"/>
          <w:b/>
          <w:bCs/>
        </w:rPr>
        <w:t xml:space="preserve"> </w:t>
      </w:r>
      <w:r w:rsidR="003C2E63" w:rsidRPr="00C0196A">
        <w:rPr>
          <w:rFonts w:ascii="Arial" w:hAnsi="Arial" w:cs="Arial"/>
          <w:b/>
          <w:bCs/>
        </w:rPr>
        <w:t>Conclusion</w:t>
      </w:r>
      <w:r w:rsidR="002E40FB">
        <w:rPr>
          <w:rFonts w:ascii="Arial" w:hAnsi="Arial" w:cs="Arial"/>
          <w:b/>
          <w:bCs/>
        </w:rPr>
        <w:t>……………………………………………………………………………………        8</w:t>
      </w:r>
    </w:p>
    <w:p w14:paraId="28F243EC" w14:textId="4E94417B" w:rsidR="00DE597F" w:rsidRDefault="00DE597F" w:rsidP="002E40FB">
      <w:pPr>
        <w:jc w:val="both"/>
        <w:rPr>
          <w:rFonts w:ascii="Arial" w:hAnsi="Arial" w:cs="Arial"/>
          <w:b/>
          <w:bCs/>
        </w:rPr>
      </w:pPr>
    </w:p>
    <w:p w14:paraId="5285C4D3" w14:textId="717C9C99" w:rsidR="003C2E63" w:rsidRPr="00254CE5" w:rsidRDefault="00DE597F" w:rsidP="002E40FB">
      <w:pPr>
        <w:jc w:val="both"/>
        <w:rPr>
          <w:rFonts w:ascii="Arial" w:hAnsi="Arial" w:cs="Arial"/>
          <w:b/>
          <w:bCs/>
        </w:rPr>
      </w:pPr>
      <w:r>
        <w:rPr>
          <w:rFonts w:ascii="Arial" w:hAnsi="Arial" w:cs="Arial"/>
          <w:b/>
          <w:bCs/>
        </w:rPr>
        <w:t>7.</w:t>
      </w:r>
      <w:r w:rsidR="003C2E63" w:rsidRPr="003C2E63">
        <w:rPr>
          <w:rFonts w:ascii="Arial" w:hAnsi="Arial" w:cs="Arial"/>
          <w:b/>
          <w:bCs/>
        </w:rPr>
        <w:t xml:space="preserve"> </w:t>
      </w:r>
      <w:r w:rsidR="003C2E63">
        <w:rPr>
          <w:rFonts w:ascii="Arial" w:hAnsi="Arial" w:cs="Arial"/>
          <w:b/>
          <w:bCs/>
        </w:rPr>
        <w:t>C</w:t>
      </w:r>
      <w:r w:rsidR="003C2E63" w:rsidRPr="00254CE5">
        <w:rPr>
          <w:rFonts w:ascii="Arial" w:hAnsi="Arial" w:cs="Arial"/>
          <w:b/>
          <w:bCs/>
        </w:rPr>
        <w:t>itation</w:t>
      </w:r>
      <w:r w:rsidR="002E40FB">
        <w:rPr>
          <w:rFonts w:ascii="Arial" w:hAnsi="Arial" w:cs="Arial"/>
          <w:b/>
          <w:bCs/>
        </w:rPr>
        <w:t>……………………………………………………………………………………….        9</w:t>
      </w:r>
    </w:p>
    <w:p w14:paraId="2B750720" w14:textId="70DCB914" w:rsidR="00DE597F" w:rsidRDefault="00DE597F" w:rsidP="00DE597F">
      <w:pPr>
        <w:jc w:val="center"/>
        <w:rPr>
          <w:rFonts w:ascii="Arial" w:hAnsi="Arial" w:cs="Arial"/>
          <w:b/>
          <w:bCs/>
        </w:rPr>
      </w:pPr>
    </w:p>
    <w:p w14:paraId="37A219B5" w14:textId="77777777" w:rsidR="00B85DAB" w:rsidRDefault="00B85DAB" w:rsidP="00A830F8">
      <w:pPr>
        <w:jc w:val="center"/>
        <w:rPr>
          <w:rFonts w:ascii="Arial" w:hAnsi="Arial" w:cs="Arial"/>
          <w:b/>
          <w:bCs/>
        </w:rPr>
      </w:pPr>
    </w:p>
    <w:p w14:paraId="689077F1" w14:textId="77777777" w:rsidR="00B85DAB" w:rsidRDefault="00B85DAB" w:rsidP="00A830F8">
      <w:pPr>
        <w:jc w:val="center"/>
        <w:rPr>
          <w:rFonts w:ascii="Arial" w:hAnsi="Arial" w:cs="Arial"/>
          <w:b/>
          <w:bCs/>
        </w:rPr>
      </w:pPr>
    </w:p>
    <w:p w14:paraId="4DC35660" w14:textId="77777777" w:rsidR="00B85DAB" w:rsidRDefault="00B85DAB" w:rsidP="00A830F8">
      <w:pPr>
        <w:jc w:val="center"/>
        <w:rPr>
          <w:rFonts w:ascii="Arial" w:hAnsi="Arial" w:cs="Arial"/>
          <w:b/>
          <w:bCs/>
        </w:rPr>
      </w:pPr>
    </w:p>
    <w:p w14:paraId="6E27CC45" w14:textId="77777777" w:rsidR="00B85DAB" w:rsidRDefault="00B85DAB" w:rsidP="00A830F8">
      <w:pPr>
        <w:jc w:val="center"/>
        <w:rPr>
          <w:rFonts w:ascii="Arial" w:hAnsi="Arial" w:cs="Arial"/>
          <w:b/>
          <w:bCs/>
        </w:rPr>
      </w:pPr>
    </w:p>
    <w:p w14:paraId="7AFDFF54" w14:textId="77777777" w:rsidR="00B85DAB" w:rsidRDefault="00B85DAB" w:rsidP="00A830F8">
      <w:pPr>
        <w:jc w:val="center"/>
        <w:rPr>
          <w:rFonts w:ascii="Arial" w:hAnsi="Arial" w:cs="Arial"/>
          <w:b/>
          <w:bCs/>
        </w:rPr>
      </w:pPr>
    </w:p>
    <w:p w14:paraId="17C135A9" w14:textId="77777777" w:rsidR="00B85DAB" w:rsidRDefault="00B85DAB" w:rsidP="00A830F8">
      <w:pPr>
        <w:jc w:val="center"/>
        <w:rPr>
          <w:rFonts w:ascii="Arial" w:hAnsi="Arial" w:cs="Arial"/>
          <w:b/>
          <w:bCs/>
        </w:rPr>
      </w:pPr>
    </w:p>
    <w:p w14:paraId="72D88621" w14:textId="77777777" w:rsidR="00B85DAB" w:rsidRDefault="00B85DAB" w:rsidP="00A830F8">
      <w:pPr>
        <w:jc w:val="center"/>
        <w:rPr>
          <w:rFonts w:ascii="Arial" w:hAnsi="Arial" w:cs="Arial"/>
          <w:b/>
          <w:bCs/>
        </w:rPr>
      </w:pPr>
    </w:p>
    <w:p w14:paraId="19B99D77" w14:textId="77777777" w:rsidR="00B85DAB" w:rsidRDefault="00B85DAB" w:rsidP="00A830F8">
      <w:pPr>
        <w:jc w:val="center"/>
        <w:rPr>
          <w:rFonts w:ascii="Arial" w:hAnsi="Arial" w:cs="Arial"/>
          <w:b/>
          <w:bCs/>
        </w:rPr>
      </w:pPr>
    </w:p>
    <w:p w14:paraId="6030AF17" w14:textId="77777777" w:rsidR="00B85DAB" w:rsidRDefault="00B85DAB" w:rsidP="00A830F8">
      <w:pPr>
        <w:jc w:val="center"/>
        <w:rPr>
          <w:rFonts w:ascii="Arial" w:hAnsi="Arial" w:cs="Arial"/>
          <w:b/>
          <w:bCs/>
        </w:rPr>
      </w:pPr>
    </w:p>
    <w:p w14:paraId="4DEE4B8D" w14:textId="77777777" w:rsidR="00917122" w:rsidRDefault="00917122" w:rsidP="00A830F8">
      <w:pPr>
        <w:jc w:val="center"/>
        <w:rPr>
          <w:rFonts w:ascii="Arial" w:hAnsi="Arial" w:cs="Arial"/>
          <w:b/>
          <w:bCs/>
        </w:rPr>
      </w:pPr>
    </w:p>
    <w:p w14:paraId="174EC4E3" w14:textId="77777777" w:rsidR="00917122" w:rsidRDefault="00917122" w:rsidP="00A830F8">
      <w:pPr>
        <w:jc w:val="center"/>
        <w:rPr>
          <w:rFonts w:ascii="Arial" w:hAnsi="Arial" w:cs="Arial"/>
          <w:b/>
          <w:bCs/>
        </w:rPr>
      </w:pPr>
    </w:p>
    <w:p w14:paraId="1D40874C" w14:textId="77777777" w:rsidR="00917122" w:rsidRDefault="00917122" w:rsidP="00A830F8">
      <w:pPr>
        <w:jc w:val="center"/>
        <w:rPr>
          <w:rFonts w:ascii="Arial" w:hAnsi="Arial" w:cs="Arial"/>
          <w:b/>
          <w:bCs/>
        </w:rPr>
      </w:pPr>
    </w:p>
    <w:p w14:paraId="5E526C57" w14:textId="77777777" w:rsidR="00917122" w:rsidRDefault="00917122" w:rsidP="00A830F8">
      <w:pPr>
        <w:jc w:val="center"/>
        <w:rPr>
          <w:rFonts w:ascii="Arial" w:hAnsi="Arial" w:cs="Arial"/>
          <w:b/>
          <w:bCs/>
        </w:rPr>
      </w:pPr>
    </w:p>
    <w:p w14:paraId="47AD09F5" w14:textId="77777777" w:rsidR="00917122" w:rsidRDefault="00917122" w:rsidP="00A830F8">
      <w:pPr>
        <w:jc w:val="center"/>
        <w:rPr>
          <w:rFonts w:ascii="Arial" w:hAnsi="Arial" w:cs="Arial"/>
          <w:b/>
          <w:bCs/>
        </w:rPr>
      </w:pPr>
    </w:p>
    <w:p w14:paraId="14603908" w14:textId="77777777" w:rsidR="00917122" w:rsidRDefault="00917122" w:rsidP="00A830F8">
      <w:pPr>
        <w:jc w:val="center"/>
        <w:rPr>
          <w:rFonts w:ascii="Arial" w:hAnsi="Arial" w:cs="Arial"/>
          <w:b/>
          <w:bCs/>
        </w:rPr>
      </w:pPr>
    </w:p>
    <w:p w14:paraId="1304B69A" w14:textId="77777777" w:rsidR="00B85DAB" w:rsidRDefault="00B85DAB" w:rsidP="003A41EA">
      <w:pPr>
        <w:rPr>
          <w:rFonts w:ascii="Arial" w:hAnsi="Arial" w:cs="Arial"/>
          <w:b/>
          <w:bCs/>
        </w:rPr>
      </w:pPr>
    </w:p>
    <w:p w14:paraId="0AC06F4F" w14:textId="4830CBBC" w:rsidR="003E08AD" w:rsidRPr="00222C3D" w:rsidRDefault="00A830F8" w:rsidP="00A830F8">
      <w:pPr>
        <w:jc w:val="center"/>
        <w:rPr>
          <w:rFonts w:ascii="Arial" w:hAnsi="Arial" w:cs="Arial"/>
          <w:b/>
          <w:bCs/>
        </w:rPr>
      </w:pPr>
      <w:r w:rsidRPr="00222C3D">
        <w:rPr>
          <w:rFonts w:ascii="Arial" w:hAnsi="Arial" w:cs="Arial"/>
          <w:b/>
          <w:bCs/>
        </w:rPr>
        <w:lastRenderedPageBreak/>
        <w:t>Type 1 Diabetes.</w:t>
      </w:r>
    </w:p>
    <w:p w14:paraId="3E807F54" w14:textId="758382C5" w:rsidR="004617D5" w:rsidRPr="00222C3D" w:rsidRDefault="004617D5" w:rsidP="00222C3D">
      <w:pPr>
        <w:jc w:val="center"/>
        <w:rPr>
          <w:rFonts w:ascii="Arial" w:hAnsi="Arial" w:cs="Arial"/>
          <w:b/>
          <w:bCs/>
        </w:rPr>
      </w:pPr>
      <w:r w:rsidRPr="00222C3D">
        <w:rPr>
          <w:rFonts w:ascii="Arial" w:hAnsi="Arial" w:cs="Arial"/>
          <w:b/>
          <w:bCs/>
        </w:rPr>
        <w:t>Introduction</w:t>
      </w:r>
      <w:r w:rsidR="00072751">
        <w:rPr>
          <w:rFonts w:ascii="Arial" w:hAnsi="Arial" w:cs="Arial"/>
          <w:b/>
          <w:bCs/>
        </w:rPr>
        <w:t>.</w:t>
      </w:r>
    </w:p>
    <w:p w14:paraId="575993F1" w14:textId="77777777" w:rsidR="002E7500" w:rsidRDefault="004617D5" w:rsidP="00222C3D">
      <w:pPr>
        <w:jc w:val="both"/>
        <w:rPr>
          <w:rFonts w:ascii="Arial" w:hAnsi="Arial" w:cs="Arial"/>
        </w:rPr>
      </w:pPr>
      <w:r w:rsidRPr="004617D5">
        <w:rPr>
          <w:rFonts w:ascii="Arial" w:hAnsi="Arial" w:cs="Arial"/>
        </w:rPr>
        <w:t xml:space="preserve">Type 1 diabetes is defined as a chronic autoimmune disease in which the insulin-producing beta cells of the pancreas are destroyed by the immune system. Insulin is a hormone that allows glucose, the body's main source of energy obtained from food, to enter the body's cells where it can be used for normal functioning. When insulin is no longer produced, glucose remains in the bloodstream, causing blood glucose levels to rise and resulting in lifelong dependence on insulin therapy to achieve glycaemic control (National Institute for Health and Care Excellence (NICE), 2022). </w:t>
      </w:r>
    </w:p>
    <w:p w14:paraId="24681422" w14:textId="77777777" w:rsidR="002E7500" w:rsidRDefault="004617D5" w:rsidP="00222C3D">
      <w:pPr>
        <w:jc w:val="both"/>
        <w:rPr>
          <w:rFonts w:ascii="Arial" w:hAnsi="Arial" w:cs="Arial"/>
        </w:rPr>
      </w:pPr>
      <w:r w:rsidRPr="004617D5">
        <w:rPr>
          <w:rFonts w:ascii="Arial" w:hAnsi="Arial" w:cs="Arial"/>
        </w:rPr>
        <w:t xml:space="preserve">The condition is commonly characterised by excessive thirst, frequent urination, unexplained weight loss and persistent fatigue, as the body's cells are unable to use glucose effectively for energy. Blurred vision, recurrent infections and slow wound healing may also be experienced. If diagnosis is delayed, diabetic ketoacidosis may develop as a life-threatening complication requiring immediate medical intervention (NHS, 2024). </w:t>
      </w:r>
    </w:p>
    <w:p w14:paraId="423E124E" w14:textId="228D5E51" w:rsidR="004617D5" w:rsidRDefault="004617D5" w:rsidP="00222C3D">
      <w:pPr>
        <w:jc w:val="both"/>
        <w:rPr>
          <w:rFonts w:ascii="Arial" w:hAnsi="Arial" w:cs="Arial"/>
        </w:rPr>
      </w:pPr>
      <w:r w:rsidRPr="004617D5">
        <w:rPr>
          <w:rFonts w:ascii="Arial" w:hAnsi="Arial" w:cs="Arial"/>
        </w:rPr>
        <w:t>Globally, more than 9 million people are estimated to be living with type 1 diabetes, while approximately 400,000 people are affected in the United Kingdom, highlighting the condition as a significant public health concern that requires continuous monitoring and long-term health and social care support (</w:t>
      </w:r>
      <w:proofErr w:type="spellStart"/>
      <w:r w:rsidRPr="004617D5">
        <w:rPr>
          <w:rFonts w:ascii="Arial" w:hAnsi="Arial" w:cs="Arial"/>
        </w:rPr>
        <w:t>Gherbon</w:t>
      </w:r>
      <w:proofErr w:type="spellEnd"/>
      <w:r w:rsidRPr="004617D5">
        <w:rPr>
          <w:rFonts w:ascii="Arial" w:hAnsi="Arial" w:cs="Arial"/>
        </w:rPr>
        <w:t>, 2025; Breakthrough T1D, 2026).</w:t>
      </w:r>
    </w:p>
    <w:p w14:paraId="5546E7FA" w14:textId="77777777" w:rsidR="007E640A" w:rsidRDefault="007E640A">
      <w:pPr>
        <w:rPr>
          <w:rFonts w:ascii="Arial" w:hAnsi="Arial" w:cs="Arial"/>
        </w:rPr>
      </w:pPr>
    </w:p>
    <w:p w14:paraId="2B0A9A19" w14:textId="77777777" w:rsidR="002E7500" w:rsidRDefault="002E7500">
      <w:pPr>
        <w:rPr>
          <w:rFonts w:ascii="Arial" w:hAnsi="Arial" w:cs="Arial"/>
        </w:rPr>
      </w:pPr>
    </w:p>
    <w:p w14:paraId="69794C2D" w14:textId="77777777" w:rsidR="002E7500" w:rsidRDefault="002E7500">
      <w:pPr>
        <w:rPr>
          <w:rFonts w:ascii="Arial" w:hAnsi="Arial" w:cs="Arial"/>
        </w:rPr>
      </w:pPr>
    </w:p>
    <w:p w14:paraId="6C65783C" w14:textId="77777777" w:rsidR="002E7500" w:rsidRDefault="002E7500">
      <w:pPr>
        <w:rPr>
          <w:rFonts w:ascii="Arial" w:hAnsi="Arial" w:cs="Arial"/>
        </w:rPr>
      </w:pPr>
    </w:p>
    <w:p w14:paraId="19F3DA89" w14:textId="77777777" w:rsidR="007E640A" w:rsidRDefault="007E640A">
      <w:pPr>
        <w:rPr>
          <w:rFonts w:ascii="Arial" w:hAnsi="Arial" w:cs="Arial"/>
        </w:rPr>
      </w:pPr>
    </w:p>
    <w:p w14:paraId="7563C3C2" w14:textId="77777777" w:rsidR="007E640A" w:rsidRDefault="007E640A">
      <w:pPr>
        <w:rPr>
          <w:rFonts w:ascii="Arial" w:hAnsi="Arial" w:cs="Arial"/>
        </w:rPr>
      </w:pPr>
    </w:p>
    <w:p w14:paraId="08AE3B38" w14:textId="77777777" w:rsidR="007E640A" w:rsidRDefault="007E640A">
      <w:pPr>
        <w:rPr>
          <w:rFonts w:ascii="Arial" w:hAnsi="Arial" w:cs="Arial"/>
        </w:rPr>
      </w:pPr>
    </w:p>
    <w:p w14:paraId="0A2ADD02" w14:textId="77777777" w:rsidR="007E640A" w:rsidRDefault="007E640A">
      <w:pPr>
        <w:rPr>
          <w:rFonts w:ascii="Arial" w:hAnsi="Arial" w:cs="Arial"/>
        </w:rPr>
      </w:pPr>
    </w:p>
    <w:p w14:paraId="5B362C0C" w14:textId="77777777" w:rsidR="003B3890" w:rsidRDefault="003B3890" w:rsidP="007E640A">
      <w:pPr>
        <w:rPr>
          <w:rFonts w:ascii="Arial" w:hAnsi="Arial" w:cs="Arial"/>
        </w:rPr>
      </w:pPr>
    </w:p>
    <w:p w14:paraId="0BB63436" w14:textId="246B5559" w:rsidR="003B3890" w:rsidRDefault="003B3890" w:rsidP="00E93C25">
      <w:pPr>
        <w:rPr>
          <w:rFonts w:ascii="Arial" w:hAnsi="Arial" w:cs="Arial"/>
        </w:rPr>
      </w:pPr>
    </w:p>
    <w:p w14:paraId="5EFEB0A7" w14:textId="77777777" w:rsidR="007D084D" w:rsidRDefault="007D084D">
      <w:pPr>
        <w:rPr>
          <w:rFonts w:ascii="Arial" w:hAnsi="Arial" w:cs="Arial"/>
        </w:rPr>
      </w:pPr>
    </w:p>
    <w:p w14:paraId="0866563C" w14:textId="77777777" w:rsidR="007D084D" w:rsidRDefault="007D084D">
      <w:pPr>
        <w:rPr>
          <w:rFonts w:ascii="Arial" w:hAnsi="Arial" w:cs="Arial"/>
        </w:rPr>
      </w:pPr>
    </w:p>
    <w:p w14:paraId="79586AA2" w14:textId="77777777" w:rsidR="007D084D" w:rsidRDefault="007D084D">
      <w:pPr>
        <w:rPr>
          <w:rFonts w:ascii="Arial" w:hAnsi="Arial" w:cs="Arial"/>
        </w:rPr>
      </w:pPr>
    </w:p>
    <w:p w14:paraId="2343EAA9" w14:textId="77777777" w:rsidR="007D084D" w:rsidRDefault="007D084D">
      <w:pPr>
        <w:rPr>
          <w:rFonts w:ascii="Arial" w:hAnsi="Arial" w:cs="Arial"/>
        </w:rPr>
      </w:pPr>
    </w:p>
    <w:p w14:paraId="0BFC0AE1" w14:textId="77777777" w:rsidR="007D084D" w:rsidRDefault="007D084D">
      <w:pPr>
        <w:rPr>
          <w:rFonts w:ascii="Arial" w:hAnsi="Arial" w:cs="Arial"/>
        </w:rPr>
      </w:pPr>
    </w:p>
    <w:p w14:paraId="50F18A76" w14:textId="77777777" w:rsidR="007D084D" w:rsidRDefault="007D084D">
      <w:pPr>
        <w:rPr>
          <w:rFonts w:ascii="Arial" w:hAnsi="Arial" w:cs="Arial"/>
        </w:rPr>
      </w:pPr>
    </w:p>
    <w:p w14:paraId="56CB12D6" w14:textId="77777777" w:rsidR="007D084D" w:rsidRDefault="007D084D">
      <w:pPr>
        <w:rPr>
          <w:rFonts w:ascii="Arial" w:hAnsi="Arial" w:cs="Arial"/>
        </w:rPr>
      </w:pPr>
    </w:p>
    <w:p w14:paraId="2498EC3C" w14:textId="77777777" w:rsidR="007D084D" w:rsidRDefault="007D084D">
      <w:pPr>
        <w:rPr>
          <w:rFonts w:ascii="Arial" w:hAnsi="Arial" w:cs="Arial"/>
        </w:rPr>
      </w:pPr>
    </w:p>
    <w:p w14:paraId="636BC6FE" w14:textId="77777777" w:rsidR="007D084D" w:rsidRDefault="007D084D">
      <w:pPr>
        <w:rPr>
          <w:rFonts w:ascii="Arial" w:hAnsi="Arial" w:cs="Arial"/>
        </w:rPr>
      </w:pPr>
    </w:p>
    <w:p w14:paraId="50138690" w14:textId="6DAF0E4E" w:rsidR="00401545" w:rsidRPr="002E40FB" w:rsidRDefault="009A421E" w:rsidP="002E40FB">
      <w:pPr>
        <w:jc w:val="center"/>
        <w:rPr>
          <w:rFonts w:ascii="Arial" w:hAnsi="Arial" w:cs="Arial"/>
          <w:b/>
          <w:bCs/>
        </w:rPr>
      </w:pPr>
      <w:r>
        <w:rPr>
          <w:rFonts w:ascii="Arial" w:hAnsi="Arial" w:cs="Arial"/>
          <w:b/>
          <w:bCs/>
        </w:rPr>
        <w:lastRenderedPageBreak/>
        <w:t>1.</w:t>
      </w:r>
      <w:r w:rsidR="00401545" w:rsidRPr="00401545">
        <w:rPr>
          <w:rFonts w:ascii="Arial" w:hAnsi="Arial" w:cs="Arial"/>
          <w:b/>
          <w:bCs/>
        </w:rPr>
        <w:t>Different Approaches Used to Measure and Monitor Type 1 Diabetes</w:t>
      </w:r>
      <w:r w:rsidR="00072751">
        <w:rPr>
          <w:rFonts w:ascii="Arial" w:hAnsi="Arial" w:cs="Arial"/>
          <w:b/>
          <w:bCs/>
        </w:rPr>
        <w:t>.</w:t>
      </w:r>
    </w:p>
    <w:p w14:paraId="545EEA88" w14:textId="096F612E" w:rsidR="00401545" w:rsidRPr="00401545" w:rsidRDefault="00401545" w:rsidP="00401545">
      <w:pPr>
        <w:jc w:val="both"/>
        <w:rPr>
          <w:rFonts w:ascii="Arial" w:hAnsi="Arial" w:cs="Arial"/>
        </w:rPr>
      </w:pPr>
      <w:r w:rsidRPr="00401545">
        <w:rPr>
          <w:rFonts w:ascii="Arial" w:hAnsi="Arial" w:cs="Arial"/>
        </w:rPr>
        <w:t>Several approaches are used by healthcare professionals and public health organisations to measure and monitor type 1 diabetes. Information is collected to identify trends in disease incidence, evaluate health outcomes and support the planning of healthcare services across the United Kingdom (National Institute for Health and Care Excellence (NICE), 2022).</w:t>
      </w:r>
    </w:p>
    <w:p w14:paraId="4D351FEB" w14:textId="511BE0C2" w:rsidR="00401545" w:rsidRPr="00401545" w:rsidRDefault="00401545" w:rsidP="00401545">
      <w:pPr>
        <w:jc w:val="both"/>
        <w:rPr>
          <w:rFonts w:ascii="Arial" w:hAnsi="Arial" w:cs="Arial"/>
        </w:rPr>
      </w:pPr>
      <w:r w:rsidRPr="00401545">
        <w:rPr>
          <w:rFonts w:ascii="Arial" w:hAnsi="Arial" w:cs="Arial"/>
        </w:rPr>
        <w:t>Disease surveillance is one of the main approaches used to monitor type 1 diabetes. It involves the systematic collection, analysis and interpretation of health data from GP records, hospitals and specialist diabetes clinics. New cases, treatment outcomes and diabetes-related complications can therefore be identified, enabling changes in disease patterns to be recognised over time. This information is considered essential for planning healthcare services and improving patient care (</w:t>
      </w:r>
      <w:proofErr w:type="spellStart"/>
      <w:r w:rsidRPr="00401545">
        <w:rPr>
          <w:rFonts w:ascii="Arial" w:hAnsi="Arial" w:cs="Arial"/>
        </w:rPr>
        <w:t>Gherbon</w:t>
      </w:r>
      <w:proofErr w:type="spellEnd"/>
      <w:r w:rsidRPr="00401545">
        <w:rPr>
          <w:rFonts w:ascii="Arial" w:hAnsi="Arial" w:cs="Arial"/>
        </w:rPr>
        <w:t>, 2025).</w:t>
      </w:r>
    </w:p>
    <w:p w14:paraId="1780D815" w14:textId="730D3E72" w:rsidR="00401545" w:rsidRPr="00401545" w:rsidRDefault="00401545" w:rsidP="00401545">
      <w:pPr>
        <w:jc w:val="both"/>
        <w:rPr>
          <w:rFonts w:ascii="Arial" w:hAnsi="Arial" w:cs="Arial"/>
        </w:rPr>
      </w:pPr>
      <w:r w:rsidRPr="00401545">
        <w:rPr>
          <w:rFonts w:ascii="Arial" w:hAnsi="Arial" w:cs="Arial"/>
        </w:rPr>
        <w:t>Although a national screening programme for type 1 diabetes is not currently offered to the general UK population, structured screening is routinely provided for individuals who have already been diagnosed. Regular retinal screening, kidney function tests and foot examinations are undertaken to identify complications at an early stage, allowing appropriate treatment to be provided before serious health problems develop (NHS, 2024; National Institute for Health and Care Excellence (NICE), 2022).</w:t>
      </w:r>
    </w:p>
    <w:p w14:paraId="07CC71EA" w14:textId="0E67FB2D" w:rsidR="00401545" w:rsidRPr="00401545" w:rsidRDefault="00401545" w:rsidP="00401545">
      <w:pPr>
        <w:jc w:val="both"/>
        <w:rPr>
          <w:rFonts w:ascii="Arial" w:hAnsi="Arial" w:cs="Arial"/>
        </w:rPr>
      </w:pPr>
      <w:r w:rsidRPr="00401545">
        <w:rPr>
          <w:rFonts w:ascii="Arial" w:hAnsi="Arial" w:cs="Arial"/>
        </w:rPr>
        <w:t>Disease registries are also used to collect detailed information about individuals living with type 1 diabetes. Clinical data, including diagnosis, treatment and long-term outcomes, are recorded to evaluate the effectiveness of diabetes care and to support research aimed at improving future treatment approaches (</w:t>
      </w:r>
      <w:proofErr w:type="spellStart"/>
      <w:r w:rsidRPr="00401545">
        <w:rPr>
          <w:rFonts w:ascii="Arial" w:hAnsi="Arial" w:cs="Arial"/>
        </w:rPr>
        <w:t>Chlup</w:t>
      </w:r>
      <w:proofErr w:type="spellEnd"/>
      <w:r w:rsidRPr="00401545">
        <w:rPr>
          <w:rFonts w:ascii="Arial" w:hAnsi="Arial" w:cs="Arial"/>
        </w:rPr>
        <w:t xml:space="preserve"> et al., 2023).</w:t>
      </w:r>
    </w:p>
    <w:p w14:paraId="757562C8" w14:textId="493AC14C" w:rsidR="00401545" w:rsidRPr="00401545" w:rsidRDefault="00401545" w:rsidP="00401545">
      <w:pPr>
        <w:jc w:val="both"/>
        <w:rPr>
          <w:rFonts w:ascii="Arial" w:hAnsi="Arial" w:cs="Arial"/>
        </w:rPr>
      </w:pPr>
      <w:r w:rsidRPr="00401545">
        <w:rPr>
          <w:rFonts w:ascii="Arial" w:hAnsi="Arial" w:cs="Arial"/>
        </w:rPr>
        <w:t>Finally, public health surveillance combines information from national health databases, research studies and epidemiological reports to monitor trends in the prevalence and incidence of type 1 diabetes. The increasing number of cases reported worldwide demonstrates the importance of continuous surveillance, as healthcare resources and prevention strategies can be planned more effectively (</w:t>
      </w:r>
      <w:proofErr w:type="spellStart"/>
      <w:r w:rsidRPr="00401545">
        <w:rPr>
          <w:rFonts w:ascii="Arial" w:hAnsi="Arial" w:cs="Arial"/>
        </w:rPr>
        <w:t>Gherbon</w:t>
      </w:r>
      <w:proofErr w:type="spellEnd"/>
      <w:r w:rsidRPr="00401545">
        <w:rPr>
          <w:rFonts w:ascii="Arial" w:hAnsi="Arial" w:cs="Arial"/>
        </w:rPr>
        <w:t>, 2025; Breakthrough T1D, 2026).</w:t>
      </w:r>
    </w:p>
    <w:p w14:paraId="56F64385" w14:textId="77777777" w:rsidR="00401545" w:rsidRPr="00401545" w:rsidRDefault="00401545" w:rsidP="00401545">
      <w:pPr>
        <w:jc w:val="both"/>
        <w:rPr>
          <w:rFonts w:ascii="Arial" w:hAnsi="Arial" w:cs="Arial"/>
        </w:rPr>
      </w:pPr>
    </w:p>
    <w:p w14:paraId="670178C3" w14:textId="77777777" w:rsidR="00401545" w:rsidRDefault="00401545" w:rsidP="00222C3D">
      <w:pPr>
        <w:jc w:val="center"/>
        <w:rPr>
          <w:rFonts w:ascii="Arial" w:hAnsi="Arial" w:cs="Arial"/>
          <w:b/>
          <w:bCs/>
        </w:rPr>
      </w:pPr>
    </w:p>
    <w:p w14:paraId="39589EAA" w14:textId="77777777" w:rsidR="00401545" w:rsidRDefault="00401545" w:rsidP="00222C3D">
      <w:pPr>
        <w:jc w:val="center"/>
        <w:rPr>
          <w:rFonts w:ascii="Arial" w:hAnsi="Arial" w:cs="Arial"/>
          <w:b/>
          <w:bCs/>
        </w:rPr>
      </w:pPr>
    </w:p>
    <w:p w14:paraId="7B31F00E" w14:textId="77777777" w:rsidR="00401545" w:rsidRDefault="00401545" w:rsidP="00222C3D">
      <w:pPr>
        <w:jc w:val="center"/>
        <w:rPr>
          <w:rFonts w:ascii="Arial" w:hAnsi="Arial" w:cs="Arial"/>
          <w:b/>
          <w:bCs/>
        </w:rPr>
      </w:pPr>
    </w:p>
    <w:p w14:paraId="562B0824" w14:textId="77777777" w:rsidR="00401545" w:rsidRDefault="00401545" w:rsidP="00222C3D">
      <w:pPr>
        <w:jc w:val="center"/>
        <w:rPr>
          <w:rFonts w:ascii="Arial" w:hAnsi="Arial" w:cs="Arial"/>
          <w:b/>
          <w:bCs/>
        </w:rPr>
      </w:pPr>
    </w:p>
    <w:p w14:paraId="0EEBC68D" w14:textId="77777777" w:rsidR="00401545" w:rsidRDefault="00401545" w:rsidP="00222C3D">
      <w:pPr>
        <w:jc w:val="center"/>
        <w:rPr>
          <w:rFonts w:ascii="Arial" w:hAnsi="Arial" w:cs="Arial"/>
          <w:b/>
          <w:bCs/>
        </w:rPr>
      </w:pPr>
    </w:p>
    <w:p w14:paraId="7C841239" w14:textId="77777777" w:rsidR="00401545" w:rsidRDefault="00401545" w:rsidP="00222C3D">
      <w:pPr>
        <w:jc w:val="center"/>
        <w:rPr>
          <w:rFonts w:ascii="Arial" w:hAnsi="Arial" w:cs="Arial"/>
          <w:b/>
          <w:bCs/>
        </w:rPr>
      </w:pPr>
    </w:p>
    <w:p w14:paraId="58AE92A1" w14:textId="77777777" w:rsidR="00401545" w:rsidRDefault="00401545" w:rsidP="00222C3D">
      <w:pPr>
        <w:jc w:val="center"/>
        <w:rPr>
          <w:rFonts w:ascii="Arial" w:hAnsi="Arial" w:cs="Arial"/>
          <w:b/>
          <w:bCs/>
        </w:rPr>
      </w:pPr>
    </w:p>
    <w:p w14:paraId="64AFE57F" w14:textId="77777777" w:rsidR="00401545" w:rsidRDefault="00401545" w:rsidP="00222C3D">
      <w:pPr>
        <w:jc w:val="center"/>
        <w:rPr>
          <w:rFonts w:ascii="Arial" w:hAnsi="Arial" w:cs="Arial"/>
          <w:b/>
          <w:bCs/>
        </w:rPr>
      </w:pPr>
    </w:p>
    <w:p w14:paraId="7A8062A3" w14:textId="77777777" w:rsidR="00401545" w:rsidRDefault="00401545" w:rsidP="00222C3D">
      <w:pPr>
        <w:jc w:val="center"/>
        <w:rPr>
          <w:rFonts w:ascii="Arial" w:hAnsi="Arial" w:cs="Arial"/>
          <w:b/>
          <w:bCs/>
        </w:rPr>
      </w:pPr>
    </w:p>
    <w:p w14:paraId="1C6ED595" w14:textId="77777777" w:rsidR="00401545" w:rsidRDefault="00401545" w:rsidP="00222C3D">
      <w:pPr>
        <w:jc w:val="center"/>
        <w:rPr>
          <w:rFonts w:ascii="Arial" w:hAnsi="Arial" w:cs="Arial"/>
          <w:b/>
          <w:bCs/>
        </w:rPr>
      </w:pPr>
    </w:p>
    <w:p w14:paraId="6A4F35E5" w14:textId="77777777" w:rsidR="002E40FB" w:rsidRDefault="002E40FB" w:rsidP="00222C3D">
      <w:pPr>
        <w:jc w:val="center"/>
        <w:rPr>
          <w:rFonts w:ascii="Arial" w:hAnsi="Arial" w:cs="Arial"/>
          <w:b/>
          <w:bCs/>
        </w:rPr>
      </w:pPr>
    </w:p>
    <w:p w14:paraId="40103BB9" w14:textId="77777777" w:rsidR="00401545" w:rsidRDefault="00401545" w:rsidP="00222C3D">
      <w:pPr>
        <w:jc w:val="center"/>
        <w:rPr>
          <w:rFonts w:ascii="Arial" w:hAnsi="Arial" w:cs="Arial"/>
          <w:b/>
          <w:bCs/>
        </w:rPr>
      </w:pPr>
    </w:p>
    <w:p w14:paraId="01F472F8" w14:textId="5EAF6E77" w:rsidR="009A421E" w:rsidRPr="00BB2B98" w:rsidRDefault="009A421E" w:rsidP="00BB2B98">
      <w:pPr>
        <w:jc w:val="center"/>
        <w:rPr>
          <w:rFonts w:ascii="Arial" w:hAnsi="Arial" w:cs="Arial"/>
          <w:b/>
          <w:bCs/>
        </w:rPr>
      </w:pPr>
      <w:r w:rsidRPr="009A421E">
        <w:rPr>
          <w:rFonts w:ascii="Arial" w:hAnsi="Arial" w:cs="Arial"/>
          <w:b/>
          <w:bCs/>
        </w:rPr>
        <w:lastRenderedPageBreak/>
        <w:t>2.How Type 1 Diabetes is Controlled</w:t>
      </w:r>
      <w:r w:rsidR="00072751">
        <w:rPr>
          <w:rFonts w:ascii="Arial" w:hAnsi="Arial" w:cs="Arial"/>
          <w:b/>
          <w:bCs/>
        </w:rPr>
        <w:t>.</w:t>
      </w:r>
    </w:p>
    <w:p w14:paraId="702E7458" w14:textId="4ABC173D" w:rsidR="009A421E" w:rsidRPr="009A421E" w:rsidRDefault="009A421E" w:rsidP="009A421E">
      <w:pPr>
        <w:jc w:val="both"/>
        <w:rPr>
          <w:rFonts w:ascii="Arial" w:hAnsi="Arial" w:cs="Arial"/>
        </w:rPr>
      </w:pPr>
      <w:r w:rsidRPr="009A421E">
        <w:rPr>
          <w:rFonts w:ascii="Arial" w:hAnsi="Arial" w:cs="Arial"/>
        </w:rPr>
        <w:t>As type 1 diabetes is an autoimmune disease, its onset cannot currently be prevented. Therefore, disease control is focused on maintaining blood glucose levels within the recommended range, preventing complications and supporting individuals to manage their condition effectively throughout their lives (</w:t>
      </w:r>
      <w:proofErr w:type="spellStart"/>
      <w:r w:rsidRPr="009A421E">
        <w:rPr>
          <w:rFonts w:ascii="Arial" w:hAnsi="Arial" w:cs="Arial"/>
        </w:rPr>
        <w:t>Gherbon</w:t>
      </w:r>
      <w:proofErr w:type="spellEnd"/>
      <w:r w:rsidRPr="009A421E">
        <w:rPr>
          <w:rFonts w:ascii="Arial" w:hAnsi="Arial" w:cs="Arial"/>
        </w:rPr>
        <w:t>, 2025).</w:t>
      </w:r>
    </w:p>
    <w:p w14:paraId="3F4D5657" w14:textId="2882E847" w:rsidR="009A421E" w:rsidRPr="009A421E" w:rsidRDefault="009A421E" w:rsidP="009A421E">
      <w:pPr>
        <w:jc w:val="both"/>
        <w:rPr>
          <w:rFonts w:ascii="Arial" w:hAnsi="Arial" w:cs="Arial"/>
        </w:rPr>
      </w:pPr>
      <w:r w:rsidRPr="009A421E">
        <w:rPr>
          <w:rFonts w:ascii="Arial" w:hAnsi="Arial" w:cs="Arial"/>
        </w:rPr>
        <w:t>Healthy lifestyle behaviours play an important role in disease management. Although a healthy diet does not prevent type 1 diabetes, it contributes to improved glycaemic control by helping to regulate blood glucose levels and maintain a healthy body weight. Regular physical activity is also encouraged because insulin sensitivity may be improved and cardiovascular health may be supported. Furthermore, smoking cessation is strongly recommended, as smoking increases the risk of cardiovascular disease and other diabetes</w:t>
      </w:r>
      <w:r>
        <w:rPr>
          <w:rFonts w:ascii="Arial" w:hAnsi="Arial" w:cs="Arial"/>
        </w:rPr>
        <w:t xml:space="preserve"> </w:t>
      </w:r>
      <w:r w:rsidRPr="009A421E">
        <w:rPr>
          <w:rFonts w:ascii="Arial" w:hAnsi="Arial" w:cs="Arial"/>
        </w:rPr>
        <w:t>related complications. These lifestyle measures are considered an important complement to medical treatment rather than an alternative to it (NHS, 2024).</w:t>
      </w:r>
    </w:p>
    <w:p w14:paraId="40DB4AAF" w14:textId="7E682AC1" w:rsidR="009A421E" w:rsidRPr="009A421E" w:rsidRDefault="009A421E" w:rsidP="009A421E">
      <w:pPr>
        <w:jc w:val="both"/>
        <w:rPr>
          <w:rFonts w:ascii="Arial" w:hAnsi="Arial" w:cs="Arial"/>
        </w:rPr>
      </w:pPr>
      <w:r w:rsidRPr="009A421E">
        <w:rPr>
          <w:rFonts w:ascii="Arial" w:hAnsi="Arial" w:cs="Arial"/>
        </w:rPr>
        <w:t xml:space="preserve">Insulin replacement therapy remains the primary treatment for type 1 diabetes because the pancreas is unable to produce sufficient insulin. Insulin is administered through multiple daily injections or an insulin pump, and doses are adjusted according to blood glucose readings, carbohydrate intake and physical activity. Regular blood glucose monitoring enables treatment decisions to be made safely and supports the achievement of optimal glycaemic control. Intensive insulin therapy has been associated with a lower risk of </w:t>
      </w:r>
      <w:r w:rsidR="00BB2B98" w:rsidRPr="009A421E">
        <w:rPr>
          <w:rFonts w:ascii="Arial" w:hAnsi="Arial" w:cs="Arial"/>
        </w:rPr>
        <w:t>long</w:t>
      </w:r>
      <w:r w:rsidR="00BB2B98">
        <w:rPr>
          <w:rFonts w:ascii="Arial" w:hAnsi="Arial" w:cs="Arial"/>
        </w:rPr>
        <w:t>-term</w:t>
      </w:r>
      <w:r w:rsidRPr="009A421E">
        <w:rPr>
          <w:rFonts w:ascii="Arial" w:hAnsi="Arial" w:cs="Arial"/>
        </w:rPr>
        <w:t xml:space="preserve"> complications and improved health outcomes (</w:t>
      </w:r>
      <w:proofErr w:type="spellStart"/>
      <w:r w:rsidRPr="009A421E">
        <w:rPr>
          <w:rFonts w:ascii="Arial" w:hAnsi="Arial" w:cs="Arial"/>
        </w:rPr>
        <w:t>Chlup</w:t>
      </w:r>
      <w:proofErr w:type="spellEnd"/>
      <w:r w:rsidRPr="009A421E">
        <w:rPr>
          <w:rFonts w:ascii="Arial" w:hAnsi="Arial" w:cs="Arial"/>
        </w:rPr>
        <w:t xml:space="preserve"> et al., 2023).</w:t>
      </w:r>
    </w:p>
    <w:p w14:paraId="4D69A6D5" w14:textId="37CCE0F5" w:rsidR="00401545" w:rsidRPr="009A421E" w:rsidRDefault="009A421E" w:rsidP="009A421E">
      <w:pPr>
        <w:jc w:val="both"/>
        <w:rPr>
          <w:rFonts w:ascii="Arial" w:hAnsi="Arial" w:cs="Arial"/>
        </w:rPr>
      </w:pPr>
      <w:r w:rsidRPr="009A421E">
        <w:rPr>
          <w:rFonts w:ascii="Arial" w:hAnsi="Arial" w:cs="Arial"/>
        </w:rPr>
        <w:t>Disease control is further strengthened through national health policies and structured diabetes services. The National Institute for Health and Care Excellence (NICE) recommends routine HbA1c monitoring, annual retinal screening, kidney function tests and foot examinations to detect complications at an early stage (National Institute for Health and Care Excellence (NICE), 2022). These recommendations are implemented through NHS diabetes services, where multidisciplinary teams provide ongoing reviews, education and personalised care plans (NHS, 2024). In addition, Breakthrough T1D promotes public awareness and provides educational resources that support effective self-management and encourage individuals to participate actively in their care (Breakthrough T1D, 2026). Collectively, these interventions contribute to improved clinical outcomes and a better quality of life for people living with type 1 diabetes.</w:t>
      </w:r>
    </w:p>
    <w:p w14:paraId="086BEA71" w14:textId="77777777" w:rsidR="001515DD" w:rsidRPr="009A421E" w:rsidRDefault="001515DD" w:rsidP="009A421E">
      <w:pPr>
        <w:jc w:val="both"/>
        <w:rPr>
          <w:rFonts w:ascii="Arial" w:hAnsi="Arial" w:cs="Arial"/>
        </w:rPr>
      </w:pPr>
    </w:p>
    <w:p w14:paraId="38AA2982" w14:textId="77777777" w:rsidR="001515DD" w:rsidRPr="009A421E" w:rsidRDefault="001515DD" w:rsidP="009A421E">
      <w:pPr>
        <w:jc w:val="both"/>
        <w:rPr>
          <w:rFonts w:ascii="Arial" w:hAnsi="Arial" w:cs="Arial"/>
        </w:rPr>
      </w:pPr>
    </w:p>
    <w:p w14:paraId="78FA9C72" w14:textId="77777777" w:rsidR="001515DD" w:rsidRPr="009A421E" w:rsidRDefault="001515DD" w:rsidP="009A421E">
      <w:pPr>
        <w:jc w:val="both"/>
        <w:rPr>
          <w:rFonts w:ascii="Arial" w:hAnsi="Arial" w:cs="Arial"/>
        </w:rPr>
      </w:pPr>
    </w:p>
    <w:p w14:paraId="5168A46C" w14:textId="77777777" w:rsidR="001515DD" w:rsidRPr="009A421E" w:rsidRDefault="001515DD" w:rsidP="009A421E">
      <w:pPr>
        <w:jc w:val="both"/>
        <w:rPr>
          <w:rFonts w:ascii="Arial" w:hAnsi="Arial" w:cs="Arial"/>
        </w:rPr>
      </w:pPr>
    </w:p>
    <w:p w14:paraId="4C70D099" w14:textId="77777777" w:rsidR="001515DD" w:rsidRPr="009A421E" w:rsidRDefault="001515DD" w:rsidP="009A421E">
      <w:pPr>
        <w:jc w:val="both"/>
        <w:rPr>
          <w:rFonts w:ascii="Arial" w:hAnsi="Arial" w:cs="Arial"/>
        </w:rPr>
      </w:pPr>
    </w:p>
    <w:p w14:paraId="47C359A2" w14:textId="77777777" w:rsidR="001515DD" w:rsidRDefault="001515DD" w:rsidP="00222C3D">
      <w:pPr>
        <w:jc w:val="center"/>
        <w:rPr>
          <w:rFonts w:ascii="Arial" w:hAnsi="Arial" w:cs="Arial"/>
          <w:b/>
          <w:bCs/>
        </w:rPr>
      </w:pPr>
    </w:p>
    <w:p w14:paraId="75795671" w14:textId="77777777" w:rsidR="001515DD" w:rsidRDefault="001515DD" w:rsidP="00222C3D">
      <w:pPr>
        <w:jc w:val="center"/>
        <w:rPr>
          <w:rFonts w:ascii="Arial" w:hAnsi="Arial" w:cs="Arial"/>
          <w:b/>
          <w:bCs/>
        </w:rPr>
      </w:pPr>
    </w:p>
    <w:p w14:paraId="16F2DF98" w14:textId="77777777" w:rsidR="00BB2B98" w:rsidRDefault="00BB2B98" w:rsidP="00222C3D">
      <w:pPr>
        <w:jc w:val="center"/>
        <w:rPr>
          <w:rFonts w:ascii="Arial" w:hAnsi="Arial" w:cs="Arial"/>
          <w:b/>
          <w:bCs/>
        </w:rPr>
      </w:pPr>
    </w:p>
    <w:p w14:paraId="5D367632" w14:textId="77777777" w:rsidR="001515DD" w:rsidRDefault="001515DD" w:rsidP="00222C3D">
      <w:pPr>
        <w:jc w:val="center"/>
        <w:rPr>
          <w:rFonts w:ascii="Arial" w:hAnsi="Arial" w:cs="Arial"/>
          <w:b/>
          <w:bCs/>
        </w:rPr>
      </w:pPr>
    </w:p>
    <w:p w14:paraId="6616ADE3" w14:textId="77777777" w:rsidR="001515DD" w:rsidRDefault="001515DD" w:rsidP="00222C3D">
      <w:pPr>
        <w:jc w:val="center"/>
        <w:rPr>
          <w:rFonts w:ascii="Arial" w:hAnsi="Arial" w:cs="Arial"/>
          <w:b/>
          <w:bCs/>
        </w:rPr>
      </w:pPr>
    </w:p>
    <w:p w14:paraId="554A0E35" w14:textId="77777777" w:rsidR="002E40FB" w:rsidRDefault="002E40FB" w:rsidP="00254CE5">
      <w:pPr>
        <w:jc w:val="center"/>
        <w:rPr>
          <w:rFonts w:ascii="Arial" w:hAnsi="Arial" w:cs="Arial"/>
          <w:b/>
          <w:bCs/>
        </w:rPr>
      </w:pPr>
    </w:p>
    <w:p w14:paraId="227BC0A3" w14:textId="68BA7C93" w:rsidR="00254CE5" w:rsidRPr="00254CE5" w:rsidRDefault="000A6FC1" w:rsidP="00254CE5">
      <w:pPr>
        <w:jc w:val="center"/>
        <w:rPr>
          <w:rFonts w:ascii="Arial" w:hAnsi="Arial" w:cs="Arial"/>
          <w:b/>
          <w:bCs/>
        </w:rPr>
      </w:pPr>
      <w:r w:rsidRPr="000A6FC1">
        <w:rPr>
          <w:rFonts w:ascii="Arial" w:hAnsi="Arial" w:cs="Arial"/>
          <w:b/>
          <w:bCs/>
        </w:rPr>
        <w:lastRenderedPageBreak/>
        <w:t>3.Consequences of Type 1 Diabetes on People in the Community.</w:t>
      </w:r>
    </w:p>
    <w:p w14:paraId="2F3E7F12" w14:textId="4044F3AB" w:rsidR="00254CE5" w:rsidRPr="00254CE5" w:rsidRDefault="00254CE5" w:rsidP="00254CE5">
      <w:pPr>
        <w:jc w:val="both"/>
        <w:rPr>
          <w:rFonts w:ascii="Arial" w:hAnsi="Arial" w:cs="Arial"/>
        </w:rPr>
      </w:pPr>
      <w:r w:rsidRPr="00254CE5">
        <w:rPr>
          <w:rFonts w:ascii="Arial" w:hAnsi="Arial" w:cs="Arial"/>
        </w:rPr>
        <w:t>Type 1 diabetes has significant physical, psychological, social and economic consequences that affect individuals, families and the wider community. As lifelong treatment is required, daily routines are often adapted to maintain glycaemic control and reduce the risk of complications (</w:t>
      </w:r>
      <w:proofErr w:type="spellStart"/>
      <w:r w:rsidRPr="00254CE5">
        <w:rPr>
          <w:rFonts w:ascii="Arial" w:hAnsi="Arial" w:cs="Arial"/>
        </w:rPr>
        <w:t>Gherbon</w:t>
      </w:r>
      <w:proofErr w:type="spellEnd"/>
      <w:r w:rsidRPr="00254CE5">
        <w:rPr>
          <w:rFonts w:ascii="Arial" w:hAnsi="Arial" w:cs="Arial"/>
        </w:rPr>
        <w:t>, 2025).</w:t>
      </w:r>
    </w:p>
    <w:p w14:paraId="39C5CBC7" w14:textId="0C7DCB6C" w:rsidR="00254CE5" w:rsidRPr="00254CE5" w:rsidRDefault="00254CE5" w:rsidP="00254CE5">
      <w:pPr>
        <w:jc w:val="both"/>
        <w:rPr>
          <w:rFonts w:ascii="Arial" w:hAnsi="Arial" w:cs="Arial"/>
        </w:rPr>
      </w:pPr>
      <w:r w:rsidRPr="00254CE5">
        <w:rPr>
          <w:rFonts w:ascii="Arial" w:hAnsi="Arial" w:cs="Arial"/>
        </w:rPr>
        <w:t>Physically, poor glycaemic control may lead to serious long-term complications. Damage to blood vessels and peripheral nerves may result in diabetic retinopathy, chronic kidney disease and peripheral neuropathy. Reduced sensation in the feet may prevent injuries from being detected, increasing the risk of foot ulcers, infection and, in severe cases, lower-limb amputation. Acute complications, including diabetic ketoacidosis and severe hypoglycaemia, may also require emergency hospital treatment (NHS, 2024).</w:t>
      </w:r>
    </w:p>
    <w:p w14:paraId="251C71F5" w14:textId="04262277" w:rsidR="00254CE5" w:rsidRPr="00254CE5" w:rsidRDefault="00254CE5" w:rsidP="00254CE5">
      <w:pPr>
        <w:jc w:val="both"/>
        <w:rPr>
          <w:rFonts w:ascii="Arial" w:hAnsi="Arial" w:cs="Arial"/>
        </w:rPr>
      </w:pPr>
      <w:r w:rsidRPr="00254CE5">
        <w:rPr>
          <w:rFonts w:ascii="Arial" w:hAnsi="Arial" w:cs="Arial"/>
        </w:rPr>
        <w:t>Psychologically, the continuous demands of blood glucose monitoring, insulin administration and daily decision-making may contribute to diabetes-related distress, anxiety and emotional exhaustion. Over time, these responsibilities may lead to social isolation and increase the risk of depression. Furthermore, stigma and misunderstanding have been reported by many people living with type 1 diabetes, negatively affecting self-esteem, emotional wellbeing and confidence in managing the condition (</w:t>
      </w:r>
      <w:proofErr w:type="spellStart"/>
      <w:r w:rsidRPr="00254CE5">
        <w:rPr>
          <w:rFonts w:ascii="Arial" w:hAnsi="Arial" w:cs="Arial"/>
        </w:rPr>
        <w:t>Housby</w:t>
      </w:r>
      <w:proofErr w:type="spellEnd"/>
      <w:r w:rsidRPr="00254CE5">
        <w:rPr>
          <w:rFonts w:ascii="Arial" w:hAnsi="Arial" w:cs="Arial"/>
        </w:rPr>
        <w:t xml:space="preserve"> et al., 2026).</w:t>
      </w:r>
    </w:p>
    <w:p w14:paraId="47EBC92D" w14:textId="66D0C186" w:rsidR="00254CE5" w:rsidRPr="00254CE5" w:rsidRDefault="00254CE5" w:rsidP="00254CE5">
      <w:pPr>
        <w:jc w:val="both"/>
        <w:rPr>
          <w:rFonts w:ascii="Arial" w:hAnsi="Arial" w:cs="Arial"/>
        </w:rPr>
      </w:pPr>
      <w:r w:rsidRPr="00254CE5">
        <w:rPr>
          <w:rFonts w:ascii="Arial" w:hAnsi="Arial" w:cs="Arial"/>
        </w:rPr>
        <w:t>Socially, participation in education, employment and leisure activities may be influenced by the need for regular blood glucose monitoring, insulin administration and careful meal planning. Family members often provide practical and emotional support, which may alter family responsibilities and daily routines. These challenges may reduce social participation and affect an individual's overall quality of life (Breakthrough T1D, 2026).</w:t>
      </w:r>
    </w:p>
    <w:p w14:paraId="5F62677B" w14:textId="3B91A907" w:rsidR="001515DD" w:rsidRPr="00254CE5" w:rsidRDefault="00254CE5" w:rsidP="00254CE5">
      <w:pPr>
        <w:jc w:val="both"/>
        <w:rPr>
          <w:rFonts w:ascii="Arial" w:hAnsi="Arial" w:cs="Arial"/>
        </w:rPr>
      </w:pPr>
      <w:r w:rsidRPr="00254CE5">
        <w:rPr>
          <w:rFonts w:ascii="Arial" w:hAnsi="Arial" w:cs="Arial"/>
        </w:rPr>
        <w:t xml:space="preserve">Economically, lifelong treatment requires continuous access to insulin, glucose monitoring devices, regular clinical reviews and specialist healthcare services, creating a considerable financial burden for both individuals and the NHS. Continued investment in diabetes services, patient education and community support is therefore required to improve health outcomes and reduce the costs associated with preventable complications (Breakthrough T1D, 2026; </w:t>
      </w:r>
      <w:proofErr w:type="spellStart"/>
      <w:r w:rsidRPr="00254CE5">
        <w:rPr>
          <w:rFonts w:ascii="Arial" w:hAnsi="Arial" w:cs="Arial"/>
        </w:rPr>
        <w:t>Gherbon</w:t>
      </w:r>
      <w:proofErr w:type="spellEnd"/>
      <w:r w:rsidRPr="00254CE5">
        <w:rPr>
          <w:rFonts w:ascii="Arial" w:hAnsi="Arial" w:cs="Arial"/>
        </w:rPr>
        <w:t>, 2025).</w:t>
      </w:r>
    </w:p>
    <w:p w14:paraId="0161607B" w14:textId="77777777" w:rsidR="001515DD" w:rsidRPr="00254CE5" w:rsidRDefault="001515DD" w:rsidP="00254CE5">
      <w:pPr>
        <w:jc w:val="both"/>
        <w:rPr>
          <w:rFonts w:ascii="Arial" w:hAnsi="Arial" w:cs="Arial"/>
        </w:rPr>
      </w:pPr>
    </w:p>
    <w:p w14:paraId="2C1C2394" w14:textId="77777777" w:rsidR="001515DD" w:rsidRPr="00254CE5" w:rsidRDefault="001515DD" w:rsidP="00254CE5">
      <w:pPr>
        <w:jc w:val="both"/>
        <w:rPr>
          <w:rFonts w:ascii="Arial" w:hAnsi="Arial" w:cs="Arial"/>
        </w:rPr>
      </w:pPr>
    </w:p>
    <w:p w14:paraId="2F4A7CBE" w14:textId="77777777" w:rsidR="001515DD" w:rsidRDefault="001515DD" w:rsidP="00222C3D">
      <w:pPr>
        <w:jc w:val="center"/>
        <w:rPr>
          <w:rFonts w:ascii="Arial" w:hAnsi="Arial" w:cs="Arial"/>
          <w:b/>
          <w:bCs/>
        </w:rPr>
      </w:pPr>
    </w:p>
    <w:p w14:paraId="3F302CC6" w14:textId="77777777" w:rsidR="001515DD" w:rsidRDefault="001515DD" w:rsidP="00222C3D">
      <w:pPr>
        <w:jc w:val="center"/>
        <w:rPr>
          <w:rFonts w:ascii="Arial" w:hAnsi="Arial" w:cs="Arial"/>
          <w:b/>
          <w:bCs/>
        </w:rPr>
      </w:pPr>
    </w:p>
    <w:p w14:paraId="4CBCFC50" w14:textId="77777777" w:rsidR="001515DD" w:rsidRDefault="001515DD" w:rsidP="00222C3D">
      <w:pPr>
        <w:jc w:val="center"/>
        <w:rPr>
          <w:rFonts w:ascii="Arial" w:hAnsi="Arial" w:cs="Arial"/>
          <w:b/>
          <w:bCs/>
        </w:rPr>
      </w:pPr>
    </w:p>
    <w:p w14:paraId="6E10A1F5" w14:textId="77777777" w:rsidR="001515DD" w:rsidRDefault="001515DD" w:rsidP="00222C3D">
      <w:pPr>
        <w:jc w:val="center"/>
        <w:rPr>
          <w:rFonts w:ascii="Arial" w:hAnsi="Arial" w:cs="Arial"/>
          <w:b/>
          <w:bCs/>
        </w:rPr>
      </w:pPr>
    </w:p>
    <w:p w14:paraId="2C371E14" w14:textId="77777777" w:rsidR="001515DD" w:rsidRDefault="001515DD" w:rsidP="00222C3D">
      <w:pPr>
        <w:jc w:val="center"/>
        <w:rPr>
          <w:rFonts w:ascii="Arial" w:hAnsi="Arial" w:cs="Arial"/>
          <w:b/>
          <w:bCs/>
        </w:rPr>
      </w:pPr>
    </w:p>
    <w:p w14:paraId="01285176" w14:textId="77777777" w:rsidR="001515DD" w:rsidRDefault="001515DD" w:rsidP="00222C3D">
      <w:pPr>
        <w:jc w:val="center"/>
        <w:rPr>
          <w:rFonts w:ascii="Arial" w:hAnsi="Arial" w:cs="Arial"/>
          <w:b/>
          <w:bCs/>
        </w:rPr>
      </w:pPr>
    </w:p>
    <w:p w14:paraId="11F66239" w14:textId="77777777" w:rsidR="001515DD" w:rsidRDefault="001515DD" w:rsidP="00222C3D">
      <w:pPr>
        <w:jc w:val="center"/>
        <w:rPr>
          <w:rFonts w:ascii="Arial" w:hAnsi="Arial" w:cs="Arial"/>
          <w:b/>
          <w:bCs/>
        </w:rPr>
      </w:pPr>
    </w:p>
    <w:p w14:paraId="3B0F482D" w14:textId="77777777" w:rsidR="001515DD" w:rsidRDefault="001515DD" w:rsidP="00222C3D">
      <w:pPr>
        <w:jc w:val="center"/>
        <w:rPr>
          <w:rFonts w:ascii="Arial" w:hAnsi="Arial" w:cs="Arial"/>
          <w:b/>
          <w:bCs/>
        </w:rPr>
      </w:pPr>
    </w:p>
    <w:p w14:paraId="36253307" w14:textId="77777777" w:rsidR="001515DD" w:rsidRDefault="001515DD" w:rsidP="00222C3D">
      <w:pPr>
        <w:jc w:val="center"/>
        <w:rPr>
          <w:rFonts w:ascii="Arial" w:hAnsi="Arial" w:cs="Arial"/>
          <w:b/>
          <w:bCs/>
        </w:rPr>
      </w:pPr>
    </w:p>
    <w:p w14:paraId="039E7781" w14:textId="77777777" w:rsidR="001515DD" w:rsidRDefault="001515DD" w:rsidP="00222C3D">
      <w:pPr>
        <w:jc w:val="center"/>
        <w:rPr>
          <w:rFonts w:ascii="Arial" w:hAnsi="Arial" w:cs="Arial"/>
          <w:b/>
          <w:bCs/>
        </w:rPr>
      </w:pPr>
    </w:p>
    <w:p w14:paraId="203F3E31" w14:textId="7D1D0E02" w:rsidR="00895367" w:rsidRPr="00895367" w:rsidRDefault="00895367" w:rsidP="00895367">
      <w:pPr>
        <w:rPr>
          <w:rFonts w:ascii="Arial" w:hAnsi="Arial" w:cs="Arial"/>
          <w:b/>
          <w:bCs/>
        </w:rPr>
      </w:pPr>
      <w:r>
        <w:rPr>
          <w:rFonts w:ascii="Arial" w:hAnsi="Arial" w:cs="Arial"/>
          <w:b/>
          <w:bCs/>
        </w:rPr>
        <w:lastRenderedPageBreak/>
        <w:t>4.</w:t>
      </w:r>
      <w:r w:rsidRPr="00895367">
        <w:rPr>
          <w:rFonts w:ascii="Arial" w:hAnsi="Arial" w:cs="Arial"/>
          <w:b/>
          <w:bCs/>
        </w:rPr>
        <w:t>Health and Social Care Support Services for People Living with Type 1 Diabetes</w:t>
      </w:r>
      <w:r w:rsidR="00072751">
        <w:rPr>
          <w:rFonts w:ascii="Arial" w:hAnsi="Arial" w:cs="Arial"/>
          <w:b/>
          <w:bCs/>
        </w:rPr>
        <w:t>.</w:t>
      </w:r>
    </w:p>
    <w:p w14:paraId="2F46E447" w14:textId="635C44F1" w:rsidR="00895367" w:rsidRPr="00895367" w:rsidRDefault="00895367" w:rsidP="00895367">
      <w:pPr>
        <w:jc w:val="both"/>
        <w:rPr>
          <w:rFonts w:ascii="Arial" w:hAnsi="Arial" w:cs="Arial"/>
        </w:rPr>
      </w:pPr>
      <w:r w:rsidRPr="00895367">
        <w:rPr>
          <w:rFonts w:ascii="Arial" w:hAnsi="Arial" w:cs="Arial"/>
        </w:rPr>
        <w:t>People living with type 1 diabetes require coordinated health and social care services to support effective disease management, reduce complications and improve their quality of life. As the condition requires lifelong treatment, care is most effective when it is delivered through a multidisciplinary approach involving healthcare professionals, community services and patient support organisations (National Institute for Health and Care Excellence (NICE), 2022).</w:t>
      </w:r>
    </w:p>
    <w:p w14:paraId="7D4D2725" w14:textId="25729A50" w:rsidR="00895367" w:rsidRPr="00895367" w:rsidRDefault="00895367" w:rsidP="00895367">
      <w:pPr>
        <w:jc w:val="both"/>
        <w:rPr>
          <w:rFonts w:ascii="Arial" w:hAnsi="Arial" w:cs="Arial"/>
        </w:rPr>
      </w:pPr>
      <w:r w:rsidRPr="00895367">
        <w:rPr>
          <w:rFonts w:ascii="Arial" w:hAnsi="Arial" w:cs="Arial"/>
        </w:rPr>
        <w:t>Primary healthcare services, including General Practitioners (GPs) and specialist diabetes clinics, play a central role in ongoing disease management. Routine reviews are carried out to assess blood glucose control, monitor HbA1c levels and identify complications through retinal screening, kidney function tests and foot examinations. Early intervention enables treatment plans to be adjusted before complications become more severe (NHS, 2024).</w:t>
      </w:r>
    </w:p>
    <w:p w14:paraId="2169EF1F" w14:textId="3FB11307" w:rsidR="00895367" w:rsidRPr="00895367" w:rsidRDefault="00895367" w:rsidP="00895367">
      <w:pPr>
        <w:jc w:val="both"/>
        <w:rPr>
          <w:rFonts w:ascii="Arial" w:hAnsi="Arial" w:cs="Arial"/>
        </w:rPr>
      </w:pPr>
      <w:r w:rsidRPr="00895367">
        <w:rPr>
          <w:rFonts w:ascii="Arial" w:hAnsi="Arial" w:cs="Arial"/>
        </w:rPr>
        <w:t>Effective care also depends on a multidisciplinary team. Diabetes specialist nurses provide education on insulin administration, blood glucose monitoring and self-management, while dietitians support healthy eating and carbohydrate counting to improve glycaemic control. Podiatrists help prevent foot complications through regular assessments, and ophthalmologists monitor eye health to reduce the risk of vision loss. This collaborative approach ensures that individuals receive comprehensive and person-centred care (National Institute for Health and Care Excellence (NICE), 2022).</w:t>
      </w:r>
    </w:p>
    <w:p w14:paraId="6613A009" w14:textId="3C6F9975" w:rsidR="00895367" w:rsidRDefault="00895367" w:rsidP="00895367">
      <w:pPr>
        <w:jc w:val="both"/>
        <w:rPr>
          <w:rFonts w:ascii="Arial" w:hAnsi="Arial" w:cs="Arial"/>
        </w:rPr>
      </w:pPr>
      <w:r w:rsidRPr="00895367">
        <w:rPr>
          <w:rFonts w:ascii="Arial" w:hAnsi="Arial" w:cs="Arial"/>
        </w:rPr>
        <w:t>Psychological and community support are equally important. The emotional demands of lifelong self-management and the stigma associated with type 1 diabetes may increase the risk of anxiety, diabetes-related distress and depression. Access to counselling, mental health services and peer support groups can improve emotional wellbeing and encourage long-term engagement with treatment (</w:t>
      </w:r>
      <w:proofErr w:type="spellStart"/>
      <w:r w:rsidRPr="00895367">
        <w:rPr>
          <w:rFonts w:ascii="Arial" w:hAnsi="Arial" w:cs="Arial"/>
        </w:rPr>
        <w:t>Housby</w:t>
      </w:r>
      <w:proofErr w:type="spellEnd"/>
      <w:r w:rsidRPr="00895367">
        <w:rPr>
          <w:rFonts w:ascii="Arial" w:hAnsi="Arial" w:cs="Arial"/>
        </w:rPr>
        <w:t xml:space="preserve"> et al., 2026). </w:t>
      </w:r>
    </w:p>
    <w:p w14:paraId="2C76BDD9" w14:textId="0733B782" w:rsidR="00254CE5" w:rsidRPr="00895367" w:rsidRDefault="00895367" w:rsidP="00895367">
      <w:pPr>
        <w:jc w:val="both"/>
        <w:rPr>
          <w:rFonts w:ascii="Arial" w:hAnsi="Arial" w:cs="Arial"/>
        </w:rPr>
      </w:pPr>
      <w:r w:rsidRPr="00895367">
        <w:rPr>
          <w:rFonts w:ascii="Arial" w:hAnsi="Arial" w:cs="Arial"/>
        </w:rPr>
        <w:t>In addition, organisations such as Breakthrough T1D provide educational resources, advocacy and community programmes that empower individuals to manage their condition confidently and improve their overall quality of life (Breakthrough T1D, 2026).</w:t>
      </w:r>
    </w:p>
    <w:p w14:paraId="4C25657C" w14:textId="77777777" w:rsidR="00254CE5" w:rsidRDefault="00254CE5" w:rsidP="00254CE5">
      <w:pPr>
        <w:rPr>
          <w:rFonts w:ascii="Arial" w:hAnsi="Arial" w:cs="Arial"/>
          <w:b/>
          <w:bCs/>
        </w:rPr>
      </w:pPr>
    </w:p>
    <w:p w14:paraId="5F681E4F" w14:textId="77777777" w:rsidR="00254CE5" w:rsidRDefault="00254CE5" w:rsidP="00254CE5">
      <w:pPr>
        <w:rPr>
          <w:rFonts w:ascii="Arial" w:hAnsi="Arial" w:cs="Arial"/>
          <w:b/>
          <w:bCs/>
        </w:rPr>
      </w:pPr>
    </w:p>
    <w:p w14:paraId="47C2AAEC" w14:textId="77777777" w:rsidR="00254CE5" w:rsidRDefault="00254CE5" w:rsidP="00254CE5">
      <w:pPr>
        <w:rPr>
          <w:rFonts w:ascii="Arial" w:hAnsi="Arial" w:cs="Arial"/>
          <w:b/>
          <w:bCs/>
        </w:rPr>
      </w:pPr>
    </w:p>
    <w:p w14:paraId="0AEAB9E7" w14:textId="77777777" w:rsidR="00254CE5" w:rsidRDefault="00254CE5" w:rsidP="00254CE5">
      <w:pPr>
        <w:rPr>
          <w:rFonts w:ascii="Arial" w:hAnsi="Arial" w:cs="Arial"/>
          <w:b/>
          <w:bCs/>
        </w:rPr>
      </w:pPr>
    </w:p>
    <w:p w14:paraId="6685D31A" w14:textId="77777777" w:rsidR="00254CE5" w:rsidRDefault="00254CE5" w:rsidP="00254CE5">
      <w:pPr>
        <w:rPr>
          <w:rFonts w:ascii="Arial" w:hAnsi="Arial" w:cs="Arial"/>
          <w:b/>
          <w:bCs/>
        </w:rPr>
      </w:pPr>
    </w:p>
    <w:p w14:paraId="272CBB80" w14:textId="77777777" w:rsidR="00254CE5" w:rsidRDefault="00254CE5" w:rsidP="00254CE5">
      <w:pPr>
        <w:rPr>
          <w:rFonts w:ascii="Arial" w:hAnsi="Arial" w:cs="Arial"/>
          <w:b/>
          <w:bCs/>
        </w:rPr>
      </w:pPr>
    </w:p>
    <w:p w14:paraId="02F56379" w14:textId="77777777" w:rsidR="00254CE5" w:rsidRDefault="00254CE5" w:rsidP="00254CE5">
      <w:pPr>
        <w:rPr>
          <w:rFonts w:ascii="Arial" w:hAnsi="Arial" w:cs="Arial"/>
          <w:b/>
          <w:bCs/>
        </w:rPr>
      </w:pPr>
    </w:p>
    <w:p w14:paraId="6260139E" w14:textId="77777777" w:rsidR="00254CE5" w:rsidRDefault="00254CE5" w:rsidP="00254CE5">
      <w:pPr>
        <w:rPr>
          <w:rFonts w:ascii="Arial" w:hAnsi="Arial" w:cs="Arial"/>
          <w:b/>
          <w:bCs/>
        </w:rPr>
      </w:pPr>
    </w:p>
    <w:p w14:paraId="3F47A463" w14:textId="77777777" w:rsidR="00254CE5" w:rsidRDefault="00254CE5" w:rsidP="00254CE5">
      <w:pPr>
        <w:rPr>
          <w:rFonts w:ascii="Arial" w:hAnsi="Arial" w:cs="Arial"/>
          <w:b/>
          <w:bCs/>
        </w:rPr>
      </w:pPr>
    </w:p>
    <w:p w14:paraId="00D298A4" w14:textId="77777777" w:rsidR="00254CE5" w:rsidRDefault="00254CE5" w:rsidP="00254CE5">
      <w:pPr>
        <w:rPr>
          <w:rFonts w:ascii="Arial" w:hAnsi="Arial" w:cs="Arial"/>
          <w:b/>
          <w:bCs/>
        </w:rPr>
      </w:pPr>
    </w:p>
    <w:p w14:paraId="059B85F2" w14:textId="77777777" w:rsidR="00254CE5" w:rsidRDefault="00254CE5" w:rsidP="00254CE5">
      <w:pPr>
        <w:rPr>
          <w:rFonts w:ascii="Arial" w:hAnsi="Arial" w:cs="Arial"/>
          <w:b/>
          <w:bCs/>
        </w:rPr>
      </w:pPr>
    </w:p>
    <w:p w14:paraId="36054D1B" w14:textId="77777777" w:rsidR="00254CE5" w:rsidRDefault="00254CE5" w:rsidP="00254CE5">
      <w:pPr>
        <w:rPr>
          <w:rFonts w:ascii="Arial" w:hAnsi="Arial" w:cs="Arial"/>
          <w:b/>
          <w:bCs/>
        </w:rPr>
      </w:pPr>
    </w:p>
    <w:p w14:paraId="2ED6DF9E" w14:textId="77777777" w:rsidR="001515DD" w:rsidRDefault="001515DD" w:rsidP="00222C3D">
      <w:pPr>
        <w:jc w:val="center"/>
        <w:rPr>
          <w:rFonts w:ascii="Arial" w:hAnsi="Arial" w:cs="Arial"/>
          <w:b/>
          <w:bCs/>
        </w:rPr>
      </w:pPr>
    </w:p>
    <w:p w14:paraId="2D5B5C3B" w14:textId="77777777" w:rsidR="001515DD" w:rsidRDefault="001515DD" w:rsidP="00222C3D">
      <w:pPr>
        <w:jc w:val="center"/>
        <w:rPr>
          <w:rFonts w:ascii="Arial" w:hAnsi="Arial" w:cs="Arial"/>
          <w:b/>
          <w:bCs/>
        </w:rPr>
      </w:pPr>
    </w:p>
    <w:p w14:paraId="15CB02A5" w14:textId="2A79A68F" w:rsidR="00E67184" w:rsidRPr="00072751" w:rsidRDefault="00C0196A" w:rsidP="00072751">
      <w:pPr>
        <w:jc w:val="center"/>
        <w:rPr>
          <w:rFonts w:ascii="Arial" w:hAnsi="Arial" w:cs="Arial"/>
          <w:b/>
          <w:bCs/>
        </w:rPr>
      </w:pPr>
      <w:r w:rsidRPr="00C0196A">
        <w:rPr>
          <w:rFonts w:ascii="Arial" w:hAnsi="Arial" w:cs="Arial"/>
          <w:b/>
          <w:bCs/>
        </w:rPr>
        <w:lastRenderedPageBreak/>
        <w:t>Conclusion</w:t>
      </w:r>
      <w:r w:rsidR="00C87E28">
        <w:rPr>
          <w:rFonts w:ascii="Arial" w:hAnsi="Arial" w:cs="Arial"/>
          <w:b/>
          <w:bCs/>
        </w:rPr>
        <w:t>.</w:t>
      </w:r>
    </w:p>
    <w:p w14:paraId="0D606007" w14:textId="28312F70" w:rsidR="001515DD" w:rsidRPr="00C0196A" w:rsidRDefault="00E67184" w:rsidP="00E67184">
      <w:pPr>
        <w:jc w:val="both"/>
        <w:rPr>
          <w:rFonts w:ascii="Arial" w:hAnsi="Arial" w:cs="Arial"/>
        </w:rPr>
      </w:pPr>
      <w:r w:rsidRPr="00E67184">
        <w:rPr>
          <w:rFonts w:ascii="Arial" w:hAnsi="Arial" w:cs="Arial"/>
        </w:rPr>
        <w:t>In conclusion, type 1 diabetes remains a significant public health condition that requires lifelong monitoring, effective treatment and coordinated health and social care support. Disease surveillance and regular clinical monitoring enable healthcare professionals to evaluate treatment outcomes, identify complications at an early stage and improve the quality of care provided (National Institute for Health and Care Excellence (NICE), 2022). Although the condition cannot currently be prevented, effective management can be achieved through insulin therapy, healthy lifestyle behaviours and adherence to evidence-based clinical guidelines. The physical, psychological, social and economic consequences of type 1 diabetes demonstrate that its impact extends beyond the individual, affecting families, healthcare services and the wider community. Therefore, a multidisciplinary approach involving General Practitioners, diabetes specialist nurses, dietitians, podiatrists and mental health professionals is essential to improve long-term health outcomes, enhance quality of life and reduce the burden of the disease (Breakthrough T1D, 2026).</w:t>
      </w:r>
    </w:p>
    <w:p w14:paraId="38328486" w14:textId="77777777" w:rsidR="00254CE5" w:rsidRDefault="00254CE5" w:rsidP="00222C3D">
      <w:pPr>
        <w:jc w:val="center"/>
        <w:rPr>
          <w:rFonts w:ascii="Arial" w:hAnsi="Arial" w:cs="Arial"/>
          <w:b/>
          <w:bCs/>
        </w:rPr>
      </w:pPr>
    </w:p>
    <w:p w14:paraId="3D21E12D" w14:textId="77777777" w:rsidR="00254CE5" w:rsidRDefault="00254CE5" w:rsidP="00222C3D">
      <w:pPr>
        <w:jc w:val="center"/>
        <w:rPr>
          <w:rFonts w:ascii="Arial" w:hAnsi="Arial" w:cs="Arial"/>
          <w:b/>
          <w:bCs/>
        </w:rPr>
      </w:pPr>
    </w:p>
    <w:p w14:paraId="38CFA2C3" w14:textId="77777777" w:rsidR="00254CE5" w:rsidRDefault="00254CE5" w:rsidP="00222C3D">
      <w:pPr>
        <w:jc w:val="center"/>
        <w:rPr>
          <w:rFonts w:ascii="Arial" w:hAnsi="Arial" w:cs="Arial"/>
          <w:b/>
          <w:bCs/>
        </w:rPr>
      </w:pPr>
    </w:p>
    <w:p w14:paraId="788E257B" w14:textId="77777777" w:rsidR="00254CE5" w:rsidRDefault="00254CE5" w:rsidP="00222C3D">
      <w:pPr>
        <w:jc w:val="center"/>
        <w:rPr>
          <w:rFonts w:ascii="Arial" w:hAnsi="Arial" w:cs="Arial"/>
          <w:b/>
          <w:bCs/>
        </w:rPr>
      </w:pPr>
    </w:p>
    <w:p w14:paraId="505621C4" w14:textId="77777777" w:rsidR="00254CE5" w:rsidRDefault="00254CE5" w:rsidP="00222C3D">
      <w:pPr>
        <w:jc w:val="center"/>
        <w:rPr>
          <w:rFonts w:ascii="Arial" w:hAnsi="Arial" w:cs="Arial"/>
          <w:b/>
          <w:bCs/>
        </w:rPr>
      </w:pPr>
    </w:p>
    <w:p w14:paraId="06B2C5BD" w14:textId="77777777" w:rsidR="00254CE5" w:rsidRDefault="00254CE5" w:rsidP="00222C3D">
      <w:pPr>
        <w:jc w:val="center"/>
        <w:rPr>
          <w:rFonts w:ascii="Arial" w:hAnsi="Arial" w:cs="Arial"/>
          <w:b/>
          <w:bCs/>
        </w:rPr>
      </w:pPr>
    </w:p>
    <w:p w14:paraId="4A293A30" w14:textId="77777777" w:rsidR="00254CE5" w:rsidRDefault="00254CE5" w:rsidP="00222C3D">
      <w:pPr>
        <w:jc w:val="center"/>
        <w:rPr>
          <w:rFonts w:ascii="Arial" w:hAnsi="Arial" w:cs="Arial"/>
          <w:b/>
          <w:bCs/>
        </w:rPr>
      </w:pPr>
    </w:p>
    <w:p w14:paraId="597A3240" w14:textId="77777777" w:rsidR="00254CE5" w:rsidRDefault="00254CE5" w:rsidP="00222C3D">
      <w:pPr>
        <w:jc w:val="center"/>
        <w:rPr>
          <w:rFonts w:ascii="Arial" w:hAnsi="Arial" w:cs="Arial"/>
          <w:b/>
          <w:bCs/>
        </w:rPr>
      </w:pPr>
    </w:p>
    <w:p w14:paraId="0F4856F8" w14:textId="77777777" w:rsidR="00254CE5" w:rsidRDefault="00254CE5" w:rsidP="00222C3D">
      <w:pPr>
        <w:jc w:val="center"/>
        <w:rPr>
          <w:rFonts w:ascii="Arial" w:hAnsi="Arial" w:cs="Arial"/>
          <w:b/>
          <w:bCs/>
        </w:rPr>
      </w:pPr>
    </w:p>
    <w:p w14:paraId="727D370C" w14:textId="77777777" w:rsidR="00254CE5" w:rsidRDefault="00254CE5" w:rsidP="00222C3D">
      <w:pPr>
        <w:jc w:val="center"/>
        <w:rPr>
          <w:rFonts w:ascii="Arial" w:hAnsi="Arial" w:cs="Arial"/>
          <w:b/>
          <w:bCs/>
        </w:rPr>
      </w:pPr>
    </w:p>
    <w:p w14:paraId="7F0F23FE" w14:textId="77777777" w:rsidR="00254CE5" w:rsidRDefault="00254CE5" w:rsidP="00222C3D">
      <w:pPr>
        <w:jc w:val="center"/>
        <w:rPr>
          <w:rFonts w:ascii="Arial" w:hAnsi="Arial" w:cs="Arial"/>
          <w:b/>
          <w:bCs/>
        </w:rPr>
      </w:pPr>
    </w:p>
    <w:p w14:paraId="1C8093C2" w14:textId="77777777" w:rsidR="00254CE5" w:rsidRDefault="00254CE5" w:rsidP="00222C3D">
      <w:pPr>
        <w:jc w:val="center"/>
        <w:rPr>
          <w:rFonts w:ascii="Arial" w:hAnsi="Arial" w:cs="Arial"/>
          <w:b/>
          <w:bCs/>
        </w:rPr>
      </w:pPr>
    </w:p>
    <w:p w14:paraId="29E7F4DB" w14:textId="77777777" w:rsidR="00254CE5" w:rsidRDefault="00254CE5" w:rsidP="00222C3D">
      <w:pPr>
        <w:jc w:val="center"/>
        <w:rPr>
          <w:rFonts w:ascii="Arial" w:hAnsi="Arial" w:cs="Arial"/>
          <w:b/>
          <w:bCs/>
        </w:rPr>
      </w:pPr>
    </w:p>
    <w:p w14:paraId="77266EDB" w14:textId="77777777" w:rsidR="007D084D" w:rsidRDefault="007D084D" w:rsidP="00222C3D">
      <w:pPr>
        <w:jc w:val="both"/>
        <w:rPr>
          <w:rFonts w:ascii="Arial" w:hAnsi="Arial" w:cs="Arial"/>
        </w:rPr>
      </w:pPr>
    </w:p>
    <w:p w14:paraId="4465AA8A" w14:textId="77777777" w:rsidR="007D084D" w:rsidRDefault="007D084D">
      <w:pPr>
        <w:rPr>
          <w:rFonts w:ascii="Arial" w:hAnsi="Arial" w:cs="Arial"/>
        </w:rPr>
      </w:pPr>
    </w:p>
    <w:p w14:paraId="06492375" w14:textId="77777777" w:rsidR="007D084D" w:rsidRDefault="007D084D">
      <w:pPr>
        <w:rPr>
          <w:rFonts w:ascii="Arial" w:hAnsi="Arial" w:cs="Arial"/>
        </w:rPr>
      </w:pPr>
    </w:p>
    <w:p w14:paraId="7A67990E" w14:textId="77777777" w:rsidR="007D084D" w:rsidRDefault="007D084D">
      <w:pPr>
        <w:rPr>
          <w:rFonts w:ascii="Arial" w:hAnsi="Arial" w:cs="Arial"/>
        </w:rPr>
      </w:pPr>
    </w:p>
    <w:p w14:paraId="6A121003" w14:textId="77777777" w:rsidR="007D084D" w:rsidRDefault="007D084D">
      <w:pPr>
        <w:rPr>
          <w:rFonts w:ascii="Arial" w:hAnsi="Arial" w:cs="Arial"/>
        </w:rPr>
      </w:pPr>
    </w:p>
    <w:p w14:paraId="101995C8" w14:textId="5108FD7D" w:rsidR="00917122" w:rsidRDefault="00917122">
      <w:pPr>
        <w:rPr>
          <w:rFonts w:ascii="Arial" w:hAnsi="Arial" w:cs="Arial"/>
        </w:rPr>
      </w:pPr>
    </w:p>
    <w:p w14:paraId="2B5730FE" w14:textId="77777777" w:rsidR="00917122" w:rsidRDefault="00917122">
      <w:pPr>
        <w:rPr>
          <w:rFonts w:ascii="Arial" w:hAnsi="Arial" w:cs="Arial"/>
        </w:rPr>
      </w:pPr>
    </w:p>
    <w:p w14:paraId="3F81AF9B" w14:textId="77777777" w:rsidR="00917122" w:rsidRDefault="00917122">
      <w:pPr>
        <w:rPr>
          <w:rFonts w:ascii="Arial" w:hAnsi="Arial" w:cs="Arial"/>
        </w:rPr>
      </w:pPr>
    </w:p>
    <w:p w14:paraId="6E01AF6B" w14:textId="77777777" w:rsidR="007D084D" w:rsidRDefault="007D084D">
      <w:pPr>
        <w:rPr>
          <w:rFonts w:ascii="Arial" w:hAnsi="Arial" w:cs="Arial"/>
        </w:rPr>
      </w:pPr>
    </w:p>
    <w:p w14:paraId="5C76959D" w14:textId="77777777" w:rsidR="00072751" w:rsidRDefault="00072751">
      <w:pPr>
        <w:rPr>
          <w:rFonts w:ascii="Arial" w:hAnsi="Arial" w:cs="Arial"/>
        </w:rPr>
      </w:pPr>
    </w:p>
    <w:p w14:paraId="04425DC4" w14:textId="2E4E19B6" w:rsidR="003E08AD" w:rsidRPr="00254CE5" w:rsidRDefault="00072751" w:rsidP="00254CE5">
      <w:pPr>
        <w:jc w:val="center"/>
        <w:rPr>
          <w:rFonts w:ascii="Arial" w:hAnsi="Arial" w:cs="Arial"/>
          <w:b/>
          <w:bCs/>
        </w:rPr>
      </w:pPr>
      <w:r>
        <w:rPr>
          <w:rFonts w:ascii="Arial" w:hAnsi="Arial" w:cs="Arial"/>
          <w:b/>
          <w:bCs/>
        </w:rPr>
        <w:lastRenderedPageBreak/>
        <w:t>C</w:t>
      </w:r>
      <w:r w:rsidRPr="00254CE5">
        <w:rPr>
          <w:rFonts w:ascii="Arial" w:hAnsi="Arial" w:cs="Arial"/>
          <w:b/>
          <w:bCs/>
        </w:rPr>
        <w:t>itation</w:t>
      </w:r>
      <w:r w:rsidR="00254CE5">
        <w:rPr>
          <w:rFonts w:ascii="Arial" w:hAnsi="Arial" w:cs="Arial"/>
          <w:b/>
          <w:bCs/>
        </w:rPr>
        <w:t>.</w:t>
      </w:r>
    </w:p>
    <w:p w14:paraId="7B046BCD" w14:textId="0F0A0780" w:rsidR="002921FA" w:rsidRDefault="00B51639">
      <w:pPr>
        <w:rPr>
          <w:rFonts w:ascii="Arial" w:hAnsi="Arial" w:cs="Arial"/>
        </w:rPr>
      </w:pPr>
      <w:r w:rsidRPr="00B51639">
        <w:rPr>
          <w:rFonts w:ascii="Arial" w:hAnsi="Arial" w:cs="Arial"/>
        </w:rPr>
        <w:t xml:space="preserve">Breakthrough T1D (2026) Managing type 1 </w:t>
      </w:r>
      <w:proofErr w:type="spellStart"/>
      <w:proofErr w:type="gramStart"/>
      <w:r w:rsidRPr="00B51639">
        <w:rPr>
          <w:rFonts w:ascii="Arial" w:hAnsi="Arial" w:cs="Arial"/>
        </w:rPr>
        <w:t>diabetes.Available</w:t>
      </w:r>
      <w:proofErr w:type="spellEnd"/>
      <w:proofErr w:type="gramEnd"/>
      <w:r w:rsidRPr="00B51639">
        <w:rPr>
          <w:rFonts w:ascii="Arial" w:hAnsi="Arial" w:cs="Arial"/>
        </w:rPr>
        <w:t xml:space="preserve"> at: </w:t>
      </w:r>
      <w:hyperlink r:id="rId7" w:history="1">
        <w:r w:rsidRPr="00B51639">
          <w:rPr>
            <w:rStyle w:val="Hipervnculo"/>
            <w:rFonts w:ascii="Arial" w:hAnsi="Arial" w:cs="Arial"/>
          </w:rPr>
          <w:t>Managing type 1 diabetes | Breakthrough T1D UK</w:t>
        </w:r>
      </w:hyperlink>
      <w:r w:rsidRPr="00B51639">
        <w:rPr>
          <w:rFonts w:ascii="Arial" w:hAnsi="Arial" w:cs="Arial"/>
        </w:rPr>
        <w:t xml:space="preserve"> (Accessed: 10/07/2026).</w:t>
      </w:r>
      <w:r>
        <w:rPr>
          <w:rFonts w:ascii="Arial" w:hAnsi="Arial" w:cs="Arial"/>
        </w:rPr>
        <w:t xml:space="preserve"> </w:t>
      </w:r>
    </w:p>
    <w:p w14:paraId="767DD42A" w14:textId="5516EF1A" w:rsidR="002921FA" w:rsidRPr="00A830F8" w:rsidRDefault="002921FA">
      <w:pPr>
        <w:rPr>
          <w:rFonts w:ascii="Arial" w:hAnsi="Arial" w:cs="Arial"/>
        </w:rPr>
      </w:pPr>
      <w:proofErr w:type="spellStart"/>
      <w:r w:rsidRPr="002921FA">
        <w:rPr>
          <w:rFonts w:ascii="Arial" w:hAnsi="Arial" w:cs="Arial"/>
        </w:rPr>
        <w:t>Chlup</w:t>
      </w:r>
      <w:proofErr w:type="spellEnd"/>
      <w:r w:rsidRPr="002921FA">
        <w:rPr>
          <w:rFonts w:ascii="Arial" w:hAnsi="Arial" w:cs="Arial"/>
        </w:rPr>
        <w:t xml:space="preserve"> R, </w:t>
      </w:r>
      <w:proofErr w:type="spellStart"/>
      <w:r w:rsidRPr="002921FA">
        <w:rPr>
          <w:rFonts w:ascii="Arial" w:hAnsi="Arial" w:cs="Arial"/>
        </w:rPr>
        <w:t>Krystyník</w:t>
      </w:r>
      <w:proofErr w:type="spellEnd"/>
      <w:r w:rsidRPr="002921FA">
        <w:rPr>
          <w:rFonts w:ascii="Arial" w:hAnsi="Arial" w:cs="Arial"/>
        </w:rPr>
        <w:t xml:space="preserve"> O, </w:t>
      </w:r>
      <w:proofErr w:type="spellStart"/>
      <w:r w:rsidRPr="002921FA">
        <w:rPr>
          <w:rFonts w:ascii="Arial" w:hAnsi="Arial" w:cs="Arial"/>
        </w:rPr>
        <w:t>Mlčák</w:t>
      </w:r>
      <w:proofErr w:type="spellEnd"/>
      <w:r w:rsidRPr="002921FA">
        <w:rPr>
          <w:rFonts w:ascii="Arial" w:hAnsi="Arial" w:cs="Arial"/>
        </w:rPr>
        <w:t xml:space="preserve"> P, et al. (2023) Intensive Management of Type 1 Diabetes in Adults: One Centre Experience 1970–2022. Type 1 Diabetes in 2023 - From Real Practice to Open Questions. </w:t>
      </w:r>
      <w:proofErr w:type="spellStart"/>
      <w:r w:rsidRPr="002921FA">
        <w:rPr>
          <w:rFonts w:ascii="Arial" w:hAnsi="Arial" w:cs="Arial"/>
        </w:rPr>
        <w:t>IntechOpen</w:t>
      </w:r>
      <w:proofErr w:type="spellEnd"/>
      <w:r w:rsidRPr="002921FA">
        <w:rPr>
          <w:rFonts w:ascii="Arial" w:hAnsi="Arial" w:cs="Arial"/>
        </w:rPr>
        <w:t>. Available at: http://dx.doi.org/10.5772/intechopen.108032.</w:t>
      </w:r>
    </w:p>
    <w:p w14:paraId="6A9DE35D" w14:textId="50419BCF" w:rsidR="003E08AD" w:rsidRDefault="003E08AD">
      <w:pPr>
        <w:rPr>
          <w:rFonts w:ascii="Arial" w:hAnsi="Arial" w:cs="Arial"/>
        </w:rPr>
      </w:pPr>
      <w:proofErr w:type="spellStart"/>
      <w:r w:rsidRPr="00A830F8">
        <w:rPr>
          <w:rFonts w:ascii="Arial" w:hAnsi="Arial" w:cs="Arial"/>
        </w:rPr>
        <w:t>Gherbon</w:t>
      </w:r>
      <w:proofErr w:type="spellEnd"/>
      <w:r w:rsidRPr="00A830F8">
        <w:rPr>
          <w:rFonts w:ascii="Arial" w:hAnsi="Arial" w:cs="Arial"/>
        </w:rPr>
        <w:t xml:space="preserve"> A (2025) Epidemiology of Type 1 Diabetes. Type 1 Diabetes - Causes, Treatments and Management. </w:t>
      </w:r>
      <w:proofErr w:type="spellStart"/>
      <w:r w:rsidRPr="00A830F8">
        <w:rPr>
          <w:rFonts w:ascii="Arial" w:hAnsi="Arial" w:cs="Arial"/>
        </w:rPr>
        <w:t>IntechOpen</w:t>
      </w:r>
      <w:proofErr w:type="spellEnd"/>
      <w:r w:rsidRPr="00A830F8">
        <w:rPr>
          <w:rFonts w:ascii="Arial" w:hAnsi="Arial" w:cs="Arial"/>
        </w:rPr>
        <w:t xml:space="preserve">. Available at: </w:t>
      </w:r>
      <w:hyperlink r:id="rId8" w:history="1">
        <w:r w:rsidR="00A830F8" w:rsidRPr="005D7174">
          <w:rPr>
            <w:rStyle w:val="Hipervnculo"/>
            <w:rFonts w:ascii="Arial" w:hAnsi="Arial" w:cs="Arial"/>
          </w:rPr>
          <w:t>http://dx.doi.org/10.5772/intechopen.1009817</w:t>
        </w:r>
      </w:hyperlink>
      <w:r w:rsidRPr="00A830F8">
        <w:rPr>
          <w:rFonts w:ascii="Arial" w:hAnsi="Arial" w:cs="Arial"/>
        </w:rPr>
        <w:t>.</w:t>
      </w:r>
    </w:p>
    <w:p w14:paraId="3439D7C5" w14:textId="75D84360" w:rsidR="002921FA" w:rsidRDefault="002921FA">
      <w:pPr>
        <w:rPr>
          <w:rFonts w:ascii="Arial" w:hAnsi="Arial" w:cs="Arial"/>
        </w:rPr>
      </w:pPr>
      <w:proofErr w:type="spellStart"/>
      <w:r w:rsidRPr="002921FA">
        <w:rPr>
          <w:rFonts w:ascii="Arial" w:hAnsi="Arial" w:cs="Arial"/>
        </w:rPr>
        <w:t>Housby</w:t>
      </w:r>
      <w:proofErr w:type="spellEnd"/>
      <w:r w:rsidRPr="002921FA">
        <w:rPr>
          <w:rFonts w:ascii="Arial" w:hAnsi="Arial" w:cs="Arial"/>
        </w:rPr>
        <w:t xml:space="preserve"> H, Kaur A, </w:t>
      </w:r>
      <w:proofErr w:type="spellStart"/>
      <w:r w:rsidRPr="002921FA">
        <w:rPr>
          <w:rFonts w:ascii="Arial" w:hAnsi="Arial" w:cs="Arial"/>
        </w:rPr>
        <w:t>Godsland</w:t>
      </w:r>
      <w:proofErr w:type="spellEnd"/>
      <w:r w:rsidRPr="002921FA">
        <w:rPr>
          <w:rFonts w:ascii="Arial" w:hAnsi="Arial" w:cs="Arial"/>
        </w:rPr>
        <w:t xml:space="preserve"> I, et al. </w:t>
      </w:r>
      <w:r w:rsidRPr="002921FA">
        <w:rPr>
          <w:rFonts w:ascii="Arial" w:hAnsi="Arial" w:cs="Arial"/>
          <w:i/>
          <w:iCs/>
        </w:rPr>
        <w:t>Type 1 diabetes stigma: A UK survey of adults living with type 1 diabetes</w:t>
      </w:r>
      <w:r w:rsidRPr="002921FA">
        <w:rPr>
          <w:rFonts w:ascii="Arial" w:hAnsi="Arial" w:cs="Arial"/>
        </w:rPr>
        <w:t xml:space="preserve">. </w:t>
      </w:r>
      <w:proofErr w:type="spellStart"/>
      <w:r w:rsidRPr="002921FA">
        <w:rPr>
          <w:rFonts w:ascii="Arial" w:hAnsi="Arial" w:cs="Arial"/>
          <w:i/>
          <w:iCs/>
        </w:rPr>
        <w:t>Diabet</w:t>
      </w:r>
      <w:proofErr w:type="spellEnd"/>
      <w:r w:rsidRPr="002921FA">
        <w:rPr>
          <w:rFonts w:ascii="Arial" w:hAnsi="Arial" w:cs="Arial"/>
          <w:i/>
          <w:iCs/>
        </w:rPr>
        <w:t xml:space="preserve"> Med</w:t>
      </w:r>
      <w:r w:rsidRPr="002921FA">
        <w:rPr>
          <w:rFonts w:ascii="Arial" w:hAnsi="Arial" w:cs="Arial"/>
        </w:rPr>
        <w:t xml:space="preserve">. 2026; </w:t>
      </w:r>
      <w:r w:rsidR="00E70707" w:rsidRPr="002921FA">
        <w:rPr>
          <w:rFonts w:ascii="Arial" w:hAnsi="Arial" w:cs="Arial"/>
        </w:rPr>
        <w:t>00: e</w:t>
      </w:r>
      <w:r w:rsidRPr="002921FA">
        <w:rPr>
          <w:rFonts w:ascii="Arial" w:hAnsi="Arial" w:cs="Arial"/>
        </w:rPr>
        <w:t>70365. doi:</w:t>
      </w:r>
      <w:hyperlink r:id="rId9" w:history="1">
        <w:r w:rsidRPr="002921FA">
          <w:rPr>
            <w:rStyle w:val="Hipervnculo"/>
            <w:rFonts w:ascii="Arial" w:hAnsi="Arial" w:cs="Arial"/>
          </w:rPr>
          <w:t>10.1111/dme.70365</w:t>
        </w:r>
      </w:hyperlink>
      <w:r w:rsidRPr="002921FA">
        <w:rPr>
          <w:rFonts w:ascii="Arial" w:hAnsi="Arial" w:cs="Arial"/>
        </w:rPr>
        <w:t xml:space="preserve"> </w:t>
      </w:r>
    </w:p>
    <w:p w14:paraId="775B1EA7" w14:textId="3EDD73B2" w:rsidR="00E67184" w:rsidRDefault="00E67184">
      <w:pPr>
        <w:rPr>
          <w:rFonts w:ascii="Arial" w:hAnsi="Arial" w:cs="Arial"/>
        </w:rPr>
      </w:pPr>
      <w:r w:rsidRPr="00E67184">
        <w:rPr>
          <w:rFonts w:ascii="Arial" w:hAnsi="Arial" w:cs="Arial"/>
        </w:rPr>
        <w:t>National Institute for Health and Care Excellence (NICE) (2022) Type 1 diabetes in adults: diagnosis and management (NG17). Available at: https://www.nice.org.uk/guidance/ng17</w:t>
      </w:r>
    </w:p>
    <w:p w14:paraId="0189DF85" w14:textId="559D92C6" w:rsidR="000C5534" w:rsidRDefault="000C5534" w:rsidP="000C5534">
      <w:pPr>
        <w:rPr>
          <w:rFonts w:ascii="Arial" w:hAnsi="Arial" w:cs="Arial"/>
        </w:rPr>
      </w:pPr>
      <w:r w:rsidRPr="00672274">
        <w:rPr>
          <w:rFonts w:ascii="Arial" w:hAnsi="Arial" w:cs="Arial"/>
        </w:rPr>
        <w:t>NHS (2024)</w:t>
      </w:r>
      <w:r w:rsidRPr="00672274">
        <w:rPr>
          <w:rFonts w:ascii="Arial" w:hAnsi="Arial" w:cs="Arial"/>
          <w:i/>
          <w:iCs/>
        </w:rPr>
        <w:t>.</w:t>
      </w:r>
      <w:r w:rsidRPr="000C5534">
        <w:t xml:space="preserve"> </w:t>
      </w:r>
      <w:r w:rsidRPr="000C5534">
        <w:rPr>
          <w:rFonts w:ascii="Arial" w:hAnsi="Arial" w:cs="Arial"/>
          <w:i/>
          <w:iCs/>
        </w:rPr>
        <w:t>Complications of type 1 diabetes</w:t>
      </w:r>
      <w:r>
        <w:rPr>
          <w:rFonts w:ascii="Arial" w:hAnsi="Arial" w:cs="Arial"/>
          <w:i/>
          <w:iCs/>
        </w:rPr>
        <w:t>.</w:t>
      </w:r>
      <w:r w:rsidRPr="00672274">
        <w:rPr>
          <w:rFonts w:ascii="Arial" w:hAnsi="Arial" w:cs="Arial"/>
        </w:rPr>
        <w:t> Available at: </w:t>
      </w:r>
      <w:hyperlink r:id="rId10" w:history="1">
        <w:r w:rsidRPr="000C5534">
          <w:rPr>
            <w:rStyle w:val="Hipervnculo"/>
            <w:rFonts w:ascii="Arial" w:hAnsi="Arial" w:cs="Arial"/>
          </w:rPr>
          <w:t>Complications of type 1 diabetes - NHS</w:t>
        </w:r>
      </w:hyperlink>
      <w:r w:rsidRPr="00672274">
        <w:rPr>
          <w:rFonts w:ascii="Arial" w:hAnsi="Arial" w:cs="Arial"/>
        </w:rPr>
        <w:t xml:space="preserve"> </w:t>
      </w:r>
      <w:r>
        <w:rPr>
          <w:rFonts w:ascii="Arial" w:hAnsi="Arial" w:cs="Arial"/>
        </w:rPr>
        <w:t xml:space="preserve"> </w:t>
      </w:r>
      <w:r w:rsidRPr="00672274">
        <w:rPr>
          <w:rFonts w:ascii="Arial" w:hAnsi="Arial" w:cs="Arial"/>
        </w:rPr>
        <w:t xml:space="preserve">(Accessed: </w:t>
      </w:r>
      <w:r>
        <w:rPr>
          <w:rFonts w:ascii="Arial" w:hAnsi="Arial" w:cs="Arial"/>
        </w:rPr>
        <w:t>16</w:t>
      </w:r>
      <w:r w:rsidRPr="00672274">
        <w:rPr>
          <w:rFonts w:ascii="Arial" w:hAnsi="Arial" w:cs="Arial"/>
        </w:rPr>
        <w:t>/7/202</w:t>
      </w:r>
      <w:r>
        <w:rPr>
          <w:rFonts w:ascii="Arial" w:hAnsi="Arial" w:cs="Arial"/>
        </w:rPr>
        <w:t>6</w:t>
      </w:r>
      <w:r w:rsidRPr="00672274">
        <w:rPr>
          <w:rFonts w:ascii="Arial" w:hAnsi="Arial" w:cs="Arial"/>
        </w:rPr>
        <w:t>).</w:t>
      </w:r>
      <w:r>
        <w:rPr>
          <w:rFonts w:ascii="Arial" w:hAnsi="Arial" w:cs="Arial"/>
        </w:rPr>
        <w:t xml:space="preserve"> </w:t>
      </w:r>
    </w:p>
    <w:p w14:paraId="7C31CA86" w14:textId="77777777" w:rsidR="00E67184" w:rsidRDefault="00E67184" w:rsidP="000C5534">
      <w:pPr>
        <w:rPr>
          <w:rFonts w:ascii="Arial" w:hAnsi="Arial" w:cs="Arial"/>
        </w:rPr>
      </w:pPr>
    </w:p>
    <w:p w14:paraId="5B13E5E2" w14:textId="77777777" w:rsidR="00E67184" w:rsidRDefault="00E67184" w:rsidP="000C5534">
      <w:pPr>
        <w:rPr>
          <w:rFonts w:ascii="Arial" w:hAnsi="Arial" w:cs="Arial"/>
        </w:rPr>
      </w:pPr>
    </w:p>
    <w:p w14:paraId="7A843A61" w14:textId="77777777" w:rsidR="00E67184" w:rsidRDefault="00E67184" w:rsidP="000C5534">
      <w:pPr>
        <w:rPr>
          <w:rFonts w:ascii="Arial" w:hAnsi="Arial" w:cs="Arial"/>
        </w:rPr>
      </w:pPr>
    </w:p>
    <w:p w14:paraId="2148ED87" w14:textId="77777777" w:rsidR="00E67184" w:rsidRDefault="00E67184" w:rsidP="000C5534">
      <w:pPr>
        <w:rPr>
          <w:rFonts w:ascii="Arial" w:hAnsi="Arial" w:cs="Arial"/>
        </w:rPr>
      </w:pPr>
    </w:p>
    <w:p w14:paraId="2694E042" w14:textId="77777777" w:rsidR="00E67184" w:rsidRDefault="00E67184" w:rsidP="000C5534">
      <w:pPr>
        <w:rPr>
          <w:rFonts w:ascii="Arial" w:hAnsi="Arial" w:cs="Arial"/>
        </w:rPr>
      </w:pPr>
    </w:p>
    <w:p w14:paraId="216B4A08" w14:textId="77777777" w:rsidR="00E67184" w:rsidRDefault="00E67184" w:rsidP="000C5534">
      <w:pPr>
        <w:rPr>
          <w:rFonts w:ascii="Arial" w:hAnsi="Arial" w:cs="Arial"/>
        </w:rPr>
      </w:pPr>
    </w:p>
    <w:p w14:paraId="736C4439" w14:textId="77777777" w:rsidR="00E67184" w:rsidRDefault="00E67184" w:rsidP="000C5534">
      <w:pPr>
        <w:rPr>
          <w:rFonts w:ascii="Arial" w:hAnsi="Arial" w:cs="Arial"/>
        </w:rPr>
      </w:pPr>
    </w:p>
    <w:p w14:paraId="6E1069D6" w14:textId="77777777" w:rsidR="00E67184" w:rsidRDefault="00E67184" w:rsidP="000C5534">
      <w:pPr>
        <w:rPr>
          <w:rFonts w:ascii="Arial" w:hAnsi="Arial" w:cs="Arial"/>
        </w:rPr>
      </w:pPr>
    </w:p>
    <w:p w14:paraId="07787687" w14:textId="77777777" w:rsidR="00E67184" w:rsidRDefault="00E67184" w:rsidP="000C5534">
      <w:pPr>
        <w:rPr>
          <w:rFonts w:ascii="Arial" w:hAnsi="Arial" w:cs="Arial"/>
        </w:rPr>
      </w:pPr>
    </w:p>
    <w:p w14:paraId="283F485F" w14:textId="77777777" w:rsidR="00E67184" w:rsidRDefault="00E67184" w:rsidP="000C5534">
      <w:pPr>
        <w:rPr>
          <w:rFonts w:ascii="Arial" w:hAnsi="Arial" w:cs="Arial"/>
        </w:rPr>
      </w:pPr>
    </w:p>
    <w:p w14:paraId="7EA8E6EE" w14:textId="77777777" w:rsidR="00E67184" w:rsidRDefault="00E67184" w:rsidP="000C5534">
      <w:pPr>
        <w:rPr>
          <w:rFonts w:ascii="Arial" w:hAnsi="Arial" w:cs="Arial"/>
        </w:rPr>
      </w:pPr>
    </w:p>
    <w:p w14:paraId="318AEB91" w14:textId="77777777" w:rsidR="00E67184" w:rsidRDefault="00E67184" w:rsidP="000C5534">
      <w:pPr>
        <w:rPr>
          <w:rFonts w:ascii="Arial" w:hAnsi="Arial" w:cs="Arial"/>
        </w:rPr>
      </w:pPr>
    </w:p>
    <w:p w14:paraId="5F76EBF3" w14:textId="77777777" w:rsidR="00E67184" w:rsidRDefault="00E67184" w:rsidP="000C5534">
      <w:pPr>
        <w:rPr>
          <w:rFonts w:ascii="Arial" w:hAnsi="Arial" w:cs="Arial"/>
        </w:rPr>
      </w:pPr>
    </w:p>
    <w:p w14:paraId="60C72940" w14:textId="77777777" w:rsidR="00E67184" w:rsidRDefault="00E67184" w:rsidP="000C5534">
      <w:pPr>
        <w:rPr>
          <w:rFonts w:ascii="Arial" w:hAnsi="Arial" w:cs="Arial"/>
        </w:rPr>
      </w:pPr>
    </w:p>
    <w:p w14:paraId="65DAA86B" w14:textId="77777777" w:rsidR="00E67184" w:rsidRDefault="00E67184" w:rsidP="000C5534">
      <w:pPr>
        <w:rPr>
          <w:rFonts w:ascii="Arial" w:hAnsi="Arial" w:cs="Arial"/>
        </w:rPr>
      </w:pPr>
    </w:p>
    <w:p w14:paraId="0109EA34" w14:textId="77777777" w:rsidR="00E67184" w:rsidRDefault="00E67184" w:rsidP="000C5534">
      <w:pPr>
        <w:rPr>
          <w:rFonts w:ascii="Arial" w:hAnsi="Arial" w:cs="Arial"/>
        </w:rPr>
      </w:pPr>
    </w:p>
    <w:p w14:paraId="31AC4BC6" w14:textId="77777777" w:rsidR="00E67184" w:rsidRDefault="00E67184" w:rsidP="000C5534">
      <w:pPr>
        <w:rPr>
          <w:rFonts w:ascii="Arial" w:hAnsi="Arial" w:cs="Arial"/>
        </w:rPr>
      </w:pPr>
    </w:p>
    <w:p w14:paraId="72E0C126" w14:textId="77777777" w:rsidR="00E67184" w:rsidRDefault="00E67184" w:rsidP="000C5534">
      <w:pPr>
        <w:rPr>
          <w:rFonts w:ascii="Arial" w:hAnsi="Arial" w:cs="Arial"/>
        </w:rPr>
      </w:pPr>
    </w:p>
    <w:p w14:paraId="54F96B56" w14:textId="77777777" w:rsidR="00E67184" w:rsidRDefault="00E67184" w:rsidP="000C5534">
      <w:pPr>
        <w:rPr>
          <w:rFonts w:ascii="Arial" w:hAnsi="Arial" w:cs="Arial"/>
        </w:rPr>
      </w:pPr>
    </w:p>
    <w:p w14:paraId="37D1D28B" w14:textId="77777777" w:rsidR="00BC2294" w:rsidRPr="00A830F8" w:rsidRDefault="00BC2294">
      <w:pPr>
        <w:rPr>
          <w:rFonts w:ascii="Arial" w:hAnsi="Arial" w:cs="Arial"/>
        </w:rPr>
      </w:pPr>
    </w:p>
    <w:sectPr w:rsidR="00BC2294" w:rsidRPr="00A830F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8830F" w14:textId="77777777" w:rsidR="00BB4C03" w:rsidRDefault="00BB4C03" w:rsidP="002E40FB">
      <w:pPr>
        <w:spacing w:after="0" w:line="240" w:lineRule="auto"/>
      </w:pPr>
      <w:r>
        <w:separator/>
      </w:r>
    </w:p>
  </w:endnote>
  <w:endnote w:type="continuationSeparator" w:id="0">
    <w:p w14:paraId="43C4B63E" w14:textId="77777777" w:rsidR="00BB4C03" w:rsidRDefault="00BB4C03" w:rsidP="002E4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326432"/>
      <w:docPartObj>
        <w:docPartGallery w:val="Page Numbers (Bottom of Page)"/>
        <w:docPartUnique/>
      </w:docPartObj>
    </w:sdtPr>
    <w:sdtContent>
      <w:p w14:paraId="158A6D36" w14:textId="779DD63D" w:rsidR="002E40FB" w:rsidRDefault="002E40FB">
        <w:pPr>
          <w:pStyle w:val="Piedepgina"/>
          <w:jc w:val="right"/>
        </w:pPr>
        <w:r>
          <w:fldChar w:fldCharType="begin"/>
        </w:r>
        <w:r>
          <w:instrText>PAGE   \* MERGEFORMAT</w:instrText>
        </w:r>
        <w:r>
          <w:fldChar w:fldCharType="separate"/>
        </w:r>
        <w:r>
          <w:rPr>
            <w:lang w:val="es-ES"/>
          </w:rPr>
          <w:t>2</w:t>
        </w:r>
        <w:r>
          <w:fldChar w:fldCharType="end"/>
        </w:r>
      </w:p>
    </w:sdtContent>
  </w:sdt>
  <w:p w14:paraId="421A60F6" w14:textId="77777777" w:rsidR="002E40FB" w:rsidRDefault="002E40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11C6B" w14:textId="77777777" w:rsidR="00BB4C03" w:rsidRDefault="00BB4C03" w:rsidP="002E40FB">
      <w:pPr>
        <w:spacing w:after="0" w:line="240" w:lineRule="auto"/>
      </w:pPr>
      <w:r>
        <w:separator/>
      </w:r>
    </w:p>
  </w:footnote>
  <w:footnote w:type="continuationSeparator" w:id="0">
    <w:p w14:paraId="7756D08F" w14:textId="77777777" w:rsidR="00BB4C03" w:rsidRDefault="00BB4C03" w:rsidP="002E40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996"/>
    <w:rsid w:val="0006511C"/>
    <w:rsid w:val="00072751"/>
    <w:rsid w:val="000941EB"/>
    <w:rsid w:val="000A6FC1"/>
    <w:rsid w:val="000C5534"/>
    <w:rsid w:val="001515DD"/>
    <w:rsid w:val="00206996"/>
    <w:rsid w:val="002108A1"/>
    <w:rsid w:val="00222C3D"/>
    <w:rsid w:val="00254CE5"/>
    <w:rsid w:val="002921FA"/>
    <w:rsid w:val="002E40FB"/>
    <w:rsid w:val="002E7500"/>
    <w:rsid w:val="003A41EA"/>
    <w:rsid w:val="003B3890"/>
    <w:rsid w:val="003C2E63"/>
    <w:rsid w:val="003E08AD"/>
    <w:rsid w:val="00401545"/>
    <w:rsid w:val="004331AB"/>
    <w:rsid w:val="00447355"/>
    <w:rsid w:val="004617D5"/>
    <w:rsid w:val="004B2DC0"/>
    <w:rsid w:val="004F1EF0"/>
    <w:rsid w:val="005203D1"/>
    <w:rsid w:val="00526FAA"/>
    <w:rsid w:val="0056483B"/>
    <w:rsid w:val="00672274"/>
    <w:rsid w:val="006A32A2"/>
    <w:rsid w:val="006D7724"/>
    <w:rsid w:val="00733918"/>
    <w:rsid w:val="007864DA"/>
    <w:rsid w:val="007A14EC"/>
    <w:rsid w:val="007D084D"/>
    <w:rsid w:val="007E640A"/>
    <w:rsid w:val="0081063A"/>
    <w:rsid w:val="008264E7"/>
    <w:rsid w:val="00895367"/>
    <w:rsid w:val="008C1F3A"/>
    <w:rsid w:val="008D1E43"/>
    <w:rsid w:val="00917122"/>
    <w:rsid w:val="00952D21"/>
    <w:rsid w:val="009A421E"/>
    <w:rsid w:val="00A77F52"/>
    <w:rsid w:val="00A830F8"/>
    <w:rsid w:val="00AA3AF9"/>
    <w:rsid w:val="00B51639"/>
    <w:rsid w:val="00B7025B"/>
    <w:rsid w:val="00B85DAB"/>
    <w:rsid w:val="00BA5CD4"/>
    <w:rsid w:val="00BB2B98"/>
    <w:rsid w:val="00BB4C03"/>
    <w:rsid w:val="00BC2294"/>
    <w:rsid w:val="00C0196A"/>
    <w:rsid w:val="00C313C0"/>
    <w:rsid w:val="00C44761"/>
    <w:rsid w:val="00C87E28"/>
    <w:rsid w:val="00D55D38"/>
    <w:rsid w:val="00DA3F04"/>
    <w:rsid w:val="00DD76E6"/>
    <w:rsid w:val="00DE1CB6"/>
    <w:rsid w:val="00DE597F"/>
    <w:rsid w:val="00E07412"/>
    <w:rsid w:val="00E67184"/>
    <w:rsid w:val="00E70707"/>
    <w:rsid w:val="00E93C25"/>
    <w:rsid w:val="00EB2109"/>
    <w:rsid w:val="00ED28B8"/>
    <w:rsid w:val="00F22F06"/>
    <w:rsid w:val="00FC42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C137"/>
  <w15:chartTrackingRefBased/>
  <w15:docId w15:val="{645CCD0E-DB4D-4A13-B388-BC2ACC246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069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069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0699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0699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0699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0699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0699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0699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0699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0699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0699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0699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0699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0699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0699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0699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0699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06996"/>
    <w:rPr>
      <w:rFonts w:eastAsiaTheme="majorEastAsia" w:cstheme="majorBidi"/>
      <w:color w:val="272727" w:themeColor="text1" w:themeTint="D8"/>
    </w:rPr>
  </w:style>
  <w:style w:type="paragraph" w:styleId="Ttulo">
    <w:name w:val="Title"/>
    <w:basedOn w:val="Normal"/>
    <w:next w:val="Normal"/>
    <w:link w:val="TtuloCar"/>
    <w:uiPriority w:val="10"/>
    <w:qFormat/>
    <w:rsid w:val="002069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0699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0699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0699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06996"/>
    <w:pPr>
      <w:spacing w:before="160"/>
      <w:jc w:val="center"/>
    </w:pPr>
    <w:rPr>
      <w:i/>
      <w:iCs/>
      <w:color w:val="404040" w:themeColor="text1" w:themeTint="BF"/>
    </w:rPr>
  </w:style>
  <w:style w:type="character" w:customStyle="1" w:styleId="CitaCar">
    <w:name w:val="Cita Car"/>
    <w:basedOn w:val="Fuentedeprrafopredeter"/>
    <w:link w:val="Cita"/>
    <w:uiPriority w:val="29"/>
    <w:rsid w:val="00206996"/>
    <w:rPr>
      <w:i/>
      <w:iCs/>
      <w:color w:val="404040" w:themeColor="text1" w:themeTint="BF"/>
    </w:rPr>
  </w:style>
  <w:style w:type="paragraph" w:styleId="Prrafodelista">
    <w:name w:val="List Paragraph"/>
    <w:basedOn w:val="Normal"/>
    <w:uiPriority w:val="34"/>
    <w:qFormat/>
    <w:rsid w:val="00206996"/>
    <w:pPr>
      <w:ind w:left="720"/>
      <w:contextualSpacing/>
    </w:pPr>
  </w:style>
  <w:style w:type="character" w:styleId="nfasisintenso">
    <w:name w:val="Intense Emphasis"/>
    <w:basedOn w:val="Fuentedeprrafopredeter"/>
    <w:uiPriority w:val="21"/>
    <w:qFormat/>
    <w:rsid w:val="00206996"/>
    <w:rPr>
      <w:i/>
      <w:iCs/>
      <w:color w:val="0F4761" w:themeColor="accent1" w:themeShade="BF"/>
    </w:rPr>
  </w:style>
  <w:style w:type="paragraph" w:styleId="Citadestacada">
    <w:name w:val="Intense Quote"/>
    <w:basedOn w:val="Normal"/>
    <w:next w:val="Normal"/>
    <w:link w:val="CitadestacadaCar"/>
    <w:uiPriority w:val="30"/>
    <w:qFormat/>
    <w:rsid w:val="002069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06996"/>
    <w:rPr>
      <w:i/>
      <w:iCs/>
      <w:color w:val="0F4761" w:themeColor="accent1" w:themeShade="BF"/>
    </w:rPr>
  </w:style>
  <w:style w:type="character" w:styleId="Referenciaintensa">
    <w:name w:val="Intense Reference"/>
    <w:basedOn w:val="Fuentedeprrafopredeter"/>
    <w:uiPriority w:val="32"/>
    <w:qFormat/>
    <w:rsid w:val="00206996"/>
    <w:rPr>
      <w:b/>
      <w:bCs/>
      <w:smallCaps/>
      <w:color w:val="0F4761" w:themeColor="accent1" w:themeShade="BF"/>
      <w:spacing w:val="5"/>
    </w:rPr>
  </w:style>
  <w:style w:type="character" w:styleId="Hipervnculo">
    <w:name w:val="Hyperlink"/>
    <w:basedOn w:val="Fuentedeprrafopredeter"/>
    <w:uiPriority w:val="99"/>
    <w:unhideWhenUsed/>
    <w:rsid w:val="003E08AD"/>
    <w:rPr>
      <w:color w:val="467886" w:themeColor="hyperlink"/>
      <w:u w:val="single"/>
    </w:rPr>
  </w:style>
  <w:style w:type="character" w:styleId="Mencinsinresolver">
    <w:name w:val="Unresolved Mention"/>
    <w:basedOn w:val="Fuentedeprrafopredeter"/>
    <w:uiPriority w:val="99"/>
    <w:semiHidden/>
    <w:unhideWhenUsed/>
    <w:rsid w:val="003E08AD"/>
    <w:rPr>
      <w:color w:val="605E5C"/>
      <w:shd w:val="clear" w:color="auto" w:fill="E1DFDD"/>
    </w:rPr>
  </w:style>
  <w:style w:type="character" w:styleId="Hipervnculovisitado">
    <w:name w:val="FollowedHyperlink"/>
    <w:basedOn w:val="Fuentedeprrafopredeter"/>
    <w:uiPriority w:val="99"/>
    <w:semiHidden/>
    <w:unhideWhenUsed/>
    <w:rsid w:val="003E08AD"/>
    <w:rPr>
      <w:color w:val="96607D" w:themeColor="followedHyperlink"/>
      <w:u w:val="single"/>
    </w:rPr>
  </w:style>
  <w:style w:type="paragraph" w:styleId="Encabezado">
    <w:name w:val="header"/>
    <w:basedOn w:val="Normal"/>
    <w:link w:val="EncabezadoCar"/>
    <w:uiPriority w:val="99"/>
    <w:unhideWhenUsed/>
    <w:rsid w:val="002E40FB"/>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2E40FB"/>
  </w:style>
  <w:style w:type="paragraph" w:styleId="Piedepgina">
    <w:name w:val="footer"/>
    <w:basedOn w:val="Normal"/>
    <w:link w:val="PiedepginaCar"/>
    <w:uiPriority w:val="99"/>
    <w:unhideWhenUsed/>
    <w:rsid w:val="002E40FB"/>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2E40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5772/intechopen.100981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reakthrought1d.org.uk/knowledge-support/managing-type-1-diabet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nhs.uk/conditions/type-1-diabetes/complications/" TargetMode="External"/><Relationship Id="rId4" Type="http://schemas.openxmlformats.org/officeDocument/2006/relationships/footnotes" Target="footnotes.xml"/><Relationship Id="rId9" Type="http://schemas.openxmlformats.org/officeDocument/2006/relationships/hyperlink" Target="https://doi-org.uwtsd.idm.oclc.org/10.1111/dme.703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2087</Words>
  <Characters>11897</Characters>
  <Application>Microsoft Office Word</Application>
  <DocSecurity>0</DocSecurity>
  <Lines>99</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 Pleitez</dc:creator>
  <cp:keywords/>
  <dc:description/>
  <cp:lastModifiedBy>Katya Pleitez</cp:lastModifiedBy>
  <cp:revision>2</cp:revision>
  <dcterms:created xsi:type="dcterms:W3CDTF">2026-07-19T16:19:00Z</dcterms:created>
  <dcterms:modified xsi:type="dcterms:W3CDTF">2026-07-19T16:19:00Z</dcterms:modified>
</cp:coreProperties>
</file>