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ED12E" w14:textId="77777777" w:rsidR="009F23A7" w:rsidRDefault="009F23A7" w:rsidP="0074066D">
      <w:pPr>
        <w:jc w:val="both"/>
        <w:rPr>
          <w:rFonts w:cs="Times New Roman"/>
          <w:szCs w:val="24"/>
          <w:lang w:val="en-IN"/>
        </w:rPr>
      </w:pPr>
      <w:r>
        <w:rPr>
          <w:rFonts w:cs="Times New Roman"/>
          <w:szCs w:val="24"/>
          <w:lang w:val="en-IN"/>
        </w:rPr>
        <w:t xml:space="preserve">           UNIVERSITY OF WALES TRINITY SAINT DAVID</w:t>
      </w:r>
    </w:p>
    <w:p w14:paraId="7766B318" w14:textId="77777777" w:rsidR="00174436" w:rsidRDefault="009F23A7" w:rsidP="0074066D">
      <w:pPr>
        <w:jc w:val="both"/>
        <w:rPr>
          <w:rFonts w:cs="Times New Roman"/>
          <w:szCs w:val="24"/>
          <w:lang w:val="en-IN"/>
        </w:rPr>
      </w:pPr>
      <w:r>
        <w:rPr>
          <w:rFonts w:cs="Times New Roman"/>
          <w:szCs w:val="24"/>
          <w:lang w:val="en-IN"/>
        </w:rPr>
        <w:t xml:space="preserve">NAME: </w:t>
      </w:r>
      <w:r w:rsidR="00174436">
        <w:rPr>
          <w:rFonts w:cs="Times New Roman"/>
          <w:szCs w:val="24"/>
          <w:lang w:val="en-IN"/>
        </w:rPr>
        <w:t xml:space="preserve"> Mohammed </w:t>
      </w:r>
      <w:r>
        <w:rPr>
          <w:rFonts w:cs="Times New Roman"/>
          <w:szCs w:val="24"/>
          <w:lang w:val="en-IN"/>
        </w:rPr>
        <w:t>Abdul Rahim</w:t>
      </w:r>
      <w:r w:rsidR="000C4721" w:rsidRPr="0074066D">
        <w:rPr>
          <w:rFonts w:cs="Times New Roman"/>
          <w:szCs w:val="24"/>
          <w:lang w:val="en-IN"/>
        </w:rPr>
        <w:t xml:space="preserve"> </w:t>
      </w:r>
    </w:p>
    <w:p w14:paraId="0ACBDAD6" w14:textId="77777777" w:rsidR="00174436" w:rsidRDefault="00174436" w:rsidP="0074066D">
      <w:pPr>
        <w:jc w:val="both"/>
        <w:rPr>
          <w:rFonts w:cs="Times New Roman"/>
          <w:szCs w:val="24"/>
          <w:lang w:val="en-IN"/>
        </w:rPr>
      </w:pPr>
      <w:r>
        <w:rPr>
          <w:rFonts w:cs="Times New Roman"/>
          <w:szCs w:val="24"/>
          <w:lang w:val="en-IN"/>
        </w:rPr>
        <w:t>STUDENT ID: 2210095</w:t>
      </w:r>
    </w:p>
    <w:p w14:paraId="7B3EB922" w14:textId="4E9581ED" w:rsidR="000C4721" w:rsidRPr="0074066D" w:rsidRDefault="003C41FB" w:rsidP="0074066D">
      <w:pPr>
        <w:jc w:val="both"/>
        <w:rPr>
          <w:rFonts w:cs="Times New Roman"/>
          <w:szCs w:val="24"/>
          <w:lang w:val="en-IN"/>
        </w:rPr>
      </w:pPr>
      <w:r>
        <w:rPr>
          <w:rFonts w:cs="Times New Roman"/>
          <w:szCs w:val="24"/>
          <w:lang w:val="en-IN"/>
        </w:rPr>
        <w:t xml:space="preserve">SUBJECT CODE: </w:t>
      </w:r>
      <w:r w:rsidR="00621B17">
        <w:rPr>
          <w:rFonts w:cs="Times New Roman"/>
          <w:szCs w:val="24"/>
          <w:lang w:val="en-IN"/>
        </w:rPr>
        <w:t>LCMB7012</w:t>
      </w:r>
      <w:r w:rsidR="000C4721" w:rsidRPr="0074066D">
        <w:rPr>
          <w:rFonts w:cs="Times New Roman"/>
          <w:szCs w:val="24"/>
          <w:lang w:val="en-IN"/>
        </w:rPr>
        <w:t xml:space="preserve">                  </w:t>
      </w:r>
    </w:p>
    <w:p w14:paraId="33D467E9" w14:textId="77777777" w:rsidR="00621B17" w:rsidRDefault="00621B17" w:rsidP="0074066D">
      <w:pPr>
        <w:jc w:val="both"/>
        <w:rPr>
          <w:rFonts w:cs="Times New Roman"/>
          <w:szCs w:val="24"/>
          <w:lang w:val="en-IN"/>
        </w:rPr>
      </w:pPr>
    </w:p>
    <w:p w14:paraId="0843DA14" w14:textId="6FFF650C" w:rsidR="002F0BAC" w:rsidRPr="0074066D" w:rsidRDefault="000C4721" w:rsidP="0074066D">
      <w:pPr>
        <w:jc w:val="both"/>
        <w:rPr>
          <w:rFonts w:cs="Times New Roman"/>
          <w:b/>
          <w:bCs/>
          <w:szCs w:val="24"/>
          <w:lang w:val="en-IN"/>
        </w:rPr>
      </w:pPr>
      <w:r w:rsidRPr="0074066D">
        <w:rPr>
          <w:rFonts w:cs="Times New Roman"/>
          <w:b/>
          <w:bCs/>
          <w:szCs w:val="24"/>
          <w:lang w:val="en-IN"/>
        </w:rPr>
        <w:t xml:space="preserve">A Study on Banking Financial Management and Financial Markets </w:t>
      </w:r>
    </w:p>
    <w:p w14:paraId="397E3B82" w14:textId="77777777" w:rsidR="0069116C" w:rsidRDefault="0069116C" w:rsidP="0074066D">
      <w:pPr>
        <w:jc w:val="both"/>
        <w:rPr>
          <w:rFonts w:cs="Times New Roman"/>
          <w:b/>
          <w:bCs/>
          <w:szCs w:val="24"/>
          <w:lang w:val="en-IN"/>
        </w:rPr>
      </w:pPr>
    </w:p>
    <w:p w14:paraId="0197C6A5" w14:textId="680C4349" w:rsidR="00BA45B0" w:rsidRPr="0074066D" w:rsidRDefault="002F0BAC" w:rsidP="0074066D">
      <w:pPr>
        <w:jc w:val="both"/>
        <w:rPr>
          <w:rFonts w:cs="Times New Roman"/>
          <w:b/>
          <w:bCs/>
          <w:szCs w:val="24"/>
          <w:lang w:val="en-IN"/>
        </w:rPr>
      </w:pPr>
      <w:r w:rsidRPr="0074066D">
        <w:rPr>
          <w:rFonts w:cs="Times New Roman"/>
          <w:b/>
          <w:bCs/>
          <w:szCs w:val="24"/>
          <w:lang w:val="en-IN"/>
        </w:rPr>
        <w:t xml:space="preserve">Executive summary </w:t>
      </w:r>
    </w:p>
    <w:p w14:paraId="0D476908" w14:textId="1A80AA06" w:rsidR="0074066D" w:rsidRPr="0074066D" w:rsidRDefault="0074066D" w:rsidP="0074066D">
      <w:pPr>
        <w:jc w:val="both"/>
        <w:rPr>
          <w:rFonts w:cs="Times New Roman"/>
          <w:szCs w:val="24"/>
          <w:lang w:val="en-IN"/>
        </w:rPr>
      </w:pPr>
      <w:r w:rsidRPr="0074066D">
        <w:rPr>
          <w:rFonts w:cs="Times New Roman"/>
          <w:szCs w:val="24"/>
          <w:lang w:val="en-IN"/>
        </w:rPr>
        <w:t>When the housing bubble in the United States broke in 2008, it resulted in a collapse of the global financial system. To avoid a repeat of this catastrophe, the governments of the UK, US, a</w:t>
      </w:r>
      <w:r w:rsidR="00E37F77">
        <w:rPr>
          <w:rFonts w:cs="Times New Roman"/>
          <w:szCs w:val="24"/>
          <w:lang w:val="en-IN"/>
        </w:rPr>
        <w:t>s well as</w:t>
      </w:r>
      <w:r w:rsidRPr="0074066D">
        <w:rPr>
          <w:rFonts w:cs="Times New Roman"/>
          <w:szCs w:val="24"/>
          <w:lang w:val="en-IN"/>
        </w:rPr>
        <w:t xml:space="preserve"> EU have implemented a number of changes. The Dodd-Frank Wall Street </w:t>
      </w:r>
      <w:r w:rsidR="005C3B82" w:rsidRPr="0074066D">
        <w:rPr>
          <w:rFonts w:cs="Times New Roman"/>
          <w:szCs w:val="24"/>
          <w:lang w:val="en-IN"/>
        </w:rPr>
        <w:t>Improvement</w:t>
      </w:r>
      <w:r w:rsidRPr="0074066D">
        <w:rPr>
          <w:rFonts w:cs="Times New Roman"/>
          <w:szCs w:val="24"/>
          <w:lang w:val="en-IN"/>
        </w:rPr>
        <w:t xml:space="preserve"> and Consumer </w:t>
      </w:r>
      <w:proofErr w:type="spellStart"/>
      <w:r w:rsidR="005C3B82" w:rsidRPr="0074066D">
        <w:rPr>
          <w:rFonts w:cs="Times New Roman"/>
          <w:szCs w:val="24"/>
          <w:lang w:val="en-IN"/>
        </w:rPr>
        <w:t>Defense</w:t>
      </w:r>
      <w:proofErr w:type="spellEnd"/>
      <w:r w:rsidRPr="0074066D">
        <w:rPr>
          <w:rFonts w:cs="Times New Roman"/>
          <w:szCs w:val="24"/>
          <w:lang w:val="en-IN"/>
        </w:rPr>
        <w:t xml:space="preserve"> Act of 2010 was </w:t>
      </w:r>
      <w:r w:rsidR="005C3B82" w:rsidRPr="0074066D">
        <w:rPr>
          <w:rFonts w:cs="Times New Roman"/>
          <w:szCs w:val="24"/>
          <w:lang w:val="en-IN"/>
        </w:rPr>
        <w:t>accepted</w:t>
      </w:r>
      <w:r w:rsidRPr="0074066D">
        <w:rPr>
          <w:rFonts w:cs="Times New Roman"/>
          <w:szCs w:val="24"/>
          <w:lang w:val="en-IN"/>
        </w:rPr>
        <w:t xml:space="preserve"> in the United States, increasing regulatory monitoring and </w:t>
      </w:r>
      <w:r w:rsidR="005C3B82" w:rsidRPr="0074066D">
        <w:rPr>
          <w:rFonts w:cs="Times New Roman"/>
          <w:szCs w:val="24"/>
          <w:lang w:val="en-IN"/>
        </w:rPr>
        <w:t>starting</w:t>
      </w:r>
      <w:r w:rsidRPr="0074066D">
        <w:rPr>
          <w:rFonts w:cs="Times New Roman"/>
          <w:szCs w:val="24"/>
          <w:lang w:val="en-IN"/>
        </w:rPr>
        <w:t xml:space="preserve"> new </w:t>
      </w:r>
      <w:r w:rsidR="005C3B82" w:rsidRPr="0074066D">
        <w:rPr>
          <w:rFonts w:cs="Times New Roman"/>
          <w:szCs w:val="24"/>
          <w:lang w:val="en-IN"/>
        </w:rPr>
        <w:t>controlling</w:t>
      </w:r>
      <w:r w:rsidRPr="0074066D">
        <w:rPr>
          <w:rFonts w:cs="Times New Roman"/>
          <w:szCs w:val="24"/>
          <w:lang w:val="en-IN"/>
        </w:rPr>
        <w:t xml:space="preserve"> organisations </w:t>
      </w:r>
      <w:r w:rsidR="005C3B82" w:rsidRPr="0074066D">
        <w:rPr>
          <w:rFonts w:cs="Times New Roman"/>
          <w:szCs w:val="24"/>
          <w:lang w:val="en-IN"/>
        </w:rPr>
        <w:t>with</w:t>
      </w:r>
      <w:r w:rsidRPr="0074066D">
        <w:rPr>
          <w:rFonts w:cs="Times New Roman"/>
          <w:szCs w:val="24"/>
          <w:lang w:val="en-IN"/>
        </w:rPr>
        <w:t xml:space="preserve"> the Consumer Financial </w:t>
      </w:r>
      <w:proofErr w:type="spellStart"/>
      <w:r w:rsidR="005C3B82" w:rsidRPr="0074066D">
        <w:rPr>
          <w:rFonts w:cs="Times New Roman"/>
          <w:szCs w:val="24"/>
          <w:lang w:val="en-IN"/>
        </w:rPr>
        <w:t>Defense</w:t>
      </w:r>
      <w:proofErr w:type="spellEnd"/>
      <w:r w:rsidRPr="0074066D">
        <w:rPr>
          <w:rFonts w:cs="Times New Roman"/>
          <w:szCs w:val="24"/>
          <w:lang w:val="en-IN"/>
        </w:rPr>
        <w:t xml:space="preserve"> Bureau. In order to stabilise the banking industry, the US government also created the Troubled Asset Relief Programme (TARP). In order to enhance consumer protection and guarantee financial stability, the UK formed a new regulatory organisation, the Financial Conduct Authority, in 2013. Separating </w:t>
      </w:r>
      <w:r w:rsidR="005C3B82" w:rsidRPr="0074066D">
        <w:rPr>
          <w:rFonts w:cs="Times New Roman"/>
          <w:szCs w:val="24"/>
          <w:lang w:val="en-IN"/>
        </w:rPr>
        <w:t>trade</w:t>
      </w:r>
      <w:r w:rsidRPr="0074066D">
        <w:rPr>
          <w:rFonts w:cs="Times New Roman"/>
          <w:szCs w:val="24"/>
          <w:lang w:val="en-IN"/>
        </w:rPr>
        <w:t xml:space="preserve"> banking from </w:t>
      </w:r>
      <w:r w:rsidR="005C3B82" w:rsidRPr="0074066D">
        <w:rPr>
          <w:rFonts w:cs="Times New Roman"/>
          <w:szCs w:val="24"/>
          <w:lang w:val="en-IN"/>
        </w:rPr>
        <w:t>venture</w:t>
      </w:r>
      <w:r w:rsidRPr="0074066D">
        <w:rPr>
          <w:rFonts w:cs="Times New Roman"/>
          <w:szCs w:val="24"/>
          <w:lang w:val="en-IN"/>
        </w:rPr>
        <w:t xml:space="preserve"> banking was another way the government reorganised the banking industry. New laws, such as the Capital Requirements Directive IV, </w:t>
      </w:r>
      <w:r>
        <w:rPr>
          <w:rFonts w:cs="Times New Roman"/>
          <w:szCs w:val="24"/>
          <w:lang w:val="en-IN"/>
        </w:rPr>
        <w:t xml:space="preserve">that </w:t>
      </w:r>
      <w:r w:rsidRPr="0074066D">
        <w:rPr>
          <w:rFonts w:cs="Times New Roman"/>
          <w:szCs w:val="24"/>
          <w:lang w:val="en-IN"/>
        </w:rPr>
        <w:t>required banks to keep more capital to protect against losses, were enacted in the EU, giving the European Central Bank greater control over the financial sector.</w:t>
      </w:r>
      <w:r w:rsidR="006B61FB" w:rsidRPr="006B61FB">
        <w:rPr>
          <w:rFonts w:cs="Times New Roman"/>
          <w:szCs w:val="24"/>
          <w:lang w:val="en-IN"/>
        </w:rPr>
        <w:t xml:space="preserve"> The Global Financial Crisis (GFC) of 2008 is remembered as one of the most significant financial cataclysms of modern times. Its ramifications were felt across the globe, exposing the vulnerabilities inherent in the international financial system. Financial markets witnessed unprecedented collapses, massive meltdown of banking entities, and a deterioration of financial stability. As a result, regulatory authorities and governments across the world took drastic measures to confront the crisis and introduced sweeping financial reforms. Some of these measures include the Dodd-Frank Wall Street Reform and the Consumer Protection Act in the United States, and Basel III regulations by the Basel Committee on Banking Supervision. </w:t>
      </w:r>
      <w:r w:rsidRPr="0074066D">
        <w:rPr>
          <w:rFonts w:cs="Times New Roman"/>
          <w:szCs w:val="24"/>
          <w:lang w:val="en-IN"/>
        </w:rPr>
        <w:br w:type="page"/>
      </w:r>
    </w:p>
    <w:sdt>
      <w:sdtPr>
        <w:rPr>
          <w:rFonts w:ascii="Times New Roman" w:eastAsiaTheme="minorHAnsi" w:hAnsi="Times New Roman" w:cs="Times New Roman"/>
          <w:color w:val="auto"/>
          <w:kern w:val="2"/>
          <w:sz w:val="24"/>
          <w:szCs w:val="24"/>
          <w:lang w:val="en-GB"/>
          <w14:ligatures w14:val="standardContextual"/>
        </w:rPr>
        <w:id w:val="227733437"/>
        <w:docPartObj>
          <w:docPartGallery w:val="Table of Contents"/>
          <w:docPartUnique/>
        </w:docPartObj>
      </w:sdtPr>
      <w:sdtEndPr>
        <w:rPr>
          <w:b/>
          <w:bCs/>
          <w:noProof/>
        </w:rPr>
      </w:sdtEndPr>
      <w:sdtContent>
        <w:p w14:paraId="079505EA" w14:textId="77777777" w:rsidR="0074066D" w:rsidRPr="0074066D" w:rsidRDefault="0074066D" w:rsidP="0074066D">
          <w:pPr>
            <w:pStyle w:val="TOCHeading"/>
            <w:spacing w:line="360" w:lineRule="auto"/>
            <w:jc w:val="both"/>
            <w:rPr>
              <w:rFonts w:ascii="Times New Roman" w:hAnsi="Times New Roman" w:cs="Times New Roman"/>
              <w:b/>
              <w:bCs/>
              <w:color w:val="auto"/>
              <w:sz w:val="24"/>
              <w:szCs w:val="24"/>
            </w:rPr>
          </w:pPr>
          <w:r w:rsidRPr="0074066D">
            <w:rPr>
              <w:rFonts w:ascii="Times New Roman" w:hAnsi="Times New Roman" w:cs="Times New Roman"/>
              <w:b/>
              <w:bCs/>
              <w:color w:val="auto"/>
              <w:sz w:val="24"/>
              <w:szCs w:val="24"/>
            </w:rPr>
            <w:t>Table of Contents</w:t>
          </w:r>
        </w:p>
        <w:p w14:paraId="7B10A9B6" w14:textId="77777777" w:rsidR="0074066D" w:rsidRDefault="0074066D">
          <w:pPr>
            <w:pStyle w:val="TOC1"/>
            <w:tabs>
              <w:tab w:val="right" w:leader="dot" w:pos="9016"/>
            </w:tabs>
            <w:rPr>
              <w:rFonts w:asciiTheme="minorHAnsi" w:eastAsiaTheme="minorEastAsia" w:hAnsiTheme="minorHAnsi"/>
              <w:noProof/>
              <w:kern w:val="0"/>
              <w:sz w:val="22"/>
              <w:lang w:val="en-IN" w:eastAsia="en-IN"/>
              <w14:ligatures w14:val="none"/>
            </w:rPr>
          </w:pPr>
          <w:r w:rsidRPr="0074066D">
            <w:rPr>
              <w:rFonts w:cs="Times New Roman"/>
              <w:szCs w:val="24"/>
            </w:rPr>
            <w:fldChar w:fldCharType="begin"/>
          </w:r>
          <w:r w:rsidRPr="0074066D">
            <w:rPr>
              <w:rFonts w:cs="Times New Roman"/>
              <w:szCs w:val="24"/>
            </w:rPr>
            <w:instrText xml:space="preserve"> TOC \o "1-3" \h \z \u </w:instrText>
          </w:r>
          <w:r w:rsidRPr="0074066D">
            <w:rPr>
              <w:rFonts w:cs="Times New Roman"/>
              <w:szCs w:val="24"/>
            </w:rPr>
            <w:fldChar w:fldCharType="separate"/>
          </w:r>
          <w:hyperlink w:anchor="_Toc133335211" w:history="1">
            <w:r w:rsidRPr="00C40D01">
              <w:rPr>
                <w:rStyle w:val="Hyperlink"/>
                <w:rFonts w:cs="Times New Roman"/>
                <w:noProof/>
              </w:rPr>
              <w:t>1. Introduction</w:t>
            </w:r>
            <w:r>
              <w:rPr>
                <w:noProof/>
                <w:webHidden/>
              </w:rPr>
              <w:tab/>
            </w:r>
            <w:r>
              <w:rPr>
                <w:noProof/>
                <w:webHidden/>
              </w:rPr>
              <w:fldChar w:fldCharType="begin"/>
            </w:r>
            <w:r>
              <w:rPr>
                <w:noProof/>
                <w:webHidden/>
              </w:rPr>
              <w:instrText xml:space="preserve"> PAGEREF _Toc133335211 \h </w:instrText>
            </w:r>
            <w:r>
              <w:rPr>
                <w:noProof/>
                <w:webHidden/>
              </w:rPr>
            </w:r>
            <w:r>
              <w:rPr>
                <w:noProof/>
                <w:webHidden/>
              </w:rPr>
              <w:fldChar w:fldCharType="separate"/>
            </w:r>
            <w:r>
              <w:rPr>
                <w:noProof/>
                <w:webHidden/>
              </w:rPr>
              <w:t>4</w:t>
            </w:r>
            <w:r>
              <w:rPr>
                <w:noProof/>
                <w:webHidden/>
              </w:rPr>
              <w:fldChar w:fldCharType="end"/>
            </w:r>
          </w:hyperlink>
        </w:p>
        <w:p w14:paraId="494BA4CD" w14:textId="77777777" w:rsidR="0074066D" w:rsidRDefault="00000000">
          <w:pPr>
            <w:pStyle w:val="TOC1"/>
            <w:tabs>
              <w:tab w:val="right" w:leader="dot" w:pos="9016"/>
            </w:tabs>
            <w:rPr>
              <w:rFonts w:asciiTheme="minorHAnsi" w:eastAsiaTheme="minorEastAsia" w:hAnsiTheme="minorHAnsi"/>
              <w:noProof/>
              <w:kern w:val="0"/>
              <w:sz w:val="22"/>
              <w:lang w:val="en-IN" w:eastAsia="en-IN"/>
              <w14:ligatures w14:val="none"/>
            </w:rPr>
          </w:pPr>
          <w:hyperlink w:anchor="_Toc133335212" w:history="1">
            <w:r w:rsidR="0074066D" w:rsidRPr="00C40D01">
              <w:rPr>
                <w:rStyle w:val="Hyperlink"/>
                <w:rFonts w:cs="Times New Roman"/>
                <w:noProof/>
                <w:lang w:val="en-IN"/>
              </w:rPr>
              <w:t>2. Discussion and Analysis</w:t>
            </w:r>
            <w:r w:rsidR="0074066D">
              <w:rPr>
                <w:noProof/>
                <w:webHidden/>
              </w:rPr>
              <w:tab/>
            </w:r>
            <w:r w:rsidR="0074066D">
              <w:rPr>
                <w:noProof/>
                <w:webHidden/>
              </w:rPr>
              <w:fldChar w:fldCharType="begin"/>
            </w:r>
            <w:r w:rsidR="0074066D">
              <w:rPr>
                <w:noProof/>
                <w:webHidden/>
              </w:rPr>
              <w:instrText xml:space="preserve"> PAGEREF _Toc133335212 \h </w:instrText>
            </w:r>
            <w:r w:rsidR="0074066D">
              <w:rPr>
                <w:noProof/>
                <w:webHidden/>
              </w:rPr>
            </w:r>
            <w:r w:rsidR="0074066D">
              <w:rPr>
                <w:noProof/>
                <w:webHidden/>
              </w:rPr>
              <w:fldChar w:fldCharType="separate"/>
            </w:r>
            <w:r w:rsidR="0074066D">
              <w:rPr>
                <w:noProof/>
                <w:webHidden/>
              </w:rPr>
              <w:t>4</w:t>
            </w:r>
            <w:r w:rsidR="0074066D">
              <w:rPr>
                <w:noProof/>
                <w:webHidden/>
              </w:rPr>
              <w:fldChar w:fldCharType="end"/>
            </w:r>
          </w:hyperlink>
        </w:p>
        <w:p w14:paraId="75FE25B6" w14:textId="77777777" w:rsidR="0074066D" w:rsidRDefault="00000000">
          <w:pPr>
            <w:pStyle w:val="TOC2"/>
            <w:tabs>
              <w:tab w:val="right" w:leader="dot" w:pos="9016"/>
            </w:tabs>
            <w:rPr>
              <w:rFonts w:asciiTheme="minorHAnsi" w:eastAsiaTheme="minorEastAsia" w:hAnsiTheme="minorHAnsi"/>
              <w:noProof/>
              <w:kern w:val="0"/>
              <w:sz w:val="22"/>
              <w:lang w:val="en-IN" w:eastAsia="en-IN"/>
              <w14:ligatures w14:val="none"/>
            </w:rPr>
          </w:pPr>
          <w:hyperlink w:anchor="_Toc133335213" w:history="1">
            <w:r w:rsidR="0074066D" w:rsidRPr="00C40D01">
              <w:rPr>
                <w:rStyle w:val="Hyperlink"/>
                <w:rFonts w:cs="Times New Roman"/>
                <w:noProof/>
                <w:lang w:val="en-IN"/>
              </w:rPr>
              <w:t>2.1. Key laws, regulations and contracts that were enacted post-2008 crises</w:t>
            </w:r>
            <w:r w:rsidR="0074066D">
              <w:rPr>
                <w:noProof/>
                <w:webHidden/>
              </w:rPr>
              <w:tab/>
            </w:r>
            <w:r w:rsidR="0074066D">
              <w:rPr>
                <w:noProof/>
                <w:webHidden/>
              </w:rPr>
              <w:fldChar w:fldCharType="begin"/>
            </w:r>
            <w:r w:rsidR="0074066D">
              <w:rPr>
                <w:noProof/>
                <w:webHidden/>
              </w:rPr>
              <w:instrText xml:space="preserve"> PAGEREF _Toc133335213 \h </w:instrText>
            </w:r>
            <w:r w:rsidR="0074066D">
              <w:rPr>
                <w:noProof/>
                <w:webHidden/>
              </w:rPr>
            </w:r>
            <w:r w:rsidR="0074066D">
              <w:rPr>
                <w:noProof/>
                <w:webHidden/>
              </w:rPr>
              <w:fldChar w:fldCharType="separate"/>
            </w:r>
            <w:r w:rsidR="0074066D">
              <w:rPr>
                <w:noProof/>
                <w:webHidden/>
              </w:rPr>
              <w:t>4</w:t>
            </w:r>
            <w:r w:rsidR="0074066D">
              <w:rPr>
                <w:noProof/>
                <w:webHidden/>
              </w:rPr>
              <w:fldChar w:fldCharType="end"/>
            </w:r>
          </w:hyperlink>
        </w:p>
        <w:p w14:paraId="31F99DC5" w14:textId="77777777" w:rsidR="0074066D" w:rsidRDefault="00000000">
          <w:pPr>
            <w:pStyle w:val="TOC2"/>
            <w:tabs>
              <w:tab w:val="right" w:leader="dot" w:pos="9016"/>
            </w:tabs>
            <w:rPr>
              <w:rFonts w:asciiTheme="minorHAnsi" w:eastAsiaTheme="minorEastAsia" w:hAnsiTheme="minorHAnsi"/>
              <w:noProof/>
              <w:kern w:val="0"/>
              <w:sz w:val="22"/>
              <w:lang w:val="en-IN" w:eastAsia="en-IN"/>
              <w14:ligatures w14:val="none"/>
            </w:rPr>
          </w:pPr>
          <w:hyperlink w:anchor="_Toc133335214" w:history="1">
            <w:r w:rsidR="0074066D" w:rsidRPr="00C40D01">
              <w:rPr>
                <w:rStyle w:val="Hyperlink"/>
                <w:rFonts w:cs="Times New Roman"/>
                <w:noProof/>
              </w:rPr>
              <w:t>2.2. Contribution of reforms towards stabilising the economy</w:t>
            </w:r>
            <w:r w:rsidR="0074066D">
              <w:rPr>
                <w:noProof/>
                <w:webHidden/>
              </w:rPr>
              <w:tab/>
            </w:r>
            <w:r w:rsidR="0074066D">
              <w:rPr>
                <w:noProof/>
                <w:webHidden/>
              </w:rPr>
              <w:fldChar w:fldCharType="begin"/>
            </w:r>
            <w:r w:rsidR="0074066D">
              <w:rPr>
                <w:noProof/>
                <w:webHidden/>
              </w:rPr>
              <w:instrText xml:space="preserve"> PAGEREF _Toc133335214 \h </w:instrText>
            </w:r>
            <w:r w:rsidR="0074066D">
              <w:rPr>
                <w:noProof/>
                <w:webHidden/>
              </w:rPr>
            </w:r>
            <w:r w:rsidR="0074066D">
              <w:rPr>
                <w:noProof/>
                <w:webHidden/>
              </w:rPr>
              <w:fldChar w:fldCharType="separate"/>
            </w:r>
            <w:r w:rsidR="0074066D">
              <w:rPr>
                <w:noProof/>
                <w:webHidden/>
              </w:rPr>
              <w:t>9</w:t>
            </w:r>
            <w:r w:rsidR="0074066D">
              <w:rPr>
                <w:noProof/>
                <w:webHidden/>
              </w:rPr>
              <w:fldChar w:fldCharType="end"/>
            </w:r>
          </w:hyperlink>
        </w:p>
        <w:p w14:paraId="5026628F" w14:textId="77777777" w:rsidR="0074066D" w:rsidRDefault="00000000">
          <w:pPr>
            <w:pStyle w:val="TOC2"/>
            <w:tabs>
              <w:tab w:val="right" w:leader="dot" w:pos="9016"/>
            </w:tabs>
            <w:rPr>
              <w:rFonts w:asciiTheme="minorHAnsi" w:eastAsiaTheme="minorEastAsia" w:hAnsiTheme="minorHAnsi"/>
              <w:noProof/>
              <w:kern w:val="0"/>
              <w:sz w:val="22"/>
              <w:lang w:val="en-IN" w:eastAsia="en-IN"/>
              <w14:ligatures w14:val="none"/>
            </w:rPr>
          </w:pPr>
          <w:hyperlink w:anchor="_Toc133335215" w:history="1">
            <w:r w:rsidR="0074066D" w:rsidRPr="00C40D01">
              <w:rPr>
                <w:rStyle w:val="Hyperlink"/>
                <w:rFonts w:cs="Times New Roman"/>
                <w:noProof/>
              </w:rPr>
              <w:t>2.3. Impact of reforms on the Bank Natwest’s business model and their level of compliance/non-compliance</w:t>
            </w:r>
            <w:r w:rsidR="0074066D">
              <w:rPr>
                <w:noProof/>
                <w:webHidden/>
              </w:rPr>
              <w:tab/>
            </w:r>
            <w:r w:rsidR="0074066D">
              <w:rPr>
                <w:noProof/>
                <w:webHidden/>
              </w:rPr>
              <w:fldChar w:fldCharType="begin"/>
            </w:r>
            <w:r w:rsidR="0074066D">
              <w:rPr>
                <w:noProof/>
                <w:webHidden/>
              </w:rPr>
              <w:instrText xml:space="preserve"> PAGEREF _Toc133335215 \h </w:instrText>
            </w:r>
            <w:r w:rsidR="0074066D">
              <w:rPr>
                <w:noProof/>
                <w:webHidden/>
              </w:rPr>
            </w:r>
            <w:r w:rsidR="0074066D">
              <w:rPr>
                <w:noProof/>
                <w:webHidden/>
              </w:rPr>
              <w:fldChar w:fldCharType="separate"/>
            </w:r>
            <w:r w:rsidR="0074066D">
              <w:rPr>
                <w:noProof/>
                <w:webHidden/>
              </w:rPr>
              <w:t>11</w:t>
            </w:r>
            <w:r w:rsidR="0074066D">
              <w:rPr>
                <w:noProof/>
                <w:webHidden/>
              </w:rPr>
              <w:fldChar w:fldCharType="end"/>
            </w:r>
          </w:hyperlink>
        </w:p>
        <w:p w14:paraId="6B9FF98A" w14:textId="77777777" w:rsidR="0074066D" w:rsidRDefault="00000000">
          <w:pPr>
            <w:pStyle w:val="TOC1"/>
            <w:tabs>
              <w:tab w:val="right" w:leader="dot" w:pos="9016"/>
            </w:tabs>
            <w:rPr>
              <w:rFonts w:asciiTheme="minorHAnsi" w:eastAsiaTheme="minorEastAsia" w:hAnsiTheme="minorHAnsi"/>
              <w:noProof/>
              <w:kern w:val="0"/>
              <w:sz w:val="22"/>
              <w:lang w:val="en-IN" w:eastAsia="en-IN"/>
              <w14:ligatures w14:val="none"/>
            </w:rPr>
          </w:pPr>
          <w:hyperlink w:anchor="_Toc133335216" w:history="1">
            <w:r w:rsidR="0074066D" w:rsidRPr="00C40D01">
              <w:rPr>
                <w:rStyle w:val="Hyperlink"/>
                <w:rFonts w:cs="Times New Roman"/>
                <w:noProof/>
              </w:rPr>
              <w:t>3. Conclusion</w:t>
            </w:r>
            <w:r w:rsidR="0074066D">
              <w:rPr>
                <w:noProof/>
                <w:webHidden/>
              </w:rPr>
              <w:tab/>
            </w:r>
            <w:r w:rsidR="0074066D">
              <w:rPr>
                <w:noProof/>
                <w:webHidden/>
              </w:rPr>
              <w:fldChar w:fldCharType="begin"/>
            </w:r>
            <w:r w:rsidR="0074066D">
              <w:rPr>
                <w:noProof/>
                <w:webHidden/>
              </w:rPr>
              <w:instrText xml:space="preserve"> PAGEREF _Toc133335216 \h </w:instrText>
            </w:r>
            <w:r w:rsidR="0074066D">
              <w:rPr>
                <w:noProof/>
                <w:webHidden/>
              </w:rPr>
            </w:r>
            <w:r w:rsidR="0074066D">
              <w:rPr>
                <w:noProof/>
                <w:webHidden/>
              </w:rPr>
              <w:fldChar w:fldCharType="separate"/>
            </w:r>
            <w:r w:rsidR="0074066D">
              <w:rPr>
                <w:noProof/>
                <w:webHidden/>
              </w:rPr>
              <w:t>14</w:t>
            </w:r>
            <w:r w:rsidR="0074066D">
              <w:rPr>
                <w:noProof/>
                <w:webHidden/>
              </w:rPr>
              <w:fldChar w:fldCharType="end"/>
            </w:r>
          </w:hyperlink>
        </w:p>
        <w:p w14:paraId="73350B0E" w14:textId="77777777" w:rsidR="0074066D" w:rsidRDefault="00000000">
          <w:pPr>
            <w:pStyle w:val="TOC1"/>
            <w:tabs>
              <w:tab w:val="right" w:leader="dot" w:pos="9016"/>
            </w:tabs>
            <w:rPr>
              <w:rFonts w:asciiTheme="minorHAnsi" w:eastAsiaTheme="minorEastAsia" w:hAnsiTheme="minorHAnsi"/>
              <w:noProof/>
              <w:kern w:val="0"/>
              <w:sz w:val="22"/>
              <w:lang w:val="en-IN" w:eastAsia="en-IN"/>
              <w14:ligatures w14:val="none"/>
            </w:rPr>
          </w:pPr>
          <w:hyperlink w:anchor="_Toc133335217" w:history="1">
            <w:r w:rsidR="0074066D" w:rsidRPr="00C40D01">
              <w:rPr>
                <w:rStyle w:val="Hyperlink"/>
                <w:rFonts w:cs="Times New Roman"/>
                <w:noProof/>
              </w:rPr>
              <w:t>References</w:t>
            </w:r>
            <w:r w:rsidR="0074066D">
              <w:rPr>
                <w:noProof/>
                <w:webHidden/>
              </w:rPr>
              <w:tab/>
            </w:r>
            <w:r w:rsidR="0074066D">
              <w:rPr>
                <w:noProof/>
                <w:webHidden/>
              </w:rPr>
              <w:fldChar w:fldCharType="begin"/>
            </w:r>
            <w:r w:rsidR="0074066D">
              <w:rPr>
                <w:noProof/>
                <w:webHidden/>
              </w:rPr>
              <w:instrText xml:space="preserve"> PAGEREF _Toc133335217 \h </w:instrText>
            </w:r>
            <w:r w:rsidR="0074066D">
              <w:rPr>
                <w:noProof/>
                <w:webHidden/>
              </w:rPr>
            </w:r>
            <w:r w:rsidR="0074066D">
              <w:rPr>
                <w:noProof/>
                <w:webHidden/>
              </w:rPr>
              <w:fldChar w:fldCharType="separate"/>
            </w:r>
            <w:r w:rsidR="0074066D">
              <w:rPr>
                <w:noProof/>
                <w:webHidden/>
              </w:rPr>
              <w:t>16</w:t>
            </w:r>
            <w:r w:rsidR="0074066D">
              <w:rPr>
                <w:noProof/>
                <w:webHidden/>
              </w:rPr>
              <w:fldChar w:fldCharType="end"/>
            </w:r>
          </w:hyperlink>
        </w:p>
        <w:p w14:paraId="54F615E4" w14:textId="77777777" w:rsidR="0074066D" w:rsidRPr="0074066D" w:rsidRDefault="0074066D" w:rsidP="0074066D">
          <w:pPr>
            <w:jc w:val="both"/>
            <w:rPr>
              <w:rFonts w:cs="Times New Roman"/>
              <w:szCs w:val="24"/>
            </w:rPr>
          </w:pPr>
          <w:r w:rsidRPr="0074066D">
            <w:rPr>
              <w:rFonts w:cs="Times New Roman"/>
              <w:b/>
              <w:bCs/>
              <w:noProof/>
              <w:szCs w:val="24"/>
            </w:rPr>
            <w:fldChar w:fldCharType="end"/>
          </w:r>
        </w:p>
      </w:sdtContent>
    </w:sdt>
    <w:p w14:paraId="7FB2A4C4" w14:textId="77777777" w:rsidR="002F0BAC" w:rsidRPr="0074066D" w:rsidRDefault="002F0BAC" w:rsidP="0074066D">
      <w:pPr>
        <w:jc w:val="both"/>
        <w:rPr>
          <w:rFonts w:cs="Times New Roman"/>
          <w:szCs w:val="24"/>
          <w:lang w:val="en-IN"/>
        </w:rPr>
      </w:pPr>
    </w:p>
    <w:p w14:paraId="0367E459" w14:textId="77777777" w:rsidR="00BA45B0" w:rsidRPr="0074066D" w:rsidRDefault="00BA45B0" w:rsidP="0074066D">
      <w:pPr>
        <w:jc w:val="both"/>
        <w:rPr>
          <w:rFonts w:cs="Times New Roman"/>
          <w:szCs w:val="24"/>
          <w:lang w:val="en-IN"/>
        </w:rPr>
      </w:pPr>
      <w:r w:rsidRPr="0074066D">
        <w:rPr>
          <w:rFonts w:cs="Times New Roman"/>
          <w:szCs w:val="24"/>
          <w:lang w:val="en-IN"/>
        </w:rPr>
        <w:br w:type="page"/>
      </w:r>
    </w:p>
    <w:p w14:paraId="43AFE873" w14:textId="77777777" w:rsidR="00E14BC8" w:rsidRPr="0074066D" w:rsidRDefault="000E4EF7" w:rsidP="0074066D">
      <w:pPr>
        <w:pStyle w:val="Heading1"/>
        <w:jc w:val="both"/>
        <w:rPr>
          <w:rFonts w:cs="Times New Roman"/>
          <w:sz w:val="24"/>
          <w:szCs w:val="24"/>
        </w:rPr>
      </w:pPr>
      <w:bookmarkStart w:id="0" w:name="_Toc133335211"/>
      <w:r w:rsidRPr="0074066D">
        <w:rPr>
          <w:rFonts w:cs="Times New Roman"/>
          <w:sz w:val="24"/>
          <w:szCs w:val="24"/>
        </w:rPr>
        <w:lastRenderedPageBreak/>
        <w:t xml:space="preserve">1. </w:t>
      </w:r>
      <w:r w:rsidR="00BA45B0" w:rsidRPr="0074066D">
        <w:rPr>
          <w:rFonts w:cs="Times New Roman"/>
          <w:sz w:val="24"/>
          <w:szCs w:val="24"/>
        </w:rPr>
        <w:t>Introduction</w:t>
      </w:r>
      <w:bookmarkEnd w:id="0"/>
      <w:r w:rsidR="00BA45B0" w:rsidRPr="0074066D">
        <w:rPr>
          <w:rFonts w:cs="Times New Roman"/>
          <w:sz w:val="24"/>
          <w:szCs w:val="24"/>
        </w:rPr>
        <w:t xml:space="preserve"> </w:t>
      </w:r>
    </w:p>
    <w:p w14:paraId="4E754D82" w14:textId="4E855D59" w:rsidR="00BA45B0" w:rsidRPr="0074066D" w:rsidRDefault="00CE3C04" w:rsidP="0074066D">
      <w:pPr>
        <w:jc w:val="both"/>
        <w:rPr>
          <w:rFonts w:cs="Times New Roman"/>
          <w:szCs w:val="24"/>
          <w:lang w:val="en-IN"/>
        </w:rPr>
      </w:pPr>
      <w:r w:rsidRPr="0074066D">
        <w:rPr>
          <w:rFonts w:cs="Times New Roman"/>
          <w:szCs w:val="24"/>
          <w:lang w:val="en-IN"/>
        </w:rPr>
        <w:t>Managing a bank's financial resources to increase earnings and reduce risks is known as banking financial management. Financial analysis, asset and liability management, investment management, and risk management are some of the tasks performed by the managers. The term "financial markets" describes the locations where buyers and sellers transact with respect to financial assets including stocks, bonds, currencies, and commodities</w:t>
      </w:r>
      <w:r w:rsidR="001B3F22" w:rsidRPr="0074066D">
        <w:rPr>
          <w:rFonts w:cs="Times New Roman"/>
          <w:szCs w:val="24"/>
          <w:lang w:val="en-IN"/>
        </w:rPr>
        <w:t xml:space="preserve"> (</w:t>
      </w:r>
      <w:proofErr w:type="spellStart"/>
      <w:r w:rsidR="001B3F22" w:rsidRPr="0074066D">
        <w:rPr>
          <w:rFonts w:cs="Times New Roman"/>
          <w:szCs w:val="24"/>
          <w:lang w:val="en-IN"/>
        </w:rPr>
        <w:t>Caroleo</w:t>
      </w:r>
      <w:proofErr w:type="spellEnd"/>
      <w:r w:rsidR="001B3F22" w:rsidRPr="0074066D">
        <w:rPr>
          <w:rFonts w:cs="Times New Roman"/>
          <w:szCs w:val="24"/>
          <w:lang w:val="en-IN"/>
        </w:rPr>
        <w:t xml:space="preserve"> et al., 2020)</w:t>
      </w:r>
      <w:r w:rsidRPr="0074066D">
        <w:rPr>
          <w:rFonts w:cs="Times New Roman"/>
          <w:szCs w:val="24"/>
          <w:lang w:val="en-IN"/>
        </w:rPr>
        <w:t xml:space="preserve">. These marketplaces contribute to price discovery and the flow of capital between lenders </w:t>
      </w:r>
      <w:r w:rsidR="004653A6">
        <w:rPr>
          <w:rFonts w:cs="Times New Roman"/>
          <w:szCs w:val="24"/>
          <w:lang w:val="en-IN"/>
        </w:rPr>
        <w:t xml:space="preserve">as well as </w:t>
      </w:r>
      <w:r w:rsidRPr="0074066D">
        <w:rPr>
          <w:rFonts w:cs="Times New Roman"/>
          <w:szCs w:val="24"/>
          <w:lang w:val="en-IN"/>
        </w:rPr>
        <w:t>investors. They are essential to the operation of the world economy and play a significant part in distributing money to useful uses. Thus, it is very important for the investors, policy makers and other financial institutions to have adequate knowledge of the financial institutions</w:t>
      </w:r>
      <w:r w:rsidR="00EE1662" w:rsidRPr="0074066D">
        <w:rPr>
          <w:rFonts w:cs="Times New Roman"/>
          <w:szCs w:val="24"/>
          <w:lang w:val="en-IN"/>
        </w:rPr>
        <w:t xml:space="preserve"> (</w:t>
      </w:r>
      <w:proofErr w:type="spellStart"/>
      <w:r w:rsidR="00EE1662" w:rsidRPr="0074066D">
        <w:rPr>
          <w:rFonts w:cs="Times New Roman"/>
          <w:szCs w:val="24"/>
          <w:lang w:val="en-IN"/>
        </w:rPr>
        <w:t>Andreoni</w:t>
      </w:r>
      <w:proofErr w:type="spellEnd"/>
      <w:r w:rsidR="00EE1662" w:rsidRPr="0074066D">
        <w:rPr>
          <w:rFonts w:cs="Times New Roman"/>
          <w:szCs w:val="24"/>
          <w:lang w:val="en-IN"/>
        </w:rPr>
        <w:t>, 2020)</w:t>
      </w:r>
      <w:r w:rsidRPr="0074066D">
        <w:rPr>
          <w:rFonts w:cs="Times New Roman"/>
          <w:szCs w:val="24"/>
          <w:lang w:val="en-IN"/>
        </w:rPr>
        <w:t xml:space="preserve">. </w:t>
      </w:r>
    </w:p>
    <w:p w14:paraId="5432F462" w14:textId="3ACFE48F" w:rsidR="004653A6" w:rsidRDefault="00CE3C04" w:rsidP="0074066D">
      <w:pPr>
        <w:jc w:val="both"/>
        <w:rPr>
          <w:rFonts w:cs="Times New Roman"/>
          <w:szCs w:val="24"/>
          <w:lang w:val="en-IN"/>
        </w:rPr>
      </w:pPr>
      <w:r w:rsidRPr="0074066D">
        <w:rPr>
          <w:rFonts w:cs="Times New Roman"/>
          <w:szCs w:val="24"/>
          <w:lang w:val="en-IN"/>
        </w:rPr>
        <w:t xml:space="preserve">The Great Recession, also known as the </w:t>
      </w:r>
      <w:r w:rsidR="005C3B82" w:rsidRPr="0074066D">
        <w:rPr>
          <w:rFonts w:cs="Times New Roman"/>
          <w:szCs w:val="24"/>
          <w:lang w:val="en-IN"/>
        </w:rPr>
        <w:t>Worldwide</w:t>
      </w:r>
      <w:r w:rsidRPr="0074066D">
        <w:rPr>
          <w:rFonts w:cs="Times New Roman"/>
          <w:szCs w:val="24"/>
          <w:lang w:val="en-IN"/>
        </w:rPr>
        <w:t xml:space="preserve"> Financial Crisis of 2008, was a disastrous </w:t>
      </w:r>
      <w:r w:rsidR="005C3B82" w:rsidRPr="0074066D">
        <w:rPr>
          <w:rFonts w:cs="Times New Roman"/>
          <w:szCs w:val="24"/>
          <w:lang w:val="en-IN"/>
        </w:rPr>
        <w:t>financial</w:t>
      </w:r>
      <w:r w:rsidRPr="0074066D">
        <w:rPr>
          <w:rFonts w:cs="Times New Roman"/>
          <w:szCs w:val="24"/>
          <w:lang w:val="en-IN"/>
        </w:rPr>
        <w:t xml:space="preserve"> </w:t>
      </w:r>
      <w:r w:rsidR="00AB1603">
        <w:rPr>
          <w:rFonts w:cs="Times New Roman"/>
          <w:szCs w:val="24"/>
          <w:lang w:val="en-IN"/>
        </w:rPr>
        <w:t xml:space="preserve">And economical </w:t>
      </w:r>
      <w:r w:rsidRPr="0074066D">
        <w:rPr>
          <w:rFonts w:cs="Times New Roman"/>
          <w:szCs w:val="24"/>
          <w:lang w:val="en-IN"/>
        </w:rPr>
        <w:t>crash</w:t>
      </w:r>
      <w:r w:rsidR="005C5FFE">
        <w:rPr>
          <w:rFonts w:cs="Times New Roman"/>
          <w:szCs w:val="24"/>
          <w:lang w:val="en-IN"/>
        </w:rPr>
        <w:t xml:space="preserve">, </w:t>
      </w:r>
      <w:r w:rsidRPr="0074066D">
        <w:rPr>
          <w:rFonts w:cs="Times New Roman"/>
          <w:szCs w:val="24"/>
          <w:lang w:val="en-IN"/>
        </w:rPr>
        <w:t xml:space="preserve">started in the United </w:t>
      </w:r>
      <w:r w:rsidR="005C5FFE">
        <w:rPr>
          <w:rFonts w:cs="Times New Roman"/>
          <w:szCs w:val="24"/>
          <w:lang w:val="en-IN"/>
        </w:rPr>
        <w:t xml:space="preserve">States that cost many ordinary </w:t>
      </w:r>
      <w:r w:rsidR="00124585">
        <w:rPr>
          <w:rFonts w:cs="Times New Roman"/>
          <w:szCs w:val="24"/>
          <w:lang w:val="en-IN"/>
        </w:rPr>
        <w:t xml:space="preserve">people their jobs , homes and </w:t>
      </w:r>
      <w:r w:rsidR="00252F55">
        <w:rPr>
          <w:rFonts w:cs="Times New Roman"/>
          <w:szCs w:val="24"/>
          <w:lang w:val="en-IN"/>
        </w:rPr>
        <w:t xml:space="preserve">assets. </w:t>
      </w:r>
      <w:r w:rsidR="00CB3F41">
        <w:rPr>
          <w:rFonts w:cs="Times New Roman"/>
          <w:szCs w:val="24"/>
          <w:lang w:val="en-IN"/>
        </w:rPr>
        <w:t xml:space="preserve">The Recession spread quickly throughout the globe. </w:t>
      </w:r>
      <w:r w:rsidR="00B31F5B">
        <w:rPr>
          <w:rFonts w:cs="Times New Roman"/>
          <w:szCs w:val="24"/>
          <w:lang w:val="en-IN"/>
        </w:rPr>
        <w:t xml:space="preserve">The </w:t>
      </w:r>
      <w:r w:rsidR="00785025">
        <w:rPr>
          <w:rFonts w:cs="Times New Roman"/>
          <w:szCs w:val="24"/>
          <w:lang w:val="en-IN"/>
        </w:rPr>
        <w:t xml:space="preserve">financial markets showed signs of a crisis due </w:t>
      </w:r>
      <w:r w:rsidR="005C60BA">
        <w:rPr>
          <w:rFonts w:cs="Times New Roman"/>
          <w:szCs w:val="24"/>
          <w:lang w:val="en-IN"/>
        </w:rPr>
        <w:t xml:space="preserve">to increase in government spending as well as reduced </w:t>
      </w:r>
      <w:r w:rsidR="004438DD">
        <w:rPr>
          <w:rFonts w:cs="Times New Roman"/>
          <w:szCs w:val="24"/>
          <w:lang w:val="en-IN"/>
        </w:rPr>
        <w:t xml:space="preserve">interest rates </w:t>
      </w:r>
      <w:r w:rsidR="00785025">
        <w:rPr>
          <w:rFonts w:cs="Times New Roman"/>
          <w:szCs w:val="24"/>
          <w:lang w:val="en-IN"/>
        </w:rPr>
        <w:t xml:space="preserve"> </w:t>
      </w:r>
      <w:r w:rsidR="002D6180">
        <w:rPr>
          <w:rFonts w:cs="Times New Roman"/>
          <w:szCs w:val="24"/>
          <w:lang w:val="en-IN"/>
        </w:rPr>
        <w:t xml:space="preserve">as a result  a few investors suspected that the global financial system was about to </w:t>
      </w:r>
      <w:r w:rsidR="008730C5">
        <w:rPr>
          <w:rFonts w:cs="Times New Roman"/>
          <w:szCs w:val="24"/>
          <w:lang w:val="en-IN"/>
        </w:rPr>
        <w:t>collapse</w:t>
      </w:r>
      <w:r w:rsidR="002D6180">
        <w:rPr>
          <w:rFonts w:cs="Times New Roman"/>
          <w:szCs w:val="24"/>
          <w:lang w:val="en-IN"/>
        </w:rPr>
        <w:t xml:space="preserve"> b</w:t>
      </w:r>
      <w:r w:rsidR="008730C5">
        <w:rPr>
          <w:rFonts w:cs="Times New Roman"/>
          <w:szCs w:val="24"/>
          <w:lang w:val="en-IN"/>
        </w:rPr>
        <w:t xml:space="preserve">y </w:t>
      </w:r>
      <w:r w:rsidR="002D6180">
        <w:rPr>
          <w:rFonts w:cs="Times New Roman"/>
          <w:szCs w:val="24"/>
          <w:lang w:val="en-IN"/>
        </w:rPr>
        <w:t xml:space="preserve">the worst economical crisis. </w:t>
      </w:r>
      <w:r w:rsidRPr="0074066D">
        <w:rPr>
          <w:rFonts w:cs="Times New Roman"/>
          <w:szCs w:val="24"/>
          <w:lang w:val="en-IN"/>
        </w:rPr>
        <w:t xml:space="preserve"> It was brought on by the U.S. housing market collapse, </w:t>
      </w:r>
      <w:r w:rsidR="004C486A" w:rsidRPr="0074066D">
        <w:rPr>
          <w:rFonts w:cs="Times New Roman"/>
          <w:szCs w:val="24"/>
          <w:lang w:val="en-IN"/>
        </w:rPr>
        <w:t>that</w:t>
      </w:r>
      <w:r w:rsidRPr="0074066D">
        <w:rPr>
          <w:rFonts w:cs="Times New Roman"/>
          <w:szCs w:val="24"/>
          <w:lang w:val="en-IN"/>
        </w:rPr>
        <w:t xml:space="preserve"> was made possible by the overabundance of subprime mortgages and inadequate regulatory conditions. Lenders that were ready to extend loans to borrowers that did not fulfil conventional credit standards</w:t>
      </w:r>
      <w:r w:rsidR="002310B7" w:rsidRPr="0074066D">
        <w:rPr>
          <w:rFonts w:cs="Times New Roman"/>
          <w:szCs w:val="24"/>
          <w:lang w:val="en-IN"/>
        </w:rPr>
        <w:t xml:space="preserve"> </w:t>
      </w:r>
      <w:r w:rsidRPr="0074066D">
        <w:rPr>
          <w:rFonts w:cs="Times New Roman"/>
          <w:szCs w:val="24"/>
          <w:lang w:val="en-IN"/>
        </w:rPr>
        <w:t xml:space="preserve">often with adjustable rates that initially began off low but eventually rose </w:t>
      </w:r>
      <w:r w:rsidR="002310B7" w:rsidRPr="0074066D">
        <w:rPr>
          <w:rFonts w:cs="Times New Roman"/>
          <w:szCs w:val="24"/>
          <w:lang w:val="en-IN"/>
        </w:rPr>
        <w:t>significantly were</w:t>
      </w:r>
      <w:r w:rsidRPr="0074066D">
        <w:rPr>
          <w:rFonts w:cs="Times New Roman"/>
          <w:szCs w:val="24"/>
          <w:lang w:val="en-IN"/>
        </w:rPr>
        <w:t xml:space="preserve"> </w:t>
      </w:r>
      <w:r w:rsidR="002310B7" w:rsidRPr="0074066D">
        <w:rPr>
          <w:rFonts w:cs="Times New Roman"/>
          <w:szCs w:val="24"/>
          <w:lang w:val="en-IN"/>
        </w:rPr>
        <w:t>responsible</w:t>
      </w:r>
      <w:r w:rsidRPr="0074066D">
        <w:rPr>
          <w:rFonts w:cs="Times New Roman"/>
          <w:szCs w:val="24"/>
          <w:lang w:val="en-IN"/>
        </w:rPr>
        <w:t xml:space="preserve"> for the subprime mortgage crisis</w:t>
      </w:r>
      <w:r w:rsidR="001B3F22" w:rsidRPr="0074066D">
        <w:rPr>
          <w:rFonts w:cs="Times New Roman"/>
          <w:szCs w:val="24"/>
          <w:lang w:val="en-IN"/>
        </w:rPr>
        <w:t xml:space="preserve"> (Chen, Ting and Wang, 2020)</w:t>
      </w:r>
      <w:r w:rsidRPr="0074066D">
        <w:rPr>
          <w:rFonts w:cs="Times New Roman"/>
          <w:szCs w:val="24"/>
          <w:lang w:val="en-IN"/>
        </w:rPr>
        <w:t xml:space="preserve">. </w:t>
      </w:r>
      <w:r w:rsidR="003F62D1">
        <w:rPr>
          <w:rFonts w:cs="Times New Roman"/>
          <w:szCs w:val="24"/>
          <w:lang w:val="en-IN"/>
        </w:rPr>
        <w:t xml:space="preserve">The objective of this was to boost the conditions of the economy by </w:t>
      </w:r>
      <w:r w:rsidR="00365D27">
        <w:rPr>
          <w:rFonts w:cs="Times New Roman"/>
          <w:szCs w:val="24"/>
          <w:lang w:val="en-IN"/>
        </w:rPr>
        <w:t>making money accessible to businesses as well as consumers at low rates.</w:t>
      </w:r>
      <w:r w:rsidR="00BB5ABC">
        <w:rPr>
          <w:rFonts w:cs="Times New Roman"/>
          <w:szCs w:val="24"/>
          <w:lang w:val="en-IN"/>
        </w:rPr>
        <w:t xml:space="preserve"> This resulted as an increase in home prices as borrowers took advantage of low </w:t>
      </w:r>
      <w:r w:rsidR="0098116B">
        <w:rPr>
          <w:rFonts w:cs="Times New Roman"/>
          <w:szCs w:val="24"/>
          <w:lang w:val="en-IN"/>
        </w:rPr>
        <w:t>mortgage rates.</w:t>
      </w:r>
      <w:r w:rsidR="00BB5ABC">
        <w:rPr>
          <w:rFonts w:cs="Times New Roman"/>
          <w:szCs w:val="24"/>
          <w:lang w:val="en-IN"/>
        </w:rPr>
        <w:t xml:space="preserve"> </w:t>
      </w:r>
      <w:r w:rsidR="00365D27">
        <w:rPr>
          <w:rFonts w:cs="Times New Roman"/>
          <w:szCs w:val="24"/>
          <w:lang w:val="en-IN"/>
        </w:rPr>
        <w:t xml:space="preserve"> </w:t>
      </w:r>
      <w:r w:rsidRPr="0074066D">
        <w:rPr>
          <w:rFonts w:cs="Times New Roman"/>
          <w:szCs w:val="24"/>
          <w:lang w:val="en-IN"/>
        </w:rPr>
        <w:t>As borrowers fell behind on their payments</w:t>
      </w:r>
      <w:r w:rsidR="002310B7" w:rsidRPr="0074066D">
        <w:rPr>
          <w:rFonts w:cs="Times New Roman"/>
          <w:szCs w:val="24"/>
          <w:lang w:val="en-IN"/>
        </w:rPr>
        <w:t xml:space="preserve"> increasingly</w:t>
      </w:r>
      <w:r w:rsidRPr="0074066D">
        <w:rPr>
          <w:rFonts w:cs="Times New Roman"/>
          <w:szCs w:val="24"/>
          <w:lang w:val="en-IN"/>
        </w:rPr>
        <w:t xml:space="preserve">, the housing market </w:t>
      </w:r>
      <w:r w:rsidR="002310B7" w:rsidRPr="0074066D">
        <w:rPr>
          <w:rFonts w:cs="Times New Roman"/>
          <w:szCs w:val="24"/>
          <w:lang w:val="en-IN"/>
        </w:rPr>
        <w:t>became more vulnerable</w:t>
      </w:r>
      <w:r w:rsidRPr="0074066D">
        <w:rPr>
          <w:rFonts w:cs="Times New Roman"/>
          <w:szCs w:val="24"/>
          <w:lang w:val="en-IN"/>
        </w:rPr>
        <w:t xml:space="preserve">, sending </w:t>
      </w:r>
      <w:r w:rsidR="002310B7" w:rsidRPr="0074066D">
        <w:rPr>
          <w:rFonts w:cs="Times New Roman"/>
          <w:szCs w:val="24"/>
          <w:lang w:val="en-IN"/>
        </w:rPr>
        <w:t>repercussions</w:t>
      </w:r>
      <w:r w:rsidRPr="0074066D">
        <w:rPr>
          <w:rFonts w:cs="Times New Roman"/>
          <w:szCs w:val="24"/>
          <w:lang w:val="en-IN"/>
        </w:rPr>
        <w:t xml:space="preserve"> across the whole global financial system</w:t>
      </w:r>
      <w:r w:rsidR="00EE1662" w:rsidRPr="0074066D">
        <w:rPr>
          <w:rFonts w:cs="Times New Roman"/>
          <w:szCs w:val="24"/>
          <w:lang w:val="en-IN"/>
        </w:rPr>
        <w:t xml:space="preserve"> (</w:t>
      </w:r>
      <w:proofErr w:type="spellStart"/>
      <w:r w:rsidR="00EE1662" w:rsidRPr="0074066D">
        <w:rPr>
          <w:rFonts w:cs="Times New Roman"/>
          <w:szCs w:val="24"/>
          <w:lang w:val="en-IN"/>
        </w:rPr>
        <w:t>Behn</w:t>
      </w:r>
      <w:proofErr w:type="spellEnd"/>
      <w:r w:rsidR="00EE1662" w:rsidRPr="0074066D">
        <w:rPr>
          <w:rFonts w:cs="Times New Roman"/>
          <w:szCs w:val="24"/>
          <w:lang w:val="en-IN"/>
        </w:rPr>
        <w:t xml:space="preserve"> and Schramm, 2021)</w:t>
      </w:r>
      <w:r w:rsidRPr="0074066D">
        <w:rPr>
          <w:rFonts w:cs="Times New Roman"/>
          <w:szCs w:val="24"/>
          <w:lang w:val="en-IN"/>
        </w:rPr>
        <w:t>.</w:t>
      </w:r>
    </w:p>
    <w:p w14:paraId="3033664A" w14:textId="68DE992A" w:rsidR="005D5F70" w:rsidRDefault="004653A6" w:rsidP="0074066D">
      <w:pPr>
        <w:jc w:val="both"/>
        <w:rPr>
          <w:rFonts w:cs="Times New Roman"/>
          <w:szCs w:val="24"/>
          <w:lang w:val="en-IN"/>
        </w:rPr>
      </w:pPr>
      <w:r>
        <w:rPr>
          <w:rFonts w:cs="Times New Roman"/>
          <w:szCs w:val="24"/>
          <w:lang w:val="en-IN"/>
        </w:rPr>
        <w:t xml:space="preserve">According to a 2011 </w:t>
      </w:r>
      <w:r w:rsidR="008424EF">
        <w:rPr>
          <w:rFonts w:cs="Times New Roman"/>
          <w:szCs w:val="24"/>
          <w:lang w:val="en-IN"/>
        </w:rPr>
        <w:t>report</w:t>
      </w:r>
      <w:r w:rsidR="001C0902">
        <w:rPr>
          <w:rFonts w:cs="Times New Roman"/>
          <w:szCs w:val="24"/>
          <w:lang w:val="en-IN"/>
        </w:rPr>
        <w:t>,</w:t>
      </w:r>
      <w:r w:rsidR="004520D8">
        <w:rPr>
          <w:rFonts w:cs="Times New Roman"/>
          <w:szCs w:val="24"/>
          <w:lang w:val="en-IN"/>
        </w:rPr>
        <w:t xml:space="preserve"> Th</w:t>
      </w:r>
      <w:r w:rsidR="008424EF">
        <w:rPr>
          <w:rFonts w:cs="Times New Roman"/>
          <w:szCs w:val="24"/>
          <w:lang w:val="en-IN"/>
        </w:rPr>
        <w:t xml:space="preserve">e financial crisis inquiry </w:t>
      </w:r>
      <w:r w:rsidR="001C0902">
        <w:rPr>
          <w:rFonts w:cs="Times New Roman"/>
          <w:szCs w:val="24"/>
          <w:lang w:val="en-IN"/>
        </w:rPr>
        <w:t>commission</w:t>
      </w:r>
      <w:r w:rsidR="008424EF">
        <w:rPr>
          <w:rFonts w:cs="Times New Roman"/>
          <w:szCs w:val="24"/>
          <w:lang w:val="en-IN"/>
        </w:rPr>
        <w:t xml:space="preserve"> </w:t>
      </w:r>
      <w:r w:rsidR="00A9035E">
        <w:rPr>
          <w:rFonts w:cs="Times New Roman"/>
          <w:szCs w:val="24"/>
          <w:lang w:val="en-IN"/>
        </w:rPr>
        <w:t xml:space="preserve">(FCIC) </w:t>
      </w:r>
      <w:r w:rsidR="00F121F7">
        <w:rPr>
          <w:rFonts w:cs="Times New Roman"/>
          <w:szCs w:val="24"/>
          <w:lang w:val="en-IN"/>
        </w:rPr>
        <w:t xml:space="preserve">came to a conclusion </w:t>
      </w:r>
      <w:r w:rsidR="00DC1163">
        <w:rPr>
          <w:rFonts w:cs="Times New Roman"/>
          <w:szCs w:val="24"/>
          <w:lang w:val="en-IN"/>
        </w:rPr>
        <w:t xml:space="preserve">that the financial </w:t>
      </w:r>
      <w:r w:rsidR="0023493B">
        <w:rPr>
          <w:rFonts w:cs="Times New Roman"/>
          <w:szCs w:val="24"/>
          <w:lang w:val="en-IN"/>
        </w:rPr>
        <w:t xml:space="preserve">crisis was </w:t>
      </w:r>
      <w:r w:rsidR="0093053D">
        <w:rPr>
          <w:rFonts w:cs="Times New Roman"/>
          <w:szCs w:val="24"/>
          <w:lang w:val="en-IN"/>
        </w:rPr>
        <w:t xml:space="preserve">avoidable. </w:t>
      </w:r>
      <w:r w:rsidR="00A33D04">
        <w:rPr>
          <w:rFonts w:cs="Times New Roman"/>
          <w:szCs w:val="24"/>
          <w:lang w:val="en-IN"/>
        </w:rPr>
        <w:t xml:space="preserve">There were several Signs that led to one of the largest financial and economical global crisis </w:t>
      </w:r>
    </w:p>
    <w:p w14:paraId="23AF408F" w14:textId="390430E9" w:rsidR="001B3283" w:rsidRPr="001B3283" w:rsidRDefault="001B3283" w:rsidP="0074066D">
      <w:pPr>
        <w:jc w:val="both"/>
        <w:rPr>
          <w:rFonts w:cs="Times New Roman"/>
          <w:szCs w:val="24"/>
          <w:u w:val="single"/>
          <w:lang w:val="en-IN"/>
        </w:rPr>
      </w:pPr>
      <w:r>
        <w:rPr>
          <w:rFonts w:cs="Times New Roman"/>
          <w:szCs w:val="24"/>
          <w:u w:val="single"/>
          <w:lang w:val="en-IN"/>
        </w:rPr>
        <w:t xml:space="preserve">THE WARNING SIGNS </w:t>
      </w:r>
      <w:r w:rsidR="00A33D04">
        <w:rPr>
          <w:rFonts w:cs="Times New Roman"/>
          <w:szCs w:val="24"/>
          <w:u w:val="single"/>
          <w:lang w:val="en-IN"/>
        </w:rPr>
        <w:t xml:space="preserve">BEFORE </w:t>
      </w:r>
      <w:r>
        <w:rPr>
          <w:rFonts w:cs="Times New Roman"/>
          <w:szCs w:val="24"/>
          <w:u w:val="single"/>
          <w:lang w:val="en-IN"/>
        </w:rPr>
        <w:t xml:space="preserve">THE CRISIS </w:t>
      </w:r>
    </w:p>
    <w:p w14:paraId="3EE58CEF" w14:textId="2ACEE917" w:rsidR="00E87E70" w:rsidRDefault="005D5F70" w:rsidP="0074066D">
      <w:pPr>
        <w:jc w:val="both"/>
        <w:rPr>
          <w:rFonts w:cs="Times New Roman"/>
          <w:szCs w:val="24"/>
          <w:lang w:val="en-IN"/>
        </w:rPr>
      </w:pPr>
      <w:r>
        <w:rPr>
          <w:rFonts w:cs="Times New Roman"/>
          <w:szCs w:val="24"/>
          <w:lang w:val="en-IN"/>
        </w:rPr>
        <w:lastRenderedPageBreak/>
        <w:t xml:space="preserve"> Early 2006 : House prices fell </w:t>
      </w:r>
    </w:p>
    <w:p w14:paraId="0B7DB97E" w14:textId="3D08D8A6" w:rsidR="005D5F70" w:rsidRDefault="00D40F4A" w:rsidP="0074066D">
      <w:pPr>
        <w:jc w:val="both"/>
        <w:rPr>
          <w:rFonts w:cs="Times New Roman"/>
          <w:szCs w:val="24"/>
          <w:lang w:val="en-IN"/>
        </w:rPr>
      </w:pPr>
      <w:r>
        <w:rPr>
          <w:rFonts w:cs="Times New Roman"/>
          <w:szCs w:val="24"/>
          <w:lang w:val="en-IN"/>
        </w:rPr>
        <w:t xml:space="preserve">Early 2007 : Subprime lenders </w:t>
      </w:r>
      <w:r w:rsidR="0054587E">
        <w:rPr>
          <w:rFonts w:cs="Times New Roman"/>
          <w:szCs w:val="24"/>
          <w:lang w:val="en-IN"/>
        </w:rPr>
        <w:t xml:space="preserve">started filing for bankruptcy </w:t>
      </w:r>
    </w:p>
    <w:p w14:paraId="2AE0FD3B" w14:textId="539DEA34" w:rsidR="0054587E" w:rsidRDefault="0054587E" w:rsidP="0074066D">
      <w:pPr>
        <w:jc w:val="both"/>
        <w:rPr>
          <w:rFonts w:cs="Times New Roman"/>
          <w:szCs w:val="24"/>
          <w:lang w:val="en-IN"/>
        </w:rPr>
      </w:pPr>
      <w:r>
        <w:rPr>
          <w:rFonts w:cs="Times New Roman"/>
          <w:szCs w:val="24"/>
          <w:lang w:val="en-IN"/>
        </w:rPr>
        <w:t xml:space="preserve">June 2007 : </w:t>
      </w:r>
      <w:r w:rsidR="00296949">
        <w:rPr>
          <w:rFonts w:cs="Times New Roman"/>
          <w:szCs w:val="24"/>
          <w:lang w:val="en-IN"/>
        </w:rPr>
        <w:t xml:space="preserve">weighed down by </w:t>
      </w:r>
      <w:r w:rsidR="00010E05">
        <w:rPr>
          <w:rFonts w:cs="Times New Roman"/>
          <w:szCs w:val="24"/>
          <w:lang w:val="en-IN"/>
        </w:rPr>
        <w:t>investments</w:t>
      </w:r>
      <w:r w:rsidR="00296949">
        <w:rPr>
          <w:rFonts w:cs="Times New Roman"/>
          <w:szCs w:val="24"/>
          <w:lang w:val="en-IN"/>
        </w:rPr>
        <w:t xml:space="preserve"> in subprime loans, 2 major hedge funds </w:t>
      </w:r>
      <w:r w:rsidR="00303252">
        <w:rPr>
          <w:rFonts w:cs="Times New Roman"/>
          <w:szCs w:val="24"/>
          <w:lang w:val="en-IN"/>
        </w:rPr>
        <w:t xml:space="preserve">failed </w:t>
      </w:r>
    </w:p>
    <w:p w14:paraId="2C934103" w14:textId="6F50791F" w:rsidR="00303252" w:rsidRDefault="00303252" w:rsidP="0074066D">
      <w:pPr>
        <w:jc w:val="both"/>
        <w:rPr>
          <w:rFonts w:cs="Times New Roman"/>
          <w:szCs w:val="24"/>
          <w:lang w:val="en-IN"/>
        </w:rPr>
      </w:pPr>
      <w:r>
        <w:rPr>
          <w:rFonts w:cs="Times New Roman"/>
          <w:szCs w:val="24"/>
          <w:lang w:val="en-IN"/>
        </w:rPr>
        <w:t xml:space="preserve">Aug 2007 : The global lending system froze </w:t>
      </w:r>
      <w:r w:rsidR="002F12D6">
        <w:rPr>
          <w:rFonts w:cs="Times New Roman"/>
          <w:szCs w:val="24"/>
          <w:lang w:val="en-IN"/>
        </w:rPr>
        <w:t>due the panic caused by the losses in subprime loan investments</w:t>
      </w:r>
    </w:p>
    <w:p w14:paraId="563B1847" w14:textId="44C9261C" w:rsidR="00385C61" w:rsidRDefault="00385C61" w:rsidP="0074066D">
      <w:pPr>
        <w:jc w:val="both"/>
        <w:rPr>
          <w:rFonts w:cs="Times New Roman"/>
          <w:szCs w:val="24"/>
          <w:lang w:val="en-IN"/>
        </w:rPr>
      </w:pPr>
      <w:r>
        <w:rPr>
          <w:rFonts w:cs="Times New Roman"/>
          <w:szCs w:val="24"/>
          <w:lang w:val="en-IN"/>
        </w:rPr>
        <w:t xml:space="preserve">September 2008 : The biggest </w:t>
      </w:r>
      <w:r w:rsidR="005302B6">
        <w:rPr>
          <w:rFonts w:cs="Times New Roman"/>
          <w:szCs w:val="24"/>
          <w:lang w:val="en-IN"/>
        </w:rPr>
        <w:t>U.S Bankruptcy</w:t>
      </w:r>
      <w:r>
        <w:rPr>
          <w:rFonts w:cs="Times New Roman"/>
          <w:szCs w:val="24"/>
          <w:lang w:val="en-IN"/>
        </w:rPr>
        <w:t xml:space="preserve"> ever </w:t>
      </w:r>
      <w:r w:rsidR="005302B6">
        <w:rPr>
          <w:rFonts w:cs="Times New Roman"/>
          <w:szCs w:val="24"/>
          <w:lang w:val="en-IN"/>
        </w:rPr>
        <w:t xml:space="preserve">, The collapse of the Lehman Brothers </w:t>
      </w:r>
    </w:p>
    <w:p w14:paraId="300FAA07" w14:textId="77777777" w:rsidR="00E6241A" w:rsidRPr="00E6241A" w:rsidRDefault="005409D0" w:rsidP="00E6241A">
      <w:pPr>
        <w:jc w:val="both"/>
        <w:rPr>
          <w:rFonts w:cs="Times New Roman"/>
          <w:szCs w:val="24"/>
          <w:lang w:val="en-IN"/>
        </w:rPr>
      </w:pPr>
      <w:r>
        <w:rPr>
          <w:rFonts w:cs="Times New Roman"/>
          <w:szCs w:val="24"/>
          <w:lang w:val="en-IN"/>
        </w:rPr>
        <w:t xml:space="preserve"> </w:t>
      </w:r>
      <w:r w:rsidR="00E6241A" w:rsidRPr="00E6241A">
        <w:rPr>
          <w:rFonts w:cs="Times New Roman"/>
          <w:szCs w:val="24"/>
          <w:lang w:val="en-IN"/>
        </w:rPr>
        <w:t>When the housing bubble eventually burst in 2007, it exposed the fragility of the financial system, triggering a chain of events that culminated in the collapse of major financial institutions such as Bear Stearns, Lehman Brothers, and Northern Rock.</w:t>
      </w:r>
    </w:p>
    <w:p w14:paraId="233AF108" w14:textId="2DFDB6DC" w:rsidR="00292AF4" w:rsidRDefault="00E6241A" w:rsidP="0074066D">
      <w:pPr>
        <w:jc w:val="both"/>
        <w:rPr>
          <w:rFonts w:cs="Times New Roman"/>
          <w:szCs w:val="24"/>
          <w:lang w:val="en-IN"/>
        </w:rPr>
      </w:pPr>
      <w:r w:rsidRPr="00E6241A">
        <w:rPr>
          <w:rFonts w:cs="Times New Roman"/>
          <w:szCs w:val="24"/>
          <w:lang w:val="en-IN"/>
        </w:rPr>
        <w:t>The collapse of these institutions, in turn, resulted in a severe liquidity shortage throughout the global financial system, which led to a plummeting of stock markets and the freezing of credit markets worldwide. In response to the crisis, central banks and governments across nations scrambled to adopt measures aimed at containing the financial meltdown and preventing a complete collapse of the global economic system.</w:t>
      </w:r>
    </w:p>
    <w:p w14:paraId="67D7C56F" w14:textId="6DE4E665" w:rsidR="002310B7" w:rsidRPr="0074066D" w:rsidRDefault="00CE3C04" w:rsidP="0074066D">
      <w:pPr>
        <w:jc w:val="both"/>
        <w:rPr>
          <w:rFonts w:cs="Times New Roman"/>
          <w:szCs w:val="24"/>
          <w:lang w:val="en-IN"/>
        </w:rPr>
      </w:pPr>
      <w:r w:rsidRPr="0074066D">
        <w:rPr>
          <w:rFonts w:cs="Times New Roman"/>
          <w:szCs w:val="24"/>
          <w:lang w:val="en-IN"/>
        </w:rPr>
        <w:t xml:space="preserve">Many financial firms failed or came dangerously close to failing as a result of the crisis, </w:t>
      </w:r>
      <w:r w:rsidR="002310B7" w:rsidRPr="0074066D">
        <w:rPr>
          <w:rFonts w:cs="Times New Roman"/>
          <w:szCs w:val="24"/>
          <w:lang w:val="en-IN"/>
        </w:rPr>
        <w:t>that</w:t>
      </w:r>
      <w:r w:rsidRPr="0074066D">
        <w:rPr>
          <w:rFonts w:cs="Times New Roman"/>
          <w:szCs w:val="24"/>
          <w:lang w:val="en-IN"/>
        </w:rPr>
        <w:t xml:space="preserve"> also caused a liquidity crisis that compelled governments all over the world to step in and offer bailouts to stop further collapse</w:t>
      </w:r>
      <w:r w:rsidR="001B3F22" w:rsidRPr="0074066D">
        <w:rPr>
          <w:rFonts w:cs="Times New Roman"/>
          <w:szCs w:val="24"/>
          <w:lang w:val="en-IN"/>
        </w:rPr>
        <w:t xml:space="preserve"> (Christensen and Hearson, 2019)</w:t>
      </w:r>
      <w:r w:rsidRPr="0074066D">
        <w:rPr>
          <w:rFonts w:cs="Times New Roman"/>
          <w:szCs w:val="24"/>
          <w:lang w:val="en-IN"/>
        </w:rPr>
        <w:t xml:space="preserve">. The crisis had a </w:t>
      </w:r>
      <w:r w:rsidR="005C3B82" w:rsidRPr="0074066D">
        <w:rPr>
          <w:rFonts w:cs="Times New Roman"/>
          <w:szCs w:val="24"/>
          <w:lang w:val="en-IN"/>
        </w:rPr>
        <w:t>noteworthy</w:t>
      </w:r>
      <w:r w:rsidRPr="0074066D">
        <w:rPr>
          <w:rFonts w:cs="Times New Roman"/>
          <w:szCs w:val="24"/>
          <w:lang w:val="en-IN"/>
        </w:rPr>
        <w:t xml:space="preserve"> effect on the world economy, </w:t>
      </w:r>
      <w:r w:rsidR="005C3B82" w:rsidRPr="0074066D">
        <w:rPr>
          <w:rFonts w:cs="Times New Roman"/>
          <w:szCs w:val="24"/>
          <w:lang w:val="en-IN"/>
        </w:rPr>
        <w:t>ensuing</w:t>
      </w:r>
      <w:r w:rsidRPr="0074066D">
        <w:rPr>
          <w:rFonts w:cs="Times New Roman"/>
          <w:szCs w:val="24"/>
          <w:lang w:val="en-IN"/>
        </w:rPr>
        <w:t xml:space="preserve"> in job losses, house foreclosures, and an extended period of severe recession. The financial industry was also subject to more regulation as a result of the crisis</w:t>
      </w:r>
      <w:r w:rsidR="00EE1662" w:rsidRPr="0074066D">
        <w:rPr>
          <w:rFonts w:cs="Times New Roman"/>
          <w:szCs w:val="24"/>
          <w:lang w:val="en-IN"/>
        </w:rPr>
        <w:t xml:space="preserve"> (Berman and </w:t>
      </w:r>
      <w:proofErr w:type="spellStart"/>
      <w:r w:rsidR="00EE1662" w:rsidRPr="0074066D">
        <w:rPr>
          <w:rFonts w:cs="Times New Roman"/>
          <w:szCs w:val="24"/>
          <w:lang w:val="en-IN"/>
        </w:rPr>
        <w:t>Snegovaya</w:t>
      </w:r>
      <w:proofErr w:type="spellEnd"/>
      <w:r w:rsidR="00EE1662" w:rsidRPr="0074066D">
        <w:rPr>
          <w:rFonts w:cs="Times New Roman"/>
          <w:szCs w:val="24"/>
          <w:lang w:val="en-IN"/>
        </w:rPr>
        <w:t>, 2019)</w:t>
      </w:r>
      <w:r w:rsidRPr="0074066D">
        <w:rPr>
          <w:rFonts w:cs="Times New Roman"/>
          <w:szCs w:val="24"/>
          <w:lang w:val="en-IN"/>
        </w:rPr>
        <w:t xml:space="preserve">. </w:t>
      </w:r>
    </w:p>
    <w:p w14:paraId="5BBE2417" w14:textId="77777777" w:rsidR="002310B7" w:rsidRPr="0074066D" w:rsidRDefault="000E4EF7" w:rsidP="0074066D">
      <w:pPr>
        <w:pStyle w:val="Heading1"/>
        <w:jc w:val="both"/>
        <w:rPr>
          <w:rFonts w:cs="Times New Roman"/>
          <w:sz w:val="24"/>
          <w:szCs w:val="24"/>
          <w:lang w:val="en-IN"/>
        </w:rPr>
      </w:pPr>
      <w:bookmarkStart w:id="1" w:name="_Toc133335212"/>
      <w:r w:rsidRPr="0074066D">
        <w:rPr>
          <w:rFonts w:cs="Times New Roman"/>
          <w:sz w:val="24"/>
          <w:szCs w:val="24"/>
          <w:lang w:val="en-IN"/>
        </w:rPr>
        <w:t xml:space="preserve">2. </w:t>
      </w:r>
      <w:r w:rsidR="002310B7" w:rsidRPr="0074066D">
        <w:rPr>
          <w:rFonts w:cs="Times New Roman"/>
          <w:sz w:val="24"/>
          <w:szCs w:val="24"/>
          <w:lang w:val="en-IN"/>
        </w:rPr>
        <w:t>Discussion and Analysis</w:t>
      </w:r>
      <w:bookmarkEnd w:id="1"/>
      <w:r w:rsidR="002310B7" w:rsidRPr="0074066D">
        <w:rPr>
          <w:rFonts w:cs="Times New Roman"/>
          <w:sz w:val="24"/>
          <w:szCs w:val="24"/>
          <w:lang w:val="en-IN"/>
        </w:rPr>
        <w:t xml:space="preserve"> </w:t>
      </w:r>
    </w:p>
    <w:p w14:paraId="287B6E5C" w14:textId="77777777" w:rsidR="002310B7" w:rsidRPr="0074066D" w:rsidRDefault="000E4EF7" w:rsidP="0074066D">
      <w:pPr>
        <w:pStyle w:val="Heading2"/>
        <w:spacing w:line="360" w:lineRule="auto"/>
        <w:jc w:val="both"/>
        <w:rPr>
          <w:rFonts w:cs="Times New Roman"/>
          <w:sz w:val="24"/>
          <w:szCs w:val="24"/>
          <w:lang w:val="en-IN"/>
        </w:rPr>
      </w:pPr>
      <w:bookmarkStart w:id="2" w:name="_Toc133335213"/>
      <w:r w:rsidRPr="0074066D">
        <w:rPr>
          <w:rFonts w:cs="Times New Roman"/>
          <w:sz w:val="24"/>
          <w:szCs w:val="24"/>
          <w:lang w:val="en-IN"/>
        </w:rPr>
        <w:t xml:space="preserve">2.1. </w:t>
      </w:r>
      <w:r w:rsidR="002310B7" w:rsidRPr="0074066D">
        <w:rPr>
          <w:rFonts w:cs="Times New Roman"/>
          <w:sz w:val="24"/>
          <w:szCs w:val="24"/>
          <w:lang w:val="en-IN"/>
        </w:rPr>
        <w:t xml:space="preserve">Key laws, </w:t>
      </w:r>
      <w:r w:rsidR="005C3B82" w:rsidRPr="0074066D">
        <w:rPr>
          <w:rFonts w:cs="Times New Roman"/>
          <w:sz w:val="24"/>
          <w:szCs w:val="24"/>
          <w:lang w:val="en-IN"/>
        </w:rPr>
        <w:t>guidelines</w:t>
      </w:r>
      <w:r w:rsidR="002310B7" w:rsidRPr="0074066D">
        <w:rPr>
          <w:rFonts w:cs="Times New Roman"/>
          <w:sz w:val="24"/>
          <w:szCs w:val="24"/>
          <w:lang w:val="en-IN"/>
        </w:rPr>
        <w:t xml:space="preserve"> and contracts that were </w:t>
      </w:r>
      <w:r w:rsidR="005C3B82" w:rsidRPr="0074066D">
        <w:rPr>
          <w:rFonts w:cs="Times New Roman"/>
          <w:sz w:val="24"/>
          <w:szCs w:val="24"/>
          <w:lang w:val="en-IN"/>
        </w:rPr>
        <w:t>passed</w:t>
      </w:r>
      <w:r w:rsidR="002310B7" w:rsidRPr="0074066D">
        <w:rPr>
          <w:rFonts w:cs="Times New Roman"/>
          <w:sz w:val="24"/>
          <w:szCs w:val="24"/>
          <w:lang w:val="en-IN"/>
        </w:rPr>
        <w:t xml:space="preserve"> </w:t>
      </w:r>
      <w:r w:rsidR="00AB6820" w:rsidRPr="0074066D">
        <w:rPr>
          <w:rFonts w:cs="Times New Roman"/>
          <w:sz w:val="24"/>
          <w:szCs w:val="24"/>
          <w:lang w:val="en-IN"/>
        </w:rPr>
        <w:t>post-2008</w:t>
      </w:r>
      <w:r w:rsidR="002310B7" w:rsidRPr="0074066D">
        <w:rPr>
          <w:rFonts w:cs="Times New Roman"/>
          <w:sz w:val="24"/>
          <w:szCs w:val="24"/>
          <w:lang w:val="en-IN"/>
        </w:rPr>
        <w:t xml:space="preserve"> crises</w:t>
      </w:r>
      <w:bookmarkEnd w:id="2"/>
      <w:r w:rsidR="002310B7" w:rsidRPr="0074066D">
        <w:rPr>
          <w:rFonts w:cs="Times New Roman"/>
          <w:sz w:val="24"/>
          <w:szCs w:val="24"/>
          <w:lang w:val="en-IN"/>
        </w:rPr>
        <w:t xml:space="preserve"> </w:t>
      </w:r>
    </w:p>
    <w:p w14:paraId="22457765" w14:textId="75E54480" w:rsidR="002310B7" w:rsidRPr="0074066D" w:rsidRDefault="00205826" w:rsidP="0074066D">
      <w:pPr>
        <w:jc w:val="both"/>
        <w:rPr>
          <w:rFonts w:cs="Times New Roman"/>
          <w:b/>
          <w:bCs/>
          <w:szCs w:val="24"/>
          <w:lang w:val="en-IN"/>
        </w:rPr>
      </w:pPr>
      <w:r>
        <w:rPr>
          <w:rFonts w:cs="Times New Roman"/>
          <w:b/>
          <w:bCs/>
          <w:szCs w:val="24"/>
          <w:lang w:val="en-IN"/>
        </w:rPr>
        <w:t xml:space="preserve">By </w:t>
      </w:r>
      <w:r w:rsidR="002205F3">
        <w:rPr>
          <w:rFonts w:cs="Times New Roman"/>
          <w:b/>
          <w:bCs/>
          <w:szCs w:val="24"/>
          <w:lang w:val="en-IN"/>
        </w:rPr>
        <w:t>The</w:t>
      </w:r>
      <w:r w:rsidR="002310B7" w:rsidRPr="0074066D">
        <w:rPr>
          <w:rFonts w:cs="Times New Roman"/>
          <w:b/>
          <w:bCs/>
          <w:szCs w:val="24"/>
          <w:lang w:val="en-IN"/>
        </w:rPr>
        <w:t xml:space="preserve"> UK authorities </w:t>
      </w:r>
    </w:p>
    <w:p w14:paraId="5E022B77" w14:textId="77777777" w:rsidR="00AB6820" w:rsidRPr="0074066D" w:rsidRDefault="00AB6820" w:rsidP="0074066D">
      <w:pPr>
        <w:jc w:val="both"/>
        <w:rPr>
          <w:rFonts w:cs="Times New Roman"/>
          <w:szCs w:val="24"/>
          <w:lang w:val="en-IN"/>
        </w:rPr>
      </w:pPr>
      <w:r w:rsidRPr="0074066D">
        <w:rPr>
          <w:rFonts w:cs="Times New Roman"/>
          <w:szCs w:val="24"/>
          <w:lang w:val="en-IN"/>
        </w:rPr>
        <w:t xml:space="preserve">The UK's financial system was significantly impacted by the </w:t>
      </w:r>
      <w:r w:rsidR="005C3B82" w:rsidRPr="0074066D">
        <w:rPr>
          <w:rFonts w:cs="Times New Roman"/>
          <w:szCs w:val="24"/>
          <w:lang w:val="en-IN"/>
        </w:rPr>
        <w:t>worldwide</w:t>
      </w:r>
      <w:r w:rsidRPr="0074066D">
        <w:rPr>
          <w:rFonts w:cs="Times New Roman"/>
          <w:szCs w:val="24"/>
          <w:lang w:val="en-IN"/>
        </w:rPr>
        <w:t xml:space="preserve"> </w:t>
      </w:r>
      <w:r w:rsidR="005C3B82" w:rsidRPr="0074066D">
        <w:rPr>
          <w:rFonts w:cs="Times New Roman"/>
          <w:szCs w:val="24"/>
          <w:lang w:val="en-IN"/>
        </w:rPr>
        <w:t>monetary</w:t>
      </w:r>
      <w:r w:rsidRPr="0074066D">
        <w:rPr>
          <w:rFonts w:cs="Times New Roman"/>
          <w:szCs w:val="24"/>
          <w:lang w:val="en-IN"/>
        </w:rPr>
        <w:t xml:space="preserve"> crisis of 2008, </w:t>
      </w:r>
      <w:r w:rsidR="004C486A" w:rsidRPr="0074066D">
        <w:rPr>
          <w:rFonts w:cs="Times New Roman"/>
          <w:szCs w:val="24"/>
          <w:lang w:val="en-IN"/>
        </w:rPr>
        <w:t>that</w:t>
      </w:r>
      <w:r w:rsidRPr="0074066D">
        <w:rPr>
          <w:rFonts w:cs="Times New Roman"/>
          <w:szCs w:val="24"/>
          <w:lang w:val="en-IN"/>
        </w:rPr>
        <w:t xml:space="preserve"> prompted the adoption of several laws, rules, and agreements. Some of the enactments made were:</w:t>
      </w:r>
    </w:p>
    <w:p w14:paraId="144A62E7" w14:textId="3F010B5A" w:rsidR="00AB6820" w:rsidRPr="0074066D" w:rsidRDefault="002205F3" w:rsidP="0074066D">
      <w:pPr>
        <w:jc w:val="both"/>
        <w:rPr>
          <w:rFonts w:cs="Times New Roman"/>
          <w:b/>
          <w:bCs/>
          <w:szCs w:val="24"/>
          <w:lang w:val="en-IN"/>
        </w:rPr>
      </w:pPr>
      <w:r>
        <w:rPr>
          <w:rFonts w:cs="Times New Roman"/>
          <w:b/>
          <w:bCs/>
          <w:szCs w:val="24"/>
          <w:lang w:val="en-IN"/>
        </w:rPr>
        <w:lastRenderedPageBreak/>
        <w:t xml:space="preserve">The </w:t>
      </w:r>
      <w:r w:rsidR="00AB6820" w:rsidRPr="0074066D">
        <w:rPr>
          <w:rFonts w:cs="Times New Roman"/>
          <w:b/>
          <w:bCs/>
          <w:szCs w:val="24"/>
          <w:lang w:val="en-IN"/>
        </w:rPr>
        <w:t>Financial services act</w:t>
      </w:r>
    </w:p>
    <w:p w14:paraId="04C0F643" w14:textId="77777777" w:rsidR="00AB6820" w:rsidRPr="0074066D" w:rsidRDefault="00AB6820" w:rsidP="0074066D">
      <w:pPr>
        <w:jc w:val="both"/>
        <w:rPr>
          <w:rFonts w:cs="Times New Roman"/>
          <w:szCs w:val="24"/>
          <w:lang w:val="en-IN"/>
        </w:rPr>
      </w:pPr>
      <w:r w:rsidRPr="0074066D">
        <w:rPr>
          <w:rFonts w:cs="Times New Roman"/>
          <w:szCs w:val="24"/>
          <w:lang w:val="en-IN"/>
        </w:rPr>
        <w:t>The Financial Services Act 2010 was passed in order to improve the UK's financial regulatory framework. In order to control and oversee financial institutions in the UK, it established the Financial Conduct Authority (FCA) and the Prudential Regulation Authority (PRA)</w:t>
      </w:r>
      <w:r w:rsidR="00EE1662" w:rsidRPr="0074066D">
        <w:rPr>
          <w:rFonts w:cs="Times New Roman"/>
          <w:szCs w:val="24"/>
          <w:lang w:val="en-IN"/>
        </w:rPr>
        <w:t xml:space="preserve"> (</w:t>
      </w:r>
      <w:proofErr w:type="spellStart"/>
      <w:r w:rsidR="00EE1662" w:rsidRPr="0074066D">
        <w:rPr>
          <w:rFonts w:cs="Times New Roman"/>
          <w:szCs w:val="24"/>
          <w:lang w:val="en-IN"/>
        </w:rPr>
        <w:t>Brem</w:t>
      </w:r>
      <w:proofErr w:type="spellEnd"/>
      <w:r w:rsidR="00EE1662" w:rsidRPr="0074066D">
        <w:rPr>
          <w:rFonts w:cs="Times New Roman"/>
          <w:szCs w:val="24"/>
          <w:lang w:val="en-IN"/>
        </w:rPr>
        <w:t xml:space="preserve">, </w:t>
      </w:r>
      <w:proofErr w:type="spellStart"/>
      <w:r w:rsidR="00EE1662" w:rsidRPr="0074066D">
        <w:rPr>
          <w:rFonts w:cs="Times New Roman"/>
          <w:szCs w:val="24"/>
          <w:lang w:val="en-IN"/>
        </w:rPr>
        <w:t>Nylund</w:t>
      </w:r>
      <w:proofErr w:type="spellEnd"/>
      <w:r w:rsidR="00EE1662" w:rsidRPr="0074066D">
        <w:rPr>
          <w:rFonts w:cs="Times New Roman"/>
          <w:szCs w:val="24"/>
          <w:lang w:val="en-IN"/>
        </w:rPr>
        <w:t xml:space="preserve"> and </w:t>
      </w:r>
      <w:proofErr w:type="spellStart"/>
      <w:r w:rsidR="00EE1662" w:rsidRPr="0074066D">
        <w:rPr>
          <w:rFonts w:cs="Times New Roman"/>
          <w:szCs w:val="24"/>
          <w:lang w:val="en-IN"/>
        </w:rPr>
        <w:t>Viardot</w:t>
      </w:r>
      <w:proofErr w:type="spellEnd"/>
      <w:r w:rsidR="00EE1662" w:rsidRPr="0074066D">
        <w:rPr>
          <w:rFonts w:cs="Times New Roman"/>
          <w:szCs w:val="24"/>
          <w:lang w:val="en-IN"/>
        </w:rPr>
        <w:t>, 2020)</w:t>
      </w:r>
      <w:r w:rsidRPr="0074066D">
        <w:rPr>
          <w:rFonts w:cs="Times New Roman"/>
          <w:szCs w:val="24"/>
          <w:lang w:val="en-IN"/>
        </w:rPr>
        <w:t>.</w:t>
      </w:r>
    </w:p>
    <w:p w14:paraId="79B4209C" w14:textId="77777777" w:rsidR="00AB6820" w:rsidRPr="0074066D" w:rsidRDefault="00AB6820" w:rsidP="0074066D">
      <w:pPr>
        <w:jc w:val="both"/>
        <w:rPr>
          <w:rFonts w:cs="Times New Roman"/>
          <w:b/>
          <w:bCs/>
          <w:szCs w:val="24"/>
          <w:lang w:val="en-IN"/>
        </w:rPr>
      </w:pPr>
      <w:r w:rsidRPr="0074066D">
        <w:rPr>
          <w:rFonts w:cs="Times New Roman"/>
          <w:b/>
          <w:bCs/>
          <w:szCs w:val="24"/>
          <w:lang w:val="en-IN"/>
        </w:rPr>
        <w:t>Basel III</w:t>
      </w:r>
    </w:p>
    <w:p w14:paraId="0E53EA53" w14:textId="77777777" w:rsidR="0074066D" w:rsidRPr="0074066D" w:rsidRDefault="0074066D" w:rsidP="0074066D">
      <w:pPr>
        <w:jc w:val="both"/>
        <w:rPr>
          <w:rFonts w:cs="Times New Roman"/>
          <w:b/>
          <w:bCs/>
          <w:szCs w:val="24"/>
          <w:lang w:val="en-IN"/>
        </w:rPr>
      </w:pPr>
      <w:r w:rsidRPr="0074066D">
        <w:rPr>
          <w:rFonts w:cs="Times New Roman"/>
          <w:b/>
          <w:bCs/>
          <w:noProof/>
          <w:szCs w:val="24"/>
          <w:lang w:val="en-IN"/>
        </w:rPr>
        <w:drawing>
          <wp:inline distT="0" distB="0" distL="0" distR="0" wp14:anchorId="2BDC9A89" wp14:editId="49214EC7">
            <wp:extent cx="3317994" cy="288363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22252" cy="2887339"/>
                    </a:xfrm>
                    <a:prstGeom prst="rect">
                      <a:avLst/>
                    </a:prstGeom>
                    <a:noFill/>
                  </pic:spPr>
                </pic:pic>
              </a:graphicData>
            </a:graphic>
          </wp:inline>
        </w:drawing>
      </w:r>
    </w:p>
    <w:p w14:paraId="445129F9" w14:textId="0A602FD8" w:rsidR="0074066D" w:rsidRPr="0074066D" w:rsidRDefault="0074066D" w:rsidP="0074066D">
      <w:pPr>
        <w:jc w:val="both"/>
        <w:rPr>
          <w:rFonts w:cs="Times New Roman"/>
          <w:szCs w:val="24"/>
          <w:lang w:val="en-IN"/>
        </w:rPr>
      </w:pPr>
      <w:r w:rsidRPr="0074066D">
        <w:rPr>
          <w:rFonts w:cs="Times New Roman"/>
          <w:szCs w:val="24"/>
          <w:lang w:val="en-IN"/>
        </w:rPr>
        <w:t xml:space="preserve">Figure 1: </w:t>
      </w:r>
      <w:r w:rsidR="002205F3">
        <w:rPr>
          <w:rFonts w:cs="Times New Roman"/>
          <w:szCs w:val="24"/>
          <w:lang w:val="en-IN"/>
        </w:rPr>
        <w:t xml:space="preserve"> The </w:t>
      </w:r>
      <w:r w:rsidRPr="0074066D">
        <w:rPr>
          <w:rFonts w:cs="Times New Roman"/>
          <w:szCs w:val="24"/>
          <w:lang w:val="en-IN"/>
        </w:rPr>
        <w:t xml:space="preserve">Banking regulatory structure for Base III </w:t>
      </w:r>
    </w:p>
    <w:p w14:paraId="78C41BA8" w14:textId="77777777" w:rsidR="0074066D" w:rsidRPr="0074066D" w:rsidRDefault="0074066D" w:rsidP="0074066D">
      <w:pPr>
        <w:jc w:val="both"/>
        <w:rPr>
          <w:rFonts w:cs="Times New Roman"/>
          <w:szCs w:val="24"/>
          <w:lang w:val="en-IN"/>
        </w:rPr>
      </w:pPr>
      <w:r w:rsidRPr="0074066D">
        <w:rPr>
          <w:rFonts w:cs="Times New Roman"/>
          <w:szCs w:val="24"/>
          <w:lang w:val="en-IN"/>
        </w:rPr>
        <w:t>Source: (</w:t>
      </w:r>
      <w:proofErr w:type="spellStart"/>
      <w:r w:rsidRPr="0074066D">
        <w:rPr>
          <w:rFonts w:cs="Times New Roman"/>
          <w:szCs w:val="24"/>
          <w:lang w:val="en-IN"/>
        </w:rPr>
        <w:t>Sahasrabuddhe</w:t>
      </w:r>
      <w:proofErr w:type="spellEnd"/>
      <w:r w:rsidRPr="0074066D">
        <w:rPr>
          <w:rFonts w:cs="Times New Roman"/>
          <w:szCs w:val="24"/>
          <w:lang w:val="en-IN"/>
        </w:rPr>
        <w:t>, 2019)</w:t>
      </w:r>
    </w:p>
    <w:p w14:paraId="1665F2F2" w14:textId="77777777" w:rsidR="00AB6820" w:rsidRPr="0074066D" w:rsidRDefault="00AB6820" w:rsidP="0074066D">
      <w:pPr>
        <w:jc w:val="both"/>
        <w:rPr>
          <w:rFonts w:cs="Times New Roman"/>
          <w:szCs w:val="24"/>
          <w:lang w:val="en-IN"/>
        </w:rPr>
      </w:pPr>
      <w:r w:rsidRPr="0074066D">
        <w:rPr>
          <w:rFonts w:cs="Times New Roman"/>
          <w:szCs w:val="24"/>
          <w:lang w:val="en-IN"/>
        </w:rPr>
        <w:t>The Basel III framework was created to increase the banking industry's flexibility. It attempted to lower the danger of systemic collapse by introducing additional capital and liquidity requirements for banks</w:t>
      </w:r>
      <w:r w:rsidR="00705542" w:rsidRPr="0074066D">
        <w:rPr>
          <w:rFonts w:cs="Times New Roman"/>
          <w:szCs w:val="24"/>
          <w:lang w:val="en-IN"/>
        </w:rPr>
        <w:t xml:space="preserve"> (</w:t>
      </w:r>
      <w:proofErr w:type="spellStart"/>
      <w:r w:rsidR="00705542" w:rsidRPr="0074066D">
        <w:rPr>
          <w:rFonts w:cs="Times New Roman"/>
          <w:szCs w:val="24"/>
          <w:lang w:val="en-IN"/>
        </w:rPr>
        <w:t>Fingerman</w:t>
      </w:r>
      <w:proofErr w:type="spellEnd"/>
      <w:r w:rsidR="00705542" w:rsidRPr="0074066D">
        <w:rPr>
          <w:rFonts w:cs="Times New Roman"/>
          <w:szCs w:val="24"/>
          <w:lang w:val="en-IN"/>
        </w:rPr>
        <w:t xml:space="preserve">, </w:t>
      </w:r>
      <w:proofErr w:type="spellStart"/>
      <w:r w:rsidR="00705542" w:rsidRPr="0074066D">
        <w:rPr>
          <w:rFonts w:cs="Times New Roman"/>
          <w:szCs w:val="24"/>
          <w:lang w:val="en-IN"/>
        </w:rPr>
        <w:t>Huo</w:t>
      </w:r>
      <w:proofErr w:type="spellEnd"/>
      <w:r w:rsidR="00705542" w:rsidRPr="0074066D">
        <w:rPr>
          <w:rFonts w:cs="Times New Roman"/>
          <w:szCs w:val="24"/>
          <w:lang w:val="en-IN"/>
        </w:rPr>
        <w:t xml:space="preserve"> and </w:t>
      </w:r>
      <w:proofErr w:type="spellStart"/>
      <w:r w:rsidR="00705542" w:rsidRPr="0074066D">
        <w:rPr>
          <w:rFonts w:cs="Times New Roman"/>
          <w:szCs w:val="24"/>
          <w:lang w:val="en-IN"/>
        </w:rPr>
        <w:t>Birditt</w:t>
      </w:r>
      <w:proofErr w:type="spellEnd"/>
      <w:r w:rsidR="00705542" w:rsidRPr="0074066D">
        <w:rPr>
          <w:rFonts w:cs="Times New Roman"/>
          <w:szCs w:val="24"/>
          <w:lang w:val="en-IN"/>
        </w:rPr>
        <w:t>, 2020)</w:t>
      </w:r>
      <w:r w:rsidRPr="0074066D">
        <w:rPr>
          <w:rFonts w:cs="Times New Roman"/>
          <w:szCs w:val="24"/>
          <w:lang w:val="en-IN"/>
        </w:rPr>
        <w:t>.</w:t>
      </w:r>
    </w:p>
    <w:p w14:paraId="6025EB94" w14:textId="26143E71" w:rsidR="00AB6820" w:rsidRPr="0074066D" w:rsidRDefault="00AB6820" w:rsidP="0074066D">
      <w:pPr>
        <w:jc w:val="both"/>
        <w:rPr>
          <w:rFonts w:cs="Times New Roman"/>
          <w:b/>
          <w:bCs/>
          <w:szCs w:val="24"/>
          <w:lang w:val="en-IN"/>
        </w:rPr>
      </w:pPr>
      <w:r w:rsidRPr="0074066D">
        <w:rPr>
          <w:rFonts w:cs="Times New Roman"/>
          <w:b/>
          <w:bCs/>
          <w:szCs w:val="24"/>
          <w:lang w:val="en-IN"/>
        </w:rPr>
        <w:t xml:space="preserve">The Bank of England </w:t>
      </w:r>
      <w:r w:rsidR="000D0646">
        <w:rPr>
          <w:rFonts w:cs="Times New Roman"/>
          <w:b/>
          <w:bCs/>
          <w:szCs w:val="24"/>
          <w:lang w:val="en-IN"/>
        </w:rPr>
        <w:t>and The</w:t>
      </w:r>
      <w:r w:rsidRPr="0074066D">
        <w:rPr>
          <w:rFonts w:cs="Times New Roman"/>
          <w:b/>
          <w:bCs/>
          <w:szCs w:val="24"/>
          <w:lang w:val="en-IN"/>
        </w:rPr>
        <w:t xml:space="preserve"> Financial Services Act of 2016 </w:t>
      </w:r>
    </w:p>
    <w:p w14:paraId="29CB796A" w14:textId="6C917811" w:rsidR="00AB6820" w:rsidRPr="0074066D" w:rsidRDefault="00AB6820" w:rsidP="0074066D">
      <w:pPr>
        <w:jc w:val="both"/>
        <w:rPr>
          <w:rFonts w:cs="Times New Roman"/>
          <w:szCs w:val="24"/>
          <w:lang w:val="en-IN"/>
        </w:rPr>
      </w:pPr>
      <w:r w:rsidRPr="0074066D">
        <w:rPr>
          <w:rFonts w:cs="Times New Roman"/>
          <w:szCs w:val="24"/>
          <w:lang w:val="en-IN"/>
        </w:rPr>
        <w:t xml:space="preserve">This legislation constricted the regulatory system even further. It also established the Payment Systems Regulator </w:t>
      </w:r>
      <w:r w:rsidR="00506694">
        <w:rPr>
          <w:rFonts w:cs="Times New Roman"/>
          <w:szCs w:val="24"/>
          <w:lang w:val="en-IN"/>
        </w:rPr>
        <w:t xml:space="preserve">as well as </w:t>
      </w:r>
      <w:r w:rsidRPr="0074066D">
        <w:rPr>
          <w:rFonts w:cs="Times New Roman"/>
          <w:szCs w:val="24"/>
          <w:lang w:val="en-IN"/>
        </w:rPr>
        <w:t xml:space="preserve"> granted the Bank of </w:t>
      </w:r>
      <w:r w:rsidR="00506694">
        <w:rPr>
          <w:rFonts w:cs="Times New Roman"/>
          <w:szCs w:val="24"/>
          <w:lang w:val="en-IN"/>
        </w:rPr>
        <w:t xml:space="preserve">England’s </w:t>
      </w:r>
      <w:r w:rsidRPr="0074066D">
        <w:rPr>
          <w:rFonts w:cs="Times New Roman"/>
          <w:szCs w:val="24"/>
          <w:lang w:val="en-IN"/>
        </w:rPr>
        <w:t xml:space="preserve"> new authority to preserve financial stability</w:t>
      </w:r>
      <w:r w:rsidR="00EE1662" w:rsidRPr="0074066D">
        <w:rPr>
          <w:rFonts w:cs="Times New Roman"/>
          <w:szCs w:val="24"/>
          <w:lang w:val="en-IN"/>
        </w:rPr>
        <w:t xml:space="preserve"> (Burdekin and Tao, 2021)</w:t>
      </w:r>
      <w:r w:rsidRPr="0074066D">
        <w:rPr>
          <w:rFonts w:cs="Times New Roman"/>
          <w:szCs w:val="24"/>
          <w:lang w:val="en-IN"/>
        </w:rPr>
        <w:t>.</w:t>
      </w:r>
    </w:p>
    <w:p w14:paraId="7DFD9984" w14:textId="77777777" w:rsidR="00AB6820" w:rsidRPr="0074066D" w:rsidRDefault="00AB6820" w:rsidP="0074066D">
      <w:pPr>
        <w:jc w:val="both"/>
        <w:rPr>
          <w:rFonts w:cs="Times New Roman"/>
          <w:b/>
          <w:bCs/>
          <w:szCs w:val="24"/>
          <w:lang w:val="en-IN"/>
        </w:rPr>
      </w:pPr>
      <w:r w:rsidRPr="0074066D">
        <w:rPr>
          <w:rFonts w:cs="Times New Roman"/>
          <w:b/>
          <w:bCs/>
          <w:szCs w:val="24"/>
          <w:lang w:val="en-IN"/>
        </w:rPr>
        <w:t>Senior managers and certification regime</w:t>
      </w:r>
    </w:p>
    <w:p w14:paraId="04F75E22" w14:textId="77777777" w:rsidR="00AB6820" w:rsidRPr="0074066D" w:rsidRDefault="00AB6820" w:rsidP="0074066D">
      <w:pPr>
        <w:jc w:val="both"/>
        <w:rPr>
          <w:rFonts w:cs="Times New Roman"/>
          <w:szCs w:val="24"/>
          <w:lang w:val="en-IN"/>
        </w:rPr>
      </w:pPr>
      <w:r w:rsidRPr="0074066D">
        <w:rPr>
          <w:rFonts w:cs="Times New Roman"/>
          <w:szCs w:val="24"/>
          <w:lang w:val="en-IN"/>
        </w:rPr>
        <w:lastRenderedPageBreak/>
        <w:t>Review of Fair and Effective Markets (FEMR) In reaction to the manipulation of important financial benchmarks like LIBOR, the FEMR was established. It made suggestions to increase regulation and raise standards of behaviour in the financial industry</w:t>
      </w:r>
      <w:r w:rsidR="002F267F" w:rsidRPr="0074066D">
        <w:rPr>
          <w:rFonts w:cs="Times New Roman"/>
          <w:szCs w:val="24"/>
          <w:lang w:val="en-IN"/>
        </w:rPr>
        <w:t xml:space="preserve"> (Chen, Ting and Wang, 2020)</w:t>
      </w:r>
      <w:r w:rsidRPr="0074066D">
        <w:rPr>
          <w:rFonts w:cs="Times New Roman"/>
          <w:szCs w:val="24"/>
          <w:lang w:val="en-IN"/>
        </w:rPr>
        <w:t>.</w:t>
      </w:r>
    </w:p>
    <w:p w14:paraId="20E2F786" w14:textId="4CD4E460" w:rsidR="00AB6820" w:rsidRPr="0074066D" w:rsidRDefault="00506694" w:rsidP="0074066D">
      <w:pPr>
        <w:jc w:val="both"/>
        <w:rPr>
          <w:rFonts w:cs="Times New Roman"/>
          <w:b/>
          <w:bCs/>
          <w:szCs w:val="24"/>
          <w:lang w:val="en-IN"/>
        </w:rPr>
      </w:pPr>
      <w:r>
        <w:rPr>
          <w:rFonts w:cs="Times New Roman"/>
          <w:b/>
          <w:bCs/>
          <w:szCs w:val="24"/>
          <w:lang w:val="en-IN"/>
        </w:rPr>
        <w:t xml:space="preserve">The </w:t>
      </w:r>
      <w:r w:rsidR="00AB6820" w:rsidRPr="0074066D">
        <w:rPr>
          <w:rFonts w:cs="Times New Roman"/>
          <w:b/>
          <w:bCs/>
          <w:szCs w:val="24"/>
          <w:lang w:val="en-IN"/>
        </w:rPr>
        <w:t xml:space="preserve">European market infrastructure regulation </w:t>
      </w:r>
    </w:p>
    <w:p w14:paraId="3E3E99DC" w14:textId="77777777" w:rsidR="00AB6820" w:rsidRPr="0074066D" w:rsidRDefault="00AB6820" w:rsidP="0074066D">
      <w:pPr>
        <w:jc w:val="both"/>
        <w:rPr>
          <w:rFonts w:cs="Times New Roman"/>
          <w:szCs w:val="24"/>
          <w:lang w:val="en-IN"/>
        </w:rPr>
      </w:pPr>
      <w:r w:rsidRPr="0074066D">
        <w:rPr>
          <w:rFonts w:cs="Times New Roman"/>
          <w:szCs w:val="24"/>
          <w:lang w:val="en-IN"/>
        </w:rPr>
        <w:t xml:space="preserve">The European Market Infrastructure Regulation (EMIR) was established to </w:t>
      </w:r>
      <w:r w:rsidR="005C3B82" w:rsidRPr="0074066D">
        <w:rPr>
          <w:rFonts w:cs="Times New Roman"/>
          <w:szCs w:val="24"/>
          <w:lang w:val="en-IN"/>
        </w:rPr>
        <w:t>improve</w:t>
      </w:r>
      <w:r w:rsidRPr="0074066D">
        <w:rPr>
          <w:rFonts w:cs="Times New Roman"/>
          <w:szCs w:val="24"/>
          <w:lang w:val="en-IN"/>
        </w:rPr>
        <w:t xml:space="preserve"> the </w:t>
      </w:r>
      <w:r w:rsidR="005C3B82" w:rsidRPr="0074066D">
        <w:rPr>
          <w:rFonts w:cs="Times New Roman"/>
          <w:szCs w:val="24"/>
          <w:lang w:val="en-IN"/>
        </w:rPr>
        <w:t>competence</w:t>
      </w:r>
      <w:r w:rsidRPr="0074066D">
        <w:rPr>
          <w:rFonts w:cs="Times New Roman"/>
          <w:szCs w:val="24"/>
          <w:lang w:val="en-IN"/>
        </w:rPr>
        <w:t xml:space="preserve"> and openness of the </w:t>
      </w:r>
      <w:proofErr w:type="spellStart"/>
      <w:r w:rsidRPr="0074066D">
        <w:rPr>
          <w:rFonts w:cs="Times New Roman"/>
          <w:szCs w:val="24"/>
          <w:lang w:val="en-IN"/>
        </w:rPr>
        <w:t>byproduct</w:t>
      </w:r>
      <w:proofErr w:type="spellEnd"/>
      <w:r w:rsidRPr="0074066D">
        <w:rPr>
          <w:rFonts w:cs="Times New Roman"/>
          <w:szCs w:val="24"/>
          <w:lang w:val="en-IN"/>
        </w:rPr>
        <w:t xml:space="preserve"> markets. It mandates the central clearing and trade repository reporting of specific derivatives</w:t>
      </w:r>
      <w:r w:rsidR="002F267F" w:rsidRPr="0074066D">
        <w:rPr>
          <w:rFonts w:cs="Times New Roman"/>
          <w:szCs w:val="24"/>
          <w:lang w:val="en-IN"/>
        </w:rPr>
        <w:t xml:space="preserve"> (</w:t>
      </w:r>
      <w:proofErr w:type="spellStart"/>
      <w:r w:rsidR="002F267F" w:rsidRPr="0074066D">
        <w:rPr>
          <w:rFonts w:cs="Times New Roman"/>
          <w:szCs w:val="24"/>
          <w:lang w:val="en-IN"/>
        </w:rPr>
        <w:t>Caroleo</w:t>
      </w:r>
      <w:proofErr w:type="spellEnd"/>
      <w:r w:rsidR="002F267F" w:rsidRPr="0074066D">
        <w:rPr>
          <w:rFonts w:cs="Times New Roman"/>
          <w:szCs w:val="24"/>
          <w:lang w:val="en-IN"/>
        </w:rPr>
        <w:t xml:space="preserve"> et al., 2020)</w:t>
      </w:r>
      <w:r w:rsidRPr="0074066D">
        <w:rPr>
          <w:rFonts w:cs="Times New Roman"/>
          <w:szCs w:val="24"/>
          <w:lang w:val="en-IN"/>
        </w:rPr>
        <w:t>.</w:t>
      </w:r>
    </w:p>
    <w:p w14:paraId="02A16005" w14:textId="70ED3E5F" w:rsidR="00AB6820" w:rsidRDefault="00506694" w:rsidP="0074066D">
      <w:pPr>
        <w:jc w:val="both"/>
        <w:rPr>
          <w:rFonts w:cs="Times New Roman"/>
          <w:b/>
          <w:bCs/>
          <w:szCs w:val="24"/>
          <w:lang w:val="en-IN"/>
        </w:rPr>
      </w:pPr>
      <w:r>
        <w:rPr>
          <w:rFonts w:cs="Times New Roman"/>
          <w:b/>
          <w:bCs/>
          <w:szCs w:val="24"/>
          <w:lang w:val="en-IN"/>
        </w:rPr>
        <w:t>By The</w:t>
      </w:r>
      <w:r w:rsidR="00AB6820" w:rsidRPr="0074066D">
        <w:rPr>
          <w:rFonts w:cs="Times New Roman"/>
          <w:b/>
          <w:bCs/>
          <w:szCs w:val="24"/>
          <w:lang w:val="en-IN"/>
        </w:rPr>
        <w:t xml:space="preserve"> US authorities </w:t>
      </w:r>
      <w:r w:rsidR="002F267F" w:rsidRPr="0074066D">
        <w:rPr>
          <w:rFonts w:cs="Times New Roman"/>
          <w:b/>
          <w:bCs/>
          <w:szCs w:val="24"/>
          <w:lang w:val="en-IN"/>
        </w:rPr>
        <w:t xml:space="preserve"> </w:t>
      </w:r>
    </w:p>
    <w:p w14:paraId="03ED6428" w14:textId="59FD5949" w:rsidR="000E4EF7" w:rsidRPr="0074066D" w:rsidRDefault="00784D72" w:rsidP="0074066D">
      <w:pPr>
        <w:jc w:val="both"/>
        <w:rPr>
          <w:rFonts w:cs="Times New Roman"/>
          <w:b/>
          <w:bCs/>
          <w:szCs w:val="24"/>
        </w:rPr>
      </w:pPr>
      <w:r w:rsidRPr="00784D72">
        <w:rPr>
          <w:rFonts w:cs="Times New Roman"/>
          <w:b/>
          <w:bCs/>
          <w:szCs w:val="24"/>
          <w:lang w:val="en-IN"/>
        </w:rPr>
        <w:t>The United States was at the epicentre of the GFC, so it came as no surprise that some of the most comprehensive reforms emerged from the country. The Dodd-Frank Act of 2010 is one such landmark legislation that aimed to rectify the deficiencies of the financial system</w:t>
      </w:r>
      <w:r w:rsidR="00506694">
        <w:rPr>
          <w:rFonts w:cs="Times New Roman"/>
          <w:b/>
          <w:bCs/>
          <w:szCs w:val="24"/>
        </w:rPr>
        <w:t xml:space="preserve">The </w:t>
      </w:r>
      <w:r w:rsidR="000E4EF7" w:rsidRPr="0074066D">
        <w:rPr>
          <w:rFonts w:cs="Times New Roman"/>
          <w:b/>
          <w:bCs/>
          <w:szCs w:val="24"/>
        </w:rPr>
        <w:t>Dodd-Frank Consumer Protection and Wall Street Reform Act</w:t>
      </w:r>
    </w:p>
    <w:p w14:paraId="4527F8D2" w14:textId="48F0CA85" w:rsidR="000E4EF7" w:rsidRPr="0074066D" w:rsidRDefault="000E4EF7" w:rsidP="0074066D">
      <w:pPr>
        <w:jc w:val="both"/>
        <w:rPr>
          <w:rFonts w:cs="Times New Roman"/>
          <w:szCs w:val="24"/>
        </w:rPr>
      </w:pPr>
      <w:r w:rsidRPr="0074066D">
        <w:rPr>
          <w:rFonts w:cs="Times New Roman"/>
          <w:szCs w:val="24"/>
        </w:rPr>
        <w:t xml:space="preserve">The Dodd-Frank Act, that was passed into law in 2010, aimed to put controls on banks, credit rating companies, and other financial organisations in order to stop future financial disasters. The </w:t>
      </w:r>
      <w:r w:rsidR="005C3B82" w:rsidRPr="0074066D">
        <w:rPr>
          <w:rFonts w:cs="Times New Roman"/>
          <w:szCs w:val="24"/>
        </w:rPr>
        <w:t>Customer</w:t>
      </w:r>
      <w:r w:rsidRPr="0074066D">
        <w:rPr>
          <w:rFonts w:cs="Times New Roman"/>
          <w:szCs w:val="24"/>
        </w:rPr>
        <w:t xml:space="preserve"> Financial </w:t>
      </w:r>
      <w:r w:rsidR="005C3B82" w:rsidRPr="0074066D">
        <w:rPr>
          <w:rFonts w:cs="Times New Roman"/>
          <w:szCs w:val="24"/>
        </w:rPr>
        <w:t>Defence</w:t>
      </w:r>
      <w:r w:rsidRPr="0074066D">
        <w:rPr>
          <w:rFonts w:cs="Times New Roman"/>
          <w:szCs w:val="24"/>
        </w:rPr>
        <w:t xml:space="preserve"> Bureau was founded under the Act with the responsibility of defending customers from unfair, dishonest, </w:t>
      </w:r>
      <w:r w:rsidR="003C198C">
        <w:rPr>
          <w:rFonts w:cs="Times New Roman"/>
          <w:szCs w:val="24"/>
        </w:rPr>
        <w:t>as well as a</w:t>
      </w:r>
      <w:r w:rsidRPr="0074066D">
        <w:rPr>
          <w:rFonts w:cs="Times New Roman"/>
          <w:szCs w:val="24"/>
        </w:rPr>
        <w:t>busive practises by financial institutions</w:t>
      </w:r>
      <w:r w:rsidR="00705542" w:rsidRPr="0074066D">
        <w:rPr>
          <w:rFonts w:cs="Times New Roman"/>
          <w:szCs w:val="24"/>
        </w:rPr>
        <w:t xml:space="preserve"> (Christensen and Hearson, 2019)</w:t>
      </w:r>
      <w:r w:rsidRPr="0074066D">
        <w:rPr>
          <w:rFonts w:cs="Times New Roman"/>
          <w:szCs w:val="24"/>
        </w:rPr>
        <w:t>.</w:t>
      </w:r>
    </w:p>
    <w:p w14:paraId="29817A29" w14:textId="340E763D" w:rsidR="000E4EF7" w:rsidRPr="0074066D" w:rsidRDefault="003C198C" w:rsidP="0074066D">
      <w:pPr>
        <w:jc w:val="both"/>
        <w:rPr>
          <w:rFonts w:cs="Times New Roman"/>
          <w:b/>
          <w:bCs/>
          <w:szCs w:val="24"/>
        </w:rPr>
      </w:pPr>
      <w:r>
        <w:rPr>
          <w:rFonts w:cs="Times New Roman"/>
          <w:b/>
          <w:bCs/>
          <w:szCs w:val="24"/>
        </w:rPr>
        <w:t xml:space="preserve">The </w:t>
      </w:r>
      <w:r w:rsidR="000E4EF7" w:rsidRPr="0074066D">
        <w:rPr>
          <w:rFonts w:cs="Times New Roman"/>
          <w:b/>
          <w:bCs/>
          <w:szCs w:val="24"/>
        </w:rPr>
        <w:t>Volcker Rule</w:t>
      </w:r>
    </w:p>
    <w:p w14:paraId="67383BFA" w14:textId="77777777" w:rsidR="000E4EF7" w:rsidRPr="0074066D" w:rsidRDefault="000E4EF7" w:rsidP="0074066D">
      <w:pPr>
        <w:jc w:val="both"/>
        <w:rPr>
          <w:rFonts w:cs="Times New Roman"/>
          <w:szCs w:val="24"/>
        </w:rPr>
      </w:pPr>
      <w:r w:rsidRPr="0074066D">
        <w:rPr>
          <w:rFonts w:cs="Times New Roman"/>
          <w:szCs w:val="24"/>
        </w:rPr>
        <w:t>The Volcker Rule, that was a component of the Dodd-Frank Act, was designed to stop banks from using their own funds to engage in hazardous trading operations. The rule prohibited banks from engaging in certain kinds of investments, including trading proprietary products and funding privet funds</w:t>
      </w:r>
      <w:r w:rsidR="00EE1662" w:rsidRPr="0074066D">
        <w:rPr>
          <w:rFonts w:cs="Times New Roman"/>
          <w:szCs w:val="24"/>
        </w:rPr>
        <w:t xml:space="preserve"> (</w:t>
      </w:r>
      <w:proofErr w:type="spellStart"/>
      <w:r w:rsidR="00EE1662" w:rsidRPr="0074066D">
        <w:rPr>
          <w:rFonts w:cs="Times New Roman"/>
          <w:szCs w:val="24"/>
        </w:rPr>
        <w:t>Andreoni</w:t>
      </w:r>
      <w:proofErr w:type="spellEnd"/>
      <w:r w:rsidR="00EE1662" w:rsidRPr="0074066D">
        <w:rPr>
          <w:rFonts w:cs="Times New Roman"/>
          <w:szCs w:val="24"/>
        </w:rPr>
        <w:t>, 2020)</w:t>
      </w:r>
      <w:r w:rsidRPr="0074066D">
        <w:rPr>
          <w:rFonts w:cs="Times New Roman"/>
          <w:szCs w:val="24"/>
        </w:rPr>
        <w:t>.</w:t>
      </w:r>
    </w:p>
    <w:p w14:paraId="7361D1CA" w14:textId="77777777" w:rsidR="000E4EF7" w:rsidRPr="0074066D" w:rsidRDefault="000E4EF7" w:rsidP="0074066D">
      <w:pPr>
        <w:jc w:val="both"/>
        <w:rPr>
          <w:rFonts w:cs="Times New Roman"/>
          <w:b/>
          <w:bCs/>
          <w:szCs w:val="24"/>
        </w:rPr>
      </w:pPr>
      <w:r w:rsidRPr="0074066D">
        <w:rPr>
          <w:rFonts w:cs="Times New Roman"/>
          <w:b/>
          <w:bCs/>
          <w:szCs w:val="24"/>
        </w:rPr>
        <w:t>Basel III</w:t>
      </w:r>
    </w:p>
    <w:p w14:paraId="0ABA28C6" w14:textId="77777777" w:rsidR="000E4EF7" w:rsidRPr="0074066D" w:rsidRDefault="000E4EF7" w:rsidP="0074066D">
      <w:pPr>
        <w:jc w:val="both"/>
        <w:rPr>
          <w:rFonts w:cs="Times New Roman"/>
          <w:szCs w:val="24"/>
        </w:rPr>
      </w:pPr>
      <w:r w:rsidRPr="0074066D">
        <w:rPr>
          <w:rFonts w:cs="Times New Roman"/>
          <w:szCs w:val="24"/>
        </w:rPr>
        <w:t xml:space="preserve">New international rules on bank capital </w:t>
      </w:r>
      <w:r w:rsidR="005C3B82" w:rsidRPr="0074066D">
        <w:rPr>
          <w:rFonts w:cs="Times New Roman"/>
          <w:szCs w:val="24"/>
        </w:rPr>
        <w:t>competence</w:t>
      </w:r>
      <w:r w:rsidRPr="0074066D">
        <w:rPr>
          <w:rFonts w:cs="Times New Roman"/>
          <w:szCs w:val="24"/>
        </w:rPr>
        <w:t xml:space="preserve"> and </w:t>
      </w:r>
      <w:r w:rsidR="005C3B82" w:rsidRPr="0074066D">
        <w:rPr>
          <w:rFonts w:cs="Times New Roman"/>
          <w:szCs w:val="24"/>
        </w:rPr>
        <w:t>fluidity</w:t>
      </w:r>
      <w:r w:rsidRPr="0074066D">
        <w:rPr>
          <w:rFonts w:cs="Times New Roman"/>
          <w:szCs w:val="24"/>
        </w:rPr>
        <w:t xml:space="preserve"> were </w:t>
      </w:r>
      <w:r w:rsidR="005C3B82" w:rsidRPr="0074066D">
        <w:rPr>
          <w:rFonts w:cs="Times New Roman"/>
          <w:szCs w:val="24"/>
        </w:rPr>
        <w:t>approved</w:t>
      </w:r>
      <w:r w:rsidRPr="0074066D">
        <w:rPr>
          <w:rFonts w:cs="Times New Roman"/>
          <w:szCs w:val="24"/>
        </w:rPr>
        <w:t xml:space="preserve"> by the Basel </w:t>
      </w:r>
      <w:r w:rsidR="005C3B82" w:rsidRPr="0074066D">
        <w:rPr>
          <w:rFonts w:cs="Times New Roman"/>
          <w:szCs w:val="24"/>
        </w:rPr>
        <w:t>Commission</w:t>
      </w:r>
      <w:r w:rsidRPr="0074066D">
        <w:rPr>
          <w:rFonts w:cs="Times New Roman"/>
          <w:szCs w:val="24"/>
        </w:rPr>
        <w:t xml:space="preserve"> on Banking Supervision in the Basel III Accord. Making banks more resistant to economic shocks and preventing another global financial disaster in the future</w:t>
      </w:r>
      <w:r w:rsidR="00585699" w:rsidRPr="0074066D">
        <w:rPr>
          <w:rFonts w:cs="Times New Roman"/>
          <w:szCs w:val="24"/>
        </w:rPr>
        <w:t xml:space="preserve"> (</w:t>
      </w:r>
      <w:proofErr w:type="spellStart"/>
      <w:r w:rsidR="00585699" w:rsidRPr="0074066D">
        <w:rPr>
          <w:rFonts w:cs="Times New Roman"/>
          <w:szCs w:val="24"/>
        </w:rPr>
        <w:t>Fingerman</w:t>
      </w:r>
      <w:proofErr w:type="spellEnd"/>
      <w:r w:rsidR="00585699" w:rsidRPr="0074066D">
        <w:rPr>
          <w:rFonts w:cs="Times New Roman"/>
          <w:szCs w:val="24"/>
        </w:rPr>
        <w:t xml:space="preserve">, </w:t>
      </w:r>
      <w:proofErr w:type="spellStart"/>
      <w:r w:rsidR="00585699" w:rsidRPr="0074066D">
        <w:rPr>
          <w:rFonts w:cs="Times New Roman"/>
          <w:szCs w:val="24"/>
        </w:rPr>
        <w:t>Huo</w:t>
      </w:r>
      <w:proofErr w:type="spellEnd"/>
      <w:r w:rsidR="00585699" w:rsidRPr="0074066D">
        <w:rPr>
          <w:rFonts w:cs="Times New Roman"/>
          <w:szCs w:val="24"/>
        </w:rPr>
        <w:t xml:space="preserve"> and </w:t>
      </w:r>
      <w:proofErr w:type="spellStart"/>
      <w:r w:rsidR="00585699" w:rsidRPr="0074066D">
        <w:rPr>
          <w:rFonts w:cs="Times New Roman"/>
          <w:szCs w:val="24"/>
        </w:rPr>
        <w:t>Birditt</w:t>
      </w:r>
      <w:proofErr w:type="spellEnd"/>
      <w:r w:rsidR="00585699" w:rsidRPr="0074066D">
        <w:rPr>
          <w:rFonts w:cs="Times New Roman"/>
          <w:szCs w:val="24"/>
        </w:rPr>
        <w:t>, 2020)</w:t>
      </w:r>
      <w:r w:rsidRPr="0074066D">
        <w:rPr>
          <w:rFonts w:cs="Times New Roman"/>
          <w:szCs w:val="24"/>
        </w:rPr>
        <w:t>.</w:t>
      </w:r>
    </w:p>
    <w:p w14:paraId="22BAE71C" w14:textId="77777777" w:rsidR="000E4EF7" w:rsidRPr="0074066D" w:rsidRDefault="000E4EF7" w:rsidP="0074066D">
      <w:pPr>
        <w:jc w:val="both"/>
        <w:rPr>
          <w:rFonts w:cs="Times New Roman"/>
          <w:b/>
          <w:bCs/>
          <w:szCs w:val="24"/>
        </w:rPr>
      </w:pPr>
      <w:r w:rsidRPr="0074066D">
        <w:rPr>
          <w:rFonts w:cs="Times New Roman"/>
          <w:b/>
          <w:bCs/>
          <w:szCs w:val="24"/>
        </w:rPr>
        <w:lastRenderedPageBreak/>
        <w:t xml:space="preserve">BCBS, or the Basel </w:t>
      </w:r>
      <w:r w:rsidR="005C3B82" w:rsidRPr="0074066D">
        <w:rPr>
          <w:rFonts w:cs="Times New Roman"/>
          <w:b/>
          <w:bCs/>
          <w:szCs w:val="24"/>
        </w:rPr>
        <w:t>Commission</w:t>
      </w:r>
      <w:r w:rsidRPr="0074066D">
        <w:rPr>
          <w:rFonts w:cs="Times New Roman"/>
          <w:b/>
          <w:bCs/>
          <w:szCs w:val="24"/>
        </w:rPr>
        <w:t xml:space="preserve"> on Banking Supervision</w:t>
      </w:r>
    </w:p>
    <w:p w14:paraId="7740D2F8" w14:textId="77777777" w:rsidR="000E4EF7" w:rsidRDefault="000E4EF7" w:rsidP="0074066D">
      <w:pPr>
        <w:jc w:val="both"/>
        <w:rPr>
          <w:rFonts w:cs="Times New Roman"/>
          <w:szCs w:val="24"/>
        </w:rPr>
      </w:pPr>
      <w:r w:rsidRPr="0074066D">
        <w:rPr>
          <w:rFonts w:cs="Times New Roman"/>
          <w:szCs w:val="24"/>
        </w:rPr>
        <w:t xml:space="preserve">A global </w:t>
      </w:r>
      <w:r w:rsidR="005C3B82" w:rsidRPr="0074066D">
        <w:rPr>
          <w:rFonts w:cs="Times New Roman"/>
          <w:szCs w:val="24"/>
        </w:rPr>
        <w:t>opportunity</w:t>
      </w:r>
      <w:r w:rsidRPr="0074066D">
        <w:rPr>
          <w:rFonts w:cs="Times New Roman"/>
          <w:szCs w:val="24"/>
        </w:rPr>
        <w:t xml:space="preserve"> for banking </w:t>
      </w:r>
      <w:r w:rsidR="005C3B82" w:rsidRPr="0074066D">
        <w:rPr>
          <w:rFonts w:cs="Times New Roman"/>
          <w:szCs w:val="24"/>
        </w:rPr>
        <w:t>managerial</w:t>
      </w:r>
      <w:r w:rsidRPr="0074066D">
        <w:rPr>
          <w:rFonts w:cs="Times New Roman"/>
          <w:szCs w:val="24"/>
        </w:rPr>
        <w:t xml:space="preserve"> bodies, the BCBS seeks to create and advance international regulatory standards. The Basel III Accord, that set new rules on bank capital </w:t>
      </w:r>
      <w:r w:rsidR="005C3B82" w:rsidRPr="0074066D">
        <w:rPr>
          <w:rFonts w:cs="Times New Roman"/>
          <w:szCs w:val="24"/>
        </w:rPr>
        <w:t>capability</w:t>
      </w:r>
      <w:r w:rsidRPr="0074066D">
        <w:rPr>
          <w:rFonts w:cs="Times New Roman"/>
          <w:szCs w:val="24"/>
        </w:rPr>
        <w:t xml:space="preserve"> and liquidity, was developed by the </w:t>
      </w:r>
      <w:r w:rsidR="005C3B82" w:rsidRPr="0074066D">
        <w:rPr>
          <w:rFonts w:cs="Times New Roman"/>
          <w:szCs w:val="24"/>
        </w:rPr>
        <w:t>Group</w:t>
      </w:r>
      <w:r w:rsidR="00585699" w:rsidRPr="0074066D">
        <w:rPr>
          <w:rFonts w:cs="Times New Roman"/>
          <w:szCs w:val="24"/>
        </w:rPr>
        <w:t xml:space="preserve"> (Franklin, Rostom and Thwaites, 2019)</w:t>
      </w:r>
      <w:r w:rsidRPr="0074066D">
        <w:rPr>
          <w:rFonts w:cs="Times New Roman"/>
          <w:szCs w:val="24"/>
        </w:rPr>
        <w:t xml:space="preserve">. </w:t>
      </w:r>
    </w:p>
    <w:p w14:paraId="253E83EF" w14:textId="77777777" w:rsidR="003A7750" w:rsidRPr="003A7750" w:rsidRDefault="003A7750" w:rsidP="003A7750">
      <w:pPr>
        <w:jc w:val="both"/>
        <w:rPr>
          <w:rFonts w:cs="Times New Roman"/>
          <w:szCs w:val="24"/>
        </w:rPr>
      </w:pPr>
      <w:r w:rsidRPr="003A7750">
        <w:rPr>
          <w:rFonts w:cs="Times New Roman"/>
          <w:szCs w:val="24"/>
        </w:rPr>
        <w:t>The Basel Committee on Banking Supervision (BCBS) introduced the Basel III framework, an extension of the existing Basel I and Basel II regulations, which focuses on improving the banking sector's resilience to economic shocks. The primary objectives of Basel III include:</w:t>
      </w:r>
    </w:p>
    <w:p w14:paraId="6A583AD8" w14:textId="77777777" w:rsidR="003A7750" w:rsidRPr="003A7750" w:rsidRDefault="003A7750" w:rsidP="003A7750">
      <w:pPr>
        <w:jc w:val="both"/>
        <w:rPr>
          <w:rFonts w:cs="Times New Roman"/>
          <w:szCs w:val="24"/>
        </w:rPr>
      </w:pPr>
    </w:p>
    <w:p w14:paraId="55D65433" w14:textId="77777777" w:rsidR="003A7750" w:rsidRPr="003A7750" w:rsidRDefault="003A7750" w:rsidP="003A7750">
      <w:pPr>
        <w:jc w:val="both"/>
        <w:rPr>
          <w:rFonts w:cs="Times New Roman"/>
          <w:szCs w:val="24"/>
        </w:rPr>
      </w:pPr>
      <w:r w:rsidRPr="003A7750">
        <w:rPr>
          <w:rFonts w:cs="Times New Roman"/>
          <w:szCs w:val="24"/>
        </w:rPr>
        <w:t>1. Enhancing the quality and quantity of capital that banks must hold, by raising the minimum Tier 1 capital ratio and introducing a minimum common equity capital ratio.</w:t>
      </w:r>
    </w:p>
    <w:p w14:paraId="1A68F94D" w14:textId="77777777" w:rsidR="003A7750" w:rsidRPr="003A7750" w:rsidRDefault="003A7750" w:rsidP="003A7750">
      <w:pPr>
        <w:jc w:val="both"/>
        <w:rPr>
          <w:rFonts w:cs="Times New Roman"/>
          <w:szCs w:val="24"/>
        </w:rPr>
      </w:pPr>
      <w:r w:rsidRPr="003A7750">
        <w:rPr>
          <w:rFonts w:cs="Times New Roman"/>
          <w:szCs w:val="24"/>
        </w:rPr>
        <w:t>2. Implementation of a counter-cyclical capital buffer to ensure that banks accumulate sufficient capital during periods of economic buoyancy.</w:t>
      </w:r>
    </w:p>
    <w:p w14:paraId="4830D178" w14:textId="77777777" w:rsidR="003A7750" w:rsidRPr="003A7750" w:rsidRDefault="003A7750" w:rsidP="003A7750">
      <w:pPr>
        <w:jc w:val="both"/>
        <w:rPr>
          <w:rFonts w:cs="Times New Roman"/>
          <w:szCs w:val="24"/>
        </w:rPr>
      </w:pPr>
      <w:r w:rsidRPr="003A7750">
        <w:rPr>
          <w:rFonts w:cs="Times New Roman"/>
          <w:szCs w:val="24"/>
        </w:rPr>
        <w:t>3. Introducing a new liquidity coverage ratio (LCR) and net stable funding ratio (NSFR) to improve banks' short-term and long-term liquidity risk management.</w:t>
      </w:r>
    </w:p>
    <w:p w14:paraId="18BD43CB" w14:textId="77777777" w:rsidR="003A7750" w:rsidRDefault="003A7750" w:rsidP="0074066D">
      <w:pPr>
        <w:jc w:val="both"/>
        <w:rPr>
          <w:rFonts w:cs="Times New Roman"/>
          <w:szCs w:val="24"/>
        </w:rPr>
      </w:pPr>
      <w:r w:rsidRPr="003A7750">
        <w:rPr>
          <w:rFonts w:cs="Times New Roman"/>
          <w:szCs w:val="24"/>
        </w:rPr>
        <w:t>4. Ensuring transparency and disclosure of banks' risk-related information to support market discipline.</w:t>
      </w:r>
    </w:p>
    <w:p w14:paraId="0CEA5DF9" w14:textId="307BCEE7" w:rsidR="000E4EF7" w:rsidRPr="0074066D" w:rsidRDefault="000E4EF7" w:rsidP="0074066D">
      <w:pPr>
        <w:jc w:val="both"/>
        <w:rPr>
          <w:rFonts w:cs="Times New Roman"/>
          <w:b/>
          <w:bCs/>
          <w:szCs w:val="24"/>
        </w:rPr>
      </w:pPr>
      <w:r w:rsidRPr="0074066D">
        <w:rPr>
          <w:rFonts w:cs="Times New Roman"/>
          <w:b/>
          <w:bCs/>
          <w:szCs w:val="24"/>
        </w:rPr>
        <w:t>Troubled Asset Relief Programme (TARP)</w:t>
      </w:r>
    </w:p>
    <w:p w14:paraId="1623BFE6" w14:textId="77777777" w:rsidR="0074066D" w:rsidRPr="0074066D" w:rsidRDefault="0074066D" w:rsidP="0074066D">
      <w:pPr>
        <w:jc w:val="both"/>
        <w:rPr>
          <w:rFonts w:cs="Times New Roman"/>
          <w:b/>
          <w:bCs/>
          <w:szCs w:val="24"/>
        </w:rPr>
      </w:pPr>
      <w:r w:rsidRPr="0074066D">
        <w:rPr>
          <w:rFonts w:cs="Times New Roman"/>
          <w:b/>
          <w:bCs/>
          <w:noProof/>
          <w:szCs w:val="24"/>
        </w:rPr>
        <w:drawing>
          <wp:inline distT="0" distB="0" distL="0" distR="0" wp14:anchorId="1DD7F1B0" wp14:editId="005FB074">
            <wp:extent cx="4376686" cy="2202150"/>
            <wp:effectExtent l="0" t="0" r="508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84370" cy="2206016"/>
                    </a:xfrm>
                    <a:prstGeom prst="rect">
                      <a:avLst/>
                    </a:prstGeom>
                    <a:noFill/>
                  </pic:spPr>
                </pic:pic>
              </a:graphicData>
            </a:graphic>
          </wp:inline>
        </w:drawing>
      </w:r>
    </w:p>
    <w:p w14:paraId="748594FF" w14:textId="77777777" w:rsidR="0074066D" w:rsidRPr="0074066D" w:rsidRDefault="0074066D" w:rsidP="0074066D">
      <w:pPr>
        <w:jc w:val="both"/>
        <w:rPr>
          <w:rFonts w:cs="Times New Roman"/>
          <w:szCs w:val="24"/>
        </w:rPr>
      </w:pPr>
      <w:r w:rsidRPr="0074066D">
        <w:rPr>
          <w:rFonts w:cs="Times New Roman"/>
          <w:szCs w:val="24"/>
        </w:rPr>
        <w:t>Figure 2: TARP graph</w:t>
      </w:r>
    </w:p>
    <w:p w14:paraId="43B1EE8D" w14:textId="77777777" w:rsidR="0074066D" w:rsidRPr="0074066D" w:rsidRDefault="0074066D" w:rsidP="0074066D">
      <w:pPr>
        <w:jc w:val="both"/>
        <w:rPr>
          <w:rFonts w:cs="Times New Roman"/>
          <w:szCs w:val="24"/>
        </w:rPr>
      </w:pPr>
      <w:r w:rsidRPr="0074066D">
        <w:rPr>
          <w:rFonts w:cs="Times New Roman"/>
          <w:szCs w:val="24"/>
        </w:rPr>
        <w:lastRenderedPageBreak/>
        <w:t>Source: (</w:t>
      </w:r>
      <w:proofErr w:type="spellStart"/>
      <w:r w:rsidRPr="0074066D">
        <w:rPr>
          <w:rFonts w:cs="Times New Roman"/>
          <w:szCs w:val="24"/>
        </w:rPr>
        <w:t>Tulumello</w:t>
      </w:r>
      <w:proofErr w:type="spellEnd"/>
      <w:r w:rsidRPr="0074066D">
        <w:rPr>
          <w:rFonts w:cs="Times New Roman"/>
          <w:szCs w:val="24"/>
        </w:rPr>
        <w:t xml:space="preserve">, </w:t>
      </w:r>
      <w:proofErr w:type="spellStart"/>
      <w:r w:rsidRPr="0074066D">
        <w:rPr>
          <w:rFonts w:cs="Times New Roman"/>
          <w:szCs w:val="24"/>
        </w:rPr>
        <w:t>Cotella</w:t>
      </w:r>
      <w:proofErr w:type="spellEnd"/>
      <w:r w:rsidRPr="0074066D">
        <w:rPr>
          <w:rFonts w:cs="Times New Roman"/>
          <w:szCs w:val="24"/>
        </w:rPr>
        <w:t xml:space="preserve"> and </w:t>
      </w:r>
      <w:proofErr w:type="spellStart"/>
      <w:r w:rsidRPr="0074066D">
        <w:rPr>
          <w:rFonts w:cs="Times New Roman"/>
          <w:szCs w:val="24"/>
        </w:rPr>
        <w:t>Othengrafen</w:t>
      </w:r>
      <w:proofErr w:type="spellEnd"/>
      <w:r w:rsidRPr="0074066D">
        <w:rPr>
          <w:rFonts w:cs="Times New Roman"/>
          <w:szCs w:val="24"/>
        </w:rPr>
        <w:t>, 2019)</w:t>
      </w:r>
    </w:p>
    <w:p w14:paraId="1C197110" w14:textId="77777777" w:rsidR="000E4EF7" w:rsidRPr="0074066D" w:rsidRDefault="000E4EF7" w:rsidP="0074066D">
      <w:pPr>
        <w:jc w:val="both"/>
        <w:rPr>
          <w:rFonts w:cs="Times New Roman"/>
          <w:szCs w:val="24"/>
        </w:rPr>
      </w:pPr>
      <w:r w:rsidRPr="0074066D">
        <w:rPr>
          <w:rFonts w:cs="Times New Roman"/>
          <w:szCs w:val="24"/>
        </w:rPr>
        <w:t>In order to assist banks and other financial institutions, the TARP was established in 2008 with the goal of stabilising the financial system. It was also observed that it bailed out the same institutions that triggered the crisis and the programme proved disruptive</w:t>
      </w:r>
      <w:r w:rsidR="00EE1662" w:rsidRPr="0074066D">
        <w:rPr>
          <w:rFonts w:cs="Times New Roman"/>
          <w:szCs w:val="24"/>
        </w:rPr>
        <w:t xml:space="preserve"> (</w:t>
      </w:r>
      <w:proofErr w:type="spellStart"/>
      <w:r w:rsidR="00EE1662" w:rsidRPr="0074066D">
        <w:rPr>
          <w:rFonts w:cs="Times New Roman"/>
          <w:szCs w:val="24"/>
        </w:rPr>
        <w:t>Behn</w:t>
      </w:r>
      <w:proofErr w:type="spellEnd"/>
      <w:r w:rsidR="00EE1662" w:rsidRPr="0074066D">
        <w:rPr>
          <w:rFonts w:cs="Times New Roman"/>
          <w:szCs w:val="24"/>
        </w:rPr>
        <w:t xml:space="preserve"> and Schramm, 2021)</w:t>
      </w:r>
      <w:r w:rsidRPr="0074066D">
        <w:rPr>
          <w:rFonts w:cs="Times New Roman"/>
          <w:szCs w:val="24"/>
        </w:rPr>
        <w:t>.</w:t>
      </w:r>
    </w:p>
    <w:p w14:paraId="1713447D" w14:textId="77777777" w:rsidR="00F201CF" w:rsidRPr="0074066D" w:rsidRDefault="00F201CF" w:rsidP="0074066D">
      <w:pPr>
        <w:jc w:val="both"/>
        <w:rPr>
          <w:rFonts w:cs="Times New Roman"/>
          <w:b/>
          <w:bCs/>
          <w:szCs w:val="24"/>
        </w:rPr>
      </w:pPr>
      <w:r w:rsidRPr="0074066D">
        <w:rPr>
          <w:rFonts w:cs="Times New Roman"/>
          <w:b/>
          <w:bCs/>
          <w:szCs w:val="24"/>
        </w:rPr>
        <w:t>By EU authorit</w:t>
      </w:r>
      <w:r w:rsidR="0004661C" w:rsidRPr="0074066D">
        <w:rPr>
          <w:rFonts w:cs="Times New Roman"/>
          <w:b/>
          <w:bCs/>
          <w:szCs w:val="24"/>
        </w:rPr>
        <w:t xml:space="preserve">ies </w:t>
      </w:r>
    </w:p>
    <w:p w14:paraId="5937226F" w14:textId="3AE0EB77" w:rsidR="0004661C" w:rsidRPr="0074066D" w:rsidRDefault="00E525FF" w:rsidP="0074066D">
      <w:pPr>
        <w:jc w:val="both"/>
        <w:rPr>
          <w:rFonts w:cs="Times New Roman"/>
          <w:b/>
          <w:bCs/>
          <w:szCs w:val="24"/>
        </w:rPr>
      </w:pPr>
      <w:r>
        <w:rPr>
          <w:rFonts w:cs="Times New Roman"/>
          <w:b/>
          <w:bCs/>
          <w:szCs w:val="24"/>
        </w:rPr>
        <w:t xml:space="preserve">The </w:t>
      </w:r>
      <w:r w:rsidR="0004661C" w:rsidRPr="0074066D">
        <w:rPr>
          <w:rFonts w:cs="Times New Roman"/>
          <w:b/>
          <w:bCs/>
          <w:szCs w:val="24"/>
        </w:rPr>
        <w:t>European stability mechanism</w:t>
      </w:r>
    </w:p>
    <w:p w14:paraId="3330F0EA" w14:textId="77777777" w:rsidR="0004661C" w:rsidRPr="0074066D" w:rsidRDefault="0004661C" w:rsidP="0074066D">
      <w:pPr>
        <w:jc w:val="both"/>
        <w:rPr>
          <w:rFonts w:cs="Times New Roman"/>
          <w:szCs w:val="24"/>
        </w:rPr>
      </w:pPr>
      <w:r w:rsidRPr="0074066D">
        <w:rPr>
          <w:rFonts w:cs="Times New Roman"/>
          <w:szCs w:val="24"/>
        </w:rPr>
        <w:t xml:space="preserve">ESM, or the European Stability </w:t>
      </w:r>
      <w:r w:rsidR="005C3B82" w:rsidRPr="0074066D">
        <w:rPr>
          <w:rFonts w:cs="Times New Roman"/>
          <w:szCs w:val="24"/>
        </w:rPr>
        <w:t>Instrument</w:t>
      </w:r>
      <w:r w:rsidRPr="0074066D">
        <w:rPr>
          <w:rFonts w:cs="Times New Roman"/>
          <w:szCs w:val="24"/>
        </w:rPr>
        <w:t xml:space="preserve"> The ESM, </w:t>
      </w:r>
      <w:r w:rsidR="004C486A" w:rsidRPr="0074066D">
        <w:rPr>
          <w:rFonts w:cs="Times New Roman"/>
          <w:szCs w:val="24"/>
        </w:rPr>
        <w:t>that</w:t>
      </w:r>
      <w:r w:rsidRPr="0074066D">
        <w:rPr>
          <w:rFonts w:cs="Times New Roman"/>
          <w:szCs w:val="24"/>
        </w:rPr>
        <w:t xml:space="preserve"> was </w:t>
      </w:r>
      <w:r w:rsidR="005C3B82" w:rsidRPr="0074066D">
        <w:rPr>
          <w:rFonts w:cs="Times New Roman"/>
          <w:szCs w:val="24"/>
        </w:rPr>
        <w:t>recognised</w:t>
      </w:r>
      <w:r w:rsidRPr="0074066D">
        <w:rPr>
          <w:rFonts w:cs="Times New Roman"/>
          <w:szCs w:val="24"/>
        </w:rPr>
        <w:t xml:space="preserve"> in 2012, is a </w:t>
      </w:r>
      <w:r w:rsidR="005C3B82" w:rsidRPr="0074066D">
        <w:rPr>
          <w:rFonts w:cs="Times New Roman"/>
          <w:szCs w:val="24"/>
        </w:rPr>
        <w:t>perpetual</w:t>
      </w:r>
      <w:r w:rsidRPr="0074066D">
        <w:rPr>
          <w:rFonts w:cs="Times New Roman"/>
          <w:szCs w:val="24"/>
        </w:rPr>
        <w:t xml:space="preserve"> crisis-resolution </w:t>
      </w:r>
      <w:r w:rsidR="005C3B82" w:rsidRPr="0074066D">
        <w:rPr>
          <w:rFonts w:cs="Times New Roman"/>
          <w:szCs w:val="24"/>
        </w:rPr>
        <w:t>device</w:t>
      </w:r>
      <w:r w:rsidRPr="0074066D">
        <w:rPr>
          <w:rFonts w:cs="Times New Roman"/>
          <w:szCs w:val="24"/>
        </w:rPr>
        <w:t xml:space="preserve"> that offers financial support to EU member states experiencing extreme economic hardships</w:t>
      </w:r>
      <w:r w:rsidR="001B3F22" w:rsidRPr="0074066D">
        <w:rPr>
          <w:rFonts w:cs="Times New Roman"/>
          <w:szCs w:val="24"/>
        </w:rPr>
        <w:t xml:space="preserve"> (Burdekin and Tao, 2021)</w:t>
      </w:r>
      <w:r w:rsidRPr="0074066D">
        <w:rPr>
          <w:rFonts w:cs="Times New Roman"/>
          <w:szCs w:val="24"/>
        </w:rPr>
        <w:t>.</w:t>
      </w:r>
    </w:p>
    <w:p w14:paraId="77970CC2" w14:textId="77777777" w:rsidR="0004661C" w:rsidRPr="0074066D" w:rsidRDefault="0004661C" w:rsidP="0074066D">
      <w:pPr>
        <w:jc w:val="both"/>
        <w:rPr>
          <w:rFonts w:cs="Times New Roman"/>
          <w:b/>
          <w:bCs/>
          <w:szCs w:val="24"/>
        </w:rPr>
      </w:pPr>
      <w:r w:rsidRPr="0074066D">
        <w:rPr>
          <w:rFonts w:cs="Times New Roman"/>
          <w:b/>
          <w:bCs/>
          <w:szCs w:val="24"/>
        </w:rPr>
        <w:t>Single Supervisory Mechanism</w:t>
      </w:r>
    </w:p>
    <w:p w14:paraId="78D160D0" w14:textId="77777777" w:rsidR="0004661C" w:rsidRPr="0074066D" w:rsidRDefault="0004661C" w:rsidP="0074066D">
      <w:pPr>
        <w:jc w:val="both"/>
        <w:rPr>
          <w:rFonts w:cs="Times New Roman"/>
          <w:szCs w:val="24"/>
        </w:rPr>
      </w:pPr>
      <w:r w:rsidRPr="0074066D">
        <w:rPr>
          <w:rFonts w:cs="Times New Roman"/>
          <w:szCs w:val="24"/>
        </w:rPr>
        <w:t xml:space="preserve">The SSM, or Single Supervisory </w:t>
      </w:r>
      <w:r w:rsidR="005C3B82" w:rsidRPr="0074066D">
        <w:rPr>
          <w:rFonts w:cs="Times New Roman"/>
          <w:szCs w:val="24"/>
        </w:rPr>
        <w:t>Device</w:t>
      </w:r>
      <w:r w:rsidRPr="0074066D">
        <w:rPr>
          <w:rFonts w:cs="Times New Roman"/>
          <w:szCs w:val="24"/>
        </w:rPr>
        <w:t xml:space="preserve"> The SSM,  </w:t>
      </w:r>
      <w:r w:rsidR="004C486A" w:rsidRPr="0074066D">
        <w:rPr>
          <w:rFonts w:cs="Times New Roman"/>
          <w:szCs w:val="24"/>
        </w:rPr>
        <w:t xml:space="preserve">that </w:t>
      </w:r>
      <w:r w:rsidRPr="0074066D">
        <w:rPr>
          <w:rFonts w:cs="Times New Roman"/>
          <w:szCs w:val="24"/>
        </w:rPr>
        <w:t>was established in 2014, gives the European Central Bank (ECB) the power to monitor and control the eurozone financial sector</w:t>
      </w:r>
      <w:r w:rsidR="001B3F22" w:rsidRPr="0074066D">
        <w:rPr>
          <w:rFonts w:cs="Times New Roman"/>
          <w:szCs w:val="24"/>
        </w:rPr>
        <w:t xml:space="preserve"> (</w:t>
      </w:r>
      <w:proofErr w:type="spellStart"/>
      <w:r w:rsidR="001B3F22" w:rsidRPr="0074066D">
        <w:rPr>
          <w:rFonts w:cs="Times New Roman"/>
          <w:szCs w:val="24"/>
        </w:rPr>
        <w:t>Brem</w:t>
      </w:r>
      <w:proofErr w:type="spellEnd"/>
      <w:r w:rsidR="001B3F22" w:rsidRPr="0074066D">
        <w:rPr>
          <w:rFonts w:cs="Times New Roman"/>
          <w:szCs w:val="24"/>
        </w:rPr>
        <w:t xml:space="preserve">, </w:t>
      </w:r>
      <w:proofErr w:type="spellStart"/>
      <w:r w:rsidR="001B3F22" w:rsidRPr="0074066D">
        <w:rPr>
          <w:rFonts w:cs="Times New Roman"/>
          <w:szCs w:val="24"/>
        </w:rPr>
        <w:t>Nylund</w:t>
      </w:r>
      <w:proofErr w:type="spellEnd"/>
      <w:r w:rsidR="001B3F22" w:rsidRPr="0074066D">
        <w:rPr>
          <w:rFonts w:cs="Times New Roman"/>
          <w:szCs w:val="24"/>
        </w:rPr>
        <w:t xml:space="preserve"> and </w:t>
      </w:r>
      <w:proofErr w:type="spellStart"/>
      <w:r w:rsidR="001B3F22" w:rsidRPr="0074066D">
        <w:rPr>
          <w:rFonts w:cs="Times New Roman"/>
          <w:szCs w:val="24"/>
        </w:rPr>
        <w:t>Viardot</w:t>
      </w:r>
      <w:proofErr w:type="spellEnd"/>
      <w:r w:rsidR="001B3F22" w:rsidRPr="0074066D">
        <w:rPr>
          <w:rFonts w:cs="Times New Roman"/>
          <w:szCs w:val="24"/>
        </w:rPr>
        <w:t>, 2020)</w:t>
      </w:r>
      <w:r w:rsidRPr="0074066D">
        <w:rPr>
          <w:rFonts w:cs="Times New Roman"/>
          <w:szCs w:val="24"/>
        </w:rPr>
        <w:t>.</w:t>
      </w:r>
    </w:p>
    <w:p w14:paraId="137C12D0" w14:textId="77777777" w:rsidR="0004661C" w:rsidRPr="0074066D" w:rsidRDefault="0004661C" w:rsidP="0074066D">
      <w:pPr>
        <w:jc w:val="both"/>
        <w:rPr>
          <w:rFonts w:cs="Times New Roman"/>
          <w:b/>
          <w:bCs/>
          <w:szCs w:val="24"/>
        </w:rPr>
      </w:pPr>
      <w:r w:rsidRPr="0074066D">
        <w:rPr>
          <w:rFonts w:cs="Times New Roman"/>
          <w:b/>
          <w:bCs/>
          <w:szCs w:val="24"/>
        </w:rPr>
        <w:t>Single resolution mechanism</w:t>
      </w:r>
    </w:p>
    <w:p w14:paraId="19EA63CC" w14:textId="77777777" w:rsidR="0004661C" w:rsidRPr="0074066D" w:rsidRDefault="0004661C" w:rsidP="0074066D">
      <w:pPr>
        <w:jc w:val="both"/>
        <w:rPr>
          <w:rFonts w:cs="Times New Roman"/>
          <w:szCs w:val="24"/>
        </w:rPr>
      </w:pPr>
      <w:r w:rsidRPr="0074066D">
        <w:rPr>
          <w:rFonts w:cs="Times New Roman"/>
          <w:szCs w:val="24"/>
        </w:rPr>
        <w:t xml:space="preserve">The Single </w:t>
      </w:r>
      <w:r w:rsidR="005C3B82">
        <w:rPr>
          <w:rFonts w:cs="Times New Roman"/>
          <w:szCs w:val="24"/>
        </w:rPr>
        <w:t>Resolution</w:t>
      </w:r>
      <w:r w:rsidRPr="0074066D">
        <w:rPr>
          <w:rFonts w:cs="Times New Roman"/>
          <w:szCs w:val="24"/>
        </w:rPr>
        <w:t xml:space="preserve"> Mechanism (SRM),</w:t>
      </w:r>
      <w:r w:rsidR="004C486A" w:rsidRPr="0074066D">
        <w:rPr>
          <w:rFonts w:cs="Times New Roman"/>
          <w:szCs w:val="24"/>
        </w:rPr>
        <w:t xml:space="preserve"> that</w:t>
      </w:r>
      <w:r w:rsidRPr="0074066D">
        <w:rPr>
          <w:rFonts w:cs="Times New Roman"/>
          <w:szCs w:val="24"/>
        </w:rPr>
        <w:t xml:space="preserve"> was established in 2014, enables the eurozone's failing banks and other </w:t>
      </w:r>
      <w:r w:rsidR="005C3B82" w:rsidRPr="0074066D">
        <w:rPr>
          <w:rFonts w:cs="Times New Roman"/>
          <w:szCs w:val="24"/>
        </w:rPr>
        <w:t>monetary</w:t>
      </w:r>
      <w:r w:rsidRPr="0074066D">
        <w:rPr>
          <w:rFonts w:cs="Times New Roman"/>
          <w:szCs w:val="24"/>
        </w:rPr>
        <w:t xml:space="preserve"> </w:t>
      </w:r>
      <w:r w:rsidR="005C3B82" w:rsidRPr="0074066D">
        <w:rPr>
          <w:rFonts w:cs="Times New Roman"/>
          <w:szCs w:val="24"/>
        </w:rPr>
        <w:t>organisations</w:t>
      </w:r>
      <w:r w:rsidRPr="0074066D">
        <w:rPr>
          <w:rFonts w:cs="Times New Roman"/>
          <w:szCs w:val="24"/>
        </w:rPr>
        <w:t xml:space="preserve"> to be resolved in an orderly fashion</w:t>
      </w:r>
      <w:r w:rsidR="002F0BAC" w:rsidRPr="0074066D">
        <w:rPr>
          <w:rFonts w:cs="Times New Roman"/>
          <w:szCs w:val="24"/>
        </w:rPr>
        <w:t xml:space="preserve"> (</w:t>
      </w:r>
      <w:proofErr w:type="spellStart"/>
      <w:r w:rsidR="002F0BAC" w:rsidRPr="0074066D">
        <w:rPr>
          <w:rFonts w:cs="Times New Roman"/>
          <w:szCs w:val="24"/>
        </w:rPr>
        <w:t>Saghir</w:t>
      </w:r>
      <w:proofErr w:type="spellEnd"/>
      <w:r w:rsidR="002F0BAC" w:rsidRPr="0074066D">
        <w:rPr>
          <w:rFonts w:cs="Times New Roman"/>
          <w:szCs w:val="24"/>
        </w:rPr>
        <w:t>, 2021)</w:t>
      </w:r>
      <w:r w:rsidRPr="0074066D">
        <w:rPr>
          <w:rFonts w:cs="Times New Roman"/>
          <w:szCs w:val="24"/>
        </w:rPr>
        <w:t>.</w:t>
      </w:r>
    </w:p>
    <w:p w14:paraId="50033F5B" w14:textId="77777777" w:rsidR="0004661C" w:rsidRPr="0074066D" w:rsidRDefault="0004661C" w:rsidP="0074066D">
      <w:pPr>
        <w:jc w:val="both"/>
        <w:rPr>
          <w:rFonts w:cs="Times New Roman"/>
          <w:b/>
          <w:bCs/>
          <w:szCs w:val="24"/>
        </w:rPr>
      </w:pPr>
      <w:r w:rsidRPr="0074066D">
        <w:rPr>
          <w:rFonts w:cs="Times New Roman"/>
          <w:b/>
          <w:bCs/>
          <w:szCs w:val="24"/>
        </w:rPr>
        <w:t xml:space="preserve">Capital Requirements </w:t>
      </w:r>
      <w:r w:rsidR="005C3B82" w:rsidRPr="0074066D">
        <w:rPr>
          <w:rFonts w:cs="Times New Roman"/>
          <w:b/>
          <w:bCs/>
          <w:szCs w:val="24"/>
        </w:rPr>
        <w:t>Instruction</w:t>
      </w:r>
      <w:r w:rsidRPr="0074066D">
        <w:rPr>
          <w:rFonts w:cs="Times New Roman"/>
          <w:b/>
          <w:bCs/>
          <w:szCs w:val="24"/>
        </w:rPr>
        <w:t xml:space="preserve"> IV (CRD IV) and the Capital Requirements </w:t>
      </w:r>
      <w:r w:rsidR="005C3B82" w:rsidRPr="0074066D">
        <w:rPr>
          <w:rFonts w:cs="Times New Roman"/>
          <w:b/>
          <w:bCs/>
          <w:szCs w:val="24"/>
        </w:rPr>
        <w:t>Guideline</w:t>
      </w:r>
      <w:r w:rsidRPr="0074066D">
        <w:rPr>
          <w:rFonts w:cs="Times New Roman"/>
          <w:b/>
          <w:bCs/>
          <w:szCs w:val="24"/>
        </w:rPr>
        <w:t xml:space="preserve"> (CRR)</w:t>
      </w:r>
    </w:p>
    <w:p w14:paraId="27A27361" w14:textId="77777777" w:rsidR="0004661C" w:rsidRPr="0074066D" w:rsidRDefault="0004661C" w:rsidP="0074066D">
      <w:pPr>
        <w:jc w:val="both"/>
        <w:rPr>
          <w:rFonts w:cs="Times New Roman"/>
          <w:szCs w:val="24"/>
        </w:rPr>
      </w:pPr>
      <w:r w:rsidRPr="0074066D">
        <w:rPr>
          <w:rFonts w:cs="Times New Roman"/>
          <w:szCs w:val="24"/>
        </w:rPr>
        <w:t xml:space="preserve">These regulations, </w:t>
      </w:r>
      <w:r w:rsidR="004C486A" w:rsidRPr="0074066D">
        <w:rPr>
          <w:rFonts w:cs="Times New Roman"/>
          <w:szCs w:val="24"/>
        </w:rPr>
        <w:t>that</w:t>
      </w:r>
      <w:r w:rsidRPr="0074066D">
        <w:rPr>
          <w:rFonts w:cs="Times New Roman"/>
          <w:szCs w:val="24"/>
        </w:rPr>
        <w:t xml:space="preserve"> went into effect in 2013, require banks to tighten their risk management procedures and maintain adequate capital buffers to withstand any losses</w:t>
      </w:r>
      <w:r w:rsidR="001B3F22" w:rsidRPr="0074066D">
        <w:rPr>
          <w:rFonts w:cs="Times New Roman"/>
          <w:szCs w:val="24"/>
        </w:rPr>
        <w:t xml:space="preserve"> (de la Porte and Jensen, 2021)</w:t>
      </w:r>
      <w:r w:rsidRPr="0074066D">
        <w:rPr>
          <w:rFonts w:cs="Times New Roman"/>
          <w:szCs w:val="24"/>
        </w:rPr>
        <w:t>.</w:t>
      </w:r>
    </w:p>
    <w:p w14:paraId="1E312A9B" w14:textId="0253AA64" w:rsidR="0004661C" w:rsidRPr="0074066D" w:rsidRDefault="006D22F5" w:rsidP="0074066D">
      <w:pPr>
        <w:jc w:val="both"/>
        <w:rPr>
          <w:rFonts w:cs="Times New Roman"/>
          <w:b/>
          <w:bCs/>
          <w:szCs w:val="24"/>
        </w:rPr>
      </w:pPr>
      <w:r>
        <w:rPr>
          <w:rFonts w:cs="Times New Roman"/>
          <w:b/>
          <w:bCs/>
          <w:szCs w:val="24"/>
        </w:rPr>
        <w:t xml:space="preserve">The </w:t>
      </w:r>
      <w:r w:rsidR="0004661C" w:rsidRPr="0074066D">
        <w:rPr>
          <w:rFonts w:cs="Times New Roman"/>
          <w:b/>
          <w:bCs/>
          <w:szCs w:val="24"/>
        </w:rPr>
        <w:t>Markets in financial instruments derivative II</w:t>
      </w:r>
    </w:p>
    <w:p w14:paraId="5F3C3208" w14:textId="77777777" w:rsidR="0004661C" w:rsidRPr="0074066D" w:rsidRDefault="0004661C" w:rsidP="0074066D">
      <w:pPr>
        <w:jc w:val="both"/>
        <w:rPr>
          <w:rFonts w:cs="Times New Roman"/>
          <w:b/>
          <w:bCs/>
          <w:szCs w:val="24"/>
        </w:rPr>
      </w:pPr>
      <w:r w:rsidRPr="0074066D">
        <w:rPr>
          <w:rFonts w:cs="Times New Roman"/>
          <w:szCs w:val="24"/>
        </w:rPr>
        <w:lastRenderedPageBreak/>
        <w:t xml:space="preserve">The MiFID II, or Markets in </w:t>
      </w:r>
      <w:r w:rsidR="005C3B82" w:rsidRPr="0074066D">
        <w:rPr>
          <w:rFonts w:cs="Times New Roman"/>
          <w:szCs w:val="24"/>
        </w:rPr>
        <w:t>Monetary</w:t>
      </w:r>
      <w:r w:rsidRPr="0074066D">
        <w:rPr>
          <w:rFonts w:cs="Times New Roman"/>
          <w:szCs w:val="24"/>
        </w:rPr>
        <w:t xml:space="preserve"> Instruments Directive MiFID II, </w:t>
      </w:r>
      <w:r w:rsidR="004C486A" w:rsidRPr="0074066D">
        <w:rPr>
          <w:rFonts w:cs="Times New Roman"/>
          <w:szCs w:val="24"/>
        </w:rPr>
        <w:t>that</w:t>
      </w:r>
      <w:r w:rsidRPr="0074066D">
        <w:rPr>
          <w:rFonts w:cs="Times New Roman"/>
          <w:szCs w:val="24"/>
        </w:rPr>
        <w:t xml:space="preserve"> was introduced in 2018, tightens up the management of financial markets by mandating more transparency, protecting investors, and monitoring high-frequency trading</w:t>
      </w:r>
      <w:r w:rsidR="00705542" w:rsidRPr="0074066D">
        <w:rPr>
          <w:rFonts w:cs="Times New Roman"/>
          <w:szCs w:val="24"/>
        </w:rPr>
        <w:t xml:space="preserve"> (Christensen and Hearson, 2019)</w:t>
      </w:r>
      <w:r w:rsidRPr="0074066D">
        <w:rPr>
          <w:rFonts w:cs="Times New Roman"/>
          <w:b/>
          <w:bCs/>
          <w:szCs w:val="24"/>
        </w:rPr>
        <w:t>.</w:t>
      </w:r>
    </w:p>
    <w:p w14:paraId="23583FD0" w14:textId="77777777" w:rsidR="0004661C" w:rsidRPr="0074066D" w:rsidRDefault="0004661C" w:rsidP="0074066D">
      <w:pPr>
        <w:jc w:val="both"/>
        <w:rPr>
          <w:rFonts w:cs="Times New Roman"/>
          <w:b/>
          <w:bCs/>
          <w:szCs w:val="24"/>
        </w:rPr>
      </w:pPr>
      <w:r w:rsidRPr="0074066D">
        <w:rPr>
          <w:rFonts w:cs="Times New Roman"/>
          <w:b/>
          <w:bCs/>
          <w:szCs w:val="24"/>
        </w:rPr>
        <w:t xml:space="preserve">Anti-Money Laundering Derivative </w:t>
      </w:r>
    </w:p>
    <w:p w14:paraId="0B94DF6A" w14:textId="77777777" w:rsidR="0074066D" w:rsidRPr="0074066D" w:rsidRDefault="0074066D" w:rsidP="0074066D">
      <w:pPr>
        <w:jc w:val="both"/>
        <w:rPr>
          <w:rFonts w:cs="Times New Roman"/>
          <w:b/>
          <w:bCs/>
          <w:szCs w:val="24"/>
        </w:rPr>
      </w:pPr>
      <w:r w:rsidRPr="0074066D">
        <w:rPr>
          <w:rFonts w:cs="Times New Roman"/>
          <w:b/>
          <w:bCs/>
          <w:noProof/>
          <w:szCs w:val="24"/>
        </w:rPr>
        <w:drawing>
          <wp:inline distT="0" distB="0" distL="0" distR="0" wp14:anchorId="7200F880" wp14:editId="2A4A46B5">
            <wp:extent cx="3038862" cy="25812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44209" cy="2585787"/>
                    </a:xfrm>
                    <a:prstGeom prst="rect">
                      <a:avLst/>
                    </a:prstGeom>
                    <a:noFill/>
                  </pic:spPr>
                </pic:pic>
              </a:graphicData>
            </a:graphic>
          </wp:inline>
        </w:drawing>
      </w:r>
    </w:p>
    <w:p w14:paraId="694B989B" w14:textId="77777777" w:rsidR="0074066D" w:rsidRPr="0074066D" w:rsidRDefault="0074066D" w:rsidP="0074066D">
      <w:pPr>
        <w:jc w:val="both"/>
        <w:rPr>
          <w:rFonts w:cs="Times New Roman"/>
          <w:szCs w:val="24"/>
        </w:rPr>
      </w:pPr>
      <w:r w:rsidRPr="0074066D">
        <w:rPr>
          <w:rFonts w:cs="Times New Roman"/>
          <w:szCs w:val="24"/>
        </w:rPr>
        <w:t>Figure 3: Anti-money laundering derivative framework</w:t>
      </w:r>
    </w:p>
    <w:p w14:paraId="142A6DDE" w14:textId="77777777" w:rsidR="0074066D" w:rsidRPr="0074066D" w:rsidRDefault="0074066D" w:rsidP="0074066D">
      <w:pPr>
        <w:jc w:val="both"/>
        <w:rPr>
          <w:rFonts w:cs="Times New Roman"/>
          <w:szCs w:val="24"/>
        </w:rPr>
      </w:pPr>
      <w:r w:rsidRPr="0074066D">
        <w:rPr>
          <w:rFonts w:cs="Times New Roman"/>
          <w:szCs w:val="24"/>
        </w:rPr>
        <w:t xml:space="preserve">Source: (van Gent and </w:t>
      </w:r>
      <w:proofErr w:type="spellStart"/>
      <w:r w:rsidRPr="0074066D">
        <w:rPr>
          <w:rFonts w:cs="Times New Roman"/>
          <w:szCs w:val="24"/>
        </w:rPr>
        <w:t>Hochstenbach</w:t>
      </w:r>
      <w:proofErr w:type="spellEnd"/>
      <w:r w:rsidRPr="0074066D">
        <w:rPr>
          <w:rFonts w:cs="Times New Roman"/>
          <w:szCs w:val="24"/>
        </w:rPr>
        <w:t>, 2019)</w:t>
      </w:r>
    </w:p>
    <w:p w14:paraId="3AC5A548" w14:textId="77777777" w:rsidR="0004661C" w:rsidRPr="0074066D" w:rsidRDefault="0004661C" w:rsidP="0074066D">
      <w:pPr>
        <w:jc w:val="both"/>
        <w:rPr>
          <w:rFonts w:cs="Times New Roman"/>
          <w:szCs w:val="24"/>
        </w:rPr>
      </w:pPr>
      <w:r w:rsidRPr="0074066D">
        <w:rPr>
          <w:rFonts w:cs="Times New Roman"/>
          <w:szCs w:val="24"/>
        </w:rPr>
        <w:t>The AMLD, or the Anti-Money Laundering Directive The 2018 update to the AMLD improves counter-money laundering and counter-terrorist financing measures, including stronger customer due diligence standards and more EU member state collaboration</w:t>
      </w:r>
      <w:r w:rsidR="00705542" w:rsidRPr="0074066D">
        <w:rPr>
          <w:rFonts w:cs="Times New Roman"/>
          <w:szCs w:val="24"/>
        </w:rPr>
        <w:t xml:space="preserve"> (de la Porte and Jensen, 2021)</w:t>
      </w:r>
      <w:r w:rsidRPr="0074066D">
        <w:rPr>
          <w:rFonts w:cs="Times New Roman"/>
          <w:szCs w:val="24"/>
        </w:rPr>
        <w:t>.</w:t>
      </w:r>
    </w:p>
    <w:p w14:paraId="4B628782" w14:textId="77777777" w:rsidR="000E4EF7" w:rsidRPr="0074066D" w:rsidRDefault="00917ED8" w:rsidP="0074066D">
      <w:pPr>
        <w:pStyle w:val="Heading2"/>
        <w:spacing w:line="360" w:lineRule="auto"/>
        <w:jc w:val="both"/>
        <w:rPr>
          <w:rFonts w:cs="Times New Roman"/>
          <w:sz w:val="24"/>
          <w:szCs w:val="24"/>
        </w:rPr>
      </w:pPr>
      <w:bookmarkStart w:id="3" w:name="_Toc133335214"/>
      <w:r w:rsidRPr="0074066D">
        <w:rPr>
          <w:rFonts w:cs="Times New Roman"/>
          <w:sz w:val="24"/>
          <w:szCs w:val="24"/>
        </w:rPr>
        <w:t>2.2. Contribution of reforms towards stabilising the economy</w:t>
      </w:r>
      <w:bookmarkEnd w:id="3"/>
    </w:p>
    <w:p w14:paraId="1DF56397" w14:textId="1EDA1B3B" w:rsidR="00917ED8" w:rsidRPr="0074066D" w:rsidRDefault="00917ED8" w:rsidP="0074066D">
      <w:pPr>
        <w:jc w:val="both"/>
        <w:rPr>
          <w:rFonts w:cs="Times New Roman"/>
          <w:szCs w:val="24"/>
        </w:rPr>
      </w:pPr>
      <w:r w:rsidRPr="0074066D">
        <w:rPr>
          <w:rFonts w:cs="Times New Roman"/>
          <w:szCs w:val="24"/>
        </w:rPr>
        <w:t>One of the biggest worldwide economic recessions since the Great Depression was the financial crisis of 2008. A number of things, including careless lending practices, insufficient regulatory monitoring, and a highly integrated global financial system, contributed to the crisis. Authorities in the UK, US, and EU undertook a number of measures in reaction to the crisis with the goal of strengthening the financial system and preventing another one in the future</w:t>
      </w:r>
      <w:r w:rsidR="002F267F" w:rsidRPr="0074066D">
        <w:rPr>
          <w:rFonts w:cs="Times New Roman"/>
          <w:szCs w:val="24"/>
        </w:rPr>
        <w:t xml:space="preserve"> (Chen, Ting and Wang, 2020)</w:t>
      </w:r>
      <w:r w:rsidRPr="0074066D">
        <w:rPr>
          <w:rFonts w:cs="Times New Roman"/>
          <w:szCs w:val="24"/>
        </w:rPr>
        <w:t>.</w:t>
      </w:r>
      <w:r w:rsidR="008A1B5B">
        <w:rPr>
          <w:rFonts w:cs="Times New Roman"/>
          <w:szCs w:val="24"/>
        </w:rPr>
        <w:t xml:space="preserve"> </w:t>
      </w:r>
      <w:r w:rsidRPr="0074066D">
        <w:rPr>
          <w:rFonts w:cs="Times New Roman"/>
          <w:szCs w:val="24"/>
        </w:rPr>
        <w:t xml:space="preserve"> The extent to these </w:t>
      </w:r>
      <w:r w:rsidR="004C486A" w:rsidRPr="0074066D">
        <w:rPr>
          <w:rFonts w:cs="Times New Roman"/>
          <w:szCs w:val="24"/>
        </w:rPr>
        <w:t>that</w:t>
      </w:r>
      <w:r w:rsidRPr="0074066D">
        <w:rPr>
          <w:rFonts w:cs="Times New Roman"/>
          <w:szCs w:val="24"/>
        </w:rPr>
        <w:t xml:space="preserve"> have helped create a more stable financial system and banking institutions can be critically examined as:</w:t>
      </w:r>
    </w:p>
    <w:p w14:paraId="69FA57C4" w14:textId="77777777" w:rsidR="00917ED8" w:rsidRPr="0074066D" w:rsidRDefault="00917ED8" w:rsidP="0074066D">
      <w:pPr>
        <w:jc w:val="both"/>
        <w:rPr>
          <w:rFonts w:cs="Times New Roman"/>
          <w:b/>
          <w:bCs/>
          <w:szCs w:val="24"/>
        </w:rPr>
      </w:pPr>
      <w:r w:rsidRPr="0074066D">
        <w:rPr>
          <w:rFonts w:cs="Times New Roman"/>
          <w:b/>
          <w:bCs/>
          <w:szCs w:val="24"/>
        </w:rPr>
        <w:lastRenderedPageBreak/>
        <w:t>UK Reforms</w:t>
      </w:r>
    </w:p>
    <w:p w14:paraId="4405F815" w14:textId="77777777" w:rsidR="00917ED8" w:rsidRPr="0074066D" w:rsidRDefault="00917ED8" w:rsidP="0074066D">
      <w:pPr>
        <w:jc w:val="both"/>
        <w:rPr>
          <w:rFonts w:cs="Times New Roman"/>
          <w:szCs w:val="24"/>
        </w:rPr>
      </w:pPr>
      <w:r w:rsidRPr="0074066D">
        <w:rPr>
          <w:rFonts w:cs="Times New Roman"/>
          <w:szCs w:val="24"/>
        </w:rPr>
        <w:t xml:space="preserve">To monitor the </w:t>
      </w:r>
      <w:r w:rsidR="005C3B82" w:rsidRPr="0074066D">
        <w:rPr>
          <w:rFonts w:cs="Times New Roman"/>
          <w:szCs w:val="24"/>
        </w:rPr>
        <w:t>constancy</w:t>
      </w:r>
      <w:r w:rsidRPr="0074066D">
        <w:rPr>
          <w:rFonts w:cs="Times New Roman"/>
          <w:szCs w:val="24"/>
        </w:rPr>
        <w:t xml:space="preserve"> of the </w:t>
      </w:r>
      <w:r w:rsidR="005C3B82" w:rsidRPr="0074066D">
        <w:rPr>
          <w:rFonts w:cs="Times New Roman"/>
          <w:szCs w:val="24"/>
        </w:rPr>
        <w:t>monetary</w:t>
      </w:r>
      <w:r w:rsidRPr="0074066D">
        <w:rPr>
          <w:rFonts w:cs="Times New Roman"/>
          <w:szCs w:val="24"/>
        </w:rPr>
        <w:t xml:space="preserve"> system and control the banking sector, the UK government formed the Financial Stability Board (FSB) and the Prudential Regulation Authority (PRA)</w:t>
      </w:r>
      <w:r w:rsidR="001B3F22" w:rsidRPr="0074066D">
        <w:rPr>
          <w:rFonts w:cs="Times New Roman"/>
          <w:szCs w:val="24"/>
        </w:rPr>
        <w:t xml:space="preserve"> (</w:t>
      </w:r>
      <w:proofErr w:type="spellStart"/>
      <w:r w:rsidR="001B3F22" w:rsidRPr="0074066D">
        <w:rPr>
          <w:rFonts w:cs="Times New Roman"/>
          <w:szCs w:val="24"/>
        </w:rPr>
        <w:t>Fingerman</w:t>
      </w:r>
      <w:proofErr w:type="spellEnd"/>
      <w:r w:rsidR="001B3F22" w:rsidRPr="0074066D">
        <w:rPr>
          <w:rFonts w:cs="Times New Roman"/>
          <w:szCs w:val="24"/>
        </w:rPr>
        <w:t xml:space="preserve">, </w:t>
      </w:r>
      <w:proofErr w:type="spellStart"/>
      <w:r w:rsidR="001B3F22" w:rsidRPr="0074066D">
        <w:rPr>
          <w:rFonts w:cs="Times New Roman"/>
          <w:szCs w:val="24"/>
        </w:rPr>
        <w:t>Huo</w:t>
      </w:r>
      <w:proofErr w:type="spellEnd"/>
      <w:r w:rsidR="001B3F22" w:rsidRPr="0074066D">
        <w:rPr>
          <w:rFonts w:cs="Times New Roman"/>
          <w:szCs w:val="24"/>
        </w:rPr>
        <w:t xml:space="preserve"> and </w:t>
      </w:r>
      <w:proofErr w:type="spellStart"/>
      <w:r w:rsidR="001B3F22" w:rsidRPr="0074066D">
        <w:rPr>
          <w:rFonts w:cs="Times New Roman"/>
          <w:szCs w:val="24"/>
        </w:rPr>
        <w:t>Birditt</w:t>
      </w:r>
      <w:proofErr w:type="spellEnd"/>
      <w:r w:rsidR="001B3F22" w:rsidRPr="0074066D">
        <w:rPr>
          <w:rFonts w:cs="Times New Roman"/>
          <w:szCs w:val="24"/>
        </w:rPr>
        <w:t>, 2020)</w:t>
      </w:r>
      <w:r w:rsidRPr="0074066D">
        <w:rPr>
          <w:rFonts w:cs="Times New Roman"/>
          <w:szCs w:val="24"/>
        </w:rPr>
        <w:t>. While the PRA was in charge of overseeing the UK's banking sector, the FSB was entrusted with keeping an eye on the world financial system. The Financial Services Act 2012 was also introduced by the government with the goal of strengthening financial institution regulation and enhancing consumer protection. All these measures helped the government in strengthening the economy of the country</w:t>
      </w:r>
      <w:r w:rsidR="00585699" w:rsidRPr="0074066D">
        <w:rPr>
          <w:rFonts w:cs="Times New Roman"/>
          <w:szCs w:val="24"/>
        </w:rPr>
        <w:t xml:space="preserve"> (Franklin, Rostom and Thwaites, 2019)</w:t>
      </w:r>
      <w:r w:rsidRPr="0074066D">
        <w:rPr>
          <w:rFonts w:cs="Times New Roman"/>
          <w:szCs w:val="24"/>
        </w:rPr>
        <w:t xml:space="preserve">. </w:t>
      </w:r>
    </w:p>
    <w:p w14:paraId="340B1D77" w14:textId="77777777" w:rsidR="00917ED8" w:rsidRPr="0074066D" w:rsidRDefault="00917ED8" w:rsidP="0074066D">
      <w:pPr>
        <w:jc w:val="both"/>
        <w:rPr>
          <w:rFonts w:cs="Times New Roman"/>
          <w:szCs w:val="24"/>
        </w:rPr>
      </w:pPr>
      <w:r w:rsidRPr="0074066D">
        <w:rPr>
          <w:rFonts w:cs="Times New Roman"/>
          <w:szCs w:val="24"/>
        </w:rPr>
        <w:t xml:space="preserve">The isolation of </w:t>
      </w:r>
      <w:r w:rsidR="005C3B82" w:rsidRPr="0074066D">
        <w:rPr>
          <w:rFonts w:cs="Times New Roman"/>
          <w:szCs w:val="24"/>
        </w:rPr>
        <w:t>trade</w:t>
      </w:r>
      <w:r w:rsidRPr="0074066D">
        <w:rPr>
          <w:rFonts w:cs="Times New Roman"/>
          <w:szCs w:val="24"/>
        </w:rPr>
        <w:t xml:space="preserve"> banking operations from </w:t>
      </w:r>
      <w:r w:rsidR="005C3B82" w:rsidRPr="0074066D">
        <w:rPr>
          <w:rFonts w:cs="Times New Roman"/>
          <w:szCs w:val="24"/>
        </w:rPr>
        <w:t>speculation</w:t>
      </w:r>
      <w:r w:rsidRPr="0074066D">
        <w:rPr>
          <w:rFonts w:cs="Times New Roman"/>
          <w:szCs w:val="24"/>
        </w:rPr>
        <w:t xml:space="preserve"> banking activities was one of the most significant measures implemented by the UK government. The purpose of this policy was to shield the deposits of retail banking clients from the dangers posed by investment banking operations</w:t>
      </w:r>
      <w:r w:rsidR="002F0BAC" w:rsidRPr="0074066D">
        <w:rPr>
          <w:rFonts w:cs="Times New Roman"/>
          <w:szCs w:val="24"/>
        </w:rPr>
        <w:t xml:space="preserve"> (Ravenscroft and Williams, 2021)</w:t>
      </w:r>
      <w:r w:rsidRPr="0074066D">
        <w:rPr>
          <w:rFonts w:cs="Times New Roman"/>
          <w:szCs w:val="24"/>
        </w:rPr>
        <w:t>. However, some attackers contend that the isolating methods fall short in addressing the crisis's roots. It may not prove to be an effective measure taken by the UK government</w:t>
      </w:r>
      <w:r w:rsidR="00585699" w:rsidRPr="0074066D">
        <w:rPr>
          <w:rFonts w:cs="Times New Roman"/>
          <w:szCs w:val="24"/>
        </w:rPr>
        <w:t xml:space="preserve"> (</w:t>
      </w:r>
      <w:proofErr w:type="spellStart"/>
      <w:r w:rsidR="00585699" w:rsidRPr="0074066D">
        <w:rPr>
          <w:rFonts w:cs="Times New Roman"/>
          <w:szCs w:val="24"/>
        </w:rPr>
        <w:t>Giebel</w:t>
      </w:r>
      <w:proofErr w:type="spellEnd"/>
      <w:r w:rsidR="00585699" w:rsidRPr="0074066D">
        <w:rPr>
          <w:rFonts w:cs="Times New Roman"/>
          <w:szCs w:val="24"/>
        </w:rPr>
        <w:t xml:space="preserve"> and Kraft, 2020)</w:t>
      </w:r>
      <w:r w:rsidRPr="0074066D">
        <w:rPr>
          <w:rFonts w:cs="Times New Roman"/>
          <w:szCs w:val="24"/>
        </w:rPr>
        <w:t xml:space="preserve">. </w:t>
      </w:r>
    </w:p>
    <w:p w14:paraId="29761DEC" w14:textId="77777777" w:rsidR="00917ED8" w:rsidRPr="0074066D" w:rsidRDefault="00917ED8" w:rsidP="0074066D">
      <w:pPr>
        <w:jc w:val="both"/>
        <w:rPr>
          <w:rFonts w:cs="Times New Roman"/>
          <w:b/>
          <w:bCs/>
          <w:szCs w:val="24"/>
        </w:rPr>
      </w:pPr>
      <w:r w:rsidRPr="0074066D">
        <w:rPr>
          <w:rFonts w:cs="Times New Roman"/>
          <w:b/>
          <w:bCs/>
          <w:szCs w:val="24"/>
        </w:rPr>
        <w:t>US Reforms</w:t>
      </w:r>
    </w:p>
    <w:p w14:paraId="3366A959" w14:textId="77777777" w:rsidR="00917ED8" w:rsidRPr="0074066D" w:rsidRDefault="00917ED8" w:rsidP="0074066D">
      <w:pPr>
        <w:jc w:val="both"/>
        <w:rPr>
          <w:rFonts w:cs="Times New Roman"/>
          <w:szCs w:val="24"/>
        </w:rPr>
      </w:pPr>
      <w:r w:rsidRPr="0074066D">
        <w:rPr>
          <w:rFonts w:cs="Times New Roman"/>
          <w:szCs w:val="24"/>
        </w:rPr>
        <w:t xml:space="preserve">Following the crisis, the US </w:t>
      </w:r>
      <w:r w:rsidR="005C3B82" w:rsidRPr="0074066D">
        <w:rPr>
          <w:rFonts w:cs="Times New Roman"/>
          <w:szCs w:val="24"/>
        </w:rPr>
        <w:t>administration</w:t>
      </w:r>
      <w:r w:rsidRPr="0074066D">
        <w:rPr>
          <w:rFonts w:cs="Times New Roman"/>
          <w:szCs w:val="24"/>
        </w:rPr>
        <w:t xml:space="preserve"> passed the Dodd-Frank Wall Street </w:t>
      </w:r>
      <w:r w:rsidR="005C3B82" w:rsidRPr="0074066D">
        <w:rPr>
          <w:rFonts w:cs="Times New Roman"/>
          <w:szCs w:val="24"/>
        </w:rPr>
        <w:t>Improvement</w:t>
      </w:r>
      <w:r w:rsidRPr="0074066D">
        <w:rPr>
          <w:rFonts w:cs="Times New Roman"/>
          <w:szCs w:val="24"/>
        </w:rPr>
        <w:t xml:space="preserve"> and Consumer Protection Act in an effort to stop </w:t>
      </w:r>
      <w:r w:rsidR="006B2D80" w:rsidRPr="0074066D">
        <w:rPr>
          <w:rFonts w:cs="Times New Roman"/>
          <w:szCs w:val="24"/>
        </w:rPr>
        <w:t>the</w:t>
      </w:r>
      <w:r w:rsidRPr="0074066D">
        <w:rPr>
          <w:rFonts w:cs="Times New Roman"/>
          <w:szCs w:val="24"/>
        </w:rPr>
        <w:t xml:space="preserve"> recurrence of the same type of situation</w:t>
      </w:r>
      <w:r w:rsidR="002F0BAC" w:rsidRPr="0074066D">
        <w:rPr>
          <w:rFonts w:cs="Times New Roman"/>
          <w:szCs w:val="24"/>
        </w:rPr>
        <w:t xml:space="preserve"> (Franklin, Rostom and Thwaites, 2019)</w:t>
      </w:r>
      <w:r w:rsidRPr="0074066D">
        <w:rPr>
          <w:rFonts w:cs="Times New Roman"/>
          <w:szCs w:val="24"/>
        </w:rPr>
        <w:t>. The legislation required banks to maintain greater capital ratios and conduct stress tests, established a number of regulatory organisations, including the Consumer Financial Protection Bureau and the Financial Stability Oversight Council.</w:t>
      </w:r>
      <w:r w:rsidR="006B2D80" w:rsidRPr="0074066D">
        <w:rPr>
          <w:rFonts w:cs="Times New Roman"/>
          <w:szCs w:val="24"/>
        </w:rPr>
        <w:t xml:space="preserve"> The government also encouraged flow of currency in the economy in order to strengthen the financial backbone of the country</w:t>
      </w:r>
      <w:r w:rsidR="001B3F22" w:rsidRPr="0074066D">
        <w:rPr>
          <w:rFonts w:cs="Times New Roman"/>
          <w:szCs w:val="24"/>
        </w:rPr>
        <w:t xml:space="preserve"> (</w:t>
      </w:r>
      <w:proofErr w:type="spellStart"/>
      <w:r w:rsidR="001B3F22" w:rsidRPr="0074066D">
        <w:rPr>
          <w:rFonts w:cs="Times New Roman"/>
          <w:szCs w:val="24"/>
        </w:rPr>
        <w:t>Behn</w:t>
      </w:r>
      <w:proofErr w:type="spellEnd"/>
      <w:r w:rsidR="001B3F22" w:rsidRPr="0074066D">
        <w:rPr>
          <w:rFonts w:cs="Times New Roman"/>
          <w:szCs w:val="24"/>
        </w:rPr>
        <w:t xml:space="preserve"> and Schramm, 2021)</w:t>
      </w:r>
      <w:r w:rsidR="006B2D80" w:rsidRPr="0074066D">
        <w:rPr>
          <w:rFonts w:cs="Times New Roman"/>
          <w:szCs w:val="24"/>
        </w:rPr>
        <w:t xml:space="preserve">. </w:t>
      </w:r>
    </w:p>
    <w:p w14:paraId="047B812B" w14:textId="77777777" w:rsidR="00917ED8" w:rsidRPr="0074066D" w:rsidRDefault="00917ED8" w:rsidP="0074066D">
      <w:pPr>
        <w:jc w:val="both"/>
        <w:rPr>
          <w:rFonts w:cs="Times New Roman"/>
          <w:szCs w:val="24"/>
        </w:rPr>
      </w:pPr>
      <w:r w:rsidRPr="0074066D">
        <w:rPr>
          <w:rFonts w:cs="Times New Roman"/>
          <w:szCs w:val="24"/>
        </w:rPr>
        <w:t xml:space="preserve">The Volcker Rule, </w:t>
      </w:r>
      <w:r w:rsidR="006B2D80" w:rsidRPr="0074066D">
        <w:rPr>
          <w:rFonts w:cs="Times New Roman"/>
          <w:szCs w:val="24"/>
        </w:rPr>
        <w:t>that</w:t>
      </w:r>
      <w:r w:rsidRPr="0074066D">
        <w:rPr>
          <w:rFonts w:cs="Times New Roman"/>
          <w:szCs w:val="24"/>
        </w:rPr>
        <w:t xml:space="preserve"> </w:t>
      </w:r>
      <w:r w:rsidR="005C3B82" w:rsidRPr="0074066D">
        <w:rPr>
          <w:rFonts w:cs="Times New Roman"/>
          <w:szCs w:val="24"/>
        </w:rPr>
        <w:t>prohibits</w:t>
      </w:r>
      <w:r w:rsidRPr="0074066D">
        <w:rPr>
          <w:rFonts w:cs="Times New Roman"/>
          <w:szCs w:val="24"/>
        </w:rPr>
        <w:t xml:space="preserve"> banks from participating in </w:t>
      </w:r>
      <w:r w:rsidR="005C3B82" w:rsidRPr="0074066D">
        <w:rPr>
          <w:rFonts w:cs="Times New Roman"/>
          <w:szCs w:val="24"/>
        </w:rPr>
        <w:t>exclusive</w:t>
      </w:r>
      <w:r w:rsidRPr="0074066D">
        <w:rPr>
          <w:rFonts w:cs="Times New Roman"/>
          <w:szCs w:val="24"/>
        </w:rPr>
        <w:t xml:space="preserve"> trading and places </w:t>
      </w:r>
      <w:r w:rsidR="005C3B82" w:rsidRPr="0074066D">
        <w:rPr>
          <w:rFonts w:cs="Times New Roman"/>
          <w:szCs w:val="24"/>
        </w:rPr>
        <w:t>limitations</w:t>
      </w:r>
      <w:r w:rsidRPr="0074066D">
        <w:rPr>
          <w:rFonts w:cs="Times New Roman"/>
          <w:szCs w:val="24"/>
        </w:rPr>
        <w:t xml:space="preserve"> on their involvement in </w:t>
      </w:r>
      <w:r w:rsidR="005C3B82" w:rsidRPr="0074066D">
        <w:rPr>
          <w:rFonts w:cs="Times New Roman"/>
          <w:szCs w:val="24"/>
        </w:rPr>
        <w:t>hedgerow</w:t>
      </w:r>
      <w:r w:rsidRPr="0074066D">
        <w:rPr>
          <w:rFonts w:cs="Times New Roman"/>
          <w:szCs w:val="24"/>
        </w:rPr>
        <w:t xml:space="preserve"> funds and private </w:t>
      </w:r>
      <w:r w:rsidR="005C3B82">
        <w:rPr>
          <w:rFonts w:cs="Times New Roman"/>
          <w:szCs w:val="24"/>
        </w:rPr>
        <w:t>equity</w:t>
      </w:r>
      <w:r w:rsidRPr="0074066D">
        <w:rPr>
          <w:rFonts w:cs="Times New Roman"/>
          <w:szCs w:val="24"/>
        </w:rPr>
        <w:t xml:space="preserve"> firms, was one of the most significant reforms implemented by US regulators</w:t>
      </w:r>
      <w:r w:rsidR="002F0BAC" w:rsidRPr="0074066D">
        <w:rPr>
          <w:rFonts w:cs="Times New Roman"/>
          <w:szCs w:val="24"/>
        </w:rPr>
        <w:t xml:space="preserve"> (</w:t>
      </w:r>
      <w:proofErr w:type="spellStart"/>
      <w:r w:rsidR="002F0BAC" w:rsidRPr="0074066D">
        <w:rPr>
          <w:rFonts w:cs="Times New Roman"/>
          <w:szCs w:val="24"/>
        </w:rPr>
        <w:t>Giebel</w:t>
      </w:r>
      <w:proofErr w:type="spellEnd"/>
      <w:r w:rsidR="002F0BAC" w:rsidRPr="0074066D">
        <w:rPr>
          <w:rFonts w:cs="Times New Roman"/>
          <w:szCs w:val="24"/>
        </w:rPr>
        <w:t xml:space="preserve"> and Kraft, 2020)</w:t>
      </w:r>
      <w:r w:rsidRPr="0074066D">
        <w:rPr>
          <w:rFonts w:cs="Times New Roman"/>
          <w:szCs w:val="24"/>
        </w:rPr>
        <w:t xml:space="preserve">. The goal of the regulation </w:t>
      </w:r>
      <w:r w:rsidR="006B2D80" w:rsidRPr="0074066D">
        <w:rPr>
          <w:rFonts w:cs="Times New Roman"/>
          <w:szCs w:val="24"/>
        </w:rPr>
        <w:t>was</w:t>
      </w:r>
      <w:r w:rsidRPr="0074066D">
        <w:rPr>
          <w:rFonts w:cs="Times New Roman"/>
          <w:szCs w:val="24"/>
        </w:rPr>
        <w:t xml:space="preserve"> to lessen the risks involved in speculative trading activities an</w:t>
      </w:r>
      <w:r w:rsidR="006B2D80" w:rsidRPr="0074066D">
        <w:rPr>
          <w:rFonts w:cs="Times New Roman"/>
          <w:szCs w:val="24"/>
        </w:rPr>
        <w:t>d restrict the activities of banks</w:t>
      </w:r>
      <w:r w:rsidRPr="0074066D">
        <w:rPr>
          <w:rFonts w:cs="Times New Roman"/>
          <w:szCs w:val="24"/>
        </w:rPr>
        <w:t xml:space="preserve"> that </w:t>
      </w:r>
      <w:r w:rsidR="006B2D80" w:rsidRPr="0074066D">
        <w:rPr>
          <w:rFonts w:cs="Times New Roman"/>
          <w:szCs w:val="24"/>
        </w:rPr>
        <w:t>risk</w:t>
      </w:r>
      <w:r w:rsidRPr="0074066D">
        <w:rPr>
          <w:rFonts w:cs="Times New Roman"/>
          <w:szCs w:val="24"/>
        </w:rPr>
        <w:t xml:space="preserve"> the </w:t>
      </w:r>
      <w:r w:rsidR="005C3B82" w:rsidRPr="0074066D">
        <w:rPr>
          <w:rFonts w:cs="Times New Roman"/>
          <w:szCs w:val="24"/>
        </w:rPr>
        <w:t>constancy</w:t>
      </w:r>
      <w:r w:rsidRPr="0074066D">
        <w:rPr>
          <w:rFonts w:cs="Times New Roman"/>
          <w:szCs w:val="24"/>
        </w:rPr>
        <w:t xml:space="preserve"> of the financial system.</w:t>
      </w:r>
      <w:r w:rsidR="006B2D80" w:rsidRPr="0074066D">
        <w:rPr>
          <w:rFonts w:cs="Times New Roman"/>
          <w:szCs w:val="24"/>
        </w:rPr>
        <w:t xml:space="preserve"> It was important in order to </w:t>
      </w:r>
      <w:r w:rsidR="005C3B82" w:rsidRPr="0074066D">
        <w:rPr>
          <w:rFonts w:cs="Times New Roman"/>
          <w:szCs w:val="24"/>
        </w:rPr>
        <w:t>avoid</w:t>
      </w:r>
      <w:r w:rsidR="006B2D80" w:rsidRPr="0074066D">
        <w:rPr>
          <w:rFonts w:cs="Times New Roman"/>
          <w:szCs w:val="24"/>
        </w:rPr>
        <w:t xml:space="preserve"> any such crises in the </w:t>
      </w:r>
      <w:r w:rsidR="005C3B82" w:rsidRPr="0074066D">
        <w:rPr>
          <w:rFonts w:cs="Times New Roman"/>
          <w:szCs w:val="24"/>
        </w:rPr>
        <w:t>upcoming</w:t>
      </w:r>
      <w:r w:rsidR="006B2D80" w:rsidRPr="0074066D">
        <w:rPr>
          <w:rFonts w:cs="Times New Roman"/>
          <w:szCs w:val="24"/>
        </w:rPr>
        <w:t xml:space="preserve"> and revive the economy</w:t>
      </w:r>
      <w:r w:rsidR="001B3F22" w:rsidRPr="0074066D">
        <w:rPr>
          <w:rFonts w:cs="Times New Roman"/>
          <w:szCs w:val="24"/>
        </w:rPr>
        <w:t xml:space="preserve"> (</w:t>
      </w:r>
      <w:proofErr w:type="spellStart"/>
      <w:r w:rsidR="001B3F22" w:rsidRPr="0074066D">
        <w:rPr>
          <w:rFonts w:cs="Times New Roman"/>
          <w:szCs w:val="24"/>
        </w:rPr>
        <w:t>Andreoni</w:t>
      </w:r>
      <w:proofErr w:type="spellEnd"/>
      <w:r w:rsidR="001B3F22" w:rsidRPr="0074066D">
        <w:rPr>
          <w:rFonts w:cs="Times New Roman"/>
          <w:szCs w:val="24"/>
        </w:rPr>
        <w:t>, 2020)</w:t>
      </w:r>
      <w:r w:rsidR="006B2D80" w:rsidRPr="0074066D">
        <w:rPr>
          <w:rFonts w:cs="Times New Roman"/>
          <w:szCs w:val="24"/>
        </w:rPr>
        <w:t xml:space="preserve">. </w:t>
      </w:r>
    </w:p>
    <w:p w14:paraId="11170D30" w14:textId="77777777" w:rsidR="004C486A" w:rsidRPr="0074066D" w:rsidRDefault="004C486A" w:rsidP="0074066D">
      <w:pPr>
        <w:jc w:val="both"/>
        <w:rPr>
          <w:rFonts w:cs="Times New Roman"/>
          <w:b/>
          <w:bCs/>
          <w:szCs w:val="24"/>
        </w:rPr>
      </w:pPr>
      <w:r w:rsidRPr="0074066D">
        <w:rPr>
          <w:rFonts w:cs="Times New Roman"/>
          <w:b/>
          <w:bCs/>
          <w:szCs w:val="24"/>
        </w:rPr>
        <w:t>EU Reforms</w:t>
      </w:r>
    </w:p>
    <w:p w14:paraId="3C61B79D" w14:textId="77777777" w:rsidR="004C486A" w:rsidRPr="0074066D" w:rsidRDefault="004C486A" w:rsidP="0074066D">
      <w:pPr>
        <w:jc w:val="both"/>
        <w:rPr>
          <w:rFonts w:cs="Times New Roman"/>
          <w:szCs w:val="24"/>
        </w:rPr>
      </w:pPr>
      <w:r w:rsidRPr="0074066D">
        <w:rPr>
          <w:rFonts w:cs="Times New Roman"/>
          <w:szCs w:val="24"/>
        </w:rPr>
        <w:lastRenderedPageBreak/>
        <w:t xml:space="preserve">In </w:t>
      </w:r>
      <w:r w:rsidR="005C3B82" w:rsidRPr="0074066D">
        <w:rPr>
          <w:rFonts w:cs="Times New Roman"/>
          <w:szCs w:val="24"/>
        </w:rPr>
        <w:t>reply</w:t>
      </w:r>
      <w:r w:rsidRPr="0074066D">
        <w:rPr>
          <w:rFonts w:cs="Times New Roman"/>
          <w:szCs w:val="24"/>
        </w:rPr>
        <w:t xml:space="preserve"> to the crisis, the EU implemented a number of reforms aimed at enhancing financial system stability and regulating the banking sector. The European Banking Authority (EBA) was created to monitor the stability of the financial sector, and the European System of Financial Supervision (ESFS) was </w:t>
      </w:r>
      <w:r w:rsidR="005C3B82" w:rsidRPr="0074066D">
        <w:rPr>
          <w:rFonts w:cs="Times New Roman"/>
          <w:szCs w:val="24"/>
        </w:rPr>
        <w:t>formed</w:t>
      </w:r>
      <w:r w:rsidRPr="0074066D">
        <w:rPr>
          <w:rFonts w:cs="Times New Roman"/>
          <w:szCs w:val="24"/>
        </w:rPr>
        <w:t xml:space="preserve"> to govern the EU's </w:t>
      </w:r>
      <w:r w:rsidR="005C3B82" w:rsidRPr="0074066D">
        <w:rPr>
          <w:rFonts w:cs="Times New Roman"/>
          <w:szCs w:val="24"/>
        </w:rPr>
        <w:t>investment</w:t>
      </w:r>
      <w:r w:rsidRPr="0074066D">
        <w:rPr>
          <w:rFonts w:cs="Times New Roman"/>
          <w:szCs w:val="24"/>
        </w:rPr>
        <w:t xml:space="preserve"> sector</w:t>
      </w:r>
      <w:r w:rsidR="001B3F22" w:rsidRPr="0074066D">
        <w:rPr>
          <w:rFonts w:cs="Times New Roman"/>
          <w:szCs w:val="24"/>
        </w:rPr>
        <w:t xml:space="preserve"> (</w:t>
      </w:r>
      <w:proofErr w:type="spellStart"/>
      <w:r w:rsidR="001B3F22" w:rsidRPr="0074066D">
        <w:rPr>
          <w:rFonts w:cs="Times New Roman"/>
          <w:szCs w:val="24"/>
        </w:rPr>
        <w:t>Saghir</w:t>
      </w:r>
      <w:proofErr w:type="spellEnd"/>
      <w:r w:rsidR="001B3F22" w:rsidRPr="0074066D">
        <w:rPr>
          <w:rFonts w:cs="Times New Roman"/>
          <w:szCs w:val="24"/>
        </w:rPr>
        <w:t>, 2021)</w:t>
      </w:r>
      <w:r w:rsidRPr="0074066D">
        <w:rPr>
          <w:rFonts w:cs="Times New Roman"/>
          <w:szCs w:val="24"/>
        </w:rPr>
        <w:t>.</w:t>
      </w:r>
    </w:p>
    <w:p w14:paraId="0BCDDF53" w14:textId="77777777" w:rsidR="004C486A" w:rsidRPr="0074066D" w:rsidRDefault="004C486A" w:rsidP="0074066D">
      <w:pPr>
        <w:jc w:val="both"/>
        <w:rPr>
          <w:rFonts w:cs="Times New Roman"/>
          <w:szCs w:val="24"/>
        </w:rPr>
      </w:pPr>
      <w:r w:rsidRPr="0074066D">
        <w:rPr>
          <w:rFonts w:cs="Times New Roman"/>
          <w:szCs w:val="24"/>
        </w:rPr>
        <w:t>The Capital Requirements Directive (CRD), that obliges banks to maintain greater capital ratios to lower their exposure to hazards, was also established by the EU</w:t>
      </w:r>
      <w:r w:rsidR="002F0BAC" w:rsidRPr="0074066D">
        <w:rPr>
          <w:rFonts w:cs="Times New Roman"/>
          <w:szCs w:val="24"/>
        </w:rPr>
        <w:t xml:space="preserve"> (</w:t>
      </w:r>
      <w:proofErr w:type="spellStart"/>
      <w:r w:rsidR="002F0BAC" w:rsidRPr="0074066D">
        <w:rPr>
          <w:rFonts w:cs="Times New Roman"/>
          <w:szCs w:val="24"/>
        </w:rPr>
        <w:t>Nikkinen</w:t>
      </w:r>
      <w:proofErr w:type="spellEnd"/>
      <w:r w:rsidR="002F0BAC" w:rsidRPr="0074066D">
        <w:rPr>
          <w:rFonts w:cs="Times New Roman"/>
          <w:szCs w:val="24"/>
        </w:rPr>
        <w:t xml:space="preserve">, </w:t>
      </w:r>
      <w:proofErr w:type="spellStart"/>
      <w:r w:rsidR="002F0BAC" w:rsidRPr="0074066D">
        <w:rPr>
          <w:rFonts w:cs="Times New Roman"/>
          <w:szCs w:val="24"/>
        </w:rPr>
        <w:t>Piljak</w:t>
      </w:r>
      <w:proofErr w:type="spellEnd"/>
      <w:r w:rsidR="002F0BAC" w:rsidRPr="0074066D">
        <w:rPr>
          <w:rFonts w:cs="Times New Roman"/>
          <w:szCs w:val="24"/>
        </w:rPr>
        <w:t xml:space="preserve"> and </w:t>
      </w:r>
      <w:proofErr w:type="spellStart"/>
      <w:r w:rsidR="002F0BAC" w:rsidRPr="0074066D">
        <w:rPr>
          <w:rFonts w:cs="Times New Roman"/>
          <w:szCs w:val="24"/>
        </w:rPr>
        <w:t>Rothovius</w:t>
      </w:r>
      <w:proofErr w:type="spellEnd"/>
      <w:r w:rsidR="002F0BAC" w:rsidRPr="0074066D">
        <w:rPr>
          <w:rFonts w:cs="Times New Roman"/>
          <w:szCs w:val="24"/>
        </w:rPr>
        <w:t>, 2019)</w:t>
      </w:r>
      <w:r w:rsidRPr="0074066D">
        <w:rPr>
          <w:rFonts w:cs="Times New Roman"/>
          <w:szCs w:val="24"/>
        </w:rPr>
        <w:t>. The EU authority also established the Single Resolution Mechanism (SRM), that aims to make it easier for deteriorating banks to be resolved in an orderly manner and avoid the need for government bailouts</w:t>
      </w:r>
      <w:r w:rsidR="00705542" w:rsidRPr="0074066D">
        <w:rPr>
          <w:rFonts w:cs="Times New Roman"/>
          <w:szCs w:val="24"/>
        </w:rPr>
        <w:t xml:space="preserve"> (de la Porte and Jensen, 2021)</w:t>
      </w:r>
      <w:r w:rsidRPr="0074066D">
        <w:rPr>
          <w:rFonts w:cs="Times New Roman"/>
          <w:szCs w:val="24"/>
        </w:rPr>
        <w:t>.</w:t>
      </w:r>
    </w:p>
    <w:p w14:paraId="73FD2C18" w14:textId="77777777" w:rsidR="00397708" w:rsidRPr="0074066D" w:rsidRDefault="00397708" w:rsidP="0074066D">
      <w:pPr>
        <w:jc w:val="both"/>
        <w:rPr>
          <w:rFonts w:cs="Times New Roman"/>
          <w:b/>
          <w:bCs/>
          <w:szCs w:val="24"/>
        </w:rPr>
      </w:pPr>
      <w:r w:rsidRPr="0074066D">
        <w:rPr>
          <w:rFonts w:cs="Times New Roman"/>
          <w:b/>
          <w:bCs/>
          <w:szCs w:val="24"/>
        </w:rPr>
        <w:t>Analysis</w:t>
      </w:r>
    </w:p>
    <w:p w14:paraId="35E5617D" w14:textId="77777777" w:rsidR="00DE21B5" w:rsidRDefault="00397708" w:rsidP="00DE21B5">
      <w:pPr>
        <w:jc w:val="both"/>
        <w:rPr>
          <w:rFonts w:cs="Times New Roman"/>
          <w:szCs w:val="24"/>
        </w:rPr>
      </w:pPr>
      <w:r w:rsidRPr="0074066D">
        <w:rPr>
          <w:rFonts w:cs="Times New Roman"/>
          <w:szCs w:val="24"/>
        </w:rPr>
        <w:t xml:space="preserve"> Although the UK, US, and EU authorities' reforms have made significant steps towards creating a more stable financial system and banking institutions, there are still a number of issues that need to be resolved. First, according to some critics, the changes do not go far enough in tackling the crisis' root causes, that include tax regulatory monitoring and risky lending practises. Second, the changes have made it more expensive for financial institutions to comply, that may limit their capacity to lend to both companies and individuals. Long-term economic growth and financial stability may suffer as a result of this</w:t>
      </w:r>
      <w:r w:rsidR="002F0BAC" w:rsidRPr="0074066D">
        <w:rPr>
          <w:rFonts w:cs="Times New Roman"/>
          <w:szCs w:val="24"/>
        </w:rPr>
        <w:t xml:space="preserve"> (</w:t>
      </w:r>
      <w:proofErr w:type="spellStart"/>
      <w:r w:rsidR="002F0BAC" w:rsidRPr="0074066D">
        <w:rPr>
          <w:rFonts w:cs="Times New Roman"/>
          <w:szCs w:val="24"/>
        </w:rPr>
        <w:t>Gudgeon</w:t>
      </w:r>
      <w:proofErr w:type="spellEnd"/>
      <w:r w:rsidR="002F0BAC" w:rsidRPr="0074066D">
        <w:rPr>
          <w:rFonts w:cs="Times New Roman"/>
          <w:szCs w:val="24"/>
        </w:rPr>
        <w:t xml:space="preserve"> et al., 2020)</w:t>
      </w:r>
      <w:r w:rsidRPr="0074066D">
        <w:rPr>
          <w:rFonts w:cs="Times New Roman"/>
          <w:szCs w:val="24"/>
        </w:rPr>
        <w:t>. Thirdly, some critics contend that the reforms may have unforeseen repercussions, such as motivating banks to take up riskier ventures in an effort to lessen the impact of the increasing regulatory burden. The changes implemented by the governments of the UK, US, and EU have advanced efforts to create a more stable financial sector and banking institutions. However, there are possibilities that the measures may have unexpected repercussions and don't go far enough in tracing the crisis's root causes. The overall effectiveness of these changes can only be determined on the basis of balance level these are able to achieve</w:t>
      </w:r>
      <w:r w:rsidR="001B3F22" w:rsidRPr="0074066D">
        <w:rPr>
          <w:rFonts w:cs="Times New Roman"/>
          <w:szCs w:val="24"/>
        </w:rPr>
        <w:t xml:space="preserve"> (Ravenscroft and Williams, 2021)</w:t>
      </w:r>
      <w:r w:rsidRPr="0074066D">
        <w:rPr>
          <w:rFonts w:cs="Times New Roman"/>
          <w:szCs w:val="24"/>
        </w:rPr>
        <w:t xml:space="preserve">. </w:t>
      </w:r>
      <w:bookmarkStart w:id="4" w:name="_Toc133335215"/>
      <w:bookmarkStart w:id="5" w:name="_Hlk133326873"/>
    </w:p>
    <w:p w14:paraId="67E96964" w14:textId="77777777" w:rsidR="003500B8" w:rsidRDefault="00DE21B5" w:rsidP="00DE21B5">
      <w:pPr>
        <w:jc w:val="both"/>
        <w:rPr>
          <w:rFonts w:cs="Times New Roman"/>
          <w:szCs w:val="24"/>
        </w:rPr>
      </w:pPr>
      <w:r w:rsidRPr="00DE21B5">
        <w:rPr>
          <w:rFonts w:cs="Times New Roman"/>
          <w:szCs w:val="24"/>
        </w:rPr>
        <w:t>While these reforms have undeniably contributed to the stabilisation of the financial system post-GFC, they are not without their limitations and unintended consequences. For instance, the increased capital and liquidity requirements of Basel III may have stifled lending, indirectly impeding economic growth. Furthermore, the stringent compliance requirements imposed by the Dodd-Frank Act may have disproportionally affected smaller financial institutions, consolidating the financial system and reducing competition.</w:t>
      </w:r>
    </w:p>
    <w:p w14:paraId="364FF061" w14:textId="316E1A08" w:rsidR="00BF2A34" w:rsidRPr="0074066D" w:rsidRDefault="00BF2A34" w:rsidP="00DE21B5">
      <w:pPr>
        <w:jc w:val="both"/>
        <w:rPr>
          <w:rFonts w:cs="Times New Roman"/>
          <w:szCs w:val="24"/>
        </w:rPr>
      </w:pPr>
      <w:r w:rsidRPr="0074066D">
        <w:rPr>
          <w:rFonts w:cs="Times New Roman"/>
          <w:szCs w:val="24"/>
        </w:rPr>
        <w:lastRenderedPageBreak/>
        <w:t xml:space="preserve">2.3. Impact of reforms on the Bank </w:t>
      </w:r>
      <w:proofErr w:type="spellStart"/>
      <w:r w:rsidRPr="0074066D">
        <w:rPr>
          <w:rFonts w:cs="Times New Roman"/>
          <w:szCs w:val="24"/>
        </w:rPr>
        <w:t>Natwest’s</w:t>
      </w:r>
      <w:proofErr w:type="spellEnd"/>
      <w:r w:rsidRPr="0074066D">
        <w:rPr>
          <w:rFonts w:cs="Times New Roman"/>
          <w:szCs w:val="24"/>
        </w:rPr>
        <w:t xml:space="preserve"> business model and their level of compliance/non-compliance</w:t>
      </w:r>
      <w:bookmarkEnd w:id="4"/>
    </w:p>
    <w:p w14:paraId="33C5836B" w14:textId="77777777" w:rsidR="00A422BC" w:rsidRPr="0074066D" w:rsidRDefault="00A422BC" w:rsidP="0074066D">
      <w:pPr>
        <w:jc w:val="both"/>
        <w:rPr>
          <w:rFonts w:cs="Times New Roman"/>
          <w:szCs w:val="24"/>
        </w:rPr>
      </w:pPr>
      <w:r w:rsidRPr="0074066D">
        <w:rPr>
          <w:rFonts w:cs="Times New Roman"/>
          <w:szCs w:val="24"/>
        </w:rPr>
        <w:t>A significant financial organisation with a presence in the UK called NatWest Group offers both retail and business banking services. Numerous regulatory agencies in the UK, US, and EU have implemented a number of changes over the past few years with the goal of enhancing the stability, accountability, and transparency of the financial industry</w:t>
      </w:r>
      <w:r w:rsidR="00585699" w:rsidRPr="0074066D">
        <w:rPr>
          <w:rFonts w:cs="Times New Roman"/>
          <w:szCs w:val="24"/>
        </w:rPr>
        <w:t xml:space="preserve"> (</w:t>
      </w:r>
      <w:proofErr w:type="spellStart"/>
      <w:r w:rsidR="00585699" w:rsidRPr="0074066D">
        <w:rPr>
          <w:rFonts w:cs="Times New Roman"/>
          <w:szCs w:val="24"/>
        </w:rPr>
        <w:t>Giebel</w:t>
      </w:r>
      <w:proofErr w:type="spellEnd"/>
      <w:r w:rsidR="00585699" w:rsidRPr="0074066D">
        <w:rPr>
          <w:rFonts w:cs="Times New Roman"/>
          <w:szCs w:val="24"/>
        </w:rPr>
        <w:t xml:space="preserve"> and Kraft, 2020)</w:t>
      </w:r>
      <w:r w:rsidRPr="0074066D">
        <w:rPr>
          <w:rFonts w:cs="Times New Roman"/>
          <w:szCs w:val="24"/>
        </w:rPr>
        <w:t>. The effects of these reforms had</w:t>
      </w:r>
      <w:r w:rsidR="00656792" w:rsidRPr="0074066D">
        <w:rPr>
          <w:rFonts w:cs="Times New Roman"/>
          <w:szCs w:val="24"/>
        </w:rPr>
        <w:t xml:space="preserve"> significant impact</w:t>
      </w:r>
      <w:r w:rsidRPr="0074066D">
        <w:rPr>
          <w:rFonts w:cs="Times New Roman"/>
          <w:szCs w:val="24"/>
        </w:rPr>
        <w:t xml:space="preserve"> on NatWest Group's business strategy and the bank's compliance or non-compliance </w:t>
      </w:r>
      <w:r w:rsidR="00656792" w:rsidRPr="0074066D">
        <w:rPr>
          <w:rFonts w:cs="Times New Roman"/>
          <w:szCs w:val="24"/>
        </w:rPr>
        <w:t>level with these reforms:</w:t>
      </w:r>
    </w:p>
    <w:p w14:paraId="3B4F72F8" w14:textId="77777777" w:rsidR="00AF5F90" w:rsidRPr="0074066D" w:rsidRDefault="00AF5F90" w:rsidP="0074066D">
      <w:pPr>
        <w:jc w:val="both"/>
        <w:rPr>
          <w:rFonts w:cs="Times New Roman"/>
          <w:b/>
          <w:bCs/>
          <w:szCs w:val="24"/>
        </w:rPr>
      </w:pPr>
      <w:r w:rsidRPr="0074066D">
        <w:rPr>
          <w:rFonts w:cs="Times New Roman"/>
          <w:b/>
          <w:bCs/>
          <w:szCs w:val="24"/>
        </w:rPr>
        <w:t>The Effect of Regulatory Reforms on the NatWest Group</w:t>
      </w:r>
    </w:p>
    <w:p w14:paraId="71FA586D" w14:textId="77777777" w:rsidR="00AF5F90" w:rsidRPr="0074066D" w:rsidRDefault="00AF5F90" w:rsidP="0074066D">
      <w:pPr>
        <w:jc w:val="both"/>
        <w:rPr>
          <w:rFonts w:cs="Times New Roman"/>
          <w:b/>
          <w:bCs/>
          <w:szCs w:val="24"/>
        </w:rPr>
      </w:pPr>
      <w:r w:rsidRPr="0074066D">
        <w:rPr>
          <w:rFonts w:cs="Times New Roman"/>
          <w:b/>
          <w:bCs/>
          <w:szCs w:val="24"/>
        </w:rPr>
        <w:t>Basel III</w:t>
      </w:r>
    </w:p>
    <w:p w14:paraId="2C1F409D" w14:textId="77777777" w:rsidR="00656792" w:rsidRPr="0074066D" w:rsidRDefault="00AF5F90" w:rsidP="0074066D">
      <w:pPr>
        <w:jc w:val="both"/>
        <w:rPr>
          <w:rFonts w:cs="Times New Roman"/>
          <w:szCs w:val="24"/>
        </w:rPr>
      </w:pPr>
      <w:r w:rsidRPr="0074066D">
        <w:rPr>
          <w:rFonts w:cs="Times New Roman"/>
          <w:szCs w:val="24"/>
        </w:rPr>
        <w:t>Basel III is a collection of international banking rules designed to strengthen banks' ability to withstand times of economic hardship. According to the laws, banks must maintain a certain amount of capital, liquidity, and leverage ratio</w:t>
      </w:r>
      <w:r w:rsidR="002F0BAC" w:rsidRPr="0074066D">
        <w:rPr>
          <w:rFonts w:cs="Times New Roman"/>
          <w:szCs w:val="24"/>
        </w:rPr>
        <w:t xml:space="preserve"> (Hinrichs, 2021)</w:t>
      </w:r>
      <w:r w:rsidRPr="0074066D">
        <w:rPr>
          <w:rFonts w:cs="Times New Roman"/>
          <w:szCs w:val="24"/>
        </w:rPr>
        <w:t>. NatWest Group's business model has been significantly impacted by Basel III regulations, that have boosted the bank's capital needs and made it maintain more liquid assets. Due to having to redirect money away from higher-risk, higher-reward operations like investment banking and trading, the bank's income has decreased as a result of implementation of these reforms</w:t>
      </w:r>
      <w:r w:rsidR="001B3F22" w:rsidRPr="0074066D">
        <w:rPr>
          <w:rFonts w:cs="Times New Roman"/>
          <w:szCs w:val="24"/>
        </w:rPr>
        <w:t xml:space="preserve"> (</w:t>
      </w:r>
      <w:proofErr w:type="spellStart"/>
      <w:r w:rsidR="001B3F22" w:rsidRPr="0074066D">
        <w:rPr>
          <w:rFonts w:cs="Times New Roman"/>
          <w:szCs w:val="24"/>
        </w:rPr>
        <w:t>Nikkinen</w:t>
      </w:r>
      <w:proofErr w:type="spellEnd"/>
      <w:r w:rsidR="001B3F22" w:rsidRPr="0074066D">
        <w:rPr>
          <w:rFonts w:cs="Times New Roman"/>
          <w:szCs w:val="24"/>
        </w:rPr>
        <w:t xml:space="preserve">, </w:t>
      </w:r>
      <w:proofErr w:type="spellStart"/>
      <w:r w:rsidR="001B3F22" w:rsidRPr="0074066D">
        <w:rPr>
          <w:rFonts w:cs="Times New Roman"/>
          <w:szCs w:val="24"/>
        </w:rPr>
        <w:t>Piljak</w:t>
      </w:r>
      <w:proofErr w:type="spellEnd"/>
      <w:r w:rsidR="001B3F22" w:rsidRPr="0074066D">
        <w:rPr>
          <w:rFonts w:cs="Times New Roman"/>
          <w:szCs w:val="24"/>
        </w:rPr>
        <w:t xml:space="preserve"> and </w:t>
      </w:r>
      <w:proofErr w:type="spellStart"/>
      <w:r w:rsidR="001B3F22" w:rsidRPr="0074066D">
        <w:rPr>
          <w:rFonts w:cs="Times New Roman"/>
          <w:szCs w:val="24"/>
        </w:rPr>
        <w:t>Rothovius</w:t>
      </w:r>
      <w:proofErr w:type="spellEnd"/>
      <w:r w:rsidR="001B3F22" w:rsidRPr="0074066D">
        <w:rPr>
          <w:rFonts w:cs="Times New Roman"/>
          <w:szCs w:val="24"/>
        </w:rPr>
        <w:t>, 2019)</w:t>
      </w:r>
      <w:r w:rsidRPr="0074066D">
        <w:rPr>
          <w:rFonts w:cs="Times New Roman"/>
          <w:szCs w:val="24"/>
        </w:rPr>
        <w:t xml:space="preserve">. </w:t>
      </w:r>
    </w:p>
    <w:p w14:paraId="45FE99FB" w14:textId="77777777" w:rsidR="001656AF" w:rsidRPr="0074066D" w:rsidRDefault="001656AF" w:rsidP="0074066D">
      <w:pPr>
        <w:jc w:val="both"/>
        <w:rPr>
          <w:rFonts w:cs="Times New Roman"/>
          <w:b/>
          <w:bCs/>
          <w:szCs w:val="24"/>
        </w:rPr>
      </w:pPr>
      <w:r w:rsidRPr="0074066D">
        <w:rPr>
          <w:rFonts w:cs="Times New Roman"/>
          <w:b/>
          <w:bCs/>
          <w:szCs w:val="24"/>
        </w:rPr>
        <w:t>Act of Dodd-Frank</w:t>
      </w:r>
    </w:p>
    <w:p w14:paraId="53660EF2" w14:textId="77777777" w:rsidR="001656AF" w:rsidRPr="0074066D" w:rsidRDefault="001656AF" w:rsidP="0074066D">
      <w:pPr>
        <w:jc w:val="both"/>
        <w:rPr>
          <w:rFonts w:cs="Times New Roman"/>
          <w:szCs w:val="24"/>
        </w:rPr>
      </w:pPr>
      <w:r w:rsidRPr="0074066D">
        <w:rPr>
          <w:rFonts w:cs="Times New Roman"/>
          <w:szCs w:val="24"/>
        </w:rPr>
        <w:t xml:space="preserve">A US law known as the Dodd-Frank Act brought about a number of changes aimed at enhancing the </w:t>
      </w:r>
      <w:r w:rsidR="003F3BEC" w:rsidRPr="0074066D">
        <w:rPr>
          <w:rFonts w:cs="Times New Roman"/>
          <w:szCs w:val="24"/>
        </w:rPr>
        <w:t>constancy</w:t>
      </w:r>
      <w:r w:rsidRPr="0074066D">
        <w:rPr>
          <w:rFonts w:cs="Times New Roman"/>
          <w:szCs w:val="24"/>
        </w:rPr>
        <w:t xml:space="preserve"> of the </w:t>
      </w:r>
      <w:r w:rsidR="003F3BEC" w:rsidRPr="0074066D">
        <w:rPr>
          <w:rFonts w:cs="Times New Roman"/>
          <w:szCs w:val="24"/>
        </w:rPr>
        <w:t>monetary</w:t>
      </w:r>
      <w:r w:rsidRPr="0074066D">
        <w:rPr>
          <w:rFonts w:cs="Times New Roman"/>
          <w:szCs w:val="24"/>
        </w:rPr>
        <w:t xml:space="preserve"> system. In order to make sure that banks can survive economic shocks, the legislation mandates that they undertake periodical stress testing. The Volcker Rule, that forbids banks from participating in proprietary trading, was also introduced</w:t>
      </w:r>
      <w:r w:rsidR="002F0BAC" w:rsidRPr="0074066D">
        <w:rPr>
          <w:rFonts w:cs="Times New Roman"/>
          <w:szCs w:val="24"/>
        </w:rPr>
        <w:t xml:space="preserve"> (Kim, Batten and Ryu, 2020)</w:t>
      </w:r>
      <w:r w:rsidRPr="0074066D">
        <w:rPr>
          <w:rFonts w:cs="Times New Roman"/>
          <w:szCs w:val="24"/>
        </w:rPr>
        <w:t xml:space="preserve">. NatWest Group's business model has been significantly impacted by the Dodd-Frank Act since the bank was compelled to sell its non-core divisions, such its US retail banking operations, in order to </w:t>
      </w:r>
      <w:r w:rsidR="003F3BEC" w:rsidRPr="0074066D">
        <w:rPr>
          <w:rFonts w:cs="Times New Roman"/>
          <w:szCs w:val="24"/>
        </w:rPr>
        <w:t>fulfil</w:t>
      </w:r>
      <w:r w:rsidRPr="0074066D">
        <w:rPr>
          <w:rFonts w:cs="Times New Roman"/>
          <w:szCs w:val="24"/>
        </w:rPr>
        <w:t xml:space="preserve"> with the legislation. For the bank to meet the criteria of the stress tests, technology and risk management systems have to be purchased</w:t>
      </w:r>
      <w:r w:rsidR="001B3F22" w:rsidRPr="0074066D">
        <w:rPr>
          <w:rFonts w:cs="Times New Roman"/>
          <w:szCs w:val="24"/>
        </w:rPr>
        <w:t xml:space="preserve"> (Mason, 2020)</w:t>
      </w:r>
      <w:r w:rsidRPr="0074066D">
        <w:rPr>
          <w:rFonts w:cs="Times New Roman"/>
          <w:szCs w:val="24"/>
        </w:rPr>
        <w:t>.</w:t>
      </w:r>
    </w:p>
    <w:p w14:paraId="0D582ED0" w14:textId="77777777" w:rsidR="001656AF" w:rsidRPr="0074066D" w:rsidRDefault="001656AF" w:rsidP="0074066D">
      <w:pPr>
        <w:jc w:val="both"/>
        <w:rPr>
          <w:rFonts w:cs="Times New Roman"/>
          <w:b/>
          <w:bCs/>
          <w:szCs w:val="24"/>
        </w:rPr>
      </w:pPr>
      <w:r w:rsidRPr="0074066D">
        <w:rPr>
          <w:rFonts w:cs="Times New Roman"/>
          <w:b/>
          <w:bCs/>
          <w:szCs w:val="24"/>
        </w:rPr>
        <w:t>MFIR II</w:t>
      </w:r>
    </w:p>
    <w:p w14:paraId="0B088D53" w14:textId="77777777" w:rsidR="001656AF" w:rsidRPr="0074066D" w:rsidRDefault="001656AF" w:rsidP="0074066D">
      <w:pPr>
        <w:jc w:val="both"/>
        <w:rPr>
          <w:rFonts w:cs="Times New Roman"/>
          <w:szCs w:val="24"/>
        </w:rPr>
      </w:pPr>
      <w:r w:rsidRPr="0074066D">
        <w:rPr>
          <w:rFonts w:cs="Times New Roman"/>
          <w:szCs w:val="24"/>
        </w:rPr>
        <w:lastRenderedPageBreak/>
        <w:t xml:space="preserve">The EU laws known as MiFID II are </w:t>
      </w:r>
      <w:r w:rsidR="003F3BEC" w:rsidRPr="0074066D">
        <w:rPr>
          <w:rFonts w:cs="Times New Roman"/>
          <w:szCs w:val="24"/>
        </w:rPr>
        <w:t>intended</w:t>
      </w:r>
      <w:r w:rsidRPr="0074066D">
        <w:rPr>
          <w:rFonts w:cs="Times New Roman"/>
          <w:szCs w:val="24"/>
        </w:rPr>
        <w:t xml:space="preserve"> at </w:t>
      </w:r>
      <w:r w:rsidR="003F3BEC">
        <w:rPr>
          <w:rFonts w:cs="Times New Roman"/>
          <w:szCs w:val="24"/>
        </w:rPr>
        <w:t>improving</w:t>
      </w:r>
      <w:r w:rsidRPr="0074066D">
        <w:rPr>
          <w:rFonts w:cs="Times New Roman"/>
          <w:szCs w:val="24"/>
        </w:rPr>
        <w:t xml:space="preserve"> the </w:t>
      </w:r>
      <w:r w:rsidR="003F3BEC" w:rsidRPr="0074066D">
        <w:rPr>
          <w:rFonts w:cs="Times New Roman"/>
          <w:szCs w:val="24"/>
        </w:rPr>
        <w:t>competence</w:t>
      </w:r>
      <w:r w:rsidRPr="0074066D">
        <w:rPr>
          <w:rFonts w:cs="Times New Roman"/>
          <w:szCs w:val="24"/>
        </w:rPr>
        <w:t xml:space="preserve"> and transparency of the financial markets. According to the laws, banks must guarantee that their customers obtain the greatest execution on their trades and give better disclosure of their fees and levies. The MiFID II laws significantly altered the NatWest Group's business strategy by requiring the bank to enhance its disclosure and transparency procedures</w:t>
      </w:r>
      <w:r w:rsidR="002F0BAC" w:rsidRPr="0074066D">
        <w:rPr>
          <w:rFonts w:cs="Times New Roman"/>
          <w:szCs w:val="24"/>
        </w:rPr>
        <w:t xml:space="preserve"> (Marques and </w:t>
      </w:r>
      <w:proofErr w:type="spellStart"/>
      <w:r w:rsidR="002F0BAC" w:rsidRPr="0074066D">
        <w:rPr>
          <w:rFonts w:cs="Times New Roman"/>
          <w:szCs w:val="24"/>
        </w:rPr>
        <w:t>Hoerisch</w:t>
      </w:r>
      <w:proofErr w:type="spellEnd"/>
      <w:r w:rsidR="002F0BAC" w:rsidRPr="0074066D">
        <w:rPr>
          <w:rFonts w:cs="Times New Roman"/>
          <w:szCs w:val="24"/>
        </w:rPr>
        <w:t>, 2019)</w:t>
      </w:r>
      <w:r w:rsidRPr="0074066D">
        <w:rPr>
          <w:rFonts w:cs="Times New Roman"/>
          <w:szCs w:val="24"/>
        </w:rPr>
        <w:t>. To be able to give customers accurate and timely information about their trades, the bank had to make investments in technology and infrastructure</w:t>
      </w:r>
      <w:r w:rsidR="001B3F22" w:rsidRPr="0074066D">
        <w:rPr>
          <w:rFonts w:cs="Times New Roman"/>
          <w:szCs w:val="24"/>
        </w:rPr>
        <w:t xml:space="preserve"> (Kim, Batten and Ryu, 2020)</w:t>
      </w:r>
      <w:r w:rsidRPr="0074066D">
        <w:rPr>
          <w:rFonts w:cs="Times New Roman"/>
          <w:szCs w:val="24"/>
        </w:rPr>
        <w:t>.</w:t>
      </w:r>
    </w:p>
    <w:p w14:paraId="62225FA0" w14:textId="77777777" w:rsidR="001656AF" w:rsidRPr="0074066D" w:rsidRDefault="001656AF" w:rsidP="0074066D">
      <w:pPr>
        <w:jc w:val="both"/>
        <w:rPr>
          <w:rFonts w:cs="Times New Roman"/>
          <w:szCs w:val="24"/>
        </w:rPr>
      </w:pPr>
      <w:r w:rsidRPr="0074066D">
        <w:rPr>
          <w:rFonts w:cs="Times New Roman"/>
          <w:szCs w:val="24"/>
        </w:rPr>
        <w:t xml:space="preserve">NatWest Group's Compliance/Non-Compliance with Regulatory </w:t>
      </w:r>
      <w:proofErr w:type="spellStart"/>
      <w:r w:rsidRPr="0074066D">
        <w:rPr>
          <w:rFonts w:cs="Times New Roman"/>
          <w:szCs w:val="24"/>
        </w:rPr>
        <w:t>ReformsBasel</w:t>
      </w:r>
      <w:proofErr w:type="spellEnd"/>
      <w:r w:rsidRPr="0074066D">
        <w:rPr>
          <w:rFonts w:cs="Times New Roman"/>
          <w:szCs w:val="24"/>
        </w:rPr>
        <w:t xml:space="preserve"> III The NatWest Group has complied with the Basel III rules and taken a number of actions to raise its capital adequacy and liquidity ratios</w:t>
      </w:r>
      <w:r w:rsidR="002F0BAC" w:rsidRPr="0074066D">
        <w:rPr>
          <w:rFonts w:cs="Times New Roman"/>
          <w:szCs w:val="24"/>
        </w:rPr>
        <w:t xml:space="preserve"> (Mason, 2020)</w:t>
      </w:r>
      <w:r w:rsidRPr="0074066D">
        <w:rPr>
          <w:rFonts w:cs="Times New Roman"/>
          <w:szCs w:val="24"/>
        </w:rPr>
        <w:t>. The bank has improved its liquidity coverage ratio, decreased its risk-weighted assets, and raised its common equity Tier 1 capital ratio. The bank has come under fire for not going far enough with the laws' implementation and for relying excessively on risk-weighted assets to gauge its capital sufficiency</w:t>
      </w:r>
      <w:r w:rsidR="001B3F22" w:rsidRPr="0074066D">
        <w:rPr>
          <w:rFonts w:cs="Times New Roman"/>
          <w:szCs w:val="24"/>
        </w:rPr>
        <w:t xml:space="preserve"> (Marques and </w:t>
      </w:r>
      <w:proofErr w:type="spellStart"/>
      <w:r w:rsidR="001B3F22" w:rsidRPr="0074066D">
        <w:rPr>
          <w:rFonts w:cs="Times New Roman"/>
          <w:szCs w:val="24"/>
        </w:rPr>
        <w:t>Hoerisch</w:t>
      </w:r>
      <w:proofErr w:type="spellEnd"/>
      <w:r w:rsidR="001B3F22" w:rsidRPr="0074066D">
        <w:rPr>
          <w:rFonts w:cs="Times New Roman"/>
          <w:szCs w:val="24"/>
        </w:rPr>
        <w:t>, 2019)</w:t>
      </w:r>
      <w:r w:rsidRPr="0074066D">
        <w:rPr>
          <w:rFonts w:cs="Times New Roman"/>
          <w:szCs w:val="24"/>
        </w:rPr>
        <w:t>.</w:t>
      </w:r>
    </w:p>
    <w:p w14:paraId="5BBB58FC" w14:textId="77777777" w:rsidR="001656AF" w:rsidRPr="0074066D" w:rsidRDefault="001656AF" w:rsidP="0074066D">
      <w:pPr>
        <w:jc w:val="both"/>
        <w:rPr>
          <w:rFonts w:cs="Times New Roman"/>
          <w:b/>
          <w:bCs/>
          <w:szCs w:val="24"/>
        </w:rPr>
      </w:pPr>
      <w:r w:rsidRPr="0074066D">
        <w:rPr>
          <w:rFonts w:cs="Times New Roman"/>
          <w:b/>
          <w:bCs/>
          <w:szCs w:val="24"/>
        </w:rPr>
        <w:t>Act of Dodd-Frank</w:t>
      </w:r>
    </w:p>
    <w:p w14:paraId="3D51AFE9" w14:textId="77777777" w:rsidR="0074066D" w:rsidRPr="0074066D" w:rsidRDefault="0074066D" w:rsidP="0074066D">
      <w:pPr>
        <w:jc w:val="both"/>
        <w:rPr>
          <w:rFonts w:cs="Times New Roman"/>
          <w:b/>
          <w:bCs/>
          <w:szCs w:val="24"/>
        </w:rPr>
      </w:pPr>
      <w:r w:rsidRPr="0074066D">
        <w:rPr>
          <w:rFonts w:cs="Times New Roman"/>
          <w:b/>
          <w:bCs/>
          <w:noProof/>
          <w:szCs w:val="24"/>
        </w:rPr>
        <w:drawing>
          <wp:inline distT="0" distB="0" distL="0" distR="0" wp14:anchorId="7E87475F" wp14:editId="26C9FB81">
            <wp:extent cx="3979235" cy="2242842"/>
            <wp:effectExtent l="0" t="0" r="254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88110" cy="2247844"/>
                    </a:xfrm>
                    <a:prstGeom prst="rect">
                      <a:avLst/>
                    </a:prstGeom>
                    <a:noFill/>
                  </pic:spPr>
                </pic:pic>
              </a:graphicData>
            </a:graphic>
          </wp:inline>
        </w:drawing>
      </w:r>
    </w:p>
    <w:p w14:paraId="01D65ADC" w14:textId="77777777" w:rsidR="0074066D" w:rsidRPr="0074066D" w:rsidRDefault="0074066D" w:rsidP="0074066D">
      <w:pPr>
        <w:jc w:val="both"/>
        <w:rPr>
          <w:rFonts w:cs="Times New Roman"/>
          <w:szCs w:val="24"/>
        </w:rPr>
      </w:pPr>
      <w:r w:rsidRPr="0074066D">
        <w:rPr>
          <w:rFonts w:cs="Times New Roman"/>
          <w:szCs w:val="24"/>
        </w:rPr>
        <w:t xml:space="preserve">Figure 4: Dodd-Frank </w:t>
      </w:r>
      <w:proofErr w:type="spellStart"/>
      <w:r w:rsidRPr="0074066D">
        <w:rPr>
          <w:rFonts w:cs="Times New Roman"/>
          <w:szCs w:val="24"/>
        </w:rPr>
        <w:t>prnciples</w:t>
      </w:r>
      <w:proofErr w:type="spellEnd"/>
      <w:r w:rsidRPr="0074066D">
        <w:rPr>
          <w:rFonts w:cs="Times New Roman"/>
          <w:szCs w:val="24"/>
        </w:rPr>
        <w:t xml:space="preserve"> </w:t>
      </w:r>
    </w:p>
    <w:p w14:paraId="17685BE7" w14:textId="77777777" w:rsidR="0074066D" w:rsidRPr="0074066D" w:rsidRDefault="0074066D" w:rsidP="0074066D">
      <w:pPr>
        <w:jc w:val="both"/>
        <w:rPr>
          <w:rFonts w:cs="Times New Roman"/>
          <w:szCs w:val="24"/>
        </w:rPr>
      </w:pPr>
      <w:r w:rsidRPr="0074066D">
        <w:rPr>
          <w:rFonts w:cs="Times New Roman"/>
          <w:szCs w:val="24"/>
        </w:rPr>
        <w:t>Source: (Zubair, Kabir and Huang, 2020)</w:t>
      </w:r>
    </w:p>
    <w:p w14:paraId="199A6651" w14:textId="77777777" w:rsidR="001656AF" w:rsidRPr="0074066D" w:rsidRDefault="001656AF" w:rsidP="0074066D">
      <w:pPr>
        <w:jc w:val="both"/>
        <w:rPr>
          <w:rFonts w:cs="Times New Roman"/>
          <w:szCs w:val="24"/>
        </w:rPr>
      </w:pPr>
      <w:r w:rsidRPr="0074066D">
        <w:rPr>
          <w:rFonts w:cs="Times New Roman"/>
          <w:szCs w:val="24"/>
        </w:rPr>
        <w:t xml:space="preserve">The Dodd-Frank Act and the Volcker Rule have both been mostly complied with by NatWest Group, </w:t>
      </w:r>
      <w:r w:rsidR="0074066D">
        <w:rPr>
          <w:rFonts w:cs="Times New Roman"/>
          <w:szCs w:val="24"/>
        </w:rPr>
        <w:t>that</w:t>
      </w:r>
      <w:r w:rsidRPr="0074066D">
        <w:rPr>
          <w:rFonts w:cs="Times New Roman"/>
          <w:szCs w:val="24"/>
        </w:rPr>
        <w:t xml:space="preserve"> has also sold its non-core assets in the US. The bank has come under fire, meanwhile, for not going far enough in the execution of the stress testing standards and for </w:t>
      </w:r>
      <w:r w:rsidRPr="0074066D">
        <w:rPr>
          <w:rFonts w:cs="Times New Roman"/>
          <w:szCs w:val="24"/>
        </w:rPr>
        <w:lastRenderedPageBreak/>
        <w:t>failing to sufficiently plan for the effects of Brexit on its US operations</w:t>
      </w:r>
      <w:r w:rsidR="001B3F22" w:rsidRPr="0074066D">
        <w:rPr>
          <w:rFonts w:cs="Times New Roman"/>
          <w:szCs w:val="24"/>
        </w:rPr>
        <w:t xml:space="preserve"> (Kim, Batten and Ryu, 2020)</w:t>
      </w:r>
      <w:r w:rsidRPr="0074066D">
        <w:rPr>
          <w:rFonts w:cs="Times New Roman"/>
          <w:szCs w:val="24"/>
        </w:rPr>
        <w:t>.</w:t>
      </w:r>
    </w:p>
    <w:p w14:paraId="53540126" w14:textId="77777777" w:rsidR="007B6EA9" w:rsidRPr="0074066D" w:rsidRDefault="001656AF" w:rsidP="0074066D">
      <w:pPr>
        <w:jc w:val="both"/>
        <w:rPr>
          <w:rFonts w:cs="Times New Roman"/>
          <w:b/>
          <w:bCs/>
          <w:szCs w:val="24"/>
        </w:rPr>
      </w:pPr>
      <w:r w:rsidRPr="0074066D">
        <w:rPr>
          <w:rFonts w:cs="Times New Roman"/>
          <w:b/>
          <w:bCs/>
          <w:szCs w:val="24"/>
        </w:rPr>
        <w:t xml:space="preserve">MiFID II </w:t>
      </w:r>
    </w:p>
    <w:p w14:paraId="58BCF2D5" w14:textId="77777777" w:rsidR="007B6EA9" w:rsidRPr="0074066D" w:rsidRDefault="001656AF" w:rsidP="0074066D">
      <w:pPr>
        <w:jc w:val="both"/>
        <w:rPr>
          <w:rFonts w:cs="Times New Roman"/>
          <w:szCs w:val="24"/>
        </w:rPr>
      </w:pPr>
      <w:r w:rsidRPr="0074066D">
        <w:rPr>
          <w:rFonts w:cs="Times New Roman"/>
          <w:szCs w:val="24"/>
        </w:rPr>
        <w:t>NatWest Group has made investments in technology and processes to enhance its transparency and disclosure practises, and has substantially complied with the MiFID II standards. However, the bank has come under fire for not going far enough with the legislation' implementation and for failing to sufficiently inform customers of its fees and charges</w:t>
      </w:r>
      <w:r w:rsidR="001B3F22" w:rsidRPr="0074066D">
        <w:rPr>
          <w:rFonts w:cs="Times New Roman"/>
          <w:szCs w:val="24"/>
        </w:rPr>
        <w:t xml:space="preserve"> (Hinrichs, 2021)</w:t>
      </w:r>
      <w:r w:rsidRPr="0074066D">
        <w:rPr>
          <w:rFonts w:cs="Times New Roman"/>
          <w:szCs w:val="24"/>
        </w:rPr>
        <w:t>.</w:t>
      </w:r>
      <w:r w:rsidR="007B6EA9" w:rsidRPr="0074066D">
        <w:rPr>
          <w:rFonts w:cs="Times New Roman"/>
          <w:szCs w:val="24"/>
        </w:rPr>
        <w:t xml:space="preserve"> </w:t>
      </w:r>
    </w:p>
    <w:p w14:paraId="63BCC206" w14:textId="77777777" w:rsidR="007B6EA9" w:rsidRPr="0074066D" w:rsidRDefault="007B6EA9" w:rsidP="0074066D">
      <w:pPr>
        <w:jc w:val="both"/>
        <w:rPr>
          <w:rFonts w:cs="Times New Roman"/>
          <w:b/>
          <w:bCs/>
          <w:szCs w:val="24"/>
        </w:rPr>
      </w:pPr>
      <w:r w:rsidRPr="0074066D">
        <w:rPr>
          <w:rFonts w:cs="Times New Roman"/>
          <w:b/>
          <w:bCs/>
          <w:szCs w:val="24"/>
        </w:rPr>
        <w:t xml:space="preserve">Overall analysis of the impact of reforms on </w:t>
      </w:r>
      <w:proofErr w:type="spellStart"/>
      <w:r w:rsidRPr="0074066D">
        <w:rPr>
          <w:rFonts w:cs="Times New Roman"/>
          <w:b/>
          <w:bCs/>
          <w:szCs w:val="24"/>
        </w:rPr>
        <w:t>Natwest</w:t>
      </w:r>
      <w:proofErr w:type="spellEnd"/>
      <w:r w:rsidRPr="0074066D">
        <w:rPr>
          <w:rFonts w:cs="Times New Roman"/>
          <w:b/>
          <w:bCs/>
          <w:szCs w:val="24"/>
        </w:rPr>
        <w:t xml:space="preserve"> banks</w:t>
      </w:r>
    </w:p>
    <w:p w14:paraId="5B6C488E" w14:textId="77777777" w:rsidR="007B6EA9" w:rsidRPr="0074066D" w:rsidRDefault="007B6EA9" w:rsidP="0074066D">
      <w:pPr>
        <w:jc w:val="both"/>
        <w:rPr>
          <w:rFonts w:cs="Times New Roman"/>
          <w:szCs w:val="24"/>
        </w:rPr>
      </w:pPr>
      <w:r w:rsidRPr="0074066D">
        <w:rPr>
          <w:rFonts w:cs="Times New Roman"/>
          <w:szCs w:val="24"/>
        </w:rPr>
        <w:t>NatWest has had to keep more capital due to higher capital and liquidity requirements, stress testing, and the need to guarantee liquidity. Additionally, rules on behaviour and culture have been put in place to stop careless behaviour that may lead to another disaster</w:t>
      </w:r>
      <w:r w:rsidR="001B3F22" w:rsidRPr="0074066D">
        <w:rPr>
          <w:rFonts w:cs="Times New Roman"/>
          <w:szCs w:val="24"/>
        </w:rPr>
        <w:t xml:space="preserve"> (</w:t>
      </w:r>
      <w:proofErr w:type="spellStart"/>
      <w:r w:rsidR="001B3F22" w:rsidRPr="0074066D">
        <w:rPr>
          <w:rFonts w:cs="Times New Roman"/>
          <w:szCs w:val="24"/>
        </w:rPr>
        <w:t>Gudgeon</w:t>
      </w:r>
      <w:proofErr w:type="spellEnd"/>
      <w:r w:rsidR="001B3F22" w:rsidRPr="0074066D">
        <w:rPr>
          <w:rFonts w:cs="Times New Roman"/>
          <w:szCs w:val="24"/>
        </w:rPr>
        <w:t xml:space="preserve"> et al., 2020)</w:t>
      </w:r>
      <w:r w:rsidRPr="0074066D">
        <w:rPr>
          <w:rFonts w:cs="Times New Roman"/>
          <w:szCs w:val="24"/>
        </w:rPr>
        <w:t>.</w:t>
      </w:r>
    </w:p>
    <w:p w14:paraId="64284A66" w14:textId="77777777" w:rsidR="007B6EA9" w:rsidRDefault="007B6EA9" w:rsidP="0074066D">
      <w:pPr>
        <w:jc w:val="both"/>
        <w:rPr>
          <w:rFonts w:cs="Times New Roman"/>
          <w:szCs w:val="24"/>
        </w:rPr>
      </w:pPr>
      <w:r w:rsidRPr="0074066D">
        <w:rPr>
          <w:rFonts w:cs="Times New Roman"/>
          <w:szCs w:val="24"/>
        </w:rPr>
        <w:t>NatWest has had its trading and investing operations subject to more scrutiny and oversight. New regulations, including the Volcker Rule in the US,</w:t>
      </w:r>
      <w:r w:rsidR="0074066D">
        <w:rPr>
          <w:rFonts w:cs="Times New Roman"/>
          <w:szCs w:val="24"/>
        </w:rPr>
        <w:t xml:space="preserve"> that</w:t>
      </w:r>
      <w:r w:rsidRPr="0074066D">
        <w:rPr>
          <w:rFonts w:cs="Times New Roman"/>
          <w:szCs w:val="24"/>
        </w:rPr>
        <w:t xml:space="preserve"> forbids banks from engaging in certain speculative activities, have forced the bank to adapt. Overall, the regulatory changes have improved the stability, accountability, and transparency of the financial sector</w:t>
      </w:r>
      <w:r w:rsidR="002F0BAC" w:rsidRPr="0074066D">
        <w:rPr>
          <w:rFonts w:cs="Times New Roman"/>
          <w:szCs w:val="24"/>
        </w:rPr>
        <w:t xml:space="preserve"> (</w:t>
      </w:r>
      <w:proofErr w:type="spellStart"/>
      <w:r w:rsidR="002F0BAC" w:rsidRPr="0074066D">
        <w:rPr>
          <w:rFonts w:cs="Times New Roman"/>
          <w:szCs w:val="24"/>
        </w:rPr>
        <w:t>Nikkinen</w:t>
      </w:r>
      <w:proofErr w:type="spellEnd"/>
      <w:r w:rsidR="002F0BAC" w:rsidRPr="0074066D">
        <w:rPr>
          <w:rFonts w:cs="Times New Roman"/>
          <w:szCs w:val="24"/>
        </w:rPr>
        <w:t xml:space="preserve">, </w:t>
      </w:r>
      <w:proofErr w:type="spellStart"/>
      <w:r w:rsidR="002F0BAC" w:rsidRPr="0074066D">
        <w:rPr>
          <w:rFonts w:cs="Times New Roman"/>
          <w:szCs w:val="24"/>
        </w:rPr>
        <w:t>Piljak</w:t>
      </w:r>
      <w:proofErr w:type="spellEnd"/>
      <w:r w:rsidR="002F0BAC" w:rsidRPr="0074066D">
        <w:rPr>
          <w:rFonts w:cs="Times New Roman"/>
          <w:szCs w:val="24"/>
        </w:rPr>
        <w:t xml:space="preserve"> and </w:t>
      </w:r>
      <w:proofErr w:type="spellStart"/>
      <w:r w:rsidR="002F0BAC" w:rsidRPr="0074066D">
        <w:rPr>
          <w:rFonts w:cs="Times New Roman"/>
          <w:szCs w:val="24"/>
        </w:rPr>
        <w:t>Rothovius</w:t>
      </w:r>
      <w:proofErr w:type="spellEnd"/>
      <w:r w:rsidR="002F0BAC" w:rsidRPr="0074066D">
        <w:rPr>
          <w:rFonts w:cs="Times New Roman"/>
          <w:szCs w:val="24"/>
        </w:rPr>
        <w:t>, 2019)</w:t>
      </w:r>
      <w:r w:rsidRPr="0074066D">
        <w:rPr>
          <w:rFonts w:cs="Times New Roman"/>
          <w:szCs w:val="24"/>
        </w:rPr>
        <w:t>. For NatWest and other banks, they have raised compliance expenses as well, albeit this might have an effect on profits. In order to comply with these rules and yet compete in the market, NatWest had to modify its business strategy</w:t>
      </w:r>
      <w:r w:rsidR="001B3F22" w:rsidRPr="0074066D">
        <w:rPr>
          <w:rFonts w:cs="Times New Roman"/>
          <w:szCs w:val="24"/>
        </w:rPr>
        <w:t xml:space="preserve"> (Franklin, Rostom and Thwaites, 2019)</w:t>
      </w:r>
      <w:r w:rsidRPr="0074066D">
        <w:rPr>
          <w:rFonts w:cs="Times New Roman"/>
          <w:szCs w:val="24"/>
        </w:rPr>
        <w:t>.</w:t>
      </w:r>
      <w:r w:rsidR="002F267F" w:rsidRPr="0074066D">
        <w:rPr>
          <w:rFonts w:cs="Times New Roman"/>
          <w:szCs w:val="24"/>
        </w:rPr>
        <w:t xml:space="preserve"> </w:t>
      </w:r>
    </w:p>
    <w:p w14:paraId="7319C7AC" w14:textId="6E27961D" w:rsidR="00C0063A" w:rsidRPr="00B37375" w:rsidRDefault="00C0063A" w:rsidP="00C0063A">
      <w:pPr>
        <w:jc w:val="both"/>
        <w:rPr>
          <w:rFonts w:cs="Times New Roman"/>
          <w:szCs w:val="24"/>
          <w:u w:val="single"/>
        </w:rPr>
      </w:pPr>
      <w:bookmarkStart w:id="6" w:name="_Toc133335216"/>
      <w:r w:rsidRPr="00B37375">
        <w:rPr>
          <w:rFonts w:cs="Times New Roman"/>
          <w:szCs w:val="24"/>
          <w:u w:val="single"/>
        </w:rPr>
        <w:t>Policies Adopted by Central Banks and Governments in Responding to the GREAT RECESSION</w:t>
      </w:r>
    </w:p>
    <w:p w14:paraId="3F0DF836" w14:textId="77777777" w:rsidR="00C0063A" w:rsidRPr="00C0063A" w:rsidRDefault="00C0063A" w:rsidP="00C0063A">
      <w:pPr>
        <w:jc w:val="both"/>
        <w:rPr>
          <w:rFonts w:cs="Times New Roman"/>
          <w:szCs w:val="24"/>
        </w:rPr>
      </w:pPr>
    </w:p>
    <w:p w14:paraId="15F80AA8" w14:textId="77777777" w:rsidR="00C0063A" w:rsidRPr="00C0063A" w:rsidRDefault="00C0063A" w:rsidP="00C0063A">
      <w:pPr>
        <w:jc w:val="both"/>
        <w:rPr>
          <w:rFonts w:cs="Times New Roman"/>
          <w:szCs w:val="24"/>
        </w:rPr>
      </w:pPr>
      <w:r w:rsidRPr="00C0063A">
        <w:rPr>
          <w:rFonts w:cs="Times New Roman"/>
          <w:szCs w:val="24"/>
        </w:rPr>
        <w:t xml:space="preserve">1. Expansionary Monetary Policy: Central banks around the world turned towards unconventional monetary policy tools to combat the crisis. The United States Federal Reserve embarked on a series of quantitative easing (QE) programmes, involving large-scale purchases of government bonds and mortgage-backed securities, which helped to inject liquidity into the </w:t>
      </w:r>
      <w:r w:rsidRPr="00C0063A">
        <w:rPr>
          <w:rFonts w:cs="Times New Roman"/>
          <w:szCs w:val="24"/>
        </w:rPr>
        <w:lastRenderedPageBreak/>
        <w:t>financial system and stabilise asset prices. The Bank of England and the European Central Bank also embarked on similar programmes to provide additional liquidity.</w:t>
      </w:r>
    </w:p>
    <w:p w14:paraId="67BD9D1B" w14:textId="77777777" w:rsidR="00C0063A" w:rsidRPr="00C0063A" w:rsidRDefault="00C0063A" w:rsidP="00C0063A">
      <w:pPr>
        <w:jc w:val="both"/>
        <w:rPr>
          <w:rFonts w:cs="Times New Roman"/>
          <w:szCs w:val="24"/>
        </w:rPr>
      </w:pPr>
    </w:p>
    <w:p w14:paraId="7040F8FC" w14:textId="77777777" w:rsidR="00C0063A" w:rsidRPr="00C0063A" w:rsidRDefault="00C0063A" w:rsidP="00C0063A">
      <w:pPr>
        <w:jc w:val="both"/>
        <w:rPr>
          <w:rFonts w:cs="Times New Roman"/>
          <w:szCs w:val="24"/>
        </w:rPr>
      </w:pPr>
      <w:r w:rsidRPr="00C0063A">
        <w:rPr>
          <w:rFonts w:cs="Times New Roman"/>
          <w:szCs w:val="24"/>
        </w:rPr>
        <w:t>2. Fiscal Stimulus: Many governments adopted expansionary fiscal policies to boost domestic demand and cushion the impact of the crisis on their economies. In the United States, the Troubled Assets Relief Program (TARP) was initiated, amounting to nearly $700 billion in funds to shore up banks and other financial institutions. Moreover, the American Recovery and Reinvestment Act provided additional stimulus to the US economy, while other nations likewise enacted significant public spending programmes to stave off recession.</w:t>
      </w:r>
    </w:p>
    <w:p w14:paraId="079CD622" w14:textId="77777777" w:rsidR="00C0063A" w:rsidRPr="00C0063A" w:rsidRDefault="00C0063A" w:rsidP="00C0063A">
      <w:pPr>
        <w:jc w:val="both"/>
        <w:rPr>
          <w:rFonts w:cs="Times New Roman"/>
          <w:szCs w:val="24"/>
        </w:rPr>
      </w:pPr>
    </w:p>
    <w:p w14:paraId="02DA1B37" w14:textId="507BF8A9" w:rsidR="00B37375" w:rsidRDefault="00C0063A" w:rsidP="00B37375">
      <w:pPr>
        <w:jc w:val="both"/>
        <w:rPr>
          <w:rFonts w:cs="Times New Roman"/>
          <w:szCs w:val="24"/>
        </w:rPr>
      </w:pPr>
      <w:r w:rsidRPr="00C0063A">
        <w:rPr>
          <w:rFonts w:cs="Times New Roman"/>
          <w:szCs w:val="24"/>
        </w:rPr>
        <w:t>3. Financial Regulation: Governments and regulatory authorities recognised the need for stronger financial regulation and oversight to prevent the recurrence of such a crisis. In the United States, the Dodd-Frank Wall Street Reform and Consumer Protection Act was enacted to enhance regulatory supervision, impose stricter capital requirements, and establish the Consumer Financial Protection Bureau. Similar regulations were also implemented in Europe, with increased oversight on financial institutions and the establishment of the European Systemic Risk Board.</w:t>
      </w:r>
    </w:p>
    <w:p w14:paraId="78BB0A96" w14:textId="2E295622" w:rsidR="007B6EA9" w:rsidRPr="0074066D" w:rsidRDefault="00323B95" w:rsidP="0074066D">
      <w:pPr>
        <w:pStyle w:val="Heading1"/>
        <w:jc w:val="both"/>
        <w:rPr>
          <w:rFonts w:cs="Times New Roman"/>
          <w:sz w:val="24"/>
          <w:szCs w:val="24"/>
        </w:rPr>
      </w:pPr>
      <w:r w:rsidRPr="0074066D">
        <w:rPr>
          <w:rFonts w:cs="Times New Roman"/>
          <w:sz w:val="24"/>
          <w:szCs w:val="24"/>
        </w:rPr>
        <w:t xml:space="preserve">3. </w:t>
      </w:r>
      <w:r w:rsidR="007B6EA9" w:rsidRPr="0074066D">
        <w:rPr>
          <w:rFonts w:cs="Times New Roman"/>
          <w:sz w:val="24"/>
          <w:szCs w:val="24"/>
        </w:rPr>
        <w:t>Conclusion</w:t>
      </w:r>
      <w:bookmarkEnd w:id="6"/>
      <w:r w:rsidR="007B6EA9" w:rsidRPr="0074066D">
        <w:rPr>
          <w:rFonts w:cs="Times New Roman"/>
          <w:sz w:val="24"/>
          <w:szCs w:val="24"/>
        </w:rPr>
        <w:t xml:space="preserve"> </w:t>
      </w:r>
    </w:p>
    <w:p w14:paraId="3A920D09" w14:textId="77777777" w:rsidR="00EE1662" w:rsidRPr="0074066D" w:rsidRDefault="00EE1662" w:rsidP="0074066D">
      <w:pPr>
        <w:jc w:val="both"/>
        <w:rPr>
          <w:rFonts w:cs="Times New Roman"/>
          <w:szCs w:val="24"/>
        </w:rPr>
      </w:pPr>
      <w:r w:rsidRPr="0074066D">
        <w:rPr>
          <w:rFonts w:cs="Times New Roman"/>
          <w:szCs w:val="24"/>
        </w:rPr>
        <w:t xml:space="preserve">The economy of the United Kingdom, United States, and the European Union were all </w:t>
      </w:r>
      <w:r w:rsidR="003F3BEC" w:rsidRPr="0074066D">
        <w:rPr>
          <w:rFonts w:cs="Times New Roman"/>
          <w:szCs w:val="24"/>
        </w:rPr>
        <w:t>suggestively</w:t>
      </w:r>
      <w:r w:rsidRPr="0074066D">
        <w:rPr>
          <w:rFonts w:cs="Times New Roman"/>
          <w:szCs w:val="24"/>
        </w:rPr>
        <w:t xml:space="preserve"> impacted by the </w:t>
      </w:r>
      <w:r w:rsidR="003F3BEC" w:rsidRPr="0074066D">
        <w:rPr>
          <w:rFonts w:cs="Times New Roman"/>
          <w:szCs w:val="24"/>
        </w:rPr>
        <w:t>world-wide</w:t>
      </w:r>
      <w:r w:rsidRPr="0074066D">
        <w:rPr>
          <w:rFonts w:cs="Times New Roman"/>
          <w:szCs w:val="24"/>
        </w:rPr>
        <w:t xml:space="preserve"> financial crisis of 2008. The authorities in these areas adopted a number of measures in reaction to the crisis to address its underlying causes and stop it from happening again. The Financial Services Act 2012 was implemented in the UK in order to tighten regulations on financial institutions and safeguard customers. The Financial Conduct Authority was established under the legislation, </w:t>
      </w:r>
      <w:r w:rsidR="0074066D">
        <w:rPr>
          <w:rFonts w:cs="Times New Roman"/>
          <w:szCs w:val="24"/>
        </w:rPr>
        <w:t>that</w:t>
      </w:r>
      <w:r w:rsidRPr="0074066D">
        <w:rPr>
          <w:rFonts w:cs="Times New Roman"/>
          <w:szCs w:val="24"/>
        </w:rPr>
        <w:t xml:space="preserve"> also reinforced the Prudential Regulation Authority. The Dodd-Frank Wall Street Reform and Consumer Protection Act of 2010 was </w:t>
      </w:r>
      <w:r w:rsidR="003F3BEC" w:rsidRPr="0074066D">
        <w:rPr>
          <w:rFonts w:cs="Times New Roman"/>
          <w:szCs w:val="24"/>
        </w:rPr>
        <w:t>presented</w:t>
      </w:r>
      <w:r w:rsidRPr="0074066D">
        <w:rPr>
          <w:rFonts w:cs="Times New Roman"/>
          <w:szCs w:val="24"/>
        </w:rPr>
        <w:t xml:space="preserve"> in the US in order to tighten regulation of the financial industry. The act tightened rules on financial institutions in an effort to promote transparency, lower systemic risk, and safeguard customers.</w:t>
      </w:r>
    </w:p>
    <w:p w14:paraId="100AE55E" w14:textId="77777777" w:rsidR="0074066D" w:rsidRDefault="00EE1662" w:rsidP="0074066D">
      <w:pPr>
        <w:jc w:val="both"/>
        <w:rPr>
          <w:rFonts w:cs="Times New Roman"/>
          <w:szCs w:val="24"/>
        </w:rPr>
      </w:pPr>
      <w:r w:rsidRPr="0074066D">
        <w:rPr>
          <w:rFonts w:cs="Times New Roman"/>
          <w:szCs w:val="24"/>
        </w:rPr>
        <w:lastRenderedPageBreak/>
        <w:t>The European System of Financial oversight was developed in the European Union in 2011 with the goals of enhancing financial institution oversight and averting further crises. The EU also passed laws to improve financial sector transparency and guarantee that financial institutions have sufficient capital and liquidity reserves. The UK, US, and EU authorities' reforms tried to remedy the flaws in the financial industry that contributed to the 2008 crisis. While some detractors claim that the changes did not go far enough, they have still contributed to the stabilisation of the financial system and the prevention of future occurrences of the same kind of incidents.</w:t>
      </w:r>
      <w:r w:rsidR="002F267F" w:rsidRPr="0074066D">
        <w:rPr>
          <w:rFonts w:cs="Times New Roman"/>
          <w:szCs w:val="24"/>
        </w:rPr>
        <w:t xml:space="preserve"> </w:t>
      </w:r>
    </w:p>
    <w:p w14:paraId="5D87B2DD" w14:textId="77777777" w:rsidR="001F24D3" w:rsidRPr="001F24D3" w:rsidRDefault="001F24D3" w:rsidP="001F24D3">
      <w:pPr>
        <w:jc w:val="both"/>
        <w:rPr>
          <w:rFonts w:cs="Times New Roman"/>
          <w:szCs w:val="24"/>
        </w:rPr>
      </w:pPr>
      <w:r w:rsidRPr="001F24D3">
        <w:rPr>
          <w:rFonts w:cs="Times New Roman"/>
          <w:szCs w:val="24"/>
        </w:rPr>
        <w:t>The end of the GFC did not come about through any one measure or policy but was instead the cumulative result of the combination of the measures adopted by central banks and governments worldwide. The restoration of confidence in the financial system, improved liquidity, and the stabilisation of asset prices gradually led to the end of the GFC towards the latter part of 2009.</w:t>
      </w:r>
    </w:p>
    <w:p w14:paraId="39E5A858" w14:textId="77777777" w:rsidR="001F24D3" w:rsidRPr="001F24D3" w:rsidRDefault="001F24D3" w:rsidP="001F24D3">
      <w:pPr>
        <w:jc w:val="both"/>
        <w:rPr>
          <w:rFonts w:cs="Times New Roman"/>
          <w:szCs w:val="24"/>
        </w:rPr>
      </w:pPr>
    </w:p>
    <w:p w14:paraId="31FBD9E1" w14:textId="77777777" w:rsidR="00CA26E1" w:rsidRDefault="001F24D3" w:rsidP="00CA26E1">
      <w:pPr>
        <w:jc w:val="both"/>
        <w:rPr>
          <w:rFonts w:cs="Times New Roman"/>
          <w:szCs w:val="24"/>
        </w:rPr>
      </w:pPr>
      <w:r w:rsidRPr="001F24D3">
        <w:rPr>
          <w:rFonts w:cs="Times New Roman"/>
          <w:szCs w:val="24"/>
        </w:rPr>
        <w:t>However, the crisis left many lasting impacts on the global economy. One significant outcome was the shift towards a more conservative stance on financial regulation and supervision, culminating in the introduction of tighter regulations on financial sector risk-taking, such as Basel III and higher capital requirements for banks.</w:t>
      </w:r>
      <w:r w:rsidR="006D247B">
        <w:rPr>
          <w:rFonts w:cs="Times New Roman"/>
          <w:szCs w:val="24"/>
        </w:rPr>
        <w:t xml:space="preserve"> It </w:t>
      </w:r>
      <w:r w:rsidR="006D247B" w:rsidRPr="006D247B">
        <w:rPr>
          <w:rFonts w:cs="Times New Roman"/>
          <w:szCs w:val="24"/>
        </w:rPr>
        <w:t>was a complex and intricate process involving the concerted efforts of governments and central banks worldwide. The combination of unconventional monetary policies, fiscal stimulus measures, and stronger financial regulations resulted in the eventual restoration of confidence in the financial system and the normalisation of economic activity. Furthermore, the GFC provided important lessons on the need for enhanced financial regulation, the importance of international coordination, and the need for multilateral cooperation to foster a more resilient global financial system. In the years that followed, much progress has been made to address the shortcomings exposed by the GFC, but the continued pursuit of global economic stability remains a work in progress.</w:t>
      </w:r>
      <w:bookmarkStart w:id="7" w:name="_Toc133335217"/>
    </w:p>
    <w:p w14:paraId="7946D048" w14:textId="1D2BBACF" w:rsidR="00CA26E1" w:rsidRDefault="00981711" w:rsidP="00CA26E1">
      <w:pPr>
        <w:jc w:val="both"/>
        <w:rPr>
          <w:rFonts w:cs="Times New Roman"/>
          <w:szCs w:val="24"/>
        </w:rPr>
      </w:pPr>
      <w:r w:rsidRPr="00981711">
        <w:rPr>
          <w:rFonts w:cs="Times New Roman"/>
          <w:szCs w:val="24"/>
        </w:rPr>
        <w:t>Although the reforms have also faced criticism for inhibiting growth and fostering consolidation, the overall impact of these changes has been favourable to the stability and resilience of the financial system. Nevertheless, additional complementary and ongoing measures may be required to address existing gaps and safeguard against future crises.</w:t>
      </w:r>
    </w:p>
    <w:p w14:paraId="2729F81B" w14:textId="77777777" w:rsidR="00CA26E1" w:rsidRDefault="00CA26E1" w:rsidP="00CA26E1">
      <w:pPr>
        <w:jc w:val="both"/>
        <w:rPr>
          <w:rFonts w:cs="Times New Roman"/>
          <w:szCs w:val="24"/>
        </w:rPr>
      </w:pPr>
    </w:p>
    <w:p w14:paraId="355E45F8" w14:textId="77777777" w:rsidR="00CA26E1" w:rsidRDefault="00CA26E1" w:rsidP="00CA26E1">
      <w:pPr>
        <w:jc w:val="both"/>
        <w:rPr>
          <w:rFonts w:cs="Times New Roman"/>
          <w:szCs w:val="24"/>
        </w:rPr>
      </w:pPr>
    </w:p>
    <w:p w14:paraId="64723E9B" w14:textId="77777777" w:rsidR="00CA26E1" w:rsidRDefault="00CA26E1" w:rsidP="00CA26E1">
      <w:pPr>
        <w:jc w:val="both"/>
        <w:rPr>
          <w:rFonts w:cs="Times New Roman"/>
          <w:szCs w:val="24"/>
        </w:rPr>
      </w:pPr>
    </w:p>
    <w:p w14:paraId="4C225882" w14:textId="77777777" w:rsidR="00CA26E1" w:rsidRDefault="00CA26E1" w:rsidP="00CA26E1">
      <w:pPr>
        <w:jc w:val="both"/>
        <w:rPr>
          <w:rFonts w:cs="Times New Roman"/>
          <w:szCs w:val="24"/>
        </w:rPr>
      </w:pPr>
    </w:p>
    <w:p w14:paraId="0BEE1BC4" w14:textId="77777777" w:rsidR="00CA26E1" w:rsidRDefault="00CA26E1" w:rsidP="00CA26E1">
      <w:pPr>
        <w:jc w:val="both"/>
        <w:rPr>
          <w:rFonts w:cs="Times New Roman"/>
          <w:szCs w:val="24"/>
        </w:rPr>
      </w:pPr>
    </w:p>
    <w:p w14:paraId="05651D3B" w14:textId="77777777" w:rsidR="00CA26E1" w:rsidRDefault="00CA26E1" w:rsidP="00CA26E1">
      <w:pPr>
        <w:jc w:val="both"/>
        <w:rPr>
          <w:rFonts w:cs="Times New Roman"/>
          <w:szCs w:val="24"/>
        </w:rPr>
      </w:pPr>
    </w:p>
    <w:p w14:paraId="2AFDDB4D" w14:textId="77777777" w:rsidR="00CA26E1" w:rsidRDefault="00CA26E1" w:rsidP="00CA26E1">
      <w:pPr>
        <w:jc w:val="both"/>
        <w:rPr>
          <w:rFonts w:cs="Times New Roman"/>
          <w:szCs w:val="24"/>
        </w:rPr>
      </w:pPr>
    </w:p>
    <w:p w14:paraId="1EDD13BA" w14:textId="77777777" w:rsidR="00CA26E1" w:rsidRDefault="00CA26E1" w:rsidP="00CA26E1">
      <w:pPr>
        <w:jc w:val="both"/>
        <w:rPr>
          <w:rFonts w:cs="Times New Roman"/>
          <w:szCs w:val="24"/>
        </w:rPr>
      </w:pPr>
    </w:p>
    <w:p w14:paraId="1DE2B3EA" w14:textId="77777777" w:rsidR="00CA26E1" w:rsidRDefault="00CA26E1" w:rsidP="00CA26E1">
      <w:pPr>
        <w:jc w:val="both"/>
        <w:rPr>
          <w:rFonts w:cs="Times New Roman"/>
          <w:szCs w:val="24"/>
        </w:rPr>
      </w:pPr>
    </w:p>
    <w:p w14:paraId="75ED97C0" w14:textId="77777777" w:rsidR="00CA26E1" w:rsidRDefault="00CA26E1" w:rsidP="00CA26E1">
      <w:pPr>
        <w:jc w:val="both"/>
        <w:rPr>
          <w:rFonts w:cs="Times New Roman"/>
          <w:szCs w:val="24"/>
        </w:rPr>
      </w:pPr>
    </w:p>
    <w:p w14:paraId="521BEAFF" w14:textId="77777777" w:rsidR="00CA26E1" w:rsidRDefault="00CA26E1" w:rsidP="00CA26E1">
      <w:pPr>
        <w:jc w:val="both"/>
        <w:rPr>
          <w:rFonts w:cs="Times New Roman"/>
          <w:szCs w:val="24"/>
        </w:rPr>
      </w:pPr>
    </w:p>
    <w:p w14:paraId="6EDB60B2" w14:textId="36E3896D" w:rsidR="007B6EA9" w:rsidRPr="0074066D" w:rsidRDefault="00323B95" w:rsidP="00CA26E1">
      <w:pPr>
        <w:jc w:val="both"/>
        <w:rPr>
          <w:rFonts w:cs="Times New Roman"/>
          <w:szCs w:val="24"/>
        </w:rPr>
      </w:pPr>
      <w:r w:rsidRPr="0074066D">
        <w:rPr>
          <w:rFonts w:cs="Times New Roman"/>
          <w:szCs w:val="24"/>
        </w:rPr>
        <w:t>References</w:t>
      </w:r>
      <w:bookmarkEnd w:id="7"/>
    </w:p>
    <w:p w14:paraId="711985E5" w14:textId="77777777" w:rsidR="0074066D" w:rsidRPr="0074066D" w:rsidRDefault="0074066D" w:rsidP="0074066D">
      <w:pPr>
        <w:pStyle w:val="NormalWeb"/>
        <w:spacing w:before="0" w:beforeAutospacing="0" w:after="240" w:afterAutospacing="0" w:line="360" w:lineRule="auto"/>
        <w:jc w:val="both"/>
      </w:pPr>
      <w:proofErr w:type="spellStart"/>
      <w:r w:rsidRPr="0074066D">
        <w:t>Andreoni</w:t>
      </w:r>
      <w:proofErr w:type="spellEnd"/>
      <w:r w:rsidRPr="0074066D">
        <w:t xml:space="preserve">, V. (2020). The energy metabolism of countries: Energy efficiency and use in the period that followed the global financial crisis. </w:t>
      </w:r>
      <w:r w:rsidRPr="0074066D">
        <w:rPr>
          <w:i/>
          <w:iCs/>
        </w:rPr>
        <w:t>Energy Policy</w:t>
      </w:r>
      <w:r w:rsidRPr="0074066D">
        <w:t xml:space="preserve">, 139(6), p.111304. </w:t>
      </w:r>
      <w:proofErr w:type="spellStart"/>
      <w:r w:rsidRPr="0074066D">
        <w:t>doi:https</w:t>
      </w:r>
      <w:proofErr w:type="spellEnd"/>
      <w:r w:rsidRPr="0074066D">
        <w:t>://doi.org/10.1016/j.enpol.2020.111304.</w:t>
      </w:r>
    </w:p>
    <w:p w14:paraId="7B329E58" w14:textId="77777777" w:rsidR="0074066D" w:rsidRPr="0074066D" w:rsidRDefault="0074066D" w:rsidP="0074066D">
      <w:pPr>
        <w:pStyle w:val="NormalWeb"/>
        <w:spacing w:before="0" w:beforeAutospacing="0" w:after="240" w:afterAutospacing="0" w:line="360" w:lineRule="auto"/>
        <w:jc w:val="both"/>
      </w:pPr>
      <w:proofErr w:type="spellStart"/>
      <w:r w:rsidRPr="0074066D">
        <w:t>Behn</w:t>
      </w:r>
      <w:proofErr w:type="spellEnd"/>
      <w:r w:rsidRPr="0074066D">
        <w:t xml:space="preserve">, M. and Schramm, A. (2021). The impact of G-SIB identification on bank lending: Evidence from syndicated loans. </w:t>
      </w:r>
      <w:r w:rsidRPr="0074066D">
        <w:rPr>
          <w:i/>
          <w:iCs/>
        </w:rPr>
        <w:t>Journal of Financial Stability</w:t>
      </w:r>
      <w:r w:rsidRPr="0074066D">
        <w:t xml:space="preserve">, 57(9), p.100930. </w:t>
      </w:r>
      <w:proofErr w:type="spellStart"/>
      <w:r w:rsidRPr="0074066D">
        <w:t>doi:https</w:t>
      </w:r>
      <w:proofErr w:type="spellEnd"/>
      <w:r w:rsidRPr="0074066D">
        <w:t>://doi.org/10.1016/j.jfs.2021.100930.</w:t>
      </w:r>
    </w:p>
    <w:p w14:paraId="5FF1956C" w14:textId="77777777" w:rsidR="0074066D" w:rsidRPr="0074066D" w:rsidRDefault="0074066D" w:rsidP="0074066D">
      <w:pPr>
        <w:pStyle w:val="NormalWeb"/>
        <w:spacing w:before="0" w:beforeAutospacing="0" w:after="240" w:afterAutospacing="0" w:line="360" w:lineRule="auto"/>
        <w:jc w:val="both"/>
      </w:pPr>
      <w:r w:rsidRPr="0074066D">
        <w:t xml:space="preserve">Berman, S. and </w:t>
      </w:r>
      <w:proofErr w:type="spellStart"/>
      <w:r w:rsidRPr="0074066D">
        <w:t>Snegovaya</w:t>
      </w:r>
      <w:proofErr w:type="spellEnd"/>
      <w:r w:rsidRPr="0074066D">
        <w:t xml:space="preserve">, M. (2019). Populism and the Decline of Social Democracy. </w:t>
      </w:r>
      <w:r w:rsidRPr="0074066D">
        <w:rPr>
          <w:i/>
          <w:iCs/>
        </w:rPr>
        <w:t>Journal of Democracy</w:t>
      </w:r>
      <w:r w:rsidRPr="0074066D">
        <w:t xml:space="preserve">, [online] 30(3), pp.5–19. </w:t>
      </w:r>
      <w:proofErr w:type="spellStart"/>
      <w:r w:rsidRPr="0074066D">
        <w:t>doi:https</w:t>
      </w:r>
      <w:proofErr w:type="spellEnd"/>
      <w:r w:rsidRPr="0074066D">
        <w:t>://doi.org/10.1353/jod.2019.0038.</w:t>
      </w:r>
    </w:p>
    <w:p w14:paraId="51FE2906" w14:textId="77777777" w:rsidR="0074066D" w:rsidRPr="0074066D" w:rsidRDefault="0074066D" w:rsidP="0074066D">
      <w:pPr>
        <w:pStyle w:val="NormalWeb"/>
        <w:spacing w:before="0" w:beforeAutospacing="0" w:after="240" w:afterAutospacing="0" w:line="360" w:lineRule="auto"/>
        <w:jc w:val="both"/>
      </w:pPr>
      <w:proofErr w:type="spellStart"/>
      <w:r w:rsidRPr="0074066D">
        <w:t>Brem</w:t>
      </w:r>
      <w:proofErr w:type="spellEnd"/>
      <w:r w:rsidRPr="0074066D">
        <w:t xml:space="preserve">, A., </w:t>
      </w:r>
      <w:proofErr w:type="spellStart"/>
      <w:r w:rsidRPr="0074066D">
        <w:t>Nylund</w:t>
      </w:r>
      <w:proofErr w:type="spellEnd"/>
      <w:r w:rsidRPr="0074066D">
        <w:t xml:space="preserve">, P. and </w:t>
      </w:r>
      <w:proofErr w:type="spellStart"/>
      <w:r w:rsidRPr="0074066D">
        <w:t>Viardot</w:t>
      </w:r>
      <w:proofErr w:type="spellEnd"/>
      <w:r w:rsidRPr="0074066D">
        <w:t xml:space="preserve">, E. (2020). The impact of the 2008 financial crisis on innovation: A dominant design perspective. </w:t>
      </w:r>
      <w:r w:rsidRPr="0074066D">
        <w:rPr>
          <w:i/>
          <w:iCs/>
        </w:rPr>
        <w:t>Journal of Business Research</w:t>
      </w:r>
      <w:r w:rsidRPr="0074066D">
        <w:t xml:space="preserve">, 110(7), pp.360–369. </w:t>
      </w:r>
      <w:proofErr w:type="spellStart"/>
      <w:r w:rsidRPr="0074066D">
        <w:t>doi:https</w:t>
      </w:r>
      <w:proofErr w:type="spellEnd"/>
      <w:r w:rsidRPr="0074066D">
        <w:t>://doi.org/10.1016/j.jbusres.2020.01.048.</w:t>
      </w:r>
    </w:p>
    <w:p w14:paraId="1E78AE63" w14:textId="77777777" w:rsidR="0074066D" w:rsidRPr="0074066D" w:rsidRDefault="0074066D" w:rsidP="0074066D">
      <w:pPr>
        <w:pStyle w:val="NormalWeb"/>
        <w:spacing w:before="0" w:beforeAutospacing="0" w:after="240" w:afterAutospacing="0" w:line="360" w:lineRule="auto"/>
        <w:jc w:val="both"/>
      </w:pPr>
      <w:r w:rsidRPr="0074066D">
        <w:lastRenderedPageBreak/>
        <w:t xml:space="preserve">Burdekin, R.C.K. and Tao, R. (2021). The golden hedge: From global financial crisis to global pandemic. </w:t>
      </w:r>
      <w:r w:rsidRPr="0074066D">
        <w:rPr>
          <w:i/>
          <w:iCs/>
        </w:rPr>
        <w:t>Economic Modelling</w:t>
      </w:r>
      <w:r w:rsidRPr="0074066D">
        <w:t xml:space="preserve">, 95(5), pp.170–180. </w:t>
      </w:r>
      <w:proofErr w:type="spellStart"/>
      <w:r w:rsidRPr="0074066D">
        <w:t>doi:https</w:t>
      </w:r>
      <w:proofErr w:type="spellEnd"/>
      <w:r w:rsidRPr="0074066D">
        <w:t>://doi.org/10.1016/j.econmod.2020.12.009.</w:t>
      </w:r>
    </w:p>
    <w:p w14:paraId="16C6D253" w14:textId="77777777" w:rsidR="0074066D" w:rsidRPr="0074066D" w:rsidRDefault="0074066D" w:rsidP="0074066D">
      <w:pPr>
        <w:pStyle w:val="NormalWeb"/>
        <w:spacing w:before="0" w:beforeAutospacing="0" w:after="240" w:afterAutospacing="0" w:line="360" w:lineRule="auto"/>
        <w:jc w:val="both"/>
      </w:pPr>
      <w:proofErr w:type="spellStart"/>
      <w:r w:rsidRPr="0074066D">
        <w:t>Caroleo</w:t>
      </w:r>
      <w:proofErr w:type="spellEnd"/>
      <w:r w:rsidRPr="0074066D">
        <w:t xml:space="preserve">, F.E., Rocca, A., </w:t>
      </w:r>
      <w:proofErr w:type="spellStart"/>
      <w:r w:rsidRPr="0074066D">
        <w:t>Mazzocchi</w:t>
      </w:r>
      <w:proofErr w:type="spellEnd"/>
      <w:r w:rsidRPr="0074066D">
        <w:t xml:space="preserve">, P. and </w:t>
      </w:r>
      <w:proofErr w:type="spellStart"/>
      <w:r w:rsidRPr="0074066D">
        <w:t>Quintano</w:t>
      </w:r>
      <w:proofErr w:type="spellEnd"/>
      <w:r w:rsidRPr="0074066D">
        <w:t xml:space="preserve">, C. (2020). Being NEET in Europe Before and After the Economic Crisis: An Analysis of the Micro and Macro Determinants. </w:t>
      </w:r>
      <w:r w:rsidRPr="0074066D">
        <w:rPr>
          <w:i/>
          <w:iCs/>
        </w:rPr>
        <w:t>Social Indicators Research</w:t>
      </w:r>
      <w:r w:rsidRPr="0074066D">
        <w:t xml:space="preserve">, 79(6). </w:t>
      </w:r>
      <w:proofErr w:type="spellStart"/>
      <w:r w:rsidRPr="0074066D">
        <w:t>doi:https</w:t>
      </w:r>
      <w:proofErr w:type="spellEnd"/>
      <w:r w:rsidRPr="0074066D">
        <w:t>://doi.org/10.1007/s11205-020-02270-6.</w:t>
      </w:r>
    </w:p>
    <w:p w14:paraId="647F8321" w14:textId="77777777" w:rsidR="0074066D" w:rsidRPr="0074066D" w:rsidRDefault="0074066D" w:rsidP="0074066D">
      <w:pPr>
        <w:pStyle w:val="NormalWeb"/>
        <w:spacing w:before="0" w:beforeAutospacing="0" w:after="240" w:afterAutospacing="0" w:line="360" w:lineRule="auto"/>
        <w:jc w:val="both"/>
      </w:pPr>
      <w:r w:rsidRPr="0074066D">
        <w:t xml:space="preserve">Chen, Y.-L., Ting, H.-I. and Wang, M.-C. (2020). Government support and bank performance during the 2007–2008 financial crisis. </w:t>
      </w:r>
      <w:r w:rsidRPr="0074066D">
        <w:rPr>
          <w:i/>
          <w:iCs/>
        </w:rPr>
        <w:t>The North American Journal of Economics and Finance</w:t>
      </w:r>
      <w:r w:rsidRPr="0074066D">
        <w:t xml:space="preserve">, [online] 34(9), p.101301. </w:t>
      </w:r>
      <w:proofErr w:type="spellStart"/>
      <w:r w:rsidRPr="0074066D">
        <w:t>doi:https</w:t>
      </w:r>
      <w:proofErr w:type="spellEnd"/>
      <w:r w:rsidRPr="0074066D">
        <w:t>://doi.org/10.1016/j.najef.2020.101301.</w:t>
      </w:r>
    </w:p>
    <w:p w14:paraId="0AD6860C" w14:textId="77777777" w:rsidR="0074066D" w:rsidRPr="0074066D" w:rsidRDefault="0074066D" w:rsidP="0074066D">
      <w:pPr>
        <w:pStyle w:val="NormalWeb"/>
        <w:spacing w:before="0" w:beforeAutospacing="0" w:after="240" w:afterAutospacing="0" w:line="360" w:lineRule="auto"/>
        <w:jc w:val="both"/>
      </w:pPr>
      <w:r w:rsidRPr="0074066D">
        <w:t xml:space="preserve">Christensen, R.C. and Hearson, M. (2019). The new politics of global tax governance: taking stock a decade after the financial crisis. </w:t>
      </w:r>
      <w:r w:rsidRPr="0074066D">
        <w:rPr>
          <w:i/>
          <w:iCs/>
        </w:rPr>
        <w:t>Review of International Political Economy</w:t>
      </w:r>
      <w:r w:rsidRPr="0074066D">
        <w:t xml:space="preserve">, 26(5), pp.1068–1088. </w:t>
      </w:r>
      <w:proofErr w:type="spellStart"/>
      <w:r w:rsidRPr="0074066D">
        <w:t>doi:https</w:t>
      </w:r>
      <w:proofErr w:type="spellEnd"/>
      <w:r w:rsidRPr="0074066D">
        <w:t>://doi.org/10.1080/09692290.2019.1625802.</w:t>
      </w:r>
    </w:p>
    <w:p w14:paraId="62E133E7" w14:textId="77777777" w:rsidR="0074066D" w:rsidRPr="0074066D" w:rsidRDefault="0074066D" w:rsidP="0074066D">
      <w:pPr>
        <w:pStyle w:val="NormalWeb"/>
        <w:spacing w:before="0" w:beforeAutospacing="0" w:after="240" w:afterAutospacing="0" w:line="360" w:lineRule="auto"/>
        <w:jc w:val="both"/>
      </w:pPr>
      <w:r w:rsidRPr="0074066D">
        <w:t xml:space="preserve">de la Porte, C. and Jensen, M.D. (2021). The next generation EU : An analysis of the dimensions of conflict behind the deal. </w:t>
      </w:r>
      <w:r w:rsidRPr="0074066D">
        <w:rPr>
          <w:i/>
          <w:iCs/>
        </w:rPr>
        <w:t>Social Policy &amp; Administration</w:t>
      </w:r>
      <w:r w:rsidRPr="0074066D">
        <w:t xml:space="preserve">, 55(2), pp.388–402. </w:t>
      </w:r>
      <w:proofErr w:type="spellStart"/>
      <w:r w:rsidRPr="0074066D">
        <w:t>doi:https</w:t>
      </w:r>
      <w:proofErr w:type="spellEnd"/>
      <w:r w:rsidRPr="0074066D">
        <w:t>://doi.org/10.1111/spol.12709.</w:t>
      </w:r>
    </w:p>
    <w:p w14:paraId="749111F0" w14:textId="77777777" w:rsidR="0074066D" w:rsidRPr="0074066D" w:rsidRDefault="0074066D" w:rsidP="0074066D">
      <w:pPr>
        <w:pStyle w:val="NormalWeb"/>
        <w:spacing w:before="0" w:beforeAutospacing="0" w:after="240" w:afterAutospacing="0" w:line="360" w:lineRule="auto"/>
        <w:jc w:val="both"/>
      </w:pPr>
      <w:proofErr w:type="spellStart"/>
      <w:r w:rsidRPr="0074066D">
        <w:t>Fingerman</w:t>
      </w:r>
      <w:proofErr w:type="spellEnd"/>
      <w:r w:rsidRPr="0074066D">
        <w:t xml:space="preserve">, K.L., </w:t>
      </w:r>
      <w:proofErr w:type="spellStart"/>
      <w:r w:rsidRPr="0074066D">
        <w:t>Huo</w:t>
      </w:r>
      <w:proofErr w:type="spellEnd"/>
      <w:r w:rsidRPr="0074066D">
        <w:t xml:space="preserve">, M. and </w:t>
      </w:r>
      <w:proofErr w:type="spellStart"/>
      <w:r w:rsidRPr="0074066D">
        <w:t>Birditt</w:t>
      </w:r>
      <w:proofErr w:type="spellEnd"/>
      <w:r w:rsidRPr="0074066D">
        <w:t xml:space="preserve">, K.S. (2020). A Decade of Research on Intergenerational Ties: Technological, Economic, Political, and Demographic Changes. </w:t>
      </w:r>
      <w:r w:rsidRPr="0074066D">
        <w:rPr>
          <w:i/>
          <w:iCs/>
        </w:rPr>
        <w:t>Journal of Marriage and Family</w:t>
      </w:r>
      <w:r w:rsidRPr="0074066D">
        <w:t xml:space="preserve">, 82(1), pp.383–403. </w:t>
      </w:r>
      <w:proofErr w:type="spellStart"/>
      <w:r w:rsidRPr="0074066D">
        <w:t>doi:https</w:t>
      </w:r>
      <w:proofErr w:type="spellEnd"/>
      <w:r w:rsidRPr="0074066D">
        <w:t>://doi.org/10.1111/jomf.12604.</w:t>
      </w:r>
    </w:p>
    <w:p w14:paraId="7C6A090A" w14:textId="77777777" w:rsidR="0074066D" w:rsidRPr="0074066D" w:rsidRDefault="0074066D" w:rsidP="0074066D">
      <w:pPr>
        <w:pStyle w:val="NormalWeb"/>
        <w:spacing w:before="0" w:beforeAutospacing="0" w:after="240" w:afterAutospacing="0" w:line="360" w:lineRule="auto"/>
        <w:jc w:val="both"/>
      </w:pPr>
      <w:r w:rsidRPr="0074066D">
        <w:t xml:space="preserve">Franklin, J., Rostom, M. and Thwaites, G. (2019). The Banks that Said No: the Impact of Credit Supply on Productivity and Wages. </w:t>
      </w:r>
      <w:r w:rsidRPr="0074066D">
        <w:rPr>
          <w:i/>
          <w:iCs/>
        </w:rPr>
        <w:t>Journal of Financial Services Research</w:t>
      </w:r>
      <w:r w:rsidRPr="0074066D">
        <w:t xml:space="preserve">, 57(2), pp.149–179. </w:t>
      </w:r>
      <w:proofErr w:type="spellStart"/>
      <w:r w:rsidRPr="0074066D">
        <w:t>doi:https</w:t>
      </w:r>
      <w:proofErr w:type="spellEnd"/>
      <w:r w:rsidRPr="0074066D">
        <w:t>://doi.org/10.1007/s10693-019-00306-8.</w:t>
      </w:r>
    </w:p>
    <w:p w14:paraId="0AE9B135" w14:textId="77777777" w:rsidR="0074066D" w:rsidRPr="0074066D" w:rsidRDefault="0074066D" w:rsidP="0074066D">
      <w:pPr>
        <w:pStyle w:val="NormalWeb"/>
        <w:spacing w:before="0" w:beforeAutospacing="0" w:after="240" w:afterAutospacing="0" w:line="360" w:lineRule="auto"/>
        <w:jc w:val="both"/>
      </w:pPr>
      <w:proofErr w:type="spellStart"/>
      <w:r w:rsidRPr="0074066D">
        <w:t>Giebel</w:t>
      </w:r>
      <w:proofErr w:type="spellEnd"/>
      <w:r w:rsidRPr="0074066D">
        <w:t xml:space="preserve">, M. and Kraft, K. (2020). Bank credit supply and firm innovation </w:t>
      </w:r>
      <w:proofErr w:type="spellStart"/>
      <w:r w:rsidRPr="0074066D">
        <w:t>behavior</w:t>
      </w:r>
      <w:proofErr w:type="spellEnd"/>
      <w:r w:rsidRPr="0074066D">
        <w:t xml:space="preserve"> in the financial crisis. </w:t>
      </w:r>
      <w:r w:rsidRPr="0074066D">
        <w:rPr>
          <w:i/>
          <w:iCs/>
        </w:rPr>
        <w:t>Journal of Banking &amp; Finance</w:t>
      </w:r>
      <w:r w:rsidRPr="0074066D">
        <w:t xml:space="preserve">, 121(8), p.105961. </w:t>
      </w:r>
      <w:proofErr w:type="spellStart"/>
      <w:r w:rsidRPr="0074066D">
        <w:t>doi:https</w:t>
      </w:r>
      <w:proofErr w:type="spellEnd"/>
      <w:r w:rsidRPr="0074066D">
        <w:t>://doi.org/10.1016/j.jbankfin.2020.105961.</w:t>
      </w:r>
    </w:p>
    <w:p w14:paraId="423FF95F" w14:textId="77777777" w:rsidR="0074066D" w:rsidRPr="0074066D" w:rsidRDefault="0074066D" w:rsidP="0074066D">
      <w:pPr>
        <w:pStyle w:val="NormalWeb"/>
        <w:spacing w:before="0" w:beforeAutospacing="0" w:after="240" w:afterAutospacing="0" w:line="360" w:lineRule="auto"/>
        <w:jc w:val="both"/>
      </w:pPr>
      <w:proofErr w:type="spellStart"/>
      <w:r w:rsidRPr="0074066D">
        <w:t>Gudgeon</w:t>
      </w:r>
      <w:proofErr w:type="spellEnd"/>
      <w:r w:rsidRPr="0074066D">
        <w:t xml:space="preserve">, L., Perez, D., Harz, D., </w:t>
      </w:r>
      <w:proofErr w:type="spellStart"/>
      <w:r w:rsidRPr="0074066D">
        <w:t>Livshits</w:t>
      </w:r>
      <w:proofErr w:type="spellEnd"/>
      <w:r w:rsidRPr="0074066D">
        <w:t xml:space="preserve">, B. and Gervais, A. (2020). </w:t>
      </w:r>
      <w:r w:rsidRPr="0074066D">
        <w:rPr>
          <w:i/>
          <w:iCs/>
        </w:rPr>
        <w:t>The Decentralized Financial Crisis</w:t>
      </w:r>
      <w:r w:rsidRPr="0074066D">
        <w:t xml:space="preserve">. [online] IEEE Xplore. </w:t>
      </w:r>
      <w:proofErr w:type="spellStart"/>
      <w:r w:rsidRPr="0074066D">
        <w:t>doi:https</w:t>
      </w:r>
      <w:proofErr w:type="spellEnd"/>
      <w:r w:rsidRPr="0074066D">
        <w:t>://doi.org/10.1109/CVCBT50464.2020.00005.</w:t>
      </w:r>
    </w:p>
    <w:p w14:paraId="2B4E976A" w14:textId="77777777" w:rsidR="0074066D" w:rsidRPr="0074066D" w:rsidRDefault="0074066D" w:rsidP="0074066D">
      <w:pPr>
        <w:pStyle w:val="NormalWeb"/>
        <w:spacing w:before="0" w:beforeAutospacing="0" w:after="240" w:afterAutospacing="0" w:line="360" w:lineRule="auto"/>
        <w:jc w:val="both"/>
      </w:pPr>
      <w:r w:rsidRPr="0074066D">
        <w:t xml:space="preserve">Hinrichs, K. (2021). Recent pension reforms in Europe: More challenges, new directions. An overview. </w:t>
      </w:r>
      <w:r w:rsidRPr="0074066D">
        <w:rPr>
          <w:i/>
          <w:iCs/>
        </w:rPr>
        <w:t>Social Policy &amp; Administration</w:t>
      </w:r>
      <w:r w:rsidRPr="0074066D">
        <w:t xml:space="preserve">, 55(3). </w:t>
      </w:r>
      <w:proofErr w:type="spellStart"/>
      <w:r w:rsidRPr="0074066D">
        <w:t>doi:https</w:t>
      </w:r>
      <w:proofErr w:type="spellEnd"/>
      <w:r w:rsidRPr="0074066D">
        <w:t>://doi.org/10.1111/spol.12712.</w:t>
      </w:r>
    </w:p>
    <w:p w14:paraId="0113988D" w14:textId="77777777" w:rsidR="0074066D" w:rsidRPr="0074066D" w:rsidRDefault="0074066D" w:rsidP="0074066D">
      <w:pPr>
        <w:pStyle w:val="NormalWeb"/>
        <w:spacing w:before="0" w:beforeAutospacing="0" w:after="240" w:afterAutospacing="0" w:line="360" w:lineRule="auto"/>
        <w:jc w:val="both"/>
      </w:pPr>
      <w:r w:rsidRPr="0074066D">
        <w:lastRenderedPageBreak/>
        <w:t xml:space="preserve">Kim, H., Batten, J.A. and Ryu, D. (2020). Financial crisis, bank diversification, and financial stability: OECD countries. </w:t>
      </w:r>
      <w:r w:rsidRPr="0074066D">
        <w:rPr>
          <w:i/>
          <w:iCs/>
        </w:rPr>
        <w:t>International Review of Economics &amp; Finance</w:t>
      </w:r>
      <w:r w:rsidRPr="0074066D">
        <w:t xml:space="preserve">, 65(4), pp.94–104. </w:t>
      </w:r>
      <w:proofErr w:type="spellStart"/>
      <w:r w:rsidRPr="0074066D">
        <w:t>doi:https</w:t>
      </w:r>
      <w:proofErr w:type="spellEnd"/>
      <w:r w:rsidRPr="0074066D">
        <w:t>://doi.org/10.1016/j.iref.2019.08.009.</w:t>
      </w:r>
    </w:p>
    <w:p w14:paraId="67D000EF" w14:textId="77777777" w:rsidR="0074066D" w:rsidRPr="0074066D" w:rsidRDefault="0074066D" w:rsidP="0074066D">
      <w:pPr>
        <w:pStyle w:val="NormalWeb"/>
        <w:spacing w:before="0" w:beforeAutospacing="0" w:after="240" w:afterAutospacing="0" w:line="360" w:lineRule="auto"/>
        <w:jc w:val="both"/>
      </w:pPr>
      <w:r w:rsidRPr="0074066D">
        <w:t xml:space="preserve">Marques, P. and </w:t>
      </w:r>
      <w:proofErr w:type="spellStart"/>
      <w:r w:rsidRPr="0074066D">
        <w:t>Hoerisch</w:t>
      </w:r>
      <w:proofErr w:type="spellEnd"/>
      <w:r w:rsidRPr="0074066D">
        <w:t xml:space="preserve">, F. (2019). Promoting workplace‐based training to fight youth unemployment in three EU countries: Different strategies, different results? </w:t>
      </w:r>
      <w:r w:rsidRPr="0074066D">
        <w:rPr>
          <w:i/>
          <w:iCs/>
        </w:rPr>
        <w:t>International Journal of Social Welfare</w:t>
      </w:r>
      <w:r w:rsidRPr="0074066D">
        <w:t xml:space="preserve">, 28(4), pp.380–393. </w:t>
      </w:r>
      <w:proofErr w:type="spellStart"/>
      <w:r w:rsidRPr="0074066D">
        <w:t>doi:https</w:t>
      </w:r>
      <w:proofErr w:type="spellEnd"/>
      <w:r w:rsidRPr="0074066D">
        <w:t>://doi.org/10.1111/ijsw.12381.</w:t>
      </w:r>
    </w:p>
    <w:p w14:paraId="31C0B501" w14:textId="77777777" w:rsidR="0074066D" w:rsidRPr="0074066D" w:rsidRDefault="0074066D" w:rsidP="0074066D">
      <w:pPr>
        <w:pStyle w:val="NormalWeb"/>
        <w:spacing w:before="0" w:beforeAutospacing="0" w:after="240" w:afterAutospacing="0" w:line="360" w:lineRule="auto"/>
        <w:jc w:val="both"/>
      </w:pPr>
      <w:r w:rsidRPr="0074066D">
        <w:t xml:space="preserve">Mason, R. (2020). The Transformation of International Tax. </w:t>
      </w:r>
      <w:r w:rsidRPr="0074066D">
        <w:rPr>
          <w:i/>
          <w:iCs/>
        </w:rPr>
        <w:t>American Journal of International Law</w:t>
      </w:r>
      <w:r w:rsidRPr="0074066D">
        <w:t xml:space="preserve">, [online] 114(3), pp.353–402. </w:t>
      </w:r>
      <w:proofErr w:type="spellStart"/>
      <w:r w:rsidRPr="0074066D">
        <w:t>doi:https</w:t>
      </w:r>
      <w:proofErr w:type="spellEnd"/>
      <w:r w:rsidRPr="0074066D">
        <w:t>://doi.org/10.1017/ajil.2020.33.</w:t>
      </w:r>
    </w:p>
    <w:p w14:paraId="48ECC70C" w14:textId="77777777" w:rsidR="0074066D" w:rsidRPr="0074066D" w:rsidRDefault="0074066D" w:rsidP="0074066D">
      <w:pPr>
        <w:pStyle w:val="NormalWeb"/>
        <w:spacing w:before="0" w:beforeAutospacing="0" w:after="240" w:afterAutospacing="0" w:line="360" w:lineRule="auto"/>
        <w:jc w:val="both"/>
      </w:pPr>
      <w:proofErr w:type="spellStart"/>
      <w:r w:rsidRPr="0074066D">
        <w:t>Nikkinen</w:t>
      </w:r>
      <w:proofErr w:type="spellEnd"/>
      <w:r w:rsidRPr="0074066D">
        <w:t xml:space="preserve">, J., </w:t>
      </w:r>
      <w:proofErr w:type="spellStart"/>
      <w:r w:rsidRPr="0074066D">
        <w:t>Piljak</w:t>
      </w:r>
      <w:proofErr w:type="spellEnd"/>
      <w:r w:rsidRPr="0074066D">
        <w:t xml:space="preserve">, V. and </w:t>
      </w:r>
      <w:proofErr w:type="spellStart"/>
      <w:r w:rsidRPr="0074066D">
        <w:t>Rothovius</w:t>
      </w:r>
      <w:proofErr w:type="spellEnd"/>
      <w:r w:rsidRPr="0074066D">
        <w:t xml:space="preserve">, T. (2019). Impact of the 2008–2009 financial crisis on the external and internal linkages of European frontier stock markets. </w:t>
      </w:r>
      <w:r w:rsidRPr="0074066D">
        <w:rPr>
          <w:i/>
          <w:iCs/>
        </w:rPr>
        <w:t>Global Finance Journal</w:t>
      </w:r>
      <w:r w:rsidRPr="0074066D">
        <w:t xml:space="preserve">, 39(9), p.100481. </w:t>
      </w:r>
      <w:proofErr w:type="spellStart"/>
      <w:r w:rsidRPr="0074066D">
        <w:t>doi:https</w:t>
      </w:r>
      <w:proofErr w:type="spellEnd"/>
      <w:r w:rsidRPr="0074066D">
        <w:t>://doi.org/10.1016/j.gfj.2019.100481.</w:t>
      </w:r>
    </w:p>
    <w:p w14:paraId="3E9CEF7A" w14:textId="77777777" w:rsidR="0074066D" w:rsidRPr="0074066D" w:rsidRDefault="0074066D" w:rsidP="0074066D">
      <w:pPr>
        <w:pStyle w:val="NormalWeb"/>
        <w:spacing w:before="0" w:beforeAutospacing="0" w:after="240" w:afterAutospacing="0" w:line="360" w:lineRule="auto"/>
        <w:jc w:val="both"/>
      </w:pPr>
      <w:r w:rsidRPr="0074066D">
        <w:t xml:space="preserve">Ravenscroft, S. and Williams, P.F. (2021). Sustaining discreditable accounting research through ignorance: The mainstream elite’s response to the 2008 financial crisis. </w:t>
      </w:r>
      <w:r w:rsidRPr="0074066D">
        <w:rPr>
          <w:i/>
          <w:iCs/>
        </w:rPr>
        <w:t>Accounting, Organizations and Society</w:t>
      </w:r>
      <w:r w:rsidRPr="0074066D">
        <w:t xml:space="preserve">, 95(9), p.101280. </w:t>
      </w:r>
      <w:proofErr w:type="spellStart"/>
      <w:r w:rsidRPr="0074066D">
        <w:t>doi:https</w:t>
      </w:r>
      <w:proofErr w:type="spellEnd"/>
      <w:r w:rsidRPr="0074066D">
        <w:t>://doi.org/10.1016/j.aos.2021.101280.</w:t>
      </w:r>
    </w:p>
    <w:p w14:paraId="259BE62D" w14:textId="77777777" w:rsidR="0074066D" w:rsidRPr="0074066D" w:rsidRDefault="0074066D" w:rsidP="0074066D">
      <w:pPr>
        <w:pStyle w:val="NormalWeb"/>
        <w:spacing w:before="0" w:beforeAutospacing="0" w:after="240" w:afterAutospacing="0" w:line="360" w:lineRule="auto"/>
        <w:jc w:val="both"/>
      </w:pPr>
      <w:proofErr w:type="spellStart"/>
      <w:r w:rsidRPr="0074066D">
        <w:t>Saghir</w:t>
      </w:r>
      <w:proofErr w:type="spellEnd"/>
      <w:r w:rsidRPr="0074066D">
        <w:t xml:space="preserve">, W. (2021). The Online Age: The Shift From Traditional Banking to Online Banking in the UK and Its Effect on Applied Regulations. </w:t>
      </w:r>
      <w:r w:rsidRPr="0074066D">
        <w:rPr>
          <w:i/>
          <w:iCs/>
        </w:rPr>
        <w:t>Financial Law Review</w:t>
      </w:r>
      <w:r w:rsidRPr="0074066D">
        <w:t xml:space="preserve">, 89(23 (3)), pp.63–76. </w:t>
      </w:r>
      <w:proofErr w:type="spellStart"/>
      <w:r w:rsidRPr="0074066D">
        <w:t>doi:https</w:t>
      </w:r>
      <w:proofErr w:type="spellEnd"/>
      <w:r w:rsidRPr="0074066D">
        <w:t>://doi.org/10.4467/22996834flr.21.021.14441.</w:t>
      </w:r>
    </w:p>
    <w:p w14:paraId="68DA116E" w14:textId="77777777" w:rsidR="0074066D" w:rsidRPr="0074066D" w:rsidRDefault="0074066D" w:rsidP="0074066D">
      <w:pPr>
        <w:pStyle w:val="NormalWeb"/>
        <w:spacing w:before="0" w:beforeAutospacing="0" w:after="240" w:afterAutospacing="0" w:line="360" w:lineRule="auto"/>
        <w:jc w:val="both"/>
      </w:pPr>
      <w:proofErr w:type="spellStart"/>
      <w:r w:rsidRPr="0074066D">
        <w:t>Sahasrabuddhe</w:t>
      </w:r>
      <w:proofErr w:type="spellEnd"/>
      <w:r w:rsidRPr="0074066D">
        <w:t xml:space="preserve">, A. (2019). Drawing the line: the politics of federal currency swaps in the global financial crisis. </w:t>
      </w:r>
      <w:r w:rsidRPr="0074066D">
        <w:rPr>
          <w:i/>
          <w:iCs/>
        </w:rPr>
        <w:t>Review of International Political Economy</w:t>
      </w:r>
      <w:r w:rsidRPr="0074066D">
        <w:t xml:space="preserve">, 26(3), pp.461–489. </w:t>
      </w:r>
      <w:proofErr w:type="spellStart"/>
      <w:r w:rsidRPr="0074066D">
        <w:t>doi:https</w:t>
      </w:r>
      <w:proofErr w:type="spellEnd"/>
      <w:r w:rsidRPr="0074066D">
        <w:t>://doi.org/10.1080/09692290.2019.1572639.</w:t>
      </w:r>
    </w:p>
    <w:p w14:paraId="10DB94F0" w14:textId="77777777" w:rsidR="0074066D" w:rsidRPr="0074066D" w:rsidRDefault="0074066D" w:rsidP="0074066D">
      <w:pPr>
        <w:pStyle w:val="NormalWeb"/>
        <w:spacing w:before="0" w:beforeAutospacing="0" w:after="240" w:afterAutospacing="0" w:line="360" w:lineRule="auto"/>
        <w:jc w:val="both"/>
      </w:pPr>
      <w:proofErr w:type="spellStart"/>
      <w:r w:rsidRPr="0074066D">
        <w:t>Tulumello</w:t>
      </w:r>
      <w:proofErr w:type="spellEnd"/>
      <w:r w:rsidRPr="0074066D">
        <w:t xml:space="preserve">, S., </w:t>
      </w:r>
      <w:proofErr w:type="spellStart"/>
      <w:r w:rsidRPr="0074066D">
        <w:t>Cotella</w:t>
      </w:r>
      <w:proofErr w:type="spellEnd"/>
      <w:r w:rsidRPr="0074066D">
        <w:t xml:space="preserve">, G. and </w:t>
      </w:r>
      <w:proofErr w:type="spellStart"/>
      <w:r w:rsidRPr="0074066D">
        <w:t>Othengrafen</w:t>
      </w:r>
      <w:proofErr w:type="spellEnd"/>
      <w:r w:rsidRPr="0074066D">
        <w:t xml:space="preserve">, F. (2019). Spatial planning and territorial governance in Southern Europe between economic crisis and austerity policies. </w:t>
      </w:r>
      <w:r w:rsidRPr="0074066D">
        <w:rPr>
          <w:i/>
          <w:iCs/>
        </w:rPr>
        <w:t>International Planning Studies</w:t>
      </w:r>
      <w:r w:rsidRPr="0074066D">
        <w:t xml:space="preserve">, 25(1), pp.72–87. </w:t>
      </w:r>
      <w:proofErr w:type="spellStart"/>
      <w:r w:rsidRPr="0074066D">
        <w:t>doi:https</w:t>
      </w:r>
      <w:proofErr w:type="spellEnd"/>
      <w:r w:rsidRPr="0074066D">
        <w:t>://doi.org/10.1080/13563475.2019.1701422.</w:t>
      </w:r>
    </w:p>
    <w:p w14:paraId="52ED64D9" w14:textId="77777777" w:rsidR="0074066D" w:rsidRPr="0074066D" w:rsidRDefault="0074066D" w:rsidP="0074066D">
      <w:pPr>
        <w:pStyle w:val="NormalWeb"/>
        <w:spacing w:before="0" w:beforeAutospacing="0" w:after="240" w:afterAutospacing="0" w:line="360" w:lineRule="auto"/>
        <w:jc w:val="both"/>
      </w:pPr>
      <w:r w:rsidRPr="0074066D">
        <w:t xml:space="preserve">van Gent, W. and </w:t>
      </w:r>
      <w:proofErr w:type="spellStart"/>
      <w:r w:rsidRPr="0074066D">
        <w:t>Hochstenbach</w:t>
      </w:r>
      <w:proofErr w:type="spellEnd"/>
      <w:r w:rsidRPr="0074066D">
        <w:t xml:space="preserve">, C. (2019). The neo-liberal politics and socio-spatial implications of Dutch post-crisis social housing policies. </w:t>
      </w:r>
      <w:r w:rsidRPr="0074066D">
        <w:rPr>
          <w:i/>
          <w:iCs/>
        </w:rPr>
        <w:t>International Journal of Housing Policy</w:t>
      </w:r>
      <w:r w:rsidRPr="0074066D">
        <w:t xml:space="preserve">, 35(7), pp.1–17. </w:t>
      </w:r>
      <w:proofErr w:type="spellStart"/>
      <w:r w:rsidRPr="0074066D">
        <w:t>doi:https</w:t>
      </w:r>
      <w:proofErr w:type="spellEnd"/>
      <w:r w:rsidRPr="0074066D">
        <w:t>://doi.org/10.1080/19491247.2019.1682234.</w:t>
      </w:r>
    </w:p>
    <w:p w14:paraId="1F6975E5" w14:textId="51B4541E" w:rsidR="00BA45B0" w:rsidRPr="0074066D" w:rsidRDefault="0074066D" w:rsidP="00637904">
      <w:pPr>
        <w:pStyle w:val="NormalWeb"/>
        <w:spacing w:before="0" w:beforeAutospacing="0" w:after="240" w:afterAutospacing="0" w:line="360" w:lineRule="auto"/>
        <w:jc w:val="both"/>
      </w:pPr>
      <w:r w:rsidRPr="0074066D">
        <w:t xml:space="preserve">Zubair, S., Kabir, R. and Huang, X. (2020). Does the financial crisis change the effect of financing on investment? Evidence from private SMEs. </w:t>
      </w:r>
      <w:r w:rsidRPr="0074066D">
        <w:rPr>
          <w:i/>
          <w:iCs/>
        </w:rPr>
        <w:t>Journal of Business Research</w:t>
      </w:r>
      <w:r w:rsidRPr="0074066D">
        <w:t xml:space="preserve">, [online] 110(7), pp.456–463. </w:t>
      </w:r>
      <w:proofErr w:type="spellStart"/>
      <w:r w:rsidRPr="0074066D">
        <w:t>doi:https</w:t>
      </w:r>
      <w:proofErr w:type="spellEnd"/>
      <w:r w:rsidRPr="0074066D">
        <w:t>://doi.org/10.1016/j.jbusres.2020.01.063.</w:t>
      </w:r>
      <w:bookmarkEnd w:id="5"/>
    </w:p>
    <w:sectPr w:rsidR="00BA45B0" w:rsidRPr="0074066D" w:rsidSect="0074066D">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E84F9" w14:textId="77777777" w:rsidR="00D0185E" w:rsidRDefault="00D0185E" w:rsidP="0074066D">
      <w:pPr>
        <w:spacing w:before="0" w:after="0" w:line="240" w:lineRule="auto"/>
      </w:pPr>
      <w:r>
        <w:separator/>
      </w:r>
    </w:p>
  </w:endnote>
  <w:endnote w:type="continuationSeparator" w:id="0">
    <w:p w14:paraId="40D02278" w14:textId="77777777" w:rsidR="00D0185E" w:rsidRDefault="00D0185E" w:rsidP="0074066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7113880"/>
      <w:docPartObj>
        <w:docPartGallery w:val="Page Numbers (Bottom of Page)"/>
        <w:docPartUnique/>
      </w:docPartObj>
    </w:sdtPr>
    <w:sdtEndPr>
      <w:rPr>
        <w:noProof/>
      </w:rPr>
    </w:sdtEndPr>
    <w:sdtContent>
      <w:p w14:paraId="1B828F8B" w14:textId="77777777" w:rsidR="0074066D" w:rsidRDefault="007406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C97DE4" w14:textId="77777777" w:rsidR="0074066D" w:rsidRDefault="007406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6C5B0" w14:textId="77777777" w:rsidR="00D0185E" w:rsidRDefault="00D0185E" w:rsidP="0074066D">
      <w:pPr>
        <w:spacing w:before="0" w:after="0" w:line="240" w:lineRule="auto"/>
      </w:pPr>
      <w:r>
        <w:separator/>
      </w:r>
    </w:p>
  </w:footnote>
  <w:footnote w:type="continuationSeparator" w:id="0">
    <w:p w14:paraId="1BE98776" w14:textId="77777777" w:rsidR="00D0185E" w:rsidRDefault="00D0185E" w:rsidP="0074066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4339D"/>
    <w:multiLevelType w:val="hybridMultilevel"/>
    <w:tmpl w:val="7FB24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B05736"/>
    <w:multiLevelType w:val="hybridMultilevel"/>
    <w:tmpl w:val="E9784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7112415">
    <w:abstractNumId w:val="1"/>
  </w:num>
  <w:num w:numId="2" w16cid:durableId="1482886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721"/>
    <w:rsid w:val="00010E05"/>
    <w:rsid w:val="000246F8"/>
    <w:rsid w:val="00045A97"/>
    <w:rsid w:val="0004661C"/>
    <w:rsid w:val="000C4721"/>
    <w:rsid w:val="000D0646"/>
    <w:rsid w:val="000D1CE2"/>
    <w:rsid w:val="000E4EF7"/>
    <w:rsid w:val="000E50C5"/>
    <w:rsid w:val="000E6406"/>
    <w:rsid w:val="00124585"/>
    <w:rsid w:val="00135C4A"/>
    <w:rsid w:val="001656AF"/>
    <w:rsid w:val="00174436"/>
    <w:rsid w:val="001766B7"/>
    <w:rsid w:val="001B093C"/>
    <w:rsid w:val="001B3283"/>
    <w:rsid w:val="001B3F22"/>
    <w:rsid w:val="001C0902"/>
    <w:rsid w:val="001C287D"/>
    <w:rsid w:val="001F24D3"/>
    <w:rsid w:val="00205826"/>
    <w:rsid w:val="002205F3"/>
    <w:rsid w:val="002310B7"/>
    <w:rsid w:val="0023493B"/>
    <w:rsid w:val="002415F3"/>
    <w:rsid w:val="00252F55"/>
    <w:rsid w:val="00292AF4"/>
    <w:rsid w:val="00295B98"/>
    <w:rsid w:val="00296949"/>
    <w:rsid w:val="002D6180"/>
    <w:rsid w:val="002F0BAC"/>
    <w:rsid w:val="002F12D6"/>
    <w:rsid w:val="002F267F"/>
    <w:rsid w:val="00303252"/>
    <w:rsid w:val="00323B95"/>
    <w:rsid w:val="00337EEF"/>
    <w:rsid w:val="003500B8"/>
    <w:rsid w:val="00355DF8"/>
    <w:rsid w:val="00365D27"/>
    <w:rsid w:val="003842A7"/>
    <w:rsid w:val="00385C61"/>
    <w:rsid w:val="00397708"/>
    <w:rsid w:val="003A7750"/>
    <w:rsid w:val="003C198C"/>
    <w:rsid w:val="003C41FB"/>
    <w:rsid w:val="003F3BEC"/>
    <w:rsid w:val="003F581C"/>
    <w:rsid w:val="003F62D1"/>
    <w:rsid w:val="00406DAB"/>
    <w:rsid w:val="0043519A"/>
    <w:rsid w:val="004438DD"/>
    <w:rsid w:val="004520D8"/>
    <w:rsid w:val="004653A6"/>
    <w:rsid w:val="004A0967"/>
    <w:rsid w:val="004C2329"/>
    <w:rsid w:val="004C486A"/>
    <w:rsid w:val="00506694"/>
    <w:rsid w:val="005270F8"/>
    <w:rsid w:val="005302B6"/>
    <w:rsid w:val="00531A18"/>
    <w:rsid w:val="005409D0"/>
    <w:rsid w:val="0054587E"/>
    <w:rsid w:val="00585699"/>
    <w:rsid w:val="005C3B82"/>
    <w:rsid w:val="005C5FFE"/>
    <w:rsid w:val="005C60BA"/>
    <w:rsid w:val="005D5F70"/>
    <w:rsid w:val="005F2C15"/>
    <w:rsid w:val="00621B17"/>
    <w:rsid w:val="00637904"/>
    <w:rsid w:val="00656792"/>
    <w:rsid w:val="00660471"/>
    <w:rsid w:val="0069116C"/>
    <w:rsid w:val="006B2D80"/>
    <w:rsid w:val="006B61FB"/>
    <w:rsid w:val="006D22F5"/>
    <w:rsid w:val="006D247B"/>
    <w:rsid w:val="00705542"/>
    <w:rsid w:val="0074066D"/>
    <w:rsid w:val="00757810"/>
    <w:rsid w:val="00784D72"/>
    <w:rsid w:val="00785025"/>
    <w:rsid w:val="007B3A80"/>
    <w:rsid w:val="007B6EA9"/>
    <w:rsid w:val="00810D40"/>
    <w:rsid w:val="00837623"/>
    <w:rsid w:val="008424EF"/>
    <w:rsid w:val="008730C5"/>
    <w:rsid w:val="008819A7"/>
    <w:rsid w:val="008A1B5B"/>
    <w:rsid w:val="008A1C82"/>
    <w:rsid w:val="008C005A"/>
    <w:rsid w:val="00903454"/>
    <w:rsid w:val="00917ED8"/>
    <w:rsid w:val="0093053D"/>
    <w:rsid w:val="00941F2D"/>
    <w:rsid w:val="0098116B"/>
    <w:rsid w:val="00981711"/>
    <w:rsid w:val="009B795C"/>
    <w:rsid w:val="009F23A7"/>
    <w:rsid w:val="00A33D04"/>
    <w:rsid w:val="00A422BC"/>
    <w:rsid w:val="00A60764"/>
    <w:rsid w:val="00A7160E"/>
    <w:rsid w:val="00A9035E"/>
    <w:rsid w:val="00AB1603"/>
    <w:rsid w:val="00AB6820"/>
    <w:rsid w:val="00AE0913"/>
    <w:rsid w:val="00AE2BD0"/>
    <w:rsid w:val="00AF2D5B"/>
    <w:rsid w:val="00AF5F90"/>
    <w:rsid w:val="00B31F5B"/>
    <w:rsid w:val="00B35D72"/>
    <w:rsid w:val="00B37375"/>
    <w:rsid w:val="00B73D5B"/>
    <w:rsid w:val="00B94D2E"/>
    <w:rsid w:val="00BA45B0"/>
    <w:rsid w:val="00BB5ABC"/>
    <w:rsid w:val="00BC3946"/>
    <w:rsid w:val="00BD5EBE"/>
    <w:rsid w:val="00BF2A34"/>
    <w:rsid w:val="00C0063A"/>
    <w:rsid w:val="00C66B38"/>
    <w:rsid w:val="00C80639"/>
    <w:rsid w:val="00C87878"/>
    <w:rsid w:val="00CA26E1"/>
    <w:rsid w:val="00CB24DD"/>
    <w:rsid w:val="00CB3F41"/>
    <w:rsid w:val="00CE3C04"/>
    <w:rsid w:val="00D0185E"/>
    <w:rsid w:val="00D40F4A"/>
    <w:rsid w:val="00D4642B"/>
    <w:rsid w:val="00D75BD0"/>
    <w:rsid w:val="00D91C80"/>
    <w:rsid w:val="00D96951"/>
    <w:rsid w:val="00DC1163"/>
    <w:rsid w:val="00DE21B5"/>
    <w:rsid w:val="00DF7110"/>
    <w:rsid w:val="00E21177"/>
    <w:rsid w:val="00E37F77"/>
    <w:rsid w:val="00E525FF"/>
    <w:rsid w:val="00E6241A"/>
    <w:rsid w:val="00E87E70"/>
    <w:rsid w:val="00EE1662"/>
    <w:rsid w:val="00F121F7"/>
    <w:rsid w:val="00F201CF"/>
    <w:rsid w:val="00FA5EE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31C44"/>
  <w15:chartTrackingRefBased/>
  <w15:docId w15:val="{B7ECD1F5-87FA-4200-9DCB-0B0AA5320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b/>
        <w:kern w:val="2"/>
        <w:sz w:val="24"/>
        <w:szCs w:val="22"/>
        <w:lang w:val="en-IN" w:eastAsia="en-US" w:bidi="ar-SA"/>
        <w14:ligatures w14:val="standardContextual"/>
      </w:rPr>
    </w:rPrDefault>
    <w:pPrDefault>
      <w:pPr>
        <w:spacing w:before="100" w:beforeAutospacing="1" w:after="100" w:afterAutospacing="1"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5C4A"/>
    <w:rPr>
      <w:b w:val="0"/>
      <w:lang w:val="en-GB"/>
    </w:rPr>
  </w:style>
  <w:style w:type="paragraph" w:styleId="Heading1">
    <w:name w:val="heading 1"/>
    <w:basedOn w:val="Normal"/>
    <w:next w:val="Normal"/>
    <w:link w:val="Heading1Char"/>
    <w:uiPriority w:val="9"/>
    <w:qFormat/>
    <w:rsid w:val="00AE2BD0"/>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0246F8"/>
    <w:pPr>
      <w:keepNext/>
      <w:keepLines/>
      <w:spacing w:before="40" w:line="240" w:lineRule="auto"/>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FA5EE9"/>
    <w:pPr>
      <w:keepNext/>
      <w:keepLines/>
      <w:spacing w:before="40"/>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2BD0"/>
    <w:rPr>
      <w:rFonts w:eastAsiaTheme="majorEastAsia" w:cstheme="majorBidi"/>
      <w:sz w:val="28"/>
      <w:szCs w:val="32"/>
    </w:rPr>
  </w:style>
  <w:style w:type="character" w:customStyle="1" w:styleId="Heading2Char">
    <w:name w:val="Heading 2 Char"/>
    <w:basedOn w:val="DefaultParagraphFont"/>
    <w:link w:val="Heading2"/>
    <w:uiPriority w:val="9"/>
    <w:rsid w:val="000246F8"/>
    <w:rPr>
      <w:rFonts w:eastAsiaTheme="majorEastAsia" w:cstheme="majorBidi"/>
      <w:sz w:val="26"/>
      <w:szCs w:val="26"/>
    </w:rPr>
  </w:style>
  <w:style w:type="paragraph" w:styleId="Title">
    <w:name w:val="Title"/>
    <w:basedOn w:val="Normal"/>
    <w:next w:val="Normal"/>
    <w:link w:val="TitleChar"/>
    <w:uiPriority w:val="10"/>
    <w:qFormat/>
    <w:rsid w:val="008C005A"/>
    <w:pPr>
      <w:contextualSpacing/>
    </w:pPr>
    <w:rPr>
      <w:rFonts w:eastAsiaTheme="majorEastAsia" w:cstheme="majorBidi"/>
      <w:spacing w:val="-10"/>
      <w:kern w:val="28"/>
      <w:sz w:val="40"/>
      <w:szCs w:val="56"/>
    </w:rPr>
  </w:style>
  <w:style w:type="character" w:customStyle="1" w:styleId="TitleChar">
    <w:name w:val="Title Char"/>
    <w:basedOn w:val="DefaultParagraphFont"/>
    <w:link w:val="Title"/>
    <w:uiPriority w:val="10"/>
    <w:rsid w:val="008C005A"/>
    <w:rPr>
      <w:rFonts w:ascii="Times New Roman" w:eastAsiaTheme="majorEastAsia" w:hAnsi="Times New Roman" w:cstheme="majorBidi"/>
      <w:spacing w:val="-10"/>
      <w:kern w:val="28"/>
      <w:sz w:val="40"/>
      <w:szCs w:val="56"/>
    </w:rPr>
  </w:style>
  <w:style w:type="character" w:customStyle="1" w:styleId="Heading3Char">
    <w:name w:val="Heading 3 Char"/>
    <w:basedOn w:val="DefaultParagraphFont"/>
    <w:link w:val="Heading3"/>
    <w:uiPriority w:val="9"/>
    <w:rsid w:val="00FA5EE9"/>
    <w:rPr>
      <w:rFonts w:eastAsiaTheme="majorEastAsia" w:cstheme="majorBidi"/>
      <w:szCs w:val="24"/>
    </w:rPr>
  </w:style>
  <w:style w:type="paragraph" w:styleId="TOCHeading">
    <w:name w:val="TOC Heading"/>
    <w:basedOn w:val="Heading1"/>
    <w:next w:val="Normal"/>
    <w:uiPriority w:val="39"/>
    <w:unhideWhenUsed/>
    <w:qFormat/>
    <w:rsid w:val="0074066D"/>
    <w:pPr>
      <w:spacing w:beforeAutospacing="0" w:after="0" w:afterAutospacing="0" w:line="259" w:lineRule="auto"/>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74066D"/>
  </w:style>
  <w:style w:type="paragraph" w:styleId="TOC2">
    <w:name w:val="toc 2"/>
    <w:basedOn w:val="Normal"/>
    <w:next w:val="Normal"/>
    <w:autoRedefine/>
    <w:uiPriority w:val="39"/>
    <w:unhideWhenUsed/>
    <w:rsid w:val="0074066D"/>
    <w:pPr>
      <w:ind w:left="240"/>
    </w:pPr>
  </w:style>
  <w:style w:type="character" w:styleId="Hyperlink">
    <w:name w:val="Hyperlink"/>
    <w:basedOn w:val="DefaultParagraphFont"/>
    <w:uiPriority w:val="99"/>
    <w:unhideWhenUsed/>
    <w:rsid w:val="0074066D"/>
    <w:rPr>
      <w:color w:val="0563C1" w:themeColor="hyperlink"/>
      <w:u w:val="single"/>
    </w:rPr>
  </w:style>
  <w:style w:type="paragraph" w:styleId="NormalWeb">
    <w:name w:val="Normal (Web)"/>
    <w:basedOn w:val="Normal"/>
    <w:uiPriority w:val="99"/>
    <w:unhideWhenUsed/>
    <w:rsid w:val="0074066D"/>
    <w:pPr>
      <w:spacing w:line="240" w:lineRule="auto"/>
    </w:pPr>
    <w:rPr>
      <w:rFonts w:eastAsia="Times New Roman" w:cs="Times New Roman"/>
      <w:kern w:val="0"/>
      <w:szCs w:val="24"/>
      <w:lang w:val="en-IN" w:eastAsia="en-IN"/>
      <w14:ligatures w14:val="none"/>
    </w:rPr>
  </w:style>
  <w:style w:type="paragraph" w:styleId="Header">
    <w:name w:val="header"/>
    <w:basedOn w:val="Normal"/>
    <w:link w:val="HeaderChar"/>
    <w:uiPriority w:val="99"/>
    <w:unhideWhenUsed/>
    <w:rsid w:val="0074066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4066D"/>
    <w:rPr>
      <w:b w:val="0"/>
      <w:lang w:val="en-GB"/>
    </w:rPr>
  </w:style>
  <w:style w:type="paragraph" w:styleId="Footer">
    <w:name w:val="footer"/>
    <w:basedOn w:val="Normal"/>
    <w:link w:val="FooterChar"/>
    <w:uiPriority w:val="99"/>
    <w:unhideWhenUsed/>
    <w:rsid w:val="0074066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4066D"/>
    <w:rPr>
      <w:b w:val="0"/>
      <w:lang w:val="en-GB"/>
    </w:rPr>
  </w:style>
  <w:style w:type="paragraph" w:styleId="ListParagraph">
    <w:name w:val="List Paragraph"/>
    <w:basedOn w:val="Normal"/>
    <w:uiPriority w:val="34"/>
    <w:qFormat/>
    <w:rsid w:val="00355D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6694594">
      <w:bodyDiv w:val="1"/>
      <w:marLeft w:val="0"/>
      <w:marRight w:val="0"/>
      <w:marTop w:val="0"/>
      <w:marBottom w:val="0"/>
      <w:divBdr>
        <w:top w:val="none" w:sz="0" w:space="0" w:color="auto"/>
        <w:left w:val="none" w:sz="0" w:space="0" w:color="auto"/>
        <w:bottom w:val="none" w:sz="0" w:space="0" w:color="auto"/>
        <w:right w:val="none" w:sz="0" w:space="0" w:color="auto"/>
      </w:divBdr>
      <w:divsChild>
        <w:div w:id="2509662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32C5F-0209-45E0-8954-BB81FF8CA26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5243</Words>
  <Characters>29887</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Shruti Gupta</dc:creator>
  <cp:keywords/>
  <dc:description/>
  <cp:lastModifiedBy>Abdul rahim Mohammed</cp:lastModifiedBy>
  <cp:revision>5</cp:revision>
  <dcterms:created xsi:type="dcterms:W3CDTF">2023-05-03T08:15:00Z</dcterms:created>
  <dcterms:modified xsi:type="dcterms:W3CDTF">2023-05-03T08:20:00Z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667a168f-5697-4275-a945-e72a592874a1</vt:lpwstr>
  </property>
</Properties>
</file>