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FE749" w14:textId="77777777" w:rsidR="00683049" w:rsidRPr="002A546A" w:rsidRDefault="00683049">
      <w:pPr>
        <w:rPr>
          <w:b/>
          <w:bCs/>
          <w:sz w:val="28"/>
          <w:szCs w:val="28"/>
          <w:u w:val="single"/>
          <w:lang w:val="en-US"/>
        </w:rPr>
      </w:pPr>
    </w:p>
    <w:p w14:paraId="62A87066" w14:textId="36B2E84D" w:rsidR="00716C08" w:rsidRPr="00090461" w:rsidRDefault="00716C08" w:rsidP="00716C08">
      <w:pPr>
        <w:jc w:val="center"/>
        <w:rPr>
          <w:rFonts w:asciiTheme="majorHAnsi" w:hAnsiTheme="majorHAnsi" w:cstheme="majorHAnsi"/>
          <w:b/>
          <w:bCs/>
          <w:sz w:val="32"/>
          <w:szCs w:val="32"/>
          <w:u w:val="single"/>
          <w:lang w:val="en-US"/>
        </w:rPr>
      </w:pPr>
      <w:r w:rsidRPr="00090461">
        <w:rPr>
          <w:rFonts w:asciiTheme="majorHAnsi" w:hAnsiTheme="majorHAnsi" w:cstheme="majorHAnsi"/>
          <w:b/>
          <w:bCs/>
          <w:noProof/>
          <w:sz w:val="32"/>
          <w:szCs w:val="32"/>
          <w:u w:val="single"/>
        </w:rPr>
        <w:drawing>
          <wp:anchor distT="0" distB="0" distL="114300" distR="114300" simplePos="0" relativeHeight="251659264" behindDoc="0" locked="0" layoutInCell="1" allowOverlap="1" wp14:anchorId="03496285" wp14:editId="22EA37D9">
            <wp:simplePos x="0" y="0"/>
            <wp:positionH relativeFrom="margin">
              <wp:align>center</wp:align>
            </wp:positionH>
            <wp:positionV relativeFrom="paragraph">
              <wp:posOffset>793115</wp:posOffset>
            </wp:positionV>
            <wp:extent cx="4368800" cy="4368800"/>
            <wp:effectExtent l="0" t="0" r="0" b="0"/>
            <wp:wrapSquare wrapText="bothSides"/>
            <wp:docPr id="62395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95537" name=""/>
                    <pic:cNvPicPr/>
                  </pic:nvPicPr>
                  <pic:blipFill rotWithShape="1">
                    <a:blip r:embed="rId10"/>
                    <a:srcRect l="30047" t="12290" r="30201" b="17038"/>
                    <a:stretch>
                      <a:fillRect/>
                    </a:stretch>
                  </pic:blipFill>
                  <pic:spPr bwMode="auto">
                    <a:xfrm>
                      <a:off x="0" y="0"/>
                      <a:ext cx="4368800" cy="436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0461">
        <w:rPr>
          <w:rFonts w:asciiTheme="majorHAnsi" w:hAnsiTheme="majorHAnsi" w:cstheme="majorHAnsi"/>
          <w:b/>
          <w:bCs/>
          <w:sz w:val="32"/>
          <w:szCs w:val="32"/>
          <w:u w:val="single"/>
          <w:lang w:val="en-US"/>
        </w:rPr>
        <w:t>Leadership skills in entrepreneurship</w:t>
      </w:r>
    </w:p>
    <w:p w14:paraId="05C02B80" w14:textId="77777777" w:rsidR="00716C08" w:rsidRDefault="00716C08" w:rsidP="00716C08">
      <w:pPr>
        <w:jc w:val="center"/>
        <w:rPr>
          <w:rFonts w:ascii="Arial" w:hAnsi="Arial" w:cs="Arial"/>
          <w:sz w:val="30"/>
          <w:szCs w:val="30"/>
          <w:lang w:val="en-US"/>
        </w:rPr>
      </w:pPr>
    </w:p>
    <w:p w14:paraId="2C65CA9F" w14:textId="77777777" w:rsidR="00716C08" w:rsidRDefault="00716C08" w:rsidP="00716C08">
      <w:pPr>
        <w:jc w:val="center"/>
        <w:rPr>
          <w:rFonts w:ascii="Arial" w:hAnsi="Arial" w:cs="Arial"/>
          <w:sz w:val="30"/>
          <w:szCs w:val="30"/>
          <w:lang w:val="en-US"/>
        </w:rPr>
      </w:pPr>
    </w:p>
    <w:p w14:paraId="1C726F53" w14:textId="77777777" w:rsidR="00716C08" w:rsidRDefault="00716C08" w:rsidP="00716C08">
      <w:pPr>
        <w:jc w:val="center"/>
        <w:rPr>
          <w:rFonts w:ascii="Arial" w:hAnsi="Arial" w:cs="Arial"/>
          <w:sz w:val="30"/>
          <w:szCs w:val="30"/>
          <w:lang w:val="en-US"/>
        </w:rPr>
      </w:pPr>
    </w:p>
    <w:p w14:paraId="53BA53D6" w14:textId="77777777" w:rsidR="00716C08" w:rsidRDefault="00716C08" w:rsidP="00716C08">
      <w:pPr>
        <w:jc w:val="center"/>
        <w:rPr>
          <w:rFonts w:ascii="Arial" w:hAnsi="Arial" w:cs="Arial"/>
          <w:sz w:val="30"/>
          <w:szCs w:val="30"/>
          <w:lang w:val="en-US"/>
        </w:rPr>
      </w:pPr>
    </w:p>
    <w:p w14:paraId="6194D105" w14:textId="77777777" w:rsidR="00716C08" w:rsidRDefault="00716C08" w:rsidP="00716C08">
      <w:pPr>
        <w:jc w:val="center"/>
        <w:rPr>
          <w:rFonts w:ascii="Arial" w:hAnsi="Arial" w:cs="Arial"/>
          <w:sz w:val="30"/>
          <w:szCs w:val="30"/>
          <w:lang w:val="en-US"/>
        </w:rPr>
      </w:pPr>
    </w:p>
    <w:p w14:paraId="615E90C4" w14:textId="77777777" w:rsidR="00716C08" w:rsidRDefault="00716C08" w:rsidP="00716C08">
      <w:pPr>
        <w:jc w:val="center"/>
        <w:rPr>
          <w:rFonts w:ascii="Arial" w:hAnsi="Arial" w:cs="Arial"/>
          <w:sz w:val="30"/>
          <w:szCs w:val="30"/>
          <w:lang w:val="en-US"/>
        </w:rPr>
      </w:pPr>
    </w:p>
    <w:p w14:paraId="75EDC8AD" w14:textId="77777777" w:rsidR="00716C08" w:rsidRDefault="00716C08" w:rsidP="00716C08">
      <w:pPr>
        <w:jc w:val="center"/>
        <w:rPr>
          <w:rFonts w:ascii="Arial" w:hAnsi="Arial" w:cs="Arial"/>
          <w:sz w:val="30"/>
          <w:szCs w:val="30"/>
          <w:lang w:val="en-US"/>
        </w:rPr>
      </w:pPr>
    </w:p>
    <w:p w14:paraId="1A9B7268" w14:textId="77777777" w:rsidR="00716C08" w:rsidRDefault="00716C08" w:rsidP="00716C08">
      <w:pPr>
        <w:jc w:val="center"/>
        <w:rPr>
          <w:rFonts w:ascii="Arial" w:hAnsi="Arial" w:cs="Arial"/>
          <w:sz w:val="30"/>
          <w:szCs w:val="30"/>
          <w:lang w:val="en-US"/>
        </w:rPr>
      </w:pPr>
    </w:p>
    <w:p w14:paraId="5BE86277" w14:textId="77777777" w:rsidR="00716C08" w:rsidRDefault="00716C08" w:rsidP="00716C08">
      <w:pPr>
        <w:jc w:val="center"/>
        <w:rPr>
          <w:rFonts w:ascii="Arial" w:hAnsi="Arial" w:cs="Arial"/>
          <w:sz w:val="30"/>
          <w:szCs w:val="30"/>
          <w:lang w:val="en-US"/>
        </w:rPr>
      </w:pPr>
    </w:p>
    <w:p w14:paraId="5FB832C3" w14:textId="77777777" w:rsidR="00716C08" w:rsidRDefault="00716C08" w:rsidP="00716C08">
      <w:pPr>
        <w:jc w:val="center"/>
        <w:rPr>
          <w:rFonts w:ascii="Arial" w:hAnsi="Arial" w:cs="Arial"/>
          <w:sz w:val="30"/>
          <w:szCs w:val="30"/>
          <w:lang w:val="en-US"/>
        </w:rPr>
      </w:pPr>
    </w:p>
    <w:p w14:paraId="2F0B7E30" w14:textId="77777777" w:rsidR="00716C08" w:rsidRDefault="00716C08" w:rsidP="00716C08">
      <w:pPr>
        <w:jc w:val="center"/>
        <w:rPr>
          <w:rFonts w:ascii="Arial" w:hAnsi="Arial" w:cs="Arial"/>
          <w:sz w:val="30"/>
          <w:szCs w:val="30"/>
          <w:lang w:val="en-US"/>
        </w:rPr>
      </w:pPr>
    </w:p>
    <w:p w14:paraId="585B2A7B" w14:textId="77777777" w:rsidR="00716C08" w:rsidRDefault="00716C08" w:rsidP="00716C08">
      <w:pPr>
        <w:jc w:val="center"/>
        <w:rPr>
          <w:rFonts w:ascii="Arial" w:hAnsi="Arial" w:cs="Arial"/>
          <w:sz w:val="30"/>
          <w:szCs w:val="30"/>
          <w:lang w:val="en-US"/>
        </w:rPr>
      </w:pPr>
    </w:p>
    <w:p w14:paraId="217E5D6B" w14:textId="77777777" w:rsidR="00716C08" w:rsidRDefault="00716C08" w:rsidP="00716C08">
      <w:pPr>
        <w:jc w:val="center"/>
        <w:rPr>
          <w:rFonts w:ascii="Arial" w:hAnsi="Arial" w:cs="Arial"/>
          <w:sz w:val="30"/>
          <w:szCs w:val="30"/>
          <w:lang w:val="en-US"/>
        </w:rPr>
      </w:pPr>
    </w:p>
    <w:p w14:paraId="342FA389" w14:textId="77777777" w:rsidR="00716C08" w:rsidRDefault="00716C08" w:rsidP="00716C08">
      <w:pPr>
        <w:jc w:val="center"/>
        <w:rPr>
          <w:rFonts w:ascii="Arial" w:hAnsi="Arial" w:cs="Arial"/>
          <w:sz w:val="30"/>
          <w:szCs w:val="30"/>
          <w:lang w:val="en-US"/>
        </w:rPr>
      </w:pPr>
    </w:p>
    <w:p w14:paraId="4021A518" w14:textId="77777777" w:rsidR="00716C08" w:rsidRDefault="00716C08" w:rsidP="00716C08">
      <w:pPr>
        <w:rPr>
          <w:rFonts w:ascii="Arial" w:hAnsi="Arial" w:cs="Arial"/>
          <w:lang w:val="en-US"/>
        </w:rPr>
      </w:pPr>
    </w:p>
    <w:p w14:paraId="3BF60B20" w14:textId="77777777" w:rsidR="00A67FCD" w:rsidRDefault="00A67FCD" w:rsidP="00716C08">
      <w:pPr>
        <w:rPr>
          <w:rFonts w:ascii="Arial" w:hAnsi="Arial" w:cs="Arial"/>
          <w:lang w:val="en-US"/>
        </w:rPr>
      </w:pPr>
    </w:p>
    <w:p w14:paraId="7AC12406" w14:textId="77777777" w:rsidR="00A67FCD" w:rsidRDefault="00A67FCD" w:rsidP="00716C08">
      <w:pPr>
        <w:rPr>
          <w:rFonts w:ascii="Arial" w:hAnsi="Arial" w:cs="Arial"/>
          <w:lang w:val="en-US"/>
        </w:rPr>
      </w:pPr>
    </w:p>
    <w:p w14:paraId="69E966F3" w14:textId="528FD19D" w:rsidR="00A67FCD" w:rsidRDefault="00A67FCD" w:rsidP="00716C08">
      <w:pPr>
        <w:rPr>
          <w:rFonts w:ascii="Arial" w:hAnsi="Arial" w:cs="Arial"/>
          <w:lang w:val="en-US"/>
        </w:rPr>
      </w:pPr>
    </w:p>
    <w:p w14:paraId="4FA63BF9" w14:textId="77777777" w:rsidR="00A67FCD" w:rsidRPr="00A67FCD" w:rsidRDefault="00A67FCD" w:rsidP="00716C08">
      <w:pPr>
        <w:rPr>
          <w:rFonts w:ascii="Arial" w:hAnsi="Arial" w:cs="Arial"/>
          <w:lang w:val="en-US"/>
        </w:rPr>
      </w:pPr>
    </w:p>
    <w:p w14:paraId="2A8B95EB" w14:textId="77777777" w:rsidR="00716C08" w:rsidRDefault="00716C08" w:rsidP="00716C08">
      <w:pPr>
        <w:rPr>
          <w:rFonts w:ascii="Arial" w:hAnsi="Arial" w:cs="Arial"/>
          <w:sz w:val="30"/>
          <w:szCs w:val="30"/>
          <w:lang w:val="en-US"/>
        </w:rPr>
      </w:pPr>
    </w:p>
    <w:p w14:paraId="3D931453" w14:textId="77777777" w:rsidR="00716C08" w:rsidRDefault="00716C08" w:rsidP="00716C08">
      <w:pPr>
        <w:rPr>
          <w:rFonts w:ascii="Arial" w:hAnsi="Arial" w:cs="Arial"/>
          <w:sz w:val="30"/>
          <w:szCs w:val="30"/>
          <w:lang w:val="en-US"/>
        </w:rPr>
      </w:pPr>
    </w:p>
    <w:p w14:paraId="0D96E509" w14:textId="77777777" w:rsidR="00716C08" w:rsidRDefault="00716C08" w:rsidP="00716C08">
      <w:pPr>
        <w:rPr>
          <w:rFonts w:ascii="Arial" w:hAnsi="Arial" w:cs="Arial"/>
          <w:sz w:val="30"/>
          <w:szCs w:val="30"/>
          <w:lang w:val="en-US"/>
        </w:rPr>
      </w:pPr>
    </w:p>
    <w:p w14:paraId="74B301BE" w14:textId="77777777" w:rsidR="00716C08" w:rsidRDefault="00716C08" w:rsidP="00716C08">
      <w:pPr>
        <w:rPr>
          <w:rFonts w:ascii="Arial" w:hAnsi="Arial" w:cs="Arial"/>
          <w:sz w:val="30"/>
          <w:szCs w:val="30"/>
          <w:lang w:val="en-US"/>
        </w:rPr>
      </w:pPr>
    </w:p>
    <w:p w14:paraId="273A4E45" w14:textId="77777777" w:rsidR="00716C08" w:rsidRDefault="00716C08" w:rsidP="00716C08">
      <w:pPr>
        <w:rPr>
          <w:rFonts w:ascii="Arial" w:hAnsi="Arial" w:cs="Arial"/>
          <w:sz w:val="30"/>
          <w:szCs w:val="30"/>
          <w:lang w:val="en-US"/>
        </w:rPr>
      </w:pPr>
    </w:p>
    <w:p w14:paraId="11B13F7F" w14:textId="77777777" w:rsidR="002A546A" w:rsidRDefault="002A546A" w:rsidP="00475FBF">
      <w:pPr>
        <w:rPr>
          <w:rFonts w:cstheme="minorHAnsi"/>
          <w:sz w:val="30"/>
          <w:szCs w:val="30"/>
          <w:lang w:val="en-US"/>
        </w:rPr>
      </w:pPr>
    </w:p>
    <w:p w14:paraId="6E305246" w14:textId="0D7176D5" w:rsidR="00716C08" w:rsidRPr="00000E55" w:rsidRDefault="00716C08" w:rsidP="00000E55">
      <w:pPr>
        <w:jc w:val="center"/>
        <w:rPr>
          <w:rFonts w:cstheme="minorHAnsi"/>
          <w:sz w:val="28"/>
          <w:szCs w:val="28"/>
          <w:u w:val="single"/>
          <w:lang w:val="en-US"/>
        </w:rPr>
      </w:pPr>
      <w:r w:rsidRPr="00475FBF">
        <w:rPr>
          <w:rFonts w:cstheme="minorHAnsi"/>
          <w:sz w:val="28"/>
          <w:szCs w:val="28"/>
          <w:u w:val="single"/>
          <w:lang w:val="en-US"/>
        </w:rPr>
        <w:lastRenderedPageBreak/>
        <w:t>Table of contents</w:t>
      </w:r>
    </w:p>
    <w:p w14:paraId="18BCFA97" w14:textId="168A8369" w:rsidR="00716C08" w:rsidRPr="00475FBF" w:rsidRDefault="00475FBF" w:rsidP="00475FBF">
      <w:pPr>
        <w:pStyle w:val="ListParagraph"/>
        <w:numPr>
          <w:ilvl w:val="0"/>
          <w:numId w:val="6"/>
        </w:numPr>
        <w:spacing w:line="480" w:lineRule="auto"/>
        <w:rPr>
          <w:rFonts w:cstheme="minorHAnsi"/>
          <w:sz w:val="24"/>
          <w:szCs w:val="24"/>
          <w:lang w:val="en-US"/>
        </w:rPr>
      </w:pPr>
      <w:r w:rsidRPr="00475FBF">
        <w:rPr>
          <w:rFonts w:cstheme="minorHAnsi"/>
          <w:sz w:val="24"/>
          <w:szCs w:val="24"/>
          <w:lang w:val="en-US"/>
        </w:rPr>
        <w:t>Part A – Business Overview</w:t>
      </w:r>
    </w:p>
    <w:p w14:paraId="5EAD1BF8" w14:textId="34E66374"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Introduction to the Concept</w:t>
      </w:r>
    </w:p>
    <w:p w14:paraId="59372DD6" w14:textId="5FB010C2"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Rationale and Innovation</w:t>
      </w:r>
    </w:p>
    <w:p w14:paraId="4364B330" w14:textId="7811D20A"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Links to Early Childhood Development</w:t>
      </w:r>
    </w:p>
    <w:p w14:paraId="33725B8F" w14:textId="5C281FB0"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Target Audience and Stakeholders</w:t>
      </w:r>
    </w:p>
    <w:p w14:paraId="6A799F77" w14:textId="1EE7077C"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Session Structure and Delivery</w:t>
      </w:r>
    </w:p>
    <w:p w14:paraId="2AABA017" w14:textId="0093C295"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Operational Requirements</w:t>
      </w:r>
    </w:p>
    <w:p w14:paraId="7030BF7B" w14:textId="2145653A" w:rsid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Financial Overview</w:t>
      </w:r>
    </w:p>
    <w:p w14:paraId="2D51424C" w14:textId="43191A5C" w:rsidR="00335070" w:rsidRDefault="00BF578A" w:rsidP="00475FBF">
      <w:pPr>
        <w:pStyle w:val="ListParagraph"/>
        <w:numPr>
          <w:ilvl w:val="1"/>
          <w:numId w:val="6"/>
        </w:numPr>
        <w:spacing w:line="480" w:lineRule="auto"/>
        <w:rPr>
          <w:rFonts w:cstheme="minorHAnsi"/>
          <w:sz w:val="24"/>
          <w:szCs w:val="24"/>
          <w:lang w:val="en-US"/>
        </w:rPr>
      </w:pPr>
      <w:r>
        <w:rPr>
          <w:rFonts w:cstheme="minorHAnsi"/>
          <w:sz w:val="24"/>
          <w:szCs w:val="24"/>
          <w:lang w:val="en-US"/>
        </w:rPr>
        <w:t>Strategic</w:t>
      </w:r>
      <w:r w:rsidR="000E16F9">
        <w:rPr>
          <w:rFonts w:cstheme="minorHAnsi"/>
          <w:sz w:val="24"/>
          <w:szCs w:val="24"/>
          <w:lang w:val="en-US"/>
        </w:rPr>
        <w:t xml:space="preserve"> Analysis: SWOT Framework</w:t>
      </w:r>
    </w:p>
    <w:p w14:paraId="044DC37B" w14:textId="47D6F906" w:rsidR="00BF578A" w:rsidRPr="00475FBF" w:rsidRDefault="00000E55" w:rsidP="00475FBF">
      <w:pPr>
        <w:pStyle w:val="ListParagraph"/>
        <w:numPr>
          <w:ilvl w:val="1"/>
          <w:numId w:val="6"/>
        </w:numPr>
        <w:spacing w:line="480" w:lineRule="auto"/>
        <w:rPr>
          <w:rFonts w:cstheme="minorHAnsi"/>
          <w:sz w:val="24"/>
          <w:szCs w:val="24"/>
          <w:lang w:val="en-US"/>
        </w:rPr>
      </w:pPr>
      <w:r>
        <w:rPr>
          <w:rFonts w:cstheme="minorHAnsi"/>
          <w:sz w:val="24"/>
          <w:szCs w:val="24"/>
          <w:lang w:val="en-US"/>
        </w:rPr>
        <w:t>External Environment Analysis: PESTLE</w:t>
      </w:r>
    </w:p>
    <w:p w14:paraId="58924214" w14:textId="69D99CD9"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Benefits and Potential Challenges</w:t>
      </w:r>
    </w:p>
    <w:p w14:paraId="7A2B62C1" w14:textId="1DB54AE2"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Professional Suitability</w:t>
      </w:r>
    </w:p>
    <w:p w14:paraId="4A892405" w14:textId="668AE95D"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 xml:space="preserve">Summary </w:t>
      </w:r>
    </w:p>
    <w:p w14:paraId="57C5AB09" w14:textId="0E3021EC" w:rsidR="00475FBF" w:rsidRPr="00475FBF" w:rsidRDefault="00475FBF" w:rsidP="00475FBF">
      <w:pPr>
        <w:pStyle w:val="ListParagraph"/>
        <w:numPr>
          <w:ilvl w:val="0"/>
          <w:numId w:val="6"/>
        </w:numPr>
        <w:spacing w:line="480" w:lineRule="auto"/>
        <w:rPr>
          <w:rFonts w:cstheme="minorHAnsi"/>
          <w:sz w:val="24"/>
          <w:szCs w:val="24"/>
          <w:lang w:val="en-US"/>
        </w:rPr>
      </w:pPr>
      <w:r w:rsidRPr="00475FBF">
        <w:rPr>
          <w:rFonts w:cstheme="minorHAnsi"/>
          <w:sz w:val="24"/>
          <w:szCs w:val="24"/>
          <w:lang w:val="en-US"/>
        </w:rPr>
        <w:t>Part B – Critical Analysis</w:t>
      </w:r>
    </w:p>
    <w:p w14:paraId="6B2C28C9" w14:textId="0F24BB03"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Introduction</w:t>
      </w:r>
    </w:p>
    <w:p w14:paraId="213721DD" w14:textId="4A0E4A32"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Impact on Cognitive Development</w:t>
      </w:r>
    </w:p>
    <w:p w14:paraId="6ABAAE51" w14:textId="05AEA404"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Social and Emotional Development</w:t>
      </w:r>
    </w:p>
    <w:p w14:paraId="29F00296" w14:textId="63DEFC9C"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Inclusion and the Social Model</w:t>
      </w:r>
    </w:p>
    <w:p w14:paraId="67B48DDC" w14:textId="1036B7DA"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Comparison with Existing Provision</w:t>
      </w:r>
    </w:p>
    <w:p w14:paraId="5EC6373E" w14:textId="086E9898"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Ethical and Socioeconomic Considerations</w:t>
      </w:r>
    </w:p>
    <w:p w14:paraId="668ABB79" w14:textId="0277C442"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Limitations and Future Development</w:t>
      </w:r>
    </w:p>
    <w:p w14:paraId="629148CC" w14:textId="420B87B3" w:rsidR="00475FBF" w:rsidRPr="00475FBF" w:rsidRDefault="00475FBF" w:rsidP="00475FBF">
      <w:pPr>
        <w:pStyle w:val="ListParagraph"/>
        <w:numPr>
          <w:ilvl w:val="1"/>
          <w:numId w:val="6"/>
        </w:numPr>
        <w:spacing w:line="480" w:lineRule="auto"/>
        <w:rPr>
          <w:rFonts w:cstheme="minorHAnsi"/>
          <w:sz w:val="24"/>
          <w:szCs w:val="24"/>
          <w:lang w:val="en-US"/>
        </w:rPr>
      </w:pPr>
      <w:r w:rsidRPr="00475FBF">
        <w:rPr>
          <w:rFonts w:cstheme="minorHAnsi"/>
          <w:sz w:val="24"/>
          <w:szCs w:val="24"/>
          <w:lang w:val="en-US"/>
        </w:rPr>
        <w:t>Conclusion</w:t>
      </w:r>
    </w:p>
    <w:p w14:paraId="77FF4423" w14:textId="4E80CFDF" w:rsidR="004D29EE" w:rsidRPr="00000E55" w:rsidRDefault="00475FBF" w:rsidP="004D29EE">
      <w:pPr>
        <w:pStyle w:val="ListParagraph"/>
        <w:numPr>
          <w:ilvl w:val="0"/>
          <w:numId w:val="6"/>
        </w:numPr>
        <w:spacing w:line="480" w:lineRule="auto"/>
        <w:rPr>
          <w:rFonts w:cstheme="minorHAnsi"/>
          <w:sz w:val="24"/>
          <w:szCs w:val="24"/>
          <w:lang w:val="en-US"/>
        </w:rPr>
      </w:pPr>
      <w:r w:rsidRPr="00475FBF">
        <w:rPr>
          <w:rFonts w:cstheme="minorHAnsi"/>
          <w:sz w:val="24"/>
          <w:szCs w:val="24"/>
          <w:lang w:val="en-US"/>
        </w:rPr>
        <w:t xml:space="preserve">References </w:t>
      </w:r>
    </w:p>
    <w:p w14:paraId="553F2C0A" w14:textId="3D66CE36" w:rsidR="00475FBF" w:rsidRPr="00E120EF" w:rsidRDefault="00475FBF" w:rsidP="00DA2139">
      <w:pPr>
        <w:spacing w:after="0" w:line="480" w:lineRule="auto"/>
        <w:rPr>
          <w:rFonts w:cstheme="minorHAnsi"/>
        </w:rPr>
      </w:pPr>
      <w:r w:rsidRPr="00E120EF">
        <w:rPr>
          <w:rFonts w:cstheme="minorHAnsi"/>
          <w:b/>
          <w:bCs/>
        </w:rPr>
        <w:lastRenderedPageBreak/>
        <w:t>1.</w:t>
      </w:r>
      <w:r w:rsidRPr="00090461">
        <w:rPr>
          <w:rFonts w:cstheme="minorHAnsi"/>
          <w:b/>
          <w:bCs/>
        </w:rPr>
        <w:t>1</w:t>
      </w:r>
      <w:r w:rsidRPr="00E120EF">
        <w:rPr>
          <w:rFonts w:cstheme="minorHAnsi"/>
          <w:b/>
          <w:bCs/>
        </w:rPr>
        <w:t xml:space="preserve"> </w:t>
      </w:r>
      <w:r w:rsidRPr="00E120EF">
        <w:rPr>
          <w:rFonts w:cstheme="minorHAnsi"/>
          <w:b/>
          <w:bCs/>
          <w:u w:val="single"/>
        </w:rPr>
        <w:t>Introduction to the Concept</w:t>
      </w:r>
      <w:r w:rsidRPr="00E120EF">
        <w:rPr>
          <w:rFonts w:cstheme="minorHAnsi"/>
        </w:rPr>
        <w:br/>
        <w:t>Bright Beginnings is a planned community-based sensory group for children aged 0 to 5 with Special Educational Needs and Disabilities (SEND) or Additional Learning Needs (ALN). The program will offer structured, small-group sessions in a peaceful, low-stimulation atmosphere to help youngsters who may have sensory processing issues, autism spectrum disorders, speech and language delays, or social and emotional developmental challenges</w:t>
      </w:r>
      <w:r w:rsidR="00206F5E">
        <w:rPr>
          <w:rFonts w:cstheme="minorHAnsi"/>
        </w:rPr>
        <w:t xml:space="preserve"> (Word Health Organization, 202</w:t>
      </w:r>
      <w:r w:rsidR="00546309">
        <w:rPr>
          <w:rFonts w:cstheme="minorHAnsi"/>
        </w:rPr>
        <w:t>2</w:t>
      </w:r>
      <w:r w:rsidR="00206F5E">
        <w:rPr>
          <w:rFonts w:cstheme="minorHAnsi"/>
        </w:rPr>
        <w:t>)</w:t>
      </w:r>
      <w:r w:rsidRPr="00E120EF">
        <w:rPr>
          <w:rFonts w:cstheme="minorHAnsi"/>
        </w:rPr>
        <w:t>.</w:t>
      </w:r>
      <w:r w:rsidRPr="00E120EF">
        <w:rPr>
          <w:rFonts w:cstheme="minorHAnsi"/>
        </w:rPr>
        <w:br/>
        <w:t>Unlike traditional toddler programs, which can be hectic and unpredictable, Bright Beginnings will stress emotional safety, consistency, and sensory regulation. The goal is to establish an inclusive and understanding environment that benefits both children and families</w:t>
      </w:r>
      <w:r w:rsidR="005267A5">
        <w:rPr>
          <w:rFonts w:cstheme="minorHAnsi"/>
        </w:rPr>
        <w:t xml:space="preserve"> (Department for Education, 2015)</w:t>
      </w:r>
      <w:r w:rsidRPr="00E120EF">
        <w:rPr>
          <w:rFonts w:cstheme="minorHAnsi"/>
        </w:rPr>
        <w:t>.</w:t>
      </w:r>
    </w:p>
    <w:p w14:paraId="73895FBC" w14:textId="77777777" w:rsidR="00475FBF" w:rsidRPr="00090461" w:rsidRDefault="00475FBF" w:rsidP="00DA2139">
      <w:pPr>
        <w:spacing w:after="0" w:line="480" w:lineRule="auto"/>
        <w:rPr>
          <w:rFonts w:cstheme="minorHAnsi"/>
        </w:rPr>
      </w:pPr>
    </w:p>
    <w:p w14:paraId="60A6D71A" w14:textId="008D2219" w:rsidR="00643CFB" w:rsidRPr="00E120EF" w:rsidRDefault="00475FBF" w:rsidP="00DA2139">
      <w:pPr>
        <w:spacing w:after="0" w:line="480" w:lineRule="auto"/>
        <w:rPr>
          <w:rFonts w:cstheme="minorHAnsi"/>
        </w:rPr>
      </w:pPr>
      <w:r w:rsidRPr="00090461">
        <w:rPr>
          <w:rFonts w:cstheme="minorHAnsi"/>
          <w:b/>
          <w:bCs/>
        </w:rPr>
        <w:t>1.</w:t>
      </w:r>
      <w:r w:rsidRPr="00E120EF">
        <w:rPr>
          <w:rFonts w:cstheme="minorHAnsi"/>
          <w:b/>
          <w:bCs/>
        </w:rPr>
        <w:t>2</w:t>
      </w:r>
      <w:r w:rsidRPr="00090461">
        <w:rPr>
          <w:rFonts w:cstheme="minorHAnsi"/>
          <w:b/>
          <w:bCs/>
        </w:rPr>
        <w:t xml:space="preserve"> </w:t>
      </w:r>
      <w:r w:rsidRPr="00E120EF">
        <w:rPr>
          <w:rFonts w:cstheme="minorHAnsi"/>
          <w:b/>
          <w:bCs/>
          <w:u w:val="single"/>
        </w:rPr>
        <w:t>Rational</w:t>
      </w:r>
      <w:r w:rsidR="00E57680" w:rsidRPr="00090461">
        <w:rPr>
          <w:rFonts w:cstheme="minorHAnsi"/>
          <w:b/>
          <w:bCs/>
          <w:u w:val="single"/>
        </w:rPr>
        <w:t>e</w:t>
      </w:r>
      <w:r w:rsidRPr="00E120EF">
        <w:rPr>
          <w:rFonts w:cstheme="minorHAnsi"/>
          <w:b/>
          <w:bCs/>
          <w:u w:val="single"/>
        </w:rPr>
        <w:t xml:space="preserve"> and Innovation</w:t>
      </w:r>
      <w:r w:rsidRPr="00E120EF">
        <w:rPr>
          <w:rFonts w:cstheme="minorHAnsi"/>
        </w:rPr>
        <w:br/>
        <w:t>Bright Beginnings was born out of a desire to fill a need in community-based early childhood education. While general playgroups are commonly available, they are rarely organised around sensory-informed practice. Overstimulating environments can prevent certain children with SEND/ALN from engaging rather than promoting inclusion (</w:t>
      </w:r>
      <w:r w:rsidR="00264925">
        <w:rPr>
          <w:rFonts w:cstheme="minorHAnsi"/>
        </w:rPr>
        <w:t>Chandrika Devarakonda, 2020</w:t>
      </w:r>
      <w:r w:rsidRPr="00E120EF">
        <w:rPr>
          <w:rFonts w:cstheme="minorHAnsi"/>
        </w:rPr>
        <w:t>).</w:t>
      </w:r>
      <w:r w:rsidRPr="00E120EF">
        <w:rPr>
          <w:rFonts w:cstheme="minorHAnsi"/>
        </w:rPr>
        <w:br/>
        <w:t xml:space="preserve">The approach is based on developmental and inclusion philosophy. Sensory play promotes early cognitive development through active exploration (Piaget, 1952), whereas structured small-group contact allows for guided learning and social scaffolding (Vygotsky, 1978). Furthermore, the social model of disability (Oliver, </w:t>
      </w:r>
      <w:r w:rsidR="0026389A">
        <w:rPr>
          <w:rFonts w:cstheme="minorHAnsi"/>
        </w:rPr>
        <w:t>2013</w:t>
      </w:r>
      <w:r w:rsidRPr="00E120EF">
        <w:rPr>
          <w:rFonts w:cstheme="minorHAnsi"/>
        </w:rPr>
        <w:t>) emphasises the necessity of modifying settings rather than considering children as the problem.</w:t>
      </w:r>
      <w:r w:rsidRPr="00E120EF">
        <w:rPr>
          <w:rFonts w:cstheme="minorHAnsi"/>
        </w:rPr>
        <w:br/>
        <w:t>Innovation comes from combining:</w:t>
      </w:r>
      <w:r w:rsidRPr="00E120EF">
        <w:rPr>
          <w:rFonts w:cstheme="minorHAnsi"/>
        </w:rPr>
        <w:br/>
      </w:r>
      <w:r w:rsidRPr="00090461">
        <w:rPr>
          <w:rFonts w:cstheme="minorHAnsi"/>
        </w:rPr>
        <w:t xml:space="preserve">- </w:t>
      </w:r>
      <w:r w:rsidRPr="00E120EF">
        <w:rPr>
          <w:rFonts w:cstheme="minorHAnsi"/>
        </w:rPr>
        <w:t>Sensory-based practice</w:t>
      </w:r>
      <w:r w:rsidRPr="00E120EF">
        <w:rPr>
          <w:rFonts w:cstheme="minorHAnsi"/>
        </w:rPr>
        <w:br/>
      </w:r>
      <w:r w:rsidRPr="00090461">
        <w:rPr>
          <w:rFonts w:cstheme="minorHAnsi"/>
        </w:rPr>
        <w:t xml:space="preserve">- </w:t>
      </w:r>
      <w:r w:rsidRPr="00E120EF">
        <w:rPr>
          <w:rFonts w:cstheme="minorHAnsi"/>
        </w:rPr>
        <w:t>Small and consistent group delivery.</w:t>
      </w:r>
      <w:r w:rsidRPr="00E120EF">
        <w:rPr>
          <w:rFonts w:cstheme="minorHAnsi"/>
        </w:rPr>
        <w:br/>
      </w:r>
      <w:r w:rsidRPr="00090461">
        <w:rPr>
          <w:rFonts w:cstheme="minorHAnsi"/>
        </w:rPr>
        <w:t xml:space="preserve">- </w:t>
      </w:r>
      <w:r w:rsidRPr="00E120EF">
        <w:rPr>
          <w:rFonts w:cstheme="minorHAnsi"/>
        </w:rPr>
        <w:t>Aligning with Welsh ALN law</w:t>
      </w:r>
      <w:r w:rsidRPr="00E120EF">
        <w:rPr>
          <w:rFonts w:cstheme="minorHAnsi"/>
        </w:rPr>
        <w:br/>
      </w:r>
      <w:r w:rsidRPr="00090461">
        <w:rPr>
          <w:rFonts w:cstheme="minorHAnsi"/>
        </w:rPr>
        <w:t xml:space="preserve">- </w:t>
      </w:r>
      <w:r w:rsidRPr="00E120EF">
        <w:rPr>
          <w:rFonts w:cstheme="minorHAnsi"/>
        </w:rPr>
        <w:t>Community-based accessibility.</w:t>
      </w:r>
    </w:p>
    <w:p w14:paraId="16B8A8FA" w14:textId="031190F0" w:rsidR="00475FBF" w:rsidRPr="00090461" w:rsidRDefault="00475FBF" w:rsidP="00090461">
      <w:pPr>
        <w:spacing w:after="0" w:line="480" w:lineRule="auto"/>
        <w:rPr>
          <w:rFonts w:cstheme="minorHAnsi"/>
        </w:rPr>
      </w:pPr>
      <w:r w:rsidRPr="00E120EF">
        <w:rPr>
          <w:rFonts w:cstheme="minorHAnsi"/>
        </w:rPr>
        <w:lastRenderedPageBreak/>
        <w:t>Rather than serving as an intervention, Bright Beginnings provides preventative early support in a relational and inclusive environment.</w:t>
      </w:r>
      <w:r w:rsidR="00516617">
        <w:rPr>
          <w:rFonts w:cstheme="minorHAnsi"/>
        </w:rPr>
        <w:t xml:space="preserve"> (Department for Education, 2023).</w:t>
      </w:r>
    </w:p>
    <w:p w14:paraId="11585300" w14:textId="77777777" w:rsidR="00E57680" w:rsidRPr="00E57680" w:rsidRDefault="00E57680" w:rsidP="00090461">
      <w:pPr>
        <w:spacing w:after="0" w:line="480" w:lineRule="auto"/>
        <w:rPr>
          <w:rFonts w:cstheme="minorHAnsi"/>
        </w:rPr>
      </w:pPr>
      <w:r w:rsidRPr="00E57680">
        <w:rPr>
          <w:rFonts w:cstheme="minorHAnsi"/>
        </w:rPr>
        <w:t>Bright Beginnings' uniqueness rests not just in sensory play, but also in the integration of sensory-informed practice into a structured, small-scale, community-based approach that is linked with Welsh ALN policy aims. By portraying the group as preventative rather than reactive, the strategy addresses identified gaps in early intervention while being accessible at the community level.</w:t>
      </w:r>
    </w:p>
    <w:p w14:paraId="45373AB0" w14:textId="77777777" w:rsidR="00475FBF" w:rsidRPr="00090461" w:rsidRDefault="00475FBF" w:rsidP="00090461">
      <w:pPr>
        <w:spacing w:after="0" w:line="480" w:lineRule="auto"/>
        <w:rPr>
          <w:rFonts w:cstheme="minorHAnsi"/>
        </w:rPr>
      </w:pPr>
    </w:p>
    <w:p w14:paraId="582C5AD4" w14:textId="00F714D1" w:rsidR="00090461" w:rsidRDefault="00475FBF" w:rsidP="00090461">
      <w:pPr>
        <w:spacing w:after="0" w:line="480" w:lineRule="auto"/>
        <w:rPr>
          <w:rFonts w:cstheme="minorHAnsi"/>
        </w:rPr>
      </w:pPr>
      <w:r w:rsidRPr="00090461">
        <w:rPr>
          <w:rFonts w:cstheme="minorHAnsi"/>
          <w:b/>
          <w:bCs/>
        </w:rPr>
        <w:t>1.</w:t>
      </w:r>
      <w:r w:rsidRPr="00E120EF">
        <w:rPr>
          <w:rFonts w:cstheme="minorHAnsi"/>
          <w:b/>
          <w:bCs/>
        </w:rPr>
        <w:t xml:space="preserve">3 </w:t>
      </w:r>
      <w:r w:rsidR="00E57680" w:rsidRPr="00090461">
        <w:rPr>
          <w:rFonts w:cstheme="minorHAnsi"/>
          <w:b/>
          <w:bCs/>
          <w:u w:val="single"/>
        </w:rPr>
        <w:t>Links</w:t>
      </w:r>
      <w:r w:rsidRPr="00E120EF">
        <w:rPr>
          <w:rFonts w:cstheme="minorHAnsi"/>
          <w:b/>
          <w:bCs/>
          <w:u w:val="single"/>
        </w:rPr>
        <w:t xml:space="preserve"> to Early Childhood Development</w:t>
      </w:r>
      <w:r w:rsidRPr="00E120EF">
        <w:rPr>
          <w:rFonts w:cstheme="minorHAnsi"/>
          <w:b/>
          <w:bCs/>
        </w:rPr>
        <w:br/>
      </w:r>
      <w:r w:rsidRPr="00E120EF">
        <w:rPr>
          <w:rFonts w:cstheme="minorHAnsi"/>
        </w:rPr>
        <w:t>Early childhood research repeatedly shows the need of safe, responsive, and developmentally appropriate surroundings during the first five years of life</w:t>
      </w:r>
      <w:r w:rsidR="00D6568C">
        <w:rPr>
          <w:rFonts w:cstheme="minorHAnsi"/>
        </w:rPr>
        <w:t xml:space="preserve"> (Broadhead, Howard and Wood, 2010)</w:t>
      </w:r>
      <w:r w:rsidRPr="00E120EF">
        <w:rPr>
          <w:rFonts w:cstheme="minorHAnsi"/>
        </w:rPr>
        <w:t>. Sensory exploration promotes schema development, early problem solving, and cognitive progress (</w:t>
      </w:r>
      <w:r w:rsidR="00614676">
        <w:rPr>
          <w:rFonts w:cstheme="minorHAnsi"/>
        </w:rPr>
        <w:t>Gasgoyne, 2016</w:t>
      </w:r>
      <w:r w:rsidRPr="00E120EF">
        <w:rPr>
          <w:rFonts w:cstheme="minorHAnsi"/>
        </w:rPr>
        <w:t>). Guided adult engagement improves language acquisition and social skills (Vygotsky, 1978).</w:t>
      </w:r>
      <w:r w:rsidRPr="00E120EF">
        <w:rPr>
          <w:rFonts w:cstheme="minorHAnsi"/>
        </w:rPr>
        <w:br/>
        <w:t>The planned schedule of sessions is intended to encourage emotional regulation and feelings of safety, especially for children who may suffer anxiety in unpredictable group situations. By minimising environmental stressors, children may be better able to engage in play-based learning</w:t>
      </w:r>
      <w:r w:rsidR="006C04C2">
        <w:rPr>
          <w:rFonts w:cstheme="minorHAnsi"/>
        </w:rPr>
        <w:t xml:space="preserve"> as believed by UNICEF (2019). </w:t>
      </w:r>
      <w:r w:rsidRPr="00E120EF">
        <w:rPr>
          <w:rFonts w:cstheme="minorHAnsi"/>
        </w:rPr>
        <w:t>Bright Beginnings thus adheres to the concepts of early intervention and inclusive practice in the early years sector.</w:t>
      </w:r>
    </w:p>
    <w:p w14:paraId="019113B7" w14:textId="4519275E" w:rsidR="00E57680" w:rsidRPr="00E120EF" w:rsidRDefault="00E57680" w:rsidP="00090461">
      <w:pPr>
        <w:spacing w:after="0" w:line="480" w:lineRule="auto"/>
        <w:rPr>
          <w:rFonts w:cstheme="minorHAnsi"/>
        </w:rPr>
      </w:pPr>
      <w:r w:rsidRPr="00E57680">
        <w:rPr>
          <w:rFonts w:cstheme="minorHAnsi"/>
        </w:rPr>
        <w:t>The concept aims to promote holistic development across cognitive, social, and emotional domains by incorporating constructivist and socio-cultural perspectives within a sensory-informed framework, rather than addressing developmental needs in isolation</w:t>
      </w:r>
      <w:r w:rsidR="00725D55">
        <w:rPr>
          <w:rFonts w:cstheme="minorHAnsi"/>
        </w:rPr>
        <w:t xml:space="preserve"> (Queen Margaret </w:t>
      </w:r>
      <w:r w:rsidR="00F955F7">
        <w:rPr>
          <w:rFonts w:cstheme="minorHAnsi"/>
        </w:rPr>
        <w:t>University, 2023)</w:t>
      </w:r>
      <w:r w:rsidRPr="00E57680">
        <w:rPr>
          <w:rFonts w:cstheme="minorHAnsi"/>
        </w:rPr>
        <w:t>.</w:t>
      </w:r>
    </w:p>
    <w:p w14:paraId="2FCF7A4D" w14:textId="77777777" w:rsidR="00475FBF" w:rsidRPr="00090461" w:rsidRDefault="00475FBF" w:rsidP="00090461">
      <w:pPr>
        <w:spacing w:after="0" w:line="480" w:lineRule="auto"/>
        <w:rPr>
          <w:rFonts w:cstheme="minorHAnsi"/>
        </w:rPr>
      </w:pPr>
    </w:p>
    <w:p w14:paraId="4593ADDF" w14:textId="41146A3E" w:rsidR="00475FBF" w:rsidRPr="00E120EF" w:rsidRDefault="00475FBF" w:rsidP="00090461">
      <w:pPr>
        <w:spacing w:after="0" w:line="480" w:lineRule="auto"/>
        <w:rPr>
          <w:rFonts w:cstheme="minorHAnsi"/>
        </w:rPr>
      </w:pPr>
      <w:r w:rsidRPr="00090461">
        <w:rPr>
          <w:rFonts w:cstheme="minorHAnsi"/>
          <w:b/>
          <w:bCs/>
        </w:rPr>
        <w:t>1.</w:t>
      </w:r>
      <w:r w:rsidRPr="00E120EF">
        <w:rPr>
          <w:rFonts w:cstheme="minorHAnsi"/>
          <w:b/>
          <w:bCs/>
        </w:rPr>
        <w:t xml:space="preserve">4 </w:t>
      </w:r>
      <w:r w:rsidRPr="00E120EF">
        <w:rPr>
          <w:rFonts w:cstheme="minorHAnsi"/>
          <w:b/>
          <w:bCs/>
          <w:u w:val="single"/>
        </w:rPr>
        <w:t xml:space="preserve">Target </w:t>
      </w:r>
      <w:r w:rsidR="00E57680" w:rsidRPr="00090461">
        <w:rPr>
          <w:rFonts w:cstheme="minorHAnsi"/>
          <w:b/>
          <w:bCs/>
          <w:u w:val="single"/>
        </w:rPr>
        <w:t>A</w:t>
      </w:r>
      <w:r w:rsidRPr="00E120EF">
        <w:rPr>
          <w:rFonts w:cstheme="minorHAnsi"/>
          <w:b/>
          <w:bCs/>
          <w:u w:val="single"/>
        </w:rPr>
        <w:t xml:space="preserve">udience and </w:t>
      </w:r>
      <w:r w:rsidR="00E57680" w:rsidRPr="00090461">
        <w:rPr>
          <w:rFonts w:cstheme="minorHAnsi"/>
          <w:b/>
          <w:bCs/>
          <w:u w:val="single"/>
        </w:rPr>
        <w:t>S</w:t>
      </w:r>
      <w:r w:rsidRPr="00E120EF">
        <w:rPr>
          <w:rFonts w:cstheme="minorHAnsi"/>
          <w:b/>
          <w:bCs/>
          <w:u w:val="single"/>
        </w:rPr>
        <w:t>takeholders</w:t>
      </w:r>
      <w:r w:rsidRPr="00E120EF">
        <w:rPr>
          <w:rFonts w:cstheme="minorHAnsi"/>
        </w:rPr>
        <w:br/>
        <w:t xml:space="preserve">Bright Beginnings' core focus is parents and carers of children aged 0 to 5 with diagnosed or emergent SEND/ALN needs. This includes children with sensory processing issues, autism spectrum </w:t>
      </w:r>
      <w:r w:rsidRPr="00E120EF">
        <w:rPr>
          <w:rFonts w:cstheme="minorHAnsi"/>
        </w:rPr>
        <w:lastRenderedPageBreak/>
        <w:t>disorders, speech and language impairments, and social and emotional developmental challenges</w:t>
      </w:r>
      <w:r w:rsidR="00975B41">
        <w:rPr>
          <w:rFonts w:cstheme="minorHAnsi"/>
        </w:rPr>
        <w:t xml:space="preserve"> </w:t>
      </w:r>
      <w:r w:rsidR="003C7BB9">
        <w:rPr>
          <w:rFonts w:cstheme="minorHAnsi"/>
        </w:rPr>
        <w:t>(Case-Smith</w:t>
      </w:r>
      <w:r w:rsidR="00624130">
        <w:rPr>
          <w:rFonts w:cstheme="minorHAnsi"/>
        </w:rPr>
        <w:t>, Weaver and Fristad, 2015)</w:t>
      </w:r>
      <w:r w:rsidRPr="00E120EF">
        <w:rPr>
          <w:rFonts w:cstheme="minorHAnsi"/>
        </w:rPr>
        <w:t>. Many families prefer quieter and more predictable situations than typical toddler programs, especially for youngsters who find hectic or boisterous settings stressful</w:t>
      </w:r>
      <w:r w:rsidR="00105787">
        <w:rPr>
          <w:rFonts w:cstheme="minorHAnsi"/>
        </w:rPr>
        <w:t xml:space="preserve"> (Little et al</w:t>
      </w:r>
      <w:r w:rsidR="00647A9F">
        <w:rPr>
          <w:rFonts w:cstheme="minorHAnsi"/>
        </w:rPr>
        <w:t>., 2017)</w:t>
      </w:r>
      <w:r w:rsidRPr="00E120EF">
        <w:rPr>
          <w:rFonts w:cstheme="minorHAnsi"/>
        </w:rPr>
        <w:t>.</w:t>
      </w:r>
    </w:p>
    <w:p w14:paraId="4D820BF1" w14:textId="608BEBA3" w:rsidR="00475FBF" w:rsidRPr="00E120EF" w:rsidRDefault="00475FBF" w:rsidP="00090461">
      <w:pPr>
        <w:spacing w:after="0" w:line="480" w:lineRule="auto"/>
        <w:rPr>
          <w:rFonts w:cstheme="minorHAnsi"/>
        </w:rPr>
      </w:pPr>
      <w:r w:rsidRPr="00E120EF">
        <w:rPr>
          <w:rFonts w:cstheme="minorHAnsi"/>
        </w:rPr>
        <w:t>Secondary stakeholders include health visitors, early childhood practitioners, childminders, and nursery facilities, who may benefit from referral pathways or joint efforts. Carmarthenshire includes rural and semi-rural communities with limited access to specialist early intervention services, suggesting that a locally delivered, community-based model could increase accessibility and reduce barriers associated with travel, waiting lists, or overburdened statutory services</w:t>
      </w:r>
      <w:r w:rsidR="001578DD">
        <w:rPr>
          <w:rFonts w:cstheme="minorHAnsi"/>
        </w:rPr>
        <w:t xml:space="preserve"> (Welsh Government, 202</w:t>
      </w:r>
      <w:r w:rsidR="00585A8C">
        <w:rPr>
          <w:rFonts w:cstheme="minorHAnsi"/>
        </w:rPr>
        <w:t>1</w:t>
      </w:r>
      <w:r w:rsidR="008D644F">
        <w:rPr>
          <w:rFonts w:cstheme="minorHAnsi"/>
        </w:rPr>
        <w:t>)</w:t>
      </w:r>
      <w:r w:rsidRPr="00E120EF">
        <w:rPr>
          <w:rFonts w:cstheme="minorHAnsi"/>
        </w:rPr>
        <w:t>.</w:t>
      </w:r>
    </w:p>
    <w:p w14:paraId="111104C7" w14:textId="77777777" w:rsidR="00475FBF" w:rsidRPr="00090461" w:rsidRDefault="00475FBF" w:rsidP="00090461">
      <w:pPr>
        <w:spacing w:after="0" w:line="480" w:lineRule="auto"/>
        <w:rPr>
          <w:rFonts w:cstheme="minorHAnsi"/>
        </w:rPr>
      </w:pPr>
    </w:p>
    <w:p w14:paraId="54F1132B" w14:textId="025A9526" w:rsidR="00475FBF" w:rsidRPr="00E120EF" w:rsidRDefault="00475FBF" w:rsidP="00090461">
      <w:pPr>
        <w:spacing w:after="0" w:line="480" w:lineRule="auto"/>
        <w:rPr>
          <w:rFonts w:cstheme="minorHAnsi"/>
        </w:rPr>
      </w:pPr>
      <w:r w:rsidRPr="00090461">
        <w:rPr>
          <w:rFonts w:cstheme="minorHAnsi"/>
          <w:b/>
          <w:bCs/>
        </w:rPr>
        <w:t>1.</w:t>
      </w:r>
      <w:r w:rsidRPr="00E120EF">
        <w:rPr>
          <w:rFonts w:cstheme="minorHAnsi"/>
          <w:b/>
          <w:bCs/>
        </w:rPr>
        <w:t xml:space="preserve">5 </w:t>
      </w:r>
      <w:r w:rsidRPr="00E120EF">
        <w:rPr>
          <w:rFonts w:cstheme="minorHAnsi"/>
          <w:b/>
          <w:bCs/>
          <w:u w:val="single"/>
        </w:rPr>
        <w:t>Session Structure and Delivery</w:t>
      </w:r>
      <w:r w:rsidRPr="00E120EF">
        <w:rPr>
          <w:rFonts w:cstheme="minorHAnsi"/>
        </w:rPr>
        <w:br/>
        <w:t>Sessions will last about 60 minutes in small groups of five children, allowing for individual needs to be evaluated and supported. Each session will have a regular and predictable format, starting with a visual schedule and a clear introduction to the activities</w:t>
      </w:r>
      <w:r w:rsidR="00182D13">
        <w:rPr>
          <w:rFonts w:cstheme="minorHAnsi"/>
        </w:rPr>
        <w:t xml:space="preserve"> (Austism.org.uk. 2026)</w:t>
      </w:r>
      <w:r w:rsidRPr="00E120EF">
        <w:rPr>
          <w:rFonts w:cstheme="minorHAnsi"/>
        </w:rPr>
        <w:t>. Sensory exploration opportunities will include tactile, proprioceptive, and vestibular experiences that are carefully chosen to offer graded input rather than overstimulation</w:t>
      </w:r>
      <w:r w:rsidR="006F3AFE">
        <w:rPr>
          <w:rFonts w:cstheme="minorHAnsi"/>
        </w:rPr>
        <w:t xml:space="preserve"> as believed by Schaaf, Hunt and Benevides (2012).</w:t>
      </w:r>
      <w:r w:rsidRPr="00E120EF">
        <w:rPr>
          <w:rFonts w:cstheme="minorHAnsi"/>
        </w:rPr>
        <w:br/>
        <w:t>The delivery strategy will combine child-led exploration with mild adult assistance to encourage both independence and guided engagement. Structured transitions and a relaxing closing practice will help to build emotional security. This approach incorporates ideas of early childhood pedagogy and sensory-informed practice (</w:t>
      </w:r>
      <w:r w:rsidR="00EC02BD">
        <w:rPr>
          <w:rFonts w:cstheme="minorHAnsi"/>
        </w:rPr>
        <w:t>Siraj-Blatchford</w:t>
      </w:r>
      <w:r w:rsidR="00EF7061">
        <w:rPr>
          <w:rFonts w:cstheme="minorHAnsi"/>
        </w:rPr>
        <w:t xml:space="preserve"> et al., 20</w:t>
      </w:r>
      <w:r w:rsidR="000E5F0A">
        <w:rPr>
          <w:rFonts w:cstheme="minorHAnsi"/>
        </w:rPr>
        <w:t>02</w:t>
      </w:r>
      <w:r w:rsidRPr="00E120EF">
        <w:rPr>
          <w:rFonts w:cstheme="minorHAnsi"/>
        </w:rPr>
        <w:t>), while remaining adaptable to individual developmental variances.</w:t>
      </w:r>
    </w:p>
    <w:p w14:paraId="3F794066" w14:textId="77777777" w:rsidR="00475FBF" w:rsidRPr="00090461" w:rsidRDefault="00475FBF" w:rsidP="00090461">
      <w:pPr>
        <w:spacing w:after="0" w:line="480" w:lineRule="auto"/>
        <w:rPr>
          <w:rFonts w:cstheme="minorHAnsi"/>
        </w:rPr>
      </w:pPr>
    </w:p>
    <w:p w14:paraId="29A8527C" w14:textId="46BAE889" w:rsidR="00475FBF" w:rsidRPr="00E120EF" w:rsidRDefault="00475FBF" w:rsidP="00090461">
      <w:pPr>
        <w:spacing w:after="0" w:line="480" w:lineRule="auto"/>
        <w:rPr>
          <w:rFonts w:cstheme="minorHAnsi"/>
        </w:rPr>
      </w:pPr>
      <w:r w:rsidRPr="00090461">
        <w:rPr>
          <w:rFonts w:cstheme="minorHAnsi"/>
          <w:b/>
          <w:bCs/>
        </w:rPr>
        <w:t>1.</w:t>
      </w:r>
      <w:r w:rsidRPr="00E120EF">
        <w:rPr>
          <w:rFonts w:cstheme="minorHAnsi"/>
          <w:b/>
          <w:bCs/>
        </w:rPr>
        <w:t xml:space="preserve">6 </w:t>
      </w:r>
      <w:r w:rsidRPr="00E120EF">
        <w:rPr>
          <w:rFonts w:cstheme="minorHAnsi"/>
          <w:b/>
          <w:bCs/>
          <w:u w:val="single"/>
        </w:rPr>
        <w:t>Operating Requirements</w:t>
      </w:r>
      <w:r w:rsidRPr="00E120EF">
        <w:rPr>
          <w:rFonts w:cstheme="minorHAnsi"/>
        </w:rPr>
        <w:br/>
        <w:t xml:space="preserve">Bright Beginnings must be delivered effectively with rigorous operational planning to assure safety, </w:t>
      </w:r>
      <w:r w:rsidRPr="00E120EF">
        <w:rPr>
          <w:rFonts w:cstheme="minorHAnsi"/>
        </w:rPr>
        <w:lastRenderedPageBreak/>
        <w:t>compliance, and provision quality. Public liability insurance, extensive risk assessments, safeguarding processes, first aid training, and explicit hygiene rules will serve as the foundation for safe practice</w:t>
      </w:r>
      <w:r w:rsidR="009B1BEC">
        <w:rPr>
          <w:rFonts w:cstheme="minorHAnsi"/>
        </w:rPr>
        <w:t xml:space="preserve"> (N</w:t>
      </w:r>
      <w:r w:rsidR="00BD0491">
        <w:rPr>
          <w:rFonts w:cstheme="minorHAnsi"/>
        </w:rPr>
        <w:t>SSCP, No date</w:t>
      </w:r>
      <w:r w:rsidR="009B1BEC">
        <w:rPr>
          <w:rFonts w:cstheme="minorHAnsi"/>
        </w:rPr>
        <w:t>)</w:t>
      </w:r>
      <w:r w:rsidRPr="00E120EF">
        <w:rPr>
          <w:rFonts w:cstheme="minorHAnsi"/>
        </w:rPr>
        <w:t>. In accordance with Welsh early years advice, safeguarding and child protection obligations shall be prioritised at all times.</w:t>
      </w:r>
      <w:r w:rsidRPr="00E120EF">
        <w:rPr>
          <w:rFonts w:cstheme="minorHAnsi"/>
        </w:rPr>
        <w:br/>
        <w:t>Resource selection will be based on developmental appropriateness and sensory integration principles, with materials chosen to give regulated sensory input rather than novelty or overstimulation. Wherever possible, reusable and sustainable supplies shall be prioritised, promoting both environmental stewardship and cost effectiveness</w:t>
      </w:r>
      <w:r w:rsidR="00FF70B1">
        <w:rPr>
          <w:rFonts w:cstheme="minorHAnsi"/>
        </w:rPr>
        <w:t xml:space="preserve"> as stated by Lindon, Kelman and Sharp, 2010)</w:t>
      </w:r>
      <w:r w:rsidRPr="00E120EF">
        <w:rPr>
          <w:rFonts w:cstheme="minorHAnsi"/>
        </w:rPr>
        <w:t xml:space="preserve">. Appropriate location selection is also required to sustain the group's concept of calm, </w:t>
      </w:r>
      <w:r w:rsidR="00090461" w:rsidRPr="00E120EF">
        <w:rPr>
          <w:rFonts w:cstheme="minorHAnsi"/>
        </w:rPr>
        <w:t>low arousal</w:t>
      </w:r>
      <w:r w:rsidRPr="00E120EF">
        <w:rPr>
          <w:rFonts w:cstheme="minorHAnsi"/>
        </w:rPr>
        <w:t>.</w:t>
      </w:r>
    </w:p>
    <w:p w14:paraId="39713930" w14:textId="77777777" w:rsidR="00475FBF" w:rsidRPr="00090461" w:rsidRDefault="00475FBF" w:rsidP="00090461">
      <w:pPr>
        <w:spacing w:after="0" w:line="480" w:lineRule="auto"/>
        <w:rPr>
          <w:rFonts w:cstheme="minorHAnsi"/>
        </w:rPr>
      </w:pPr>
    </w:p>
    <w:p w14:paraId="7588E5AE" w14:textId="295D4BD3" w:rsidR="00E57680" w:rsidRPr="00090461" w:rsidRDefault="00E57680" w:rsidP="00090461">
      <w:pPr>
        <w:spacing w:after="0" w:line="480" w:lineRule="auto"/>
        <w:rPr>
          <w:rFonts w:cstheme="minorHAnsi"/>
        </w:rPr>
      </w:pPr>
      <w:r w:rsidRPr="00090461">
        <w:rPr>
          <w:rFonts w:cstheme="minorHAnsi"/>
          <w:b/>
          <w:bCs/>
        </w:rPr>
        <w:t>1.</w:t>
      </w:r>
      <w:r w:rsidR="00475FBF" w:rsidRPr="00090461">
        <w:rPr>
          <w:rFonts w:cstheme="minorHAnsi"/>
          <w:b/>
          <w:bCs/>
        </w:rPr>
        <w:t xml:space="preserve">7 </w:t>
      </w:r>
      <w:r w:rsidRPr="00090461">
        <w:rPr>
          <w:rFonts w:cstheme="minorHAnsi"/>
          <w:b/>
          <w:bCs/>
          <w:u w:val="single"/>
        </w:rPr>
        <w:t>F</w:t>
      </w:r>
      <w:r w:rsidR="00475FBF" w:rsidRPr="00090461">
        <w:rPr>
          <w:rFonts w:cstheme="minorHAnsi"/>
          <w:b/>
          <w:bCs/>
          <w:u w:val="single"/>
        </w:rPr>
        <w:t xml:space="preserve">inancial </w:t>
      </w:r>
      <w:r w:rsidRPr="00090461">
        <w:rPr>
          <w:rFonts w:cstheme="minorHAnsi"/>
          <w:b/>
          <w:bCs/>
          <w:u w:val="single"/>
        </w:rPr>
        <w:t>O</w:t>
      </w:r>
      <w:r w:rsidR="00475FBF" w:rsidRPr="00090461">
        <w:rPr>
          <w:rFonts w:cstheme="minorHAnsi"/>
          <w:b/>
          <w:bCs/>
          <w:u w:val="single"/>
        </w:rPr>
        <w:t>verview</w:t>
      </w:r>
      <w:r w:rsidR="00475FBF" w:rsidRPr="00E120EF">
        <w:rPr>
          <w:rFonts w:cstheme="minorHAnsi"/>
        </w:rPr>
        <w:br/>
        <w:t>Bright Beginnings was created as a low-cost micro-enterprise.</w:t>
      </w:r>
      <w:r w:rsidR="00475FBF" w:rsidRPr="00E120EF">
        <w:rPr>
          <w:rFonts w:cstheme="minorHAnsi"/>
        </w:rPr>
        <w:br/>
        <w:t>The estimated start-up expenditures range from £400 to £600, which includes sensory materials, mats, storage, and first marketing.</w:t>
      </w:r>
      <w:r w:rsidR="00475FBF" w:rsidRPr="00E120EF">
        <w:rPr>
          <w:rFonts w:cstheme="minorHAnsi"/>
        </w:rPr>
        <w:br/>
        <w:t>Proposed price structure:</w:t>
      </w:r>
      <w:r w:rsidR="00475FBF" w:rsidRPr="00E120EF">
        <w:rPr>
          <w:rFonts w:cstheme="minorHAnsi"/>
        </w:rPr>
        <w:br/>
      </w:r>
      <w:r w:rsidR="00475FBF" w:rsidRPr="00090461">
        <w:rPr>
          <w:rFonts w:cstheme="minorHAnsi"/>
        </w:rPr>
        <w:t xml:space="preserve">- </w:t>
      </w:r>
      <w:r w:rsidR="00475FBF" w:rsidRPr="00E120EF">
        <w:rPr>
          <w:rFonts w:cstheme="minorHAnsi"/>
        </w:rPr>
        <w:t>£6 per child, each session.</w:t>
      </w:r>
      <w:r w:rsidR="00475FBF" w:rsidRPr="00E120EF">
        <w:rPr>
          <w:rFonts w:cstheme="minorHAnsi"/>
        </w:rPr>
        <w:br/>
      </w:r>
      <w:r w:rsidR="00475FBF" w:rsidRPr="00090461">
        <w:rPr>
          <w:rFonts w:cstheme="minorHAnsi"/>
        </w:rPr>
        <w:t xml:space="preserve">- </w:t>
      </w:r>
      <w:r w:rsidR="00475FBF" w:rsidRPr="00E120EF">
        <w:rPr>
          <w:rFonts w:cstheme="minorHAnsi"/>
        </w:rPr>
        <w:t xml:space="preserve">Five </w:t>
      </w:r>
      <w:r w:rsidR="00475FBF" w:rsidRPr="00090461">
        <w:rPr>
          <w:rFonts w:cstheme="minorHAnsi"/>
        </w:rPr>
        <w:t>children</w:t>
      </w:r>
      <w:r w:rsidR="00475FBF" w:rsidRPr="00E120EF">
        <w:rPr>
          <w:rFonts w:cstheme="minorHAnsi"/>
        </w:rPr>
        <w:t xml:space="preserve"> per session.</w:t>
      </w:r>
      <w:r w:rsidR="00475FBF" w:rsidRPr="00E120EF">
        <w:rPr>
          <w:rFonts w:cstheme="minorHAnsi"/>
        </w:rPr>
        <w:br/>
      </w:r>
      <w:r w:rsidR="00475FBF" w:rsidRPr="00090461">
        <w:rPr>
          <w:rFonts w:cstheme="minorHAnsi"/>
        </w:rPr>
        <w:t xml:space="preserve">- </w:t>
      </w:r>
      <w:r w:rsidR="00475FBF" w:rsidRPr="00E120EF">
        <w:rPr>
          <w:rFonts w:cstheme="minorHAnsi"/>
        </w:rPr>
        <w:t>Two sessions every week.</w:t>
      </w:r>
      <w:r w:rsidR="00475FBF" w:rsidRPr="00E120EF">
        <w:rPr>
          <w:rFonts w:cstheme="minorHAnsi"/>
        </w:rPr>
        <w:br/>
        <w:t>This technique generates a little weekly revenue while maintaining small group cohesion. However, financial viability will necessitate careful consideration of venue rentals, insurance, and consumables</w:t>
      </w:r>
      <w:r w:rsidR="00600553">
        <w:rPr>
          <w:rFonts w:cstheme="minorHAnsi"/>
        </w:rPr>
        <w:t xml:space="preserve"> (Social Enterprise UK, 202</w:t>
      </w:r>
      <w:r w:rsidR="002A7649">
        <w:rPr>
          <w:rFonts w:cstheme="minorHAnsi"/>
        </w:rPr>
        <w:t>5</w:t>
      </w:r>
      <w:r w:rsidR="00600553">
        <w:rPr>
          <w:rFonts w:cstheme="minorHAnsi"/>
        </w:rPr>
        <w:t>)</w:t>
      </w:r>
      <w:r w:rsidR="00475FBF" w:rsidRPr="00E120EF">
        <w:rPr>
          <w:rFonts w:cstheme="minorHAnsi"/>
        </w:rPr>
        <w:t>. Opportunities for gradual expansion, minor community funding, or extra parent seminars could improve long-term profitability.</w:t>
      </w:r>
    </w:p>
    <w:p w14:paraId="203075AB" w14:textId="356E8C52" w:rsidR="00475FBF" w:rsidRDefault="00E57680" w:rsidP="00090461">
      <w:pPr>
        <w:spacing w:after="0" w:line="480" w:lineRule="auto"/>
        <w:rPr>
          <w:rFonts w:cstheme="minorHAnsi"/>
        </w:rPr>
      </w:pPr>
      <w:r w:rsidRPr="00E57680">
        <w:rPr>
          <w:rFonts w:cstheme="minorHAnsi"/>
        </w:rPr>
        <w:t xml:space="preserve">As a small-scale social enterprise, Bright Beginnings strives to strike a balance between social impact and financial sustainability. While affordability is key to the provision's ethos, the approach acknowledges the greater tension in early childhood care between family accessibility and long-term </w:t>
      </w:r>
      <w:r w:rsidRPr="00E57680">
        <w:rPr>
          <w:rFonts w:cstheme="minorHAnsi"/>
        </w:rPr>
        <w:lastRenderedPageBreak/>
        <w:t>economic viability</w:t>
      </w:r>
      <w:r w:rsidR="0003259F">
        <w:rPr>
          <w:rFonts w:cstheme="minorHAnsi"/>
        </w:rPr>
        <w:t xml:space="preserve"> (</w:t>
      </w:r>
      <w:r w:rsidR="00A177E3">
        <w:rPr>
          <w:rFonts w:cstheme="minorHAnsi"/>
        </w:rPr>
        <w:t>Wa</w:t>
      </w:r>
      <w:r w:rsidR="005122C8">
        <w:rPr>
          <w:rFonts w:cstheme="minorHAnsi"/>
        </w:rPr>
        <w:t>rwickshire</w:t>
      </w:r>
      <w:r w:rsidR="00610AC1">
        <w:rPr>
          <w:rFonts w:cstheme="minorHAnsi"/>
        </w:rPr>
        <w:t xml:space="preserve"> County Council,</w:t>
      </w:r>
      <w:r w:rsidR="004C33A0">
        <w:rPr>
          <w:rFonts w:cstheme="minorHAnsi"/>
        </w:rPr>
        <w:t xml:space="preserve"> No Date)</w:t>
      </w:r>
      <w:r w:rsidRPr="00E57680">
        <w:rPr>
          <w:rFonts w:cstheme="minorHAnsi"/>
        </w:rPr>
        <w:t>. As the enterprise grows, this balance will need to be reviewed on an ongoing basis and adjusted accordingly.</w:t>
      </w:r>
      <w:r w:rsidR="0003259F">
        <w:rPr>
          <w:rFonts w:cstheme="minorHAnsi"/>
        </w:rPr>
        <w:t xml:space="preserve"> </w:t>
      </w:r>
      <w:r w:rsidR="00475FBF" w:rsidRPr="00E120EF">
        <w:rPr>
          <w:rFonts w:cstheme="minorHAnsi"/>
        </w:rPr>
        <w:t>A critical consideration is striking a balance between family affordability and operational sustainability.</w:t>
      </w:r>
    </w:p>
    <w:p w14:paraId="10F72BEB" w14:textId="77777777" w:rsidR="00336E87" w:rsidRPr="00E120EF" w:rsidRDefault="00336E87" w:rsidP="00090461">
      <w:pPr>
        <w:spacing w:after="0" w:line="480" w:lineRule="auto"/>
        <w:rPr>
          <w:rFonts w:cstheme="minorHAnsi"/>
        </w:rPr>
      </w:pPr>
    </w:p>
    <w:p w14:paraId="7E1EF0D7" w14:textId="7E39D1C0" w:rsidR="00475FBF" w:rsidRDefault="00336E87" w:rsidP="00090461">
      <w:pPr>
        <w:spacing w:after="0" w:line="480" w:lineRule="auto"/>
        <w:rPr>
          <w:rFonts w:cstheme="minorHAnsi"/>
        </w:rPr>
      </w:pPr>
      <w:r w:rsidRPr="00090461">
        <w:rPr>
          <w:rFonts w:cstheme="minorHAnsi"/>
          <w:b/>
          <w:bCs/>
        </w:rPr>
        <w:t>1.</w:t>
      </w:r>
      <w:r>
        <w:rPr>
          <w:rFonts w:cstheme="minorHAnsi"/>
          <w:b/>
          <w:bCs/>
        </w:rPr>
        <w:t>8</w:t>
      </w:r>
      <w:r w:rsidRPr="00E120EF">
        <w:rPr>
          <w:rFonts w:cstheme="minorHAnsi"/>
          <w:b/>
          <w:bCs/>
        </w:rPr>
        <w:t xml:space="preserve"> </w:t>
      </w:r>
      <w:r>
        <w:rPr>
          <w:rFonts w:cstheme="minorHAnsi"/>
          <w:b/>
          <w:bCs/>
          <w:u w:val="single"/>
        </w:rPr>
        <w:t>Strategic Analysis: SWOT Framework</w:t>
      </w:r>
    </w:p>
    <w:p w14:paraId="42504D2E" w14:textId="69E781FE" w:rsidR="00336E87" w:rsidRDefault="00E575EB" w:rsidP="00090461">
      <w:pPr>
        <w:spacing w:after="0" w:line="480" w:lineRule="auto"/>
        <w:rPr>
          <w:rFonts w:cstheme="minorHAnsi"/>
        </w:rPr>
      </w:pPr>
      <w:r w:rsidRPr="00E575EB">
        <w:rPr>
          <w:rFonts w:cstheme="minorHAnsi"/>
        </w:rPr>
        <w:t>A strategic analysis was conducted using the SWOT framework to assess the internal and external forces influencing Bright Beginnings. SWOT analysis is a well-known strategic planning method in the field of entrepreneurship and small business development, allowing executives to examine internal strengths and weaknesses as well as external possibilities and threats that may impact sustainability and growth</w:t>
      </w:r>
      <w:r w:rsidR="001111D4">
        <w:rPr>
          <w:rFonts w:cstheme="minorHAnsi"/>
        </w:rPr>
        <w:t xml:space="preserve"> (Thompson et al., 2016)</w:t>
      </w:r>
      <w:r w:rsidRPr="00E575EB">
        <w:rPr>
          <w:rFonts w:cstheme="minorHAnsi"/>
        </w:rPr>
        <w:t>.</w:t>
      </w:r>
    </w:p>
    <w:p w14:paraId="79D24689" w14:textId="1EA9FEB0" w:rsidR="001D3218" w:rsidRPr="001D3218" w:rsidRDefault="00E575EB" w:rsidP="001D3218">
      <w:pPr>
        <w:spacing w:after="0" w:line="480" w:lineRule="auto"/>
        <w:rPr>
          <w:rFonts w:cstheme="minorHAnsi"/>
        </w:rPr>
      </w:pPr>
      <w:r>
        <w:rPr>
          <w:rFonts w:cstheme="minorHAnsi"/>
        </w:rPr>
        <w:t xml:space="preserve">Strengths – </w:t>
      </w:r>
      <w:r w:rsidR="001D3218" w:rsidRPr="001D3218">
        <w:rPr>
          <w:rFonts w:cstheme="minorHAnsi"/>
        </w:rPr>
        <w:t>Bright Beginnings shows various internal strengths. The offering fills a clearly identified gap in rural SEND/ALN early childhood support, particularly in sensory-informed community-based settings. Its compatibility with Welsh ALN legislation and inclusive policy frameworks contributes to its credibility and relevance</w:t>
      </w:r>
      <w:r w:rsidR="00947572">
        <w:rPr>
          <w:rFonts w:cstheme="minorHAnsi"/>
        </w:rPr>
        <w:t xml:space="preserve"> (Welsh Government, </w:t>
      </w:r>
      <w:r w:rsidR="00BB5045">
        <w:rPr>
          <w:rFonts w:cstheme="minorHAnsi"/>
        </w:rPr>
        <w:t>2018)</w:t>
      </w:r>
      <w:r w:rsidR="001D3218" w:rsidRPr="001D3218">
        <w:rPr>
          <w:rFonts w:cstheme="minorHAnsi"/>
        </w:rPr>
        <w:t>. The small-group model promotes responsive adult-child interaction, personalised assistance, and relational stability, all of which are essential components of high-quality early childhood education</w:t>
      </w:r>
      <w:r w:rsidR="00BB5045">
        <w:rPr>
          <w:rFonts w:cstheme="minorHAnsi"/>
        </w:rPr>
        <w:t xml:space="preserve"> as believed by Sylva et al.,</w:t>
      </w:r>
      <w:r w:rsidR="00D120F4">
        <w:rPr>
          <w:rFonts w:cstheme="minorHAnsi"/>
        </w:rPr>
        <w:t xml:space="preserve"> (2004)</w:t>
      </w:r>
      <w:r w:rsidR="001D3218" w:rsidRPr="001D3218">
        <w:rPr>
          <w:rFonts w:cstheme="minorHAnsi"/>
        </w:rPr>
        <w:t>. Furthermore, the relatively modest start-up expenses increase feasibility and lower financial risk at the entry level.</w:t>
      </w:r>
    </w:p>
    <w:p w14:paraId="0916D9D5" w14:textId="6230ADE4" w:rsidR="00E93D82" w:rsidRDefault="001D3218" w:rsidP="00E93D82">
      <w:pPr>
        <w:spacing w:after="0" w:line="480" w:lineRule="auto"/>
        <w:rPr>
          <w:rFonts w:cstheme="minorHAnsi"/>
        </w:rPr>
      </w:pPr>
      <w:r>
        <w:rPr>
          <w:rFonts w:cstheme="minorHAnsi"/>
        </w:rPr>
        <w:t xml:space="preserve">Weaknesses - </w:t>
      </w:r>
      <w:r w:rsidR="00E93D82" w:rsidRPr="00E93D82">
        <w:rPr>
          <w:rFonts w:cstheme="minorHAnsi"/>
        </w:rPr>
        <w:t>The small-group structure, while pedagogically appropriate, naturally limits income creation and scalability. The company now relies on a founder-led delivery approach, which increases its risk if workforce capacity or expertise is restricted. Marketing strategy and brand visibility may also require further development to secure long-term enrolment, especially in competition with free or subsidised mainstream provision.</w:t>
      </w:r>
    </w:p>
    <w:p w14:paraId="34C571DA" w14:textId="101DA48D" w:rsidR="00CF77CD" w:rsidRPr="00CF77CD" w:rsidRDefault="00E93D82" w:rsidP="00CF77CD">
      <w:pPr>
        <w:spacing w:after="0" w:line="480" w:lineRule="auto"/>
        <w:rPr>
          <w:rFonts w:cstheme="minorHAnsi"/>
        </w:rPr>
      </w:pPr>
      <w:r>
        <w:rPr>
          <w:rFonts w:cstheme="minorHAnsi"/>
        </w:rPr>
        <w:t xml:space="preserve">Opportunities - </w:t>
      </w:r>
      <w:r w:rsidR="00CF77CD" w:rsidRPr="00CF77CD">
        <w:rPr>
          <w:rFonts w:cstheme="minorHAnsi"/>
        </w:rPr>
        <w:t>Externally, there is a growing policy and social commitment to inclusive education and early intervention, generating advantageous conditions for specialist-informed delivery</w:t>
      </w:r>
      <w:r w:rsidR="002A11D3">
        <w:rPr>
          <w:rFonts w:cstheme="minorHAnsi"/>
        </w:rPr>
        <w:t xml:space="preserve"> (Welsh Government, 2021)</w:t>
      </w:r>
      <w:r w:rsidR="00CF77CD" w:rsidRPr="00CF77CD">
        <w:rPr>
          <w:rFonts w:cstheme="minorHAnsi"/>
        </w:rPr>
        <w:t xml:space="preserve">. There are opportunities for collaboration with nurseries, health visitors, and </w:t>
      </w:r>
      <w:r w:rsidR="00CF77CD" w:rsidRPr="00CF77CD">
        <w:rPr>
          <w:rFonts w:cstheme="minorHAnsi"/>
        </w:rPr>
        <w:lastRenderedPageBreak/>
        <w:t>local authorities, which could increase referral pathways and collaborative practice. Community funding streams, grant applications, and expansion into parent workshops or training services could help to diversify revenue and increase long-term viability. Growing knowledge of sensory processing variations may boost demand for specialised early childhood services.</w:t>
      </w:r>
    </w:p>
    <w:p w14:paraId="765E4916" w14:textId="6D4B6140" w:rsidR="008A4BCD" w:rsidRPr="008A4BCD" w:rsidRDefault="00CF77CD" w:rsidP="008A4BCD">
      <w:pPr>
        <w:spacing w:after="0" w:line="480" w:lineRule="auto"/>
        <w:rPr>
          <w:rFonts w:cstheme="minorHAnsi"/>
        </w:rPr>
      </w:pPr>
      <w:r>
        <w:rPr>
          <w:rFonts w:cstheme="minorHAnsi"/>
        </w:rPr>
        <w:t xml:space="preserve">Threats - </w:t>
      </w:r>
      <w:r w:rsidR="008A4BCD" w:rsidRPr="008A4BCD">
        <w:rPr>
          <w:rFonts w:cstheme="minorHAnsi"/>
        </w:rPr>
        <w:t xml:space="preserve">Potential concerns include economic pressures on families, which may diminish their willingness or ability to pay session costs. Competition from free community playgroups and </w:t>
      </w:r>
      <w:r w:rsidR="008A4BCD" w:rsidRPr="008A4BCD">
        <w:rPr>
          <w:rFonts w:cstheme="minorHAnsi"/>
        </w:rPr>
        <w:t>publicly</w:t>
      </w:r>
      <w:r w:rsidR="008A4BCD" w:rsidRPr="008A4BCD">
        <w:rPr>
          <w:rFonts w:cstheme="minorHAnsi"/>
        </w:rPr>
        <w:t xml:space="preserve"> supported services may also have an impact on recruiting. Policy alterations or changes in local financing priorities may have an impact on expansion potential. Furthermore, maintaining high-quality, sensory-informed delivery requires ongoing professional development; failure to sustain this may compromise credibility.</w:t>
      </w:r>
    </w:p>
    <w:p w14:paraId="522B935B" w14:textId="4AAAE78B" w:rsidR="00197223" w:rsidRDefault="006B7C3A" w:rsidP="00090461">
      <w:pPr>
        <w:spacing w:after="0" w:line="480" w:lineRule="auto"/>
        <w:rPr>
          <w:rFonts w:cstheme="minorHAnsi"/>
        </w:rPr>
      </w:pPr>
      <w:r w:rsidRPr="006B7C3A">
        <w:rPr>
          <w:rFonts w:cstheme="minorHAnsi"/>
        </w:rPr>
        <w:t>Strategic implications</w:t>
      </w:r>
      <w:r>
        <w:rPr>
          <w:rFonts w:cstheme="minorHAnsi"/>
        </w:rPr>
        <w:t xml:space="preserve"> - </w:t>
      </w:r>
      <w:r w:rsidRPr="006B7C3A">
        <w:rPr>
          <w:rFonts w:cstheme="minorHAnsi"/>
        </w:rPr>
        <w:t>The SWOT analysis reveals that Bright Beginnings has significant educational and policy alignment strengths, but it must aggressively manage financial sustainability and scalability threats. To reduce susceptibility, strategic leadership decisions should prioritise relationship growth, diversification of income streams, and ongoing professional development. The firm exhibits entrepreneurial awareness and organised strategic thinking by employing SWOT as a reflective and forward-planning technique, hence increasing its potential for long-term social impact</w:t>
      </w:r>
      <w:r w:rsidR="00783972">
        <w:rPr>
          <w:rFonts w:cstheme="minorHAnsi"/>
        </w:rPr>
        <w:t xml:space="preserve"> </w:t>
      </w:r>
      <w:r w:rsidR="00E45809">
        <w:rPr>
          <w:rFonts w:cstheme="minorHAnsi"/>
        </w:rPr>
        <w:t>(Whittington, Scholes and Johnson, 2017)</w:t>
      </w:r>
      <w:r w:rsidRPr="006B7C3A">
        <w:rPr>
          <w:rFonts w:cstheme="minorHAnsi"/>
        </w:rPr>
        <w:t>.</w:t>
      </w:r>
    </w:p>
    <w:p w14:paraId="6D97E84D" w14:textId="77777777" w:rsidR="00336E87" w:rsidRPr="00090461" w:rsidRDefault="00336E87" w:rsidP="00090461">
      <w:pPr>
        <w:spacing w:after="0" w:line="480" w:lineRule="auto"/>
        <w:rPr>
          <w:rFonts w:cstheme="minorHAnsi"/>
        </w:rPr>
      </w:pPr>
    </w:p>
    <w:p w14:paraId="040A7281" w14:textId="44DB5CFF" w:rsidR="00475FBF" w:rsidRPr="00E120EF" w:rsidRDefault="00E57680" w:rsidP="00090461">
      <w:pPr>
        <w:spacing w:after="0" w:line="480" w:lineRule="auto"/>
        <w:rPr>
          <w:rFonts w:cstheme="minorHAnsi"/>
        </w:rPr>
      </w:pPr>
      <w:r w:rsidRPr="00090461">
        <w:rPr>
          <w:rFonts w:cstheme="minorHAnsi"/>
          <w:b/>
          <w:bCs/>
        </w:rPr>
        <w:t>1.</w:t>
      </w:r>
      <w:r w:rsidR="00197223">
        <w:rPr>
          <w:rFonts w:cstheme="minorHAnsi"/>
          <w:b/>
          <w:bCs/>
        </w:rPr>
        <w:t>9</w:t>
      </w:r>
      <w:r w:rsidR="00BF578A">
        <w:rPr>
          <w:rFonts w:cstheme="minorHAnsi"/>
          <w:b/>
          <w:bCs/>
        </w:rPr>
        <w:t xml:space="preserve">  </w:t>
      </w:r>
      <w:r w:rsidR="00475FBF" w:rsidRPr="00E120EF">
        <w:rPr>
          <w:rFonts w:cstheme="minorHAnsi"/>
          <w:b/>
          <w:bCs/>
          <w:u w:val="single"/>
        </w:rPr>
        <w:t>Benefits and Potential Challenges</w:t>
      </w:r>
      <w:r w:rsidR="00475FBF" w:rsidRPr="00E120EF">
        <w:rPr>
          <w:rFonts w:cstheme="minorHAnsi"/>
        </w:rPr>
        <w:br/>
        <w:t>Bright Beginnings provides various predicted benefits. By creating an organised and predictable sensory environment, the group may promote emotional regulation and improved play participation</w:t>
      </w:r>
      <w:r w:rsidR="00CB0BBA">
        <w:rPr>
          <w:rFonts w:cstheme="minorHAnsi"/>
        </w:rPr>
        <w:t xml:space="preserve"> (Nilfyr</w:t>
      </w:r>
      <w:r w:rsidR="00320AB8">
        <w:rPr>
          <w:rFonts w:cstheme="minorHAnsi"/>
        </w:rPr>
        <w:t xml:space="preserve"> and Ewe, 2025)</w:t>
      </w:r>
      <w:r w:rsidR="00475FBF" w:rsidRPr="00E120EF">
        <w:rPr>
          <w:rFonts w:cstheme="minorHAnsi"/>
        </w:rPr>
        <w:t>. The small-group model facilitates responsive adult engagement and may promote positive peer experiences in a nonjudgmental environment. Furthermore, informal peer support and shared understanding can help parents feel less isolated when raising a child with special needs.</w:t>
      </w:r>
    </w:p>
    <w:p w14:paraId="1FD75EDC" w14:textId="1B5E52E7" w:rsidR="00475FBF" w:rsidRPr="00090461" w:rsidRDefault="00475FBF" w:rsidP="00090461">
      <w:pPr>
        <w:spacing w:after="0" w:line="480" w:lineRule="auto"/>
        <w:rPr>
          <w:rFonts w:cstheme="minorHAnsi"/>
        </w:rPr>
      </w:pPr>
      <w:r w:rsidRPr="007E53B2">
        <w:rPr>
          <w:rFonts w:cstheme="minorHAnsi"/>
        </w:rPr>
        <w:lastRenderedPageBreak/>
        <w:t>However, multiple challenges must be addressed. The decision to have small group sizes, while pedagogically sound, may limit income production and harm financial viability. Parental decision-making may be influenced by competition from free or subsidised community provision, even when specialist-informed treatment is beneficial. As a founder-led model, continuity and scalability will rely on careful planning and possible future collaboration. These concerns emphasise the necessity of balancing accessibility, quality, and sustainability in the enterprise model</w:t>
      </w:r>
      <w:r w:rsidR="00471205">
        <w:rPr>
          <w:rFonts w:cstheme="minorHAnsi"/>
        </w:rPr>
        <w:t xml:space="preserve"> (Local Government </w:t>
      </w:r>
      <w:r w:rsidR="0074266A">
        <w:rPr>
          <w:rFonts w:cstheme="minorHAnsi"/>
        </w:rPr>
        <w:t>Association, No date).</w:t>
      </w:r>
    </w:p>
    <w:p w14:paraId="1B99BF43" w14:textId="63530860" w:rsidR="00E57680" w:rsidRPr="007E53B2" w:rsidRDefault="00E57680" w:rsidP="00090461">
      <w:pPr>
        <w:spacing w:after="0" w:line="480" w:lineRule="auto"/>
        <w:rPr>
          <w:rFonts w:cstheme="minorHAnsi"/>
        </w:rPr>
      </w:pPr>
      <w:r w:rsidRPr="00E57680">
        <w:rPr>
          <w:rFonts w:cstheme="minorHAnsi"/>
        </w:rPr>
        <w:t>Addressing these difficulties proactively will be critical to ensure that the organization retains both pedagogical integrity and operational resilience, especially if further development is planned.</w:t>
      </w:r>
    </w:p>
    <w:p w14:paraId="245EE6E7" w14:textId="77777777" w:rsidR="00475FBF" w:rsidRPr="00090461" w:rsidRDefault="00475FBF" w:rsidP="00090461">
      <w:pPr>
        <w:spacing w:after="0" w:line="480" w:lineRule="auto"/>
        <w:rPr>
          <w:rFonts w:cstheme="minorHAnsi"/>
        </w:rPr>
      </w:pPr>
    </w:p>
    <w:p w14:paraId="3EE9FA95" w14:textId="2F518FBE" w:rsidR="00475FBF" w:rsidRPr="00090461" w:rsidRDefault="00D43703" w:rsidP="00090461">
      <w:pPr>
        <w:spacing w:after="0" w:line="480" w:lineRule="auto"/>
        <w:rPr>
          <w:rFonts w:cstheme="minorHAnsi"/>
        </w:rPr>
      </w:pPr>
      <w:r w:rsidRPr="00090461">
        <w:rPr>
          <w:rFonts w:cstheme="minorHAnsi"/>
          <w:b/>
          <w:bCs/>
        </w:rPr>
        <w:t>1.</w:t>
      </w:r>
      <w:r>
        <w:rPr>
          <w:rFonts w:cstheme="minorHAnsi"/>
          <w:b/>
          <w:bCs/>
        </w:rPr>
        <w:t xml:space="preserve">10 </w:t>
      </w:r>
      <w:r w:rsidRPr="00D43703">
        <w:rPr>
          <w:rFonts w:cstheme="minorHAnsi"/>
          <w:b/>
          <w:bCs/>
          <w:u w:val="single"/>
        </w:rPr>
        <w:t>Professional</w:t>
      </w:r>
      <w:r w:rsidR="00475FBF" w:rsidRPr="00D43703">
        <w:rPr>
          <w:rFonts w:cstheme="minorHAnsi"/>
          <w:b/>
          <w:bCs/>
          <w:u w:val="single"/>
        </w:rPr>
        <w:t xml:space="preserve"> </w:t>
      </w:r>
      <w:r w:rsidR="00E57680" w:rsidRPr="00090461">
        <w:rPr>
          <w:rFonts w:cstheme="minorHAnsi"/>
          <w:b/>
          <w:bCs/>
          <w:u w:val="single"/>
        </w:rPr>
        <w:t>S</w:t>
      </w:r>
      <w:r w:rsidR="00475FBF" w:rsidRPr="007E53B2">
        <w:rPr>
          <w:rFonts w:cstheme="minorHAnsi"/>
          <w:b/>
          <w:bCs/>
          <w:u w:val="single"/>
        </w:rPr>
        <w:t>uitability</w:t>
      </w:r>
      <w:r w:rsidR="00475FBF" w:rsidRPr="007E53B2">
        <w:rPr>
          <w:rFonts w:cstheme="minorHAnsi"/>
        </w:rPr>
        <w:br/>
        <w:t>The founder understands early childhood development and has previous experience working with youngsters. This lays a solid foundation for designing developmentally appropriate activities and ensuring inclusive practice</w:t>
      </w:r>
      <w:r w:rsidR="005A7FCA">
        <w:rPr>
          <w:rFonts w:cstheme="minorHAnsi"/>
        </w:rPr>
        <w:t xml:space="preserve"> (Hockey</w:t>
      </w:r>
      <w:r w:rsidR="00A856CD">
        <w:rPr>
          <w:rFonts w:cstheme="minorHAnsi"/>
        </w:rPr>
        <w:t>, Philpott-Robinson, Haracz and Ray, 2025)</w:t>
      </w:r>
      <w:r w:rsidR="00475FBF" w:rsidRPr="007E53B2">
        <w:rPr>
          <w:rFonts w:cstheme="minorHAnsi"/>
        </w:rPr>
        <w:t>.</w:t>
      </w:r>
      <w:r w:rsidR="00475FBF" w:rsidRPr="007E53B2">
        <w:rPr>
          <w:rFonts w:cstheme="minorHAnsi"/>
        </w:rPr>
        <w:br/>
        <w:t>Ongoing professional development in SEND and sensory-informed techniques will be prioritised to guarantee best practice and reflective delivery.</w:t>
      </w:r>
    </w:p>
    <w:p w14:paraId="7CED0CA1" w14:textId="76C707CE" w:rsidR="00615DEE" w:rsidRPr="00615DEE" w:rsidRDefault="00615DEE" w:rsidP="00090461">
      <w:pPr>
        <w:spacing w:after="0" w:line="480" w:lineRule="auto"/>
        <w:rPr>
          <w:rFonts w:cstheme="minorHAnsi"/>
        </w:rPr>
      </w:pPr>
      <w:r w:rsidRPr="00615DEE">
        <w:rPr>
          <w:rFonts w:cstheme="minorHAnsi"/>
        </w:rPr>
        <w:t>Delivering a SEND-informed provision necessitates thoughtful leadership, emotional intelligence, and collaboration with families. To achieve high-quality delivery, the organization will be based on a commitment to continuous professional growth and responsive practice</w:t>
      </w:r>
      <w:r w:rsidR="00483CB0">
        <w:rPr>
          <w:rFonts w:cstheme="minorHAnsi"/>
        </w:rPr>
        <w:t xml:space="preserve"> (Bennett et al.,</w:t>
      </w:r>
      <w:r w:rsidR="006E4F2C">
        <w:rPr>
          <w:rFonts w:cstheme="minorHAnsi"/>
        </w:rPr>
        <w:t xml:space="preserve"> 2024)</w:t>
      </w:r>
      <w:r w:rsidRPr="00615DEE">
        <w:rPr>
          <w:rFonts w:cstheme="minorHAnsi"/>
        </w:rPr>
        <w:t>.</w:t>
      </w:r>
    </w:p>
    <w:p w14:paraId="313EECCA" w14:textId="77777777" w:rsidR="00475FBF" w:rsidRPr="00090461" w:rsidRDefault="00475FBF" w:rsidP="00090461">
      <w:pPr>
        <w:spacing w:after="0" w:line="480" w:lineRule="auto"/>
        <w:rPr>
          <w:rFonts w:cstheme="minorHAnsi"/>
        </w:rPr>
      </w:pPr>
    </w:p>
    <w:p w14:paraId="560EBFDF" w14:textId="11587AC7" w:rsidR="00475FBF" w:rsidRPr="00090461" w:rsidRDefault="00E57680" w:rsidP="00090461">
      <w:pPr>
        <w:spacing w:after="0" w:line="480" w:lineRule="auto"/>
        <w:rPr>
          <w:rFonts w:cstheme="minorHAnsi"/>
        </w:rPr>
      </w:pPr>
      <w:r w:rsidRPr="00090461">
        <w:rPr>
          <w:rFonts w:cstheme="minorHAnsi"/>
          <w:b/>
          <w:bCs/>
        </w:rPr>
        <w:t>1.</w:t>
      </w:r>
      <w:r w:rsidR="00475FBF" w:rsidRPr="007E53B2">
        <w:rPr>
          <w:rFonts w:cstheme="minorHAnsi"/>
          <w:b/>
          <w:bCs/>
        </w:rPr>
        <w:t>1</w:t>
      </w:r>
      <w:r w:rsidR="00197223">
        <w:rPr>
          <w:rFonts w:cstheme="minorHAnsi"/>
          <w:b/>
          <w:bCs/>
        </w:rPr>
        <w:t>1</w:t>
      </w:r>
      <w:r w:rsidR="00475FBF" w:rsidRPr="007E53B2">
        <w:rPr>
          <w:rFonts w:cstheme="minorHAnsi"/>
          <w:b/>
          <w:bCs/>
        </w:rPr>
        <w:t xml:space="preserve"> </w:t>
      </w:r>
      <w:r w:rsidR="00475FBF" w:rsidRPr="007E53B2">
        <w:rPr>
          <w:rFonts w:cstheme="minorHAnsi"/>
          <w:b/>
          <w:bCs/>
          <w:u w:val="single"/>
        </w:rPr>
        <w:t>Summary</w:t>
      </w:r>
      <w:r w:rsidR="00475FBF" w:rsidRPr="007E53B2">
        <w:rPr>
          <w:rFonts w:cstheme="minorHAnsi"/>
        </w:rPr>
        <w:br/>
        <w:t>Bright Beginnings is a community-based, sensory-informed early years program in Carmarthenshire that caters to the requirements of children with SEND/ALN. By merging developmental theory, inclusive practice, and accessible delivery, the enterprise hopes to give early, preventative support in a peaceful and relational setting</w:t>
      </w:r>
      <w:r w:rsidR="005A7FBC">
        <w:rPr>
          <w:rFonts w:cstheme="minorHAnsi"/>
        </w:rPr>
        <w:t xml:space="preserve"> (Welsh Government, 2021).</w:t>
      </w:r>
      <w:r w:rsidR="00475FBF" w:rsidRPr="007E53B2">
        <w:rPr>
          <w:rFonts w:cstheme="minorHAnsi"/>
        </w:rPr>
        <w:br/>
        <w:t>The notion represents a small-scale but socially sensitive innovation in the early childhood sector.</w:t>
      </w:r>
    </w:p>
    <w:p w14:paraId="4CE8B47B" w14:textId="14AC71BB" w:rsidR="00615DEE" w:rsidRPr="00090461" w:rsidRDefault="00615DEE" w:rsidP="00090461">
      <w:pPr>
        <w:spacing w:after="0" w:line="480" w:lineRule="auto"/>
        <w:rPr>
          <w:rFonts w:cstheme="minorHAnsi"/>
        </w:rPr>
      </w:pPr>
      <w:r w:rsidRPr="00615DEE">
        <w:rPr>
          <w:rFonts w:cstheme="minorHAnsi"/>
        </w:rPr>
        <w:lastRenderedPageBreak/>
        <w:t>While limited in scale, the concept has the potential for long-term community influence and could inform broader early childhood practice if properly studied and developed. Its future success will be dependent on sustaining its basic sensory concept while adapting to community needs and policy changes</w:t>
      </w:r>
      <w:r w:rsidR="005A7FBC">
        <w:rPr>
          <w:rFonts w:cstheme="minorHAnsi"/>
        </w:rPr>
        <w:t xml:space="preserve"> (Lindon et al., 2025)</w:t>
      </w:r>
      <w:r w:rsidRPr="00615DEE">
        <w:rPr>
          <w:rFonts w:cstheme="minorHAnsi"/>
        </w:rPr>
        <w:t>.</w:t>
      </w:r>
    </w:p>
    <w:p w14:paraId="23C64AD6" w14:textId="77777777" w:rsidR="00615DEE" w:rsidRPr="00090461" w:rsidRDefault="00615DEE" w:rsidP="00090461">
      <w:pPr>
        <w:spacing w:after="0" w:line="480" w:lineRule="auto"/>
        <w:rPr>
          <w:rFonts w:cstheme="minorHAnsi"/>
        </w:rPr>
      </w:pPr>
    </w:p>
    <w:p w14:paraId="75BF684A" w14:textId="1245C5A6" w:rsidR="00615DEE" w:rsidRDefault="00615DEE" w:rsidP="00090461">
      <w:pPr>
        <w:spacing w:after="0" w:line="480" w:lineRule="auto"/>
        <w:rPr>
          <w:rFonts w:cstheme="minorHAnsi"/>
        </w:rPr>
      </w:pPr>
      <w:r w:rsidRPr="00615DEE">
        <w:rPr>
          <w:rFonts w:cstheme="minorHAnsi"/>
          <w:b/>
          <w:bCs/>
        </w:rPr>
        <w:t xml:space="preserve">2.1 </w:t>
      </w:r>
      <w:r w:rsidRPr="00615DEE">
        <w:rPr>
          <w:rFonts w:cstheme="minorHAnsi"/>
          <w:b/>
          <w:bCs/>
          <w:u w:val="single"/>
        </w:rPr>
        <w:t>Introduction</w:t>
      </w:r>
      <w:r w:rsidRPr="00615DEE">
        <w:rPr>
          <w:rFonts w:cstheme="minorHAnsi"/>
        </w:rPr>
        <w:br/>
      </w:r>
      <w:r w:rsidR="000E5B45" w:rsidRPr="00090461">
        <w:rPr>
          <w:rFonts w:cstheme="minorHAnsi"/>
        </w:rPr>
        <w:t>Bright Beginnings is a sensory-informed early childhood agency that helps children aged 0 to 5 with SEND/ALN. Part A offered an explanation of the business concept; Part B critically evaluated the program's potential impact on cognitive, social, and emotional development, inclusivity, and the larger early childhood setting. This analysis considers developmental theory, current policy, and empirical research to determine the proposed service's potential benefits and limitations.</w:t>
      </w:r>
      <w:r w:rsidR="000E5B45" w:rsidRPr="00090461">
        <w:rPr>
          <w:rFonts w:cstheme="minorHAnsi"/>
        </w:rPr>
        <w:br/>
        <w:t xml:space="preserve">Bright Beginnings exemplifies social innovation and entrepreneurial response to local community needs by filling an identified vacuum in rural SEND/ALN early childhood provision. The discussion also </w:t>
      </w:r>
      <w:r w:rsidR="00090461" w:rsidRPr="00090461">
        <w:rPr>
          <w:rFonts w:cstheme="minorHAnsi"/>
        </w:rPr>
        <w:t>considers</w:t>
      </w:r>
      <w:r w:rsidR="000E5B45" w:rsidRPr="00090461">
        <w:rPr>
          <w:rFonts w:cstheme="minorHAnsi"/>
        </w:rPr>
        <w:t xml:space="preserve"> ethical and </w:t>
      </w:r>
      <w:r w:rsidR="00090461" w:rsidRPr="00090461">
        <w:rPr>
          <w:rFonts w:cstheme="minorHAnsi"/>
        </w:rPr>
        <w:t>economic</w:t>
      </w:r>
      <w:r w:rsidR="000E5B45" w:rsidRPr="00090461">
        <w:rPr>
          <w:rFonts w:cstheme="minorHAnsi"/>
        </w:rPr>
        <w:t xml:space="preserve"> considerations, scalability restrictions, and potential future development and research prospects.</w:t>
      </w:r>
    </w:p>
    <w:p w14:paraId="438CCC87" w14:textId="77777777" w:rsidR="00090461" w:rsidRPr="00090461" w:rsidRDefault="00090461" w:rsidP="00090461">
      <w:pPr>
        <w:spacing w:after="0" w:line="480" w:lineRule="auto"/>
        <w:rPr>
          <w:rFonts w:cstheme="minorHAnsi"/>
        </w:rPr>
      </w:pPr>
    </w:p>
    <w:p w14:paraId="06007B82" w14:textId="5B8ED8AE" w:rsidR="00090461" w:rsidRDefault="00615DEE" w:rsidP="00090461">
      <w:pPr>
        <w:spacing w:after="0" w:line="480" w:lineRule="auto"/>
        <w:rPr>
          <w:rFonts w:cstheme="minorHAnsi"/>
        </w:rPr>
      </w:pPr>
      <w:r w:rsidRPr="00615DEE">
        <w:rPr>
          <w:rFonts w:cstheme="minorHAnsi"/>
          <w:b/>
          <w:bCs/>
        </w:rPr>
        <w:t xml:space="preserve">2.2 </w:t>
      </w:r>
      <w:r w:rsidRPr="00615DEE">
        <w:rPr>
          <w:rFonts w:cstheme="minorHAnsi"/>
          <w:b/>
          <w:bCs/>
          <w:u w:val="single"/>
        </w:rPr>
        <w:t>Effects on Cognitive Development</w:t>
      </w:r>
      <w:r w:rsidRPr="00615DEE">
        <w:rPr>
          <w:rFonts w:cstheme="minorHAnsi"/>
        </w:rPr>
        <w:br/>
        <w:t xml:space="preserve">Sensory play is widely recognised as an important aspect in early cognitive development. Piaget's (1952) constructivist theory emphasises the need of active inquiry in creating cognitive schemas, problem solving, and gaining an understanding of the environment. </w:t>
      </w:r>
      <w:r w:rsidR="0089704F" w:rsidRPr="00090461">
        <w:rPr>
          <w:rFonts w:cstheme="minorHAnsi"/>
        </w:rPr>
        <w:t>Bright Beginnings encourages targeted sensory engagement in children with SEND/ALN through graded tactile, proprioceptive, and vestibular experiences.</w:t>
      </w:r>
    </w:p>
    <w:p w14:paraId="6043D4A3" w14:textId="5D6CB145" w:rsidR="0089704F" w:rsidRPr="0089704F" w:rsidRDefault="0089704F" w:rsidP="00090461">
      <w:pPr>
        <w:spacing w:after="0" w:line="480" w:lineRule="auto"/>
        <w:rPr>
          <w:rFonts w:cstheme="minorHAnsi"/>
        </w:rPr>
      </w:pPr>
      <w:r w:rsidRPr="0089704F">
        <w:rPr>
          <w:rFonts w:cstheme="minorHAnsi"/>
        </w:rPr>
        <w:t>According to research, children with autism spectrum disorders or sensory processing impairments frequently fail to interact in overstimulating surroundings (</w:t>
      </w:r>
      <w:r w:rsidR="0047535D" w:rsidRPr="0047535D">
        <w:rPr>
          <w:rFonts w:cstheme="minorHAnsi"/>
        </w:rPr>
        <w:t>Ç</w:t>
      </w:r>
      <w:r w:rsidR="00E4504A">
        <w:rPr>
          <w:rFonts w:cstheme="minorHAnsi"/>
        </w:rPr>
        <w:t>orakci Yazico</w:t>
      </w:r>
      <w:r w:rsidR="009C2E1F" w:rsidRPr="009C2E1F">
        <w:rPr>
          <w:rFonts w:cstheme="minorHAnsi"/>
        </w:rPr>
        <w:t>ğ</w:t>
      </w:r>
      <w:r w:rsidR="009C2E1F">
        <w:rPr>
          <w:rFonts w:cstheme="minorHAnsi"/>
        </w:rPr>
        <w:t>lu and Bumin, 2025</w:t>
      </w:r>
      <w:r w:rsidRPr="0089704F">
        <w:rPr>
          <w:rFonts w:cstheme="minorHAnsi"/>
        </w:rPr>
        <w:t xml:space="preserve">). Structured sensory sessions, like used in Bright Beginnings, may improve attention regulation, engagement, and adaptive problem-solving methods, especially for children with developmental </w:t>
      </w:r>
      <w:r w:rsidRPr="0089704F">
        <w:rPr>
          <w:rFonts w:cstheme="minorHAnsi"/>
        </w:rPr>
        <w:lastRenderedPageBreak/>
        <w:t>delays. This is consistent with early intervention concepts, as structured stimulation has been related to enhanced cognitive outcomes (</w:t>
      </w:r>
      <w:r w:rsidR="00F66844">
        <w:rPr>
          <w:rFonts w:cstheme="minorHAnsi"/>
        </w:rPr>
        <w:t>Piller et al., 2025</w:t>
      </w:r>
      <w:r w:rsidRPr="0089704F">
        <w:rPr>
          <w:rFonts w:cstheme="minorHAnsi"/>
        </w:rPr>
        <w:t>).</w:t>
      </w:r>
    </w:p>
    <w:p w14:paraId="5E6748A3" w14:textId="5E253223" w:rsidR="000E5B45" w:rsidRPr="000E5B45" w:rsidRDefault="000E5B45" w:rsidP="00090461">
      <w:pPr>
        <w:spacing w:after="0" w:line="480" w:lineRule="auto"/>
        <w:rPr>
          <w:rFonts w:cstheme="minorHAnsi"/>
        </w:rPr>
      </w:pPr>
      <w:r w:rsidRPr="000E5B45">
        <w:rPr>
          <w:rFonts w:cstheme="minorHAnsi"/>
        </w:rPr>
        <w:t xml:space="preserve">However, it is worth noting that the evidence is mixed. According </w:t>
      </w:r>
      <w:r w:rsidR="00CE36EC">
        <w:rPr>
          <w:rFonts w:cstheme="minorHAnsi"/>
        </w:rPr>
        <w:t>to Piller et al.</w:t>
      </w:r>
      <w:r w:rsidRPr="000E5B45">
        <w:rPr>
          <w:rFonts w:cstheme="minorHAnsi"/>
        </w:rPr>
        <w:t xml:space="preserve"> (20</w:t>
      </w:r>
      <w:r w:rsidR="00CE36EC">
        <w:rPr>
          <w:rFonts w:cstheme="minorHAnsi"/>
        </w:rPr>
        <w:t>25</w:t>
      </w:r>
      <w:r w:rsidRPr="000E5B45">
        <w:rPr>
          <w:rFonts w:cstheme="minorHAnsi"/>
        </w:rPr>
        <w:t>), small-group sensory interventions work best when combined with individualised therapy or specialised input. As a result, Bright Beginnings is more likely to be used in conjunction with other interventions than as a solitary therapy.</w:t>
      </w:r>
    </w:p>
    <w:p w14:paraId="557DAC40" w14:textId="77777777" w:rsidR="00615DEE" w:rsidRPr="00615DEE" w:rsidRDefault="00615DEE" w:rsidP="00090461">
      <w:pPr>
        <w:spacing w:after="0" w:line="480" w:lineRule="auto"/>
        <w:rPr>
          <w:rFonts w:cstheme="minorHAnsi"/>
        </w:rPr>
      </w:pPr>
    </w:p>
    <w:p w14:paraId="7359C864" w14:textId="611E8295" w:rsidR="00615DEE" w:rsidRPr="00615DEE" w:rsidRDefault="00615DEE" w:rsidP="00090461">
      <w:pPr>
        <w:spacing w:after="0" w:line="480" w:lineRule="auto"/>
        <w:rPr>
          <w:rFonts w:cstheme="minorHAnsi"/>
        </w:rPr>
      </w:pPr>
      <w:r w:rsidRPr="00615DEE">
        <w:rPr>
          <w:rFonts w:cstheme="minorHAnsi"/>
          <w:b/>
          <w:bCs/>
        </w:rPr>
        <w:t>2.3</w:t>
      </w:r>
      <w:r w:rsidRPr="00615DEE">
        <w:rPr>
          <w:rFonts w:cstheme="minorHAnsi"/>
        </w:rPr>
        <w:t xml:space="preserve"> </w:t>
      </w:r>
      <w:r w:rsidRPr="00615DEE">
        <w:rPr>
          <w:rFonts w:cstheme="minorHAnsi"/>
          <w:b/>
          <w:bCs/>
          <w:u w:val="single"/>
        </w:rPr>
        <w:t>Social and Emotional Development</w:t>
      </w:r>
      <w:r w:rsidRPr="00615DEE">
        <w:rPr>
          <w:rFonts w:cstheme="minorHAnsi"/>
        </w:rPr>
        <w:br/>
        <w:t>Vygotsky's (1978) socio-cultural theory emphasises the significance of guided interaction and social scaffolding in the Zone of Proximal Development (ZPD). Bright Beginnings operates in small, predictable groups, which allows for controlled peer engagement and directed adult facilitation, potentially improving language learning, social communication, and emotional regulation. Routine consistency and a predictable environment also help to develop trust, safety, and self-regulation abilities, which is especially important for children who are anxious in overstimulating environments.</w:t>
      </w:r>
    </w:p>
    <w:p w14:paraId="702D21DD" w14:textId="15BF321A" w:rsidR="00615DEE" w:rsidRPr="00615DEE" w:rsidRDefault="00615DEE" w:rsidP="00090461">
      <w:pPr>
        <w:spacing w:after="0" w:line="480" w:lineRule="auto"/>
        <w:rPr>
          <w:rFonts w:cstheme="minorHAnsi"/>
        </w:rPr>
      </w:pPr>
      <w:r w:rsidRPr="00615DEE">
        <w:rPr>
          <w:rFonts w:cstheme="minorHAnsi"/>
        </w:rPr>
        <w:t>According to empirical research, early emotional regulation is strongly linked to later social competence and adaptive conduct (</w:t>
      </w:r>
      <w:r w:rsidR="00EE6E78">
        <w:rPr>
          <w:rFonts w:cstheme="minorHAnsi"/>
        </w:rPr>
        <w:t>Silkenbeumer et al., 2024</w:t>
      </w:r>
      <w:r w:rsidRPr="00615DEE">
        <w:rPr>
          <w:rFonts w:cstheme="minorHAnsi"/>
        </w:rPr>
        <w:t>). The program's emphasis on sensory-informed surroundings may lessen dysregulation caused by overstimulation, allowing children to engage more fully in social interactions. Furthermore, parents gain indirectly from witnessing and engaging with their children in a secure, organised environment, which can boost family attachment and parental confidence</w:t>
      </w:r>
      <w:r w:rsidR="00D7579B">
        <w:rPr>
          <w:rFonts w:cstheme="minorHAnsi"/>
        </w:rPr>
        <w:t xml:space="preserve"> (Wang et al.,</w:t>
      </w:r>
      <w:r w:rsidR="00F636FA">
        <w:rPr>
          <w:rFonts w:cstheme="minorHAnsi"/>
        </w:rPr>
        <w:t>2025)</w:t>
      </w:r>
      <w:r w:rsidRPr="00615DEE">
        <w:rPr>
          <w:rFonts w:cstheme="minorHAnsi"/>
        </w:rPr>
        <w:t>.</w:t>
      </w:r>
      <w:r w:rsidRPr="00615DEE">
        <w:rPr>
          <w:rFonts w:cstheme="minorHAnsi"/>
        </w:rPr>
        <w:br/>
      </w:r>
      <w:r w:rsidR="0089704F" w:rsidRPr="00090461">
        <w:rPr>
          <w:rFonts w:cstheme="minorHAnsi"/>
        </w:rPr>
        <w:t>Nonetheless, success depend on facilitator expertise and delivery fidelity. Limited professional experience or irregular implementation may limit the benefits. Furthermore, while small-group delivery is useful for tailored support, it may diminish exposure to a larger range of peer interactions, thereby limiting social diversity when compared to mainstream playgroups.</w:t>
      </w:r>
    </w:p>
    <w:p w14:paraId="1C861396" w14:textId="77777777" w:rsidR="00615DEE" w:rsidRPr="007E53B2" w:rsidRDefault="00615DEE" w:rsidP="00090461">
      <w:pPr>
        <w:spacing w:after="0" w:line="480" w:lineRule="auto"/>
        <w:rPr>
          <w:rFonts w:cstheme="minorHAnsi"/>
        </w:rPr>
      </w:pPr>
    </w:p>
    <w:p w14:paraId="0AD7CE4D" w14:textId="7D72FB03" w:rsidR="0089704F" w:rsidRPr="00090461" w:rsidRDefault="00615DEE" w:rsidP="00090461">
      <w:pPr>
        <w:spacing w:after="0" w:line="480" w:lineRule="auto"/>
        <w:rPr>
          <w:rFonts w:cstheme="minorHAnsi"/>
        </w:rPr>
      </w:pPr>
      <w:r w:rsidRPr="00615DEE">
        <w:rPr>
          <w:rFonts w:cstheme="minorHAnsi"/>
          <w:b/>
          <w:bCs/>
        </w:rPr>
        <w:lastRenderedPageBreak/>
        <w:t>2.4</w:t>
      </w:r>
      <w:r w:rsidRPr="00615DEE">
        <w:rPr>
          <w:rFonts w:cstheme="minorHAnsi"/>
          <w:b/>
          <w:bCs/>
          <w:u w:val="single"/>
        </w:rPr>
        <w:t xml:space="preserve"> Inclusion and the Social Model</w:t>
      </w:r>
      <w:r w:rsidRPr="00615DEE">
        <w:rPr>
          <w:rFonts w:cstheme="minorHAnsi"/>
        </w:rPr>
        <w:br/>
      </w:r>
      <w:r w:rsidR="0089704F" w:rsidRPr="00090461">
        <w:rPr>
          <w:rFonts w:cstheme="minorHAnsi"/>
        </w:rPr>
        <w:t>Bright Beginnings supports the social model of disability, which holds that contextual barriers, rather than individual limitations, frequently limit participation (</w:t>
      </w:r>
      <w:r w:rsidR="00A951B4">
        <w:rPr>
          <w:rFonts w:cstheme="minorHAnsi"/>
        </w:rPr>
        <w:t>Dott and</w:t>
      </w:r>
      <w:r w:rsidR="00085A40">
        <w:rPr>
          <w:rFonts w:cstheme="minorHAnsi"/>
        </w:rPr>
        <w:t xml:space="preserve"> Li</w:t>
      </w:r>
      <w:r w:rsidR="008F55FD">
        <w:rPr>
          <w:rFonts w:cstheme="minorHAnsi"/>
        </w:rPr>
        <w:t>candro, 2025</w:t>
      </w:r>
      <w:r w:rsidR="0089704F" w:rsidRPr="00090461">
        <w:rPr>
          <w:rFonts w:cstheme="minorHAnsi"/>
        </w:rPr>
        <w:t>). The program aims to establish a low-stimulation, predictable setting that eliminates contextual barriers, supporting inclusive engagement for children with SEND/ALN.</w:t>
      </w:r>
      <w:r w:rsidRPr="00615DEE">
        <w:rPr>
          <w:rFonts w:cstheme="minorHAnsi"/>
        </w:rPr>
        <w:br/>
      </w:r>
      <w:r w:rsidR="00BA60E4" w:rsidRPr="00BA60E4">
        <w:rPr>
          <w:rFonts w:cstheme="minorHAnsi"/>
        </w:rPr>
        <w:t>This approach aligns with Welsh law, including the Additional Learning Needs and Education Tribunal (Wales) Act 2018 and the ALN Code, which prioritise person-centred support, early intervention, and inclusive education for all learners (Welsh Government, 2025). Bright Beginnings carries out these principles at the community level, providing preventative intervention and an entrepreneurial response to unmet local needs.</w:t>
      </w:r>
      <w:r w:rsidR="0089704F" w:rsidRPr="00090461">
        <w:rPr>
          <w:rFonts w:cstheme="minorHAnsi"/>
        </w:rPr>
        <w:br/>
        <w:t>However, the strategy emphasises targeted inclusion over comprehensive mainstream integration. Children may still be separated from larger early childhood institutions,</w:t>
      </w:r>
      <w:r w:rsidR="00537DEC">
        <w:rPr>
          <w:rFonts w:cstheme="minorHAnsi"/>
        </w:rPr>
        <w:t xml:space="preserve"> as Dott and Licandro (2025)</w:t>
      </w:r>
      <w:r w:rsidR="0089704F" w:rsidRPr="00090461">
        <w:rPr>
          <w:rFonts w:cstheme="minorHAnsi"/>
        </w:rPr>
        <w:t xml:space="preserve"> highlight</w:t>
      </w:r>
      <w:r w:rsidR="00537DEC">
        <w:rPr>
          <w:rFonts w:cstheme="minorHAnsi"/>
        </w:rPr>
        <w:t>ed</w:t>
      </w:r>
      <w:r w:rsidR="0089704F" w:rsidRPr="00090461">
        <w:rPr>
          <w:rFonts w:cstheme="minorHAnsi"/>
        </w:rPr>
        <w:t xml:space="preserve"> the requirement of additional mainstream programs to promote holistic social </w:t>
      </w:r>
      <w:r w:rsidR="00921502" w:rsidRPr="00090461">
        <w:rPr>
          <w:rFonts w:cstheme="minorHAnsi"/>
        </w:rPr>
        <w:t>development</w:t>
      </w:r>
      <w:r w:rsidR="00921502">
        <w:rPr>
          <w:rFonts w:cstheme="minorHAnsi"/>
        </w:rPr>
        <w:t>.</w:t>
      </w:r>
    </w:p>
    <w:p w14:paraId="239C179B" w14:textId="14121D7E" w:rsidR="00615DEE" w:rsidRPr="00090461" w:rsidRDefault="00615DEE" w:rsidP="00090461">
      <w:pPr>
        <w:spacing w:after="0" w:line="480" w:lineRule="auto"/>
        <w:rPr>
          <w:rFonts w:cstheme="minorHAnsi"/>
        </w:rPr>
      </w:pPr>
    </w:p>
    <w:p w14:paraId="67D9AD3B" w14:textId="61067AB1" w:rsidR="00615DEE" w:rsidRPr="00615DEE" w:rsidRDefault="00615DEE" w:rsidP="00090461">
      <w:pPr>
        <w:spacing w:after="0" w:line="480" w:lineRule="auto"/>
        <w:rPr>
          <w:rFonts w:cstheme="minorHAnsi"/>
        </w:rPr>
      </w:pPr>
      <w:r w:rsidRPr="00615DEE">
        <w:rPr>
          <w:rFonts w:cstheme="minorHAnsi"/>
          <w:b/>
          <w:bCs/>
        </w:rPr>
        <w:t xml:space="preserve">2.5 </w:t>
      </w:r>
      <w:r w:rsidRPr="00615DEE">
        <w:rPr>
          <w:rFonts w:cstheme="minorHAnsi"/>
          <w:b/>
          <w:bCs/>
          <w:u w:val="single"/>
        </w:rPr>
        <w:t>Comparison to Existing Provision</w:t>
      </w:r>
      <w:r w:rsidRPr="00615DEE">
        <w:rPr>
          <w:rFonts w:cstheme="minorHAnsi"/>
        </w:rPr>
        <w:br/>
        <w:t>Current early childhood provision in Carmarthenshire and other rural towns is typically generic, offering mainstream playgroups with huge, variable group sizes. Such environments can be overstimulating and may not suit the needs of children with sensory processing disorders or complicated developmental demands. According to research, access to professional community-based sensory therapies is limited, resulting in a significant service gap (</w:t>
      </w:r>
      <w:r w:rsidR="00C210AF">
        <w:rPr>
          <w:rFonts w:cstheme="minorHAnsi"/>
        </w:rPr>
        <w:t>Siller et al., 2021</w:t>
      </w:r>
      <w:r w:rsidRPr="00615DEE">
        <w:rPr>
          <w:rFonts w:cstheme="minorHAnsi"/>
        </w:rPr>
        <w:t>).</w:t>
      </w:r>
    </w:p>
    <w:p w14:paraId="4D4FD80E" w14:textId="21E2F7ED" w:rsidR="0089704F" w:rsidRPr="0089704F" w:rsidRDefault="0089704F" w:rsidP="00090461">
      <w:pPr>
        <w:spacing w:after="0" w:line="480" w:lineRule="auto"/>
        <w:rPr>
          <w:rFonts w:cstheme="minorHAnsi"/>
        </w:rPr>
      </w:pPr>
      <w:r w:rsidRPr="0089704F">
        <w:rPr>
          <w:rFonts w:cstheme="minorHAnsi"/>
        </w:rPr>
        <w:t>Bright Beginnings addresses this gap by integrating evidence-based sensory methods, small-group instruction, and adherence to Welsh ALN legislation</w:t>
      </w:r>
      <w:r w:rsidR="008462C6">
        <w:rPr>
          <w:rFonts w:cstheme="minorHAnsi"/>
        </w:rPr>
        <w:t xml:space="preserve"> (Welsh Government, 2025)</w:t>
      </w:r>
      <w:r w:rsidRPr="0089704F">
        <w:rPr>
          <w:rFonts w:cstheme="minorHAnsi"/>
        </w:rPr>
        <w:t>. In comparison to present provision, the program improves predictability, provides concentrated adult support, and targets inclusion, taking a preventative rather than reactive approach.</w:t>
      </w:r>
      <w:r w:rsidRPr="0089704F">
        <w:rPr>
          <w:rFonts w:cstheme="minorHAnsi"/>
        </w:rPr>
        <w:br/>
        <w:t xml:space="preserve">Nonetheless, mainstream provision benefits from wider peer networks and a more diverse social </w:t>
      </w:r>
      <w:r w:rsidRPr="0089704F">
        <w:rPr>
          <w:rFonts w:cstheme="minorHAnsi"/>
        </w:rPr>
        <w:lastRenderedPageBreak/>
        <w:t>environment. As a result, Bright Beginnings may be most successful when combined with regular settings rather than replacing them totally.</w:t>
      </w:r>
    </w:p>
    <w:p w14:paraId="27850319" w14:textId="77777777" w:rsidR="00615DEE" w:rsidRPr="00090461" w:rsidRDefault="00615DEE" w:rsidP="00090461">
      <w:pPr>
        <w:spacing w:after="0" w:line="480" w:lineRule="auto"/>
        <w:rPr>
          <w:rFonts w:cstheme="minorHAnsi"/>
        </w:rPr>
      </w:pPr>
    </w:p>
    <w:p w14:paraId="10BAE59F" w14:textId="2DE00B87" w:rsidR="00085086" w:rsidRPr="00090461" w:rsidRDefault="000E5B45" w:rsidP="00090461">
      <w:pPr>
        <w:spacing w:after="0" w:line="480" w:lineRule="auto"/>
        <w:rPr>
          <w:rFonts w:cstheme="minorHAnsi"/>
        </w:rPr>
      </w:pPr>
      <w:r w:rsidRPr="000E5B45">
        <w:rPr>
          <w:rFonts w:cstheme="minorHAnsi"/>
          <w:b/>
          <w:bCs/>
        </w:rPr>
        <w:t xml:space="preserve">2.6 </w:t>
      </w:r>
      <w:r w:rsidRPr="000E5B45">
        <w:rPr>
          <w:rFonts w:cstheme="minorHAnsi"/>
          <w:b/>
          <w:bCs/>
          <w:u w:val="single"/>
        </w:rPr>
        <w:t xml:space="preserve">Ethical and </w:t>
      </w:r>
      <w:r w:rsidRPr="00090461">
        <w:rPr>
          <w:rFonts w:cstheme="minorHAnsi"/>
          <w:b/>
          <w:bCs/>
          <w:u w:val="single"/>
        </w:rPr>
        <w:t>S</w:t>
      </w:r>
      <w:r w:rsidRPr="000E5B45">
        <w:rPr>
          <w:rFonts w:cstheme="minorHAnsi"/>
          <w:b/>
          <w:bCs/>
          <w:u w:val="single"/>
        </w:rPr>
        <w:t xml:space="preserve">ocioeconomic </w:t>
      </w:r>
      <w:r w:rsidRPr="00090461">
        <w:rPr>
          <w:rFonts w:cstheme="minorHAnsi"/>
          <w:b/>
          <w:bCs/>
          <w:u w:val="single"/>
        </w:rPr>
        <w:t>C</w:t>
      </w:r>
      <w:r w:rsidRPr="000E5B45">
        <w:rPr>
          <w:rFonts w:cstheme="minorHAnsi"/>
          <w:b/>
          <w:bCs/>
          <w:u w:val="single"/>
        </w:rPr>
        <w:t>onsiderations</w:t>
      </w:r>
      <w:r w:rsidRPr="000E5B45">
        <w:rPr>
          <w:rFonts w:cstheme="minorHAnsi"/>
        </w:rPr>
        <w:br/>
      </w:r>
      <w:r w:rsidR="0089704F" w:rsidRPr="00090461">
        <w:rPr>
          <w:rFonts w:cstheme="minorHAnsi"/>
        </w:rPr>
        <w:t>Ethically, the curriculum focuses on child-centered practice, safety, and respect for developmental diversity. Operational planning, which includes safeguarding, risk assessment, and personnel training, adheres to legislative guidelines</w:t>
      </w:r>
      <w:r w:rsidR="00D0401A">
        <w:rPr>
          <w:rFonts w:cstheme="minorHAnsi"/>
        </w:rPr>
        <w:t xml:space="preserve"> (Pite, </w:t>
      </w:r>
      <w:r w:rsidR="0047015E">
        <w:rPr>
          <w:rFonts w:cstheme="minorHAnsi"/>
        </w:rPr>
        <w:t>2025)</w:t>
      </w:r>
      <w:r w:rsidR="0089704F" w:rsidRPr="00090461">
        <w:rPr>
          <w:rFonts w:cstheme="minorHAnsi"/>
        </w:rPr>
        <w:t>. Charging moderate session fees promotes financial sustainability, but there is a danger of alienating lower-income families. Sliding-scale fees or access to community funds are examples of potential mitigation measures</w:t>
      </w:r>
      <w:r w:rsidR="00565AA5">
        <w:rPr>
          <w:rFonts w:cstheme="minorHAnsi"/>
        </w:rPr>
        <w:t xml:space="preserve"> (OECD, 2025)</w:t>
      </w:r>
      <w:r w:rsidR="0089704F" w:rsidRPr="00090461">
        <w:rPr>
          <w:rFonts w:cstheme="minorHAnsi"/>
        </w:rPr>
        <w:t>.</w:t>
      </w:r>
      <w:r w:rsidR="0089704F" w:rsidRPr="00090461">
        <w:rPr>
          <w:rFonts w:cstheme="minorHAnsi"/>
        </w:rPr>
        <w:br/>
        <w:t>Socioeconomic issues also influence accessibility. Rural families may have transportation issues, and little discretionary income may limit participation. This demonstrates the contradiction between operational sustainability and equal access in small-scale social enterprises. Ethical delivery necessitates staff competency, reflective practice, and continual professional development in SEND and sensory-informed techniques</w:t>
      </w:r>
      <w:r w:rsidR="00085086">
        <w:rPr>
          <w:rFonts w:cstheme="minorHAnsi"/>
        </w:rPr>
        <w:t xml:space="preserve"> (Dickens, Wollny and Ireland</w:t>
      </w:r>
      <w:r w:rsidR="00DB6FB1">
        <w:rPr>
          <w:rFonts w:cstheme="minorHAnsi"/>
        </w:rPr>
        <w:t>, No date)</w:t>
      </w:r>
    </w:p>
    <w:p w14:paraId="1D2966C9" w14:textId="7262243B" w:rsidR="000E5B45" w:rsidRPr="00615DEE" w:rsidRDefault="000E5B45" w:rsidP="00090461">
      <w:pPr>
        <w:spacing w:after="0" w:line="480" w:lineRule="auto"/>
        <w:rPr>
          <w:rFonts w:cstheme="minorHAnsi"/>
        </w:rPr>
      </w:pPr>
    </w:p>
    <w:p w14:paraId="4BE973A3" w14:textId="7E5B4661" w:rsidR="000E5B45" w:rsidRPr="00703366" w:rsidRDefault="000E5B45" w:rsidP="00090461">
      <w:pPr>
        <w:spacing w:after="0" w:line="480" w:lineRule="auto"/>
        <w:rPr>
          <w:rFonts w:cstheme="minorHAnsi"/>
          <w:b/>
          <w:bCs/>
        </w:rPr>
      </w:pPr>
      <w:r w:rsidRPr="00090461">
        <w:rPr>
          <w:rFonts w:cstheme="minorHAnsi"/>
          <w:b/>
          <w:bCs/>
        </w:rPr>
        <w:t xml:space="preserve">2.7 </w:t>
      </w:r>
      <w:r w:rsidRPr="00090461">
        <w:rPr>
          <w:rFonts w:cstheme="minorHAnsi"/>
          <w:b/>
          <w:bCs/>
          <w:u w:val="single"/>
        </w:rPr>
        <w:t>Limitations and Future Development</w:t>
      </w:r>
    </w:p>
    <w:p w14:paraId="403C4D6F" w14:textId="14C0164C" w:rsidR="000E5B45" w:rsidRPr="00090461" w:rsidRDefault="000E5B45" w:rsidP="00090461">
      <w:pPr>
        <w:spacing w:after="0" w:line="480" w:lineRule="auto"/>
        <w:rPr>
          <w:rFonts w:cstheme="minorHAnsi"/>
        </w:rPr>
      </w:pPr>
      <w:r w:rsidRPr="00090461">
        <w:rPr>
          <w:rFonts w:cstheme="minorHAnsi"/>
        </w:rPr>
        <w:t>Bright Beginnings is purposely small in order to maximise sensory engagement and personalised care. This magnitude, however, limits revenue creation and may impede long-term growth. Relying on a founder-led model increases risk if staff capacity is limited or expertise is not transportable. Furthermore, the program may not completely incorporate children with various developmental requirements into conventional early childhood experiences, limiting social exposure</w:t>
      </w:r>
      <w:r w:rsidR="004B705F">
        <w:rPr>
          <w:rFonts w:cstheme="minorHAnsi"/>
        </w:rPr>
        <w:t xml:space="preserve"> (Smythe et al., 2021)</w:t>
      </w:r>
      <w:r w:rsidRPr="00090461">
        <w:rPr>
          <w:rFonts w:cstheme="minorHAnsi"/>
        </w:rPr>
        <w:t>.</w:t>
      </w:r>
      <w:r w:rsidR="004B705F">
        <w:rPr>
          <w:rFonts w:cstheme="minorHAnsi"/>
        </w:rPr>
        <w:t xml:space="preserve"> </w:t>
      </w:r>
    </w:p>
    <w:p w14:paraId="53F8CFCB" w14:textId="5EFED42D" w:rsidR="0010249F" w:rsidRPr="0010249F" w:rsidRDefault="000E5B45" w:rsidP="00090461">
      <w:pPr>
        <w:spacing w:after="0" w:line="480" w:lineRule="auto"/>
        <w:rPr>
          <w:rFonts w:cstheme="minorHAnsi"/>
        </w:rPr>
      </w:pPr>
      <w:r w:rsidRPr="00090461">
        <w:rPr>
          <w:rFonts w:cstheme="minorHAnsi"/>
        </w:rPr>
        <w:t xml:space="preserve">Future plans could include increasing capacity, cooperating with local nurseries to provide integrated care, or training more people to duplicate the idea in other community settings. Evaluation mechanisms, such as observational evaluations and parental input, would help to refine evidence-based practices. There is also potential for hybrid models that combine specialist sessions with </w:t>
      </w:r>
      <w:r w:rsidRPr="00090461">
        <w:rPr>
          <w:rFonts w:cstheme="minorHAnsi"/>
        </w:rPr>
        <w:lastRenderedPageBreak/>
        <w:t>mainstream integration to strike a balance between targeted intervention and inclusive experiences</w:t>
      </w:r>
      <w:r w:rsidR="00903240">
        <w:rPr>
          <w:rFonts w:cstheme="minorHAnsi"/>
        </w:rPr>
        <w:t xml:space="preserve"> </w:t>
      </w:r>
      <w:r w:rsidR="00D42789">
        <w:rPr>
          <w:rFonts w:cstheme="minorHAnsi"/>
        </w:rPr>
        <w:t>Local Government Association (2025)</w:t>
      </w:r>
      <w:r w:rsidRPr="00090461">
        <w:rPr>
          <w:rFonts w:cstheme="minorHAnsi"/>
        </w:rPr>
        <w:t>.</w:t>
      </w:r>
    </w:p>
    <w:p w14:paraId="53103ACC" w14:textId="7822F003" w:rsidR="000E5B45" w:rsidRPr="00090461" w:rsidRDefault="000E5B45" w:rsidP="00090461">
      <w:pPr>
        <w:spacing w:after="0" w:line="480" w:lineRule="auto"/>
        <w:rPr>
          <w:rFonts w:cstheme="minorHAnsi"/>
        </w:rPr>
      </w:pPr>
      <w:r w:rsidRPr="00090461">
        <w:rPr>
          <w:rFonts w:cstheme="minorHAnsi"/>
        </w:rPr>
        <w:t>There are potential for research into the program's influence on cognitive, social, and emotional outcomes, which will help to build the evidence basis for early years sensory treatments in remote communities</w:t>
      </w:r>
      <w:r w:rsidR="00C2663E">
        <w:rPr>
          <w:rFonts w:cstheme="minorHAnsi"/>
        </w:rPr>
        <w:t xml:space="preserve"> according to</w:t>
      </w:r>
      <w:r w:rsidR="00E852F9">
        <w:rPr>
          <w:rFonts w:cstheme="minorHAnsi"/>
        </w:rPr>
        <w:t xml:space="preserve"> Bennett et al., (2025).</w:t>
      </w:r>
    </w:p>
    <w:p w14:paraId="31E164F8" w14:textId="77777777" w:rsidR="000E5B45" w:rsidRPr="0041425B" w:rsidRDefault="000E5B45" w:rsidP="00090461">
      <w:pPr>
        <w:spacing w:after="0" w:line="480" w:lineRule="auto"/>
        <w:rPr>
          <w:rFonts w:cstheme="minorHAnsi"/>
        </w:rPr>
      </w:pPr>
    </w:p>
    <w:p w14:paraId="37AB87DA" w14:textId="70CA3F1E" w:rsidR="004D29EE" w:rsidRPr="00090461" w:rsidRDefault="000E5B45" w:rsidP="00090461">
      <w:pPr>
        <w:spacing w:after="0" w:line="480" w:lineRule="auto"/>
        <w:rPr>
          <w:rFonts w:cstheme="minorHAnsi"/>
        </w:rPr>
      </w:pPr>
      <w:r w:rsidRPr="00090461">
        <w:rPr>
          <w:rFonts w:cstheme="minorHAnsi"/>
          <w:b/>
          <w:bCs/>
          <w:lang w:val="en-US"/>
        </w:rPr>
        <w:t xml:space="preserve">2.8 </w:t>
      </w:r>
      <w:r w:rsidRPr="00090461">
        <w:rPr>
          <w:rFonts w:cstheme="minorHAnsi"/>
          <w:b/>
          <w:bCs/>
          <w:u w:val="single"/>
          <w:lang w:val="en-US"/>
        </w:rPr>
        <w:t>Conclusion</w:t>
      </w:r>
      <w:r w:rsidRPr="00090461">
        <w:rPr>
          <w:rFonts w:cstheme="minorHAnsi"/>
          <w:u w:val="single"/>
          <w:lang w:val="en-US"/>
        </w:rPr>
        <w:t xml:space="preserve"> </w:t>
      </w:r>
      <w:r w:rsidRPr="00090461">
        <w:rPr>
          <w:rFonts w:cstheme="minorHAnsi"/>
        </w:rPr>
        <w:br/>
      </w:r>
      <w:r w:rsidR="0089704F" w:rsidRPr="00090461">
        <w:rPr>
          <w:rFonts w:cstheme="minorHAnsi"/>
        </w:rPr>
        <w:t>Bright Beginnings shows great promise as a socially creative, preventative intervention for children with SEND/ALN</w:t>
      </w:r>
      <w:r w:rsidR="00887E00">
        <w:rPr>
          <w:rFonts w:cstheme="minorHAnsi"/>
        </w:rPr>
        <w:t xml:space="preserve"> (Bennett et al., 2025; Hatch et al., 2025)</w:t>
      </w:r>
      <w:r w:rsidR="0089704F" w:rsidRPr="00090461">
        <w:rPr>
          <w:rFonts w:cstheme="minorHAnsi"/>
        </w:rPr>
        <w:t>. Critical examination suggests that the program could promote cognitive, social, and emotional development, adhere to inclusive policy frameworks, and fill gaps in current rural provision.</w:t>
      </w:r>
      <w:r w:rsidR="0089704F" w:rsidRPr="00090461">
        <w:rPr>
          <w:rFonts w:cstheme="minorHAnsi"/>
        </w:rPr>
        <w:br/>
        <w:t>However, constraints in scalability, financial sustainability, and social exposure must be addressed by meticulous planning, evidence-based evaluation, and collaborative collaborations. Ethical and socioeconomic factors emphasise the importance of accessible, inclusive, and flexible delivery models</w:t>
      </w:r>
      <w:r w:rsidR="00657C52">
        <w:rPr>
          <w:rFonts w:cstheme="minorHAnsi"/>
        </w:rPr>
        <w:t xml:space="preserve"> (Early intervention Foundation, 2024)</w:t>
      </w:r>
      <w:r w:rsidR="0089704F" w:rsidRPr="00090461">
        <w:rPr>
          <w:rFonts w:cstheme="minorHAnsi"/>
        </w:rPr>
        <w:t>.</w:t>
      </w:r>
      <w:r w:rsidR="0089704F" w:rsidRPr="00090461">
        <w:rPr>
          <w:rFonts w:cstheme="minorHAnsi"/>
        </w:rPr>
        <w:br/>
        <w:t>Overall, Bright Beginnings offers a theoretically sound, socially relevant, and innovative approach to early childhood education. With sustained critical reflection, strategic expansion, and research-informed practice, the model has the potential for wider use in the early childhood sector.</w:t>
      </w:r>
    </w:p>
    <w:p w14:paraId="4F094B4B" w14:textId="77777777" w:rsidR="004D29EE" w:rsidRDefault="004D29EE" w:rsidP="00090461">
      <w:pPr>
        <w:spacing w:after="0" w:line="480" w:lineRule="auto"/>
        <w:rPr>
          <w:rFonts w:cstheme="minorHAnsi"/>
          <w:lang w:val="en-US"/>
        </w:rPr>
      </w:pPr>
    </w:p>
    <w:p w14:paraId="58E17EB4" w14:textId="77777777" w:rsidR="00046A68" w:rsidRDefault="00046A68" w:rsidP="00090461">
      <w:pPr>
        <w:spacing w:after="0" w:line="480" w:lineRule="auto"/>
        <w:rPr>
          <w:rFonts w:cstheme="minorHAnsi"/>
          <w:lang w:val="en-US"/>
        </w:rPr>
      </w:pPr>
    </w:p>
    <w:p w14:paraId="2622476B" w14:textId="77777777" w:rsidR="00046A68" w:rsidRDefault="00046A68" w:rsidP="00090461">
      <w:pPr>
        <w:spacing w:after="0" w:line="480" w:lineRule="auto"/>
        <w:rPr>
          <w:rFonts w:cstheme="minorHAnsi"/>
          <w:lang w:val="en-US"/>
        </w:rPr>
      </w:pPr>
    </w:p>
    <w:p w14:paraId="74EEC327" w14:textId="77777777" w:rsidR="00046A68" w:rsidRDefault="00046A68" w:rsidP="00090461">
      <w:pPr>
        <w:spacing w:after="0" w:line="480" w:lineRule="auto"/>
        <w:rPr>
          <w:rFonts w:cstheme="minorHAnsi"/>
          <w:lang w:val="en-US"/>
        </w:rPr>
      </w:pPr>
    </w:p>
    <w:p w14:paraId="4B165370" w14:textId="77777777" w:rsidR="00046A68" w:rsidRDefault="00046A68" w:rsidP="00090461">
      <w:pPr>
        <w:spacing w:after="0" w:line="480" w:lineRule="auto"/>
        <w:rPr>
          <w:rFonts w:cstheme="minorHAnsi"/>
          <w:lang w:val="en-US"/>
        </w:rPr>
      </w:pPr>
    </w:p>
    <w:p w14:paraId="5F272A4D" w14:textId="77777777" w:rsidR="00DA2139" w:rsidRDefault="00DA2139" w:rsidP="00090461">
      <w:pPr>
        <w:spacing w:after="0" w:line="480" w:lineRule="auto"/>
        <w:rPr>
          <w:rFonts w:cstheme="minorHAnsi"/>
          <w:lang w:val="en-US"/>
        </w:rPr>
      </w:pPr>
    </w:p>
    <w:p w14:paraId="727C2409" w14:textId="77777777" w:rsidR="00DA2139" w:rsidRDefault="00DA2139" w:rsidP="00090461">
      <w:pPr>
        <w:spacing w:after="0" w:line="480" w:lineRule="auto"/>
        <w:rPr>
          <w:rFonts w:cstheme="minorHAnsi"/>
          <w:lang w:val="en-US"/>
        </w:rPr>
      </w:pPr>
    </w:p>
    <w:p w14:paraId="73D74C76" w14:textId="77777777" w:rsidR="00DA2139" w:rsidRDefault="00DA2139" w:rsidP="00090461">
      <w:pPr>
        <w:spacing w:after="0" w:line="480" w:lineRule="auto"/>
        <w:rPr>
          <w:rFonts w:cstheme="minorHAnsi"/>
          <w:lang w:val="en-US"/>
        </w:rPr>
      </w:pPr>
    </w:p>
    <w:p w14:paraId="4BB81FC1" w14:textId="31D91146" w:rsidR="00173934" w:rsidRPr="00173934" w:rsidRDefault="00173934" w:rsidP="00173934">
      <w:pPr>
        <w:spacing w:after="0" w:line="480" w:lineRule="auto"/>
        <w:rPr>
          <w:rFonts w:cstheme="minorHAnsi"/>
          <w:b/>
          <w:bCs/>
          <w:lang w:val="en-US"/>
        </w:rPr>
      </w:pPr>
      <w:r w:rsidRPr="00173934">
        <w:rPr>
          <w:rFonts w:cstheme="minorHAnsi"/>
          <w:b/>
          <w:bCs/>
          <w:lang w:val="en-US"/>
        </w:rPr>
        <w:lastRenderedPageBreak/>
        <w:t>3</w:t>
      </w:r>
      <w:r w:rsidR="00372BED">
        <w:rPr>
          <w:rFonts w:cstheme="minorHAnsi"/>
          <w:b/>
          <w:bCs/>
          <w:lang w:val="en-US"/>
        </w:rPr>
        <w:t>.</w:t>
      </w:r>
      <w:r w:rsidRPr="00173934">
        <w:rPr>
          <w:rFonts w:cstheme="minorHAnsi"/>
          <w:b/>
          <w:bCs/>
          <w:lang w:val="en-US"/>
        </w:rPr>
        <w:t xml:space="preserve">    </w:t>
      </w:r>
      <w:r w:rsidRPr="00173934">
        <w:rPr>
          <w:rFonts w:cstheme="minorHAnsi"/>
          <w:b/>
          <w:bCs/>
          <w:u w:val="single"/>
          <w:lang w:val="en-US"/>
        </w:rPr>
        <w:t>Reference List</w:t>
      </w:r>
    </w:p>
    <w:p w14:paraId="0B74F380" w14:textId="77777777" w:rsidR="00173934" w:rsidRDefault="00173934" w:rsidP="00173934">
      <w:pPr>
        <w:spacing w:after="0" w:line="480" w:lineRule="auto"/>
        <w:rPr>
          <w:rFonts w:cstheme="minorHAnsi"/>
          <w:lang w:val="en-US"/>
        </w:rPr>
      </w:pPr>
    </w:p>
    <w:p w14:paraId="106DA415" w14:textId="0EB8A03B" w:rsidR="006E4F2C" w:rsidRPr="00DA2139" w:rsidRDefault="00E36528" w:rsidP="00DA2139">
      <w:pPr>
        <w:spacing w:before="240" w:line="480" w:lineRule="auto"/>
        <w:ind w:left="360"/>
        <w:rPr>
          <w:rFonts w:cstheme="minorHAnsi"/>
        </w:rPr>
      </w:pPr>
      <w:r w:rsidRPr="00DA2139">
        <w:rPr>
          <w:rFonts w:cstheme="minorHAnsi"/>
        </w:rPr>
        <w:t>Autism.org.uk. (2026). </w:t>
      </w:r>
      <w:r w:rsidRPr="00DA2139">
        <w:rPr>
          <w:rFonts w:cstheme="minorHAnsi"/>
          <w:i/>
          <w:iCs/>
        </w:rPr>
        <w:t>Autism and communication</w:t>
      </w:r>
      <w:r w:rsidRPr="00DA2139">
        <w:rPr>
          <w:rFonts w:cstheme="minorHAnsi"/>
        </w:rPr>
        <w:t xml:space="preserve">. Available at: </w:t>
      </w:r>
      <w:hyperlink r:id="rId11" w:history="1">
        <w:r w:rsidRPr="00DA2139">
          <w:rPr>
            <w:rStyle w:val="Hyperlink"/>
            <w:rFonts w:cstheme="minorHAnsi"/>
          </w:rPr>
          <w:t>https://www.autism.org.uk/advice-and-guidance/about-autism/autism-and-communication</w:t>
        </w:r>
      </w:hyperlink>
      <w:r w:rsidRPr="00DA2139">
        <w:rPr>
          <w:rFonts w:cstheme="minorHAnsi"/>
        </w:rPr>
        <w:t>.</w:t>
      </w:r>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p>
    <w:p w14:paraId="7EA2916F" w14:textId="4DA1A8B6" w:rsidR="006E4F2C" w:rsidRPr="00DA2139" w:rsidRDefault="006E4F2C" w:rsidP="00DA2139">
      <w:pPr>
        <w:spacing w:before="240" w:line="480" w:lineRule="auto"/>
        <w:ind w:left="360"/>
        <w:rPr>
          <w:rFonts w:cstheme="minorHAnsi"/>
        </w:rPr>
      </w:pPr>
      <w:r w:rsidRPr="00DA2139">
        <w:rPr>
          <w:rFonts w:cstheme="minorHAnsi"/>
        </w:rPr>
        <w:t xml:space="preserve">Bennett, C., Westrupp, E.M., Bennetts, S.K., Love, J., Hackworth, N.J., Berthelsen, D. and Nicholson, J.M. (2024). An early parenting intervention focused on enriched parent–child interactions </w:t>
      </w:r>
      <w:proofErr w:type="gramStart"/>
      <w:r w:rsidRPr="00DA2139">
        <w:rPr>
          <w:rFonts w:cstheme="minorHAnsi"/>
        </w:rPr>
        <w:t>improves</w:t>
      </w:r>
      <w:proofErr w:type="gramEnd"/>
      <w:r w:rsidRPr="00DA2139">
        <w:rPr>
          <w:rFonts w:cstheme="minorHAnsi"/>
        </w:rPr>
        <w:t xml:space="preserve"> effortful control in the early years of school. </w:t>
      </w:r>
      <w:r w:rsidRPr="00DA2139">
        <w:rPr>
          <w:rFonts w:cstheme="minorHAnsi"/>
          <w:i/>
          <w:iCs/>
        </w:rPr>
        <w:t>Child Development</w:t>
      </w:r>
      <w:r w:rsidRPr="00DA2139">
        <w:rPr>
          <w:rFonts w:cstheme="minorHAnsi"/>
        </w:rPr>
        <w:t xml:space="preserve">. </w:t>
      </w:r>
      <w:r w:rsidRPr="00DA2139">
        <w:rPr>
          <w:rFonts w:cstheme="minorHAnsi"/>
        </w:rPr>
        <w:t>DOI</w:t>
      </w:r>
      <w:r w:rsidRPr="00DA2139">
        <w:rPr>
          <w:rFonts w:cstheme="minorHAnsi"/>
        </w:rPr>
        <w:t>:</w:t>
      </w:r>
      <w:r w:rsidRPr="00DA2139">
        <w:rPr>
          <w:rFonts w:cstheme="minorHAnsi"/>
        </w:rPr>
        <w:t xml:space="preserve"> </w:t>
      </w:r>
      <w:hyperlink r:id="rId12" w:history="1">
        <w:r w:rsidRPr="00DA2139">
          <w:rPr>
            <w:rStyle w:val="Hyperlink"/>
            <w:rFonts w:cstheme="minorHAnsi"/>
          </w:rPr>
          <w:t>https://doi.org/10.1111/cdev.14166</w:t>
        </w:r>
      </w:hyperlink>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p>
    <w:p w14:paraId="44C2870F" w14:textId="25BDA67F" w:rsidR="00400753" w:rsidRPr="00DA2139" w:rsidRDefault="00400753" w:rsidP="00DA2139">
      <w:pPr>
        <w:spacing w:before="240" w:line="480" w:lineRule="auto"/>
        <w:ind w:left="360"/>
        <w:rPr>
          <w:rFonts w:cstheme="minorHAnsi"/>
        </w:rPr>
      </w:pPr>
      <w:r w:rsidRPr="00DA2139">
        <w:rPr>
          <w:rFonts w:cstheme="minorHAnsi"/>
        </w:rPr>
        <w:t>Broadhead, P., Howard, J. and Wood, E. (2010). </w:t>
      </w:r>
      <w:r w:rsidRPr="00DA2139">
        <w:rPr>
          <w:rFonts w:cstheme="minorHAnsi"/>
          <w:i/>
          <w:iCs/>
        </w:rPr>
        <w:t>Play and Learning in the Early Years</w:t>
      </w:r>
      <w:r w:rsidRPr="00DA2139">
        <w:rPr>
          <w:rFonts w:cstheme="minorHAnsi"/>
        </w:rPr>
        <w:t>. SAGE</w:t>
      </w:r>
      <w:r w:rsidR="00DA2139" w:rsidRPr="00DA2139">
        <w:rPr>
          <w:rFonts w:cstheme="minorHAnsi"/>
        </w:rPr>
        <w:t>.</w:t>
      </w:r>
    </w:p>
    <w:p w14:paraId="3034FCAD" w14:textId="6D697B2F" w:rsidR="00B0412A" w:rsidRPr="00DA2139" w:rsidRDefault="00B0412A" w:rsidP="00DA2139">
      <w:pPr>
        <w:spacing w:before="240" w:line="480" w:lineRule="auto"/>
        <w:ind w:left="360"/>
        <w:rPr>
          <w:rFonts w:cstheme="minorHAnsi"/>
        </w:rPr>
      </w:pPr>
      <w:r w:rsidRPr="00DA2139">
        <w:rPr>
          <w:rFonts w:cstheme="minorHAnsi"/>
        </w:rPr>
        <w:t>Case-Smith, J., Weaver, L.L. and Fristad, M.A. (2015). A systematic review of sensory processing interventions for children with autism spectrum disorders. </w:t>
      </w:r>
      <w:r w:rsidRPr="00DA2139">
        <w:rPr>
          <w:rFonts w:cstheme="minorHAnsi"/>
          <w:i/>
          <w:iCs/>
        </w:rPr>
        <w:t>Autism</w:t>
      </w:r>
      <w:r w:rsidRPr="00DA2139">
        <w:rPr>
          <w:rFonts w:cstheme="minorHAnsi"/>
        </w:rPr>
        <w:t>, [online] 19(2), pp.133–148.</w:t>
      </w:r>
      <w:r w:rsidRPr="00DA2139">
        <w:rPr>
          <w:rFonts w:cstheme="minorHAnsi"/>
        </w:rPr>
        <w:t xml:space="preserve"> DOI</w:t>
      </w:r>
      <w:r w:rsidRPr="00DA2139">
        <w:rPr>
          <w:rFonts w:cstheme="minorHAnsi"/>
        </w:rPr>
        <w:t>:</w:t>
      </w:r>
      <w:r w:rsidRPr="00DA2139">
        <w:rPr>
          <w:rFonts w:cstheme="minorHAnsi"/>
        </w:rPr>
        <w:t xml:space="preserve"> </w:t>
      </w:r>
      <w:hyperlink r:id="rId13" w:history="1">
        <w:r w:rsidRPr="00DA2139">
          <w:rPr>
            <w:rStyle w:val="Hyperlink"/>
            <w:rFonts w:cstheme="minorHAnsi"/>
          </w:rPr>
          <w:t>https://doi.org/10.1177/1362361313517762</w:t>
        </w:r>
      </w:hyperlink>
      <w:r w:rsidRPr="00DA2139">
        <w:rPr>
          <w:rFonts w:cstheme="minorHAnsi"/>
        </w:rPr>
        <w:t>.</w:t>
      </w:r>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p>
    <w:p w14:paraId="6F6A1B8A" w14:textId="3D914059" w:rsidR="00F8495C" w:rsidRPr="00DA2139" w:rsidRDefault="00264925" w:rsidP="00DA2139">
      <w:pPr>
        <w:spacing w:before="240" w:line="480" w:lineRule="auto"/>
        <w:ind w:left="360"/>
        <w:rPr>
          <w:rFonts w:cstheme="minorHAnsi"/>
        </w:rPr>
      </w:pPr>
      <w:r w:rsidRPr="00DA2139">
        <w:rPr>
          <w:rFonts w:cstheme="minorHAnsi"/>
        </w:rPr>
        <w:t>Chandrika Devarakonda (2020). </w:t>
      </w:r>
      <w:r w:rsidRPr="00DA2139">
        <w:rPr>
          <w:rFonts w:cstheme="minorHAnsi"/>
          <w:i/>
          <w:iCs/>
        </w:rPr>
        <w:t>Promoting Inclusion and Diversity in Early Years Settings</w:t>
      </w:r>
      <w:r w:rsidRPr="00DA2139">
        <w:rPr>
          <w:rFonts w:cstheme="minorHAnsi"/>
        </w:rPr>
        <w:t>. </w:t>
      </w:r>
      <w:r w:rsidRPr="00DA2139">
        <w:rPr>
          <w:rFonts w:cstheme="minorHAnsi"/>
          <w:i/>
          <w:iCs/>
        </w:rPr>
        <w:t>Jessica Kingsley Publishers eBooks</w:t>
      </w:r>
      <w:r w:rsidRPr="00DA2139">
        <w:rPr>
          <w:rFonts w:cstheme="minorHAnsi"/>
        </w:rPr>
        <w:t xml:space="preserve">. </w:t>
      </w:r>
      <w:r w:rsidRPr="00DA2139">
        <w:rPr>
          <w:rFonts w:cstheme="minorHAnsi"/>
        </w:rPr>
        <w:t>DOI</w:t>
      </w:r>
      <w:r w:rsidRPr="00DA2139">
        <w:rPr>
          <w:rFonts w:cstheme="minorHAnsi"/>
        </w:rPr>
        <w:t>:</w:t>
      </w:r>
      <w:r w:rsidRPr="00DA2139">
        <w:rPr>
          <w:rFonts w:cstheme="minorHAnsi"/>
        </w:rPr>
        <w:t xml:space="preserve"> </w:t>
      </w:r>
      <w:hyperlink r:id="rId14" w:history="1">
        <w:r w:rsidR="000D6125" w:rsidRPr="00DA2139">
          <w:rPr>
            <w:rStyle w:val="Hyperlink"/>
            <w:rFonts w:cstheme="minorHAnsi"/>
          </w:rPr>
          <w:t>https://doi.org/10.5040/9781805014652</w:t>
        </w:r>
      </w:hyperlink>
      <w:r w:rsidRPr="00DA2139">
        <w:rPr>
          <w:rFonts w:cstheme="minorHAnsi"/>
        </w:rPr>
        <w:t>.</w:t>
      </w:r>
      <w:r w:rsidR="000D6125" w:rsidRPr="00DA2139">
        <w:rPr>
          <w:rFonts w:cstheme="minorHAnsi"/>
        </w:rPr>
        <w:t xml:space="preserve"> (Accessed: 12</w:t>
      </w:r>
      <w:r w:rsidR="000D6125" w:rsidRPr="00DA2139">
        <w:rPr>
          <w:rFonts w:cstheme="minorHAnsi"/>
          <w:vertAlign w:val="superscript"/>
        </w:rPr>
        <w:t>th</w:t>
      </w:r>
      <w:r w:rsidR="000D6125" w:rsidRPr="00DA2139">
        <w:rPr>
          <w:rFonts w:cstheme="minorHAnsi"/>
        </w:rPr>
        <w:t xml:space="preserve"> February 2026).</w:t>
      </w:r>
    </w:p>
    <w:p w14:paraId="5E2E0FED" w14:textId="45532C0E" w:rsidR="00264925" w:rsidRPr="00DA2139" w:rsidRDefault="00F8495C" w:rsidP="00DA2139">
      <w:pPr>
        <w:spacing w:before="240" w:line="480" w:lineRule="auto"/>
        <w:ind w:left="360"/>
        <w:rPr>
          <w:rFonts w:cstheme="minorHAnsi"/>
        </w:rPr>
      </w:pPr>
      <w:proofErr w:type="spellStart"/>
      <w:r w:rsidRPr="00DA2139">
        <w:rPr>
          <w:rFonts w:cstheme="minorHAnsi"/>
        </w:rPr>
        <w:t>Çorakcı</w:t>
      </w:r>
      <w:proofErr w:type="spellEnd"/>
      <w:r w:rsidRPr="00DA2139">
        <w:rPr>
          <w:rFonts w:cstheme="minorHAnsi"/>
        </w:rPr>
        <w:t xml:space="preserve"> Yazıcıoğlu, Z. and Bumin, G. (2025). Occupational Therapy Using Sensory Integration for Enhancing Occupational Performance in Children with Autism: A Randomized Controlled Trial. </w:t>
      </w:r>
      <w:r w:rsidRPr="00DA2139">
        <w:rPr>
          <w:rFonts w:cstheme="minorHAnsi"/>
          <w:i/>
          <w:iCs/>
        </w:rPr>
        <w:t>Journal of Autism and Developmental Disorders</w:t>
      </w:r>
      <w:r w:rsidRPr="00DA2139">
        <w:rPr>
          <w:rFonts w:cstheme="minorHAnsi"/>
        </w:rPr>
        <w:t xml:space="preserve">. DOI: </w:t>
      </w:r>
      <w:hyperlink r:id="rId15" w:history="1">
        <w:r w:rsidRPr="00DA2139">
          <w:rPr>
            <w:rStyle w:val="Hyperlink"/>
            <w:rFonts w:cstheme="minorHAnsi"/>
          </w:rPr>
          <w:t>https://doi.org/10.1007/s10803-025-06970-1</w:t>
        </w:r>
      </w:hyperlink>
      <w:r w:rsidRPr="00DA2139">
        <w:rPr>
          <w:rFonts w:cstheme="minorHAnsi"/>
        </w:rPr>
        <w:t>. (Accessed: 20</w:t>
      </w:r>
      <w:r w:rsidRPr="00DA2139">
        <w:rPr>
          <w:rFonts w:cstheme="minorHAnsi"/>
          <w:vertAlign w:val="superscript"/>
        </w:rPr>
        <w:t>th</w:t>
      </w:r>
      <w:r w:rsidRPr="00DA2139">
        <w:rPr>
          <w:rFonts w:cstheme="minorHAnsi"/>
        </w:rPr>
        <w:t xml:space="preserve"> February 2026).</w:t>
      </w:r>
    </w:p>
    <w:p w14:paraId="4B775D14" w14:textId="23DC9A8A" w:rsidR="00173934" w:rsidRPr="00DA2139" w:rsidRDefault="00173934" w:rsidP="00DA2139">
      <w:pPr>
        <w:spacing w:before="240" w:line="480" w:lineRule="auto"/>
        <w:ind w:left="360"/>
        <w:rPr>
          <w:rFonts w:cstheme="minorHAnsi"/>
        </w:rPr>
      </w:pPr>
      <w:r w:rsidRPr="00DA2139">
        <w:rPr>
          <w:rFonts w:cstheme="minorHAnsi"/>
        </w:rPr>
        <w:t>Department for Education (2015). </w:t>
      </w:r>
      <w:r w:rsidRPr="00DA2139">
        <w:rPr>
          <w:rFonts w:cstheme="minorHAnsi"/>
          <w:i/>
          <w:iCs/>
        </w:rPr>
        <w:t>Special Educational Needs and Disability Code of Practice: 0 to 25 Years</w:t>
      </w:r>
      <w:r w:rsidRPr="00DA2139">
        <w:rPr>
          <w:rFonts w:cstheme="minorHAnsi"/>
        </w:rPr>
        <w:t xml:space="preserve">. </w:t>
      </w:r>
      <w:r w:rsidRPr="00DA2139">
        <w:rPr>
          <w:rFonts w:cstheme="minorHAnsi"/>
          <w:i/>
          <w:iCs/>
        </w:rPr>
        <w:t>GOV.UK</w:t>
      </w:r>
      <w:r w:rsidRPr="00DA2139">
        <w:rPr>
          <w:rFonts w:cstheme="minorHAnsi"/>
        </w:rPr>
        <w:t xml:space="preserve">. Available at: </w:t>
      </w:r>
      <w:hyperlink r:id="rId16" w:history="1">
        <w:r w:rsidRPr="00DA2139">
          <w:rPr>
            <w:rStyle w:val="Hyperlink"/>
            <w:rFonts w:cstheme="minorHAnsi"/>
          </w:rPr>
          <w:t>https://assets.publishing.service.gov.uk/media/5a7dcb85ed915d2ac884d995/SEND_Code_of_Practice_January_2015.pdf</w:t>
        </w:r>
      </w:hyperlink>
      <w:r w:rsidRPr="00DA2139">
        <w:rPr>
          <w:rFonts w:cstheme="minorHAnsi"/>
        </w:rPr>
        <w:t xml:space="preserve"> </w:t>
      </w:r>
      <w:r w:rsidR="00046A68" w:rsidRPr="00DA2139">
        <w:rPr>
          <w:rFonts w:cstheme="minorHAnsi"/>
        </w:rPr>
        <w:t>(Accessed: 12</w:t>
      </w:r>
      <w:r w:rsidR="00046A68" w:rsidRPr="00DA2139">
        <w:rPr>
          <w:rFonts w:cstheme="minorHAnsi"/>
          <w:vertAlign w:val="superscript"/>
        </w:rPr>
        <w:t>th</w:t>
      </w:r>
      <w:r w:rsidR="00046A68" w:rsidRPr="00DA2139">
        <w:rPr>
          <w:rFonts w:cstheme="minorHAnsi"/>
        </w:rPr>
        <w:t xml:space="preserve"> February 2026).</w:t>
      </w:r>
    </w:p>
    <w:p w14:paraId="7DBD3E9A" w14:textId="77777777" w:rsidR="00DB6FB1" w:rsidRDefault="00DB6FB1" w:rsidP="00DA2139">
      <w:pPr>
        <w:spacing w:before="240" w:line="480" w:lineRule="auto"/>
        <w:ind w:left="360"/>
        <w:rPr>
          <w:rFonts w:cstheme="minorHAnsi"/>
        </w:rPr>
      </w:pPr>
    </w:p>
    <w:p w14:paraId="209A9A8B" w14:textId="18E23C3C" w:rsidR="00CE4F3E" w:rsidRPr="00DA2139" w:rsidRDefault="00DB6FB1" w:rsidP="00DA2139">
      <w:pPr>
        <w:spacing w:before="240" w:line="480" w:lineRule="auto"/>
        <w:ind w:left="360"/>
        <w:rPr>
          <w:rFonts w:cstheme="minorHAnsi"/>
        </w:rPr>
      </w:pPr>
      <w:r w:rsidRPr="00DA2139">
        <w:rPr>
          <w:rFonts w:cstheme="minorHAnsi"/>
        </w:rPr>
        <w:t>Dickens, S., Wollny, I. and Ireland, E. (n.d.). </w:t>
      </w:r>
      <w:r w:rsidRPr="00DA2139">
        <w:rPr>
          <w:rFonts w:cstheme="minorHAnsi"/>
          <w:i/>
          <w:iCs/>
        </w:rPr>
        <w:t>Childcare Sufficiency and Sustainability in Disadvantaged Areas</w:t>
      </w:r>
      <w:r w:rsidRPr="00DA2139">
        <w:rPr>
          <w:rFonts w:cstheme="minorHAnsi"/>
        </w:rPr>
        <w:t xml:space="preserve">. Available at: </w:t>
      </w:r>
      <w:hyperlink r:id="rId17" w:history="1">
        <w:r w:rsidRPr="00DA2139">
          <w:rPr>
            <w:rStyle w:val="Hyperlink"/>
            <w:rFonts w:cstheme="minorHAnsi"/>
          </w:rPr>
          <w:t>https://assets.publishing.service.gov.uk/media/5a7c9530e5274a7b7e32169e/DFE-RR246.pdf</w:t>
        </w:r>
      </w:hyperlink>
      <w:r w:rsidRPr="00DA2139">
        <w:rPr>
          <w:rFonts w:cstheme="minorHAnsi"/>
        </w:rPr>
        <w:t xml:space="preserve"> (</w:t>
      </w:r>
      <w:r w:rsidR="000E3CA0" w:rsidRPr="00DA2139">
        <w:rPr>
          <w:rFonts w:cstheme="minorHAnsi"/>
        </w:rPr>
        <w:t>Accessed</w:t>
      </w:r>
      <w:r w:rsidRPr="00DA2139">
        <w:rPr>
          <w:rFonts w:cstheme="minorHAnsi"/>
        </w:rPr>
        <w:t>: 21</w:t>
      </w:r>
      <w:r w:rsidRPr="00DA2139">
        <w:rPr>
          <w:rFonts w:cstheme="minorHAnsi"/>
          <w:vertAlign w:val="superscript"/>
        </w:rPr>
        <w:t>st</w:t>
      </w:r>
      <w:r w:rsidRPr="00DA2139">
        <w:rPr>
          <w:rFonts w:cstheme="minorHAnsi"/>
        </w:rPr>
        <w:t xml:space="preserve"> February 2026)</w:t>
      </w:r>
      <w:r w:rsidR="000E3CA0" w:rsidRPr="00DA2139">
        <w:rPr>
          <w:rFonts w:cstheme="minorHAnsi"/>
        </w:rPr>
        <w:t xml:space="preserve">. </w:t>
      </w:r>
    </w:p>
    <w:p w14:paraId="0807EDFE" w14:textId="4E01A135" w:rsidR="005D56B2" w:rsidRPr="00DA2139" w:rsidRDefault="00CE4F3E" w:rsidP="00DA2139">
      <w:pPr>
        <w:spacing w:before="240" w:line="480" w:lineRule="auto"/>
        <w:ind w:left="360"/>
        <w:rPr>
          <w:rFonts w:cstheme="minorHAnsi"/>
        </w:rPr>
      </w:pPr>
      <w:r w:rsidRPr="00DA2139">
        <w:rPr>
          <w:rFonts w:cstheme="minorHAnsi"/>
        </w:rPr>
        <w:t>Gasgoyne, S. (2016). </w:t>
      </w:r>
      <w:r w:rsidRPr="00DA2139">
        <w:rPr>
          <w:rFonts w:cstheme="minorHAnsi"/>
          <w:i/>
          <w:iCs/>
        </w:rPr>
        <w:t xml:space="preserve">Sensory </w:t>
      </w:r>
      <w:proofErr w:type="gramStart"/>
      <w:r w:rsidRPr="00DA2139">
        <w:rPr>
          <w:rFonts w:cstheme="minorHAnsi"/>
          <w:i/>
          <w:iCs/>
        </w:rPr>
        <w:t>Play :</w:t>
      </w:r>
      <w:proofErr w:type="gramEnd"/>
      <w:r w:rsidRPr="00DA2139">
        <w:rPr>
          <w:rFonts w:cstheme="minorHAnsi"/>
          <w:i/>
          <w:iCs/>
        </w:rPr>
        <w:t xml:space="preserve"> Play in the EYFS</w:t>
      </w:r>
      <w:r w:rsidRPr="00DA2139">
        <w:rPr>
          <w:rFonts w:cstheme="minorHAnsi"/>
        </w:rPr>
        <w:t>. Luton: Andrews UK.</w:t>
      </w:r>
    </w:p>
    <w:p w14:paraId="181E2748" w14:textId="67E116C6" w:rsidR="001D396B" w:rsidRPr="00DA2139" w:rsidRDefault="005D56B2" w:rsidP="00DA2139">
      <w:pPr>
        <w:spacing w:before="240" w:line="480" w:lineRule="auto"/>
        <w:ind w:left="360"/>
        <w:rPr>
          <w:rFonts w:cstheme="minorHAnsi"/>
        </w:rPr>
      </w:pPr>
      <w:r w:rsidRPr="00DA2139">
        <w:rPr>
          <w:rFonts w:cstheme="minorHAnsi"/>
        </w:rPr>
        <w:t>Hockey, R., Philpott‐Robinson, K., Haracz, K. and Ray, K. (2025). Trauma‐informed or sensory‐based practices in preschool settings: A scoping review. </w:t>
      </w:r>
      <w:r w:rsidRPr="00DA2139">
        <w:rPr>
          <w:rFonts w:cstheme="minorHAnsi"/>
          <w:i/>
          <w:iCs/>
        </w:rPr>
        <w:t>Australian Occupational Therapy Journal</w:t>
      </w:r>
      <w:r w:rsidRPr="00DA2139">
        <w:rPr>
          <w:rFonts w:cstheme="minorHAnsi"/>
        </w:rPr>
        <w:t xml:space="preserve">, 72(3). </w:t>
      </w:r>
      <w:r w:rsidRPr="00DA2139">
        <w:rPr>
          <w:rFonts w:cstheme="minorHAnsi"/>
        </w:rPr>
        <w:t>DOI</w:t>
      </w:r>
      <w:r w:rsidRPr="00DA2139">
        <w:rPr>
          <w:rFonts w:cstheme="minorHAnsi"/>
        </w:rPr>
        <w:t>:</w:t>
      </w:r>
      <w:r w:rsidRPr="00DA2139">
        <w:rPr>
          <w:rFonts w:cstheme="minorHAnsi"/>
        </w:rPr>
        <w:t xml:space="preserve"> </w:t>
      </w:r>
      <w:hyperlink r:id="rId18" w:history="1">
        <w:r w:rsidRPr="00DA2139">
          <w:rPr>
            <w:rStyle w:val="Hyperlink"/>
            <w:rFonts w:cstheme="minorHAnsi"/>
          </w:rPr>
          <w:t>https://doi.org/10.1111/1440-1630.70027</w:t>
        </w:r>
      </w:hyperlink>
      <w:r w:rsidRPr="00DA2139">
        <w:rPr>
          <w:rFonts w:cstheme="minorHAnsi"/>
        </w:rPr>
        <w:t>.</w:t>
      </w:r>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p>
    <w:p w14:paraId="7000474E" w14:textId="595C0D10" w:rsidR="00916DB4" w:rsidRPr="00DA2139" w:rsidRDefault="001D396B" w:rsidP="00DA2139">
      <w:pPr>
        <w:spacing w:before="240" w:line="480" w:lineRule="auto"/>
        <w:ind w:left="360"/>
        <w:rPr>
          <w:rFonts w:cstheme="minorHAnsi"/>
        </w:rPr>
      </w:pPr>
      <w:r w:rsidRPr="00DA2139">
        <w:rPr>
          <w:rFonts w:cstheme="minorHAnsi"/>
        </w:rPr>
        <w:t>Lindon, J., Kelman, K. and Sharp, A. (2010). </w:t>
      </w:r>
      <w:r w:rsidRPr="00DA2139">
        <w:rPr>
          <w:rFonts w:cstheme="minorHAnsi"/>
          <w:i/>
          <w:iCs/>
        </w:rPr>
        <w:t xml:space="preserve">Play and learning in the early </w:t>
      </w:r>
      <w:proofErr w:type="gramStart"/>
      <w:r w:rsidRPr="00DA2139">
        <w:rPr>
          <w:rFonts w:cstheme="minorHAnsi"/>
          <w:i/>
          <w:iCs/>
        </w:rPr>
        <w:t>years :</w:t>
      </w:r>
      <w:proofErr w:type="gramEnd"/>
      <w:r w:rsidRPr="00DA2139">
        <w:rPr>
          <w:rFonts w:cstheme="minorHAnsi"/>
          <w:i/>
          <w:iCs/>
        </w:rPr>
        <w:t xml:space="preserve"> practical activities and games for the under threes</w:t>
      </w:r>
      <w:r w:rsidRPr="00DA2139">
        <w:rPr>
          <w:rFonts w:cstheme="minorHAnsi"/>
        </w:rPr>
        <w:t>. Laughton, U.K.: Essential Resources.</w:t>
      </w:r>
    </w:p>
    <w:p w14:paraId="4FB9BA0D" w14:textId="1E9A0758" w:rsidR="0074266A" w:rsidRPr="00DA2139" w:rsidRDefault="00647A9F" w:rsidP="00DA2139">
      <w:pPr>
        <w:spacing w:before="240" w:line="480" w:lineRule="auto"/>
        <w:ind w:left="360"/>
        <w:rPr>
          <w:rFonts w:cstheme="minorHAnsi"/>
        </w:rPr>
      </w:pPr>
      <w:r w:rsidRPr="00DA2139">
        <w:rPr>
          <w:rFonts w:cstheme="minorHAnsi"/>
        </w:rPr>
        <w:t>Little, L.M., Dean, E., Tomchek, S. and Dunn, W. (2017). Sensory Processing Patterns in Autism, Attention Deficit Hyperactivity Disorder, and Typical Development. </w:t>
      </w:r>
      <w:r w:rsidRPr="00DA2139">
        <w:rPr>
          <w:rFonts w:cstheme="minorHAnsi"/>
          <w:i/>
          <w:iCs/>
        </w:rPr>
        <w:t xml:space="preserve">Physical &amp; Occupational Therapy </w:t>
      </w:r>
      <w:proofErr w:type="gramStart"/>
      <w:r w:rsidRPr="00DA2139">
        <w:rPr>
          <w:rFonts w:cstheme="minorHAnsi"/>
          <w:i/>
          <w:iCs/>
        </w:rPr>
        <w:t>In</w:t>
      </w:r>
      <w:proofErr w:type="gramEnd"/>
      <w:r w:rsidRPr="00DA2139">
        <w:rPr>
          <w:rFonts w:cstheme="minorHAnsi"/>
          <w:i/>
          <w:iCs/>
        </w:rPr>
        <w:t xml:space="preserve"> </w:t>
      </w:r>
      <w:proofErr w:type="spellStart"/>
      <w:r w:rsidRPr="00DA2139">
        <w:rPr>
          <w:rFonts w:cstheme="minorHAnsi"/>
          <w:i/>
          <w:iCs/>
        </w:rPr>
        <w:t>Pediatrics</w:t>
      </w:r>
      <w:proofErr w:type="spellEnd"/>
      <w:r w:rsidRPr="00DA2139">
        <w:rPr>
          <w:rFonts w:cstheme="minorHAnsi"/>
        </w:rPr>
        <w:t xml:space="preserve">, 38(3), pp.243–254. </w:t>
      </w:r>
      <w:r w:rsidRPr="00DA2139">
        <w:rPr>
          <w:rFonts w:cstheme="minorHAnsi"/>
        </w:rPr>
        <w:t>DOI</w:t>
      </w:r>
      <w:r w:rsidRPr="00DA2139">
        <w:rPr>
          <w:rFonts w:cstheme="minorHAnsi"/>
        </w:rPr>
        <w:t>:</w:t>
      </w:r>
      <w:r w:rsidRPr="00DA2139">
        <w:rPr>
          <w:rFonts w:cstheme="minorHAnsi"/>
        </w:rPr>
        <w:t xml:space="preserve"> </w:t>
      </w:r>
      <w:hyperlink r:id="rId19" w:history="1">
        <w:r w:rsidRPr="00DA2139">
          <w:rPr>
            <w:rStyle w:val="Hyperlink"/>
            <w:rFonts w:cstheme="minorHAnsi"/>
          </w:rPr>
          <w:t>https://doi.org/10.1080/01942638.2017.1390809</w:t>
        </w:r>
      </w:hyperlink>
      <w:r w:rsidRPr="00DA2139">
        <w:rPr>
          <w:rFonts w:cstheme="minorHAnsi"/>
        </w:rPr>
        <w:t>.</w:t>
      </w:r>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r w:rsidR="00940D6E" w:rsidRPr="00DA2139">
        <w:rPr>
          <w:rFonts w:cstheme="minorHAnsi"/>
        </w:rPr>
        <w:t>.</w:t>
      </w:r>
    </w:p>
    <w:p w14:paraId="10B5EC5A" w14:textId="593E170F" w:rsidR="00C2546F" w:rsidRPr="00DA2139" w:rsidRDefault="00281D0C" w:rsidP="00DA2139">
      <w:pPr>
        <w:spacing w:before="240" w:line="480" w:lineRule="auto"/>
        <w:ind w:left="360"/>
        <w:rPr>
          <w:rFonts w:cstheme="minorHAnsi"/>
        </w:rPr>
      </w:pPr>
      <w:r w:rsidRPr="00DA2139">
        <w:rPr>
          <w:rFonts w:cstheme="minorHAnsi"/>
        </w:rPr>
        <w:t>Local Government Association</w:t>
      </w:r>
      <w:r w:rsidR="0074266A" w:rsidRPr="00DA2139">
        <w:rPr>
          <w:rFonts w:cstheme="minorHAnsi"/>
        </w:rPr>
        <w:t xml:space="preserve"> (</w:t>
      </w:r>
      <w:r w:rsidRPr="00DA2139">
        <w:rPr>
          <w:rFonts w:cstheme="minorHAnsi"/>
        </w:rPr>
        <w:t>No Date</w:t>
      </w:r>
      <w:r w:rsidR="0074266A" w:rsidRPr="00DA2139">
        <w:rPr>
          <w:rFonts w:cstheme="minorHAnsi"/>
        </w:rPr>
        <w:t>). </w:t>
      </w:r>
      <w:r w:rsidR="0074266A" w:rsidRPr="00DA2139">
        <w:rPr>
          <w:rFonts w:cstheme="minorHAnsi"/>
          <w:i/>
          <w:iCs/>
        </w:rPr>
        <w:t>Improving early education and childcare to ensure good outcomes for children | Local Government Association</w:t>
      </w:r>
      <w:r w:rsidR="0074266A" w:rsidRPr="00DA2139">
        <w:rPr>
          <w:rFonts w:cstheme="minorHAnsi"/>
        </w:rPr>
        <w:t xml:space="preserve">. [online] Available at: </w:t>
      </w:r>
      <w:hyperlink r:id="rId20" w:history="1">
        <w:r w:rsidR="0074266A" w:rsidRPr="00DA2139">
          <w:rPr>
            <w:rStyle w:val="Hyperlink"/>
            <w:rFonts w:cstheme="minorHAnsi"/>
          </w:rPr>
          <w:t>https://www.local.gov.uk/publications/improving-early-education-and-childcare-ensure-good-outcomes-children</w:t>
        </w:r>
      </w:hyperlink>
      <w:r w:rsidR="0074266A" w:rsidRPr="00DA2139">
        <w:rPr>
          <w:rFonts w:cstheme="minorHAnsi"/>
        </w:rPr>
        <w:t xml:space="preserve"> (Accessed: 15</w:t>
      </w:r>
      <w:r w:rsidR="0074266A" w:rsidRPr="00DA2139">
        <w:rPr>
          <w:rFonts w:cstheme="minorHAnsi"/>
          <w:vertAlign w:val="superscript"/>
        </w:rPr>
        <w:t>th</w:t>
      </w:r>
      <w:r w:rsidR="0074266A" w:rsidRPr="00DA2139">
        <w:rPr>
          <w:rFonts w:cstheme="minorHAnsi"/>
        </w:rPr>
        <w:t xml:space="preserve"> February 202</w:t>
      </w:r>
      <w:r w:rsidRPr="00DA2139">
        <w:rPr>
          <w:rFonts w:cstheme="minorHAnsi"/>
        </w:rPr>
        <w:t>6).</w:t>
      </w:r>
    </w:p>
    <w:p w14:paraId="3023CC33" w14:textId="6C76E34C" w:rsidR="00BD5C26" w:rsidRPr="00DA2139" w:rsidRDefault="00AF5A76" w:rsidP="00DA2139">
      <w:pPr>
        <w:spacing w:before="240" w:line="480" w:lineRule="auto"/>
        <w:ind w:left="360"/>
        <w:rPr>
          <w:rFonts w:cstheme="minorHAnsi"/>
        </w:rPr>
      </w:pPr>
      <w:r w:rsidRPr="00DA2139">
        <w:rPr>
          <w:rFonts w:cstheme="minorHAnsi"/>
        </w:rPr>
        <w:lastRenderedPageBreak/>
        <w:t>Local Government Association</w:t>
      </w:r>
      <w:r w:rsidR="00C2546F" w:rsidRPr="00DA2139">
        <w:rPr>
          <w:rFonts w:cstheme="minorHAnsi"/>
        </w:rPr>
        <w:t xml:space="preserve"> (2025). </w:t>
      </w:r>
      <w:r w:rsidR="00C2546F" w:rsidRPr="00DA2139">
        <w:rPr>
          <w:rFonts w:cstheme="minorHAnsi"/>
          <w:i/>
          <w:iCs/>
        </w:rPr>
        <w:t>Supporting inclusive early education: A good practice guide</w:t>
      </w:r>
      <w:r w:rsidR="00C2546F" w:rsidRPr="00DA2139">
        <w:rPr>
          <w:rFonts w:cstheme="minorHAnsi"/>
        </w:rPr>
        <w:t xml:space="preserve">. [online] Available at: </w:t>
      </w:r>
      <w:hyperlink r:id="rId21" w:history="1">
        <w:r w:rsidR="00C2546F" w:rsidRPr="00DA2139">
          <w:rPr>
            <w:rStyle w:val="Hyperlink"/>
            <w:rFonts w:cstheme="minorHAnsi"/>
          </w:rPr>
          <w:t>https://www.local.gov.uk/publications/supporting-inclusive-early-education-good-practice-guide</w:t>
        </w:r>
      </w:hyperlink>
      <w:r w:rsidR="00C2546F" w:rsidRPr="00DA2139">
        <w:rPr>
          <w:rFonts w:cstheme="minorHAnsi"/>
        </w:rPr>
        <w:t xml:space="preserve"> (Accessed: 21</w:t>
      </w:r>
      <w:r w:rsidR="00C2546F" w:rsidRPr="00DA2139">
        <w:rPr>
          <w:rFonts w:cstheme="minorHAnsi"/>
          <w:vertAlign w:val="superscript"/>
        </w:rPr>
        <w:t>st</w:t>
      </w:r>
      <w:r w:rsidR="00C2546F" w:rsidRPr="00DA2139">
        <w:rPr>
          <w:rFonts w:cstheme="minorHAnsi"/>
        </w:rPr>
        <w:t xml:space="preserve"> February 2026).</w:t>
      </w:r>
    </w:p>
    <w:p w14:paraId="7AA04F4D" w14:textId="3D0894C9" w:rsidR="00BD0491" w:rsidRDefault="00BD5C26" w:rsidP="007D0D1B">
      <w:pPr>
        <w:spacing w:before="240" w:line="480" w:lineRule="auto"/>
        <w:ind w:left="360"/>
        <w:rPr>
          <w:rFonts w:cstheme="minorHAnsi"/>
        </w:rPr>
      </w:pPr>
      <w:r w:rsidRPr="00DA2139">
        <w:rPr>
          <w:rFonts w:cstheme="minorHAnsi"/>
        </w:rPr>
        <w:t>Nilfyr, K. and Ewe, L.P. (2025). Thriving Children’s Emotional Self-Regulation in Preschool: A Systematic Review Discussed from an Interactionist Perspective. </w:t>
      </w:r>
      <w:r w:rsidRPr="00DA2139">
        <w:rPr>
          <w:rFonts w:cstheme="minorHAnsi"/>
          <w:i/>
          <w:iCs/>
        </w:rPr>
        <w:t>Education Sciences</w:t>
      </w:r>
      <w:r w:rsidRPr="00DA2139">
        <w:rPr>
          <w:rFonts w:cstheme="minorHAnsi"/>
        </w:rPr>
        <w:t xml:space="preserve">, 15(2), pp.137–137. </w:t>
      </w:r>
      <w:r w:rsidRPr="00DA2139">
        <w:rPr>
          <w:rFonts w:cstheme="minorHAnsi"/>
        </w:rPr>
        <w:t>DOI</w:t>
      </w:r>
      <w:r w:rsidRPr="00DA2139">
        <w:rPr>
          <w:rFonts w:cstheme="minorHAnsi"/>
        </w:rPr>
        <w:t>:</w:t>
      </w:r>
      <w:r w:rsidRPr="00DA2139">
        <w:rPr>
          <w:rFonts w:cstheme="minorHAnsi"/>
        </w:rPr>
        <w:t xml:space="preserve"> </w:t>
      </w:r>
      <w:hyperlink r:id="rId22" w:history="1">
        <w:r w:rsidR="00017A85" w:rsidRPr="00DA2139">
          <w:rPr>
            <w:rStyle w:val="Hyperlink"/>
            <w:rFonts w:cstheme="minorHAnsi"/>
          </w:rPr>
          <w:t>https://doi.org/10.3390/educsci15020137</w:t>
        </w:r>
      </w:hyperlink>
      <w:r w:rsidR="00017A85" w:rsidRPr="00DA2139">
        <w:rPr>
          <w:rFonts w:cstheme="minorHAnsi"/>
        </w:rPr>
        <w:t xml:space="preserve"> (</w:t>
      </w:r>
      <w:r w:rsidRPr="00DA2139">
        <w:rPr>
          <w:rFonts w:cstheme="minorHAnsi"/>
        </w:rPr>
        <w:t>Accessed: 15</w:t>
      </w:r>
      <w:r w:rsidRPr="00DA2139">
        <w:rPr>
          <w:rFonts w:cstheme="minorHAnsi"/>
          <w:vertAlign w:val="superscript"/>
        </w:rPr>
        <w:t>th</w:t>
      </w:r>
      <w:r w:rsidRPr="00DA2139">
        <w:rPr>
          <w:rFonts w:cstheme="minorHAnsi"/>
        </w:rPr>
        <w:t xml:space="preserve"> February 2026).</w:t>
      </w:r>
    </w:p>
    <w:p w14:paraId="009E8A40" w14:textId="32FD74B3" w:rsidR="00214E5B" w:rsidRPr="00DA2139" w:rsidRDefault="00BD0491" w:rsidP="00DA2139">
      <w:pPr>
        <w:spacing w:before="240" w:line="480" w:lineRule="auto"/>
        <w:ind w:left="360"/>
        <w:rPr>
          <w:rFonts w:cstheme="minorHAnsi"/>
        </w:rPr>
      </w:pPr>
      <w:r w:rsidRPr="00DA2139">
        <w:rPr>
          <w:rFonts w:cstheme="minorHAnsi"/>
        </w:rPr>
        <w:t>N</w:t>
      </w:r>
      <w:r w:rsidR="00D65918" w:rsidRPr="00DA2139">
        <w:rPr>
          <w:rFonts w:cstheme="minorHAnsi"/>
        </w:rPr>
        <w:t>SSCP</w:t>
      </w:r>
      <w:r w:rsidRPr="00DA2139">
        <w:rPr>
          <w:rFonts w:cstheme="minorHAnsi"/>
        </w:rPr>
        <w:t xml:space="preserve"> (</w:t>
      </w:r>
      <w:r w:rsidR="00D65918" w:rsidRPr="00DA2139">
        <w:rPr>
          <w:rFonts w:cstheme="minorHAnsi"/>
        </w:rPr>
        <w:t>No Date</w:t>
      </w:r>
      <w:r w:rsidRPr="00DA2139">
        <w:rPr>
          <w:rFonts w:cstheme="minorHAnsi"/>
        </w:rPr>
        <w:t>). </w:t>
      </w:r>
      <w:r w:rsidRPr="00DA2139">
        <w:rPr>
          <w:rFonts w:cstheme="minorHAnsi"/>
          <w:i/>
          <w:iCs/>
        </w:rPr>
        <w:t xml:space="preserve">Early years child protection and responsibilities | </w:t>
      </w:r>
      <w:proofErr w:type="spellStart"/>
      <w:r w:rsidRPr="00DA2139">
        <w:rPr>
          <w:rFonts w:cstheme="minorHAnsi"/>
          <w:i/>
          <w:iCs/>
        </w:rPr>
        <w:t>Childrens</w:t>
      </w:r>
      <w:proofErr w:type="spellEnd"/>
      <w:r w:rsidRPr="00DA2139">
        <w:rPr>
          <w:rFonts w:cstheme="minorHAnsi"/>
          <w:i/>
          <w:iCs/>
        </w:rPr>
        <w:t xml:space="preserve"> Safeguarding Board</w:t>
      </w:r>
      <w:r w:rsidRPr="00DA2139">
        <w:rPr>
          <w:rFonts w:cstheme="minorHAnsi"/>
        </w:rPr>
        <w:t xml:space="preserve">. Available at: </w:t>
      </w:r>
      <w:hyperlink r:id="rId23" w:history="1">
        <w:r w:rsidRPr="00DA2139">
          <w:rPr>
            <w:rStyle w:val="Hyperlink"/>
            <w:rFonts w:cstheme="minorHAnsi"/>
          </w:rPr>
          <w:t>https://nsscp.co.uk/professionals-practitioners/early-years-play-providers/early-years-child-protection-responsibilities</w:t>
        </w:r>
      </w:hyperlink>
      <w:r w:rsidRPr="00DA2139">
        <w:rPr>
          <w:rFonts w:cstheme="minorHAnsi"/>
        </w:rPr>
        <w:t>.</w:t>
      </w:r>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p>
    <w:p w14:paraId="347FBC94" w14:textId="6E57D0B1" w:rsidR="00647A9F" w:rsidRPr="00DA2139" w:rsidRDefault="00214E5B" w:rsidP="00DA2139">
      <w:pPr>
        <w:spacing w:before="240" w:line="480" w:lineRule="auto"/>
        <w:ind w:left="360"/>
        <w:rPr>
          <w:rFonts w:cstheme="minorHAnsi"/>
        </w:rPr>
      </w:pPr>
      <w:r w:rsidRPr="00DA2139">
        <w:rPr>
          <w:rFonts w:cstheme="minorHAnsi"/>
        </w:rPr>
        <w:t>OECD (2025). </w:t>
      </w:r>
      <w:r w:rsidRPr="00DA2139">
        <w:rPr>
          <w:rFonts w:cstheme="minorHAnsi"/>
          <w:i/>
          <w:iCs/>
        </w:rPr>
        <w:t>Early childhood education and care policies to support equity and inclusion: Main findings and policy implications</w:t>
      </w:r>
      <w:r w:rsidRPr="00DA2139">
        <w:rPr>
          <w:rFonts w:cstheme="minorHAnsi"/>
        </w:rPr>
        <w:t xml:space="preserve">. [online] OECD. Available at: </w:t>
      </w:r>
      <w:hyperlink r:id="rId24" w:history="1">
        <w:r w:rsidRPr="00DA2139">
          <w:rPr>
            <w:rStyle w:val="Hyperlink"/>
            <w:rFonts w:cstheme="minorHAnsi"/>
          </w:rPr>
          <w:t>https://www.oecd.org/en/publications/reducing-inequalities-by-investing-in-early-childhood-education-and-care_b78f8b25-en/full-report/early-childhood-education-and-care-policies-to-support-equity-and-inclusion-main-findings-and-policy-implications_0b094955.html</w:t>
        </w:r>
      </w:hyperlink>
      <w:r w:rsidRPr="00DA2139">
        <w:rPr>
          <w:rFonts w:cstheme="minorHAnsi"/>
        </w:rPr>
        <w:t xml:space="preserve"> (Accessed:</w:t>
      </w:r>
      <w:r w:rsidR="0043621F" w:rsidRPr="00DA2139">
        <w:rPr>
          <w:rFonts w:cstheme="minorHAnsi"/>
        </w:rPr>
        <w:t xml:space="preserve"> 21</w:t>
      </w:r>
      <w:r w:rsidR="0043621F" w:rsidRPr="00DA2139">
        <w:rPr>
          <w:rFonts w:cstheme="minorHAnsi"/>
          <w:vertAlign w:val="superscript"/>
        </w:rPr>
        <w:t>st</w:t>
      </w:r>
      <w:r w:rsidR="0043621F" w:rsidRPr="00DA2139">
        <w:rPr>
          <w:rFonts w:cstheme="minorHAnsi"/>
        </w:rPr>
        <w:t xml:space="preserve"> February 2026). </w:t>
      </w:r>
    </w:p>
    <w:p w14:paraId="46BB5A85" w14:textId="1EF81582" w:rsidR="00702303" w:rsidRPr="00DA2139" w:rsidRDefault="00916DB4" w:rsidP="00DA2139">
      <w:pPr>
        <w:spacing w:before="240" w:line="480" w:lineRule="auto"/>
        <w:ind w:left="360"/>
        <w:rPr>
          <w:rFonts w:cstheme="minorHAnsi"/>
        </w:rPr>
      </w:pPr>
      <w:r w:rsidRPr="00DA2139">
        <w:rPr>
          <w:rFonts w:cstheme="minorHAnsi"/>
        </w:rPr>
        <w:t>Oliver, M. (2013). The Social Model of Disability: Thirty Years On. </w:t>
      </w:r>
      <w:r w:rsidRPr="00DA2139">
        <w:rPr>
          <w:rFonts w:cstheme="minorHAnsi"/>
          <w:i/>
          <w:iCs/>
        </w:rPr>
        <w:t>Disability &amp; Society</w:t>
      </w:r>
      <w:r w:rsidRPr="00DA2139">
        <w:rPr>
          <w:rFonts w:cstheme="minorHAnsi"/>
        </w:rPr>
        <w:t xml:space="preserve">, [online] 28(7), pp.1024–1026. </w:t>
      </w:r>
      <w:r w:rsidRPr="00DA2139">
        <w:rPr>
          <w:rFonts w:cstheme="minorHAnsi"/>
        </w:rPr>
        <w:t>DOI</w:t>
      </w:r>
      <w:r w:rsidRPr="00DA2139">
        <w:rPr>
          <w:rFonts w:cstheme="minorHAnsi"/>
        </w:rPr>
        <w:t>:</w:t>
      </w:r>
      <w:r w:rsidRPr="00DA2139">
        <w:rPr>
          <w:rFonts w:cstheme="minorHAnsi"/>
        </w:rPr>
        <w:t xml:space="preserve"> </w:t>
      </w:r>
      <w:hyperlink r:id="rId25" w:history="1">
        <w:r w:rsidRPr="00DA2139">
          <w:rPr>
            <w:rStyle w:val="Hyperlink"/>
            <w:rFonts w:cstheme="minorHAnsi"/>
          </w:rPr>
          <w:t>https://doi.org/10.1080/09687599.2013.818773</w:t>
        </w:r>
      </w:hyperlink>
      <w:r w:rsidRPr="00DA2139">
        <w:rPr>
          <w:rFonts w:cstheme="minorHAnsi"/>
        </w:rPr>
        <w:t xml:space="preserve"> </w:t>
      </w:r>
      <w:r w:rsidRPr="00DA2139">
        <w:rPr>
          <w:rFonts w:cstheme="minorHAnsi"/>
        </w:rPr>
        <w:t>(Accessed: 12</w:t>
      </w:r>
      <w:r w:rsidRPr="00DA2139">
        <w:rPr>
          <w:rFonts w:cstheme="minorHAnsi"/>
          <w:vertAlign w:val="superscript"/>
        </w:rPr>
        <w:t>th</w:t>
      </w:r>
      <w:r w:rsidRPr="00DA2139">
        <w:rPr>
          <w:rFonts w:cstheme="minorHAnsi"/>
        </w:rPr>
        <w:t xml:space="preserve"> February 2026).</w:t>
      </w:r>
    </w:p>
    <w:p w14:paraId="04671FFB" w14:textId="5F0AAF06" w:rsidR="00584657" w:rsidRPr="00DA2139" w:rsidRDefault="00173934" w:rsidP="00DA2139">
      <w:pPr>
        <w:tabs>
          <w:tab w:val="left" w:pos="2835"/>
        </w:tabs>
        <w:spacing w:before="240" w:line="480" w:lineRule="auto"/>
        <w:ind w:left="360"/>
        <w:rPr>
          <w:rFonts w:cstheme="minorHAnsi"/>
        </w:rPr>
      </w:pPr>
      <w:r w:rsidRPr="00DA2139">
        <w:rPr>
          <w:rFonts w:cstheme="minorHAnsi"/>
        </w:rPr>
        <w:t>‌</w:t>
      </w:r>
      <w:r w:rsidR="00702303" w:rsidRPr="00DA2139">
        <w:rPr>
          <w:rFonts w:cstheme="minorHAnsi"/>
        </w:rPr>
        <w:t>Piaget, J. (1952). </w:t>
      </w:r>
      <w:r w:rsidR="00702303" w:rsidRPr="00DA2139">
        <w:rPr>
          <w:rFonts w:cstheme="minorHAnsi"/>
          <w:i/>
          <w:iCs/>
        </w:rPr>
        <w:t>The origins of intelligence in children</w:t>
      </w:r>
      <w:r w:rsidR="00702303" w:rsidRPr="00DA2139">
        <w:rPr>
          <w:rFonts w:cstheme="minorHAnsi"/>
        </w:rPr>
        <w:t>. New York: International Universities Press.</w:t>
      </w:r>
    </w:p>
    <w:p w14:paraId="3EBB077C" w14:textId="1D5590D3" w:rsidR="00584657" w:rsidRPr="00DA2139" w:rsidRDefault="00584657" w:rsidP="00DA2139">
      <w:pPr>
        <w:tabs>
          <w:tab w:val="left" w:pos="2835"/>
        </w:tabs>
        <w:spacing w:before="240" w:line="480" w:lineRule="auto"/>
        <w:ind w:left="360"/>
        <w:rPr>
          <w:rFonts w:cstheme="minorHAnsi"/>
        </w:rPr>
      </w:pPr>
      <w:r w:rsidRPr="00DA2139">
        <w:rPr>
          <w:rFonts w:cstheme="minorHAnsi"/>
        </w:rPr>
        <w:t>Piller, A., Conlin, J.M., Glennon, T.J., Andelin, L., Auld-Wright, K., Teng, K. and Tarver, T. (2025). Systematic review of sensory-based interventions for children and youth (2015–2024). </w:t>
      </w:r>
      <w:r w:rsidRPr="00DA2139">
        <w:rPr>
          <w:rFonts w:cstheme="minorHAnsi"/>
          <w:i/>
          <w:iCs/>
        </w:rPr>
        <w:t xml:space="preserve">Frontiers </w:t>
      </w:r>
      <w:r w:rsidRPr="00DA2139">
        <w:rPr>
          <w:rFonts w:cstheme="minorHAnsi"/>
          <w:i/>
          <w:iCs/>
        </w:rPr>
        <w:lastRenderedPageBreak/>
        <w:t xml:space="preserve">in </w:t>
      </w:r>
      <w:proofErr w:type="spellStart"/>
      <w:r w:rsidRPr="00DA2139">
        <w:rPr>
          <w:rFonts w:cstheme="minorHAnsi"/>
          <w:i/>
          <w:iCs/>
        </w:rPr>
        <w:t>Pediatrics</w:t>
      </w:r>
      <w:proofErr w:type="spellEnd"/>
      <w:r w:rsidRPr="00DA2139">
        <w:rPr>
          <w:rFonts w:cstheme="minorHAnsi"/>
        </w:rPr>
        <w:t xml:space="preserve">, 13. </w:t>
      </w:r>
      <w:r w:rsidRPr="00DA2139">
        <w:rPr>
          <w:rFonts w:cstheme="minorHAnsi"/>
        </w:rPr>
        <w:t>DOI</w:t>
      </w:r>
      <w:r w:rsidRPr="00DA2139">
        <w:rPr>
          <w:rFonts w:cstheme="minorHAnsi"/>
        </w:rPr>
        <w:t>:</w:t>
      </w:r>
      <w:r w:rsidRPr="00DA2139">
        <w:rPr>
          <w:rFonts w:cstheme="minorHAnsi"/>
        </w:rPr>
        <w:t xml:space="preserve"> </w:t>
      </w:r>
      <w:hyperlink r:id="rId26" w:history="1">
        <w:r w:rsidRPr="00DA2139">
          <w:rPr>
            <w:rStyle w:val="Hyperlink"/>
            <w:rFonts w:cstheme="minorHAnsi"/>
          </w:rPr>
          <w:t>https://doi.org/10.3389/fped.2025.1720179</w:t>
        </w:r>
      </w:hyperlink>
      <w:r w:rsidRPr="00DA2139">
        <w:rPr>
          <w:rFonts w:cstheme="minorHAnsi"/>
        </w:rPr>
        <w:t>.</w:t>
      </w:r>
      <w:r w:rsidRPr="00DA2139">
        <w:rPr>
          <w:rFonts w:cstheme="minorHAnsi"/>
        </w:rPr>
        <w:t xml:space="preserve"> (Accessed: 20</w:t>
      </w:r>
      <w:r w:rsidRPr="00DA2139">
        <w:rPr>
          <w:rFonts w:cstheme="minorHAnsi"/>
          <w:vertAlign w:val="superscript"/>
        </w:rPr>
        <w:t>th</w:t>
      </w:r>
      <w:r w:rsidRPr="00DA2139">
        <w:rPr>
          <w:rFonts w:cstheme="minorHAnsi"/>
        </w:rPr>
        <w:t xml:space="preserve"> February 2026).</w:t>
      </w:r>
    </w:p>
    <w:p w14:paraId="282665BB" w14:textId="040604D5" w:rsidR="0047015E" w:rsidRPr="00DA2139" w:rsidRDefault="0047015E" w:rsidP="00DA2139">
      <w:pPr>
        <w:tabs>
          <w:tab w:val="left" w:pos="2835"/>
        </w:tabs>
        <w:spacing w:before="240" w:line="480" w:lineRule="auto"/>
        <w:ind w:left="360"/>
        <w:rPr>
          <w:rFonts w:cstheme="minorHAnsi"/>
        </w:rPr>
      </w:pPr>
      <w:r w:rsidRPr="00DA2139">
        <w:rPr>
          <w:rFonts w:cstheme="minorHAnsi"/>
        </w:rPr>
        <w:t>Pite, S. (2025). </w:t>
      </w:r>
      <w:r w:rsidRPr="00DA2139">
        <w:rPr>
          <w:rFonts w:cstheme="minorHAnsi"/>
          <w:i/>
          <w:iCs/>
        </w:rPr>
        <w:t>Safeguarding | www.eyalliance.org.uk</w:t>
      </w:r>
      <w:r w:rsidRPr="00DA2139">
        <w:rPr>
          <w:rFonts w:cstheme="minorHAnsi"/>
        </w:rPr>
        <w:t xml:space="preserve">. [online] Eyalliance.org.uk. Available at: </w:t>
      </w:r>
      <w:hyperlink r:id="rId27" w:history="1">
        <w:r w:rsidRPr="00DA2139">
          <w:rPr>
            <w:rStyle w:val="Hyperlink"/>
            <w:rFonts w:cstheme="minorHAnsi"/>
          </w:rPr>
          <w:t>https://www.eyalliance.org.uk/advice-and-information/early-years-practice/safeguarding/</w:t>
        </w:r>
      </w:hyperlink>
      <w:r w:rsidRPr="00DA2139">
        <w:rPr>
          <w:rFonts w:cstheme="minorHAnsi"/>
        </w:rPr>
        <w:t xml:space="preserve"> (Accessed: 21</w:t>
      </w:r>
      <w:r w:rsidRPr="00DA2139">
        <w:rPr>
          <w:rFonts w:cstheme="minorHAnsi"/>
          <w:vertAlign w:val="superscript"/>
        </w:rPr>
        <w:t>st</w:t>
      </w:r>
      <w:r w:rsidRPr="00DA2139">
        <w:rPr>
          <w:rFonts w:cstheme="minorHAnsi"/>
        </w:rPr>
        <w:t xml:space="preserve"> February 202</w:t>
      </w:r>
      <w:r w:rsidR="005627E8" w:rsidRPr="00DA2139">
        <w:rPr>
          <w:rFonts w:cstheme="minorHAnsi"/>
        </w:rPr>
        <w:t>6).</w:t>
      </w:r>
    </w:p>
    <w:p w14:paraId="39B086FF" w14:textId="1DE4418C" w:rsidR="00702303" w:rsidRPr="00DA2139" w:rsidRDefault="006D07C5" w:rsidP="00DA2139">
      <w:pPr>
        <w:tabs>
          <w:tab w:val="left" w:pos="2835"/>
        </w:tabs>
        <w:spacing w:before="240" w:line="480" w:lineRule="auto"/>
        <w:ind w:left="360"/>
        <w:rPr>
          <w:rFonts w:cstheme="minorHAnsi"/>
        </w:rPr>
      </w:pPr>
      <w:r w:rsidRPr="00DA2139">
        <w:rPr>
          <w:rFonts w:cstheme="minorHAnsi"/>
        </w:rPr>
        <w:t>Queen Margaret University (2023). </w:t>
      </w:r>
      <w:r w:rsidRPr="00DA2139">
        <w:rPr>
          <w:rFonts w:cstheme="minorHAnsi"/>
          <w:i/>
          <w:iCs/>
        </w:rPr>
        <w:t>Nurturing holistic development in early childhood</w:t>
      </w:r>
      <w:r w:rsidRPr="00DA2139">
        <w:rPr>
          <w:rFonts w:cstheme="minorHAnsi"/>
        </w:rPr>
        <w:t xml:space="preserve">. Available at: </w:t>
      </w:r>
      <w:hyperlink r:id="rId28" w:history="1">
        <w:r w:rsidRPr="00DA2139">
          <w:rPr>
            <w:rStyle w:val="Hyperlink"/>
            <w:rFonts w:cstheme="minorHAnsi"/>
          </w:rPr>
          <w:t>https://online.qmu.ac.uk/blogs/nurturing-holistic-development-in-early-childhood/</w:t>
        </w:r>
      </w:hyperlink>
      <w:r w:rsidRPr="00DA2139">
        <w:rPr>
          <w:rFonts w:cstheme="minorHAnsi"/>
        </w:rPr>
        <w:t>.</w:t>
      </w:r>
      <w:r w:rsidRPr="00DA2139">
        <w:rPr>
          <w:rFonts w:cstheme="minorHAnsi"/>
        </w:rPr>
        <w:t xml:space="preserve"> (Accessed: 12</w:t>
      </w:r>
      <w:r w:rsidRPr="00DA2139">
        <w:rPr>
          <w:rFonts w:cstheme="minorHAnsi"/>
          <w:vertAlign w:val="superscript"/>
        </w:rPr>
        <w:t>th</w:t>
      </w:r>
      <w:r w:rsidRPr="00DA2139">
        <w:rPr>
          <w:rFonts w:cstheme="minorHAnsi"/>
        </w:rPr>
        <w:t xml:space="preserve"> February 2026)</w:t>
      </w:r>
      <w:r w:rsidR="00DA2139" w:rsidRPr="00DA2139">
        <w:rPr>
          <w:rFonts w:cstheme="minorHAnsi"/>
        </w:rPr>
        <w:t>.</w:t>
      </w:r>
    </w:p>
    <w:p w14:paraId="1ED00CE3" w14:textId="5B4DE6D8" w:rsidR="00FB2EDA" w:rsidRPr="00DA2139" w:rsidRDefault="007B7D0D" w:rsidP="00DA2139">
      <w:pPr>
        <w:tabs>
          <w:tab w:val="left" w:pos="2835"/>
        </w:tabs>
        <w:spacing w:before="240" w:line="480" w:lineRule="auto"/>
        <w:ind w:left="360"/>
        <w:rPr>
          <w:rFonts w:cstheme="minorHAnsi"/>
        </w:rPr>
      </w:pPr>
      <w:r w:rsidRPr="00DA2139">
        <w:rPr>
          <w:rFonts w:cstheme="minorHAnsi"/>
        </w:rPr>
        <w:t xml:space="preserve">Schaaf, R.C., Hunt, J. and Benevides, T. (2012). Occupational Therapy Using Sensory Integration to Improve Participation of a Child </w:t>
      </w:r>
      <w:proofErr w:type="gramStart"/>
      <w:r w:rsidRPr="00DA2139">
        <w:rPr>
          <w:rFonts w:cstheme="minorHAnsi"/>
        </w:rPr>
        <w:t>With</w:t>
      </w:r>
      <w:proofErr w:type="gramEnd"/>
      <w:r w:rsidRPr="00DA2139">
        <w:rPr>
          <w:rFonts w:cstheme="minorHAnsi"/>
        </w:rPr>
        <w:t xml:space="preserve"> Autism: A Case Report. </w:t>
      </w:r>
      <w:r w:rsidRPr="00DA2139">
        <w:rPr>
          <w:rFonts w:cstheme="minorHAnsi"/>
          <w:i/>
          <w:iCs/>
        </w:rPr>
        <w:t>American Journal of Occupational Therapy</w:t>
      </w:r>
      <w:r w:rsidRPr="00DA2139">
        <w:rPr>
          <w:rFonts w:cstheme="minorHAnsi"/>
        </w:rPr>
        <w:t xml:space="preserve">, 66(5), pp.547–555. </w:t>
      </w:r>
      <w:r w:rsidR="00F66043" w:rsidRPr="00DA2139">
        <w:rPr>
          <w:rFonts w:cstheme="minorHAnsi"/>
        </w:rPr>
        <w:t>DOI</w:t>
      </w:r>
      <w:r w:rsidRPr="00DA2139">
        <w:rPr>
          <w:rFonts w:cstheme="minorHAnsi"/>
        </w:rPr>
        <w:t>:</w:t>
      </w:r>
      <w:r w:rsidR="00F66043" w:rsidRPr="00DA2139">
        <w:rPr>
          <w:rFonts w:cstheme="minorHAnsi"/>
        </w:rPr>
        <w:t xml:space="preserve"> </w:t>
      </w:r>
      <w:hyperlink r:id="rId29" w:history="1">
        <w:r w:rsidR="00F66043" w:rsidRPr="00DA2139">
          <w:rPr>
            <w:rStyle w:val="Hyperlink"/>
            <w:rFonts w:cstheme="minorHAnsi"/>
          </w:rPr>
          <w:t>https://doi.org/10.5014/ajot.2012.004473</w:t>
        </w:r>
      </w:hyperlink>
      <w:r w:rsidR="00F66043" w:rsidRPr="00DA2139">
        <w:rPr>
          <w:rFonts w:cstheme="minorHAnsi"/>
        </w:rPr>
        <w:t xml:space="preserve"> (Accessed: 15</w:t>
      </w:r>
      <w:r w:rsidR="00F66043" w:rsidRPr="00DA2139">
        <w:rPr>
          <w:rFonts w:cstheme="minorHAnsi"/>
          <w:vertAlign w:val="superscript"/>
        </w:rPr>
        <w:t>th</w:t>
      </w:r>
      <w:r w:rsidR="00F66043" w:rsidRPr="00DA2139">
        <w:rPr>
          <w:rFonts w:cstheme="minorHAnsi"/>
        </w:rPr>
        <w:t xml:space="preserve"> February 2026).</w:t>
      </w:r>
    </w:p>
    <w:p w14:paraId="5BCE6598" w14:textId="7DA0DBF2" w:rsidR="00F2389E" w:rsidRPr="00DA2139" w:rsidRDefault="00FB2EDA" w:rsidP="00DA2139">
      <w:pPr>
        <w:tabs>
          <w:tab w:val="left" w:pos="2835"/>
        </w:tabs>
        <w:spacing w:before="240" w:line="480" w:lineRule="auto"/>
        <w:ind w:left="360"/>
        <w:rPr>
          <w:rFonts w:cstheme="minorHAnsi"/>
        </w:rPr>
      </w:pPr>
      <w:r w:rsidRPr="00DA2139">
        <w:rPr>
          <w:rFonts w:cstheme="minorHAnsi"/>
        </w:rPr>
        <w:t xml:space="preserve">Silkenbeumer, J., </w:t>
      </w:r>
      <w:proofErr w:type="spellStart"/>
      <w:r w:rsidRPr="00DA2139">
        <w:rPr>
          <w:rFonts w:cstheme="minorHAnsi"/>
        </w:rPr>
        <w:t>Lüken</w:t>
      </w:r>
      <w:proofErr w:type="spellEnd"/>
      <w:r w:rsidRPr="00DA2139">
        <w:rPr>
          <w:rFonts w:cstheme="minorHAnsi"/>
        </w:rPr>
        <w:t xml:space="preserve">, L., </w:t>
      </w:r>
      <w:proofErr w:type="spellStart"/>
      <w:r w:rsidRPr="00DA2139">
        <w:rPr>
          <w:rFonts w:cstheme="minorHAnsi"/>
        </w:rPr>
        <w:t>Holodynski</w:t>
      </w:r>
      <w:proofErr w:type="spellEnd"/>
      <w:r w:rsidRPr="00DA2139">
        <w:rPr>
          <w:rFonts w:cstheme="minorHAnsi"/>
        </w:rPr>
        <w:t xml:space="preserve">, M. and </w:t>
      </w:r>
      <w:proofErr w:type="spellStart"/>
      <w:r w:rsidRPr="00DA2139">
        <w:rPr>
          <w:rFonts w:cstheme="minorHAnsi"/>
        </w:rPr>
        <w:t>Kärtner</w:t>
      </w:r>
      <w:proofErr w:type="spellEnd"/>
      <w:r w:rsidRPr="00DA2139">
        <w:rPr>
          <w:rFonts w:cstheme="minorHAnsi"/>
        </w:rPr>
        <w:t>, J. (2024). Emotion Socialization in Early Childhood Education and Care – How Preschool Teachers Support Children’s Emotion Regulation. </w:t>
      </w:r>
      <w:r w:rsidRPr="00DA2139">
        <w:rPr>
          <w:rFonts w:cstheme="minorHAnsi"/>
          <w:i/>
          <w:iCs/>
        </w:rPr>
        <w:t>Social and Emotional Learning Research Practice and Policy</w:t>
      </w:r>
      <w:r w:rsidRPr="00DA2139">
        <w:rPr>
          <w:rFonts w:cstheme="minorHAnsi"/>
        </w:rPr>
        <w:t xml:space="preserve">, 4, pp.100057–100057. </w:t>
      </w:r>
      <w:r w:rsidRPr="00DA2139">
        <w:rPr>
          <w:rFonts w:cstheme="minorHAnsi"/>
        </w:rPr>
        <w:t>DOI</w:t>
      </w:r>
      <w:r w:rsidRPr="00DA2139">
        <w:rPr>
          <w:rFonts w:cstheme="minorHAnsi"/>
        </w:rPr>
        <w:t>:</w:t>
      </w:r>
      <w:r w:rsidRPr="00DA2139">
        <w:rPr>
          <w:rFonts w:cstheme="minorHAnsi"/>
        </w:rPr>
        <w:t xml:space="preserve"> </w:t>
      </w:r>
      <w:hyperlink r:id="rId30" w:history="1">
        <w:r w:rsidRPr="00DA2139">
          <w:rPr>
            <w:rStyle w:val="Hyperlink"/>
            <w:rFonts w:cstheme="minorHAnsi"/>
          </w:rPr>
          <w:t>https://doi.org/10.1016/j.sel.2024.100057</w:t>
        </w:r>
      </w:hyperlink>
      <w:r w:rsidRPr="00DA2139">
        <w:rPr>
          <w:rFonts w:cstheme="minorHAnsi"/>
        </w:rPr>
        <w:t>.</w:t>
      </w:r>
      <w:r w:rsidRPr="00DA2139">
        <w:rPr>
          <w:rFonts w:cstheme="minorHAnsi"/>
        </w:rPr>
        <w:t xml:space="preserve"> (Accessed: 20</w:t>
      </w:r>
      <w:r w:rsidRPr="00DA2139">
        <w:rPr>
          <w:rFonts w:cstheme="minorHAnsi"/>
          <w:vertAlign w:val="superscript"/>
        </w:rPr>
        <w:t>th</w:t>
      </w:r>
      <w:r w:rsidRPr="00DA2139">
        <w:rPr>
          <w:rFonts w:cstheme="minorHAnsi"/>
        </w:rPr>
        <w:t xml:space="preserve"> February 2026).</w:t>
      </w:r>
    </w:p>
    <w:p w14:paraId="11E3F2D0" w14:textId="77CAF8B2" w:rsidR="000E5F0A" w:rsidRPr="00DA2139" w:rsidRDefault="00F2389E" w:rsidP="00DA2139">
      <w:pPr>
        <w:tabs>
          <w:tab w:val="left" w:pos="2835"/>
        </w:tabs>
        <w:spacing w:before="240" w:line="480" w:lineRule="auto"/>
        <w:ind w:left="360"/>
        <w:rPr>
          <w:rFonts w:cstheme="minorHAnsi"/>
        </w:rPr>
      </w:pPr>
      <w:r w:rsidRPr="00DA2139">
        <w:rPr>
          <w:rFonts w:cstheme="minorHAnsi"/>
        </w:rPr>
        <w:t xml:space="preserve">Siller, M., Morgan, L., Wedderburn, Q., Fuhrmeister, S. and </w:t>
      </w:r>
      <w:proofErr w:type="spellStart"/>
      <w:r w:rsidRPr="00DA2139">
        <w:rPr>
          <w:rFonts w:cstheme="minorHAnsi"/>
        </w:rPr>
        <w:t>Rudrabhatla</w:t>
      </w:r>
      <w:proofErr w:type="spellEnd"/>
      <w:r w:rsidRPr="00DA2139">
        <w:rPr>
          <w:rFonts w:cstheme="minorHAnsi"/>
        </w:rPr>
        <w:t xml:space="preserve">, A. (2021). Inclusive Early Childhood Education for Children </w:t>
      </w:r>
      <w:proofErr w:type="gramStart"/>
      <w:r w:rsidRPr="00DA2139">
        <w:rPr>
          <w:rFonts w:cstheme="minorHAnsi"/>
        </w:rPr>
        <w:t>With</w:t>
      </w:r>
      <w:proofErr w:type="gramEnd"/>
      <w:r w:rsidRPr="00DA2139">
        <w:rPr>
          <w:rFonts w:cstheme="minorHAnsi"/>
        </w:rPr>
        <w:t xml:space="preserve"> and Without Autism: Progress, Barriers, and Future Directions. </w:t>
      </w:r>
      <w:r w:rsidRPr="00DA2139">
        <w:rPr>
          <w:rFonts w:cstheme="minorHAnsi"/>
          <w:i/>
          <w:iCs/>
        </w:rPr>
        <w:t>Frontiers in Psychiatry</w:t>
      </w:r>
      <w:r w:rsidRPr="00DA2139">
        <w:rPr>
          <w:rFonts w:cstheme="minorHAnsi"/>
        </w:rPr>
        <w:t xml:space="preserve">, 12(12). </w:t>
      </w:r>
      <w:r w:rsidRPr="00DA2139">
        <w:rPr>
          <w:rFonts w:cstheme="minorHAnsi"/>
        </w:rPr>
        <w:t>DOI</w:t>
      </w:r>
      <w:r w:rsidRPr="00DA2139">
        <w:rPr>
          <w:rFonts w:cstheme="minorHAnsi"/>
        </w:rPr>
        <w:t>:</w:t>
      </w:r>
      <w:r w:rsidRPr="00DA2139">
        <w:rPr>
          <w:rFonts w:cstheme="minorHAnsi"/>
        </w:rPr>
        <w:t xml:space="preserve"> </w:t>
      </w:r>
      <w:hyperlink r:id="rId31" w:history="1">
        <w:r w:rsidRPr="00DA2139">
          <w:rPr>
            <w:rStyle w:val="Hyperlink"/>
            <w:rFonts w:cstheme="minorHAnsi"/>
          </w:rPr>
          <w:t>https://doi.org/10.3389/fpsyt.2021.754648</w:t>
        </w:r>
      </w:hyperlink>
      <w:r w:rsidRPr="00DA2139">
        <w:rPr>
          <w:rFonts w:cstheme="minorHAnsi"/>
        </w:rPr>
        <w:t xml:space="preserve"> (Accessed: 20</w:t>
      </w:r>
      <w:r w:rsidRPr="00DA2139">
        <w:rPr>
          <w:rFonts w:cstheme="minorHAnsi"/>
          <w:vertAlign w:val="superscript"/>
        </w:rPr>
        <w:t>th</w:t>
      </w:r>
      <w:r w:rsidRPr="00DA2139">
        <w:rPr>
          <w:rFonts w:cstheme="minorHAnsi"/>
        </w:rPr>
        <w:t xml:space="preserve"> February 2026).</w:t>
      </w:r>
    </w:p>
    <w:p w14:paraId="1658C09C" w14:textId="4474FC5B" w:rsidR="005D6DFF" w:rsidRPr="00DA2139" w:rsidRDefault="000E5F0A" w:rsidP="00DA2139">
      <w:pPr>
        <w:tabs>
          <w:tab w:val="left" w:pos="2835"/>
        </w:tabs>
        <w:spacing w:before="240" w:line="480" w:lineRule="auto"/>
        <w:ind w:left="360"/>
        <w:rPr>
          <w:rFonts w:cstheme="minorHAnsi"/>
        </w:rPr>
      </w:pPr>
      <w:r w:rsidRPr="00DA2139">
        <w:rPr>
          <w:rFonts w:cstheme="minorHAnsi"/>
        </w:rPr>
        <w:t xml:space="preserve">Siraj-Blatchford, I., Sylva, K., </w:t>
      </w:r>
      <w:proofErr w:type="spellStart"/>
      <w:r w:rsidRPr="00DA2139">
        <w:rPr>
          <w:rFonts w:cstheme="minorHAnsi"/>
        </w:rPr>
        <w:t>Muttock</w:t>
      </w:r>
      <w:proofErr w:type="spellEnd"/>
      <w:r w:rsidRPr="00DA2139">
        <w:rPr>
          <w:rFonts w:cstheme="minorHAnsi"/>
        </w:rPr>
        <w:t>, S., Gilden, R. and Bell, D. (2002). </w:t>
      </w:r>
      <w:r w:rsidRPr="00DA2139">
        <w:rPr>
          <w:rFonts w:cstheme="minorHAnsi"/>
          <w:i/>
          <w:iCs/>
        </w:rPr>
        <w:t>Researching Effective Pedagogy in the Early Years RESEARCH</w:t>
      </w:r>
      <w:r w:rsidRPr="00DA2139">
        <w:rPr>
          <w:rFonts w:cstheme="minorHAnsi"/>
        </w:rPr>
        <w:t>. Available at</w:t>
      </w:r>
      <w:r w:rsidR="00990F59" w:rsidRPr="00DA2139">
        <w:rPr>
          <w:rFonts w:cstheme="minorHAnsi"/>
        </w:rPr>
        <w:t xml:space="preserve">: </w:t>
      </w:r>
      <w:hyperlink r:id="rId32" w:history="1">
        <w:r w:rsidR="00990F59" w:rsidRPr="00DA2139">
          <w:rPr>
            <w:rStyle w:val="Hyperlink"/>
            <w:rFonts w:cstheme="minorHAnsi"/>
          </w:rPr>
          <w:t>https://dera.ioe.ac.uk/id/eprint/4650/1/RR356.pdf</w:t>
        </w:r>
      </w:hyperlink>
      <w:r w:rsidRPr="00DA2139">
        <w:rPr>
          <w:rFonts w:cstheme="minorHAnsi"/>
        </w:rPr>
        <w:t>.</w:t>
      </w:r>
      <w:r w:rsidR="00990F59" w:rsidRPr="00DA2139">
        <w:rPr>
          <w:rFonts w:cstheme="minorHAnsi"/>
        </w:rPr>
        <w:t xml:space="preserve"> (Accessed: 15</w:t>
      </w:r>
      <w:r w:rsidR="00990F59" w:rsidRPr="00DA2139">
        <w:rPr>
          <w:rFonts w:cstheme="minorHAnsi"/>
          <w:vertAlign w:val="superscript"/>
        </w:rPr>
        <w:t>th</w:t>
      </w:r>
      <w:r w:rsidR="00990F59" w:rsidRPr="00DA2139">
        <w:rPr>
          <w:rFonts w:cstheme="minorHAnsi"/>
        </w:rPr>
        <w:t xml:space="preserve"> February 2026).</w:t>
      </w:r>
    </w:p>
    <w:p w14:paraId="10C5CDE7" w14:textId="63F47EFE" w:rsidR="00B72B22" w:rsidRPr="00DA2139" w:rsidRDefault="005D6DFF" w:rsidP="00DA2139">
      <w:pPr>
        <w:tabs>
          <w:tab w:val="left" w:pos="2835"/>
        </w:tabs>
        <w:spacing w:before="240" w:line="480" w:lineRule="auto"/>
        <w:ind w:left="360"/>
        <w:rPr>
          <w:rFonts w:cstheme="minorHAnsi"/>
        </w:rPr>
      </w:pPr>
      <w:r w:rsidRPr="00DA2139">
        <w:rPr>
          <w:rFonts w:cstheme="minorHAnsi"/>
        </w:rPr>
        <w:lastRenderedPageBreak/>
        <w:t>Social Enterprise UK (2025). </w:t>
      </w:r>
      <w:r w:rsidRPr="00DA2139">
        <w:rPr>
          <w:rFonts w:cstheme="minorHAnsi"/>
          <w:i/>
          <w:iCs/>
        </w:rPr>
        <w:t>All about Social Enterprise</w:t>
      </w:r>
      <w:r w:rsidRPr="00DA2139">
        <w:rPr>
          <w:rFonts w:cstheme="minorHAnsi"/>
        </w:rPr>
        <w:t xml:space="preserve">. Social Enterprise UK. Available at: </w:t>
      </w:r>
      <w:hyperlink r:id="rId33" w:history="1">
        <w:r w:rsidRPr="00DA2139">
          <w:rPr>
            <w:rStyle w:val="Hyperlink"/>
            <w:rFonts w:cstheme="minorHAnsi"/>
          </w:rPr>
          <w:t>https://www.socialenterprise.org.uk/all-about-social-enterprise/</w:t>
        </w:r>
      </w:hyperlink>
      <w:r w:rsidRPr="00DA2139">
        <w:rPr>
          <w:rFonts w:cstheme="minorHAnsi"/>
        </w:rPr>
        <w:t xml:space="preserve"> (Accessed: 15</w:t>
      </w:r>
      <w:r w:rsidRPr="00DA2139">
        <w:rPr>
          <w:rFonts w:cstheme="minorHAnsi"/>
          <w:vertAlign w:val="superscript"/>
        </w:rPr>
        <w:t>th</w:t>
      </w:r>
      <w:r w:rsidRPr="00DA2139">
        <w:rPr>
          <w:rFonts w:cstheme="minorHAnsi"/>
        </w:rPr>
        <w:t xml:space="preserve"> February 2026).</w:t>
      </w:r>
    </w:p>
    <w:p w14:paraId="10CB0BCA" w14:textId="434CA4E8" w:rsidR="00B72B22" w:rsidRDefault="00B72B22" w:rsidP="00DA2139">
      <w:pPr>
        <w:tabs>
          <w:tab w:val="left" w:pos="2835"/>
        </w:tabs>
        <w:spacing w:before="240" w:line="480" w:lineRule="auto"/>
        <w:ind w:left="360"/>
        <w:rPr>
          <w:rFonts w:cstheme="minorHAnsi"/>
        </w:rPr>
      </w:pPr>
      <w:r w:rsidRPr="00DA2139">
        <w:rPr>
          <w:rFonts w:cstheme="minorHAnsi"/>
        </w:rPr>
        <w:t xml:space="preserve">Smythe, T., </w:t>
      </w:r>
      <w:proofErr w:type="spellStart"/>
      <w:r w:rsidRPr="00DA2139">
        <w:rPr>
          <w:rFonts w:cstheme="minorHAnsi"/>
        </w:rPr>
        <w:t>Zuurmond</w:t>
      </w:r>
      <w:proofErr w:type="spellEnd"/>
      <w:r w:rsidRPr="00DA2139">
        <w:rPr>
          <w:rFonts w:cstheme="minorHAnsi"/>
        </w:rPr>
        <w:t>, M., Tann, C.J., Gladstone, M. and Kuper, H. (2021). Early intervention for children with developmental disabilities in low and middle-income countries – the case for action. </w:t>
      </w:r>
      <w:r w:rsidRPr="00DA2139">
        <w:rPr>
          <w:rFonts w:cstheme="minorHAnsi"/>
          <w:i/>
          <w:iCs/>
        </w:rPr>
        <w:t>International Health</w:t>
      </w:r>
      <w:r w:rsidRPr="00DA2139">
        <w:rPr>
          <w:rFonts w:cstheme="minorHAnsi"/>
        </w:rPr>
        <w:t xml:space="preserve">, 13(3), pp.222–231. </w:t>
      </w:r>
      <w:r w:rsidRPr="00DA2139">
        <w:rPr>
          <w:rFonts w:cstheme="minorHAnsi"/>
        </w:rPr>
        <w:t>DOI</w:t>
      </w:r>
      <w:r w:rsidRPr="00DA2139">
        <w:rPr>
          <w:rFonts w:cstheme="minorHAnsi"/>
        </w:rPr>
        <w:t>:</w:t>
      </w:r>
      <w:r w:rsidRPr="00DA2139">
        <w:rPr>
          <w:rFonts w:cstheme="minorHAnsi"/>
        </w:rPr>
        <w:t xml:space="preserve"> </w:t>
      </w:r>
      <w:hyperlink r:id="rId34" w:history="1">
        <w:r w:rsidRPr="00DA2139">
          <w:rPr>
            <w:rStyle w:val="Hyperlink"/>
            <w:rFonts w:cstheme="minorHAnsi"/>
          </w:rPr>
          <w:t>https://doi.org/10.1093/inthealth/ihaa044</w:t>
        </w:r>
      </w:hyperlink>
      <w:r w:rsidRPr="00DA2139">
        <w:rPr>
          <w:rFonts w:cstheme="minorHAnsi"/>
        </w:rPr>
        <w:t>.</w:t>
      </w:r>
      <w:r w:rsidRPr="00DA2139">
        <w:rPr>
          <w:rFonts w:cstheme="minorHAnsi"/>
        </w:rPr>
        <w:t xml:space="preserve"> (Accessed: 21</w:t>
      </w:r>
      <w:r w:rsidRPr="00DA2139">
        <w:rPr>
          <w:rFonts w:cstheme="minorHAnsi"/>
          <w:vertAlign w:val="superscript"/>
        </w:rPr>
        <w:t>st</w:t>
      </w:r>
      <w:r w:rsidRPr="00DA2139">
        <w:rPr>
          <w:rFonts w:cstheme="minorHAnsi"/>
        </w:rPr>
        <w:t xml:space="preserve"> February 2026).</w:t>
      </w:r>
    </w:p>
    <w:p w14:paraId="236AAA41" w14:textId="1894BBC1" w:rsidR="005C467F" w:rsidRDefault="005C467F" w:rsidP="005C467F">
      <w:pPr>
        <w:tabs>
          <w:tab w:val="left" w:pos="2835"/>
        </w:tabs>
        <w:spacing w:before="240" w:line="480" w:lineRule="auto"/>
        <w:ind w:left="360"/>
        <w:rPr>
          <w:rFonts w:cstheme="minorHAnsi"/>
        </w:rPr>
      </w:pPr>
      <w:r w:rsidRPr="005C467F">
        <w:rPr>
          <w:rFonts w:cstheme="minorHAnsi"/>
        </w:rPr>
        <w:t>Sylva, K., Melhuish, E., Sammons, P., Siraj-Blatchford, I. and Taggart, B. (2004). </w:t>
      </w:r>
      <w:r w:rsidRPr="005C467F">
        <w:rPr>
          <w:rFonts w:cstheme="minorHAnsi"/>
          <w:i/>
          <w:iCs/>
        </w:rPr>
        <w:t>The Effective Provision of Pre-School Education (EPPE) Project: Findings from Pre-school to end of Key Stage1</w:t>
      </w:r>
      <w:r w:rsidRPr="005C467F">
        <w:rPr>
          <w:rFonts w:cstheme="minorHAnsi"/>
        </w:rPr>
        <w:t xml:space="preserve">. Available at: </w:t>
      </w:r>
      <w:hyperlink r:id="rId35" w:history="1">
        <w:r w:rsidRPr="005C467F">
          <w:rPr>
            <w:rStyle w:val="Hyperlink"/>
            <w:rFonts w:cstheme="minorHAnsi"/>
          </w:rPr>
          <w:t>https://dera.ioe.ac.uk/id/eprint/18189/2/SSU-SF-2004-01.pdf</w:t>
        </w:r>
      </w:hyperlink>
      <w:r>
        <w:rPr>
          <w:rFonts w:cstheme="minorHAnsi"/>
        </w:rPr>
        <w:t xml:space="preserve"> (Accessed: 20</w:t>
      </w:r>
      <w:r w:rsidRPr="005C467F">
        <w:rPr>
          <w:rFonts w:cstheme="minorHAnsi"/>
          <w:vertAlign w:val="superscript"/>
        </w:rPr>
        <w:t>th</w:t>
      </w:r>
      <w:r>
        <w:rPr>
          <w:rFonts w:cstheme="minorHAnsi"/>
        </w:rPr>
        <w:t xml:space="preserve"> February 2026).</w:t>
      </w:r>
    </w:p>
    <w:p w14:paraId="2B978868" w14:textId="47E5CE9F" w:rsidR="007D0D1B" w:rsidRPr="00DA2139" w:rsidRDefault="007D0D1B" w:rsidP="007D0D1B">
      <w:pPr>
        <w:tabs>
          <w:tab w:val="left" w:pos="2835"/>
        </w:tabs>
        <w:spacing w:before="240" w:line="480" w:lineRule="auto"/>
        <w:ind w:left="360"/>
        <w:rPr>
          <w:rFonts w:cstheme="minorHAnsi"/>
        </w:rPr>
      </w:pPr>
      <w:r w:rsidRPr="007D0D1B">
        <w:rPr>
          <w:rFonts w:cstheme="minorHAnsi"/>
        </w:rPr>
        <w:t xml:space="preserve">Thompson, A.A., </w:t>
      </w:r>
      <w:proofErr w:type="spellStart"/>
      <w:r w:rsidRPr="007D0D1B">
        <w:rPr>
          <w:rFonts w:cstheme="minorHAnsi"/>
        </w:rPr>
        <w:t>Peteraf</w:t>
      </w:r>
      <w:proofErr w:type="spellEnd"/>
      <w:r w:rsidRPr="007D0D1B">
        <w:rPr>
          <w:rFonts w:cstheme="minorHAnsi"/>
        </w:rPr>
        <w:t>, M.A., Gamble, J. and Strickland, A.J. (2016). </w:t>
      </w:r>
      <w:r w:rsidRPr="007D0D1B">
        <w:rPr>
          <w:rFonts w:cstheme="minorHAnsi"/>
          <w:i/>
          <w:iCs/>
        </w:rPr>
        <w:t xml:space="preserve">Crafting and Executing </w:t>
      </w:r>
      <w:proofErr w:type="gramStart"/>
      <w:r w:rsidRPr="007D0D1B">
        <w:rPr>
          <w:rFonts w:cstheme="minorHAnsi"/>
          <w:i/>
          <w:iCs/>
        </w:rPr>
        <w:t>Strategy :</w:t>
      </w:r>
      <w:proofErr w:type="gramEnd"/>
      <w:r w:rsidRPr="007D0D1B">
        <w:rPr>
          <w:rFonts w:cstheme="minorHAnsi"/>
          <w:i/>
          <w:iCs/>
        </w:rPr>
        <w:t xml:space="preserve"> Concepts and Readings</w:t>
      </w:r>
      <w:r w:rsidRPr="007D0D1B">
        <w:rPr>
          <w:rFonts w:cstheme="minorHAnsi"/>
        </w:rPr>
        <w:t xml:space="preserve">. 20th ed. New York, NY: </w:t>
      </w:r>
      <w:proofErr w:type="spellStart"/>
      <w:r w:rsidRPr="007D0D1B">
        <w:rPr>
          <w:rFonts w:cstheme="minorHAnsi"/>
        </w:rPr>
        <w:t>Mcgraw-Hill</w:t>
      </w:r>
      <w:proofErr w:type="spellEnd"/>
      <w:r w:rsidRPr="007D0D1B">
        <w:rPr>
          <w:rFonts w:cstheme="minorHAnsi"/>
        </w:rPr>
        <w:t xml:space="preserve"> Education.</w:t>
      </w:r>
    </w:p>
    <w:p w14:paraId="5ABE419E" w14:textId="18A4E545" w:rsidR="0092675F" w:rsidRPr="00DA2139" w:rsidRDefault="0092675F" w:rsidP="00DA2139">
      <w:pPr>
        <w:tabs>
          <w:tab w:val="left" w:pos="2835"/>
        </w:tabs>
        <w:spacing w:before="240" w:line="480" w:lineRule="auto"/>
        <w:ind w:left="360"/>
        <w:rPr>
          <w:rFonts w:cstheme="minorHAnsi"/>
        </w:rPr>
      </w:pPr>
      <w:r w:rsidRPr="00DA2139">
        <w:rPr>
          <w:rFonts w:cstheme="minorHAnsi"/>
        </w:rPr>
        <w:t>UNICEF (2019). </w:t>
      </w:r>
      <w:r w:rsidRPr="00DA2139">
        <w:rPr>
          <w:rFonts w:cstheme="minorHAnsi"/>
          <w:i/>
          <w:iCs/>
        </w:rPr>
        <w:t>A world ready to learn: Prioritizing quality early childhood education</w:t>
      </w:r>
      <w:r w:rsidRPr="00DA2139">
        <w:rPr>
          <w:rFonts w:cstheme="minorHAnsi"/>
        </w:rPr>
        <w:t xml:space="preserve">. UNICEF DATA. Available at: </w:t>
      </w:r>
      <w:hyperlink r:id="rId36" w:history="1">
        <w:r w:rsidRPr="00DA2139">
          <w:rPr>
            <w:rStyle w:val="Hyperlink"/>
            <w:rFonts w:cstheme="minorHAnsi"/>
          </w:rPr>
          <w:t>https://data.unicef.org/resources/a-world-ready-to-learn-report/</w:t>
        </w:r>
      </w:hyperlink>
      <w:r w:rsidRPr="00DA2139">
        <w:rPr>
          <w:rFonts w:cstheme="minorHAnsi"/>
        </w:rPr>
        <w:t xml:space="preserve"> (Accessed: 12</w:t>
      </w:r>
      <w:r w:rsidRPr="00DA2139">
        <w:rPr>
          <w:rFonts w:cstheme="minorHAnsi"/>
          <w:vertAlign w:val="superscript"/>
        </w:rPr>
        <w:t>th</w:t>
      </w:r>
      <w:r w:rsidRPr="00DA2139">
        <w:rPr>
          <w:rFonts w:cstheme="minorHAnsi"/>
        </w:rPr>
        <w:t xml:space="preserve"> February 2026).</w:t>
      </w:r>
    </w:p>
    <w:p w14:paraId="77497B42" w14:textId="295C8D39" w:rsidR="00F636FA" w:rsidRDefault="00994A5D" w:rsidP="007D0D1B">
      <w:pPr>
        <w:tabs>
          <w:tab w:val="left" w:pos="2835"/>
        </w:tabs>
        <w:spacing w:before="240" w:line="480" w:lineRule="auto"/>
        <w:ind w:left="360"/>
        <w:rPr>
          <w:rFonts w:cstheme="minorHAnsi"/>
        </w:rPr>
      </w:pPr>
      <w:r w:rsidRPr="00DA2139">
        <w:rPr>
          <w:rFonts w:cstheme="minorHAnsi"/>
        </w:rPr>
        <w:t>Vygotsky, L.S. (1978). </w:t>
      </w:r>
      <w:r w:rsidRPr="00DA2139">
        <w:rPr>
          <w:rFonts w:cstheme="minorHAnsi"/>
          <w:i/>
          <w:iCs/>
        </w:rPr>
        <w:t xml:space="preserve">Mind in Society: </w:t>
      </w:r>
      <w:r w:rsidRPr="00DA2139">
        <w:rPr>
          <w:rFonts w:cstheme="minorHAnsi"/>
          <w:i/>
          <w:iCs/>
        </w:rPr>
        <w:t>The</w:t>
      </w:r>
      <w:r w:rsidRPr="00DA2139">
        <w:rPr>
          <w:rFonts w:cstheme="minorHAnsi"/>
          <w:i/>
          <w:iCs/>
        </w:rPr>
        <w:t xml:space="preserve"> Development of Higher Psychological Processes</w:t>
      </w:r>
      <w:r w:rsidRPr="00DA2139">
        <w:rPr>
          <w:rFonts w:cstheme="minorHAnsi"/>
        </w:rPr>
        <w:t xml:space="preserve">. [online] Cambridge: Harvard University Press. Available at: </w:t>
      </w:r>
      <w:hyperlink r:id="rId37" w:history="1">
        <w:r w:rsidRPr="00DA2139">
          <w:rPr>
            <w:rStyle w:val="Hyperlink"/>
            <w:rFonts w:cstheme="minorHAnsi"/>
          </w:rPr>
          <w:t>https://w.pauldowling.me/rtf/2021.1/readings/LSVygotsky_1978_MindinSocietyDevelopmentofHigherPsycholo.pdf</w:t>
        </w:r>
      </w:hyperlink>
      <w:r w:rsidRPr="00DA2139">
        <w:rPr>
          <w:rFonts w:cstheme="minorHAnsi"/>
        </w:rPr>
        <w:t>.</w:t>
      </w:r>
      <w:r w:rsidRPr="00DA2139">
        <w:rPr>
          <w:rFonts w:cstheme="minorHAnsi"/>
        </w:rPr>
        <w:t xml:space="preserve"> </w:t>
      </w:r>
    </w:p>
    <w:p w14:paraId="4B864985" w14:textId="2928C207" w:rsidR="004C33A0" w:rsidRPr="00DA2139" w:rsidRDefault="00F636FA" w:rsidP="00DA2139">
      <w:pPr>
        <w:tabs>
          <w:tab w:val="left" w:pos="2835"/>
        </w:tabs>
        <w:spacing w:before="240" w:line="480" w:lineRule="auto"/>
        <w:ind w:left="360"/>
        <w:rPr>
          <w:rFonts w:cstheme="minorHAnsi"/>
        </w:rPr>
      </w:pPr>
      <w:r w:rsidRPr="00DA2139">
        <w:rPr>
          <w:rFonts w:cstheme="minorHAnsi"/>
        </w:rPr>
        <w:t>Wang, H., Liu, X., Wang, H. and Liu, X. (2025). The Relation Between Family Intimacy and Preschoolers’ Social–Emotional Competence: The Mediating Role of Psychological Resilience and the Moderating Role of Family–Preschool Interaction. </w:t>
      </w:r>
      <w:proofErr w:type="spellStart"/>
      <w:r w:rsidRPr="00DA2139">
        <w:rPr>
          <w:rFonts w:cstheme="minorHAnsi"/>
          <w:i/>
          <w:iCs/>
        </w:rPr>
        <w:t>Behavioral</w:t>
      </w:r>
      <w:proofErr w:type="spellEnd"/>
      <w:r w:rsidRPr="00DA2139">
        <w:rPr>
          <w:rFonts w:cstheme="minorHAnsi"/>
          <w:i/>
          <w:iCs/>
        </w:rPr>
        <w:t xml:space="preserve"> Sciences</w:t>
      </w:r>
      <w:r w:rsidRPr="00DA2139">
        <w:rPr>
          <w:rFonts w:cstheme="minorHAnsi"/>
        </w:rPr>
        <w:t xml:space="preserve">, 15(11), pp.1564–1564. </w:t>
      </w:r>
      <w:r w:rsidRPr="00DA2139">
        <w:rPr>
          <w:rFonts w:cstheme="minorHAnsi"/>
        </w:rPr>
        <w:t>DOI</w:t>
      </w:r>
      <w:r w:rsidRPr="00DA2139">
        <w:rPr>
          <w:rFonts w:cstheme="minorHAnsi"/>
        </w:rPr>
        <w:t>:</w:t>
      </w:r>
      <w:r w:rsidRPr="00DA2139">
        <w:rPr>
          <w:rFonts w:cstheme="minorHAnsi"/>
        </w:rPr>
        <w:t xml:space="preserve"> </w:t>
      </w:r>
      <w:hyperlink r:id="rId38" w:history="1">
        <w:r w:rsidRPr="00DA2139">
          <w:rPr>
            <w:rStyle w:val="Hyperlink"/>
            <w:rFonts w:cstheme="minorHAnsi"/>
          </w:rPr>
          <w:t>https://doi.org/10.3390/bs15111564</w:t>
        </w:r>
      </w:hyperlink>
      <w:r w:rsidRPr="00DA2139">
        <w:rPr>
          <w:rFonts w:cstheme="minorHAnsi"/>
        </w:rPr>
        <w:t xml:space="preserve"> (Accessed: 20</w:t>
      </w:r>
      <w:r w:rsidRPr="00DA2139">
        <w:rPr>
          <w:rFonts w:cstheme="minorHAnsi"/>
          <w:vertAlign w:val="superscript"/>
        </w:rPr>
        <w:t>th</w:t>
      </w:r>
      <w:r w:rsidRPr="00DA2139">
        <w:rPr>
          <w:rFonts w:cstheme="minorHAnsi"/>
        </w:rPr>
        <w:t xml:space="preserve"> February 2026).</w:t>
      </w:r>
    </w:p>
    <w:p w14:paraId="71A43453" w14:textId="477784C3" w:rsidR="00F636FA" w:rsidRPr="00DA2139" w:rsidRDefault="004C33A0" w:rsidP="00DA2139">
      <w:pPr>
        <w:tabs>
          <w:tab w:val="left" w:pos="2835"/>
        </w:tabs>
        <w:spacing w:before="240" w:line="480" w:lineRule="auto"/>
        <w:ind w:left="360"/>
        <w:rPr>
          <w:rFonts w:cstheme="minorHAnsi"/>
        </w:rPr>
      </w:pPr>
      <w:r w:rsidRPr="00DA2139">
        <w:rPr>
          <w:rFonts w:cstheme="minorHAnsi"/>
        </w:rPr>
        <w:lastRenderedPageBreak/>
        <w:t xml:space="preserve">Warwickshire </w:t>
      </w:r>
      <w:r w:rsidR="00C03E0E" w:rsidRPr="00DA2139">
        <w:rPr>
          <w:rFonts w:cstheme="minorHAnsi"/>
        </w:rPr>
        <w:t>County Council (No date). A Guide to Health and Safety in Early Years and Childcare Setting</w:t>
      </w:r>
      <w:r w:rsidR="00E25A63" w:rsidRPr="00DA2139">
        <w:rPr>
          <w:rFonts w:cstheme="minorHAnsi"/>
        </w:rPr>
        <w:t xml:space="preserve">s. Available at: </w:t>
      </w:r>
      <w:hyperlink r:id="rId39" w:history="1">
        <w:r w:rsidR="00E25A63" w:rsidRPr="00DA2139">
          <w:rPr>
            <w:rStyle w:val="Hyperlink"/>
            <w:rFonts w:cstheme="minorHAnsi"/>
          </w:rPr>
          <w:t>https://api.warwickshire.gov.uk/documents/WCCC-505288705-712#:~:text=Security%20is%20another%20essential%20aspect,premises%20and%20safeguarding%20sensitive%20information</w:t>
        </w:r>
      </w:hyperlink>
      <w:r w:rsidR="00E25A63" w:rsidRPr="00DA2139">
        <w:rPr>
          <w:rFonts w:cstheme="minorHAnsi"/>
        </w:rPr>
        <w:t>.</w:t>
      </w:r>
      <w:r w:rsidR="00E25A63" w:rsidRPr="00DA2139">
        <w:rPr>
          <w:rFonts w:cstheme="minorHAnsi"/>
        </w:rPr>
        <w:t xml:space="preserve"> (Accessed: 15</w:t>
      </w:r>
      <w:r w:rsidR="00E25A63" w:rsidRPr="00DA2139">
        <w:rPr>
          <w:rFonts w:cstheme="minorHAnsi"/>
          <w:vertAlign w:val="superscript"/>
        </w:rPr>
        <w:t>th</w:t>
      </w:r>
      <w:r w:rsidR="00E25A63" w:rsidRPr="00DA2139">
        <w:rPr>
          <w:rFonts w:cstheme="minorHAnsi"/>
        </w:rPr>
        <w:t xml:space="preserve"> </w:t>
      </w:r>
      <w:r w:rsidR="00F5773F" w:rsidRPr="00DA2139">
        <w:rPr>
          <w:rFonts w:cstheme="minorHAnsi"/>
        </w:rPr>
        <w:t>February 2026).</w:t>
      </w:r>
    </w:p>
    <w:p w14:paraId="7A6F28AB" w14:textId="7A953135" w:rsidR="00F8495C" w:rsidRPr="00DA2139" w:rsidRDefault="005228E2" w:rsidP="00DA2139">
      <w:pPr>
        <w:spacing w:before="240" w:line="480" w:lineRule="auto"/>
        <w:ind w:left="360"/>
        <w:rPr>
          <w:rFonts w:cstheme="minorHAnsi"/>
        </w:rPr>
      </w:pPr>
      <w:r w:rsidRPr="00DA2139">
        <w:rPr>
          <w:rFonts w:cstheme="minorHAnsi"/>
        </w:rPr>
        <w:t>Welsh Government (2021). </w:t>
      </w:r>
      <w:r w:rsidRPr="00DA2139">
        <w:rPr>
          <w:rFonts w:cstheme="minorHAnsi"/>
          <w:i/>
          <w:iCs/>
        </w:rPr>
        <w:t>The Additional Learning Needs Code for Wales 2021 WG21-23</w:t>
      </w:r>
      <w:r w:rsidRPr="00DA2139">
        <w:rPr>
          <w:rFonts w:cstheme="minorHAnsi"/>
        </w:rPr>
        <w:t xml:space="preserve">. [online] Available at: </w:t>
      </w:r>
      <w:hyperlink r:id="rId40" w:history="1">
        <w:r w:rsidRPr="00DA2139">
          <w:rPr>
            <w:rStyle w:val="Hyperlink"/>
            <w:rFonts w:cstheme="minorHAnsi"/>
          </w:rPr>
          <w:t>https://www.gov.wales/sites/default/files/publications/2025-01/250124-the-additional-learning-needs-code-for-wales-2021.pdf</w:t>
        </w:r>
      </w:hyperlink>
      <w:r w:rsidRPr="00DA2139">
        <w:rPr>
          <w:rFonts w:cstheme="minorHAnsi"/>
        </w:rPr>
        <w:t xml:space="preserve"> </w:t>
      </w:r>
      <w:r w:rsidRPr="00DA2139">
        <w:rPr>
          <w:rFonts w:cstheme="minorHAnsi"/>
        </w:rPr>
        <w:t>(Accessed: 12</w:t>
      </w:r>
      <w:r w:rsidRPr="00DA2139">
        <w:rPr>
          <w:rFonts w:cstheme="minorHAnsi"/>
          <w:vertAlign w:val="superscript"/>
        </w:rPr>
        <w:t>th</w:t>
      </w:r>
      <w:r w:rsidRPr="00DA2139">
        <w:rPr>
          <w:rFonts w:cstheme="minorHAnsi"/>
        </w:rPr>
        <w:t xml:space="preserve"> February 2026). </w:t>
      </w:r>
    </w:p>
    <w:p w14:paraId="7012D8F3" w14:textId="20D75DEB" w:rsidR="005228E2" w:rsidRDefault="00370F96" w:rsidP="00DA2139">
      <w:pPr>
        <w:spacing w:before="240" w:line="480" w:lineRule="auto"/>
        <w:ind w:left="360"/>
        <w:rPr>
          <w:rFonts w:cstheme="minorHAnsi"/>
        </w:rPr>
      </w:pPr>
      <w:r w:rsidRPr="00DA2139">
        <w:rPr>
          <w:rFonts w:cstheme="minorHAnsi"/>
        </w:rPr>
        <w:t>Welsh Government</w:t>
      </w:r>
      <w:r w:rsidR="00F8495C" w:rsidRPr="00DA2139">
        <w:rPr>
          <w:rFonts w:cstheme="minorHAnsi"/>
        </w:rPr>
        <w:t xml:space="preserve"> (2025). </w:t>
      </w:r>
      <w:r w:rsidR="00F8495C" w:rsidRPr="00DA2139">
        <w:rPr>
          <w:rFonts w:cstheme="minorHAnsi"/>
          <w:i/>
          <w:iCs/>
        </w:rPr>
        <w:t>Additional Learning Needs (ALN) legislative framework review | GOV.WALES</w:t>
      </w:r>
      <w:r w:rsidR="00F8495C" w:rsidRPr="00DA2139">
        <w:rPr>
          <w:rFonts w:cstheme="minorHAnsi"/>
        </w:rPr>
        <w:t xml:space="preserve">. Available at: </w:t>
      </w:r>
      <w:hyperlink r:id="rId41" w:history="1">
        <w:r w:rsidR="00F8495C" w:rsidRPr="00DA2139">
          <w:rPr>
            <w:rStyle w:val="Hyperlink"/>
            <w:rFonts w:cstheme="minorHAnsi"/>
          </w:rPr>
          <w:t>https://www.gov.wales/additional-learning-needs-aln-legislative-framework-review</w:t>
        </w:r>
      </w:hyperlink>
      <w:r w:rsidR="00F8495C" w:rsidRPr="00DA2139">
        <w:rPr>
          <w:rFonts w:cstheme="minorHAnsi"/>
        </w:rPr>
        <w:t>.</w:t>
      </w:r>
      <w:r w:rsidR="00F8495C" w:rsidRPr="00DA2139">
        <w:rPr>
          <w:rFonts w:cstheme="minorHAnsi"/>
        </w:rPr>
        <w:t xml:space="preserve"> (Accessed: 20</w:t>
      </w:r>
      <w:r w:rsidR="00F8495C" w:rsidRPr="00DA2139">
        <w:rPr>
          <w:rFonts w:cstheme="minorHAnsi"/>
          <w:vertAlign w:val="superscript"/>
        </w:rPr>
        <w:t>th</w:t>
      </w:r>
      <w:r w:rsidR="00F8495C" w:rsidRPr="00DA2139">
        <w:rPr>
          <w:rFonts w:cstheme="minorHAnsi"/>
        </w:rPr>
        <w:t xml:space="preserve"> February 2026).</w:t>
      </w:r>
    </w:p>
    <w:p w14:paraId="3F507587" w14:textId="07AD45B2" w:rsidR="00EB448E" w:rsidRDefault="00EB448E" w:rsidP="00EB448E">
      <w:pPr>
        <w:spacing w:before="240" w:line="480" w:lineRule="auto"/>
        <w:ind w:left="360"/>
        <w:rPr>
          <w:rFonts w:cstheme="minorHAnsi"/>
        </w:rPr>
      </w:pPr>
      <w:r w:rsidRPr="00EB448E">
        <w:rPr>
          <w:rFonts w:cstheme="minorHAnsi"/>
        </w:rPr>
        <w:t>Welsh Government (2018). </w:t>
      </w:r>
      <w:r w:rsidRPr="00EB448E">
        <w:rPr>
          <w:rFonts w:cstheme="minorHAnsi"/>
          <w:i/>
          <w:iCs/>
        </w:rPr>
        <w:t>ADDITIONAL LEARNING NEEDS AND EDUCATION TRIBUNAL (WALES) ACT Explanatory Memorandum Incorporating the Regulatory Impact Assessment and Explanatory Notes</w:t>
      </w:r>
      <w:r w:rsidRPr="00EB448E">
        <w:rPr>
          <w:rFonts w:cstheme="minorHAnsi"/>
        </w:rPr>
        <w:t xml:space="preserve">. [online] Available at: </w:t>
      </w:r>
      <w:hyperlink r:id="rId42" w:history="1">
        <w:r w:rsidRPr="00EB448E">
          <w:rPr>
            <w:rStyle w:val="Hyperlink"/>
            <w:rFonts w:cstheme="minorHAnsi"/>
          </w:rPr>
          <w:t>https://www.gov.wales/sites/default/files/publications/2018-04/additional-learning-needs-and-education-tribunal-wales-act-2018-explanatory-memorandum.pdf</w:t>
        </w:r>
      </w:hyperlink>
      <w:r>
        <w:rPr>
          <w:rFonts w:cstheme="minorHAnsi"/>
        </w:rPr>
        <w:t xml:space="preserve"> (Accessed: </w:t>
      </w:r>
      <w:r w:rsidR="00D43703">
        <w:rPr>
          <w:rFonts w:cstheme="minorHAnsi"/>
        </w:rPr>
        <w:t>20</w:t>
      </w:r>
      <w:r w:rsidR="00D43703" w:rsidRPr="00D43703">
        <w:rPr>
          <w:rFonts w:cstheme="minorHAnsi"/>
          <w:vertAlign w:val="superscript"/>
        </w:rPr>
        <w:t>th</w:t>
      </w:r>
      <w:r w:rsidR="00D43703">
        <w:rPr>
          <w:rFonts w:cstheme="minorHAnsi"/>
        </w:rPr>
        <w:t xml:space="preserve"> February 2026).</w:t>
      </w:r>
    </w:p>
    <w:p w14:paraId="5A0E926B" w14:textId="6730582D" w:rsidR="005F7DB4" w:rsidRPr="00DA2139" w:rsidRDefault="005F7DB4" w:rsidP="005F7DB4">
      <w:pPr>
        <w:spacing w:before="240" w:line="480" w:lineRule="auto"/>
        <w:ind w:left="360"/>
        <w:rPr>
          <w:rFonts w:cstheme="minorHAnsi"/>
        </w:rPr>
      </w:pPr>
      <w:r w:rsidRPr="005F7DB4">
        <w:rPr>
          <w:rFonts w:cstheme="minorHAnsi"/>
        </w:rPr>
        <w:t>Whittington, R., Scholes, K., Angwin, D., Regner, P. and Johnson, G. (2017). </w:t>
      </w:r>
      <w:r w:rsidRPr="005F7DB4">
        <w:rPr>
          <w:rFonts w:cstheme="minorHAnsi"/>
          <w:i/>
          <w:iCs/>
        </w:rPr>
        <w:t>Exploring Strategy: Text and Cases</w:t>
      </w:r>
      <w:r w:rsidRPr="005F7DB4">
        <w:rPr>
          <w:rFonts w:cstheme="minorHAnsi"/>
        </w:rPr>
        <w:t>. 11th ed. Harlow, England: Pearson.</w:t>
      </w:r>
    </w:p>
    <w:p w14:paraId="550BD8A2" w14:textId="77777777" w:rsidR="00702303" w:rsidRPr="00DA2139" w:rsidRDefault="00546309" w:rsidP="00DA2139">
      <w:pPr>
        <w:spacing w:before="240" w:line="480" w:lineRule="auto"/>
        <w:ind w:left="360"/>
        <w:rPr>
          <w:rFonts w:cstheme="minorHAnsi"/>
        </w:rPr>
      </w:pPr>
      <w:r w:rsidRPr="00DA2139">
        <w:rPr>
          <w:rFonts w:cstheme="minorHAnsi"/>
        </w:rPr>
        <w:t>World Health Organization (2022). </w:t>
      </w:r>
      <w:r w:rsidRPr="00DA2139">
        <w:rPr>
          <w:rFonts w:cstheme="minorHAnsi"/>
          <w:i/>
          <w:iCs/>
        </w:rPr>
        <w:t>Global report on health equity for persons with disabilities</w:t>
      </w:r>
      <w:r w:rsidRPr="00DA2139">
        <w:rPr>
          <w:rFonts w:cstheme="minorHAnsi"/>
        </w:rPr>
        <w:t xml:space="preserve">. </w:t>
      </w:r>
    </w:p>
    <w:p w14:paraId="56EC6833" w14:textId="485B7FDE" w:rsidR="00F51813" w:rsidRPr="00DA2139" w:rsidRDefault="00546309" w:rsidP="00DA2139">
      <w:pPr>
        <w:spacing w:before="240" w:line="480" w:lineRule="auto"/>
        <w:ind w:left="360"/>
        <w:rPr>
          <w:rFonts w:cstheme="minorHAnsi"/>
        </w:rPr>
      </w:pPr>
      <w:r w:rsidRPr="00DA2139">
        <w:rPr>
          <w:rFonts w:cstheme="minorHAnsi"/>
        </w:rPr>
        <w:t xml:space="preserve">Available at: </w:t>
      </w:r>
      <w:hyperlink r:id="rId43" w:history="1">
        <w:r w:rsidRPr="00DA2139">
          <w:rPr>
            <w:rStyle w:val="Hyperlink"/>
            <w:rFonts w:cstheme="minorHAnsi"/>
          </w:rPr>
          <w:t>https://www.who.int/teams/noncommunicable-diseases/sensory-functions-disability-and-rehabilitation/global-report-on-health-equity-for-persons-with-disabilities</w:t>
        </w:r>
      </w:hyperlink>
      <w:r w:rsidRPr="00DA2139">
        <w:rPr>
          <w:rFonts w:cstheme="minorHAnsi"/>
        </w:rPr>
        <w:t xml:space="preserve"> </w:t>
      </w:r>
      <w:r w:rsidRPr="00DA2139">
        <w:rPr>
          <w:rFonts w:cstheme="minorHAnsi"/>
        </w:rPr>
        <w:t xml:space="preserve"> (Accessed: 12</w:t>
      </w:r>
      <w:r w:rsidRPr="00DA2139">
        <w:rPr>
          <w:rFonts w:cstheme="minorHAnsi"/>
          <w:vertAlign w:val="superscript"/>
        </w:rPr>
        <w:t>th</w:t>
      </w:r>
      <w:r w:rsidRPr="00DA2139">
        <w:rPr>
          <w:rFonts w:cstheme="minorHAnsi"/>
        </w:rPr>
        <w:t xml:space="preserve"> February 2026).</w:t>
      </w:r>
      <w:r w:rsidRPr="00DA2139">
        <w:rPr>
          <w:rFonts w:cstheme="minorHAnsi"/>
        </w:rPr>
        <w:t xml:space="preserve"> </w:t>
      </w:r>
      <w:r w:rsidR="00F51813" w:rsidRPr="00DA2139">
        <w:rPr>
          <w:rFonts w:cstheme="minorHAnsi"/>
        </w:rPr>
        <w:t>‌</w:t>
      </w:r>
    </w:p>
    <w:p w14:paraId="05C97D59" w14:textId="77777777" w:rsidR="00F51813" w:rsidRPr="004465DD" w:rsidRDefault="00F51813" w:rsidP="004465DD">
      <w:pPr>
        <w:spacing w:after="0" w:line="480" w:lineRule="auto"/>
        <w:ind w:left="360"/>
        <w:rPr>
          <w:rFonts w:cstheme="minorHAnsi"/>
        </w:rPr>
      </w:pPr>
    </w:p>
    <w:p w14:paraId="52168904" w14:textId="77777777" w:rsidR="004D29EE" w:rsidRPr="0089704F" w:rsidRDefault="004D29EE" w:rsidP="0089704F">
      <w:pPr>
        <w:spacing w:line="360" w:lineRule="auto"/>
        <w:rPr>
          <w:rFonts w:ascii="Arial" w:hAnsi="Arial" w:cs="Arial"/>
          <w:lang w:val="en-US"/>
        </w:rPr>
      </w:pPr>
    </w:p>
    <w:p w14:paraId="3C6A80D7" w14:textId="77777777" w:rsidR="004D29EE" w:rsidRPr="0089704F" w:rsidRDefault="004D29EE" w:rsidP="0089704F">
      <w:pPr>
        <w:spacing w:line="360" w:lineRule="auto"/>
        <w:rPr>
          <w:rFonts w:ascii="Arial" w:hAnsi="Arial" w:cs="Arial"/>
          <w:lang w:val="en-US"/>
        </w:rPr>
      </w:pPr>
    </w:p>
    <w:p w14:paraId="3ADBA698" w14:textId="77777777" w:rsidR="004D29EE" w:rsidRPr="0089704F" w:rsidRDefault="004D29EE" w:rsidP="0089704F">
      <w:pPr>
        <w:spacing w:line="360" w:lineRule="auto"/>
        <w:rPr>
          <w:rFonts w:ascii="Arial" w:hAnsi="Arial" w:cs="Arial"/>
          <w:lang w:val="en-US"/>
        </w:rPr>
      </w:pPr>
    </w:p>
    <w:sectPr w:rsidR="004D29EE" w:rsidRPr="0089704F" w:rsidSect="00690784">
      <w:headerReference w:type="default" r:id="rId44"/>
      <w:footerReference w:type="default" r:id="rId45"/>
      <w:headerReference w:type="first" r:id="rId46"/>
      <w:footerReference w:type="first" r:id="rId4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54D54" w14:textId="77777777" w:rsidR="00F31C3F" w:rsidRDefault="00F31C3F" w:rsidP="00716C08">
      <w:pPr>
        <w:spacing w:after="0" w:line="240" w:lineRule="auto"/>
      </w:pPr>
      <w:r>
        <w:separator/>
      </w:r>
    </w:p>
  </w:endnote>
  <w:endnote w:type="continuationSeparator" w:id="0">
    <w:p w14:paraId="737DFC21" w14:textId="77777777" w:rsidR="00F31C3F" w:rsidRDefault="00F31C3F" w:rsidP="00716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633682"/>
      <w:docPartObj>
        <w:docPartGallery w:val="Page Numbers (Bottom of Page)"/>
        <w:docPartUnique/>
      </w:docPartObj>
    </w:sdtPr>
    <w:sdtEndPr>
      <w:rPr>
        <w:noProof/>
      </w:rPr>
    </w:sdtEndPr>
    <w:sdtContent>
      <w:p w14:paraId="096F3964" w14:textId="0238A7F4" w:rsidR="00090461" w:rsidRDefault="00090461">
        <w:pPr>
          <w:pStyle w:val="Footer"/>
        </w:pPr>
        <w:r>
          <w:fldChar w:fldCharType="begin"/>
        </w:r>
        <w:r>
          <w:instrText xml:space="preserve"> PAGE   \* MERGEFORMAT </w:instrText>
        </w:r>
        <w:r>
          <w:fldChar w:fldCharType="separate"/>
        </w:r>
        <w:r>
          <w:rPr>
            <w:noProof/>
          </w:rPr>
          <w:t>2</w:t>
        </w:r>
        <w:r>
          <w:rPr>
            <w:noProof/>
          </w:rPr>
          <w:fldChar w:fldCharType="end"/>
        </w:r>
      </w:p>
    </w:sdtContent>
  </w:sdt>
  <w:p w14:paraId="1B4F372F" w14:textId="48874BAE" w:rsidR="00090461" w:rsidRPr="00090461" w:rsidRDefault="00090461">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708364"/>
      <w:docPartObj>
        <w:docPartGallery w:val="Page Numbers (Bottom of Page)"/>
        <w:docPartUnique/>
      </w:docPartObj>
    </w:sdtPr>
    <w:sdtEndPr>
      <w:rPr>
        <w:noProof/>
      </w:rPr>
    </w:sdtEndPr>
    <w:sdtContent>
      <w:p w14:paraId="059A0D66" w14:textId="61AE6B84" w:rsidR="00090461" w:rsidRDefault="00090461">
        <w:pPr>
          <w:pStyle w:val="Footer"/>
        </w:pPr>
        <w:r>
          <w:fldChar w:fldCharType="begin"/>
        </w:r>
        <w:r>
          <w:instrText xml:space="preserve"> PAGE   \* MERGEFORMAT </w:instrText>
        </w:r>
        <w:r>
          <w:fldChar w:fldCharType="separate"/>
        </w:r>
        <w:r>
          <w:rPr>
            <w:noProof/>
          </w:rPr>
          <w:t>2</w:t>
        </w:r>
        <w:r>
          <w:rPr>
            <w:noProof/>
          </w:rPr>
          <w:fldChar w:fldCharType="end"/>
        </w:r>
      </w:p>
    </w:sdtContent>
  </w:sdt>
  <w:p w14:paraId="568E450A" w14:textId="79439665" w:rsidR="00090461" w:rsidRPr="00090461" w:rsidRDefault="00090461">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BA779" w14:textId="77777777" w:rsidR="00F31C3F" w:rsidRDefault="00F31C3F" w:rsidP="00716C08">
      <w:pPr>
        <w:spacing w:after="0" w:line="240" w:lineRule="auto"/>
      </w:pPr>
      <w:r>
        <w:separator/>
      </w:r>
    </w:p>
  </w:footnote>
  <w:footnote w:type="continuationSeparator" w:id="0">
    <w:p w14:paraId="0A939090" w14:textId="77777777" w:rsidR="00F31C3F" w:rsidRDefault="00F31C3F" w:rsidP="00716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703A" w14:textId="77777777" w:rsidR="004D29EE" w:rsidRDefault="004D29EE" w:rsidP="004D29EE">
    <w:pPr>
      <w:pStyle w:val="Header"/>
    </w:pPr>
    <w:r w:rsidRPr="00716C08">
      <w:t>2304637</w:t>
    </w:r>
    <w:r>
      <w:t xml:space="preserve">                                                           ECEY6012                                                           Word count:               </w:t>
    </w:r>
  </w:p>
  <w:p w14:paraId="04751C20" w14:textId="77777777" w:rsidR="004D29EE" w:rsidRDefault="004D29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78D3" w14:textId="5B9435A0" w:rsidR="00716C08" w:rsidRDefault="00716C08">
    <w:pPr>
      <w:pStyle w:val="Header"/>
    </w:pPr>
    <w:r w:rsidRPr="00716C08">
      <w:t>2304637</w:t>
    </w:r>
    <w:r>
      <w:t xml:space="preserve">                              </w:t>
    </w:r>
    <w:r w:rsidR="00DA2139">
      <w:t xml:space="preserve">                                  </w:t>
    </w:r>
    <w:r>
      <w:t xml:space="preserve">ECEY6012                                       </w:t>
    </w:r>
    <w:r w:rsidR="00A67FCD">
      <w:t xml:space="preserve">          Word Count-</w:t>
    </w:r>
    <w:r>
      <w:t xml:space="preserve"> </w:t>
    </w:r>
    <w:r w:rsidR="00AF39C7">
      <w:t>3140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A1C02"/>
    <w:multiLevelType w:val="multilevel"/>
    <w:tmpl w:val="0292DE84"/>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58D014C"/>
    <w:multiLevelType w:val="multilevel"/>
    <w:tmpl w:val="DCBA7F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894133"/>
    <w:multiLevelType w:val="multilevel"/>
    <w:tmpl w:val="21DA343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263A363B"/>
    <w:multiLevelType w:val="multilevel"/>
    <w:tmpl w:val="481264B6"/>
    <w:lvl w:ilvl="0">
      <w:start w:val="1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1D02BC4"/>
    <w:multiLevelType w:val="multilevel"/>
    <w:tmpl w:val="0292DE84"/>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209382B"/>
    <w:multiLevelType w:val="multilevel"/>
    <w:tmpl w:val="0292DE84"/>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3F55C7E"/>
    <w:multiLevelType w:val="multilevel"/>
    <w:tmpl w:val="27147FC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60101BAB"/>
    <w:multiLevelType w:val="multilevel"/>
    <w:tmpl w:val="5A84F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AA31B6"/>
    <w:multiLevelType w:val="multilevel"/>
    <w:tmpl w:val="0292DE84"/>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924518E"/>
    <w:multiLevelType w:val="multilevel"/>
    <w:tmpl w:val="0292DE84"/>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C9674A4"/>
    <w:multiLevelType w:val="hybridMultilevel"/>
    <w:tmpl w:val="1548C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871F51"/>
    <w:multiLevelType w:val="multilevel"/>
    <w:tmpl w:val="0292DE84"/>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73392F61"/>
    <w:multiLevelType w:val="hybridMultilevel"/>
    <w:tmpl w:val="BC22D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875217">
    <w:abstractNumId w:val="6"/>
  </w:num>
  <w:num w:numId="2" w16cid:durableId="1698920729">
    <w:abstractNumId w:val="2"/>
  </w:num>
  <w:num w:numId="3" w16cid:durableId="155852690">
    <w:abstractNumId w:val="3"/>
  </w:num>
  <w:num w:numId="4" w16cid:durableId="1594240425">
    <w:abstractNumId w:val="12"/>
  </w:num>
  <w:num w:numId="5" w16cid:durableId="1039670102">
    <w:abstractNumId w:val="10"/>
  </w:num>
  <w:num w:numId="6" w16cid:durableId="696001886">
    <w:abstractNumId w:val="9"/>
  </w:num>
  <w:num w:numId="7" w16cid:durableId="960527608">
    <w:abstractNumId w:val="7"/>
  </w:num>
  <w:num w:numId="8" w16cid:durableId="1125854642">
    <w:abstractNumId w:val="1"/>
  </w:num>
  <w:num w:numId="9" w16cid:durableId="437914535">
    <w:abstractNumId w:val="5"/>
  </w:num>
  <w:num w:numId="10" w16cid:durableId="1006245786">
    <w:abstractNumId w:val="4"/>
  </w:num>
  <w:num w:numId="11" w16cid:durableId="2080052100">
    <w:abstractNumId w:val="11"/>
  </w:num>
  <w:num w:numId="12" w16cid:durableId="2029061870">
    <w:abstractNumId w:val="0"/>
  </w:num>
  <w:num w:numId="13" w16cid:durableId="21463852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C08"/>
    <w:rsid w:val="00000E55"/>
    <w:rsid w:val="00017A85"/>
    <w:rsid w:val="0003259F"/>
    <w:rsid w:val="00046A68"/>
    <w:rsid w:val="00085086"/>
    <w:rsid w:val="00085A40"/>
    <w:rsid w:val="00090461"/>
    <w:rsid w:val="000B1688"/>
    <w:rsid w:val="000B58FA"/>
    <w:rsid w:val="000D6125"/>
    <w:rsid w:val="000E16F9"/>
    <w:rsid w:val="000E3CA0"/>
    <w:rsid w:val="000E5B45"/>
    <w:rsid w:val="000E5F0A"/>
    <w:rsid w:val="0010249F"/>
    <w:rsid w:val="00105787"/>
    <w:rsid w:val="001111D4"/>
    <w:rsid w:val="001578DD"/>
    <w:rsid w:val="00173934"/>
    <w:rsid w:val="00182D13"/>
    <w:rsid w:val="00197223"/>
    <w:rsid w:val="001D146B"/>
    <w:rsid w:val="001D3218"/>
    <w:rsid w:val="001D396B"/>
    <w:rsid w:val="00206F5E"/>
    <w:rsid w:val="00214E5B"/>
    <w:rsid w:val="00236BF8"/>
    <w:rsid w:val="0026389A"/>
    <w:rsid w:val="00264925"/>
    <w:rsid w:val="00281D0C"/>
    <w:rsid w:val="002A11D3"/>
    <w:rsid w:val="002A546A"/>
    <w:rsid w:val="002A7649"/>
    <w:rsid w:val="00320AB8"/>
    <w:rsid w:val="00330895"/>
    <w:rsid w:val="00335070"/>
    <w:rsid w:val="00336E87"/>
    <w:rsid w:val="00370F96"/>
    <w:rsid w:val="00372BED"/>
    <w:rsid w:val="003C7BB9"/>
    <w:rsid w:val="00400753"/>
    <w:rsid w:val="0041425B"/>
    <w:rsid w:val="0043621F"/>
    <w:rsid w:val="004465DD"/>
    <w:rsid w:val="0047015E"/>
    <w:rsid w:val="00471205"/>
    <w:rsid w:val="0047535D"/>
    <w:rsid w:val="00475FBF"/>
    <w:rsid w:val="00483CB0"/>
    <w:rsid w:val="004B705F"/>
    <w:rsid w:val="004C33A0"/>
    <w:rsid w:val="004D277C"/>
    <w:rsid w:val="004D29EE"/>
    <w:rsid w:val="005122C8"/>
    <w:rsid w:val="00512465"/>
    <w:rsid w:val="00516617"/>
    <w:rsid w:val="005228E2"/>
    <w:rsid w:val="005267A5"/>
    <w:rsid w:val="00537DEC"/>
    <w:rsid w:val="00546309"/>
    <w:rsid w:val="00552C9C"/>
    <w:rsid w:val="005627E8"/>
    <w:rsid w:val="00565AA5"/>
    <w:rsid w:val="00584657"/>
    <w:rsid w:val="00585A8C"/>
    <w:rsid w:val="005A7FBC"/>
    <w:rsid w:val="005A7FCA"/>
    <w:rsid w:val="005B670C"/>
    <w:rsid w:val="005C467F"/>
    <w:rsid w:val="005D56B2"/>
    <w:rsid w:val="005D6DFF"/>
    <w:rsid w:val="005F7DB4"/>
    <w:rsid w:val="00600553"/>
    <w:rsid w:val="0061089B"/>
    <w:rsid w:val="00610AC1"/>
    <w:rsid w:val="00614676"/>
    <w:rsid w:val="00615DEE"/>
    <w:rsid w:val="00624130"/>
    <w:rsid w:val="00643CFB"/>
    <w:rsid w:val="00647A9F"/>
    <w:rsid w:val="00657C52"/>
    <w:rsid w:val="00683049"/>
    <w:rsid w:val="00690784"/>
    <w:rsid w:val="006B2348"/>
    <w:rsid w:val="006B7C3A"/>
    <w:rsid w:val="006C04C2"/>
    <w:rsid w:val="006C443A"/>
    <w:rsid w:val="006D07C5"/>
    <w:rsid w:val="006E4F2C"/>
    <w:rsid w:val="006F3AFE"/>
    <w:rsid w:val="00702303"/>
    <w:rsid w:val="00703366"/>
    <w:rsid w:val="00716C08"/>
    <w:rsid w:val="00725D55"/>
    <w:rsid w:val="0074266A"/>
    <w:rsid w:val="00783972"/>
    <w:rsid w:val="007B7D0D"/>
    <w:rsid w:val="007D0D1B"/>
    <w:rsid w:val="008462C6"/>
    <w:rsid w:val="00856698"/>
    <w:rsid w:val="00887E00"/>
    <w:rsid w:val="00893383"/>
    <w:rsid w:val="0089704F"/>
    <w:rsid w:val="008A4BCD"/>
    <w:rsid w:val="008D644F"/>
    <w:rsid w:val="008F55FD"/>
    <w:rsid w:val="00903240"/>
    <w:rsid w:val="00916DB4"/>
    <w:rsid w:val="00921502"/>
    <w:rsid w:val="0092675F"/>
    <w:rsid w:val="00940D6E"/>
    <w:rsid w:val="00947572"/>
    <w:rsid w:val="00975B41"/>
    <w:rsid w:val="00990F59"/>
    <w:rsid w:val="00994A5D"/>
    <w:rsid w:val="009B1BEC"/>
    <w:rsid w:val="009C2E1F"/>
    <w:rsid w:val="009E7257"/>
    <w:rsid w:val="00A177E3"/>
    <w:rsid w:val="00A67FCD"/>
    <w:rsid w:val="00A856CD"/>
    <w:rsid w:val="00A951B4"/>
    <w:rsid w:val="00AF39C7"/>
    <w:rsid w:val="00AF5A76"/>
    <w:rsid w:val="00B0412A"/>
    <w:rsid w:val="00B72B22"/>
    <w:rsid w:val="00BA60E4"/>
    <w:rsid w:val="00BB5045"/>
    <w:rsid w:val="00BD0491"/>
    <w:rsid w:val="00BD5C26"/>
    <w:rsid w:val="00BF578A"/>
    <w:rsid w:val="00C03E0E"/>
    <w:rsid w:val="00C210AF"/>
    <w:rsid w:val="00C2546F"/>
    <w:rsid w:val="00C2663E"/>
    <w:rsid w:val="00CB0BBA"/>
    <w:rsid w:val="00CD0B6D"/>
    <w:rsid w:val="00CE36EC"/>
    <w:rsid w:val="00CE4F3E"/>
    <w:rsid w:val="00CF77CD"/>
    <w:rsid w:val="00D0401A"/>
    <w:rsid w:val="00D120F4"/>
    <w:rsid w:val="00D15727"/>
    <w:rsid w:val="00D42789"/>
    <w:rsid w:val="00D43703"/>
    <w:rsid w:val="00D6568C"/>
    <w:rsid w:val="00D65918"/>
    <w:rsid w:val="00D7579B"/>
    <w:rsid w:val="00DA2139"/>
    <w:rsid w:val="00DB6FB1"/>
    <w:rsid w:val="00E25A63"/>
    <w:rsid w:val="00E36528"/>
    <w:rsid w:val="00E4504A"/>
    <w:rsid w:val="00E45809"/>
    <w:rsid w:val="00E575EB"/>
    <w:rsid w:val="00E57680"/>
    <w:rsid w:val="00E63B37"/>
    <w:rsid w:val="00E852F9"/>
    <w:rsid w:val="00E93D82"/>
    <w:rsid w:val="00EB448E"/>
    <w:rsid w:val="00EC02BD"/>
    <w:rsid w:val="00EE6E78"/>
    <w:rsid w:val="00EF7061"/>
    <w:rsid w:val="00F07374"/>
    <w:rsid w:val="00F2389E"/>
    <w:rsid w:val="00F31C3F"/>
    <w:rsid w:val="00F51813"/>
    <w:rsid w:val="00F5773F"/>
    <w:rsid w:val="00F636FA"/>
    <w:rsid w:val="00F66043"/>
    <w:rsid w:val="00F66844"/>
    <w:rsid w:val="00F8495C"/>
    <w:rsid w:val="00F955F7"/>
    <w:rsid w:val="00FB2EDA"/>
    <w:rsid w:val="00FF7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9726A"/>
  <w15:chartTrackingRefBased/>
  <w15:docId w15:val="{9238F87F-9206-4E57-865D-FA82D588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C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6C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6C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6C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6C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6C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C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C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C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C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6C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6C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6C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6C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6C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C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C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C08"/>
    <w:rPr>
      <w:rFonts w:eastAsiaTheme="majorEastAsia" w:cstheme="majorBidi"/>
      <w:color w:val="272727" w:themeColor="text1" w:themeTint="D8"/>
    </w:rPr>
  </w:style>
  <w:style w:type="paragraph" w:styleId="Title">
    <w:name w:val="Title"/>
    <w:basedOn w:val="Normal"/>
    <w:next w:val="Normal"/>
    <w:link w:val="TitleChar"/>
    <w:uiPriority w:val="10"/>
    <w:qFormat/>
    <w:rsid w:val="00716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C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C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C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C08"/>
    <w:pPr>
      <w:spacing w:before="160"/>
      <w:jc w:val="center"/>
    </w:pPr>
    <w:rPr>
      <w:i/>
      <w:iCs/>
      <w:color w:val="404040" w:themeColor="text1" w:themeTint="BF"/>
    </w:rPr>
  </w:style>
  <w:style w:type="character" w:customStyle="1" w:styleId="QuoteChar">
    <w:name w:val="Quote Char"/>
    <w:basedOn w:val="DefaultParagraphFont"/>
    <w:link w:val="Quote"/>
    <w:uiPriority w:val="29"/>
    <w:rsid w:val="00716C08"/>
    <w:rPr>
      <w:i/>
      <w:iCs/>
      <w:color w:val="404040" w:themeColor="text1" w:themeTint="BF"/>
    </w:rPr>
  </w:style>
  <w:style w:type="paragraph" w:styleId="ListParagraph">
    <w:name w:val="List Paragraph"/>
    <w:basedOn w:val="Normal"/>
    <w:uiPriority w:val="34"/>
    <w:qFormat/>
    <w:rsid w:val="00716C08"/>
    <w:pPr>
      <w:ind w:left="720"/>
      <w:contextualSpacing/>
    </w:pPr>
  </w:style>
  <w:style w:type="character" w:styleId="IntenseEmphasis">
    <w:name w:val="Intense Emphasis"/>
    <w:basedOn w:val="DefaultParagraphFont"/>
    <w:uiPriority w:val="21"/>
    <w:qFormat/>
    <w:rsid w:val="00716C08"/>
    <w:rPr>
      <w:i/>
      <w:iCs/>
      <w:color w:val="2F5496" w:themeColor="accent1" w:themeShade="BF"/>
    </w:rPr>
  </w:style>
  <w:style w:type="paragraph" w:styleId="IntenseQuote">
    <w:name w:val="Intense Quote"/>
    <w:basedOn w:val="Normal"/>
    <w:next w:val="Normal"/>
    <w:link w:val="IntenseQuoteChar"/>
    <w:uiPriority w:val="30"/>
    <w:qFormat/>
    <w:rsid w:val="00716C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C08"/>
    <w:rPr>
      <w:i/>
      <w:iCs/>
      <w:color w:val="2F5496" w:themeColor="accent1" w:themeShade="BF"/>
    </w:rPr>
  </w:style>
  <w:style w:type="character" w:styleId="IntenseReference">
    <w:name w:val="Intense Reference"/>
    <w:basedOn w:val="DefaultParagraphFont"/>
    <w:uiPriority w:val="32"/>
    <w:qFormat/>
    <w:rsid w:val="00716C08"/>
    <w:rPr>
      <w:b/>
      <w:bCs/>
      <w:smallCaps/>
      <w:color w:val="2F5496" w:themeColor="accent1" w:themeShade="BF"/>
      <w:spacing w:val="5"/>
    </w:rPr>
  </w:style>
  <w:style w:type="paragraph" w:styleId="Header">
    <w:name w:val="header"/>
    <w:basedOn w:val="Normal"/>
    <w:link w:val="HeaderChar"/>
    <w:uiPriority w:val="99"/>
    <w:unhideWhenUsed/>
    <w:rsid w:val="00716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C08"/>
  </w:style>
  <w:style w:type="paragraph" w:styleId="Footer">
    <w:name w:val="footer"/>
    <w:basedOn w:val="Normal"/>
    <w:link w:val="FooterChar"/>
    <w:uiPriority w:val="99"/>
    <w:unhideWhenUsed/>
    <w:rsid w:val="00716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C08"/>
  </w:style>
  <w:style w:type="character" w:styleId="Hyperlink">
    <w:name w:val="Hyperlink"/>
    <w:basedOn w:val="DefaultParagraphFont"/>
    <w:uiPriority w:val="99"/>
    <w:unhideWhenUsed/>
    <w:rsid w:val="00173934"/>
    <w:rPr>
      <w:color w:val="0563C1" w:themeColor="hyperlink"/>
      <w:u w:val="single"/>
    </w:rPr>
  </w:style>
  <w:style w:type="character" w:styleId="UnresolvedMention">
    <w:name w:val="Unresolved Mention"/>
    <w:basedOn w:val="DefaultParagraphFont"/>
    <w:uiPriority w:val="99"/>
    <w:semiHidden/>
    <w:unhideWhenUsed/>
    <w:rsid w:val="00173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362361313517762" TargetMode="External"/><Relationship Id="rId18" Type="http://schemas.openxmlformats.org/officeDocument/2006/relationships/hyperlink" Target="https://doi.org/10.1111/1440-1630.70027" TargetMode="External"/><Relationship Id="rId26" Type="http://schemas.openxmlformats.org/officeDocument/2006/relationships/hyperlink" Target="https://doi.org/10.3389/fped.2025.1720179" TargetMode="External"/><Relationship Id="rId39" Type="http://schemas.openxmlformats.org/officeDocument/2006/relationships/hyperlink" Target="https://api.warwickshire.gov.uk/documents/WCCC-505288705-712#:~:text=Security%20is%20another%20essential%20aspect,premises%20and%20safeguarding%20sensitive%20information" TargetMode="External"/><Relationship Id="rId21" Type="http://schemas.openxmlformats.org/officeDocument/2006/relationships/hyperlink" Target="https://www.local.gov.uk/publications/supporting-inclusive-early-education-good-practice-guide" TargetMode="External"/><Relationship Id="rId34" Type="http://schemas.openxmlformats.org/officeDocument/2006/relationships/hyperlink" Target="https://doi.org/10.1093/inthealth/ihaa044" TargetMode="External"/><Relationship Id="rId42" Type="http://schemas.openxmlformats.org/officeDocument/2006/relationships/hyperlink" Target="https://www.gov.wales/sites/default/files/publications/2018-04/additional-learning-needs-and-education-tribunal-wales-act-2018-explanatory-memorandum.pdf" TargetMode="External"/><Relationship Id="rId47"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9" Type="http://schemas.openxmlformats.org/officeDocument/2006/relationships/hyperlink" Target="https://doi.org/10.5014/ajot.2012.004473" TargetMode="External"/><Relationship Id="rId11" Type="http://schemas.openxmlformats.org/officeDocument/2006/relationships/hyperlink" Target="https://www.autism.org.uk/advice-and-guidance/about-autism/autism-and-communication" TargetMode="External"/><Relationship Id="rId24" Type="http://schemas.openxmlformats.org/officeDocument/2006/relationships/hyperlink" Target="https://www.oecd.org/en/publications/reducing-inequalities-by-investing-in-early-childhood-education-and-care_b78f8b25-en/full-report/early-childhood-education-and-care-policies-to-support-equity-and-inclusion-main-findings-and-policy-implications_0b094955.html" TargetMode="External"/><Relationship Id="rId32" Type="http://schemas.openxmlformats.org/officeDocument/2006/relationships/hyperlink" Target="https://dera.ioe.ac.uk/id/eprint/4650/1/RR356.pdf" TargetMode="External"/><Relationship Id="rId37" Type="http://schemas.openxmlformats.org/officeDocument/2006/relationships/hyperlink" Target="https://w.pauldowling.me/rtf/2021.1/readings/LSVygotsky_1978_MindinSocietyDevelopmentofHigherPsycholo.pdf" TargetMode="External"/><Relationship Id="rId40" Type="http://schemas.openxmlformats.org/officeDocument/2006/relationships/hyperlink" Target="https://www.gov.wales/sites/default/files/publications/2025-01/250124-the-additional-learning-needs-code-for-wales-2021.pdf"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007/s10803-025-06970-1" TargetMode="External"/><Relationship Id="rId23" Type="http://schemas.openxmlformats.org/officeDocument/2006/relationships/hyperlink" Target="https://nsscp.co.uk/professionals-practitioners/early-years-play-providers/early-years-child-protection-responsibilities" TargetMode="External"/><Relationship Id="rId28" Type="http://schemas.openxmlformats.org/officeDocument/2006/relationships/hyperlink" Target="https://online.qmu.ac.uk/blogs/nurturing-holistic-development-in-early-childhood/" TargetMode="External"/><Relationship Id="rId36" Type="http://schemas.openxmlformats.org/officeDocument/2006/relationships/hyperlink" Target="https://data.unicef.org/resources/a-world-ready-to-learn-report/"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080/01942638.2017.1390809" TargetMode="External"/><Relationship Id="rId31" Type="http://schemas.openxmlformats.org/officeDocument/2006/relationships/hyperlink" Target="https://doi.org/10.3389/fpsyt.2021.754648" TargetMode="External"/><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5040/9781805014652" TargetMode="External"/><Relationship Id="rId22" Type="http://schemas.openxmlformats.org/officeDocument/2006/relationships/hyperlink" Target="https://doi.org/10.3390/educsci15020137" TargetMode="External"/><Relationship Id="rId27" Type="http://schemas.openxmlformats.org/officeDocument/2006/relationships/hyperlink" Target="https://www.eyalliance.org.uk/advice-and-information/early-years-practice/safeguarding/" TargetMode="External"/><Relationship Id="rId30" Type="http://schemas.openxmlformats.org/officeDocument/2006/relationships/hyperlink" Target="https://doi.org/10.1016/j.sel.2024.100057" TargetMode="External"/><Relationship Id="rId35" Type="http://schemas.openxmlformats.org/officeDocument/2006/relationships/hyperlink" Target="https://dera.ioe.ac.uk/id/eprint/18189/2/SSU-SF-2004-01.pdf" TargetMode="External"/><Relationship Id="rId43" Type="http://schemas.openxmlformats.org/officeDocument/2006/relationships/hyperlink" Target="https://www.who.int/teams/noncommunicable-diseases/sensory-functions-disability-and-rehabilitation/global-report-on-health-equity-for-persons-with-disabilities"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doi.org/10.1111/cdev.14166" TargetMode="External"/><Relationship Id="rId17" Type="http://schemas.openxmlformats.org/officeDocument/2006/relationships/hyperlink" Target="https://assets.publishing.service.gov.uk/media/5a7c9530e5274a7b7e32169e/DFE-RR246.pdf" TargetMode="External"/><Relationship Id="rId25" Type="http://schemas.openxmlformats.org/officeDocument/2006/relationships/hyperlink" Target="https://doi.org/10.1080/09687599.2013.818773" TargetMode="External"/><Relationship Id="rId33" Type="http://schemas.openxmlformats.org/officeDocument/2006/relationships/hyperlink" Target="https://www.socialenterprise.org.uk/all-about-social-enterprise/" TargetMode="External"/><Relationship Id="rId38" Type="http://schemas.openxmlformats.org/officeDocument/2006/relationships/hyperlink" Target="https://doi.org/10.3390/bs15111564" TargetMode="External"/><Relationship Id="rId46" Type="http://schemas.openxmlformats.org/officeDocument/2006/relationships/header" Target="header2.xml"/><Relationship Id="rId20" Type="http://schemas.openxmlformats.org/officeDocument/2006/relationships/hyperlink" Target="https://www.local.gov.uk/publications/improving-early-education-and-childcare-ensure-good-outcomes-children" TargetMode="External"/><Relationship Id="rId41" Type="http://schemas.openxmlformats.org/officeDocument/2006/relationships/hyperlink" Target="https://www.gov.wales/additional-learning-needs-aln-legislative-framework-review"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f8429186309270c57fa4301a3ddea90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df77e20281dc7ccd3a04a48ed7efe55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60381AB8-770A-4B7A-9844-9DB6296DF666}">
  <ds:schemaRefs>
    <ds:schemaRef ds:uri="http://schemas.microsoft.com/sharepoint/v3/contenttype/forms"/>
  </ds:schemaRefs>
</ds:datastoreItem>
</file>

<file path=customXml/itemProps2.xml><?xml version="1.0" encoding="utf-8"?>
<ds:datastoreItem xmlns:ds="http://schemas.openxmlformats.org/officeDocument/2006/customXml" ds:itemID="{361DB354-A9B8-4EDD-B987-892C561FE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2344FE-5AF1-4784-9DD8-24AA7D08335C}">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21</Pages>
  <Words>5179</Words>
  <Characters>31906</Characters>
  <Application>Microsoft Office Word</Application>
  <DocSecurity>0</DocSecurity>
  <Lines>1876</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156</cp:revision>
  <dcterms:created xsi:type="dcterms:W3CDTF">2026-02-19T19:51:00Z</dcterms:created>
  <dcterms:modified xsi:type="dcterms:W3CDTF">2026-02-23T16:58:00Z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