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6458777"/>
        <w:docPartObj>
          <w:docPartGallery w:val="Cover Pages"/>
          <w:docPartUnique/>
        </w:docPartObj>
      </w:sdtPr>
      <w:sdtContent>
        <w:p w14:paraId="6F3090D6" w14:textId="0E242F55" w:rsidR="005246B8" w:rsidRDefault="006C211B">
          <w:r>
            <w:rPr>
              <w:noProof/>
            </w:rPr>
            <mc:AlternateContent>
              <mc:Choice Requires="wpg">
                <w:drawing>
                  <wp:anchor distT="0" distB="0" distL="114300" distR="114300" simplePos="0" relativeHeight="251659264" behindDoc="1" locked="0" layoutInCell="1" allowOverlap="1" wp14:anchorId="35315BBA" wp14:editId="40332E07">
                    <wp:simplePos x="0" y="0"/>
                    <wp:positionH relativeFrom="page">
                      <wp:posOffset>419042</wp:posOffset>
                    </wp:positionH>
                    <wp:positionV relativeFrom="page">
                      <wp:posOffset>41275</wp:posOffset>
                    </wp:positionV>
                    <wp:extent cx="6773949" cy="10405802"/>
                    <wp:effectExtent l="0" t="0" r="0" b="0"/>
                    <wp:wrapNone/>
                    <wp:docPr id="193" name="Group 31"/>
                    <wp:cNvGraphicFramePr/>
                    <a:graphic xmlns:a="http://schemas.openxmlformats.org/drawingml/2006/main">
                      <a:graphicData uri="http://schemas.microsoft.com/office/word/2010/wordprocessingGroup">
                        <wpg:wgp>
                          <wpg:cNvGrpSpPr/>
                          <wpg:grpSpPr>
                            <a:xfrm>
                              <a:off x="0" y="0"/>
                              <a:ext cx="6773949" cy="10405802"/>
                              <a:chOff x="-6824" y="0"/>
                              <a:chExt cx="6864824" cy="933799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824" y="4308795"/>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229CDA" w14:textId="23B413A1" w:rsidR="005246B8" w:rsidRDefault="005246B8">
                                      <w:pPr>
                                        <w:pStyle w:val="NoSpacing"/>
                                        <w:spacing w:before="120"/>
                                        <w:jc w:val="center"/>
                                        <w:rPr>
                                          <w:color w:val="FFFFFF" w:themeColor="background1"/>
                                        </w:rPr>
                                      </w:pPr>
                                      <w:r>
                                        <w:rPr>
                                          <w:color w:val="FFFFFF" w:themeColor="background1"/>
                                        </w:rPr>
                                        <w:t>Kimberley Collins (2223837)</w:t>
                                      </w:r>
                                    </w:p>
                                  </w:sdtContent>
                                </w:sdt>
                                <w:p w14:paraId="15E8384E" w14:textId="63A2AE4A" w:rsidR="005246B8"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16819">
                                        <w:rPr>
                                          <w:caps/>
                                          <w:color w:val="FFFFFF" w:themeColor="background1"/>
                                        </w:rPr>
                                        <w:t xml:space="preserve">     </w:t>
                                      </w:r>
                                    </w:sdtContent>
                                  </w:sdt>
                                  <w:r w:rsidR="005246B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246B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 y="1586067"/>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Theme="majorEastAsia" w:hAnsi="Calibri" w:cs="Calibri"/>
                                      <w:b/>
                                      <w:bCs/>
                                      <w:color w:val="000000" w:themeColor="text1"/>
                                      <w:sz w:val="40"/>
                                      <w:szCs w:val="40"/>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BBD157" w14:textId="63000EB1" w:rsidR="005246B8" w:rsidRPr="005246B8" w:rsidRDefault="005246B8">
                                      <w:pPr>
                                        <w:pStyle w:val="NoSpacing"/>
                                        <w:jc w:val="center"/>
                                        <w:rPr>
                                          <w:rFonts w:ascii="Calibri" w:eastAsiaTheme="majorEastAsia" w:hAnsi="Calibri" w:cs="Calibri"/>
                                          <w:caps/>
                                          <w:color w:val="156082" w:themeColor="accent1"/>
                                          <w:sz w:val="40"/>
                                          <w:szCs w:val="40"/>
                                        </w:rPr>
                                      </w:pPr>
                                      <w:r w:rsidRPr="005246B8">
                                        <w:rPr>
                                          <w:rFonts w:ascii="Calibri" w:eastAsiaTheme="majorEastAsia" w:hAnsi="Calibri" w:cs="Calibri"/>
                                          <w:b/>
                                          <w:bCs/>
                                          <w:color w:val="000000" w:themeColor="text1"/>
                                          <w:sz w:val="40"/>
                                          <w:szCs w:val="40"/>
                                          <w:lang w:eastAsia="en-GB"/>
                                        </w:rPr>
                                        <w:t>Examine the cycle of abuse and its impact on victims. How can this cycle be broken, and what role does early intervention play?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5315BBA" id="Group 31" o:spid="_x0000_s1026" style="position:absolute;margin-left:33pt;margin-top:3.25pt;width:533.4pt;height:819.35pt;z-index:-251657216;mso-position-horizontal-relative:page;mso-position-vertical-relative:page" coordorigin="-68" coordsize="68648,933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left:-68;top:43087;width:68579;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229CDA" w14:textId="23B413A1" w:rsidR="005246B8" w:rsidRDefault="005246B8">
                                <w:pPr>
                                  <w:pStyle w:val="NoSpacing"/>
                                  <w:spacing w:before="120"/>
                                  <w:jc w:val="center"/>
                                  <w:rPr>
                                    <w:color w:val="FFFFFF" w:themeColor="background1"/>
                                  </w:rPr>
                                </w:pPr>
                                <w:r>
                                  <w:rPr>
                                    <w:color w:val="FFFFFF" w:themeColor="background1"/>
                                  </w:rPr>
                                  <w:t>Kimberley Collins (2223837)</w:t>
                                </w:r>
                              </w:p>
                            </w:sdtContent>
                          </w:sdt>
                          <w:p w14:paraId="15E8384E" w14:textId="63A2AE4A" w:rsidR="005246B8"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16819">
                                  <w:rPr>
                                    <w:caps/>
                                    <w:color w:val="FFFFFF" w:themeColor="background1"/>
                                  </w:rPr>
                                  <w:t xml:space="preserve">     </w:t>
                                </w:r>
                              </w:sdtContent>
                            </w:sdt>
                            <w:r w:rsidR="005246B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246B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top:15860;width:68579;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Calibri" w:eastAsiaTheme="majorEastAsia" w:hAnsi="Calibri" w:cs="Calibri"/>
                                <w:b/>
                                <w:bCs/>
                                <w:color w:val="000000" w:themeColor="text1"/>
                                <w:sz w:val="40"/>
                                <w:szCs w:val="40"/>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BBD157" w14:textId="63000EB1" w:rsidR="005246B8" w:rsidRPr="005246B8" w:rsidRDefault="005246B8">
                                <w:pPr>
                                  <w:pStyle w:val="NoSpacing"/>
                                  <w:jc w:val="center"/>
                                  <w:rPr>
                                    <w:rFonts w:ascii="Calibri" w:eastAsiaTheme="majorEastAsia" w:hAnsi="Calibri" w:cs="Calibri"/>
                                    <w:caps/>
                                    <w:color w:val="156082" w:themeColor="accent1"/>
                                    <w:sz w:val="40"/>
                                    <w:szCs w:val="40"/>
                                  </w:rPr>
                                </w:pPr>
                                <w:r w:rsidRPr="005246B8">
                                  <w:rPr>
                                    <w:rFonts w:ascii="Calibri" w:eastAsiaTheme="majorEastAsia" w:hAnsi="Calibri" w:cs="Calibri"/>
                                    <w:b/>
                                    <w:bCs/>
                                    <w:color w:val="000000" w:themeColor="text1"/>
                                    <w:sz w:val="40"/>
                                    <w:szCs w:val="40"/>
                                    <w:lang w:eastAsia="en-GB"/>
                                  </w:rPr>
                                  <w:t>Examine the cycle of abuse and its impact on victims. How can this cycle be broken, and what role does early intervention play?</w:t>
                                </w:r>
                              </w:p>
                            </w:sdtContent>
                          </w:sdt>
                        </w:txbxContent>
                      </v:textbox>
                    </v:shape>
                    <w10:wrap anchorx="page" anchory="page"/>
                  </v:group>
                </w:pict>
              </mc:Fallback>
            </mc:AlternateContent>
          </w:r>
        </w:p>
        <w:p w14:paraId="541413B1" w14:textId="77777777" w:rsidR="0056104A" w:rsidRDefault="005246B8" w:rsidP="0056104A">
          <w:r>
            <w:br w:type="page"/>
          </w:r>
        </w:p>
        <w:p w14:paraId="6A82D70E" w14:textId="66D35295" w:rsidR="0056104A" w:rsidRDefault="00000000" w:rsidP="0056104A"/>
      </w:sdtContent>
    </w:sdt>
    <w:p w14:paraId="3EFDA864" w14:textId="28F217AC" w:rsidR="00777C17" w:rsidRPr="0056104A" w:rsidRDefault="00777C17" w:rsidP="0056104A">
      <w:pPr>
        <w:spacing w:line="360" w:lineRule="auto"/>
      </w:pPr>
      <w:r w:rsidRPr="00EC10D7">
        <w:rPr>
          <w:rFonts w:ascii="Calibri" w:hAnsi="Calibri" w:cs="Calibri"/>
          <w:color w:val="0E101A"/>
        </w:rPr>
        <w:t>The United Nations (2024) describe domestic abuse as a pattern of behaviour in any relationship that is used to gain or maintain power and or control over an intimate partner. An "intimate partner" can be a dating and family relationship (United Nations, 2024). Domestic abuse is not a specific offence but rather a broad term that encompasses a range of abusive behaviours, including physical, emotional, psychological, and financial abuse (The Crown Prosecution Service, 2022). This can be applied to multiple criminal offences, highlighting the complex nature of the issue. Anybody can be a victim of domestic abuse regardless of age, gender, race, sexual orientation, faith, or class</w:t>
      </w:r>
      <w:r w:rsidR="00E26075" w:rsidRPr="00EC10D7">
        <w:rPr>
          <w:rFonts w:ascii="Calibri" w:hAnsi="Calibri" w:cs="Calibri"/>
          <w:color w:val="0E101A"/>
        </w:rPr>
        <w:t xml:space="preserve"> </w:t>
      </w:r>
      <w:r w:rsidR="00E26075" w:rsidRPr="00EC10D7">
        <w:rPr>
          <w:rFonts w:ascii="Calibri" w:hAnsi="Calibri" w:cs="Calibri"/>
          <w:color w:val="000000"/>
        </w:rPr>
        <w:t>(Donovan and Hester, 2014)</w:t>
      </w:r>
      <w:r w:rsidRPr="00EC10D7">
        <w:rPr>
          <w:rFonts w:ascii="Calibri" w:hAnsi="Calibri" w:cs="Calibri"/>
          <w:color w:val="0E101A"/>
        </w:rPr>
        <w:t>. This essay will explore the cycle of domestic abuse, focusing on how it operates within intimate partner relationships, the profound impact it has on victims, and the critical importance of breaking the cycle. Particular attention will be given to how early intervention can play a crucial role in stopping the recurrence of abuse and offering victims a path to safety and recovery. The essay will begin by examining the cycle of domestic abuse, analysing its different phases and how it perpetuates control over the victim. It will then delve into the physical, psychological, social, and economic impacts that abuse inflicts on victims. Finally, the essay will discuss how the cycle can be broken, emphasising the role of early intervention strategies and the reassurance and hope that support services, legal protection, and community-based prevention programs can provide.</w:t>
      </w:r>
    </w:p>
    <w:p w14:paraId="3DF2A2C3"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2431D0D5" w14:textId="1C71345D"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The Domestic Abuse Act 2021 defines</w:t>
      </w:r>
      <w:r w:rsidRPr="00EC10D7">
        <w:rPr>
          <w:rStyle w:val="apple-converted-space"/>
          <w:rFonts w:ascii="Calibri" w:eastAsiaTheme="majorEastAsia" w:hAnsi="Calibri" w:cs="Calibri"/>
          <w:color w:val="0E101A"/>
        </w:rPr>
        <w:t> </w:t>
      </w:r>
      <w:r w:rsidRPr="00295E6F">
        <w:rPr>
          <w:rStyle w:val="Emphasis"/>
          <w:rFonts w:ascii="Calibri" w:eastAsiaTheme="majorEastAsia" w:hAnsi="Calibri" w:cs="Calibri"/>
          <w:i w:val="0"/>
          <w:iCs w:val="0"/>
          <w:color w:val="0E101A"/>
        </w:rPr>
        <w:t>domestic abuse</w:t>
      </w:r>
      <w:r w:rsidRPr="00EC10D7">
        <w:rPr>
          <w:rStyle w:val="apple-converted-space"/>
          <w:rFonts w:ascii="Calibri" w:eastAsiaTheme="majorEastAsia" w:hAnsi="Calibri" w:cs="Calibri"/>
          <w:color w:val="0E101A"/>
        </w:rPr>
        <w:t> </w:t>
      </w:r>
      <w:r w:rsidRPr="00EC10D7">
        <w:rPr>
          <w:rFonts w:ascii="Calibri" w:hAnsi="Calibri" w:cs="Calibri"/>
          <w:color w:val="0E101A"/>
        </w:rPr>
        <w:t xml:space="preserve">as "any incident of controlling, coercive, threatening behaviour, violence, or abuse between those aged 16 or over who are or have been intimate partners or family members, regardless of gender or sexuality." This broad definition underscores that domestic abuse can take various forms, including physical, emotional, psychological, financial, and sexual abuse. The dynamics of such abuse are often cyclical and difficult to escape, which is well-illustrated by </w:t>
      </w:r>
      <w:proofErr w:type="spellStart"/>
      <w:r w:rsidRPr="00EC10D7">
        <w:rPr>
          <w:rFonts w:ascii="Calibri" w:hAnsi="Calibri" w:cs="Calibri"/>
          <w:color w:val="0E101A"/>
        </w:rPr>
        <w:t>Dr.</w:t>
      </w:r>
      <w:proofErr w:type="spellEnd"/>
      <w:r w:rsidRPr="00EC10D7">
        <w:rPr>
          <w:rFonts w:ascii="Calibri" w:hAnsi="Calibri" w:cs="Calibri"/>
          <w:color w:val="0E101A"/>
        </w:rPr>
        <w:t xml:space="preserve"> Lenore Walker's cycle of violence theory, developed in 1972 (Etzold, 2022).</w:t>
      </w:r>
      <w:r w:rsidRPr="00EC10D7">
        <w:rPr>
          <w:rStyle w:val="apple-converted-space"/>
          <w:rFonts w:ascii="Calibri" w:eastAsiaTheme="majorEastAsia" w:hAnsi="Calibri" w:cs="Calibri"/>
          <w:color w:val="0E101A"/>
        </w:rPr>
        <w:t> </w:t>
      </w:r>
    </w:p>
    <w:p w14:paraId="07106EA4"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271744E9" w14:textId="77777777" w:rsidR="00BA79B5" w:rsidRPr="00EC10D7" w:rsidRDefault="00BA79B5" w:rsidP="00BA79B5">
      <w:pPr>
        <w:pStyle w:val="NormalWeb"/>
        <w:spacing w:before="0" w:beforeAutospacing="0" w:after="0" w:afterAutospacing="0" w:line="360" w:lineRule="auto"/>
        <w:rPr>
          <w:rFonts w:ascii="Calibri" w:hAnsi="Calibri" w:cs="Calibri"/>
          <w:color w:val="0E101A"/>
        </w:rPr>
      </w:pPr>
    </w:p>
    <w:p w14:paraId="2880B2F8" w14:textId="77777777" w:rsidR="00BA79B5" w:rsidRDefault="00BA79B5" w:rsidP="00BA79B5">
      <w:pPr>
        <w:pStyle w:val="NormalWeb"/>
        <w:spacing w:before="0" w:beforeAutospacing="0" w:after="0" w:afterAutospacing="0" w:line="360" w:lineRule="auto"/>
        <w:rPr>
          <w:rFonts w:ascii="Calibri" w:hAnsi="Calibri" w:cs="Calibri"/>
          <w:color w:val="0E101A"/>
        </w:rPr>
      </w:pPr>
    </w:p>
    <w:p w14:paraId="2B7B34C1" w14:textId="77777777" w:rsidR="0056104A" w:rsidRPr="00EC10D7" w:rsidRDefault="0056104A" w:rsidP="00BA79B5">
      <w:pPr>
        <w:pStyle w:val="NormalWeb"/>
        <w:spacing w:before="0" w:beforeAutospacing="0" w:after="0" w:afterAutospacing="0" w:line="360" w:lineRule="auto"/>
        <w:rPr>
          <w:rFonts w:ascii="Calibri" w:hAnsi="Calibri" w:cs="Calibri"/>
          <w:color w:val="0E101A"/>
        </w:rPr>
      </w:pPr>
    </w:p>
    <w:p w14:paraId="26254051" w14:textId="7DE2A1C7"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lastRenderedPageBreak/>
        <w:t>Walker's theory follows the perpetrator's actions and how they hinder the victim's ability to leave the abusive relationship. It follows a three-phase cycle. The first phase is the tension-building phase, where tension between the abuser and the victim gradually escalates</w:t>
      </w:r>
      <w:r w:rsidR="00EC10D7" w:rsidRPr="00EC10D7">
        <w:rPr>
          <w:rFonts w:ascii="Calibri" w:hAnsi="Calibri" w:cs="Calibri"/>
          <w:color w:val="0E101A"/>
        </w:rPr>
        <w:t xml:space="preserve"> </w:t>
      </w:r>
      <w:r w:rsidR="00EC10D7" w:rsidRPr="00EC10D7">
        <w:rPr>
          <w:rFonts w:ascii="Calibri" w:hAnsi="Calibri" w:cs="Calibri"/>
          <w:color w:val="000000"/>
        </w:rPr>
        <w:t>(Federica Taccini et al., 2024)</w:t>
      </w:r>
      <w:r w:rsidRPr="00EC10D7">
        <w:rPr>
          <w:rFonts w:ascii="Calibri" w:hAnsi="Calibri" w:cs="Calibri"/>
          <w:color w:val="0E101A"/>
        </w:rPr>
        <w:t>. During this stage, emotional, verbal, and financial abuse are expected, with the abuser becoming increasingly irritable, moody, or prone to outbursts. The victim, to avoid conflict, often tries to appease the abuser, feeling as though they are walking on eggshells (Etzold, 2022). Small arguments may arise, but they are typically minimised or ignored.</w:t>
      </w:r>
    </w:p>
    <w:p w14:paraId="3366062E"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57196659" w14:textId="0362865B"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The cycle then progresses to phase two, the acute explosion phase. Stage two is when the abuse becomes overt, manifesting in physical, emotional, or psychological violence</w:t>
      </w:r>
      <w:r w:rsidR="0087783D" w:rsidRPr="00EC10D7">
        <w:rPr>
          <w:rFonts w:ascii="Calibri" w:hAnsi="Calibri" w:cs="Calibri"/>
          <w:color w:val="0E101A"/>
        </w:rPr>
        <w:t xml:space="preserve"> </w:t>
      </w:r>
      <w:r w:rsidR="0087783D" w:rsidRPr="00EC10D7">
        <w:rPr>
          <w:rFonts w:ascii="Calibri" w:hAnsi="Calibri" w:cs="Calibri"/>
          <w:color w:val="000000"/>
        </w:rPr>
        <w:t>(Federica Taccini et al., 2024)</w:t>
      </w:r>
      <w:r w:rsidRPr="00EC10D7">
        <w:rPr>
          <w:rFonts w:ascii="Calibri" w:hAnsi="Calibri" w:cs="Calibri"/>
          <w:color w:val="0E101A"/>
        </w:rPr>
        <w:t>. The abuser loses control, engaging in aggressive behaviour, and the victim may endure various forms of abuse. This phase is typically the shortest but also the most intense.</w:t>
      </w:r>
      <w:r w:rsidRPr="00EC10D7">
        <w:rPr>
          <w:rStyle w:val="apple-converted-space"/>
          <w:rFonts w:ascii="Calibri" w:eastAsiaTheme="majorEastAsia" w:hAnsi="Calibri" w:cs="Calibri"/>
          <w:color w:val="0E101A"/>
        </w:rPr>
        <w:t> </w:t>
      </w:r>
      <w:r w:rsidRPr="00EC10D7">
        <w:rPr>
          <w:rFonts w:ascii="Calibri" w:hAnsi="Calibri" w:cs="Calibri"/>
          <w:color w:val="0E101A"/>
        </w:rPr>
        <w:t>Finally, the third stage is the honeymoon phase. After the abusive episode, the abuser often attempts to make amends by offering apologies, affection, or promises to change</w:t>
      </w:r>
      <w:r w:rsidR="0087783D" w:rsidRPr="00EC10D7">
        <w:rPr>
          <w:rFonts w:ascii="Calibri" w:hAnsi="Calibri" w:cs="Calibri"/>
          <w:color w:val="0E101A"/>
        </w:rPr>
        <w:t xml:space="preserve"> </w:t>
      </w:r>
      <w:r w:rsidR="0087783D" w:rsidRPr="00EC10D7">
        <w:rPr>
          <w:rFonts w:ascii="Calibri" w:hAnsi="Calibri" w:cs="Calibri"/>
          <w:color w:val="000000"/>
        </w:rPr>
        <w:t>(Federica Taccini et al., 2024)</w:t>
      </w:r>
      <w:r w:rsidRPr="00EC10D7">
        <w:rPr>
          <w:rFonts w:ascii="Calibri" w:hAnsi="Calibri" w:cs="Calibri"/>
          <w:color w:val="0E101A"/>
        </w:rPr>
        <w:t>. This phase is characterised by reconciliation, with the abuser expressing remorse or being unusually kind. The victim may feel hopeful that the abuse has ended, but over time, the cycle tends to repeat as the tension starts to build again (Etzold, 2022).</w:t>
      </w:r>
    </w:p>
    <w:p w14:paraId="3E8FFF61"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04783D20" w14:textId="63854EF2"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The cycle of abuse is a psychological web that traps the victim in a complex mix of fear, hope, love, and trauma</w:t>
      </w:r>
      <w:r w:rsidR="009D5B86" w:rsidRPr="00EC10D7">
        <w:rPr>
          <w:rFonts w:ascii="Calibri" w:hAnsi="Calibri" w:cs="Calibri"/>
          <w:color w:val="0E101A"/>
        </w:rPr>
        <w:t xml:space="preserve"> </w:t>
      </w:r>
      <w:r w:rsidR="00872AF0" w:rsidRPr="00EC10D7">
        <w:rPr>
          <w:rFonts w:ascii="Calibri" w:hAnsi="Calibri" w:cs="Calibri"/>
          <w:color w:val="000000"/>
        </w:rPr>
        <w:t>(Strathearn et al., 2020)</w:t>
      </w:r>
      <w:r w:rsidRPr="00EC10D7">
        <w:rPr>
          <w:rFonts w:ascii="Calibri" w:hAnsi="Calibri" w:cs="Calibri"/>
          <w:color w:val="0E101A"/>
        </w:rPr>
        <w:t>. Over time, this pattern erodes the victim's self-esteem and sense of worth, making it progressively more challenging for them to leave the relationship. The brief periods of remorse and affection from the abuser during the honeymoon phase strengthen the emotional connection and give the victim false hope for change</w:t>
      </w:r>
      <w:r w:rsidR="00872AF0" w:rsidRPr="00EC10D7">
        <w:rPr>
          <w:rFonts w:ascii="Calibri" w:hAnsi="Calibri" w:cs="Calibri"/>
          <w:color w:val="0E101A"/>
        </w:rPr>
        <w:t xml:space="preserve"> </w:t>
      </w:r>
      <w:r w:rsidR="00872AF0" w:rsidRPr="00EC10D7">
        <w:rPr>
          <w:rFonts w:ascii="Calibri" w:hAnsi="Calibri" w:cs="Calibri"/>
          <w:color w:val="000000"/>
        </w:rPr>
        <w:t>(Strathearn et al., 2020)</w:t>
      </w:r>
      <w:r w:rsidRPr="00EC10D7">
        <w:rPr>
          <w:rFonts w:ascii="Calibri" w:hAnsi="Calibri" w:cs="Calibri"/>
          <w:color w:val="0E101A"/>
        </w:rPr>
        <w:t xml:space="preserve">. Central to this cycle is the abuser's need for power and control, which manipulates the victim's emotions and distorts their perception of reality. The victim is often isolated from support networks during the tension-building phase, making it more challenging to seek help or escape as the abuse worsens. </w:t>
      </w:r>
      <w:r w:rsidR="009F7E85" w:rsidRPr="00EC10D7">
        <w:rPr>
          <w:rFonts w:ascii="Calibri" w:hAnsi="Calibri" w:cs="Calibri"/>
          <w:color w:val="0E101A"/>
        </w:rPr>
        <w:t>The mental conflict that arises from the victim's attempt to reconcile the abuser's kindness with their harmful behaviour further intensifies their emotional entrapment.</w:t>
      </w:r>
      <w:r w:rsidRPr="00EC10D7">
        <w:rPr>
          <w:rFonts w:ascii="Calibri" w:hAnsi="Calibri" w:cs="Calibri"/>
          <w:color w:val="0E101A"/>
        </w:rPr>
        <w:t xml:space="preserve"> This cycle can persist for months </w:t>
      </w:r>
      <w:r w:rsidRPr="00EC10D7">
        <w:rPr>
          <w:rFonts w:ascii="Calibri" w:hAnsi="Calibri" w:cs="Calibri"/>
          <w:color w:val="0E101A"/>
        </w:rPr>
        <w:lastRenderedPageBreak/>
        <w:t>or even years, leaving the victim ensnared in a damaging relationship that becomes increasingly difficult to escape; on average, it takes seven attempts before a woman can leave an abusive relationship for good (Refuge, 2022).</w:t>
      </w:r>
    </w:p>
    <w:p w14:paraId="24C1BFB3"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13CDB178" w14:textId="5388006B"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Domestic abuse can have devastating physical and mental health consequences for victims, manifesting in conditions such as anxiety, depression, Post-Traumatic Stress Disorder (PTSD), and an overall decline in psychological well-being (Kinderman, 2023). Women who experience domestic abuse—whether they are fully aware of it or not—often endure a lifetime of mental health challenges even after leaving the abusive relationship. The trauma inflicted during these abusive situations can lead to long-lasting psychological scars, making recovery a complex and challenging process</w:t>
      </w:r>
      <w:r w:rsidR="006D0317" w:rsidRPr="00EC10D7">
        <w:rPr>
          <w:rFonts w:ascii="Calibri" w:hAnsi="Calibri" w:cs="Calibri"/>
          <w:color w:val="0E101A"/>
        </w:rPr>
        <w:t xml:space="preserve"> (Kinderman, 2023)</w:t>
      </w:r>
      <w:r w:rsidRPr="00EC10D7">
        <w:rPr>
          <w:rFonts w:ascii="Calibri" w:hAnsi="Calibri" w:cs="Calibri"/>
          <w:color w:val="0E101A"/>
        </w:rPr>
        <w:t>. In the tension-building phase of the cycle of abuse, victims may experience increasing anxiety and emotional distress as they try to understand their abuser's mood swings and manipulative behaviours. This is the start of a psychological strain, and it can lead to long-term mental health issues such as anxiety and PTSD, as mentioned previously</w:t>
      </w:r>
      <w:r w:rsidR="00F24396" w:rsidRPr="00EC10D7">
        <w:rPr>
          <w:rFonts w:ascii="Calibri" w:hAnsi="Calibri" w:cs="Calibri"/>
          <w:color w:val="0E101A"/>
        </w:rPr>
        <w:t xml:space="preserve"> </w:t>
      </w:r>
      <w:r w:rsidR="00F24396" w:rsidRPr="00EC10D7">
        <w:rPr>
          <w:rFonts w:ascii="Calibri" w:hAnsi="Calibri" w:cs="Calibri"/>
          <w:color w:val="000000"/>
        </w:rPr>
        <w:t>(Coburn and Gormally, 2013).</w:t>
      </w:r>
      <w:r w:rsidRPr="00EC10D7">
        <w:rPr>
          <w:rFonts w:ascii="Calibri" w:hAnsi="Calibri" w:cs="Calibri"/>
          <w:color w:val="0E101A"/>
        </w:rPr>
        <w:t xml:space="preserve"> The acute explosion phase, where physical or emotional abuse occurs, intensifies the </w:t>
      </w:r>
      <w:r w:rsidR="006107BD" w:rsidRPr="00EC10D7">
        <w:rPr>
          <w:rFonts w:ascii="Calibri" w:hAnsi="Calibri" w:cs="Calibri"/>
          <w:color w:val="0E101A"/>
        </w:rPr>
        <w:t>trauma,</w:t>
      </w:r>
      <w:r w:rsidRPr="00EC10D7">
        <w:rPr>
          <w:rFonts w:ascii="Calibri" w:hAnsi="Calibri" w:cs="Calibri"/>
          <w:color w:val="0E101A"/>
        </w:rPr>
        <w:t xml:space="preserve"> and can leave lasting psychological scars. As the victims repeat the cycle of abuse, the mental health challenges often get harder and make recovery more complex.</w:t>
      </w:r>
      <w:r w:rsidRPr="00EC10D7">
        <w:rPr>
          <w:rStyle w:val="apple-converted-space"/>
          <w:rFonts w:ascii="Calibri" w:eastAsiaTheme="majorEastAsia" w:hAnsi="Calibri" w:cs="Calibri"/>
          <w:color w:val="0E101A"/>
        </w:rPr>
        <w:t> </w:t>
      </w:r>
    </w:p>
    <w:p w14:paraId="191F3543"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0A42F04B" w14:textId="77777777" w:rsidR="00EC10D7" w:rsidRDefault="00777C17" w:rsidP="00BA79B5">
      <w:pPr>
        <w:pStyle w:val="NormalWeb"/>
        <w:spacing w:before="0" w:beforeAutospacing="0" w:after="0" w:afterAutospacing="0" w:line="360" w:lineRule="auto"/>
        <w:rPr>
          <w:rStyle w:val="apple-converted-space"/>
          <w:rFonts w:ascii="Calibri" w:eastAsiaTheme="majorEastAsia" w:hAnsi="Calibri" w:cs="Calibri"/>
          <w:color w:val="0E101A"/>
        </w:rPr>
      </w:pPr>
      <w:r w:rsidRPr="00EC10D7">
        <w:rPr>
          <w:rFonts w:ascii="Calibri" w:hAnsi="Calibri" w:cs="Calibri"/>
          <w:color w:val="0E101A"/>
        </w:rPr>
        <w:t>The financial implications of domestic violence extend beyond the personal toll on victims; it also imposes significant costs on society. In the UK alone, the estimated cost of domestic violence to mental healthcare services is approximately £176 million annually (Refuge, 2022). This figure reflects the increased demand for mental health services, therapy, and support systems needed to address the psychological fallout from abuse. Furthermore, studies have shown that women who experience domestic abuse are twice as likely to suffer from depression compared to those who have not experienced such trauma</w:t>
      </w:r>
      <w:r w:rsidR="00001C44" w:rsidRPr="00EC10D7">
        <w:rPr>
          <w:rFonts w:ascii="Calibri" w:hAnsi="Calibri" w:cs="Calibri"/>
          <w:color w:val="0E101A"/>
        </w:rPr>
        <w:t xml:space="preserve"> </w:t>
      </w:r>
      <w:r w:rsidR="00001C44" w:rsidRPr="00EC10D7">
        <w:rPr>
          <w:rFonts w:ascii="Calibri" w:hAnsi="Calibri" w:cs="Calibri"/>
          <w:color w:val="000000"/>
        </w:rPr>
        <w:t>(Bland and Ariel, 2020)</w:t>
      </w:r>
      <w:r w:rsidRPr="00EC10D7">
        <w:rPr>
          <w:rFonts w:ascii="Calibri" w:hAnsi="Calibri" w:cs="Calibri"/>
          <w:color w:val="0E101A"/>
        </w:rPr>
        <w:t xml:space="preserve">. This heightened risk underscores the critical need for early intervention and comprehensive support services for victims. The cycle of abuse fosters financial dependency on the abuser; many abuse victims find it challenging to secure employment or maintain jobs due to the trauma and instability caused by their abusive situations. Victims struggling </w:t>
      </w:r>
      <w:r w:rsidRPr="00EC10D7">
        <w:rPr>
          <w:rFonts w:ascii="Calibri" w:hAnsi="Calibri" w:cs="Calibri"/>
          <w:color w:val="0E101A"/>
        </w:rPr>
        <w:lastRenderedPageBreak/>
        <w:t>with economic insecurity and a lack of resources may feel trapped in the cycle, unable to leave their abuser due to fear of homelessness or financial hardship.</w:t>
      </w:r>
      <w:r w:rsidRPr="00EC10D7">
        <w:rPr>
          <w:rStyle w:val="apple-converted-space"/>
          <w:rFonts w:ascii="Calibri" w:eastAsiaTheme="majorEastAsia" w:hAnsi="Calibri" w:cs="Calibri"/>
          <w:color w:val="0E101A"/>
        </w:rPr>
        <w:t> </w:t>
      </w:r>
    </w:p>
    <w:p w14:paraId="6EA2735C" w14:textId="77777777" w:rsidR="009D4FC2" w:rsidRDefault="009D4FC2" w:rsidP="00BA79B5">
      <w:pPr>
        <w:pStyle w:val="NormalWeb"/>
        <w:spacing w:before="0" w:beforeAutospacing="0" w:after="0" w:afterAutospacing="0" w:line="360" w:lineRule="auto"/>
        <w:rPr>
          <w:rFonts w:ascii="Calibri" w:hAnsi="Calibri" w:cs="Calibri"/>
          <w:color w:val="0E101A"/>
        </w:rPr>
      </w:pPr>
    </w:p>
    <w:p w14:paraId="7D306F9E" w14:textId="6901EF37"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Homelessness is a significant issue closely linked to domestic abuse. Many victims may remain in abusive situations due to the fear of becoming homeless</w:t>
      </w:r>
      <w:r w:rsidR="007C0A0A" w:rsidRPr="00EC10D7">
        <w:rPr>
          <w:rFonts w:ascii="Calibri" w:hAnsi="Calibri" w:cs="Calibri"/>
          <w:color w:val="0E101A"/>
        </w:rPr>
        <w:t xml:space="preserve"> </w:t>
      </w:r>
      <w:r w:rsidR="007C0A0A" w:rsidRPr="00EC10D7">
        <w:rPr>
          <w:rFonts w:ascii="Calibri" w:hAnsi="Calibri" w:cs="Calibri"/>
          <w:color w:val="000000"/>
        </w:rPr>
        <w:t>(Mayock and Neary, 2023)</w:t>
      </w:r>
      <w:r w:rsidRPr="00EC10D7">
        <w:rPr>
          <w:rFonts w:ascii="Calibri" w:hAnsi="Calibri" w:cs="Calibri"/>
          <w:color w:val="0E101A"/>
        </w:rPr>
        <w:t>. When they eventually leave, they often find themselves without a secure place to stay, significantly increasing their risk of homelessness. This situation is particularly exacerbated for women, who may have children to care for and face fewer options for safe and affordable housing</w:t>
      </w:r>
      <w:r w:rsidR="007C0A0A" w:rsidRPr="00EC10D7">
        <w:rPr>
          <w:rFonts w:ascii="Calibri" w:hAnsi="Calibri" w:cs="Calibri"/>
          <w:color w:val="0E101A"/>
        </w:rPr>
        <w:t xml:space="preserve"> </w:t>
      </w:r>
      <w:r w:rsidR="007C0A0A" w:rsidRPr="00EC10D7">
        <w:rPr>
          <w:rFonts w:ascii="Calibri" w:hAnsi="Calibri" w:cs="Calibri"/>
          <w:color w:val="000000"/>
        </w:rPr>
        <w:t>(Mayock and Neary, 2023)</w:t>
      </w:r>
      <w:r w:rsidRPr="00EC10D7">
        <w:rPr>
          <w:rFonts w:ascii="Calibri" w:hAnsi="Calibri" w:cs="Calibri"/>
          <w:color w:val="0E101A"/>
        </w:rPr>
        <w:t>. The trauma of abuse can also impair their ability to maintain employment, further contributing to their economic instability. According to Refuge (2022), 40% of homeless women cite domestic abuse as a contributing factor to their situation, highlighting the urgent need for effective housing solutions and support systems that address the underlying causes of homelessness among this vulnerable population. When victims are forced to leave their homes due to escalating violence, they often lack the financial resources, social support, and housing options necessary to establish a safe living environment</w:t>
      </w:r>
      <w:r w:rsidR="004C7F7C" w:rsidRPr="00EC10D7">
        <w:rPr>
          <w:rFonts w:ascii="Calibri" w:hAnsi="Calibri" w:cs="Calibri"/>
          <w:color w:val="0E101A"/>
        </w:rPr>
        <w:t xml:space="preserve"> </w:t>
      </w:r>
      <w:r w:rsidR="004C7F7C" w:rsidRPr="00EC10D7">
        <w:rPr>
          <w:rFonts w:ascii="Calibri" w:hAnsi="Calibri" w:cs="Calibri"/>
          <w:color w:val="000000"/>
        </w:rPr>
        <w:t>(The Scottish Government, 2024)</w:t>
      </w:r>
      <w:r w:rsidRPr="00EC10D7">
        <w:rPr>
          <w:rFonts w:ascii="Calibri" w:hAnsi="Calibri" w:cs="Calibri"/>
          <w:color w:val="0E101A"/>
        </w:rPr>
        <w:t>. Consequently, the cycle of abuse leaves them with limited options for safe housing, further entrenching them in a cycle of trauma and instability.</w:t>
      </w:r>
    </w:p>
    <w:p w14:paraId="4FF82C96"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4636FD74" w14:textId="173304A9"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Victims often remain in abusive relationships because they have been mentally conditioned to believe they cannot survive without their abuser</w:t>
      </w:r>
      <w:r w:rsidR="00786F1F" w:rsidRPr="00EC10D7">
        <w:rPr>
          <w:rFonts w:ascii="Calibri" w:hAnsi="Calibri" w:cs="Calibri"/>
          <w:color w:val="0E101A"/>
        </w:rPr>
        <w:t xml:space="preserve"> </w:t>
      </w:r>
      <w:r w:rsidR="00786F1F" w:rsidRPr="00EC10D7">
        <w:rPr>
          <w:rFonts w:ascii="Calibri" w:hAnsi="Calibri" w:cs="Calibri"/>
          <w:color w:val="000000"/>
        </w:rPr>
        <w:t>(The Scottish Government, 2024)</w:t>
      </w:r>
      <w:r w:rsidRPr="00EC10D7">
        <w:rPr>
          <w:rFonts w:ascii="Calibri" w:hAnsi="Calibri" w:cs="Calibri"/>
          <w:color w:val="0E101A"/>
        </w:rPr>
        <w:t>. Abusers use emotional manipulation to instil a sense of dependency in their victims. A poignant example is Amelia, a survivor of domestic abuse who had a five-year-old daughter. Initially, she perceived her abuser's kindness and understanding of her vulnerabilities as genuine interest; this was part of the grooming process, where he made her feel valued and cared for. However, this façade quickly faded as he demanded constant gratitude and appreciation for his actions, highlighting his subtle control over her (Eve, 2016).</w:t>
      </w:r>
    </w:p>
    <w:p w14:paraId="08D4EB9D" w14:textId="77777777" w:rsidR="00777C17" w:rsidRDefault="00777C17" w:rsidP="00BA79B5">
      <w:pPr>
        <w:pStyle w:val="NormalWeb"/>
        <w:spacing w:before="0" w:beforeAutospacing="0" w:after="0" w:afterAutospacing="0" w:line="360" w:lineRule="auto"/>
        <w:rPr>
          <w:rFonts w:ascii="Calibri" w:hAnsi="Calibri" w:cs="Calibri"/>
          <w:color w:val="0E101A"/>
        </w:rPr>
      </w:pPr>
    </w:p>
    <w:p w14:paraId="02EA8CC3" w14:textId="77777777" w:rsidR="009D4FC2" w:rsidRDefault="009D4FC2" w:rsidP="00BA79B5">
      <w:pPr>
        <w:pStyle w:val="NormalWeb"/>
        <w:spacing w:before="0" w:beforeAutospacing="0" w:after="0" w:afterAutospacing="0" w:line="360" w:lineRule="auto"/>
        <w:rPr>
          <w:rFonts w:ascii="Calibri" w:hAnsi="Calibri" w:cs="Calibri"/>
          <w:color w:val="0E101A"/>
        </w:rPr>
      </w:pPr>
    </w:p>
    <w:p w14:paraId="18950BFA" w14:textId="77777777" w:rsidR="009D4FC2" w:rsidRPr="00EC10D7" w:rsidRDefault="009D4FC2" w:rsidP="00BA79B5">
      <w:pPr>
        <w:pStyle w:val="NormalWeb"/>
        <w:spacing w:before="0" w:beforeAutospacing="0" w:after="0" w:afterAutospacing="0" w:line="360" w:lineRule="auto"/>
        <w:rPr>
          <w:rFonts w:ascii="Calibri" w:hAnsi="Calibri" w:cs="Calibri"/>
          <w:color w:val="0E101A"/>
        </w:rPr>
      </w:pPr>
    </w:p>
    <w:p w14:paraId="46A62B20" w14:textId="15A03990"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lastRenderedPageBreak/>
        <w:t>Amelia recalls that the situation gradually escalated, stating, "Things just built up, steadily escalating over the weeks, months, years" (Eve, 2016). This illustrates how abuse can evolve slowly, making it challenging for victims to identify the point at which the relationship becomes toxic</w:t>
      </w:r>
      <w:r w:rsidR="00986B28" w:rsidRPr="00EC10D7">
        <w:rPr>
          <w:rFonts w:ascii="Calibri" w:hAnsi="Calibri" w:cs="Calibri"/>
          <w:color w:val="0E101A"/>
        </w:rPr>
        <w:t xml:space="preserve"> </w:t>
      </w:r>
      <w:r w:rsidR="00986B28" w:rsidRPr="00EC10D7">
        <w:rPr>
          <w:rFonts w:ascii="Calibri" w:hAnsi="Calibri" w:cs="Calibri"/>
          <w:color w:val="000000"/>
        </w:rPr>
        <w:t>(Tallman, 2021)</w:t>
      </w:r>
      <w:r w:rsidRPr="00EC10D7">
        <w:rPr>
          <w:rFonts w:ascii="Calibri" w:hAnsi="Calibri" w:cs="Calibri"/>
          <w:color w:val="0E101A"/>
        </w:rPr>
        <w:t>. He manipulated her into believing she was inadequate and incapable of thriving without him, which intensified her fear of leaving, especially as a mother. She expressed, "I believed I was a bad mother, that no one else would put up with me." The cycle of emotional abuse continued, and she was gaslit into staying, remarking, "People ask me why I did not end the relationship... I felt totally powerless" (Eve, 2016).</w:t>
      </w:r>
      <w:r w:rsidRPr="00EC10D7">
        <w:rPr>
          <w:rStyle w:val="apple-converted-space"/>
          <w:rFonts w:ascii="Calibri" w:eastAsiaTheme="majorEastAsia" w:hAnsi="Calibri" w:cs="Calibri"/>
          <w:color w:val="0E101A"/>
        </w:rPr>
        <w:t> </w:t>
      </w:r>
    </w:p>
    <w:p w14:paraId="6FD13840" w14:textId="40CB7DC3"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 xml:space="preserve">Over time, victims may internalise the abuser's negative perceptions, leading them to feel unworthy and incapable of independent survival. This </w:t>
      </w:r>
      <w:r w:rsidR="00D03299" w:rsidRPr="00EC10D7">
        <w:rPr>
          <w:rFonts w:ascii="Calibri" w:hAnsi="Calibri" w:cs="Calibri"/>
          <w:color w:val="000000"/>
        </w:rPr>
        <w:t>acceptance</w:t>
      </w:r>
      <w:r w:rsidRPr="00EC10D7">
        <w:rPr>
          <w:rFonts w:ascii="Calibri" w:hAnsi="Calibri" w:cs="Calibri"/>
          <w:color w:val="0E101A"/>
        </w:rPr>
        <w:t xml:space="preserve"> erodes their hope and reinforces the belief that leaving is unrealistic.</w:t>
      </w:r>
    </w:p>
    <w:p w14:paraId="616F84DC"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4867CFFB" w14:textId="2A199D6F" w:rsidR="00777C17" w:rsidRPr="00EC10D7" w:rsidRDefault="00777C17" w:rsidP="00BA79B5">
      <w:pPr>
        <w:pStyle w:val="NormalWeb"/>
        <w:spacing w:before="0" w:beforeAutospacing="0" w:after="0" w:afterAutospacing="0" w:line="360" w:lineRule="auto"/>
        <w:rPr>
          <w:rStyle w:val="apple-converted-space"/>
          <w:rFonts w:ascii="Calibri" w:eastAsiaTheme="majorEastAsia" w:hAnsi="Calibri" w:cs="Calibri"/>
          <w:color w:val="0E101A"/>
        </w:rPr>
      </w:pPr>
      <w:r w:rsidRPr="00EC10D7">
        <w:rPr>
          <w:rFonts w:ascii="Calibri" w:hAnsi="Calibri" w:cs="Calibri"/>
          <w:color w:val="0E101A"/>
        </w:rPr>
        <w:t>Amelia eventually sought help from her doctor, who recognised her need for support, and she benefited from a strong network of friends and family. This led her to connect with Eve, a domestic abuse charity in the UK. Eve offers various services, including emotional support, counselling, and assistance in navigating essential changes such as housing, finances, and legal issues. In Amelia's situation, they helped her secure legal representation and fight for custody of her child (Eve, 2024). The charity is dedicated to empowering survivors by equipping them with the resources they need to rebuild their lives after experiencing domestic abuse. Organisations like Eve not only raise awareness about domestic abuse and its signs but also provide vital support to victims. They offer a safe environment for survivors to receive emotional support and help them develop a new social network with individuals facing similar challenges. Additionally, they assist with practical needs, such as finding housing and accessing financial aid to facilitate leaving an abusive relationship like in Amelia's story</w:t>
      </w:r>
      <w:r w:rsidR="003446CB" w:rsidRPr="00EC10D7">
        <w:rPr>
          <w:rFonts w:ascii="Calibri" w:hAnsi="Calibri" w:cs="Calibri"/>
          <w:color w:val="0E101A"/>
        </w:rPr>
        <w:t xml:space="preserve"> (Eve, 2024)</w:t>
      </w:r>
      <w:r w:rsidRPr="00EC10D7">
        <w:rPr>
          <w:rFonts w:ascii="Calibri" w:hAnsi="Calibri" w:cs="Calibri"/>
          <w:color w:val="0E101A"/>
        </w:rPr>
        <w:t>.</w:t>
      </w:r>
      <w:r w:rsidRPr="00EC10D7">
        <w:rPr>
          <w:rStyle w:val="apple-converted-space"/>
          <w:rFonts w:ascii="Calibri" w:eastAsiaTheme="majorEastAsia" w:hAnsi="Calibri" w:cs="Calibri"/>
          <w:color w:val="0E101A"/>
        </w:rPr>
        <w:t> </w:t>
      </w:r>
    </w:p>
    <w:p w14:paraId="3517DEE3" w14:textId="77777777" w:rsidR="00946A1D" w:rsidRPr="00EC10D7" w:rsidRDefault="00946A1D" w:rsidP="00BA79B5">
      <w:pPr>
        <w:pStyle w:val="NormalWeb"/>
        <w:spacing w:before="0" w:beforeAutospacing="0" w:after="0" w:afterAutospacing="0" w:line="360" w:lineRule="auto"/>
        <w:rPr>
          <w:rFonts w:ascii="Calibri" w:hAnsi="Calibri" w:cs="Calibri"/>
          <w:color w:val="0E101A"/>
        </w:rPr>
      </w:pPr>
    </w:p>
    <w:p w14:paraId="51A2BD34"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 xml:space="preserve">Recognising early signs of domestic abuse is essential for preventing escalation and helping victims escape harmful situations. Abusers often display controlling behaviours, such as closely monitoring their partner's activities, restricting their contact with friends and family to create isolation, and using threats to instil fear (Cleaver, 2019). Identifying these warning signs early makes it easier to intervene and prevent the abuse from worsening. Support </w:t>
      </w:r>
      <w:r w:rsidRPr="00EC10D7">
        <w:rPr>
          <w:rFonts w:ascii="Calibri" w:hAnsi="Calibri" w:cs="Calibri"/>
          <w:color w:val="0E101A"/>
        </w:rPr>
        <w:lastRenderedPageBreak/>
        <w:t>from family and friends can be a critical lifeline, offering a social support system that can have a life-saving impact (Cleaver, 2019).</w:t>
      </w:r>
    </w:p>
    <w:p w14:paraId="7500D18E" w14:textId="77777777" w:rsidR="00EC10D7" w:rsidRPr="00EC10D7" w:rsidRDefault="00EC10D7" w:rsidP="00BA79B5">
      <w:pPr>
        <w:pStyle w:val="NormalWeb"/>
        <w:spacing w:before="0" w:beforeAutospacing="0" w:after="0" w:afterAutospacing="0" w:line="360" w:lineRule="auto"/>
        <w:rPr>
          <w:rFonts w:ascii="Calibri" w:hAnsi="Calibri" w:cs="Calibri"/>
          <w:color w:val="0E101A"/>
        </w:rPr>
      </w:pPr>
    </w:p>
    <w:p w14:paraId="6B4158BE"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The National Domestic Abuse Helpline is a free and confidential service in the UK, operated by the charity Refuge, that provides support, advice, and information to victims of domestic abuse. Available 24/7, it makes help accessible (Citizens Advice, 2020). It offers immediate assistance, emotional support, and guidance whenever victims need it, including during crises or outside regular hours, such as late at night or on holidays. The helpline's free access eliminates financial barriers, which is especially important for victims whose abusers may control their finances or limit their independence (Citizens Advice, 2020). By offering multi-language support through interpreters, the helpline is accessible to people from all backgrounds, including non-English speakers. This inclusivity helps break down language barriers that often prevent victims from reporting domestic abuse or seeking help.</w:t>
      </w:r>
      <w:r w:rsidRPr="00EC10D7">
        <w:rPr>
          <w:rStyle w:val="apple-converted-space"/>
          <w:rFonts w:ascii="Calibri" w:eastAsiaTheme="majorEastAsia" w:hAnsi="Calibri" w:cs="Calibri"/>
          <w:color w:val="0E101A"/>
        </w:rPr>
        <w:t> </w:t>
      </w:r>
    </w:p>
    <w:p w14:paraId="44F65D98" w14:textId="4D84E9FF"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Multilingual phone lines are especially significant given that 40% of Black people from Black and Minority Ethnic groups will experience domestic violence in their lifetime, compared to 30% of white women (La Casa De Las Madres, 2023). For BME communities, language barriers can make it more challenging to seek help, but the multilingual phone line helps reduce this obstacle and ensures broader access to support services.</w:t>
      </w:r>
    </w:p>
    <w:p w14:paraId="70F3174C" w14:textId="77777777" w:rsidR="00777C17" w:rsidRPr="00EC10D7" w:rsidRDefault="00777C17" w:rsidP="00BA79B5">
      <w:pPr>
        <w:pStyle w:val="NormalWeb"/>
        <w:spacing w:before="0" w:beforeAutospacing="0" w:after="0" w:afterAutospacing="0" w:line="360" w:lineRule="auto"/>
        <w:rPr>
          <w:rFonts w:ascii="Calibri" w:hAnsi="Calibri" w:cs="Calibri"/>
          <w:color w:val="0E101A"/>
        </w:rPr>
      </w:pPr>
    </w:p>
    <w:p w14:paraId="3A7171B3" w14:textId="41EE84CA"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t>In conclusion, domestic abuse is a pervasive and multifaceted issue that affects individuals across all backgrounds, with devastating physical, psychological, and social consequences. The cyclical nature of abuse, as outlined in Lenore Walker's theory of the cycle of violence, highlights how abusers manipulate victims through patterns of control, fear, and intermittent remorse, making it exceedingly difficult for victims to escape</w:t>
      </w:r>
      <w:r w:rsidR="00666993" w:rsidRPr="00EC10D7">
        <w:rPr>
          <w:rFonts w:ascii="Calibri" w:hAnsi="Calibri" w:cs="Calibri"/>
          <w:color w:val="0E101A"/>
        </w:rPr>
        <w:t xml:space="preserve"> (Etzold, 2022)</w:t>
      </w:r>
      <w:r w:rsidRPr="00EC10D7">
        <w:rPr>
          <w:rFonts w:ascii="Calibri" w:hAnsi="Calibri" w:cs="Calibri"/>
          <w:color w:val="0E101A"/>
        </w:rPr>
        <w:t>. The impacts of this abuse are far-reaching, often resulting in long-term mental health challenges, financial dependency, and homelessness for victims.</w:t>
      </w:r>
    </w:p>
    <w:p w14:paraId="06023CC1" w14:textId="77777777" w:rsidR="00777C17" w:rsidRDefault="00777C17" w:rsidP="00BA79B5">
      <w:pPr>
        <w:pStyle w:val="NormalWeb"/>
        <w:spacing w:before="0" w:beforeAutospacing="0" w:after="0" w:afterAutospacing="0" w:line="360" w:lineRule="auto"/>
        <w:rPr>
          <w:rFonts w:ascii="Calibri" w:hAnsi="Calibri" w:cs="Calibri"/>
          <w:color w:val="0E101A"/>
        </w:rPr>
      </w:pPr>
    </w:p>
    <w:p w14:paraId="164D9311" w14:textId="77777777" w:rsidR="009D4FC2" w:rsidRDefault="009D4FC2" w:rsidP="00BA79B5">
      <w:pPr>
        <w:pStyle w:val="NormalWeb"/>
        <w:spacing w:before="0" w:beforeAutospacing="0" w:after="0" w:afterAutospacing="0" w:line="360" w:lineRule="auto"/>
        <w:rPr>
          <w:rFonts w:ascii="Calibri" w:hAnsi="Calibri" w:cs="Calibri"/>
          <w:color w:val="0E101A"/>
        </w:rPr>
      </w:pPr>
    </w:p>
    <w:p w14:paraId="2A5C109D" w14:textId="77777777" w:rsidR="009D4FC2" w:rsidRDefault="009D4FC2" w:rsidP="00BA79B5">
      <w:pPr>
        <w:pStyle w:val="NormalWeb"/>
        <w:spacing w:before="0" w:beforeAutospacing="0" w:after="0" w:afterAutospacing="0" w:line="360" w:lineRule="auto"/>
        <w:rPr>
          <w:rFonts w:ascii="Calibri" w:hAnsi="Calibri" w:cs="Calibri"/>
          <w:color w:val="0E101A"/>
        </w:rPr>
      </w:pPr>
    </w:p>
    <w:p w14:paraId="076796EE" w14:textId="77777777" w:rsidR="009D4FC2" w:rsidRPr="00EC10D7" w:rsidRDefault="009D4FC2" w:rsidP="00BA79B5">
      <w:pPr>
        <w:pStyle w:val="NormalWeb"/>
        <w:spacing w:before="0" w:beforeAutospacing="0" w:after="0" w:afterAutospacing="0" w:line="360" w:lineRule="auto"/>
        <w:rPr>
          <w:rFonts w:ascii="Calibri" w:hAnsi="Calibri" w:cs="Calibri"/>
          <w:color w:val="0E101A"/>
        </w:rPr>
      </w:pPr>
    </w:p>
    <w:p w14:paraId="2D23C5EE" w14:textId="06B3CB79" w:rsidR="00777C17" w:rsidRPr="00EC10D7" w:rsidRDefault="00777C17" w:rsidP="00BA79B5">
      <w:pPr>
        <w:pStyle w:val="NormalWeb"/>
        <w:spacing w:before="0" w:beforeAutospacing="0" w:after="0" w:afterAutospacing="0" w:line="360" w:lineRule="auto"/>
        <w:rPr>
          <w:rFonts w:ascii="Calibri" w:hAnsi="Calibri" w:cs="Calibri"/>
          <w:color w:val="0E101A"/>
        </w:rPr>
      </w:pPr>
      <w:r w:rsidRPr="00EC10D7">
        <w:rPr>
          <w:rFonts w:ascii="Calibri" w:hAnsi="Calibri" w:cs="Calibri"/>
          <w:color w:val="0E101A"/>
        </w:rPr>
        <w:lastRenderedPageBreak/>
        <w:t>Breaking the cycle of abuse requires a multi-layered approach that includes early intervention, access to support services, and legal protections</w:t>
      </w:r>
      <w:r w:rsidR="0081504B" w:rsidRPr="00EC10D7">
        <w:rPr>
          <w:rFonts w:ascii="Calibri" w:hAnsi="Calibri" w:cs="Calibri"/>
          <w:color w:val="0E101A"/>
        </w:rPr>
        <w:t xml:space="preserve"> </w:t>
      </w:r>
      <w:r w:rsidR="0081504B" w:rsidRPr="00EC10D7">
        <w:rPr>
          <w:rFonts w:ascii="Calibri" w:hAnsi="Calibri" w:cs="Calibri"/>
          <w:color w:val="000000"/>
        </w:rPr>
        <w:t>(Cleaver et al., 2024)</w:t>
      </w:r>
      <w:r w:rsidRPr="00EC10D7">
        <w:rPr>
          <w:rFonts w:ascii="Calibri" w:hAnsi="Calibri" w:cs="Calibri"/>
          <w:color w:val="0E101A"/>
        </w:rPr>
        <w:t>. Programs like the National Domestic Abuse Helpline play a critical role in providing immediate assistance and resources to victims. At the same time, community-based efforts and healthcare interventions offer additional support layers</w:t>
      </w:r>
      <w:r w:rsidR="0081504B" w:rsidRPr="00EC10D7">
        <w:rPr>
          <w:rFonts w:ascii="Calibri" w:hAnsi="Calibri" w:cs="Calibri"/>
          <w:color w:val="0E101A"/>
        </w:rPr>
        <w:t xml:space="preserve"> </w:t>
      </w:r>
      <w:r w:rsidR="0081504B" w:rsidRPr="00EC10D7">
        <w:rPr>
          <w:rFonts w:ascii="Calibri" w:hAnsi="Calibri" w:cs="Calibri"/>
          <w:color w:val="000000"/>
        </w:rPr>
        <w:t>(Cleaver et al., 2024)</w:t>
      </w:r>
      <w:r w:rsidRPr="00EC10D7">
        <w:rPr>
          <w:rFonts w:ascii="Calibri" w:hAnsi="Calibri" w:cs="Calibri"/>
          <w:color w:val="0E101A"/>
        </w:rPr>
        <w:t>. The helpline's inclusive, 24/7 service, particularly with multi-language support, is vital in ensuring victims from diverse backgrounds, including Black and Minority Ethnic communities, can access help without barriers. Addressing domestic abuse at its root also involves tackling broader social inequalities, such as economic hardship and housing instability, which often trap victims in abusive relationships. Comprehensive strategies that combine legal, social, and community resources are crucial in empowering survivors, offering them a path to safety and recovery, and ultimately breaking the destructive cycle of abuse</w:t>
      </w:r>
      <w:r w:rsidR="00A75BCB" w:rsidRPr="00EC10D7">
        <w:rPr>
          <w:rFonts w:ascii="Calibri" w:hAnsi="Calibri" w:cs="Calibri"/>
          <w:color w:val="0E101A"/>
        </w:rPr>
        <w:t xml:space="preserve"> </w:t>
      </w:r>
      <w:r w:rsidR="00A75BCB" w:rsidRPr="00EC10D7">
        <w:rPr>
          <w:rFonts w:ascii="Calibri" w:hAnsi="Calibri" w:cs="Calibri"/>
          <w:color w:val="000000"/>
        </w:rPr>
        <w:t>(Cleaver et al., 2024).</w:t>
      </w:r>
    </w:p>
    <w:p w14:paraId="7C03458C" w14:textId="77777777" w:rsidR="00234CBD" w:rsidRDefault="00234CBD">
      <w:pPr>
        <w:rPr>
          <w:rFonts w:ascii="Times New Roman" w:eastAsia="Times New Roman" w:hAnsi="Times New Roman" w:cs="Times New Roman"/>
          <w:color w:val="000000"/>
          <w:kern w:val="0"/>
          <w:lang w:eastAsia="en-GB"/>
          <w14:ligatures w14:val="none"/>
        </w:rPr>
      </w:pPr>
    </w:p>
    <w:p w14:paraId="1D594AA9" w14:textId="2F2B1732" w:rsidR="00231C70" w:rsidRDefault="00231C70" w:rsidP="00231C70"/>
    <w:p w14:paraId="3145E61D" w14:textId="314346C6" w:rsidR="007A43DB" w:rsidRDefault="00117541" w:rsidP="00231C70">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p>
    <w:p w14:paraId="06CD9317" w14:textId="77777777" w:rsidR="00117541" w:rsidRDefault="00117541" w:rsidP="00231C70">
      <w:pPr>
        <w:rPr>
          <w:rFonts w:ascii="Calibri" w:hAnsi="Calibri" w:cs="Calibri"/>
        </w:rPr>
      </w:pPr>
    </w:p>
    <w:p w14:paraId="0A7E27C7" w14:textId="77777777" w:rsidR="00EC10D7" w:rsidRDefault="00EC10D7" w:rsidP="00231C70">
      <w:pPr>
        <w:rPr>
          <w:rFonts w:ascii="Calibri" w:hAnsi="Calibri" w:cs="Calibri"/>
        </w:rPr>
      </w:pPr>
    </w:p>
    <w:p w14:paraId="448DEC14" w14:textId="77777777" w:rsidR="00EC10D7" w:rsidRDefault="00EC10D7" w:rsidP="00231C70">
      <w:pPr>
        <w:rPr>
          <w:rFonts w:ascii="Calibri" w:hAnsi="Calibri" w:cs="Calibri"/>
        </w:rPr>
      </w:pPr>
    </w:p>
    <w:p w14:paraId="7B2B6207" w14:textId="77777777" w:rsidR="00EC10D7" w:rsidRDefault="00EC10D7" w:rsidP="00231C70">
      <w:pPr>
        <w:rPr>
          <w:rFonts w:ascii="Calibri" w:hAnsi="Calibri" w:cs="Calibri"/>
        </w:rPr>
      </w:pPr>
    </w:p>
    <w:p w14:paraId="5BC129CF" w14:textId="77777777" w:rsidR="00EC10D7" w:rsidRDefault="00EC10D7" w:rsidP="00231C70">
      <w:pPr>
        <w:rPr>
          <w:rFonts w:ascii="Calibri" w:hAnsi="Calibri" w:cs="Calibri"/>
        </w:rPr>
      </w:pPr>
    </w:p>
    <w:p w14:paraId="3D95BC4F" w14:textId="77777777" w:rsidR="00EC10D7" w:rsidRDefault="00EC10D7" w:rsidP="00231C70">
      <w:pPr>
        <w:rPr>
          <w:rFonts w:ascii="Calibri" w:hAnsi="Calibri" w:cs="Calibri"/>
        </w:rPr>
      </w:pPr>
    </w:p>
    <w:p w14:paraId="47373013" w14:textId="77777777" w:rsidR="00EC10D7" w:rsidRDefault="00EC10D7" w:rsidP="00231C70">
      <w:pPr>
        <w:rPr>
          <w:rFonts w:ascii="Calibri" w:hAnsi="Calibri" w:cs="Calibri"/>
        </w:rPr>
      </w:pPr>
    </w:p>
    <w:p w14:paraId="3A5EA39B" w14:textId="77777777" w:rsidR="00EC10D7" w:rsidRDefault="00EC10D7" w:rsidP="00231C70">
      <w:pPr>
        <w:rPr>
          <w:rFonts w:ascii="Calibri" w:hAnsi="Calibri" w:cs="Calibri"/>
        </w:rPr>
      </w:pPr>
    </w:p>
    <w:p w14:paraId="1FD978DA" w14:textId="77777777" w:rsidR="00EC10D7" w:rsidRDefault="00EC10D7" w:rsidP="00231C70">
      <w:pPr>
        <w:rPr>
          <w:rFonts w:ascii="Calibri" w:hAnsi="Calibri" w:cs="Calibri"/>
        </w:rPr>
      </w:pPr>
    </w:p>
    <w:p w14:paraId="51373043" w14:textId="77777777" w:rsidR="00EC10D7" w:rsidRDefault="00EC10D7" w:rsidP="00231C70">
      <w:pPr>
        <w:rPr>
          <w:rFonts w:ascii="Calibri" w:hAnsi="Calibri" w:cs="Calibri"/>
        </w:rPr>
      </w:pPr>
    </w:p>
    <w:p w14:paraId="2DF8183E" w14:textId="77777777" w:rsidR="00EC10D7" w:rsidRDefault="00EC10D7" w:rsidP="00231C70">
      <w:pPr>
        <w:rPr>
          <w:rFonts w:ascii="Calibri" w:hAnsi="Calibri" w:cs="Calibri"/>
        </w:rPr>
      </w:pPr>
    </w:p>
    <w:p w14:paraId="62DE8607" w14:textId="77777777" w:rsidR="00EC10D7" w:rsidRDefault="00EC10D7" w:rsidP="00231C70">
      <w:pPr>
        <w:rPr>
          <w:rFonts w:ascii="Calibri" w:hAnsi="Calibri" w:cs="Calibri"/>
        </w:rPr>
      </w:pPr>
    </w:p>
    <w:p w14:paraId="653BAAE4" w14:textId="77777777" w:rsidR="00EC10D7" w:rsidRDefault="00EC10D7" w:rsidP="00231C70">
      <w:pPr>
        <w:rPr>
          <w:rFonts w:ascii="Calibri" w:hAnsi="Calibri" w:cs="Calibri"/>
        </w:rPr>
      </w:pPr>
    </w:p>
    <w:p w14:paraId="549A9AE1" w14:textId="77777777" w:rsidR="00EC10D7" w:rsidRDefault="00EC10D7" w:rsidP="00231C70">
      <w:pPr>
        <w:rPr>
          <w:rFonts w:ascii="Calibri" w:hAnsi="Calibri" w:cs="Calibri"/>
        </w:rPr>
      </w:pPr>
    </w:p>
    <w:p w14:paraId="5B1E9CA5" w14:textId="77777777" w:rsidR="00EC10D7" w:rsidRDefault="00EC10D7" w:rsidP="00231C70">
      <w:pPr>
        <w:rPr>
          <w:rFonts w:ascii="Calibri" w:hAnsi="Calibri" w:cs="Calibri"/>
        </w:rPr>
      </w:pPr>
    </w:p>
    <w:p w14:paraId="14AC63C3" w14:textId="77777777" w:rsidR="00EC10D7" w:rsidRDefault="00EC10D7" w:rsidP="00231C70">
      <w:pPr>
        <w:rPr>
          <w:rFonts w:ascii="Calibri" w:hAnsi="Calibri" w:cs="Calibri"/>
        </w:rPr>
      </w:pPr>
    </w:p>
    <w:p w14:paraId="1005E984" w14:textId="77777777" w:rsidR="00EC10D7" w:rsidRDefault="00EC10D7" w:rsidP="00231C70">
      <w:pPr>
        <w:rPr>
          <w:rFonts w:ascii="Calibri" w:hAnsi="Calibri" w:cs="Calibri"/>
        </w:rPr>
      </w:pPr>
    </w:p>
    <w:p w14:paraId="0FE9383E" w14:textId="77777777" w:rsidR="00EC10D7" w:rsidRDefault="00EC10D7" w:rsidP="00231C70">
      <w:pPr>
        <w:rPr>
          <w:rFonts w:ascii="Calibri" w:hAnsi="Calibri" w:cs="Calibri"/>
        </w:rPr>
      </w:pPr>
    </w:p>
    <w:p w14:paraId="29081D20" w14:textId="77777777" w:rsidR="00EC10D7" w:rsidRDefault="00EC10D7" w:rsidP="00231C70">
      <w:pPr>
        <w:rPr>
          <w:rFonts w:ascii="Calibri" w:hAnsi="Calibri" w:cs="Calibri"/>
        </w:rPr>
      </w:pPr>
    </w:p>
    <w:p w14:paraId="61F96003" w14:textId="77777777" w:rsidR="00EC10D7" w:rsidRDefault="00EC10D7" w:rsidP="00231C70">
      <w:pPr>
        <w:rPr>
          <w:rFonts w:ascii="Calibri" w:hAnsi="Calibri" w:cs="Calibri"/>
        </w:rPr>
      </w:pPr>
    </w:p>
    <w:p w14:paraId="143552E4" w14:textId="77777777" w:rsidR="00EC10D7" w:rsidRDefault="00EC10D7" w:rsidP="00231C70">
      <w:pPr>
        <w:rPr>
          <w:rFonts w:ascii="Calibri" w:hAnsi="Calibri" w:cs="Calibri"/>
        </w:rPr>
      </w:pPr>
    </w:p>
    <w:p w14:paraId="59C546A5" w14:textId="77777777" w:rsidR="00EC10D7" w:rsidRDefault="00EC10D7" w:rsidP="00231C70">
      <w:pPr>
        <w:rPr>
          <w:rFonts w:ascii="Calibri" w:hAnsi="Calibri" w:cs="Calibri"/>
        </w:rPr>
      </w:pPr>
    </w:p>
    <w:p w14:paraId="67549A65" w14:textId="77777777" w:rsidR="00EC10D7" w:rsidRDefault="00EC10D7" w:rsidP="00231C70">
      <w:pPr>
        <w:rPr>
          <w:rFonts w:ascii="Calibri" w:hAnsi="Calibri" w:cs="Calibri"/>
        </w:rPr>
      </w:pPr>
    </w:p>
    <w:p w14:paraId="4DC8A628" w14:textId="77777777" w:rsidR="00EC10D7" w:rsidRPr="00EC10D7" w:rsidRDefault="00EC10D7" w:rsidP="00EC10D7">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EC10D7">
        <w:rPr>
          <w:rFonts w:ascii="Times New Roman" w:eastAsia="Times New Roman" w:hAnsi="Times New Roman" w:cs="Times New Roman"/>
          <w:b/>
          <w:bCs/>
          <w:color w:val="000000"/>
          <w:kern w:val="36"/>
          <w:sz w:val="36"/>
          <w:szCs w:val="36"/>
          <w:lang w:eastAsia="en-GB"/>
          <w14:ligatures w14:val="none"/>
        </w:rPr>
        <w:lastRenderedPageBreak/>
        <w:t>Reference list</w:t>
      </w:r>
    </w:p>
    <w:p w14:paraId="259B1BCF"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Bland, M.P. and Ariel, B. (2020). Domestic Abuse in England and Wales. </w:t>
      </w:r>
      <w:r w:rsidRPr="00EC10D7">
        <w:rPr>
          <w:rFonts w:ascii="Times New Roman" w:eastAsia="Times New Roman" w:hAnsi="Times New Roman" w:cs="Times New Roman"/>
          <w:i/>
          <w:iCs/>
          <w:color w:val="000000"/>
          <w:kern w:val="0"/>
          <w:lang w:eastAsia="en-GB"/>
          <w14:ligatures w14:val="none"/>
        </w:rPr>
        <w:t>Targeting Domestic Abuse with Police Data</w:t>
      </w:r>
      <w:r w:rsidRPr="00EC10D7">
        <w:rPr>
          <w:rFonts w:ascii="Times New Roman" w:eastAsia="Times New Roman" w:hAnsi="Times New Roman" w:cs="Times New Roman"/>
          <w:color w:val="000000"/>
          <w:kern w:val="0"/>
          <w:lang w:eastAsia="en-GB"/>
          <w14:ligatures w14:val="none"/>
        </w:rPr>
        <w:t xml:space="preserve">, pp.7–21. </w:t>
      </w:r>
      <w:proofErr w:type="spellStart"/>
      <w:proofErr w:type="gramStart"/>
      <w:r w:rsidRPr="00EC10D7">
        <w:rPr>
          <w:rFonts w:ascii="Times New Roman" w:eastAsia="Times New Roman" w:hAnsi="Times New Roman" w:cs="Times New Roman"/>
          <w:color w:val="000000"/>
          <w:kern w:val="0"/>
          <w:lang w:eastAsia="en-GB"/>
          <w14:ligatures w14:val="none"/>
        </w:rPr>
        <w:t>doi:https</w:t>
      </w:r>
      <w:proofErr w:type="spellEnd"/>
      <w:r w:rsidRPr="00EC10D7">
        <w:rPr>
          <w:rFonts w:ascii="Times New Roman" w:eastAsia="Times New Roman" w:hAnsi="Times New Roman" w:cs="Times New Roman"/>
          <w:color w:val="000000"/>
          <w:kern w:val="0"/>
          <w:lang w:eastAsia="en-GB"/>
          <w14:ligatures w14:val="none"/>
        </w:rPr>
        <w:t>://doi.org/10.1007/978-3-030-54843-8_2</w:t>
      </w:r>
      <w:proofErr w:type="gramEnd"/>
      <w:r w:rsidRPr="00EC10D7">
        <w:rPr>
          <w:rFonts w:ascii="Times New Roman" w:eastAsia="Times New Roman" w:hAnsi="Times New Roman" w:cs="Times New Roman"/>
          <w:color w:val="000000"/>
          <w:kern w:val="0"/>
          <w:lang w:eastAsia="en-GB"/>
          <w14:ligatures w14:val="none"/>
        </w:rPr>
        <w:t>.</w:t>
      </w:r>
    </w:p>
    <w:p w14:paraId="4A868E6B"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Citizens Advice (2020). </w:t>
      </w:r>
      <w:r w:rsidRPr="00EC10D7">
        <w:rPr>
          <w:rFonts w:ascii="Times New Roman" w:eastAsia="Times New Roman" w:hAnsi="Times New Roman" w:cs="Times New Roman"/>
          <w:i/>
          <w:iCs/>
          <w:color w:val="000000"/>
          <w:kern w:val="0"/>
          <w:lang w:eastAsia="en-GB"/>
          <w14:ligatures w14:val="none"/>
        </w:rPr>
        <w:t>Domestic violence and abuse - getting help</w:t>
      </w:r>
      <w:r w:rsidRPr="00EC10D7">
        <w:rPr>
          <w:rFonts w:ascii="Times New Roman" w:eastAsia="Times New Roman" w:hAnsi="Times New Roman" w:cs="Times New Roman"/>
          <w:color w:val="000000"/>
          <w:kern w:val="0"/>
          <w:lang w:eastAsia="en-GB"/>
          <w14:ligatures w14:val="none"/>
        </w:rPr>
        <w:t>. [online] www.citizensadvice.org.uk. Available at: https://www.citizensadvice.org.uk/family/gender-violence/domestic-violence-and-abuse-getting-help/.</w:t>
      </w:r>
    </w:p>
    <w:p w14:paraId="27127DE2"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 xml:space="preserve">Cleaver, K., Maras, P., </w:t>
      </w:r>
      <w:proofErr w:type="spellStart"/>
      <w:r w:rsidRPr="00EC10D7">
        <w:rPr>
          <w:rFonts w:ascii="Times New Roman" w:eastAsia="Times New Roman" w:hAnsi="Times New Roman" w:cs="Times New Roman"/>
          <w:color w:val="000000"/>
          <w:kern w:val="0"/>
          <w:lang w:eastAsia="en-GB"/>
          <w14:ligatures w14:val="none"/>
        </w:rPr>
        <w:t>Oram</w:t>
      </w:r>
      <w:proofErr w:type="spellEnd"/>
      <w:r w:rsidRPr="00EC10D7">
        <w:rPr>
          <w:rFonts w:ascii="Times New Roman" w:eastAsia="Times New Roman" w:hAnsi="Times New Roman" w:cs="Times New Roman"/>
          <w:color w:val="000000"/>
          <w:kern w:val="0"/>
          <w:lang w:eastAsia="en-GB"/>
          <w14:ligatures w14:val="none"/>
        </w:rPr>
        <w:t>, C. and McCallum, K. (2024). </w:t>
      </w:r>
      <w:r w:rsidRPr="00EC10D7">
        <w:rPr>
          <w:rFonts w:ascii="Times New Roman" w:eastAsia="Times New Roman" w:hAnsi="Times New Roman" w:cs="Times New Roman"/>
          <w:i/>
          <w:iCs/>
          <w:color w:val="000000"/>
          <w:kern w:val="0"/>
          <w:lang w:eastAsia="en-GB"/>
          <w14:ligatures w14:val="none"/>
        </w:rPr>
        <w:t>A Review of UK Based multi-agency Approaches to Early Intervention in Domestic abuse: Lessons to Be Learnt from Existing Evaluation Studies</w:t>
      </w:r>
      <w:r w:rsidRPr="00EC10D7">
        <w:rPr>
          <w:rFonts w:ascii="Times New Roman" w:eastAsia="Times New Roman" w:hAnsi="Times New Roman" w:cs="Times New Roman"/>
          <w:color w:val="000000"/>
          <w:kern w:val="0"/>
          <w:lang w:eastAsia="en-GB"/>
          <w14:ligatures w14:val="none"/>
        </w:rPr>
        <w:t>. [online] Uwtsd.ac.uk. Available at: https://www-sciencedirect-com.ezproxy.uwtsd.ac.uk/science/article/pii/S1359178917303373 [Accessed 15 Oct. 2024].</w:t>
      </w:r>
    </w:p>
    <w:p w14:paraId="1CE45B5E" w14:textId="6B8D735F" w:rsidR="00EC10D7" w:rsidRDefault="00EC10D7" w:rsidP="00EC10D7">
      <w:pPr>
        <w:rPr>
          <w:rFonts w:ascii="Times New Roman" w:eastAsia="Times New Roman" w:hAnsi="Times New Roman" w:cs="Times New Roman"/>
          <w:color w:val="000000"/>
          <w:kern w:val="0"/>
          <w:lang w:eastAsia="en-GB"/>
          <w14:ligatures w14:val="none"/>
        </w:rPr>
      </w:pPr>
      <w:r w:rsidRPr="007A43DB">
        <w:rPr>
          <w:rFonts w:ascii="Times New Roman" w:eastAsia="Times New Roman" w:hAnsi="Times New Roman" w:cs="Times New Roman"/>
          <w:color w:val="000000"/>
          <w:kern w:val="0"/>
          <w:lang w:eastAsia="en-GB"/>
          <w14:ligatures w14:val="none"/>
        </w:rPr>
        <w:t>Cleaver, K. </w:t>
      </w:r>
      <w:r w:rsidRPr="007A43DB">
        <w:rPr>
          <w:rFonts w:ascii="Times New Roman" w:eastAsia="Times New Roman" w:hAnsi="Times New Roman" w:cs="Times New Roman"/>
          <w:i/>
          <w:iCs/>
          <w:color w:val="000000"/>
          <w:kern w:val="0"/>
          <w:lang w:eastAsia="en-GB"/>
          <w14:ligatures w14:val="none"/>
        </w:rPr>
        <w:t>et al.</w:t>
      </w:r>
      <w:r w:rsidRPr="007A43DB">
        <w:rPr>
          <w:rFonts w:ascii="Times New Roman" w:eastAsia="Times New Roman" w:hAnsi="Times New Roman" w:cs="Times New Roman"/>
          <w:color w:val="000000"/>
          <w:kern w:val="0"/>
          <w:lang w:eastAsia="en-GB"/>
          <w14:ligatures w14:val="none"/>
        </w:rPr>
        <w:t> (2019) ‘A review of UK</w:t>
      </w:r>
      <w:r>
        <w:rPr>
          <w:rFonts w:ascii="Times New Roman" w:eastAsia="Times New Roman" w:hAnsi="Times New Roman" w:cs="Times New Roman"/>
          <w:color w:val="000000"/>
          <w:kern w:val="0"/>
          <w:lang w:eastAsia="en-GB"/>
          <w14:ligatures w14:val="none"/>
        </w:rPr>
        <w:t>-based multi-agency approaches to early intervention in domestic abuse: Lessons to be learnt from existing evaluation studies’, </w:t>
      </w:r>
      <w:proofErr w:type="gramStart"/>
      <w:r>
        <w:rPr>
          <w:rFonts w:ascii="Times New Roman" w:eastAsia="Times New Roman" w:hAnsi="Times New Roman" w:cs="Times New Roman"/>
          <w:color w:val="000000"/>
          <w:kern w:val="0"/>
          <w:lang w:eastAsia="en-GB"/>
          <w14:ligatures w14:val="none"/>
        </w:rPr>
        <w:t>Aggression</w:t>
      </w:r>
      <w:proofErr w:type="gramEnd"/>
      <w:r>
        <w:rPr>
          <w:rFonts w:ascii="Times New Roman" w:eastAsia="Times New Roman" w:hAnsi="Times New Roman" w:cs="Times New Roman"/>
          <w:color w:val="000000"/>
          <w:kern w:val="0"/>
          <w:lang w:eastAsia="en-GB"/>
          <w14:ligatures w14:val="none"/>
        </w:rPr>
        <w:t xml:space="preserve"> and violent behaviou</w:t>
      </w:r>
      <w:r w:rsidRPr="007A43DB">
        <w:rPr>
          <w:rFonts w:ascii="Times New Roman" w:eastAsia="Times New Roman" w:hAnsi="Times New Roman" w:cs="Times New Roman"/>
          <w:i/>
          <w:iCs/>
          <w:color w:val="000000"/>
          <w:kern w:val="0"/>
          <w:lang w:eastAsia="en-GB"/>
          <w14:ligatures w14:val="none"/>
        </w:rPr>
        <w:t>r</w:t>
      </w:r>
      <w:r w:rsidRPr="007A43DB">
        <w:rPr>
          <w:rFonts w:ascii="Times New Roman" w:eastAsia="Times New Roman" w:hAnsi="Times New Roman" w:cs="Times New Roman"/>
          <w:color w:val="000000"/>
          <w:kern w:val="0"/>
          <w:lang w:eastAsia="en-GB"/>
          <w14:ligatures w14:val="none"/>
        </w:rPr>
        <w:t xml:space="preserve">, 46, pp. 140–155. Available at: </w:t>
      </w:r>
      <w:hyperlink r:id="rId7" w:history="1">
        <w:r w:rsidRPr="007A43DB">
          <w:rPr>
            <w:rStyle w:val="Hyperlink"/>
            <w:rFonts w:ascii="Times New Roman" w:eastAsia="Times New Roman" w:hAnsi="Times New Roman" w:cs="Times New Roman"/>
            <w:kern w:val="0"/>
            <w:lang w:eastAsia="en-GB"/>
            <w14:ligatures w14:val="none"/>
          </w:rPr>
          <w:t>https://doi.org/10.1016/j.avb.2019.02.005</w:t>
        </w:r>
      </w:hyperlink>
      <w:r w:rsidRPr="007A43DB">
        <w:rPr>
          <w:rFonts w:ascii="Times New Roman" w:eastAsia="Times New Roman" w:hAnsi="Times New Roman" w:cs="Times New Roman"/>
          <w:color w:val="000000"/>
          <w:kern w:val="0"/>
          <w:lang w:eastAsia="en-GB"/>
          <w14:ligatures w14:val="none"/>
        </w:rPr>
        <w:t>.</w:t>
      </w:r>
    </w:p>
    <w:p w14:paraId="1A6C7593" w14:textId="77777777" w:rsidR="00EC10D7" w:rsidRPr="007A43DB" w:rsidRDefault="00EC10D7" w:rsidP="00EC10D7">
      <w:pPr>
        <w:rPr>
          <w:rFonts w:ascii="Times New Roman" w:eastAsia="Times New Roman" w:hAnsi="Times New Roman" w:cs="Times New Roman"/>
          <w:color w:val="000000"/>
          <w:kern w:val="0"/>
          <w:lang w:eastAsia="en-GB"/>
          <w14:ligatures w14:val="none"/>
        </w:rPr>
      </w:pPr>
    </w:p>
    <w:p w14:paraId="0B7406DE"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Coburn, A. and Gormally, S. (2013). ‘They know what you are going through’: a service response to young people who have experienced the impact of domestic abuse. </w:t>
      </w:r>
      <w:r w:rsidRPr="00EC10D7">
        <w:rPr>
          <w:rFonts w:ascii="Times New Roman" w:eastAsia="Times New Roman" w:hAnsi="Times New Roman" w:cs="Times New Roman"/>
          <w:i/>
          <w:iCs/>
          <w:color w:val="000000"/>
          <w:kern w:val="0"/>
          <w:lang w:eastAsia="en-GB"/>
          <w14:ligatures w14:val="none"/>
        </w:rPr>
        <w:t>Journal of Youth Studies</w:t>
      </w:r>
      <w:r w:rsidRPr="00EC10D7">
        <w:rPr>
          <w:rFonts w:ascii="Times New Roman" w:eastAsia="Times New Roman" w:hAnsi="Times New Roman" w:cs="Times New Roman"/>
          <w:color w:val="000000"/>
          <w:kern w:val="0"/>
          <w:lang w:eastAsia="en-GB"/>
          <w14:ligatures w14:val="none"/>
        </w:rPr>
        <w:t xml:space="preserve">, 17(5), pp.642–663. </w:t>
      </w:r>
      <w:proofErr w:type="spellStart"/>
      <w:proofErr w:type="gramStart"/>
      <w:r w:rsidRPr="00EC10D7">
        <w:rPr>
          <w:rFonts w:ascii="Times New Roman" w:eastAsia="Times New Roman" w:hAnsi="Times New Roman" w:cs="Times New Roman"/>
          <w:color w:val="000000"/>
          <w:kern w:val="0"/>
          <w:lang w:eastAsia="en-GB"/>
          <w14:ligatures w14:val="none"/>
        </w:rPr>
        <w:t>doi:https</w:t>
      </w:r>
      <w:proofErr w:type="spellEnd"/>
      <w:r w:rsidRPr="00EC10D7">
        <w:rPr>
          <w:rFonts w:ascii="Times New Roman" w:eastAsia="Times New Roman" w:hAnsi="Times New Roman" w:cs="Times New Roman"/>
          <w:color w:val="000000"/>
          <w:kern w:val="0"/>
          <w:lang w:eastAsia="en-GB"/>
          <w14:ligatures w14:val="none"/>
        </w:rPr>
        <w:t>://doi.org/10.1080/13676261.2013.844779</w:t>
      </w:r>
      <w:proofErr w:type="gramEnd"/>
      <w:r w:rsidRPr="00EC10D7">
        <w:rPr>
          <w:rFonts w:ascii="Times New Roman" w:eastAsia="Times New Roman" w:hAnsi="Times New Roman" w:cs="Times New Roman"/>
          <w:color w:val="000000"/>
          <w:kern w:val="0"/>
          <w:lang w:eastAsia="en-GB"/>
          <w14:ligatures w14:val="none"/>
        </w:rPr>
        <w:t>.</w:t>
      </w:r>
    </w:p>
    <w:p w14:paraId="7D383C3A"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i/>
          <w:iCs/>
          <w:color w:val="000000"/>
          <w:kern w:val="0"/>
          <w:lang w:eastAsia="en-GB"/>
          <w14:ligatures w14:val="none"/>
        </w:rPr>
        <w:t>Domestic Abuse Act 2021</w:t>
      </w:r>
      <w:r w:rsidRPr="00EC10D7">
        <w:rPr>
          <w:rFonts w:ascii="Times New Roman" w:eastAsia="Times New Roman" w:hAnsi="Times New Roman" w:cs="Times New Roman"/>
          <w:color w:val="000000"/>
          <w:kern w:val="0"/>
          <w:lang w:eastAsia="en-GB"/>
          <w14:ligatures w14:val="none"/>
        </w:rPr>
        <w:t>.1 [online] Available at: https://www.legislation.gov.uk/ukpga/2021/17/section/1 [Accessed 15 Oct. 2024].</w:t>
      </w:r>
    </w:p>
    <w:p w14:paraId="5DC6EB07" w14:textId="77777777" w:rsidR="00EC10D7" w:rsidRDefault="00EC10D7" w:rsidP="00EC10D7">
      <w:pPr>
        <w:spacing w:after="240" w:line="360" w:lineRule="atLeast"/>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Donovan, C. and Hester, M. (2014)</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Domestic violence and </w:t>
      </w:r>
      <w:proofErr w:type="gramStart"/>
      <w:r>
        <w:rPr>
          <w:rFonts w:ascii="Source Sans Pro" w:hAnsi="Source Sans Pro"/>
          <w:i/>
          <w:iCs/>
          <w:color w:val="3A3A3A"/>
          <w:sz w:val="23"/>
          <w:szCs w:val="23"/>
        </w:rPr>
        <w:t>sexuality :</w:t>
      </w:r>
      <w:proofErr w:type="gramEnd"/>
      <w:r>
        <w:rPr>
          <w:rFonts w:ascii="Source Sans Pro" w:hAnsi="Source Sans Pro"/>
          <w:i/>
          <w:iCs/>
          <w:color w:val="3A3A3A"/>
          <w:sz w:val="23"/>
          <w:szCs w:val="23"/>
        </w:rPr>
        <w:t xml:space="preserve"> what’s love got to do with it?</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Bristol, [England</w:t>
      </w:r>
      <w:proofErr w:type="gramStart"/>
      <w:r>
        <w:rPr>
          <w:rFonts w:ascii="Source Sans Pro" w:hAnsi="Source Sans Pro"/>
          <w:color w:val="3A3A3A"/>
          <w:sz w:val="23"/>
          <w:szCs w:val="23"/>
          <w:shd w:val="clear" w:color="auto" w:fill="FFFFFF"/>
        </w:rPr>
        <w:t>] ;</w:t>
      </w:r>
      <w:proofErr w:type="gramEnd"/>
      <w:r>
        <w:rPr>
          <w:rFonts w:ascii="Source Sans Pro" w:hAnsi="Source Sans Pro"/>
          <w:color w:val="3A3A3A"/>
          <w:sz w:val="23"/>
          <w:szCs w:val="23"/>
          <w:shd w:val="clear" w:color="auto" w:fill="FFFFFF"/>
        </w:rPr>
        <w:t xml:space="preserve"> Policy Press. Available at: </w:t>
      </w:r>
      <w:hyperlink r:id="rId8" w:history="1">
        <w:r w:rsidRPr="006A357E">
          <w:rPr>
            <w:rStyle w:val="Hyperlink"/>
            <w:rFonts w:ascii="Source Sans Pro" w:hAnsi="Source Sans Pro"/>
            <w:sz w:val="23"/>
            <w:szCs w:val="23"/>
            <w:shd w:val="clear" w:color="auto" w:fill="FFFFFF"/>
          </w:rPr>
          <w:t>https://doi.org/10.51952/9781447307457</w:t>
        </w:r>
      </w:hyperlink>
      <w:r>
        <w:rPr>
          <w:rFonts w:ascii="Source Sans Pro" w:hAnsi="Source Sans Pro"/>
          <w:color w:val="3A3A3A"/>
          <w:sz w:val="23"/>
          <w:szCs w:val="23"/>
          <w:shd w:val="clear" w:color="auto" w:fill="FFFFFF"/>
        </w:rPr>
        <w:t xml:space="preserve"> </w:t>
      </w:r>
    </w:p>
    <w:p w14:paraId="716B6525" w14:textId="4D840BD6"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Etzold, S. (2022). Intimate Partner and Domestic Violence. </w:t>
      </w:r>
      <w:r w:rsidRPr="00EC10D7">
        <w:rPr>
          <w:rFonts w:ascii="Times New Roman" w:eastAsia="Times New Roman" w:hAnsi="Times New Roman" w:cs="Times New Roman"/>
          <w:i/>
          <w:iCs/>
          <w:color w:val="000000"/>
          <w:kern w:val="0"/>
          <w:lang w:eastAsia="en-GB"/>
          <w14:ligatures w14:val="none"/>
        </w:rPr>
        <w:t>Handbook of Forensic Medicine</w:t>
      </w:r>
      <w:r w:rsidRPr="00EC10D7">
        <w:rPr>
          <w:rFonts w:ascii="Times New Roman" w:eastAsia="Times New Roman" w:hAnsi="Times New Roman" w:cs="Times New Roman"/>
          <w:color w:val="000000"/>
          <w:kern w:val="0"/>
          <w:lang w:eastAsia="en-GB"/>
          <w14:ligatures w14:val="none"/>
        </w:rPr>
        <w:t xml:space="preserve">, pp.987–994. </w:t>
      </w:r>
      <w:proofErr w:type="spellStart"/>
      <w:proofErr w:type="gramStart"/>
      <w:r w:rsidRPr="00EC10D7">
        <w:rPr>
          <w:rFonts w:ascii="Times New Roman" w:eastAsia="Times New Roman" w:hAnsi="Times New Roman" w:cs="Times New Roman"/>
          <w:color w:val="000000"/>
          <w:kern w:val="0"/>
          <w:lang w:eastAsia="en-GB"/>
          <w14:ligatures w14:val="none"/>
        </w:rPr>
        <w:t>doi:https</w:t>
      </w:r>
      <w:proofErr w:type="spellEnd"/>
      <w:r w:rsidRPr="00EC10D7">
        <w:rPr>
          <w:rFonts w:ascii="Times New Roman" w:eastAsia="Times New Roman" w:hAnsi="Times New Roman" w:cs="Times New Roman"/>
          <w:color w:val="000000"/>
          <w:kern w:val="0"/>
          <w:lang w:eastAsia="en-GB"/>
          <w14:ligatures w14:val="none"/>
        </w:rPr>
        <w:t>://doi.org/10.1002/9781119648628.ch39</w:t>
      </w:r>
      <w:proofErr w:type="gramEnd"/>
      <w:r w:rsidRPr="00EC10D7">
        <w:rPr>
          <w:rFonts w:ascii="Times New Roman" w:eastAsia="Times New Roman" w:hAnsi="Times New Roman" w:cs="Times New Roman"/>
          <w:color w:val="000000"/>
          <w:kern w:val="0"/>
          <w:lang w:eastAsia="en-GB"/>
          <w14:ligatures w14:val="none"/>
        </w:rPr>
        <w:t>.</w:t>
      </w:r>
    </w:p>
    <w:p w14:paraId="401421D2"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Eve (2016). </w:t>
      </w:r>
      <w:r w:rsidRPr="00EC10D7">
        <w:rPr>
          <w:rFonts w:ascii="Times New Roman" w:eastAsia="Times New Roman" w:hAnsi="Times New Roman" w:cs="Times New Roman"/>
          <w:i/>
          <w:iCs/>
          <w:color w:val="000000"/>
          <w:kern w:val="0"/>
          <w:lang w:eastAsia="en-GB"/>
          <w14:ligatures w14:val="none"/>
        </w:rPr>
        <w:t>Amelia’s Story: A real-life story of coercive control and domestic abuse</w:t>
      </w:r>
      <w:r w:rsidRPr="00EC10D7">
        <w:rPr>
          <w:rFonts w:ascii="Times New Roman" w:eastAsia="Times New Roman" w:hAnsi="Times New Roman" w:cs="Times New Roman"/>
          <w:color w:val="000000"/>
          <w:kern w:val="0"/>
          <w:lang w:eastAsia="en-GB"/>
          <w14:ligatures w14:val="none"/>
        </w:rPr>
        <w:t>. [online] Eve. Available at: https://eveda.org.uk/amelias-story/.</w:t>
      </w:r>
    </w:p>
    <w:p w14:paraId="5F6245FC"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Eve (2024). </w:t>
      </w:r>
      <w:r w:rsidRPr="00EC10D7">
        <w:rPr>
          <w:rFonts w:ascii="Times New Roman" w:eastAsia="Times New Roman" w:hAnsi="Times New Roman" w:cs="Times New Roman"/>
          <w:i/>
          <w:iCs/>
          <w:color w:val="000000"/>
          <w:kern w:val="0"/>
          <w:lang w:eastAsia="en-GB"/>
          <w14:ligatures w14:val="none"/>
        </w:rPr>
        <w:t>Eve - Domestic Violence &amp; Abuse Help Northamptonshire</w:t>
      </w:r>
      <w:r w:rsidRPr="00EC10D7">
        <w:rPr>
          <w:rFonts w:ascii="Times New Roman" w:eastAsia="Times New Roman" w:hAnsi="Times New Roman" w:cs="Times New Roman"/>
          <w:color w:val="000000"/>
          <w:kern w:val="0"/>
          <w:lang w:eastAsia="en-GB"/>
          <w14:ligatures w14:val="none"/>
        </w:rPr>
        <w:t>. [online] Eve. Available at: https://eveda.org.uk [Accessed 15 Oct. 2024].</w:t>
      </w:r>
    </w:p>
    <w:p w14:paraId="5823C670"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 xml:space="preserve">Federica Taccini, Domoney, J., </w:t>
      </w:r>
      <w:proofErr w:type="spellStart"/>
      <w:r w:rsidRPr="00EC10D7">
        <w:rPr>
          <w:rFonts w:ascii="Times New Roman" w:eastAsia="Times New Roman" w:hAnsi="Times New Roman" w:cs="Times New Roman"/>
          <w:color w:val="000000"/>
          <w:kern w:val="0"/>
          <w:lang w:eastAsia="en-GB"/>
          <w14:ligatures w14:val="none"/>
        </w:rPr>
        <w:t>Ocloo</w:t>
      </w:r>
      <w:proofErr w:type="spellEnd"/>
      <w:r w:rsidRPr="00EC10D7">
        <w:rPr>
          <w:rFonts w:ascii="Times New Roman" w:eastAsia="Times New Roman" w:hAnsi="Times New Roman" w:cs="Times New Roman"/>
          <w:color w:val="000000"/>
          <w:kern w:val="0"/>
          <w:lang w:eastAsia="en-GB"/>
          <w14:ligatures w14:val="none"/>
        </w:rPr>
        <w:t xml:space="preserve">, J., </w:t>
      </w:r>
      <w:proofErr w:type="spellStart"/>
      <w:r w:rsidRPr="00EC10D7">
        <w:rPr>
          <w:rFonts w:ascii="Times New Roman" w:eastAsia="Times New Roman" w:hAnsi="Times New Roman" w:cs="Times New Roman"/>
          <w:color w:val="000000"/>
          <w:kern w:val="0"/>
          <w:lang w:eastAsia="en-GB"/>
          <w14:ligatures w14:val="none"/>
        </w:rPr>
        <w:t>Heslin</w:t>
      </w:r>
      <w:proofErr w:type="spellEnd"/>
      <w:r w:rsidRPr="00EC10D7">
        <w:rPr>
          <w:rFonts w:ascii="Times New Roman" w:eastAsia="Times New Roman" w:hAnsi="Times New Roman" w:cs="Times New Roman"/>
          <w:color w:val="000000"/>
          <w:kern w:val="0"/>
          <w:lang w:eastAsia="en-GB"/>
          <w14:ligatures w14:val="none"/>
        </w:rPr>
        <w:t xml:space="preserve">, M., Byford, S., Bick, D., Howard, L.M., MacMillan, H., </w:t>
      </w:r>
      <w:proofErr w:type="spellStart"/>
      <w:r w:rsidRPr="00EC10D7">
        <w:rPr>
          <w:rFonts w:ascii="Times New Roman" w:eastAsia="Times New Roman" w:hAnsi="Times New Roman" w:cs="Times New Roman"/>
          <w:color w:val="000000"/>
          <w:kern w:val="0"/>
          <w:lang w:eastAsia="en-GB"/>
          <w14:ligatures w14:val="none"/>
        </w:rPr>
        <w:t>Mannarini</w:t>
      </w:r>
      <w:proofErr w:type="spellEnd"/>
      <w:r w:rsidRPr="00EC10D7">
        <w:rPr>
          <w:rFonts w:ascii="Times New Roman" w:eastAsia="Times New Roman" w:hAnsi="Times New Roman" w:cs="Times New Roman"/>
          <w:color w:val="000000"/>
          <w:kern w:val="0"/>
          <w:lang w:eastAsia="en-GB"/>
          <w14:ligatures w14:val="none"/>
        </w:rPr>
        <w:t xml:space="preserve">, S., Ramchandani, P., Stanley, N. and </w:t>
      </w:r>
      <w:proofErr w:type="spellStart"/>
      <w:r w:rsidRPr="00EC10D7">
        <w:rPr>
          <w:rFonts w:ascii="Times New Roman" w:eastAsia="Times New Roman" w:hAnsi="Times New Roman" w:cs="Times New Roman"/>
          <w:color w:val="000000"/>
          <w:kern w:val="0"/>
          <w:lang w:eastAsia="en-GB"/>
          <w14:ligatures w14:val="none"/>
        </w:rPr>
        <w:t>Trevillion</w:t>
      </w:r>
      <w:proofErr w:type="spellEnd"/>
      <w:r w:rsidRPr="00EC10D7">
        <w:rPr>
          <w:rFonts w:ascii="Times New Roman" w:eastAsia="Times New Roman" w:hAnsi="Times New Roman" w:cs="Times New Roman"/>
          <w:color w:val="000000"/>
          <w:kern w:val="0"/>
          <w:lang w:eastAsia="en-GB"/>
          <w14:ligatures w14:val="none"/>
        </w:rPr>
        <w:t xml:space="preserve">, K. (2024). ‘It’s so Beneficial to be Able to Stop the Cycle’: Perceptions of Intergenerational Transmission of </w:t>
      </w:r>
      <w:r w:rsidRPr="00EC10D7">
        <w:rPr>
          <w:rFonts w:ascii="Times New Roman" w:eastAsia="Times New Roman" w:hAnsi="Times New Roman" w:cs="Times New Roman"/>
          <w:color w:val="000000"/>
          <w:kern w:val="0"/>
          <w:lang w:eastAsia="en-GB"/>
          <w14:ligatures w14:val="none"/>
        </w:rPr>
        <w:lastRenderedPageBreak/>
        <w:t>Violence and Parenting Practices Among Pregnant Women and their Abusive Partners. </w:t>
      </w:r>
      <w:r w:rsidRPr="00EC10D7">
        <w:rPr>
          <w:rFonts w:ascii="Times New Roman" w:eastAsia="Times New Roman" w:hAnsi="Times New Roman" w:cs="Times New Roman"/>
          <w:i/>
          <w:iCs/>
          <w:color w:val="000000"/>
          <w:kern w:val="0"/>
          <w:lang w:eastAsia="en-GB"/>
          <w14:ligatures w14:val="none"/>
        </w:rPr>
        <w:t>Journal of Family Violence</w:t>
      </w:r>
      <w:r w:rsidRPr="00EC10D7">
        <w:rPr>
          <w:rFonts w:ascii="Times New Roman" w:eastAsia="Times New Roman" w:hAnsi="Times New Roman" w:cs="Times New Roman"/>
          <w:color w:val="000000"/>
          <w:kern w:val="0"/>
          <w:lang w:eastAsia="en-GB"/>
          <w14:ligatures w14:val="none"/>
        </w:rPr>
        <w:t xml:space="preserve">. </w:t>
      </w:r>
      <w:proofErr w:type="spellStart"/>
      <w:proofErr w:type="gramStart"/>
      <w:r w:rsidRPr="00EC10D7">
        <w:rPr>
          <w:rFonts w:ascii="Times New Roman" w:eastAsia="Times New Roman" w:hAnsi="Times New Roman" w:cs="Times New Roman"/>
          <w:color w:val="000000"/>
          <w:kern w:val="0"/>
          <w:lang w:eastAsia="en-GB"/>
          <w14:ligatures w14:val="none"/>
        </w:rPr>
        <w:t>doi:https</w:t>
      </w:r>
      <w:proofErr w:type="spellEnd"/>
      <w:r w:rsidRPr="00EC10D7">
        <w:rPr>
          <w:rFonts w:ascii="Times New Roman" w:eastAsia="Times New Roman" w:hAnsi="Times New Roman" w:cs="Times New Roman"/>
          <w:color w:val="000000"/>
          <w:kern w:val="0"/>
          <w:lang w:eastAsia="en-GB"/>
          <w14:ligatures w14:val="none"/>
        </w:rPr>
        <w:t>://doi.org/10.1007/s10896-024-00685-0</w:t>
      </w:r>
      <w:proofErr w:type="gramEnd"/>
      <w:r w:rsidRPr="00EC10D7">
        <w:rPr>
          <w:rFonts w:ascii="Times New Roman" w:eastAsia="Times New Roman" w:hAnsi="Times New Roman" w:cs="Times New Roman"/>
          <w:color w:val="000000"/>
          <w:kern w:val="0"/>
          <w:lang w:eastAsia="en-GB"/>
          <w14:ligatures w14:val="none"/>
        </w:rPr>
        <w:t>.</w:t>
      </w:r>
    </w:p>
    <w:p w14:paraId="6F80941F"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Kinderman, K.T. (2023). </w:t>
      </w:r>
      <w:r w:rsidRPr="00EC10D7">
        <w:rPr>
          <w:rFonts w:ascii="Times New Roman" w:eastAsia="Times New Roman" w:hAnsi="Times New Roman" w:cs="Times New Roman"/>
          <w:i/>
          <w:iCs/>
          <w:color w:val="000000"/>
          <w:kern w:val="0"/>
          <w:lang w:eastAsia="en-GB"/>
          <w14:ligatures w14:val="none"/>
        </w:rPr>
        <w:t>Healing from the Trauma of Domestic Violence for Women</w:t>
      </w:r>
      <w:r w:rsidRPr="00EC10D7">
        <w:rPr>
          <w:rFonts w:ascii="Times New Roman" w:eastAsia="Times New Roman" w:hAnsi="Times New Roman" w:cs="Times New Roman"/>
          <w:color w:val="000000"/>
          <w:kern w:val="0"/>
          <w:lang w:eastAsia="en-GB"/>
          <w14:ligatures w14:val="none"/>
        </w:rPr>
        <w:t>.</w:t>
      </w:r>
    </w:p>
    <w:p w14:paraId="32BF5682"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LA CASA DE LAS MADRES (2023). </w:t>
      </w:r>
      <w:r w:rsidRPr="00EC10D7">
        <w:rPr>
          <w:rFonts w:ascii="Times New Roman" w:eastAsia="Times New Roman" w:hAnsi="Times New Roman" w:cs="Times New Roman"/>
          <w:i/>
          <w:iCs/>
          <w:color w:val="000000"/>
          <w:kern w:val="0"/>
          <w:lang w:eastAsia="en-GB"/>
          <w14:ligatures w14:val="none"/>
        </w:rPr>
        <w:t>Shining a Light on Domestic Violence in the African American Community</w:t>
      </w:r>
      <w:r w:rsidRPr="00EC10D7">
        <w:rPr>
          <w:rFonts w:ascii="Times New Roman" w:eastAsia="Times New Roman" w:hAnsi="Times New Roman" w:cs="Times New Roman"/>
          <w:color w:val="000000"/>
          <w:kern w:val="0"/>
          <w:lang w:eastAsia="en-GB"/>
          <w14:ligatures w14:val="none"/>
        </w:rPr>
        <w:t>. [online] La Casa de las Madres. Available at: https://www.lacasa.org/blog/2023/2/22/black-history-month-shining-a-light-on-domestic-violence-in-the-african-american-community.</w:t>
      </w:r>
    </w:p>
    <w:p w14:paraId="71668C9E"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Mayock, P. and Neary, F. (2023). ‘Where am I going to go Tonight? Where am I literally going to go?’: Exploring the Dynamics of Domestic Violence and Family Homelessness. </w:t>
      </w:r>
      <w:r w:rsidRPr="00EC10D7">
        <w:rPr>
          <w:rFonts w:ascii="Times New Roman" w:eastAsia="Times New Roman" w:hAnsi="Times New Roman" w:cs="Times New Roman"/>
          <w:i/>
          <w:iCs/>
          <w:color w:val="000000"/>
          <w:kern w:val="0"/>
          <w:lang w:eastAsia="en-GB"/>
          <w14:ligatures w14:val="none"/>
        </w:rPr>
        <w:t>Journal of Family Violence</w:t>
      </w:r>
      <w:r w:rsidRPr="00EC10D7">
        <w:rPr>
          <w:rFonts w:ascii="Times New Roman" w:eastAsia="Times New Roman" w:hAnsi="Times New Roman" w:cs="Times New Roman"/>
          <w:color w:val="000000"/>
          <w:kern w:val="0"/>
          <w:lang w:eastAsia="en-GB"/>
          <w14:ligatures w14:val="none"/>
        </w:rPr>
        <w:t xml:space="preserve">. </w:t>
      </w:r>
      <w:proofErr w:type="spellStart"/>
      <w:proofErr w:type="gramStart"/>
      <w:r w:rsidRPr="00EC10D7">
        <w:rPr>
          <w:rFonts w:ascii="Times New Roman" w:eastAsia="Times New Roman" w:hAnsi="Times New Roman" w:cs="Times New Roman"/>
          <w:color w:val="000000"/>
          <w:kern w:val="0"/>
          <w:lang w:eastAsia="en-GB"/>
          <w14:ligatures w14:val="none"/>
        </w:rPr>
        <w:t>doi:https</w:t>
      </w:r>
      <w:proofErr w:type="spellEnd"/>
      <w:r w:rsidRPr="00EC10D7">
        <w:rPr>
          <w:rFonts w:ascii="Times New Roman" w:eastAsia="Times New Roman" w:hAnsi="Times New Roman" w:cs="Times New Roman"/>
          <w:color w:val="000000"/>
          <w:kern w:val="0"/>
          <w:lang w:eastAsia="en-GB"/>
          <w14:ligatures w14:val="none"/>
        </w:rPr>
        <w:t>://doi.org/10.1007/s10896-023-00667-8</w:t>
      </w:r>
      <w:proofErr w:type="gramEnd"/>
      <w:r w:rsidRPr="00EC10D7">
        <w:rPr>
          <w:rFonts w:ascii="Times New Roman" w:eastAsia="Times New Roman" w:hAnsi="Times New Roman" w:cs="Times New Roman"/>
          <w:color w:val="000000"/>
          <w:kern w:val="0"/>
          <w:lang w:eastAsia="en-GB"/>
          <w14:ligatures w14:val="none"/>
        </w:rPr>
        <w:t>.</w:t>
      </w:r>
    </w:p>
    <w:p w14:paraId="062D8FF9"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Refuge (2022). </w:t>
      </w:r>
      <w:r w:rsidRPr="00EC10D7">
        <w:rPr>
          <w:rFonts w:ascii="Times New Roman" w:eastAsia="Times New Roman" w:hAnsi="Times New Roman" w:cs="Times New Roman"/>
          <w:i/>
          <w:iCs/>
          <w:color w:val="000000"/>
          <w:kern w:val="0"/>
          <w:lang w:eastAsia="en-GB"/>
          <w14:ligatures w14:val="none"/>
        </w:rPr>
        <w:t xml:space="preserve">Facts and Statistics. The numbers don’t </w:t>
      </w:r>
      <w:proofErr w:type="gramStart"/>
      <w:r w:rsidRPr="00EC10D7">
        <w:rPr>
          <w:rFonts w:ascii="Times New Roman" w:eastAsia="Times New Roman" w:hAnsi="Times New Roman" w:cs="Times New Roman"/>
          <w:i/>
          <w:iCs/>
          <w:color w:val="000000"/>
          <w:kern w:val="0"/>
          <w:lang w:eastAsia="en-GB"/>
          <w14:ligatures w14:val="none"/>
        </w:rPr>
        <w:t>lie:</w:t>
      </w:r>
      <w:proofErr w:type="gramEnd"/>
      <w:r w:rsidRPr="00EC10D7">
        <w:rPr>
          <w:rFonts w:ascii="Times New Roman" w:eastAsia="Times New Roman" w:hAnsi="Times New Roman" w:cs="Times New Roman"/>
          <w:i/>
          <w:iCs/>
          <w:color w:val="000000"/>
          <w:kern w:val="0"/>
          <w:lang w:eastAsia="en-GB"/>
          <w14:ligatures w14:val="none"/>
        </w:rPr>
        <w:t xml:space="preserve"> they tell a clear story about the prevalence and harmful effects of abuse.</w:t>
      </w:r>
      <w:r w:rsidRPr="00EC10D7">
        <w:rPr>
          <w:rFonts w:ascii="Times New Roman" w:eastAsia="Times New Roman" w:hAnsi="Times New Roman" w:cs="Times New Roman"/>
          <w:color w:val="000000"/>
          <w:kern w:val="0"/>
          <w:lang w:eastAsia="en-GB"/>
          <w14:ligatures w14:val="none"/>
        </w:rPr>
        <w:t> [online] refuge.org.uk. Available at: https://refuge.org.uk/what-is-domestic-abuse/the-facts/.</w:t>
      </w:r>
    </w:p>
    <w:p w14:paraId="1CF8FFA0"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 xml:space="preserve">Strathearn, L., Giannotti, M., Mills, R., </w:t>
      </w:r>
      <w:proofErr w:type="spellStart"/>
      <w:r w:rsidRPr="00EC10D7">
        <w:rPr>
          <w:rFonts w:ascii="Times New Roman" w:eastAsia="Times New Roman" w:hAnsi="Times New Roman" w:cs="Times New Roman"/>
          <w:color w:val="000000"/>
          <w:kern w:val="0"/>
          <w:lang w:eastAsia="en-GB"/>
          <w14:ligatures w14:val="none"/>
        </w:rPr>
        <w:t>Kisely</w:t>
      </w:r>
      <w:proofErr w:type="spellEnd"/>
      <w:r w:rsidRPr="00EC10D7">
        <w:rPr>
          <w:rFonts w:ascii="Times New Roman" w:eastAsia="Times New Roman" w:hAnsi="Times New Roman" w:cs="Times New Roman"/>
          <w:color w:val="000000"/>
          <w:kern w:val="0"/>
          <w:lang w:eastAsia="en-GB"/>
          <w14:ligatures w14:val="none"/>
        </w:rPr>
        <w:t xml:space="preserve">, S., </w:t>
      </w:r>
      <w:proofErr w:type="spellStart"/>
      <w:r w:rsidRPr="00EC10D7">
        <w:rPr>
          <w:rFonts w:ascii="Times New Roman" w:eastAsia="Times New Roman" w:hAnsi="Times New Roman" w:cs="Times New Roman"/>
          <w:color w:val="000000"/>
          <w:kern w:val="0"/>
          <w:lang w:eastAsia="en-GB"/>
          <w14:ligatures w14:val="none"/>
        </w:rPr>
        <w:t>Najman</w:t>
      </w:r>
      <w:proofErr w:type="spellEnd"/>
      <w:r w:rsidRPr="00EC10D7">
        <w:rPr>
          <w:rFonts w:ascii="Times New Roman" w:eastAsia="Times New Roman" w:hAnsi="Times New Roman" w:cs="Times New Roman"/>
          <w:color w:val="000000"/>
          <w:kern w:val="0"/>
          <w:lang w:eastAsia="en-GB"/>
          <w14:ligatures w14:val="none"/>
        </w:rPr>
        <w:t xml:space="preserve">, J. and </w:t>
      </w:r>
      <w:proofErr w:type="spellStart"/>
      <w:r w:rsidRPr="00EC10D7">
        <w:rPr>
          <w:rFonts w:ascii="Times New Roman" w:eastAsia="Times New Roman" w:hAnsi="Times New Roman" w:cs="Times New Roman"/>
          <w:color w:val="000000"/>
          <w:kern w:val="0"/>
          <w:lang w:eastAsia="en-GB"/>
          <w14:ligatures w14:val="none"/>
        </w:rPr>
        <w:t>Abajobir</w:t>
      </w:r>
      <w:proofErr w:type="spellEnd"/>
      <w:r w:rsidRPr="00EC10D7">
        <w:rPr>
          <w:rFonts w:ascii="Times New Roman" w:eastAsia="Times New Roman" w:hAnsi="Times New Roman" w:cs="Times New Roman"/>
          <w:color w:val="000000"/>
          <w:kern w:val="0"/>
          <w:lang w:eastAsia="en-GB"/>
          <w14:ligatures w14:val="none"/>
        </w:rPr>
        <w:t>, A. (2020). Long-term Cognitive, Psychological, and Health Outcomes Associated with Child Abuse and Neglect. </w:t>
      </w:r>
      <w:proofErr w:type="spellStart"/>
      <w:r w:rsidRPr="00EC10D7">
        <w:rPr>
          <w:rFonts w:ascii="Times New Roman" w:eastAsia="Times New Roman" w:hAnsi="Times New Roman" w:cs="Times New Roman"/>
          <w:i/>
          <w:iCs/>
          <w:color w:val="000000"/>
          <w:kern w:val="0"/>
          <w:lang w:eastAsia="en-GB"/>
          <w14:ligatures w14:val="none"/>
        </w:rPr>
        <w:t>Pediatrics</w:t>
      </w:r>
      <w:proofErr w:type="spellEnd"/>
      <w:r w:rsidRPr="00EC10D7">
        <w:rPr>
          <w:rFonts w:ascii="Times New Roman" w:eastAsia="Times New Roman" w:hAnsi="Times New Roman" w:cs="Times New Roman"/>
          <w:color w:val="000000"/>
          <w:kern w:val="0"/>
          <w:lang w:eastAsia="en-GB"/>
          <w14:ligatures w14:val="none"/>
        </w:rPr>
        <w:t xml:space="preserve">, [online] 146(4). </w:t>
      </w:r>
      <w:proofErr w:type="spellStart"/>
      <w:proofErr w:type="gramStart"/>
      <w:r w:rsidRPr="00EC10D7">
        <w:rPr>
          <w:rFonts w:ascii="Times New Roman" w:eastAsia="Times New Roman" w:hAnsi="Times New Roman" w:cs="Times New Roman"/>
          <w:color w:val="000000"/>
          <w:kern w:val="0"/>
          <w:lang w:eastAsia="en-GB"/>
          <w14:ligatures w14:val="none"/>
        </w:rPr>
        <w:t>doi:https</w:t>
      </w:r>
      <w:proofErr w:type="spellEnd"/>
      <w:r w:rsidRPr="00EC10D7">
        <w:rPr>
          <w:rFonts w:ascii="Times New Roman" w:eastAsia="Times New Roman" w:hAnsi="Times New Roman" w:cs="Times New Roman"/>
          <w:color w:val="000000"/>
          <w:kern w:val="0"/>
          <w:lang w:eastAsia="en-GB"/>
          <w14:ligatures w14:val="none"/>
        </w:rPr>
        <w:t>://doi.org/10.1542/peds.2020-0438</w:t>
      </w:r>
      <w:proofErr w:type="gramEnd"/>
      <w:r w:rsidRPr="00EC10D7">
        <w:rPr>
          <w:rFonts w:ascii="Times New Roman" w:eastAsia="Times New Roman" w:hAnsi="Times New Roman" w:cs="Times New Roman"/>
          <w:color w:val="000000"/>
          <w:kern w:val="0"/>
          <w:lang w:eastAsia="en-GB"/>
          <w14:ligatures w14:val="none"/>
        </w:rPr>
        <w:t>.</w:t>
      </w:r>
    </w:p>
    <w:p w14:paraId="1773717F"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Tallman, M. (2021). </w:t>
      </w:r>
      <w:r w:rsidRPr="00EC10D7">
        <w:rPr>
          <w:rFonts w:ascii="Times New Roman" w:eastAsia="Times New Roman" w:hAnsi="Times New Roman" w:cs="Times New Roman"/>
          <w:i/>
          <w:iCs/>
          <w:color w:val="000000"/>
          <w:kern w:val="0"/>
          <w:lang w:eastAsia="en-GB"/>
          <w14:ligatures w14:val="none"/>
        </w:rPr>
        <w:t xml:space="preserve">Recognizing Coercive Control: </w:t>
      </w:r>
      <w:proofErr w:type="gramStart"/>
      <w:r w:rsidRPr="00EC10D7">
        <w:rPr>
          <w:rFonts w:ascii="Times New Roman" w:eastAsia="Times New Roman" w:hAnsi="Times New Roman" w:cs="Times New Roman"/>
          <w:i/>
          <w:iCs/>
          <w:color w:val="000000"/>
          <w:kern w:val="0"/>
          <w:lang w:eastAsia="en-GB"/>
          <w14:ligatures w14:val="none"/>
        </w:rPr>
        <w:t>a</w:t>
      </w:r>
      <w:proofErr w:type="gramEnd"/>
      <w:r w:rsidRPr="00EC10D7">
        <w:rPr>
          <w:rFonts w:ascii="Times New Roman" w:eastAsia="Times New Roman" w:hAnsi="Times New Roman" w:cs="Times New Roman"/>
          <w:i/>
          <w:iCs/>
          <w:color w:val="000000"/>
          <w:kern w:val="0"/>
          <w:lang w:eastAsia="en-GB"/>
          <w14:ligatures w14:val="none"/>
        </w:rPr>
        <w:t xml:space="preserve"> Legislative Model for Overcoming the Challenges of Fighting Invisible Domestic Abuse</w:t>
      </w:r>
      <w:r w:rsidRPr="00EC10D7">
        <w:rPr>
          <w:rFonts w:ascii="Times New Roman" w:eastAsia="Times New Roman" w:hAnsi="Times New Roman" w:cs="Times New Roman"/>
          <w:color w:val="000000"/>
          <w:kern w:val="0"/>
          <w:lang w:eastAsia="en-GB"/>
          <w14:ligatures w14:val="none"/>
        </w:rPr>
        <w:t xml:space="preserve">. [online] </w:t>
      </w:r>
      <w:proofErr w:type="spellStart"/>
      <w:r w:rsidRPr="00EC10D7">
        <w:rPr>
          <w:rFonts w:ascii="Times New Roman" w:eastAsia="Times New Roman" w:hAnsi="Times New Roman" w:cs="Times New Roman"/>
          <w:color w:val="000000"/>
          <w:kern w:val="0"/>
          <w:lang w:eastAsia="en-GB"/>
          <w14:ligatures w14:val="none"/>
        </w:rPr>
        <w:t>HeinOnline</w:t>
      </w:r>
      <w:proofErr w:type="spellEnd"/>
      <w:r w:rsidRPr="00EC10D7">
        <w:rPr>
          <w:rFonts w:ascii="Times New Roman" w:eastAsia="Times New Roman" w:hAnsi="Times New Roman" w:cs="Times New Roman"/>
          <w:color w:val="000000"/>
          <w:kern w:val="0"/>
          <w:lang w:eastAsia="en-GB"/>
          <w14:ligatures w14:val="none"/>
        </w:rPr>
        <w:t>. Available at: https://heinonline.org/HOL/LandingPage?handle=hein.journals/wajlp73&amp;div=12&amp;id=&amp;page= [Accessed 14 Sep. 2024].</w:t>
      </w:r>
    </w:p>
    <w:p w14:paraId="42D5DCD8"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The Crown Prosecution Service (2022). </w:t>
      </w:r>
      <w:r w:rsidRPr="00EC10D7">
        <w:rPr>
          <w:rFonts w:ascii="Times New Roman" w:eastAsia="Times New Roman" w:hAnsi="Times New Roman" w:cs="Times New Roman"/>
          <w:i/>
          <w:iCs/>
          <w:color w:val="000000"/>
          <w:kern w:val="0"/>
          <w:lang w:eastAsia="en-GB"/>
          <w14:ligatures w14:val="none"/>
        </w:rPr>
        <w:t>Domestic Abuse | The Crown Prosecution Service</w:t>
      </w:r>
      <w:r w:rsidRPr="00EC10D7">
        <w:rPr>
          <w:rFonts w:ascii="Times New Roman" w:eastAsia="Times New Roman" w:hAnsi="Times New Roman" w:cs="Times New Roman"/>
          <w:color w:val="000000"/>
          <w:kern w:val="0"/>
          <w:lang w:eastAsia="en-GB"/>
          <w14:ligatures w14:val="none"/>
        </w:rPr>
        <w:t>. [online] www.cps.gov.uk. Available at: https://www.cps.gov.uk/legal-guidance/domestic-abuse.</w:t>
      </w:r>
    </w:p>
    <w:p w14:paraId="21861DCB"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The Scottish Government (2024). </w:t>
      </w:r>
      <w:proofErr w:type="spellStart"/>
      <w:r w:rsidRPr="00EC10D7">
        <w:rPr>
          <w:rFonts w:ascii="Times New Roman" w:eastAsia="Times New Roman" w:hAnsi="Times New Roman" w:cs="Times New Roman"/>
          <w:i/>
          <w:iCs/>
          <w:color w:val="000000"/>
          <w:kern w:val="0"/>
          <w:lang w:eastAsia="en-GB"/>
          <w14:ligatures w14:val="none"/>
        </w:rPr>
        <w:t>Minoritised</w:t>
      </w:r>
      <w:proofErr w:type="spellEnd"/>
      <w:r w:rsidRPr="00EC10D7">
        <w:rPr>
          <w:rFonts w:ascii="Times New Roman" w:eastAsia="Times New Roman" w:hAnsi="Times New Roman" w:cs="Times New Roman"/>
          <w:i/>
          <w:iCs/>
          <w:color w:val="000000"/>
          <w:kern w:val="0"/>
          <w:lang w:eastAsia="en-GB"/>
          <w14:ligatures w14:val="none"/>
        </w:rPr>
        <w:t xml:space="preserve"> Ethnic Women’s Experiences of Domestic Abuse and Barriers to Help-Seeking: A Summary of the Evidence</w:t>
      </w:r>
      <w:r w:rsidRPr="00EC10D7">
        <w:rPr>
          <w:rFonts w:ascii="Times New Roman" w:eastAsia="Times New Roman" w:hAnsi="Times New Roman" w:cs="Times New Roman"/>
          <w:color w:val="000000"/>
          <w:kern w:val="0"/>
          <w:lang w:eastAsia="en-GB"/>
          <w14:ligatures w14:val="none"/>
        </w:rPr>
        <w:t xml:space="preserve">. [online] </w:t>
      </w:r>
      <w:proofErr w:type="spellStart"/>
      <w:r w:rsidRPr="00EC10D7">
        <w:rPr>
          <w:rFonts w:ascii="Times New Roman" w:eastAsia="Times New Roman" w:hAnsi="Times New Roman" w:cs="Times New Roman"/>
          <w:color w:val="000000"/>
          <w:kern w:val="0"/>
          <w:lang w:eastAsia="en-GB"/>
          <w14:ligatures w14:val="none"/>
        </w:rPr>
        <w:t>Gov.scot</w:t>
      </w:r>
      <w:proofErr w:type="spellEnd"/>
      <w:r w:rsidRPr="00EC10D7">
        <w:rPr>
          <w:rFonts w:ascii="Times New Roman" w:eastAsia="Times New Roman" w:hAnsi="Times New Roman" w:cs="Times New Roman"/>
          <w:color w:val="000000"/>
          <w:kern w:val="0"/>
          <w:lang w:eastAsia="en-GB"/>
          <w14:ligatures w14:val="none"/>
        </w:rPr>
        <w:t>. Available at: https://www.gov.scot/publications/minoritised-ethnic-womens-experiences-domestic-abuse-barriers-help-seeking-summary-evidence/pages/6/.</w:t>
      </w:r>
    </w:p>
    <w:p w14:paraId="3131A7A0" w14:textId="77777777" w:rsidR="00EC10D7" w:rsidRPr="00EC10D7" w:rsidRDefault="00EC10D7" w:rsidP="00EC10D7">
      <w:pPr>
        <w:spacing w:after="240" w:line="360" w:lineRule="atLeast"/>
        <w:rPr>
          <w:rFonts w:ascii="Times New Roman" w:eastAsia="Times New Roman" w:hAnsi="Times New Roman" w:cs="Times New Roman"/>
          <w:color w:val="000000"/>
          <w:kern w:val="0"/>
          <w:lang w:eastAsia="en-GB"/>
          <w14:ligatures w14:val="none"/>
        </w:rPr>
      </w:pPr>
      <w:r w:rsidRPr="00EC10D7">
        <w:rPr>
          <w:rFonts w:ascii="Times New Roman" w:eastAsia="Times New Roman" w:hAnsi="Times New Roman" w:cs="Times New Roman"/>
          <w:color w:val="000000"/>
          <w:kern w:val="0"/>
          <w:lang w:eastAsia="en-GB"/>
          <w14:ligatures w14:val="none"/>
        </w:rPr>
        <w:t>United Nations (2024). </w:t>
      </w:r>
      <w:r w:rsidRPr="00EC10D7">
        <w:rPr>
          <w:rFonts w:ascii="Times New Roman" w:eastAsia="Times New Roman" w:hAnsi="Times New Roman" w:cs="Times New Roman"/>
          <w:i/>
          <w:iCs/>
          <w:color w:val="000000"/>
          <w:kern w:val="0"/>
          <w:lang w:eastAsia="en-GB"/>
          <w14:ligatures w14:val="none"/>
        </w:rPr>
        <w:t>What Is Domestic Abuse?</w:t>
      </w:r>
      <w:r w:rsidRPr="00EC10D7">
        <w:rPr>
          <w:rFonts w:ascii="Times New Roman" w:eastAsia="Times New Roman" w:hAnsi="Times New Roman" w:cs="Times New Roman"/>
          <w:color w:val="000000"/>
          <w:kern w:val="0"/>
          <w:lang w:eastAsia="en-GB"/>
          <w14:ligatures w14:val="none"/>
        </w:rPr>
        <w:t> [online] United Nations. Available at: https://www.un.org/en/coronavirus/what-is-domestic-abuse.</w:t>
      </w:r>
    </w:p>
    <w:p w14:paraId="4F8A2CF9" w14:textId="0924F62B" w:rsidR="00501A89" w:rsidRPr="00501A89" w:rsidRDefault="00501A89" w:rsidP="00231C70">
      <w:pPr>
        <w:rPr>
          <w:rFonts w:ascii="Calibri" w:hAnsi="Calibri" w:cs="Calibri"/>
          <w:b/>
          <w:bCs/>
          <w:sz w:val="52"/>
          <w:szCs w:val="52"/>
          <w:u w:val="single"/>
        </w:rPr>
      </w:pPr>
    </w:p>
    <w:sectPr w:rsidR="00501A89" w:rsidRPr="00501A89" w:rsidSect="005246B8">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7BD81" w14:textId="77777777" w:rsidR="00CF51B6" w:rsidRDefault="00CF51B6" w:rsidP="009D4FC2">
      <w:r>
        <w:separator/>
      </w:r>
    </w:p>
  </w:endnote>
  <w:endnote w:type="continuationSeparator" w:id="0">
    <w:p w14:paraId="359B6EEA" w14:textId="77777777" w:rsidR="00CF51B6" w:rsidRDefault="00CF51B6" w:rsidP="009D4F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FCE37" w14:textId="77777777" w:rsidR="00CF51B6" w:rsidRDefault="00CF51B6" w:rsidP="009D4FC2">
      <w:r>
        <w:separator/>
      </w:r>
    </w:p>
  </w:footnote>
  <w:footnote w:type="continuationSeparator" w:id="0">
    <w:p w14:paraId="7292F85B" w14:textId="77777777" w:rsidR="00CF51B6" w:rsidRDefault="00CF51B6" w:rsidP="009D4F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9DE7E" w14:textId="77777777" w:rsidR="009D4FC2" w:rsidRDefault="009D4FC2" w:rsidP="009D4FC2">
    <w:pPr>
      <w:pStyle w:val="Header"/>
    </w:pPr>
  </w:p>
  <w:p w14:paraId="716BB9DF" w14:textId="2AF96F8D" w:rsidR="009D4FC2" w:rsidRDefault="009D4FC2" w:rsidP="009D4FC2">
    <w:pPr>
      <w:pStyle w:val="Header"/>
    </w:pPr>
    <w:r w:rsidRPr="004C3A0B">
      <w:rPr>
        <w:noProof/>
        <w:lang w:eastAsia="en-GB"/>
      </w:rPr>
      <w:drawing>
        <wp:anchor distT="0" distB="0" distL="114300" distR="114300" simplePos="0" relativeHeight="251659264" behindDoc="0" locked="0" layoutInCell="1" allowOverlap="1" wp14:anchorId="3E393DBA" wp14:editId="3501E9AE">
          <wp:simplePos x="0" y="0"/>
          <wp:positionH relativeFrom="margin">
            <wp:posOffset>1935480</wp:posOffset>
          </wp:positionH>
          <wp:positionV relativeFrom="page">
            <wp:posOffset>186055</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784CC8" w14:textId="77777777" w:rsidR="009D4FC2" w:rsidRDefault="009D4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56688"/>
    <w:multiLevelType w:val="multilevel"/>
    <w:tmpl w:val="81B4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D132C"/>
    <w:multiLevelType w:val="multilevel"/>
    <w:tmpl w:val="65E22D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D16F97"/>
    <w:multiLevelType w:val="multilevel"/>
    <w:tmpl w:val="8BD01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A273CB"/>
    <w:multiLevelType w:val="multilevel"/>
    <w:tmpl w:val="FA2E5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CC6D5D"/>
    <w:multiLevelType w:val="multilevel"/>
    <w:tmpl w:val="BB52A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470978"/>
    <w:multiLevelType w:val="multilevel"/>
    <w:tmpl w:val="F8C8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426607"/>
    <w:multiLevelType w:val="multilevel"/>
    <w:tmpl w:val="ACF241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6272518">
    <w:abstractNumId w:val="0"/>
  </w:num>
  <w:num w:numId="2" w16cid:durableId="1792936721">
    <w:abstractNumId w:val="6"/>
  </w:num>
  <w:num w:numId="3" w16cid:durableId="1265456217">
    <w:abstractNumId w:val="2"/>
  </w:num>
  <w:num w:numId="4" w16cid:durableId="156305760">
    <w:abstractNumId w:val="1"/>
  </w:num>
  <w:num w:numId="5" w16cid:durableId="1250970917">
    <w:abstractNumId w:val="4"/>
  </w:num>
  <w:num w:numId="6" w16cid:durableId="1385593014">
    <w:abstractNumId w:val="5"/>
  </w:num>
  <w:num w:numId="7" w16cid:durableId="10695716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B8"/>
    <w:rsid w:val="00001C44"/>
    <w:rsid w:val="00003009"/>
    <w:rsid w:val="00036769"/>
    <w:rsid w:val="0004719E"/>
    <w:rsid w:val="00047D18"/>
    <w:rsid w:val="00067113"/>
    <w:rsid w:val="00082453"/>
    <w:rsid w:val="000B3620"/>
    <w:rsid w:val="000B7EC6"/>
    <w:rsid w:val="000D200C"/>
    <w:rsid w:val="000E08F9"/>
    <w:rsid w:val="000E1204"/>
    <w:rsid w:val="000E4CD8"/>
    <w:rsid w:val="001069BC"/>
    <w:rsid w:val="00110C72"/>
    <w:rsid w:val="00117541"/>
    <w:rsid w:val="00117936"/>
    <w:rsid w:val="00122FD0"/>
    <w:rsid w:val="00127DF3"/>
    <w:rsid w:val="001438B6"/>
    <w:rsid w:val="0018044C"/>
    <w:rsid w:val="00186B03"/>
    <w:rsid w:val="001E6297"/>
    <w:rsid w:val="001E711E"/>
    <w:rsid w:val="00220198"/>
    <w:rsid w:val="00220D7E"/>
    <w:rsid w:val="00231C70"/>
    <w:rsid w:val="00234CBD"/>
    <w:rsid w:val="00261DEF"/>
    <w:rsid w:val="002716AD"/>
    <w:rsid w:val="002744A1"/>
    <w:rsid w:val="0027707D"/>
    <w:rsid w:val="00295E6F"/>
    <w:rsid w:val="002A4072"/>
    <w:rsid w:val="002B39EE"/>
    <w:rsid w:val="002E1AE2"/>
    <w:rsid w:val="002F1E95"/>
    <w:rsid w:val="002F4234"/>
    <w:rsid w:val="002F72DF"/>
    <w:rsid w:val="003004C5"/>
    <w:rsid w:val="0031692E"/>
    <w:rsid w:val="003446CB"/>
    <w:rsid w:val="0034659D"/>
    <w:rsid w:val="00350757"/>
    <w:rsid w:val="003635FA"/>
    <w:rsid w:val="00366425"/>
    <w:rsid w:val="00372950"/>
    <w:rsid w:val="00375E60"/>
    <w:rsid w:val="00397930"/>
    <w:rsid w:val="003A074C"/>
    <w:rsid w:val="003B2382"/>
    <w:rsid w:val="003C7B0A"/>
    <w:rsid w:val="003E312E"/>
    <w:rsid w:val="00407464"/>
    <w:rsid w:val="0042105D"/>
    <w:rsid w:val="00447074"/>
    <w:rsid w:val="00463995"/>
    <w:rsid w:val="004A41A4"/>
    <w:rsid w:val="004A70EA"/>
    <w:rsid w:val="004B2790"/>
    <w:rsid w:val="004B35F3"/>
    <w:rsid w:val="004C7F7C"/>
    <w:rsid w:val="004D39F9"/>
    <w:rsid w:val="004D4103"/>
    <w:rsid w:val="00501A89"/>
    <w:rsid w:val="005246B8"/>
    <w:rsid w:val="00541F9D"/>
    <w:rsid w:val="0056104A"/>
    <w:rsid w:val="00561713"/>
    <w:rsid w:val="00573D66"/>
    <w:rsid w:val="005A6C69"/>
    <w:rsid w:val="005B2AC2"/>
    <w:rsid w:val="005D05C9"/>
    <w:rsid w:val="006107BD"/>
    <w:rsid w:val="00614595"/>
    <w:rsid w:val="00620ABC"/>
    <w:rsid w:val="006246D0"/>
    <w:rsid w:val="00650825"/>
    <w:rsid w:val="00666993"/>
    <w:rsid w:val="006844E0"/>
    <w:rsid w:val="006B637C"/>
    <w:rsid w:val="006C211B"/>
    <w:rsid w:val="006D0317"/>
    <w:rsid w:val="00711E7A"/>
    <w:rsid w:val="00721F20"/>
    <w:rsid w:val="00777C17"/>
    <w:rsid w:val="00786F1F"/>
    <w:rsid w:val="007A232E"/>
    <w:rsid w:val="007A43DB"/>
    <w:rsid w:val="007B29F7"/>
    <w:rsid w:val="007C0A0A"/>
    <w:rsid w:val="007D063F"/>
    <w:rsid w:val="007F20B8"/>
    <w:rsid w:val="0081504B"/>
    <w:rsid w:val="00827CD5"/>
    <w:rsid w:val="00833AB2"/>
    <w:rsid w:val="00872AF0"/>
    <w:rsid w:val="0087783D"/>
    <w:rsid w:val="00886F00"/>
    <w:rsid w:val="00890C3E"/>
    <w:rsid w:val="008E766F"/>
    <w:rsid w:val="0090579F"/>
    <w:rsid w:val="00911020"/>
    <w:rsid w:val="0094196B"/>
    <w:rsid w:val="00946A1D"/>
    <w:rsid w:val="00955603"/>
    <w:rsid w:val="009762E3"/>
    <w:rsid w:val="009777F1"/>
    <w:rsid w:val="0098669E"/>
    <w:rsid w:val="00986B28"/>
    <w:rsid w:val="009907F5"/>
    <w:rsid w:val="00991E86"/>
    <w:rsid w:val="00995461"/>
    <w:rsid w:val="009D4FC2"/>
    <w:rsid w:val="009D5B86"/>
    <w:rsid w:val="009F7E85"/>
    <w:rsid w:val="00A1308C"/>
    <w:rsid w:val="00A23389"/>
    <w:rsid w:val="00A45D7B"/>
    <w:rsid w:val="00A724BB"/>
    <w:rsid w:val="00A72780"/>
    <w:rsid w:val="00A75BCB"/>
    <w:rsid w:val="00A76A38"/>
    <w:rsid w:val="00A81481"/>
    <w:rsid w:val="00A85845"/>
    <w:rsid w:val="00A87233"/>
    <w:rsid w:val="00A9320F"/>
    <w:rsid w:val="00A95CF4"/>
    <w:rsid w:val="00A9605E"/>
    <w:rsid w:val="00A97DD4"/>
    <w:rsid w:val="00AF73C6"/>
    <w:rsid w:val="00B07D0C"/>
    <w:rsid w:val="00B20023"/>
    <w:rsid w:val="00B43ACD"/>
    <w:rsid w:val="00B52517"/>
    <w:rsid w:val="00B54A27"/>
    <w:rsid w:val="00B76E39"/>
    <w:rsid w:val="00B87929"/>
    <w:rsid w:val="00B93BD6"/>
    <w:rsid w:val="00BA79B5"/>
    <w:rsid w:val="00BB225D"/>
    <w:rsid w:val="00BD25F6"/>
    <w:rsid w:val="00BE01C1"/>
    <w:rsid w:val="00BF26F1"/>
    <w:rsid w:val="00C16D33"/>
    <w:rsid w:val="00C51B32"/>
    <w:rsid w:val="00C96638"/>
    <w:rsid w:val="00CB5DEB"/>
    <w:rsid w:val="00CB66EB"/>
    <w:rsid w:val="00CB7356"/>
    <w:rsid w:val="00CE456D"/>
    <w:rsid w:val="00CE792B"/>
    <w:rsid w:val="00CF4248"/>
    <w:rsid w:val="00CF51B6"/>
    <w:rsid w:val="00D03299"/>
    <w:rsid w:val="00D14E55"/>
    <w:rsid w:val="00D4511F"/>
    <w:rsid w:val="00D5314B"/>
    <w:rsid w:val="00D87941"/>
    <w:rsid w:val="00D923C9"/>
    <w:rsid w:val="00D970EA"/>
    <w:rsid w:val="00DE4934"/>
    <w:rsid w:val="00DE5CFE"/>
    <w:rsid w:val="00E042EF"/>
    <w:rsid w:val="00E05158"/>
    <w:rsid w:val="00E16819"/>
    <w:rsid w:val="00E242DE"/>
    <w:rsid w:val="00E26075"/>
    <w:rsid w:val="00E5357A"/>
    <w:rsid w:val="00E61F60"/>
    <w:rsid w:val="00E72BAE"/>
    <w:rsid w:val="00E86153"/>
    <w:rsid w:val="00E87141"/>
    <w:rsid w:val="00EA7037"/>
    <w:rsid w:val="00EC10D7"/>
    <w:rsid w:val="00EF563D"/>
    <w:rsid w:val="00F24396"/>
    <w:rsid w:val="00F26B75"/>
    <w:rsid w:val="00F4215A"/>
    <w:rsid w:val="00F77CA4"/>
    <w:rsid w:val="00F9217B"/>
    <w:rsid w:val="00FA13F0"/>
    <w:rsid w:val="00FA499C"/>
    <w:rsid w:val="00FA53FC"/>
    <w:rsid w:val="00FE7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A57F2"/>
  <w15:chartTrackingRefBased/>
  <w15:docId w15:val="{7129BE0D-CB99-D242-BB4E-F72A66FE1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6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6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46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6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6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6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6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6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6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6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6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4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6B8"/>
    <w:rPr>
      <w:rFonts w:eastAsiaTheme="majorEastAsia" w:cstheme="majorBidi"/>
      <w:color w:val="272727" w:themeColor="text1" w:themeTint="D8"/>
    </w:rPr>
  </w:style>
  <w:style w:type="paragraph" w:styleId="Title">
    <w:name w:val="Title"/>
    <w:basedOn w:val="Normal"/>
    <w:next w:val="Normal"/>
    <w:link w:val="TitleChar"/>
    <w:uiPriority w:val="10"/>
    <w:qFormat/>
    <w:rsid w:val="005246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6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6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46B8"/>
    <w:rPr>
      <w:i/>
      <w:iCs/>
      <w:color w:val="404040" w:themeColor="text1" w:themeTint="BF"/>
    </w:rPr>
  </w:style>
  <w:style w:type="paragraph" w:styleId="ListParagraph">
    <w:name w:val="List Paragraph"/>
    <w:basedOn w:val="Normal"/>
    <w:uiPriority w:val="34"/>
    <w:qFormat/>
    <w:rsid w:val="005246B8"/>
    <w:pPr>
      <w:ind w:left="720"/>
      <w:contextualSpacing/>
    </w:pPr>
  </w:style>
  <w:style w:type="character" w:styleId="IntenseEmphasis">
    <w:name w:val="Intense Emphasis"/>
    <w:basedOn w:val="DefaultParagraphFont"/>
    <w:uiPriority w:val="21"/>
    <w:qFormat/>
    <w:rsid w:val="005246B8"/>
    <w:rPr>
      <w:i/>
      <w:iCs/>
      <w:color w:val="0F4761" w:themeColor="accent1" w:themeShade="BF"/>
    </w:rPr>
  </w:style>
  <w:style w:type="paragraph" w:styleId="IntenseQuote">
    <w:name w:val="Intense Quote"/>
    <w:basedOn w:val="Normal"/>
    <w:next w:val="Normal"/>
    <w:link w:val="IntenseQuoteChar"/>
    <w:uiPriority w:val="30"/>
    <w:qFormat/>
    <w:rsid w:val="00524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6B8"/>
    <w:rPr>
      <w:i/>
      <w:iCs/>
      <w:color w:val="0F4761" w:themeColor="accent1" w:themeShade="BF"/>
    </w:rPr>
  </w:style>
  <w:style w:type="character" w:styleId="IntenseReference">
    <w:name w:val="Intense Reference"/>
    <w:basedOn w:val="DefaultParagraphFont"/>
    <w:uiPriority w:val="32"/>
    <w:qFormat/>
    <w:rsid w:val="005246B8"/>
    <w:rPr>
      <w:b/>
      <w:bCs/>
      <w:smallCaps/>
      <w:color w:val="0F4761" w:themeColor="accent1" w:themeShade="BF"/>
      <w:spacing w:val="5"/>
    </w:rPr>
  </w:style>
  <w:style w:type="paragraph" w:styleId="NoSpacing">
    <w:name w:val="No Spacing"/>
    <w:link w:val="NoSpacingChar"/>
    <w:uiPriority w:val="1"/>
    <w:qFormat/>
    <w:rsid w:val="005246B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246B8"/>
    <w:rPr>
      <w:rFonts w:eastAsiaTheme="minorEastAsia"/>
      <w:kern w:val="0"/>
      <w:sz w:val="22"/>
      <w:szCs w:val="22"/>
      <w:lang w:val="en-US" w:eastAsia="zh-CN"/>
      <w14:ligatures w14:val="none"/>
    </w:rPr>
  </w:style>
  <w:style w:type="character" w:styleId="Strong">
    <w:name w:val="Strong"/>
    <w:basedOn w:val="DefaultParagraphFont"/>
    <w:uiPriority w:val="22"/>
    <w:qFormat/>
    <w:rsid w:val="002F72DF"/>
    <w:rPr>
      <w:b/>
      <w:bCs/>
    </w:rPr>
  </w:style>
  <w:style w:type="character" w:customStyle="1" w:styleId="apple-converted-space">
    <w:name w:val="apple-converted-space"/>
    <w:basedOn w:val="DefaultParagraphFont"/>
    <w:rsid w:val="00D4511F"/>
  </w:style>
  <w:style w:type="paragraph" w:styleId="NormalWeb">
    <w:name w:val="Normal (Web)"/>
    <w:basedOn w:val="Normal"/>
    <w:uiPriority w:val="99"/>
    <w:semiHidden/>
    <w:unhideWhenUsed/>
    <w:rsid w:val="004B279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61713"/>
    <w:rPr>
      <w:i/>
      <w:iCs/>
    </w:rPr>
  </w:style>
  <w:style w:type="character" w:styleId="Hyperlink">
    <w:name w:val="Hyperlink"/>
    <w:basedOn w:val="DefaultParagraphFont"/>
    <w:uiPriority w:val="99"/>
    <w:unhideWhenUsed/>
    <w:rsid w:val="00117541"/>
    <w:rPr>
      <w:color w:val="467886" w:themeColor="hyperlink"/>
      <w:u w:val="single"/>
    </w:rPr>
  </w:style>
  <w:style w:type="character" w:styleId="UnresolvedMention">
    <w:name w:val="Unresolved Mention"/>
    <w:basedOn w:val="DefaultParagraphFont"/>
    <w:uiPriority w:val="99"/>
    <w:semiHidden/>
    <w:unhideWhenUsed/>
    <w:rsid w:val="00117541"/>
    <w:rPr>
      <w:color w:val="605E5C"/>
      <w:shd w:val="clear" w:color="auto" w:fill="E1DFDD"/>
    </w:rPr>
  </w:style>
  <w:style w:type="paragraph" w:styleId="Header">
    <w:name w:val="header"/>
    <w:basedOn w:val="Normal"/>
    <w:link w:val="HeaderChar"/>
    <w:uiPriority w:val="99"/>
    <w:unhideWhenUsed/>
    <w:rsid w:val="009D4FC2"/>
    <w:pPr>
      <w:tabs>
        <w:tab w:val="center" w:pos="4513"/>
        <w:tab w:val="right" w:pos="9026"/>
      </w:tabs>
    </w:pPr>
  </w:style>
  <w:style w:type="character" w:customStyle="1" w:styleId="HeaderChar">
    <w:name w:val="Header Char"/>
    <w:basedOn w:val="DefaultParagraphFont"/>
    <w:link w:val="Header"/>
    <w:uiPriority w:val="99"/>
    <w:rsid w:val="009D4FC2"/>
  </w:style>
  <w:style w:type="paragraph" w:styleId="Footer">
    <w:name w:val="footer"/>
    <w:basedOn w:val="Normal"/>
    <w:link w:val="FooterChar"/>
    <w:uiPriority w:val="99"/>
    <w:unhideWhenUsed/>
    <w:rsid w:val="009D4FC2"/>
    <w:pPr>
      <w:tabs>
        <w:tab w:val="center" w:pos="4513"/>
        <w:tab w:val="right" w:pos="9026"/>
      </w:tabs>
    </w:pPr>
  </w:style>
  <w:style w:type="character" w:customStyle="1" w:styleId="FooterChar">
    <w:name w:val="Footer Char"/>
    <w:basedOn w:val="DefaultParagraphFont"/>
    <w:link w:val="Footer"/>
    <w:uiPriority w:val="99"/>
    <w:rsid w:val="009D4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5722">
      <w:bodyDiv w:val="1"/>
      <w:marLeft w:val="0"/>
      <w:marRight w:val="0"/>
      <w:marTop w:val="0"/>
      <w:marBottom w:val="0"/>
      <w:divBdr>
        <w:top w:val="none" w:sz="0" w:space="0" w:color="auto"/>
        <w:left w:val="none" w:sz="0" w:space="0" w:color="auto"/>
        <w:bottom w:val="none" w:sz="0" w:space="0" w:color="auto"/>
        <w:right w:val="none" w:sz="0" w:space="0" w:color="auto"/>
      </w:divBdr>
      <w:divsChild>
        <w:div w:id="777874856">
          <w:marLeft w:val="0"/>
          <w:marRight w:val="0"/>
          <w:marTop w:val="0"/>
          <w:marBottom w:val="0"/>
          <w:divBdr>
            <w:top w:val="none" w:sz="0" w:space="0" w:color="auto"/>
            <w:left w:val="none" w:sz="0" w:space="0" w:color="auto"/>
            <w:bottom w:val="none" w:sz="0" w:space="0" w:color="auto"/>
            <w:right w:val="none" w:sz="0" w:space="0" w:color="auto"/>
          </w:divBdr>
        </w:div>
      </w:divsChild>
    </w:div>
    <w:div w:id="119343366">
      <w:bodyDiv w:val="1"/>
      <w:marLeft w:val="0"/>
      <w:marRight w:val="0"/>
      <w:marTop w:val="0"/>
      <w:marBottom w:val="0"/>
      <w:divBdr>
        <w:top w:val="none" w:sz="0" w:space="0" w:color="auto"/>
        <w:left w:val="none" w:sz="0" w:space="0" w:color="auto"/>
        <w:bottom w:val="none" w:sz="0" w:space="0" w:color="auto"/>
        <w:right w:val="none" w:sz="0" w:space="0" w:color="auto"/>
      </w:divBdr>
      <w:divsChild>
        <w:div w:id="1714039871">
          <w:marLeft w:val="0"/>
          <w:marRight w:val="0"/>
          <w:marTop w:val="0"/>
          <w:marBottom w:val="0"/>
          <w:divBdr>
            <w:top w:val="none" w:sz="0" w:space="0" w:color="auto"/>
            <w:left w:val="none" w:sz="0" w:space="0" w:color="auto"/>
            <w:bottom w:val="none" w:sz="0" w:space="0" w:color="auto"/>
            <w:right w:val="none" w:sz="0" w:space="0" w:color="auto"/>
          </w:divBdr>
          <w:divsChild>
            <w:div w:id="162212035">
              <w:marLeft w:val="0"/>
              <w:marRight w:val="0"/>
              <w:marTop w:val="0"/>
              <w:marBottom w:val="0"/>
              <w:divBdr>
                <w:top w:val="none" w:sz="0" w:space="0" w:color="auto"/>
                <w:left w:val="none" w:sz="0" w:space="0" w:color="auto"/>
                <w:bottom w:val="none" w:sz="0" w:space="0" w:color="auto"/>
                <w:right w:val="none" w:sz="0" w:space="0" w:color="auto"/>
              </w:divBdr>
              <w:divsChild>
                <w:div w:id="30829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61222">
      <w:bodyDiv w:val="1"/>
      <w:marLeft w:val="0"/>
      <w:marRight w:val="0"/>
      <w:marTop w:val="0"/>
      <w:marBottom w:val="0"/>
      <w:divBdr>
        <w:top w:val="none" w:sz="0" w:space="0" w:color="auto"/>
        <w:left w:val="none" w:sz="0" w:space="0" w:color="auto"/>
        <w:bottom w:val="none" w:sz="0" w:space="0" w:color="auto"/>
        <w:right w:val="none" w:sz="0" w:space="0" w:color="auto"/>
      </w:divBdr>
    </w:div>
    <w:div w:id="452211120">
      <w:bodyDiv w:val="1"/>
      <w:marLeft w:val="0"/>
      <w:marRight w:val="0"/>
      <w:marTop w:val="0"/>
      <w:marBottom w:val="0"/>
      <w:divBdr>
        <w:top w:val="none" w:sz="0" w:space="0" w:color="auto"/>
        <w:left w:val="none" w:sz="0" w:space="0" w:color="auto"/>
        <w:bottom w:val="none" w:sz="0" w:space="0" w:color="auto"/>
        <w:right w:val="none" w:sz="0" w:space="0" w:color="auto"/>
      </w:divBdr>
      <w:divsChild>
        <w:div w:id="1487866027">
          <w:marLeft w:val="0"/>
          <w:marRight w:val="0"/>
          <w:marTop w:val="0"/>
          <w:marBottom w:val="0"/>
          <w:divBdr>
            <w:top w:val="none" w:sz="0" w:space="0" w:color="auto"/>
            <w:left w:val="none" w:sz="0" w:space="0" w:color="auto"/>
            <w:bottom w:val="none" w:sz="0" w:space="0" w:color="auto"/>
            <w:right w:val="none" w:sz="0" w:space="0" w:color="auto"/>
          </w:divBdr>
        </w:div>
      </w:divsChild>
    </w:div>
    <w:div w:id="607083966">
      <w:bodyDiv w:val="1"/>
      <w:marLeft w:val="0"/>
      <w:marRight w:val="0"/>
      <w:marTop w:val="0"/>
      <w:marBottom w:val="0"/>
      <w:divBdr>
        <w:top w:val="none" w:sz="0" w:space="0" w:color="auto"/>
        <w:left w:val="none" w:sz="0" w:space="0" w:color="auto"/>
        <w:bottom w:val="none" w:sz="0" w:space="0" w:color="auto"/>
        <w:right w:val="none" w:sz="0" w:space="0" w:color="auto"/>
      </w:divBdr>
      <w:divsChild>
        <w:div w:id="904298009">
          <w:marLeft w:val="0"/>
          <w:marRight w:val="0"/>
          <w:marTop w:val="0"/>
          <w:marBottom w:val="0"/>
          <w:divBdr>
            <w:top w:val="none" w:sz="0" w:space="0" w:color="auto"/>
            <w:left w:val="none" w:sz="0" w:space="0" w:color="auto"/>
            <w:bottom w:val="none" w:sz="0" w:space="0" w:color="auto"/>
            <w:right w:val="none" w:sz="0" w:space="0" w:color="auto"/>
          </w:divBdr>
          <w:divsChild>
            <w:div w:id="1032148359">
              <w:marLeft w:val="0"/>
              <w:marRight w:val="0"/>
              <w:marTop w:val="0"/>
              <w:marBottom w:val="0"/>
              <w:divBdr>
                <w:top w:val="none" w:sz="0" w:space="0" w:color="auto"/>
                <w:left w:val="none" w:sz="0" w:space="0" w:color="auto"/>
                <w:bottom w:val="none" w:sz="0" w:space="0" w:color="auto"/>
                <w:right w:val="none" w:sz="0" w:space="0" w:color="auto"/>
              </w:divBdr>
              <w:divsChild>
                <w:div w:id="174433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687086">
      <w:bodyDiv w:val="1"/>
      <w:marLeft w:val="0"/>
      <w:marRight w:val="0"/>
      <w:marTop w:val="0"/>
      <w:marBottom w:val="0"/>
      <w:divBdr>
        <w:top w:val="none" w:sz="0" w:space="0" w:color="auto"/>
        <w:left w:val="none" w:sz="0" w:space="0" w:color="auto"/>
        <w:bottom w:val="none" w:sz="0" w:space="0" w:color="auto"/>
        <w:right w:val="none" w:sz="0" w:space="0" w:color="auto"/>
      </w:divBdr>
    </w:div>
    <w:div w:id="1475683106">
      <w:bodyDiv w:val="1"/>
      <w:marLeft w:val="0"/>
      <w:marRight w:val="0"/>
      <w:marTop w:val="0"/>
      <w:marBottom w:val="0"/>
      <w:divBdr>
        <w:top w:val="none" w:sz="0" w:space="0" w:color="auto"/>
        <w:left w:val="none" w:sz="0" w:space="0" w:color="auto"/>
        <w:bottom w:val="none" w:sz="0" w:space="0" w:color="auto"/>
        <w:right w:val="none" w:sz="0" w:space="0" w:color="auto"/>
      </w:divBdr>
      <w:divsChild>
        <w:div w:id="520321248">
          <w:marLeft w:val="0"/>
          <w:marRight w:val="0"/>
          <w:marTop w:val="0"/>
          <w:marBottom w:val="0"/>
          <w:divBdr>
            <w:top w:val="none" w:sz="0" w:space="0" w:color="auto"/>
            <w:left w:val="none" w:sz="0" w:space="0" w:color="auto"/>
            <w:bottom w:val="none" w:sz="0" w:space="0" w:color="auto"/>
            <w:right w:val="none" w:sz="0" w:space="0" w:color="auto"/>
          </w:divBdr>
          <w:divsChild>
            <w:div w:id="63433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883475">
      <w:bodyDiv w:val="1"/>
      <w:marLeft w:val="0"/>
      <w:marRight w:val="0"/>
      <w:marTop w:val="0"/>
      <w:marBottom w:val="0"/>
      <w:divBdr>
        <w:top w:val="none" w:sz="0" w:space="0" w:color="auto"/>
        <w:left w:val="none" w:sz="0" w:space="0" w:color="auto"/>
        <w:bottom w:val="none" w:sz="0" w:space="0" w:color="auto"/>
        <w:right w:val="none" w:sz="0" w:space="0" w:color="auto"/>
      </w:divBdr>
    </w:div>
    <w:div w:id="177925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952/9781447307457" TargetMode="External"/><Relationship Id="rId3" Type="http://schemas.openxmlformats.org/officeDocument/2006/relationships/settings" Target="settings.xml"/><Relationship Id="rId7" Type="http://schemas.openxmlformats.org/officeDocument/2006/relationships/hyperlink" Target="https://doi.org/10.1016/j.avb.2019.02.0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2700</TotalTime>
  <Pages>10</Pages>
  <Words>2653</Words>
  <Characters>16955</Characters>
  <Application>Microsoft Office Word</Application>
  <DocSecurity>0</DocSecurity>
  <Lines>287</Lines>
  <Paragraphs>39</Paragraphs>
  <ScaleCrop>false</ScaleCrop>
  <Company/>
  <LinksUpToDate>false</LinksUpToDate>
  <CharactersWithSpaces>19569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the cycle of abuse and its impact on victims. How can this cycle be broken, and what role does early intervention play?</dc:title>
  <dc:subject/>
  <dc:creator>Kimberley Collins (2223837)</dc:creator>
  <cp:keywords/>
  <dc:description/>
  <cp:lastModifiedBy>Kimberley Collins (2223837)</cp:lastModifiedBy>
  <cp:revision>181</cp:revision>
  <dcterms:created xsi:type="dcterms:W3CDTF">2024-10-15T13:01:00Z</dcterms:created>
  <dcterms:modified xsi:type="dcterms:W3CDTF">2024-11-07T16:40:00Z</dcterms:modified>
</cp:coreProperties>
</file>