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657EFB" w14:textId="0DE6AFC1" w:rsidR="00B06148" w:rsidRPr="00257488" w:rsidRDefault="00D432B5" w:rsidP="00257488">
      <w:pPr>
        <w:spacing w:line="480" w:lineRule="auto"/>
        <w:rPr>
          <w:rFonts w:cstheme="minorHAnsi"/>
          <w:sz w:val="24"/>
          <w:szCs w:val="24"/>
        </w:rPr>
      </w:pPr>
      <w:r w:rsidRPr="00257488">
        <w:rPr>
          <w:rFonts w:cstheme="minorHAnsi"/>
          <w:sz w:val="24"/>
          <w:szCs w:val="24"/>
        </w:rPr>
        <w:t xml:space="preserve">An easement allows </w:t>
      </w:r>
      <w:r w:rsidR="003C436B" w:rsidRPr="00257488">
        <w:rPr>
          <w:rFonts w:cstheme="minorHAnsi"/>
          <w:sz w:val="24"/>
          <w:szCs w:val="24"/>
        </w:rPr>
        <w:t>a</w:t>
      </w:r>
      <w:r w:rsidRPr="00257488">
        <w:rPr>
          <w:rFonts w:cstheme="minorHAnsi"/>
          <w:sz w:val="24"/>
          <w:szCs w:val="24"/>
        </w:rPr>
        <w:t xml:space="preserve"> landowner</w:t>
      </w:r>
      <w:r w:rsidR="003C436B" w:rsidRPr="00257488">
        <w:rPr>
          <w:rFonts w:cstheme="minorHAnsi"/>
          <w:sz w:val="24"/>
          <w:szCs w:val="24"/>
        </w:rPr>
        <w:t xml:space="preserve"> a limited</w:t>
      </w:r>
      <w:r w:rsidRPr="00257488">
        <w:rPr>
          <w:rFonts w:cstheme="minorHAnsi"/>
          <w:sz w:val="24"/>
          <w:szCs w:val="24"/>
        </w:rPr>
        <w:t xml:space="preserve"> right to use the land of another and as described in </w:t>
      </w:r>
      <w:r w:rsidRPr="00257488">
        <w:rPr>
          <w:rFonts w:cstheme="minorHAnsi"/>
          <w:i/>
          <w:iCs/>
          <w:sz w:val="24"/>
          <w:szCs w:val="24"/>
        </w:rPr>
        <w:t>Dudley v Ross “when a man grants a house, he grants that which is necessary for the existence of that house.”</w:t>
      </w:r>
      <w:r w:rsidR="00B7664C" w:rsidRPr="00257488">
        <w:rPr>
          <w:rFonts w:cstheme="minorHAnsi"/>
          <w:sz w:val="24"/>
          <w:szCs w:val="24"/>
        </w:rPr>
        <w:t xml:space="preserve"> </w:t>
      </w:r>
      <w:r w:rsidR="00237AE0" w:rsidRPr="00257488">
        <w:rPr>
          <w:rFonts w:cstheme="minorHAnsi"/>
          <w:sz w:val="24"/>
          <w:szCs w:val="24"/>
        </w:rPr>
        <w:t xml:space="preserve">The importance of easements has been laid down in </w:t>
      </w:r>
      <w:r w:rsidR="00237AE0" w:rsidRPr="00257488">
        <w:rPr>
          <w:rFonts w:cstheme="minorHAnsi"/>
          <w:i/>
          <w:iCs/>
          <w:sz w:val="24"/>
          <w:szCs w:val="24"/>
        </w:rPr>
        <w:t>Wall v Collins and Anor</w:t>
      </w:r>
      <w:r w:rsidR="00237AE0" w:rsidRPr="00257488">
        <w:rPr>
          <w:rFonts w:cstheme="minorHAnsi"/>
          <w:sz w:val="24"/>
          <w:szCs w:val="24"/>
        </w:rPr>
        <w:t xml:space="preserve"> as “</w:t>
      </w:r>
      <w:r w:rsidR="00237AE0" w:rsidRPr="00257488">
        <w:rPr>
          <w:rFonts w:cstheme="minorHAnsi"/>
          <w:i/>
          <w:iCs/>
          <w:sz w:val="24"/>
          <w:szCs w:val="24"/>
        </w:rPr>
        <w:t>Without easements it may be very difficult if not impossible to enjoy the benefits of land ownership</w:t>
      </w:r>
      <w:r w:rsidR="00237AE0" w:rsidRPr="00257488">
        <w:rPr>
          <w:rFonts w:cstheme="minorHAnsi"/>
          <w:sz w:val="24"/>
          <w:szCs w:val="24"/>
        </w:rPr>
        <w:t xml:space="preserve">.” </w:t>
      </w:r>
      <w:r w:rsidR="00B7664C" w:rsidRPr="00257488">
        <w:rPr>
          <w:rFonts w:cstheme="minorHAnsi"/>
          <w:sz w:val="24"/>
          <w:szCs w:val="24"/>
        </w:rPr>
        <w:t xml:space="preserve">This proprietary right must fulfil certain conditions </w:t>
      </w:r>
      <w:proofErr w:type="gramStart"/>
      <w:r w:rsidR="00B7664C" w:rsidRPr="00257488">
        <w:rPr>
          <w:rFonts w:cstheme="minorHAnsi"/>
          <w:sz w:val="24"/>
          <w:szCs w:val="24"/>
        </w:rPr>
        <w:t>in order to</w:t>
      </w:r>
      <w:proofErr w:type="gramEnd"/>
      <w:r w:rsidR="00B7664C" w:rsidRPr="00257488">
        <w:rPr>
          <w:rFonts w:cstheme="minorHAnsi"/>
          <w:sz w:val="24"/>
          <w:szCs w:val="24"/>
        </w:rPr>
        <w:t xml:space="preserve"> be validly recognised as an easement. </w:t>
      </w:r>
      <w:r w:rsidR="00641523" w:rsidRPr="00257488">
        <w:rPr>
          <w:rFonts w:cstheme="minorHAnsi"/>
          <w:sz w:val="24"/>
          <w:szCs w:val="24"/>
        </w:rPr>
        <w:t xml:space="preserve">If proven successfully, easement can pass from one purchaser to the other since it is a proprietary right instead of personal one. </w:t>
      </w:r>
      <w:r w:rsidR="00334123" w:rsidRPr="00257488">
        <w:rPr>
          <w:rFonts w:cstheme="minorHAnsi"/>
          <w:sz w:val="24"/>
          <w:szCs w:val="24"/>
        </w:rPr>
        <w:t xml:space="preserve">The answer below will discuss the capability of a right becoming an easement as per the Re Ellenborough </w:t>
      </w:r>
      <w:r w:rsidR="00893B59" w:rsidRPr="00257488">
        <w:rPr>
          <w:rFonts w:cstheme="minorHAnsi"/>
          <w:sz w:val="24"/>
          <w:szCs w:val="24"/>
        </w:rPr>
        <w:t xml:space="preserve">Park </w:t>
      </w:r>
      <w:r w:rsidR="00334123" w:rsidRPr="00257488">
        <w:rPr>
          <w:rFonts w:cstheme="minorHAnsi"/>
          <w:sz w:val="24"/>
          <w:szCs w:val="24"/>
        </w:rPr>
        <w:t>criteria</w:t>
      </w:r>
      <w:r w:rsidR="00692A1B" w:rsidRPr="00257488">
        <w:rPr>
          <w:rFonts w:cstheme="minorHAnsi"/>
          <w:sz w:val="24"/>
          <w:szCs w:val="24"/>
        </w:rPr>
        <w:t xml:space="preserve"> and creation of easements along with relevant case laws.</w:t>
      </w:r>
    </w:p>
    <w:p w14:paraId="751BDBFB" w14:textId="77777777" w:rsidR="005252D4" w:rsidRPr="00257488" w:rsidRDefault="00692A1B" w:rsidP="00257488">
      <w:pPr>
        <w:spacing w:line="480" w:lineRule="auto"/>
        <w:rPr>
          <w:rFonts w:cstheme="minorHAnsi"/>
          <w:sz w:val="24"/>
          <w:szCs w:val="24"/>
        </w:rPr>
      </w:pPr>
      <w:r w:rsidRPr="00257488">
        <w:rPr>
          <w:rFonts w:cstheme="minorHAnsi"/>
          <w:sz w:val="24"/>
          <w:szCs w:val="24"/>
        </w:rPr>
        <w:t xml:space="preserve">The starting point of determining whether a right has the capability of becoming an easement relates to examining the criteria laid down by </w:t>
      </w:r>
      <w:r w:rsidRPr="00257488">
        <w:rPr>
          <w:rFonts w:cstheme="minorHAnsi"/>
          <w:i/>
          <w:iCs/>
          <w:sz w:val="24"/>
          <w:szCs w:val="24"/>
        </w:rPr>
        <w:t>Re Ellenborough</w:t>
      </w:r>
      <w:r w:rsidR="00893B59" w:rsidRPr="00257488">
        <w:rPr>
          <w:rFonts w:cstheme="minorHAnsi"/>
          <w:i/>
          <w:iCs/>
          <w:sz w:val="24"/>
          <w:szCs w:val="24"/>
        </w:rPr>
        <w:t xml:space="preserve"> Park (1956). </w:t>
      </w:r>
      <w:r w:rsidR="00921ACC" w:rsidRPr="00257488">
        <w:rPr>
          <w:rFonts w:cstheme="minorHAnsi"/>
          <w:sz w:val="24"/>
          <w:szCs w:val="24"/>
        </w:rPr>
        <w:t xml:space="preserve">In this case, the owners sold their land to different purchasers and added in the conveyance that purchasers would have ‘full enjoyment’ of Ellenborough Park. The enjoyment rights </w:t>
      </w:r>
      <w:proofErr w:type="gramStart"/>
      <w:r w:rsidR="00921ACC" w:rsidRPr="00257488">
        <w:rPr>
          <w:rFonts w:cstheme="minorHAnsi"/>
          <w:sz w:val="24"/>
          <w:szCs w:val="24"/>
        </w:rPr>
        <w:t>were considered to be</w:t>
      </w:r>
      <w:proofErr w:type="gramEnd"/>
      <w:r w:rsidR="00921ACC" w:rsidRPr="00257488">
        <w:rPr>
          <w:rFonts w:cstheme="minorHAnsi"/>
          <w:sz w:val="24"/>
          <w:szCs w:val="24"/>
        </w:rPr>
        <w:t xml:space="preserve"> valid since they </w:t>
      </w:r>
      <w:r w:rsidR="005252D4" w:rsidRPr="00257488">
        <w:rPr>
          <w:rFonts w:cstheme="minorHAnsi"/>
          <w:sz w:val="24"/>
          <w:szCs w:val="24"/>
        </w:rPr>
        <w:t xml:space="preserve">qualified </w:t>
      </w:r>
      <w:r w:rsidR="00921ACC" w:rsidRPr="00257488">
        <w:rPr>
          <w:rFonts w:cstheme="minorHAnsi"/>
          <w:sz w:val="24"/>
          <w:szCs w:val="24"/>
        </w:rPr>
        <w:t xml:space="preserve">as easements. </w:t>
      </w:r>
      <w:r w:rsidR="005252D4" w:rsidRPr="00257488">
        <w:rPr>
          <w:rFonts w:cstheme="minorHAnsi"/>
          <w:sz w:val="24"/>
          <w:szCs w:val="24"/>
        </w:rPr>
        <w:t xml:space="preserve">However, Re Ellenborough laid down certain ground rules which need to be fulfilled </w:t>
      </w:r>
      <w:proofErr w:type="gramStart"/>
      <w:r w:rsidR="005252D4" w:rsidRPr="00257488">
        <w:rPr>
          <w:rFonts w:cstheme="minorHAnsi"/>
          <w:sz w:val="24"/>
          <w:szCs w:val="24"/>
        </w:rPr>
        <w:t>in order for</w:t>
      </w:r>
      <w:proofErr w:type="gramEnd"/>
      <w:r w:rsidR="005252D4" w:rsidRPr="00257488">
        <w:rPr>
          <w:rFonts w:cstheme="minorHAnsi"/>
          <w:sz w:val="24"/>
          <w:szCs w:val="24"/>
        </w:rPr>
        <w:t xml:space="preserve"> a right to become an easement.</w:t>
      </w:r>
    </w:p>
    <w:p w14:paraId="5FFC86F3" w14:textId="0D588213" w:rsidR="00692A1B" w:rsidRPr="00257488" w:rsidRDefault="005252D4" w:rsidP="00257488">
      <w:pPr>
        <w:spacing w:line="480" w:lineRule="auto"/>
        <w:rPr>
          <w:rFonts w:cstheme="minorHAnsi"/>
          <w:sz w:val="24"/>
          <w:szCs w:val="24"/>
        </w:rPr>
      </w:pPr>
      <w:r w:rsidRPr="00257488">
        <w:rPr>
          <w:rFonts w:cstheme="minorHAnsi"/>
          <w:sz w:val="24"/>
          <w:szCs w:val="24"/>
        </w:rPr>
        <w:t xml:space="preserve">The first prong is that there must be </w:t>
      </w:r>
      <w:r w:rsidR="00641523" w:rsidRPr="00257488">
        <w:rPr>
          <w:rFonts w:cstheme="minorHAnsi"/>
          <w:sz w:val="24"/>
          <w:szCs w:val="24"/>
        </w:rPr>
        <w:t xml:space="preserve">an </w:t>
      </w:r>
      <w:r w:rsidRPr="00257488">
        <w:rPr>
          <w:rFonts w:cstheme="minorHAnsi"/>
          <w:sz w:val="24"/>
          <w:szCs w:val="24"/>
        </w:rPr>
        <w:t xml:space="preserve">existence of a dominant tenement and a servient tenement. </w:t>
      </w:r>
      <w:r w:rsidR="005B1FD6" w:rsidRPr="00257488">
        <w:rPr>
          <w:rFonts w:cstheme="minorHAnsi"/>
          <w:sz w:val="24"/>
          <w:szCs w:val="24"/>
        </w:rPr>
        <w:t>This means that there must be two</w:t>
      </w:r>
      <w:r w:rsidR="00332082" w:rsidRPr="00257488">
        <w:rPr>
          <w:rFonts w:cstheme="minorHAnsi"/>
          <w:sz w:val="24"/>
          <w:szCs w:val="24"/>
        </w:rPr>
        <w:t>, clear</w:t>
      </w:r>
      <w:r w:rsidR="005B1FD6" w:rsidRPr="00257488">
        <w:rPr>
          <w:rFonts w:cstheme="minorHAnsi"/>
          <w:sz w:val="24"/>
          <w:szCs w:val="24"/>
        </w:rPr>
        <w:t xml:space="preserve"> pieces of land. The servient tenement is one over which the right is exercised whereas dominant tenement benefits from the right being exercised on the servient tenement. In simple terms,</w:t>
      </w:r>
      <w:r w:rsidRPr="00257488">
        <w:rPr>
          <w:rFonts w:cstheme="minorHAnsi"/>
          <w:sz w:val="24"/>
          <w:szCs w:val="24"/>
        </w:rPr>
        <w:t xml:space="preserve"> there </w:t>
      </w:r>
      <w:proofErr w:type="gramStart"/>
      <w:r w:rsidR="0080650C" w:rsidRPr="00257488">
        <w:rPr>
          <w:rFonts w:cstheme="minorHAnsi"/>
          <w:sz w:val="24"/>
          <w:szCs w:val="24"/>
        </w:rPr>
        <w:t>has to</w:t>
      </w:r>
      <w:proofErr w:type="gramEnd"/>
      <w:r w:rsidR="0080650C" w:rsidRPr="00257488">
        <w:rPr>
          <w:rFonts w:cstheme="minorHAnsi"/>
          <w:sz w:val="24"/>
          <w:szCs w:val="24"/>
        </w:rPr>
        <w:t xml:space="preserve"> be a</w:t>
      </w:r>
      <w:r w:rsidRPr="00257488">
        <w:rPr>
          <w:rFonts w:cstheme="minorHAnsi"/>
          <w:sz w:val="24"/>
          <w:szCs w:val="24"/>
        </w:rPr>
        <w:t xml:space="preserve"> benefitted land and a burdened land. The burdened</w:t>
      </w:r>
      <w:r w:rsidR="0080650C" w:rsidRPr="00257488">
        <w:rPr>
          <w:rFonts w:cstheme="minorHAnsi"/>
          <w:sz w:val="24"/>
          <w:szCs w:val="24"/>
        </w:rPr>
        <w:t xml:space="preserve"> land</w:t>
      </w:r>
      <w:r w:rsidRPr="00257488">
        <w:rPr>
          <w:rFonts w:cstheme="minorHAnsi"/>
          <w:sz w:val="24"/>
          <w:szCs w:val="24"/>
        </w:rPr>
        <w:t xml:space="preserve"> is the servient tenement and the land which is benefitting from the burdened land is dominant tenement (</w:t>
      </w:r>
      <w:proofErr w:type="spellStart"/>
      <w:r w:rsidRPr="00257488">
        <w:rPr>
          <w:rFonts w:cstheme="minorHAnsi"/>
          <w:i/>
          <w:iCs/>
          <w:sz w:val="24"/>
          <w:szCs w:val="24"/>
        </w:rPr>
        <w:t>Blenhiem</w:t>
      </w:r>
      <w:proofErr w:type="spellEnd"/>
      <w:r w:rsidRPr="00257488">
        <w:rPr>
          <w:rFonts w:cstheme="minorHAnsi"/>
          <w:i/>
          <w:iCs/>
          <w:sz w:val="24"/>
          <w:szCs w:val="24"/>
        </w:rPr>
        <w:t xml:space="preserve"> v. Ladbroke</w:t>
      </w:r>
      <w:r w:rsidRPr="00257488">
        <w:rPr>
          <w:rFonts w:cstheme="minorHAnsi"/>
          <w:sz w:val="24"/>
          <w:szCs w:val="24"/>
        </w:rPr>
        <w:t>).</w:t>
      </w:r>
      <w:r w:rsidR="00797833" w:rsidRPr="00257488">
        <w:rPr>
          <w:rFonts w:cstheme="minorHAnsi"/>
          <w:sz w:val="24"/>
          <w:szCs w:val="24"/>
        </w:rPr>
        <w:t xml:space="preserve"> This criterion is central to the nature of easement. </w:t>
      </w:r>
      <w:r w:rsidR="00641523" w:rsidRPr="00257488">
        <w:rPr>
          <w:rFonts w:cstheme="minorHAnsi"/>
          <w:sz w:val="24"/>
          <w:szCs w:val="24"/>
        </w:rPr>
        <w:t xml:space="preserve">Moreover, </w:t>
      </w:r>
      <w:proofErr w:type="gramStart"/>
      <w:r w:rsidR="00641523" w:rsidRPr="00257488">
        <w:rPr>
          <w:rFonts w:cstheme="minorHAnsi"/>
          <w:sz w:val="24"/>
          <w:szCs w:val="24"/>
        </w:rPr>
        <w:t>in order to</w:t>
      </w:r>
      <w:proofErr w:type="gramEnd"/>
      <w:r w:rsidR="00641523" w:rsidRPr="00257488">
        <w:rPr>
          <w:rFonts w:cstheme="minorHAnsi"/>
          <w:sz w:val="24"/>
          <w:szCs w:val="24"/>
        </w:rPr>
        <w:t xml:space="preserve"> prove the existence of </w:t>
      </w:r>
      <w:r w:rsidR="00641523" w:rsidRPr="00257488">
        <w:rPr>
          <w:rFonts w:cstheme="minorHAnsi"/>
          <w:sz w:val="24"/>
          <w:szCs w:val="24"/>
        </w:rPr>
        <w:lastRenderedPageBreak/>
        <w:t xml:space="preserve">the two tenements, they must be readily identifiable. This means that upon inspection, the tenements must be visible to the </w:t>
      </w:r>
      <w:r w:rsidR="000752ED" w:rsidRPr="00257488">
        <w:rPr>
          <w:rFonts w:cstheme="minorHAnsi"/>
          <w:sz w:val="24"/>
          <w:szCs w:val="24"/>
        </w:rPr>
        <w:t>person who is present on the land (</w:t>
      </w:r>
      <w:r w:rsidR="000752ED" w:rsidRPr="00257488">
        <w:rPr>
          <w:rFonts w:cstheme="minorHAnsi"/>
          <w:i/>
          <w:iCs/>
          <w:sz w:val="24"/>
          <w:szCs w:val="24"/>
        </w:rPr>
        <w:t xml:space="preserve">Thorpe v </w:t>
      </w:r>
      <w:proofErr w:type="spellStart"/>
      <w:r w:rsidR="000752ED" w:rsidRPr="00257488">
        <w:rPr>
          <w:rFonts w:cstheme="minorHAnsi"/>
          <w:i/>
          <w:iCs/>
          <w:sz w:val="24"/>
          <w:szCs w:val="24"/>
        </w:rPr>
        <w:t>Brumfitt</w:t>
      </w:r>
      <w:proofErr w:type="spellEnd"/>
      <w:r w:rsidR="000752ED" w:rsidRPr="00257488">
        <w:rPr>
          <w:rFonts w:cstheme="minorHAnsi"/>
          <w:sz w:val="24"/>
          <w:szCs w:val="24"/>
        </w:rPr>
        <w:t xml:space="preserve">). </w:t>
      </w:r>
    </w:p>
    <w:p w14:paraId="14A3468F" w14:textId="2AFA34E3" w:rsidR="005252D4" w:rsidRPr="00257488" w:rsidRDefault="00D5545B" w:rsidP="00257488">
      <w:pPr>
        <w:spacing w:line="480" w:lineRule="auto"/>
        <w:rPr>
          <w:rFonts w:cstheme="minorHAnsi"/>
          <w:sz w:val="24"/>
          <w:szCs w:val="24"/>
        </w:rPr>
      </w:pPr>
      <w:r w:rsidRPr="00257488">
        <w:rPr>
          <w:rFonts w:cstheme="minorHAnsi"/>
          <w:sz w:val="24"/>
          <w:szCs w:val="24"/>
        </w:rPr>
        <w:t xml:space="preserve">The second requirement is concerned with the separation of the dominant and servient tenement. This means that the two pieces of land must be owned by two different people. Because easement is a right on another’s land, the land cannot be owned and occupied by one person </w:t>
      </w:r>
      <w:r w:rsidR="00D41CD2" w:rsidRPr="00257488">
        <w:rPr>
          <w:rFonts w:cstheme="minorHAnsi"/>
          <w:sz w:val="24"/>
          <w:szCs w:val="24"/>
        </w:rPr>
        <w:t xml:space="preserve">as evident from </w:t>
      </w:r>
      <w:r w:rsidR="00D41CD2" w:rsidRPr="00257488">
        <w:rPr>
          <w:rFonts w:cstheme="minorHAnsi"/>
          <w:i/>
          <w:iCs/>
          <w:sz w:val="24"/>
          <w:szCs w:val="24"/>
        </w:rPr>
        <w:t>Roe v Siddons</w:t>
      </w:r>
      <w:r w:rsidR="00D41CD2" w:rsidRPr="00257488">
        <w:rPr>
          <w:rFonts w:cstheme="minorHAnsi"/>
          <w:sz w:val="24"/>
          <w:szCs w:val="24"/>
        </w:rPr>
        <w:t xml:space="preserve"> and Law Commission, Law Comm 327 (2011). </w:t>
      </w:r>
      <w:r w:rsidR="00D63713" w:rsidRPr="00257488">
        <w:rPr>
          <w:rFonts w:cstheme="minorHAnsi"/>
          <w:sz w:val="24"/>
          <w:szCs w:val="24"/>
        </w:rPr>
        <w:t>The necessity for separate ownership of the dominant and servient land may prove to be inconvenient when housing estates are being developed</w:t>
      </w:r>
      <w:r w:rsidR="00237AE0" w:rsidRPr="00257488">
        <w:rPr>
          <w:rFonts w:cstheme="minorHAnsi"/>
          <w:sz w:val="24"/>
          <w:szCs w:val="24"/>
        </w:rPr>
        <w:t xml:space="preserve">. This </w:t>
      </w:r>
      <w:proofErr w:type="gramStart"/>
      <w:r w:rsidR="00237AE0" w:rsidRPr="00257488">
        <w:rPr>
          <w:rFonts w:cstheme="minorHAnsi"/>
          <w:sz w:val="24"/>
          <w:szCs w:val="24"/>
        </w:rPr>
        <w:t>due to the fact that</w:t>
      </w:r>
      <w:proofErr w:type="gramEnd"/>
      <w:r w:rsidR="00237AE0" w:rsidRPr="00257488">
        <w:rPr>
          <w:rFonts w:cstheme="minorHAnsi"/>
          <w:sz w:val="24"/>
          <w:szCs w:val="24"/>
        </w:rPr>
        <w:t xml:space="preserve"> </w:t>
      </w:r>
      <w:r w:rsidR="00D63713" w:rsidRPr="00257488">
        <w:rPr>
          <w:rFonts w:cstheme="minorHAnsi"/>
          <w:sz w:val="24"/>
          <w:szCs w:val="24"/>
        </w:rPr>
        <w:t xml:space="preserve">developers </w:t>
      </w:r>
      <w:r w:rsidR="00237AE0" w:rsidRPr="00257488">
        <w:rPr>
          <w:rFonts w:cstheme="minorHAnsi"/>
          <w:sz w:val="24"/>
          <w:szCs w:val="24"/>
        </w:rPr>
        <w:t>are generally</w:t>
      </w:r>
      <w:r w:rsidR="00D63713" w:rsidRPr="00257488">
        <w:rPr>
          <w:rFonts w:cstheme="minorHAnsi"/>
          <w:sz w:val="24"/>
          <w:szCs w:val="24"/>
        </w:rPr>
        <w:t xml:space="preserve"> unable to create easements between the plots whilst the plots remain in their common ownership. The</w:t>
      </w:r>
      <w:r w:rsidR="00237AE0" w:rsidRPr="00257488">
        <w:rPr>
          <w:rFonts w:cstheme="minorHAnsi"/>
          <w:sz w:val="24"/>
          <w:szCs w:val="24"/>
        </w:rPr>
        <w:t>refore,</w:t>
      </w:r>
      <w:r w:rsidR="00D63713" w:rsidRPr="00257488">
        <w:rPr>
          <w:rFonts w:cstheme="minorHAnsi"/>
          <w:sz w:val="24"/>
          <w:szCs w:val="24"/>
        </w:rPr>
        <w:t xml:space="preserve"> Law Commission </w:t>
      </w:r>
      <w:r w:rsidR="00237AE0" w:rsidRPr="00257488">
        <w:rPr>
          <w:rFonts w:cstheme="minorHAnsi"/>
          <w:sz w:val="24"/>
          <w:szCs w:val="24"/>
        </w:rPr>
        <w:t>recommended that with regards to</w:t>
      </w:r>
      <w:r w:rsidR="00D63713" w:rsidRPr="00257488">
        <w:rPr>
          <w:rFonts w:cstheme="minorHAnsi"/>
          <w:sz w:val="24"/>
          <w:szCs w:val="24"/>
        </w:rPr>
        <w:t xml:space="preserve"> registered titles, it should be possible for an easement to </w:t>
      </w:r>
      <w:r w:rsidR="00237AE0" w:rsidRPr="00257488">
        <w:rPr>
          <w:rFonts w:cstheme="minorHAnsi"/>
          <w:sz w:val="24"/>
          <w:szCs w:val="24"/>
        </w:rPr>
        <w:t xml:space="preserve">be created </w:t>
      </w:r>
      <w:r w:rsidR="00D63713" w:rsidRPr="00257488">
        <w:rPr>
          <w:rFonts w:cstheme="minorHAnsi"/>
          <w:sz w:val="24"/>
          <w:szCs w:val="24"/>
        </w:rPr>
        <w:t xml:space="preserve">where the dominant and servient land are owned by the same person but held under separate registered titles. </w:t>
      </w:r>
      <w:r w:rsidR="00D41CD2" w:rsidRPr="00257488">
        <w:rPr>
          <w:rFonts w:cstheme="minorHAnsi"/>
          <w:sz w:val="24"/>
          <w:szCs w:val="24"/>
        </w:rPr>
        <w:t xml:space="preserve">However, it must be noted that there cannot be a creation of easement if the servient tenement, or </w:t>
      </w:r>
      <w:proofErr w:type="gramStart"/>
      <w:r w:rsidR="00D41CD2" w:rsidRPr="00257488">
        <w:rPr>
          <w:rFonts w:cstheme="minorHAnsi"/>
          <w:sz w:val="24"/>
          <w:szCs w:val="24"/>
        </w:rPr>
        <w:t>land owner</w:t>
      </w:r>
      <w:proofErr w:type="gramEnd"/>
      <w:r w:rsidR="00D41CD2" w:rsidRPr="00257488">
        <w:rPr>
          <w:rFonts w:cstheme="minorHAnsi"/>
          <w:sz w:val="24"/>
          <w:szCs w:val="24"/>
        </w:rPr>
        <w:t xml:space="preserve">, is a licensee. This is because the licensee does not own the estate and as such, there is no easement between the estate owner and the dominant tenement. This was held in </w:t>
      </w:r>
      <w:r w:rsidR="00D41CD2" w:rsidRPr="00257488">
        <w:rPr>
          <w:rFonts w:cstheme="minorHAnsi"/>
          <w:i/>
          <w:iCs/>
          <w:sz w:val="24"/>
          <w:szCs w:val="24"/>
        </w:rPr>
        <w:t>Bruton v. London &amp; Quadrant (1999).</w:t>
      </w:r>
      <w:r w:rsidR="00D63713" w:rsidRPr="00257488">
        <w:rPr>
          <w:rFonts w:cstheme="minorHAnsi"/>
          <w:sz w:val="24"/>
          <w:szCs w:val="24"/>
        </w:rPr>
        <w:t xml:space="preserve"> </w:t>
      </w:r>
      <w:r w:rsidR="00637796" w:rsidRPr="00257488">
        <w:rPr>
          <w:rFonts w:cstheme="minorHAnsi"/>
          <w:sz w:val="24"/>
          <w:szCs w:val="24"/>
        </w:rPr>
        <w:t xml:space="preserve">This highlights the fact that </w:t>
      </w:r>
    </w:p>
    <w:p w14:paraId="09F1B359" w14:textId="64505963" w:rsidR="00637796" w:rsidRPr="00257488" w:rsidRDefault="00237AE0" w:rsidP="00257488">
      <w:pPr>
        <w:spacing w:line="480" w:lineRule="auto"/>
        <w:rPr>
          <w:rFonts w:cstheme="minorHAnsi"/>
          <w:sz w:val="24"/>
          <w:szCs w:val="24"/>
        </w:rPr>
      </w:pPr>
      <w:r w:rsidRPr="00257488">
        <w:rPr>
          <w:rFonts w:cstheme="minorHAnsi"/>
          <w:sz w:val="24"/>
          <w:szCs w:val="24"/>
        </w:rPr>
        <w:t xml:space="preserve">The third condition </w:t>
      </w:r>
      <w:r w:rsidR="00AB542F" w:rsidRPr="00257488">
        <w:rPr>
          <w:rFonts w:cstheme="minorHAnsi"/>
          <w:sz w:val="24"/>
          <w:szCs w:val="24"/>
        </w:rPr>
        <w:t xml:space="preserve">refers to the easement conferring benefit to the dominant tenement. This means that the right must accommodate the dominant tenement and as such, it must benefit the land and not merely be for the purpose of a personal right. </w:t>
      </w:r>
      <w:r w:rsidR="00016D98" w:rsidRPr="00257488">
        <w:rPr>
          <w:rFonts w:cstheme="minorHAnsi"/>
          <w:sz w:val="24"/>
          <w:szCs w:val="24"/>
        </w:rPr>
        <w:t xml:space="preserve">Therefore, if a right is attached to the land, then it is assumed to be for the benefit of the dominant land/tenement. Furthermore, the servient and dominant tenement are not required to be </w:t>
      </w:r>
      <w:proofErr w:type="gramStart"/>
      <w:r w:rsidR="00016D98" w:rsidRPr="00257488">
        <w:rPr>
          <w:rFonts w:cstheme="minorHAnsi"/>
          <w:sz w:val="24"/>
          <w:szCs w:val="24"/>
        </w:rPr>
        <w:t>adjoined, but</w:t>
      </w:r>
      <w:proofErr w:type="gramEnd"/>
      <w:r w:rsidR="00016D98" w:rsidRPr="00257488">
        <w:rPr>
          <w:rFonts w:cstheme="minorHAnsi"/>
          <w:sz w:val="24"/>
          <w:szCs w:val="24"/>
        </w:rPr>
        <w:t xml:space="preserve"> must be in close proximity in order to establish a connection between the two</w:t>
      </w:r>
      <w:r w:rsidR="00535C1F" w:rsidRPr="00257488">
        <w:rPr>
          <w:rFonts w:cstheme="minorHAnsi"/>
          <w:sz w:val="24"/>
          <w:szCs w:val="24"/>
        </w:rPr>
        <w:t xml:space="preserve"> </w:t>
      </w:r>
      <w:r w:rsidR="00535C1F" w:rsidRPr="00257488">
        <w:rPr>
          <w:rFonts w:cstheme="minorHAnsi"/>
          <w:i/>
          <w:iCs/>
          <w:sz w:val="24"/>
          <w:szCs w:val="24"/>
        </w:rPr>
        <w:lastRenderedPageBreak/>
        <w:t>(Pugh v Savage)</w:t>
      </w:r>
      <w:r w:rsidR="00016D98" w:rsidRPr="00257488">
        <w:rPr>
          <w:rFonts w:cstheme="minorHAnsi"/>
          <w:i/>
          <w:iCs/>
          <w:sz w:val="24"/>
          <w:szCs w:val="24"/>
        </w:rPr>
        <w:t>.</w:t>
      </w:r>
      <w:r w:rsidR="00016D98" w:rsidRPr="00257488">
        <w:rPr>
          <w:rFonts w:cstheme="minorHAnsi"/>
          <w:sz w:val="24"/>
          <w:szCs w:val="24"/>
        </w:rPr>
        <w:t xml:space="preserve"> Byles LJ </w:t>
      </w:r>
      <w:r w:rsidR="00466C7F" w:rsidRPr="00257488">
        <w:rPr>
          <w:rFonts w:cstheme="minorHAnsi"/>
          <w:sz w:val="24"/>
          <w:szCs w:val="24"/>
        </w:rPr>
        <w:t xml:space="preserve">in </w:t>
      </w:r>
      <w:r w:rsidR="00466C7F" w:rsidRPr="00257488">
        <w:rPr>
          <w:rFonts w:cstheme="minorHAnsi"/>
          <w:i/>
          <w:iCs/>
          <w:sz w:val="24"/>
          <w:szCs w:val="24"/>
        </w:rPr>
        <w:t>Bailey v Stephens (1862)</w:t>
      </w:r>
      <w:r w:rsidR="00466C7F" w:rsidRPr="00257488">
        <w:rPr>
          <w:rFonts w:cstheme="minorHAnsi"/>
          <w:sz w:val="24"/>
          <w:szCs w:val="24"/>
        </w:rPr>
        <w:t xml:space="preserve"> </w:t>
      </w:r>
      <w:r w:rsidR="00016D98" w:rsidRPr="00257488">
        <w:rPr>
          <w:rFonts w:cstheme="minorHAnsi"/>
          <w:sz w:val="24"/>
          <w:szCs w:val="24"/>
        </w:rPr>
        <w:t>stated “</w:t>
      </w:r>
      <w:r w:rsidR="00016D98" w:rsidRPr="00257488">
        <w:rPr>
          <w:rFonts w:cstheme="minorHAnsi"/>
          <w:i/>
          <w:iCs/>
          <w:sz w:val="24"/>
          <w:szCs w:val="24"/>
        </w:rPr>
        <w:t>There can be no right of way over land in Kent appurtenant to an estate in Northumberland.</w:t>
      </w:r>
      <w:r w:rsidR="00016D98" w:rsidRPr="00257488">
        <w:rPr>
          <w:rFonts w:cstheme="minorHAnsi"/>
          <w:sz w:val="24"/>
          <w:szCs w:val="24"/>
        </w:rPr>
        <w:t>”</w:t>
      </w:r>
      <w:r w:rsidR="00016D98" w:rsidRPr="00257488">
        <w:rPr>
          <w:rStyle w:val="FootnoteReference"/>
          <w:rFonts w:cstheme="minorHAnsi"/>
          <w:sz w:val="24"/>
          <w:szCs w:val="24"/>
        </w:rPr>
        <w:footnoteReference w:id="1"/>
      </w:r>
      <w:r w:rsidR="00466C7F" w:rsidRPr="00257488">
        <w:rPr>
          <w:rFonts w:cstheme="minorHAnsi"/>
          <w:sz w:val="24"/>
          <w:szCs w:val="24"/>
        </w:rPr>
        <w:t xml:space="preserve"> </w:t>
      </w:r>
      <w:r w:rsidR="0018281D" w:rsidRPr="00257488">
        <w:rPr>
          <w:rFonts w:cstheme="minorHAnsi"/>
          <w:sz w:val="24"/>
          <w:szCs w:val="24"/>
        </w:rPr>
        <w:t xml:space="preserve">Once the proximity is established, it must be assessed as to what category of purpose is the right serving. This tends to include business/commercial, </w:t>
      </w:r>
      <w:proofErr w:type="gramStart"/>
      <w:r w:rsidR="0018281D" w:rsidRPr="00257488">
        <w:rPr>
          <w:rFonts w:cstheme="minorHAnsi"/>
          <w:sz w:val="24"/>
          <w:szCs w:val="24"/>
        </w:rPr>
        <w:t>recreational</w:t>
      </w:r>
      <w:proofErr w:type="gramEnd"/>
      <w:r w:rsidR="0018281D" w:rsidRPr="00257488">
        <w:rPr>
          <w:rFonts w:cstheme="minorHAnsi"/>
          <w:sz w:val="24"/>
          <w:szCs w:val="24"/>
        </w:rPr>
        <w:t xml:space="preserve"> and general benefit. With regards to commercial benefit, it is important to differentiate between the benefit provided for the business that is run on the land and the right serving for a personal benefit. Provided that the right accelerates the business, </w:t>
      </w:r>
      <w:r w:rsidR="00466C7F" w:rsidRPr="00257488">
        <w:rPr>
          <w:rFonts w:cstheme="minorHAnsi"/>
          <w:sz w:val="24"/>
          <w:szCs w:val="24"/>
        </w:rPr>
        <w:t xml:space="preserve">increases value or saleability of the business, then it assumed to be benefiting the business instead of the individual who owns the business. Nevertheless, because an individual owns the business, it often becomes difficult to determine whether the right is providing a personal or proprietary benefit. Such is seen from the two contrasting cases of </w:t>
      </w:r>
      <w:r w:rsidR="00466C7F" w:rsidRPr="00257488">
        <w:rPr>
          <w:rFonts w:cstheme="minorHAnsi"/>
          <w:i/>
          <w:iCs/>
          <w:sz w:val="24"/>
          <w:szCs w:val="24"/>
        </w:rPr>
        <w:t xml:space="preserve">Moody v </w:t>
      </w:r>
      <w:proofErr w:type="spellStart"/>
      <w:r w:rsidR="00466C7F" w:rsidRPr="00257488">
        <w:rPr>
          <w:rFonts w:cstheme="minorHAnsi"/>
          <w:i/>
          <w:iCs/>
          <w:sz w:val="24"/>
          <w:szCs w:val="24"/>
        </w:rPr>
        <w:t>Steggles</w:t>
      </w:r>
      <w:proofErr w:type="spellEnd"/>
      <w:r w:rsidR="00466C7F" w:rsidRPr="00257488">
        <w:rPr>
          <w:rFonts w:cstheme="minorHAnsi"/>
          <w:sz w:val="24"/>
          <w:szCs w:val="24"/>
        </w:rPr>
        <w:t xml:space="preserve"> and </w:t>
      </w:r>
      <w:r w:rsidR="00466C7F" w:rsidRPr="00257488">
        <w:rPr>
          <w:rFonts w:cstheme="minorHAnsi"/>
          <w:i/>
          <w:iCs/>
          <w:sz w:val="24"/>
          <w:szCs w:val="24"/>
        </w:rPr>
        <w:t>Hill v Tupper.</w:t>
      </w:r>
      <w:r w:rsidR="00466C7F" w:rsidRPr="00257488">
        <w:rPr>
          <w:rFonts w:cstheme="minorHAnsi"/>
          <w:sz w:val="24"/>
          <w:szCs w:val="24"/>
        </w:rPr>
        <w:t xml:space="preserve"> In the former case, </w:t>
      </w:r>
      <w:r w:rsidR="00637796" w:rsidRPr="00257488">
        <w:rPr>
          <w:rFonts w:cstheme="minorHAnsi"/>
          <w:sz w:val="24"/>
          <w:szCs w:val="24"/>
        </w:rPr>
        <w:t xml:space="preserve">the plaintiff used the respondent’s wall as an advertisement board for his pub. This was done for over 40-50 years. The court conveniently held that this was an easement since it benefitted the land and the business. Fry J </w:t>
      </w:r>
      <w:proofErr w:type="gramStart"/>
      <w:r w:rsidR="00637796" w:rsidRPr="00257488">
        <w:rPr>
          <w:rFonts w:cstheme="minorHAnsi"/>
          <w:sz w:val="24"/>
          <w:szCs w:val="24"/>
        </w:rPr>
        <w:t>stated</w:t>
      </w:r>
      <w:proofErr w:type="gramEnd"/>
      <w:r w:rsidR="00637796" w:rsidRPr="00257488">
        <w:rPr>
          <w:rFonts w:cstheme="minorHAnsi"/>
          <w:sz w:val="24"/>
          <w:szCs w:val="24"/>
        </w:rPr>
        <w:t xml:space="preserve"> “</w:t>
      </w:r>
      <w:r w:rsidR="00637796" w:rsidRPr="00257488">
        <w:rPr>
          <w:rFonts w:cstheme="minorHAnsi"/>
          <w:i/>
          <w:iCs/>
          <w:sz w:val="24"/>
          <w:szCs w:val="24"/>
        </w:rPr>
        <w:t>the occupant only uses the house for the business, and therefore in some manner (direct or indirect) an easement is more or less connected with the mode in which the occupant of the house uses it</w:t>
      </w:r>
      <w:r w:rsidR="00637796" w:rsidRPr="00257488">
        <w:rPr>
          <w:rFonts w:cstheme="minorHAnsi"/>
          <w:sz w:val="24"/>
          <w:szCs w:val="24"/>
        </w:rPr>
        <w:t xml:space="preserve">.” This indicates that the judges are willing to categorise rights as easements where the right is seen as benefitting the land, rather than a personal right. Contrastingly, in </w:t>
      </w:r>
      <w:r w:rsidR="00637796" w:rsidRPr="00257488">
        <w:rPr>
          <w:rFonts w:cstheme="minorHAnsi"/>
          <w:i/>
          <w:iCs/>
          <w:sz w:val="24"/>
          <w:szCs w:val="24"/>
        </w:rPr>
        <w:t>Hill v Tupper,</w:t>
      </w:r>
      <w:r w:rsidR="00637796" w:rsidRPr="00257488">
        <w:rPr>
          <w:rFonts w:cstheme="minorHAnsi"/>
          <w:sz w:val="24"/>
          <w:szCs w:val="24"/>
        </w:rPr>
        <w:t xml:space="preserve"> Hill was granted the right to put pleasure boats on the canal to gain profits. The defendant started doing the same. The court held that this did not benefit the land, </w:t>
      </w:r>
      <w:r w:rsidR="00637796" w:rsidRPr="00257488">
        <w:rPr>
          <w:rFonts w:cstheme="minorHAnsi"/>
          <w:i/>
          <w:iCs/>
          <w:sz w:val="24"/>
          <w:szCs w:val="24"/>
        </w:rPr>
        <w:t>per se</w:t>
      </w:r>
      <w:r w:rsidR="00637796" w:rsidRPr="00257488">
        <w:rPr>
          <w:rFonts w:cstheme="minorHAnsi"/>
          <w:sz w:val="24"/>
          <w:szCs w:val="24"/>
        </w:rPr>
        <w:t>. Resultantly, this was held to be a personal right.</w:t>
      </w:r>
      <w:r w:rsidR="009427EE" w:rsidRPr="00257488">
        <w:rPr>
          <w:rFonts w:cstheme="minorHAnsi"/>
          <w:sz w:val="24"/>
          <w:szCs w:val="24"/>
        </w:rPr>
        <w:t xml:space="preserve"> Nevertheless, it is not an easy task to be able to differentiate between the two cases. Similarly, Dixon writes ‘</w:t>
      </w:r>
      <w:r w:rsidR="009427EE" w:rsidRPr="00257488">
        <w:rPr>
          <w:rFonts w:cstheme="minorHAnsi"/>
          <w:i/>
          <w:iCs/>
          <w:sz w:val="24"/>
          <w:szCs w:val="24"/>
        </w:rPr>
        <w:t xml:space="preserve">It is not the commercial nature of the right granted </w:t>
      </w:r>
      <w:r w:rsidR="009427EE" w:rsidRPr="00257488">
        <w:rPr>
          <w:rFonts w:cstheme="minorHAnsi"/>
          <w:i/>
          <w:iCs/>
          <w:sz w:val="24"/>
          <w:szCs w:val="24"/>
        </w:rPr>
        <w:lastRenderedPageBreak/>
        <w:t xml:space="preserve">that is important, but whether the commercial advantage endures as an aspect of the benefited estate or, in contrast, whether it is given to a person irrespective of whether he owns an estate in the land.” </w:t>
      </w:r>
      <w:r w:rsidR="009427EE" w:rsidRPr="00257488">
        <w:rPr>
          <w:rFonts w:cstheme="minorHAnsi"/>
          <w:sz w:val="24"/>
          <w:szCs w:val="24"/>
        </w:rPr>
        <w:t xml:space="preserve">However, the contrasting cases </w:t>
      </w:r>
      <w:r w:rsidR="00637796" w:rsidRPr="00257488">
        <w:rPr>
          <w:rFonts w:cstheme="minorHAnsi"/>
          <w:sz w:val="24"/>
          <w:szCs w:val="24"/>
        </w:rPr>
        <w:t xml:space="preserve">indicate that the nature of an easement is vital </w:t>
      </w:r>
      <w:proofErr w:type="gramStart"/>
      <w:r w:rsidR="00637796" w:rsidRPr="00257488">
        <w:rPr>
          <w:rFonts w:cstheme="minorHAnsi"/>
          <w:sz w:val="24"/>
          <w:szCs w:val="24"/>
        </w:rPr>
        <w:t>in order to</w:t>
      </w:r>
      <w:proofErr w:type="gramEnd"/>
      <w:r w:rsidR="00637796" w:rsidRPr="00257488">
        <w:rPr>
          <w:rFonts w:cstheme="minorHAnsi"/>
          <w:sz w:val="24"/>
          <w:szCs w:val="24"/>
        </w:rPr>
        <w:t xml:space="preserve"> create a valid easement. The courts are vigilant and alert when examining the nature of a right, that is, whether is personal or proprietary. </w:t>
      </w:r>
    </w:p>
    <w:p w14:paraId="0FC78F1B" w14:textId="0A2D5C4D" w:rsidR="00535C1F" w:rsidRPr="00257488" w:rsidRDefault="009427EE" w:rsidP="00257488">
      <w:pPr>
        <w:spacing w:line="480" w:lineRule="auto"/>
        <w:rPr>
          <w:rFonts w:cstheme="minorHAnsi"/>
          <w:bCs/>
          <w:sz w:val="24"/>
          <w:szCs w:val="24"/>
        </w:rPr>
      </w:pPr>
      <w:r w:rsidRPr="00257488">
        <w:rPr>
          <w:rFonts w:cstheme="minorHAnsi"/>
          <w:sz w:val="24"/>
          <w:szCs w:val="24"/>
        </w:rPr>
        <w:t>Apart from a commercial right, a general right may also arise, leading to creation of an easement. A general right is one which benefits the land, access to the land and eases living on the land. For example, right of way (</w:t>
      </w:r>
      <w:r w:rsidRPr="00257488">
        <w:rPr>
          <w:rFonts w:cstheme="minorHAnsi"/>
          <w:bCs/>
          <w:i/>
          <w:iCs/>
          <w:sz w:val="24"/>
          <w:szCs w:val="24"/>
        </w:rPr>
        <w:t>Borman v Griffiths)</w:t>
      </w:r>
      <w:r w:rsidRPr="00257488">
        <w:rPr>
          <w:rFonts w:cstheme="minorHAnsi"/>
          <w:sz w:val="24"/>
          <w:szCs w:val="24"/>
        </w:rPr>
        <w:t xml:space="preserve"> and right of park </w:t>
      </w:r>
      <w:r w:rsidRPr="00257488">
        <w:rPr>
          <w:rFonts w:cstheme="minorHAnsi"/>
          <w:bCs/>
          <w:i/>
          <w:iCs/>
          <w:sz w:val="24"/>
          <w:szCs w:val="24"/>
        </w:rPr>
        <w:t>(Patel v WH</w:t>
      </w:r>
      <w:r w:rsidR="004E3D1A" w:rsidRPr="00257488">
        <w:rPr>
          <w:rFonts w:cstheme="minorHAnsi"/>
          <w:bCs/>
          <w:i/>
          <w:iCs/>
          <w:sz w:val="24"/>
          <w:szCs w:val="24"/>
        </w:rPr>
        <w:t xml:space="preserve">, London and </w:t>
      </w:r>
      <w:proofErr w:type="spellStart"/>
      <w:r w:rsidR="004E3D1A" w:rsidRPr="00257488">
        <w:rPr>
          <w:rFonts w:cstheme="minorHAnsi"/>
          <w:bCs/>
          <w:i/>
          <w:iCs/>
          <w:sz w:val="24"/>
          <w:szCs w:val="24"/>
        </w:rPr>
        <w:t>Blienham</w:t>
      </w:r>
      <w:proofErr w:type="spellEnd"/>
      <w:r w:rsidR="004E3D1A" w:rsidRPr="00257488">
        <w:rPr>
          <w:rFonts w:cstheme="minorHAnsi"/>
          <w:bCs/>
          <w:i/>
          <w:iCs/>
          <w:sz w:val="24"/>
          <w:szCs w:val="24"/>
        </w:rPr>
        <w:t xml:space="preserve"> Estates v Ladbroke Retail Parks</w:t>
      </w:r>
      <w:r w:rsidRPr="00257488">
        <w:rPr>
          <w:rFonts w:cstheme="minorHAnsi"/>
          <w:bCs/>
          <w:i/>
          <w:iCs/>
          <w:sz w:val="24"/>
          <w:szCs w:val="24"/>
        </w:rPr>
        <w:t xml:space="preserve">). </w:t>
      </w:r>
      <w:r w:rsidRPr="00257488">
        <w:rPr>
          <w:rFonts w:cstheme="minorHAnsi"/>
          <w:bCs/>
          <w:sz w:val="24"/>
          <w:szCs w:val="24"/>
        </w:rPr>
        <w:t xml:space="preserve">Additionally, the law also recognises recreational rights. Traditionally, it was held that a right which serves a pure recreational purpose cannot benefit the land and therefore, is not capable of becoming an easement. </w:t>
      </w:r>
      <w:r w:rsidR="004E3D1A" w:rsidRPr="00257488">
        <w:rPr>
          <w:rFonts w:cstheme="minorHAnsi"/>
          <w:bCs/>
          <w:sz w:val="24"/>
          <w:szCs w:val="24"/>
        </w:rPr>
        <w:t xml:space="preserve">Thus, the courts have been stringent when granting recreational rights. </w:t>
      </w:r>
      <w:r w:rsidR="00C733B5" w:rsidRPr="00257488">
        <w:rPr>
          <w:rFonts w:cstheme="minorHAnsi"/>
          <w:bCs/>
          <w:sz w:val="24"/>
          <w:szCs w:val="24"/>
        </w:rPr>
        <w:t xml:space="preserve">However, this does not mean that success rate for recreational easement is null. A vague and general recreational use which is ‘pure and undefined’ </w:t>
      </w:r>
      <w:r w:rsidR="00535C1F" w:rsidRPr="00257488">
        <w:rPr>
          <w:rFonts w:cstheme="minorHAnsi"/>
          <w:bCs/>
          <w:sz w:val="24"/>
          <w:szCs w:val="24"/>
        </w:rPr>
        <w:t xml:space="preserve">was </w:t>
      </w:r>
      <w:r w:rsidR="00C733B5" w:rsidRPr="00257488">
        <w:rPr>
          <w:rFonts w:cstheme="minorHAnsi"/>
          <w:bCs/>
          <w:sz w:val="24"/>
          <w:szCs w:val="24"/>
        </w:rPr>
        <w:t xml:space="preserve">the prime suspect. Therefore, a recreational right which defines its use and user </w:t>
      </w:r>
      <w:proofErr w:type="gramStart"/>
      <w:r w:rsidR="00C733B5" w:rsidRPr="00257488">
        <w:rPr>
          <w:rFonts w:cstheme="minorHAnsi"/>
          <w:bCs/>
          <w:sz w:val="24"/>
          <w:szCs w:val="24"/>
        </w:rPr>
        <w:t>is capable of becoming</w:t>
      </w:r>
      <w:proofErr w:type="gramEnd"/>
      <w:r w:rsidR="00C733B5" w:rsidRPr="00257488">
        <w:rPr>
          <w:rFonts w:cstheme="minorHAnsi"/>
          <w:bCs/>
          <w:sz w:val="24"/>
          <w:szCs w:val="24"/>
        </w:rPr>
        <w:t xml:space="preserve"> an easement. Such was held in </w:t>
      </w:r>
      <w:r w:rsidR="00C733B5" w:rsidRPr="00257488">
        <w:rPr>
          <w:rFonts w:cstheme="minorHAnsi"/>
          <w:bCs/>
          <w:i/>
          <w:iCs/>
          <w:sz w:val="24"/>
          <w:szCs w:val="24"/>
        </w:rPr>
        <w:t>Re Ellenborough</w:t>
      </w:r>
      <w:r w:rsidR="00C733B5" w:rsidRPr="00257488">
        <w:rPr>
          <w:rFonts w:cstheme="minorHAnsi"/>
          <w:bCs/>
          <w:sz w:val="24"/>
          <w:szCs w:val="24"/>
        </w:rPr>
        <w:t xml:space="preserve"> itself. Similarly, in </w:t>
      </w:r>
      <w:r w:rsidR="00C733B5" w:rsidRPr="00257488">
        <w:rPr>
          <w:rFonts w:cstheme="minorHAnsi"/>
          <w:bCs/>
          <w:i/>
          <w:iCs/>
          <w:sz w:val="24"/>
          <w:szCs w:val="24"/>
        </w:rPr>
        <w:t>Regency Villas v. Diamond Resorts</w:t>
      </w:r>
      <w:r w:rsidR="00C733B5" w:rsidRPr="00257488">
        <w:rPr>
          <w:rFonts w:cstheme="minorHAnsi"/>
          <w:bCs/>
          <w:sz w:val="24"/>
          <w:szCs w:val="24"/>
        </w:rPr>
        <w:t xml:space="preserve">, </w:t>
      </w:r>
      <w:r w:rsidR="00BC11F4" w:rsidRPr="00257488">
        <w:rPr>
          <w:rFonts w:cstheme="minorHAnsi"/>
          <w:bCs/>
          <w:sz w:val="24"/>
          <w:szCs w:val="24"/>
        </w:rPr>
        <w:t xml:space="preserve">the use </w:t>
      </w:r>
      <w:r w:rsidR="00535C1F" w:rsidRPr="00257488">
        <w:rPr>
          <w:rFonts w:cstheme="minorHAnsi"/>
          <w:bCs/>
          <w:sz w:val="24"/>
          <w:szCs w:val="24"/>
        </w:rPr>
        <w:t>and user</w:t>
      </w:r>
      <w:r w:rsidR="00BC11F4" w:rsidRPr="00257488">
        <w:rPr>
          <w:rFonts w:cstheme="minorHAnsi"/>
          <w:bCs/>
          <w:sz w:val="24"/>
          <w:szCs w:val="24"/>
        </w:rPr>
        <w:t xml:space="preserve"> defined and hence, right to use sauna, gym or sunbeds did amount to an easement. </w:t>
      </w:r>
      <w:r w:rsidR="00535C1F" w:rsidRPr="00257488">
        <w:rPr>
          <w:rFonts w:cstheme="minorHAnsi"/>
          <w:bCs/>
          <w:sz w:val="24"/>
          <w:szCs w:val="24"/>
        </w:rPr>
        <w:t xml:space="preserve">This case </w:t>
      </w:r>
      <w:proofErr w:type="gramStart"/>
      <w:r w:rsidR="00535C1F" w:rsidRPr="00257488">
        <w:rPr>
          <w:rFonts w:cstheme="minorHAnsi"/>
          <w:bCs/>
          <w:sz w:val="24"/>
          <w:szCs w:val="24"/>
        </w:rPr>
        <w:t>opens up</w:t>
      </w:r>
      <w:proofErr w:type="gramEnd"/>
      <w:r w:rsidR="00535C1F" w:rsidRPr="00257488">
        <w:rPr>
          <w:rFonts w:cstheme="minorHAnsi"/>
          <w:bCs/>
          <w:sz w:val="24"/>
          <w:szCs w:val="24"/>
        </w:rPr>
        <w:t xml:space="preserve"> new possibilities and new species of easements which may be seen in the future. </w:t>
      </w:r>
    </w:p>
    <w:p w14:paraId="5587ACFB" w14:textId="6F8D4ADC" w:rsidR="00BC11F4" w:rsidRPr="00257488" w:rsidRDefault="00BC11F4" w:rsidP="00257488">
      <w:pPr>
        <w:spacing w:line="480" w:lineRule="auto"/>
        <w:rPr>
          <w:rFonts w:cstheme="minorHAnsi"/>
          <w:sz w:val="24"/>
          <w:szCs w:val="24"/>
          <w:lang w:val="en-US"/>
        </w:rPr>
      </w:pPr>
      <w:r w:rsidRPr="00257488">
        <w:rPr>
          <w:rFonts w:cstheme="minorHAnsi"/>
          <w:sz w:val="24"/>
          <w:szCs w:val="24"/>
        </w:rPr>
        <w:t xml:space="preserve">Lastly, there must capable granter, capable grantee and the subject matter of grant </w:t>
      </w:r>
      <w:proofErr w:type="gramStart"/>
      <w:r w:rsidRPr="00257488">
        <w:rPr>
          <w:rFonts w:cstheme="minorHAnsi"/>
          <w:sz w:val="24"/>
          <w:szCs w:val="24"/>
        </w:rPr>
        <w:t>has to</w:t>
      </w:r>
      <w:proofErr w:type="gramEnd"/>
      <w:r w:rsidRPr="00257488">
        <w:rPr>
          <w:rFonts w:cstheme="minorHAnsi"/>
          <w:sz w:val="24"/>
          <w:szCs w:val="24"/>
        </w:rPr>
        <w:t xml:space="preserve"> be certain. This relates to the fact that </w:t>
      </w:r>
      <w:proofErr w:type="gramStart"/>
      <w:r w:rsidRPr="00257488">
        <w:rPr>
          <w:rFonts w:cstheme="minorHAnsi"/>
          <w:sz w:val="24"/>
          <w:szCs w:val="24"/>
        </w:rPr>
        <w:t>both of the occupants</w:t>
      </w:r>
      <w:proofErr w:type="gramEnd"/>
      <w:r w:rsidRPr="00257488">
        <w:rPr>
          <w:rFonts w:cstheme="minorHAnsi"/>
          <w:sz w:val="24"/>
          <w:szCs w:val="24"/>
        </w:rPr>
        <w:t xml:space="preserve"> of the dominant and servient lands must own an estate in land which can either be </w:t>
      </w:r>
      <w:proofErr w:type="spellStart"/>
      <w:r w:rsidRPr="00257488">
        <w:rPr>
          <w:rFonts w:cstheme="minorHAnsi"/>
          <w:sz w:val="24"/>
          <w:szCs w:val="24"/>
        </w:rPr>
        <w:t>feesimple</w:t>
      </w:r>
      <w:proofErr w:type="spellEnd"/>
      <w:r w:rsidRPr="00257488">
        <w:rPr>
          <w:rFonts w:cstheme="minorHAnsi"/>
          <w:sz w:val="24"/>
          <w:szCs w:val="24"/>
        </w:rPr>
        <w:t xml:space="preserve"> or </w:t>
      </w:r>
      <w:proofErr w:type="spellStart"/>
      <w:r w:rsidRPr="00257488">
        <w:rPr>
          <w:rFonts w:cstheme="minorHAnsi"/>
          <w:sz w:val="24"/>
          <w:szCs w:val="24"/>
        </w:rPr>
        <w:t>leashold</w:t>
      </w:r>
      <w:proofErr w:type="spellEnd"/>
      <w:r w:rsidRPr="00257488">
        <w:rPr>
          <w:rFonts w:cstheme="minorHAnsi"/>
          <w:sz w:val="24"/>
          <w:szCs w:val="24"/>
        </w:rPr>
        <w:t>. The occupants must also be adults who possess the have mental capacity</w:t>
      </w:r>
      <w:r w:rsidR="00E649C3" w:rsidRPr="00257488">
        <w:rPr>
          <w:rFonts w:cstheme="minorHAnsi"/>
          <w:sz w:val="24"/>
          <w:szCs w:val="24"/>
        </w:rPr>
        <w:t xml:space="preserve"> (</w:t>
      </w:r>
      <w:r w:rsidR="00E649C3" w:rsidRPr="00257488">
        <w:rPr>
          <w:rFonts w:cstheme="minorHAnsi"/>
          <w:i/>
          <w:iCs/>
          <w:sz w:val="24"/>
          <w:szCs w:val="24"/>
        </w:rPr>
        <w:t>Wright v Macadam</w:t>
      </w:r>
      <w:r w:rsidR="00E649C3" w:rsidRPr="00257488">
        <w:rPr>
          <w:rFonts w:cstheme="minorHAnsi"/>
          <w:sz w:val="24"/>
          <w:szCs w:val="24"/>
        </w:rPr>
        <w:t>)</w:t>
      </w:r>
      <w:r w:rsidRPr="00257488">
        <w:rPr>
          <w:rFonts w:cstheme="minorHAnsi"/>
          <w:sz w:val="24"/>
          <w:szCs w:val="24"/>
        </w:rPr>
        <w:t xml:space="preserve">. </w:t>
      </w:r>
      <w:r w:rsidRPr="00257488">
        <w:rPr>
          <w:rFonts w:cstheme="minorHAnsi"/>
          <w:sz w:val="24"/>
          <w:szCs w:val="24"/>
        </w:rPr>
        <w:lastRenderedPageBreak/>
        <w:t xml:space="preserve">Additionally, the easement </w:t>
      </w:r>
      <w:proofErr w:type="gramStart"/>
      <w:r w:rsidRPr="00257488">
        <w:rPr>
          <w:rFonts w:cstheme="minorHAnsi"/>
          <w:sz w:val="24"/>
          <w:szCs w:val="24"/>
        </w:rPr>
        <w:t>has to</w:t>
      </w:r>
      <w:proofErr w:type="gramEnd"/>
      <w:r w:rsidRPr="00257488">
        <w:rPr>
          <w:rFonts w:cstheme="minorHAnsi"/>
          <w:sz w:val="24"/>
          <w:szCs w:val="24"/>
        </w:rPr>
        <w:t xml:space="preserve"> be specific as well as definable. Thus, the law is clear that the exact use on servient land must be sufficiently outlined</w:t>
      </w:r>
      <w:r w:rsidR="00535C1F" w:rsidRPr="00257488">
        <w:rPr>
          <w:rFonts w:cstheme="minorHAnsi"/>
          <w:sz w:val="24"/>
          <w:szCs w:val="24"/>
        </w:rPr>
        <w:t xml:space="preserve">. In </w:t>
      </w:r>
      <w:r w:rsidR="00535C1F" w:rsidRPr="00257488">
        <w:rPr>
          <w:rFonts w:cstheme="minorHAnsi"/>
          <w:i/>
          <w:iCs/>
          <w:sz w:val="24"/>
          <w:szCs w:val="24"/>
        </w:rPr>
        <w:t xml:space="preserve">Re </w:t>
      </w:r>
      <w:proofErr w:type="spellStart"/>
      <w:r w:rsidR="00535C1F" w:rsidRPr="00257488">
        <w:rPr>
          <w:rFonts w:cstheme="minorHAnsi"/>
          <w:i/>
          <w:iCs/>
          <w:sz w:val="24"/>
          <w:szCs w:val="24"/>
        </w:rPr>
        <w:t>Aldred</w:t>
      </w:r>
      <w:proofErr w:type="spellEnd"/>
      <w:r w:rsidR="00535C1F" w:rsidRPr="00257488">
        <w:rPr>
          <w:rFonts w:cstheme="minorHAnsi"/>
          <w:i/>
          <w:iCs/>
          <w:sz w:val="24"/>
          <w:szCs w:val="24"/>
        </w:rPr>
        <w:t xml:space="preserve"> (1610)</w:t>
      </w:r>
      <w:r w:rsidR="00535C1F" w:rsidRPr="00257488">
        <w:rPr>
          <w:rFonts w:cstheme="minorHAnsi"/>
          <w:sz w:val="24"/>
          <w:szCs w:val="24"/>
        </w:rPr>
        <w:t xml:space="preserve">, right to a good view was held to be uncertain. Nonetheless, in </w:t>
      </w:r>
      <w:r w:rsidR="00535C1F" w:rsidRPr="00257488">
        <w:rPr>
          <w:rFonts w:cstheme="minorHAnsi"/>
          <w:i/>
          <w:iCs/>
          <w:sz w:val="24"/>
          <w:szCs w:val="24"/>
          <w:lang/>
        </w:rPr>
        <w:t xml:space="preserve">Coventry </w:t>
      </w:r>
      <w:r w:rsidR="00535C1F" w:rsidRPr="00257488">
        <w:rPr>
          <w:rFonts w:cstheme="minorHAnsi"/>
          <w:sz w:val="24"/>
          <w:szCs w:val="24"/>
          <w:lang/>
        </w:rPr>
        <w:t xml:space="preserve">v. </w:t>
      </w:r>
      <w:r w:rsidR="00535C1F" w:rsidRPr="00257488">
        <w:rPr>
          <w:rFonts w:cstheme="minorHAnsi"/>
          <w:i/>
          <w:iCs/>
          <w:sz w:val="24"/>
          <w:szCs w:val="24"/>
          <w:lang/>
        </w:rPr>
        <w:t xml:space="preserve">Lawrence (No 1) </w:t>
      </w:r>
      <w:r w:rsidR="00535C1F" w:rsidRPr="00257488">
        <w:rPr>
          <w:rFonts w:cstheme="minorHAnsi"/>
          <w:sz w:val="24"/>
          <w:szCs w:val="24"/>
          <w:lang/>
        </w:rPr>
        <w:t>(2014),</w:t>
      </w:r>
      <w:r w:rsidR="00535C1F" w:rsidRPr="00257488">
        <w:rPr>
          <w:rFonts w:cstheme="minorHAnsi"/>
          <w:sz w:val="24"/>
          <w:szCs w:val="24"/>
          <w:lang w:val="en-US"/>
        </w:rPr>
        <w:t xml:space="preserve"> it was held that the law on certain subject matter of easement must not be applied too harshly. Therefore, this specifies that the courts are now willing to expand the ambit of easements in </w:t>
      </w:r>
      <w:proofErr w:type="gramStart"/>
      <w:r w:rsidR="00535C1F" w:rsidRPr="00257488">
        <w:rPr>
          <w:rFonts w:cstheme="minorHAnsi"/>
          <w:sz w:val="24"/>
          <w:szCs w:val="24"/>
          <w:lang w:val="en-US"/>
        </w:rPr>
        <w:t>a number of</w:t>
      </w:r>
      <w:proofErr w:type="gramEnd"/>
      <w:r w:rsidR="00535C1F" w:rsidRPr="00257488">
        <w:rPr>
          <w:rFonts w:cstheme="minorHAnsi"/>
          <w:sz w:val="24"/>
          <w:szCs w:val="24"/>
          <w:lang w:val="en-US"/>
        </w:rPr>
        <w:t xml:space="preserve"> possible ways. </w:t>
      </w:r>
    </w:p>
    <w:p w14:paraId="4825DB29" w14:textId="7D3981B5" w:rsidR="000F632D" w:rsidRPr="00257488" w:rsidRDefault="00535C1F" w:rsidP="00257488">
      <w:pPr>
        <w:spacing w:line="480" w:lineRule="auto"/>
        <w:rPr>
          <w:rFonts w:cstheme="minorHAnsi"/>
          <w:sz w:val="24"/>
          <w:szCs w:val="24"/>
        </w:rPr>
      </w:pPr>
      <w:r w:rsidRPr="00257488">
        <w:rPr>
          <w:rFonts w:cstheme="minorHAnsi"/>
          <w:sz w:val="24"/>
          <w:szCs w:val="24"/>
          <w:lang w:val="en-US"/>
        </w:rPr>
        <w:t xml:space="preserve">Once the conditions of </w:t>
      </w:r>
      <w:r w:rsidR="000F632D" w:rsidRPr="00257488">
        <w:rPr>
          <w:rFonts w:cstheme="minorHAnsi"/>
          <w:sz w:val="24"/>
          <w:szCs w:val="24"/>
          <w:lang w:val="en-US"/>
        </w:rPr>
        <w:t>Re Ellenborough</w:t>
      </w:r>
      <w:r w:rsidRPr="00257488">
        <w:rPr>
          <w:rFonts w:cstheme="minorHAnsi"/>
          <w:sz w:val="24"/>
          <w:szCs w:val="24"/>
          <w:lang w:val="en-US"/>
        </w:rPr>
        <w:t xml:space="preserve"> have been established, it must then be determined whether the easement is express or implied. An express </w:t>
      </w:r>
      <w:r w:rsidR="000F632D" w:rsidRPr="00257488">
        <w:rPr>
          <w:rFonts w:cstheme="minorHAnsi"/>
          <w:sz w:val="24"/>
          <w:szCs w:val="24"/>
        </w:rPr>
        <w:t xml:space="preserve">easement is created by way of contract or deed. Easements can be implied by way of necessity, common intention, requirements given in </w:t>
      </w:r>
      <w:r w:rsidR="000F632D" w:rsidRPr="00257488">
        <w:rPr>
          <w:rFonts w:cstheme="minorHAnsi"/>
          <w:i/>
          <w:sz w:val="24"/>
          <w:szCs w:val="24"/>
        </w:rPr>
        <w:t>Wheeldon burrow</w:t>
      </w:r>
      <w:r w:rsidR="000F632D" w:rsidRPr="00257488">
        <w:rPr>
          <w:rFonts w:cstheme="minorHAnsi"/>
          <w:sz w:val="24"/>
          <w:szCs w:val="24"/>
        </w:rPr>
        <w:t xml:space="preserve"> or s.62 of LPA 1925. Because implied easements have too many conditions to fulfil, the Law Commission</w:t>
      </w:r>
      <w:r w:rsidR="000F632D" w:rsidRPr="00257488">
        <w:rPr>
          <w:rStyle w:val="FootnoteReference"/>
          <w:rFonts w:cstheme="minorHAnsi"/>
          <w:sz w:val="24"/>
          <w:szCs w:val="24"/>
        </w:rPr>
        <w:footnoteReference w:id="2"/>
      </w:r>
      <w:r w:rsidR="000F632D" w:rsidRPr="00257488">
        <w:rPr>
          <w:rFonts w:cstheme="minorHAnsi"/>
          <w:sz w:val="24"/>
          <w:szCs w:val="24"/>
        </w:rPr>
        <w:t xml:space="preserve"> has described these methods as providing a ‘</w:t>
      </w:r>
      <w:r w:rsidR="000F632D" w:rsidRPr="00257488">
        <w:rPr>
          <w:rFonts w:cstheme="minorHAnsi"/>
          <w:i/>
          <w:iCs/>
          <w:sz w:val="24"/>
          <w:szCs w:val="24"/>
        </w:rPr>
        <w:t>complex matrix of overlapping rules’</w:t>
      </w:r>
      <w:r w:rsidR="000F632D" w:rsidRPr="00257488">
        <w:rPr>
          <w:rFonts w:cstheme="minorHAnsi"/>
          <w:sz w:val="24"/>
          <w:szCs w:val="24"/>
        </w:rPr>
        <w:t>, which ‘</w:t>
      </w:r>
      <w:r w:rsidR="000F632D" w:rsidRPr="00257488">
        <w:rPr>
          <w:rFonts w:cstheme="minorHAnsi"/>
          <w:i/>
          <w:iCs/>
          <w:sz w:val="24"/>
          <w:szCs w:val="24"/>
        </w:rPr>
        <w:t>have developed in piecemeal and uncoordinated fashion’</w:t>
      </w:r>
      <w:r w:rsidR="000F632D" w:rsidRPr="00257488">
        <w:rPr>
          <w:rFonts w:cstheme="minorHAnsi"/>
          <w:sz w:val="24"/>
          <w:szCs w:val="24"/>
        </w:rPr>
        <w:t xml:space="preserve"> Before applying the above-mentioned requirements, it is essential to know whether a right is a grant or a reservation. A right on the land sold is known as a reservation </w:t>
      </w:r>
      <w:r w:rsidR="00C26AB6" w:rsidRPr="00257488">
        <w:rPr>
          <w:rFonts w:cstheme="minorHAnsi"/>
          <w:sz w:val="24"/>
          <w:szCs w:val="24"/>
        </w:rPr>
        <w:t>(</w:t>
      </w:r>
      <w:r w:rsidR="00C26AB6" w:rsidRPr="00257488">
        <w:rPr>
          <w:rFonts w:cstheme="minorHAnsi"/>
          <w:i/>
          <w:iCs/>
          <w:sz w:val="24"/>
          <w:szCs w:val="24"/>
        </w:rPr>
        <w:t>Sweet v. Sommer 2004</w:t>
      </w:r>
      <w:r w:rsidR="00C26AB6" w:rsidRPr="00257488">
        <w:rPr>
          <w:rFonts w:cstheme="minorHAnsi"/>
          <w:sz w:val="24"/>
          <w:szCs w:val="24"/>
        </w:rPr>
        <w:t xml:space="preserve">) </w:t>
      </w:r>
      <w:r w:rsidR="000F632D" w:rsidRPr="00257488">
        <w:rPr>
          <w:rFonts w:cstheme="minorHAnsi"/>
          <w:sz w:val="24"/>
          <w:szCs w:val="24"/>
        </w:rPr>
        <w:t>whereas a right on the land retained is regarded as a grant</w:t>
      </w:r>
      <w:r w:rsidR="00C26AB6" w:rsidRPr="00257488">
        <w:rPr>
          <w:rFonts w:cstheme="minorHAnsi"/>
          <w:sz w:val="24"/>
          <w:szCs w:val="24"/>
        </w:rPr>
        <w:t xml:space="preserve"> (</w:t>
      </w:r>
      <w:r w:rsidR="00C26AB6" w:rsidRPr="00257488">
        <w:rPr>
          <w:rFonts w:cstheme="minorHAnsi"/>
          <w:i/>
          <w:iCs/>
          <w:sz w:val="24"/>
          <w:szCs w:val="24"/>
        </w:rPr>
        <w:t>Wong v. Beaumont 1965</w:t>
      </w:r>
      <w:r w:rsidR="00C26AB6" w:rsidRPr="00257488">
        <w:rPr>
          <w:rFonts w:cstheme="minorHAnsi"/>
          <w:sz w:val="24"/>
          <w:szCs w:val="24"/>
        </w:rPr>
        <w:t>)</w:t>
      </w:r>
      <w:r w:rsidR="000F632D" w:rsidRPr="00257488">
        <w:rPr>
          <w:rFonts w:cstheme="minorHAnsi"/>
          <w:sz w:val="24"/>
          <w:szCs w:val="24"/>
        </w:rPr>
        <w:t xml:space="preserve">. </w:t>
      </w:r>
    </w:p>
    <w:p w14:paraId="3AB957B5" w14:textId="16AA79E0" w:rsidR="000F632D" w:rsidRPr="00257488" w:rsidRDefault="000F632D" w:rsidP="00257488">
      <w:pPr>
        <w:spacing w:line="480" w:lineRule="auto"/>
        <w:rPr>
          <w:rFonts w:cstheme="minorHAnsi"/>
          <w:sz w:val="24"/>
          <w:szCs w:val="24"/>
        </w:rPr>
      </w:pPr>
      <w:r w:rsidRPr="00257488">
        <w:rPr>
          <w:rFonts w:cstheme="minorHAnsi"/>
          <w:sz w:val="24"/>
          <w:szCs w:val="24"/>
        </w:rPr>
        <w:t xml:space="preserve">The first method of easement creation is necessity. </w:t>
      </w:r>
      <w:r w:rsidR="00C26AB6" w:rsidRPr="00257488">
        <w:rPr>
          <w:rFonts w:cstheme="minorHAnsi"/>
          <w:sz w:val="24"/>
          <w:szCs w:val="24"/>
        </w:rPr>
        <w:t xml:space="preserve">Necessity applies to both, grant as well as reservation. </w:t>
      </w:r>
      <w:r w:rsidRPr="00257488">
        <w:rPr>
          <w:rFonts w:cstheme="minorHAnsi"/>
          <w:sz w:val="24"/>
          <w:szCs w:val="24"/>
        </w:rPr>
        <w:t xml:space="preserve">This is an extremely strict test as it claims that if the right is not given, the land will become unusable. Such is immensely difficult to prove since without a certain right, for example right to park, the land itself will not become </w:t>
      </w:r>
      <w:r w:rsidR="00C26AB6" w:rsidRPr="00257488">
        <w:rPr>
          <w:rFonts w:cstheme="minorHAnsi"/>
          <w:sz w:val="24"/>
          <w:szCs w:val="24"/>
        </w:rPr>
        <w:t>unusable</w:t>
      </w:r>
      <w:r w:rsidRPr="00257488">
        <w:rPr>
          <w:rFonts w:cstheme="minorHAnsi"/>
          <w:sz w:val="24"/>
          <w:szCs w:val="24"/>
        </w:rPr>
        <w:t>.</w:t>
      </w:r>
      <w:r w:rsidR="00C26AB6" w:rsidRPr="00257488">
        <w:rPr>
          <w:rFonts w:cstheme="minorHAnsi"/>
          <w:sz w:val="24"/>
          <w:szCs w:val="24"/>
        </w:rPr>
        <w:t xml:space="preserve"> Therefore, this requirement is only likely to succeed where without a right, the land will become landlocked and inaccessible thereby, making it unusable. However, if there is an alternative access to </w:t>
      </w:r>
      <w:r w:rsidR="00C26AB6" w:rsidRPr="00257488">
        <w:rPr>
          <w:rFonts w:cstheme="minorHAnsi"/>
          <w:sz w:val="24"/>
          <w:szCs w:val="24"/>
        </w:rPr>
        <w:lastRenderedPageBreak/>
        <w:t xml:space="preserve">land then, again, the right under necessity will fail. Therefore, an easement under necessity will only succeed where the land cannot otherwise be used at all. As per </w:t>
      </w:r>
      <w:r w:rsidR="00E649C3" w:rsidRPr="00257488">
        <w:rPr>
          <w:rFonts w:cstheme="minorHAnsi"/>
          <w:i/>
          <w:iCs/>
          <w:sz w:val="24"/>
          <w:szCs w:val="24"/>
        </w:rPr>
        <w:t>Bowers v Kennedy</w:t>
      </w:r>
      <w:r w:rsidR="00C26AB6" w:rsidRPr="00257488">
        <w:rPr>
          <w:rFonts w:cstheme="minorHAnsi"/>
          <w:sz w:val="24"/>
          <w:szCs w:val="24"/>
        </w:rPr>
        <w:t xml:space="preserve">, an easement must not provide convenience, but should be highly necessary </w:t>
      </w:r>
      <w:proofErr w:type="gramStart"/>
      <w:r w:rsidR="00C26AB6" w:rsidRPr="00257488">
        <w:rPr>
          <w:rFonts w:cstheme="minorHAnsi"/>
          <w:sz w:val="24"/>
          <w:szCs w:val="24"/>
        </w:rPr>
        <w:t>in order to</w:t>
      </w:r>
      <w:proofErr w:type="gramEnd"/>
      <w:r w:rsidR="00C26AB6" w:rsidRPr="00257488">
        <w:rPr>
          <w:rFonts w:cstheme="minorHAnsi"/>
          <w:sz w:val="24"/>
          <w:szCs w:val="24"/>
        </w:rPr>
        <w:t xml:space="preserve"> access the land. In </w:t>
      </w:r>
      <w:r w:rsidR="00C26AB6" w:rsidRPr="00257488">
        <w:rPr>
          <w:rFonts w:cstheme="minorHAnsi"/>
          <w:i/>
          <w:iCs/>
          <w:sz w:val="24"/>
          <w:szCs w:val="24"/>
        </w:rPr>
        <w:t>Nickerson v Barraclough</w:t>
      </w:r>
      <w:r w:rsidR="00C26AB6" w:rsidRPr="00257488">
        <w:rPr>
          <w:rFonts w:cstheme="minorHAnsi"/>
          <w:sz w:val="24"/>
          <w:szCs w:val="24"/>
        </w:rPr>
        <w:t xml:space="preserve">, it was held that necessity can only be invoked where without the right, the land would become landlocked. </w:t>
      </w:r>
      <w:r w:rsidR="00E649C3" w:rsidRPr="00257488">
        <w:rPr>
          <w:rFonts w:cstheme="minorHAnsi"/>
          <w:sz w:val="24"/>
          <w:szCs w:val="24"/>
        </w:rPr>
        <w:t xml:space="preserve">Conclusively, this is a highly strict test </w:t>
      </w:r>
      <w:proofErr w:type="gramStart"/>
      <w:r w:rsidR="00E649C3" w:rsidRPr="00257488">
        <w:rPr>
          <w:rFonts w:cstheme="minorHAnsi"/>
          <w:sz w:val="24"/>
          <w:szCs w:val="24"/>
        </w:rPr>
        <w:t>in order to</w:t>
      </w:r>
      <w:proofErr w:type="gramEnd"/>
      <w:r w:rsidR="00E649C3" w:rsidRPr="00257488">
        <w:rPr>
          <w:rFonts w:cstheme="minorHAnsi"/>
          <w:sz w:val="24"/>
          <w:szCs w:val="24"/>
        </w:rPr>
        <w:t xml:space="preserve"> avoid claimants from bringing frivolous claims which would otherwise bind the defendant.</w:t>
      </w:r>
    </w:p>
    <w:p w14:paraId="2512561A" w14:textId="772E282D" w:rsidR="00E649C3" w:rsidRPr="00257488" w:rsidRDefault="00E649C3" w:rsidP="00257488">
      <w:pPr>
        <w:spacing w:line="480" w:lineRule="auto"/>
        <w:rPr>
          <w:rFonts w:cstheme="minorHAnsi"/>
          <w:iCs/>
          <w:sz w:val="24"/>
          <w:szCs w:val="24"/>
        </w:rPr>
      </w:pPr>
      <w:r w:rsidRPr="00257488">
        <w:rPr>
          <w:rFonts w:cstheme="minorHAnsi"/>
          <w:sz w:val="24"/>
          <w:szCs w:val="24"/>
        </w:rPr>
        <w:t xml:space="preserve">Next, there needs to be common intention. </w:t>
      </w:r>
      <w:r w:rsidR="00617BA2" w:rsidRPr="00257488">
        <w:rPr>
          <w:rFonts w:cstheme="minorHAnsi"/>
          <w:sz w:val="24"/>
          <w:szCs w:val="24"/>
        </w:rPr>
        <w:t xml:space="preserve">Common intention applies to grant as well as reservation. </w:t>
      </w:r>
      <w:r w:rsidRPr="00257488">
        <w:rPr>
          <w:rFonts w:cstheme="minorHAnsi"/>
          <w:sz w:val="24"/>
          <w:szCs w:val="24"/>
        </w:rPr>
        <w:t xml:space="preserve">This is where both, the servient owner and dominant owner, are aware of the reason and purpose of the land in use. </w:t>
      </w:r>
      <w:r w:rsidRPr="00257488">
        <w:rPr>
          <w:rFonts w:cstheme="minorHAnsi"/>
          <w:i/>
          <w:sz w:val="24"/>
          <w:szCs w:val="24"/>
        </w:rPr>
        <w:t>PWL v batch: ‘such easements as may be necessary to give effect to the common intention of the parties to a grant of real property.”</w:t>
      </w:r>
      <w:r w:rsidRPr="00257488">
        <w:rPr>
          <w:rFonts w:cstheme="minorHAnsi"/>
          <w:iCs/>
          <w:sz w:val="24"/>
          <w:szCs w:val="24"/>
        </w:rPr>
        <w:t xml:space="preserve"> Comparatively, the law is lenient under common intention than it is under necessity. Generally, common intention will succeed where it is necessary for the enjoyment of a right which has been expressly granted and where circumstances suggest that a right was granted. Therefore, such easements </w:t>
      </w:r>
      <w:proofErr w:type="gramStart"/>
      <w:r w:rsidRPr="00257488">
        <w:rPr>
          <w:rFonts w:cstheme="minorHAnsi"/>
          <w:iCs/>
          <w:sz w:val="24"/>
          <w:szCs w:val="24"/>
        </w:rPr>
        <w:t>are considered to be</w:t>
      </w:r>
      <w:proofErr w:type="gramEnd"/>
      <w:r w:rsidRPr="00257488">
        <w:rPr>
          <w:rFonts w:cstheme="minorHAnsi"/>
          <w:iCs/>
          <w:sz w:val="24"/>
          <w:szCs w:val="24"/>
        </w:rPr>
        <w:t xml:space="preserve"> necessary for establishing common intention of the parties. </w:t>
      </w:r>
      <w:r w:rsidR="007B4C76" w:rsidRPr="00257488">
        <w:rPr>
          <w:rFonts w:cstheme="minorHAnsi"/>
          <w:iCs/>
          <w:sz w:val="24"/>
          <w:szCs w:val="24"/>
        </w:rPr>
        <w:t>Nevertheless, courts have been reluctant to grant a reservation under common intention as they have stated for reservations, it should be express. However</w:t>
      </w:r>
      <w:r w:rsidR="00617BA2" w:rsidRPr="00257488">
        <w:rPr>
          <w:rFonts w:cstheme="minorHAnsi"/>
          <w:iCs/>
          <w:sz w:val="24"/>
          <w:szCs w:val="24"/>
        </w:rPr>
        <w:t>, the court has shown flexibility and tends to discover how the land is intended to be used at the time of purchase rather than a specific easement that was intended to be granted (</w:t>
      </w:r>
      <w:r w:rsidR="00617BA2" w:rsidRPr="00257488">
        <w:rPr>
          <w:rFonts w:cstheme="minorHAnsi"/>
          <w:i/>
          <w:sz w:val="24"/>
          <w:szCs w:val="24"/>
        </w:rPr>
        <w:t>Wong v Beaumont Property Trust</w:t>
      </w:r>
      <w:r w:rsidR="00617BA2" w:rsidRPr="00257488">
        <w:rPr>
          <w:rFonts w:cstheme="minorHAnsi"/>
          <w:iCs/>
          <w:sz w:val="24"/>
          <w:szCs w:val="24"/>
        </w:rPr>
        <w:t xml:space="preserve">). More recently, in </w:t>
      </w:r>
      <w:r w:rsidR="00617BA2" w:rsidRPr="00257488">
        <w:rPr>
          <w:rFonts w:cstheme="minorHAnsi"/>
          <w:i/>
          <w:sz w:val="24"/>
          <w:szCs w:val="24"/>
        </w:rPr>
        <w:t xml:space="preserve">Donovan v Rana [2014], </w:t>
      </w:r>
      <w:r w:rsidR="00617BA2" w:rsidRPr="00257488">
        <w:rPr>
          <w:rFonts w:cstheme="minorHAnsi"/>
          <w:iCs/>
          <w:sz w:val="24"/>
          <w:szCs w:val="24"/>
        </w:rPr>
        <w:t xml:space="preserve">the courts comfortably applied intended easement. Such indicates that while the courts may have shown harshness in necessity, they have proven leniency under common intention </w:t>
      </w:r>
      <w:proofErr w:type="gramStart"/>
      <w:r w:rsidR="00617BA2" w:rsidRPr="00257488">
        <w:rPr>
          <w:rFonts w:cstheme="minorHAnsi"/>
          <w:iCs/>
          <w:sz w:val="24"/>
          <w:szCs w:val="24"/>
        </w:rPr>
        <w:t>so as to</w:t>
      </w:r>
      <w:proofErr w:type="gramEnd"/>
      <w:r w:rsidR="00617BA2" w:rsidRPr="00257488">
        <w:rPr>
          <w:rFonts w:cstheme="minorHAnsi"/>
          <w:iCs/>
          <w:sz w:val="24"/>
          <w:szCs w:val="24"/>
        </w:rPr>
        <w:t xml:space="preserve"> not deprive the claimant from his rightful easement. </w:t>
      </w:r>
    </w:p>
    <w:p w14:paraId="4ED69E0C" w14:textId="7D5AE961" w:rsidR="000F632D" w:rsidRPr="00257488" w:rsidRDefault="00617BA2" w:rsidP="00257488">
      <w:pPr>
        <w:spacing w:line="480" w:lineRule="auto"/>
        <w:rPr>
          <w:rFonts w:cstheme="minorHAnsi"/>
          <w:sz w:val="24"/>
          <w:szCs w:val="24"/>
        </w:rPr>
      </w:pPr>
      <w:r w:rsidRPr="00257488">
        <w:rPr>
          <w:rFonts w:cstheme="minorHAnsi"/>
          <w:iCs/>
          <w:sz w:val="24"/>
          <w:szCs w:val="24"/>
        </w:rPr>
        <w:lastRenderedPageBreak/>
        <w:t xml:space="preserve">The third method of creation is the test laid down in </w:t>
      </w:r>
      <w:r w:rsidRPr="00257488">
        <w:rPr>
          <w:rFonts w:cstheme="minorHAnsi"/>
          <w:i/>
          <w:sz w:val="24"/>
          <w:szCs w:val="24"/>
        </w:rPr>
        <w:t>Wheeldon v Burrows</w:t>
      </w:r>
      <w:r w:rsidRPr="00257488">
        <w:rPr>
          <w:rFonts w:cstheme="minorHAnsi"/>
          <w:iCs/>
          <w:sz w:val="24"/>
          <w:szCs w:val="24"/>
        </w:rPr>
        <w:t xml:space="preserve"> which only applies to grants. There are</w:t>
      </w:r>
      <w:r w:rsidR="007B4C76" w:rsidRPr="00257488">
        <w:rPr>
          <w:rFonts w:cstheme="minorHAnsi"/>
          <w:iCs/>
          <w:sz w:val="24"/>
          <w:szCs w:val="24"/>
        </w:rPr>
        <w:t xml:space="preserve"> three</w:t>
      </w:r>
      <w:r w:rsidRPr="00257488">
        <w:rPr>
          <w:rFonts w:cstheme="minorHAnsi"/>
          <w:iCs/>
          <w:sz w:val="24"/>
          <w:szCs w:val="24"/>
        </w:rPr>
        <w:t xml:space="preserve"> sub-conditions under this rule; there must be an existence of a quasi-easement</w:t>
      </w:r>
      <w:r w:rsidR="007B4C76" w:rsidRPr="00257488">
        <w:rPr>
          <w:rFonts w:cstheme="minorHAnsi"/>
          <w:iCs/>
          <w:sz w:val="24"/>
          <w:szCs w:val="24"/>
        </w:rPr>
        <w:t xml:space="preserve">, </w:t>
      </w:r>
      <w:r w:rsidRPr="00257488">
        <w:rPr>
          <w:rFonts w:cstheme="minorHAnsi"/>
          <w:iCs/>
          <w:sz w:val="24"/>
          <w:szCs w:val="24"/>
        </w:rPr>
        <w:t>secondly, the quasi-easement must be continuous</w:t>
      </w:r>
      <w:r w:rsidR="007B4C76" w:rsidRPr="00257488">
        <w:rPr>
          <w:rFonts w:cstheme="minorHAnsi"/>
          <w:iCs/>
          <w:sz w:val="24"/>
          <w:szCs w:val="24"/>
        </w:rPr>
        <w:t xml:space="preserve">, necessary </w:t>
      </w:r>
      <w:r w:rsidRPr="00257488">
        <w:rPr>
          <w:rFonts w:cstheme="minorHAnsi"/>
          <w:iCs/>
          <w:sz w:val="24"/>
          <w:szCs w:val="24"/>
        </w:rPr>
        <w:t>as well as apparent</w:t>
      </w:r>
      <w:r w:rsidR="007B4C76" w:rsidRPr="00257488">
        <w:rPr>
          <w:rFonts w:cstheme="minorHAnsi"/>
          <w:iCs/>
          <w:sz w:val="24"/>
          <w:szCs w:val="24"/>
        </w:rPr>
        <w:t xml:space="preserve"> and lastly, in use by the owner at the time of the grant for the benefit of the part granted</w:t>
      </w:r>
      <w:r w:rsidRPr="00257488">
        <w:rPr>
          <w:rFonts w:cstheme="minorHAnsi"/>
          <w:iCs/>
          <w:sz w:val="24"/>
          <w:szCs w:val="24"/>
        </w:rPr>
        <w:t xml:space="preserve">. </w:t>
      </w:r>
      <w:r w:rsidR="007B4C76" w:rsidRPr="00257488">
        <w:rPr>
          <w:rFonts w:cstheme="minorHAnsi"/>
          <w:iCs/>
          <w:sz w:val="24"/>
          <w:szCs w:val="24"/>
        </w:rPr>
        <w:t xml:space="preserve">With regards to the first condition, as per Dixon. M, </w:t>
      </w:r>
      <w:r w:rsidR="007B4C76" w:rsidRPr="00257488">
        <w:rPr>
          <w:rFonts w:cstheme="minorHAnsi"/>
          <w:iCs/>
          <w:sz w:val="24"/>
          <w:szCs w:val="24"/>
          <w:lang w:val="en-US"/>
        </w:rPr>
        <w:t>a quasi-easement is one which is</w:t>
      </w:r>
      <w:r w:rsidR="007B4C76" w:rsidRPr="00257488">
        <w:rPr>
          <w:rFonts w:cstheme="minorHAnsi"/>
          <w:iCs/>
          <w:sz w:val="24"/>
          <w:szCs w:val="24"/>
          <w:lang/>
        </w:rPr>
        <w:t xml:space="preserve"> used by the </w:t>
      </w:r>
      <w:r w:rsidR="007B4C76" w:rsidRPr="00257488">
        <w:rPr>
          <w:rFonts w:cstheme="minorHAnsi"/>
          <w:i/>
          <w:iCs/>
          <w:sz w:val="24"/>
          <w:szCs w:val="24"/>
          <w:lang/>
        </w:rPr>
        <w:t xml:space="preserve">owner </w:t>
      </w:r>
      <w:r w:rsidR="007B4C76" w:rsidRPr="00257488">
        <w:rPr>
          <w:rFonts w:cstheme="minorHAnsi"/>
          <w:iCs/>
          <w:sz w:val="24"/>
          <w:szCs w:val="24"/>
          <w:lang/>
        </w:rPr>
        <w:t>of the whole</w:t>
      </w:r>
      <w:r w:rsidR="007B4C76" w:rsidRPr="00257488">
        <w:rPr>
          <w:rFonts w:cstheme="minorHAnsi"/>
          <w:iCs/>
          <w:sz w:val="24"/>
          <w:szCs w:val="24"/>
          <w:lang w:val="en-US"/>
        </w:rPr>
        <w:t xml:space="preserve"> </w:t>
      </w:r>
      <w:r w:rsidR="007B4C76" w:rsidRPr="00257488">
        <w:rPr>
          <w:rFonts w:cstheme="minorHAnsi"/>
          <w:iCs/>
          <w:sz w:val="24"/>
          <w:szCs w:val="24"/>
          <w:lang/>
        </w:rPr>
        <w:t xml:space="preserve">land for the benefit of the part sold </w:t>
      </w:r>
      <w:r w:rsidR="007B4C76" w:rsidRPr="00257488">
        <w:rPr>
          <w:rFonts w:cstheme="minorHAnsi"/>
          <w:i/>
          <w:iCs/>
          <w:sz w:val="24"/>
          <w:szCs w:val="24"/>
          <w:lang/>
        </w:rPr>
        <w:t xml:space="preserve">before </w:t>
      </w:r>
      <w:r w:rsidR="007B4C76" w:rsidRPr="00257488">
        <w:rPr>
          <w:rFonts w:cstheme="minorHAnsi"/>
          <w:iCs/>
          <w:sz w:val="24"/>
          <w:szCs w:val="24"/>
          <w:lang/>
        </w:rPr>
        <w:t>the lease or sale of the alleged dominant</w:t>
      </w:r>
      <w:r w:rsidR="007B4C76" w:rsidRPr="00257488">
        <w:rPr>
          <w:rFonts w:cstheme="minorHAnsi"/>
          <w:iCs/>
          <w:sz w:val="24"/>
          <w:szCs w:val="24"/>
          <w:lang w:val="en-US"/>
        </w:rPr>
        <w:t xml:space="preserve"> part. The second condition relates to the quasi-easement being </w:t>
      </w:r>
      <w:r w:rsidR="007B4C76" w:rsidRPr="00257488">
        <w:rPr>
          <w:rFonts w:cstheme="minorHAnsi"/>
          <w:sz w:val="24"/>
          <w:szCs w:val="24"/>
        </w:rPr>
        <w:t>discoverable and unconditional which means that it must be clearly visible on inspection the land, must be enjoyed over a substantial amount of time and must not have any conditions attached to it (</w:t>
      </w:r>
      <w:r w:rsidR="007B4C76" w:rsidRPr="00257488">
        <w:rPr>
          <w:rFonts w:cstheme="minorHAnsi"/>
          <w:i/>
          <w:iCs/>
          <w:sz w:val="24"/>
          <w:szCs w:val="24"/>
        </w:rPr>
        <w:t xml:space="preserve">Wheeler v J </w:t>
      </w:r>
      <w:proofErr w:type="spellStart"/>
      <w:r w:rsidR="007B4C76" w:rsidRPr="00257488">
        <w:rPr>
          <w:rFonts w:cstheme="minorHAnsi"/>
          <w:i/>
          <w:iCs/>
          <w:sz w:val="24"/>
          <w:szCs w:val="24"/>
        </w:rPr>
        <w:t>J</w:t>
      </w:r>
      <w:proofErr w:type="spellEnd"/>
      <w:r w:rsidR="007B4C76" w:rsidRPr="00257488">
        <w:rPr>
          <w:rFonts w:cstheme="minorHAnsi"/>
          <w:i/>
          <w:iCs/>
          <w:sz w:val="24"/>
          <w:szCs w:val="24"/>
        </w:rPr>
        <w:t xml:space="preserve"> Saunders [1996] Ch 1</w:t>
      </w:r>
      <w:r w:rsidR="007B4C76" w:rsidRPr="00257488">
        <w:rPr>
          <w:rFonts w:cstheme="minorHAnsi"/>
          <w:sz w:val="24"/>
          <w:szCs w:val="24"/>
        </w:rPr>
        <w:t xml:space="preserve">). For example, if the defendant tells the claimant that he can use the car parking if the claimant lets the defendant use his shower, then such is attaching a condition and will therefore, be invalid. With regards to necessity, </w:t>
      </w:r>
      <w:r w:rsidR="00DF283A" w:rsidRPr="00257488">
        <w:rPr>
          <w:rFonts w:cstheme="minorHAnsi"/>
          <w:sz w:val="24"/>
          <w:szCs w:val="24"/>
        </w:rPr>
        <w:t>it is not applied as strictly as easement of necessity (</w:t>
      </w:r>
      <w:r w:rsidR="00DF283A" w:rsidRPr="00257488">
        <w:rPr>
          <w:rFonts w:cstheme="minorHAnsi"/>
          <w:i/>
          <w:iCs/>
          <w:sz w:val="24"/>
          <w:szCs w:val="24"/>
        </w:rPr>
        <w:t>Millman v Ellis</w:t>
      </w:r>
      <w:r w:rsidR="00DF283A" w:rsidRPr="00257488">
        <w:rPr>
          <w:rFonts w:cstheme="minorHAnsi"/>
          <w:sz w:val="24"/>
          <w:szCs w:val="24"/>
        </w:rPr>
        <w:t xml:space="preserve">). </w:t>
      </w:r>
      <w:r w:rsidR="007B4C76" w:rsidRPr="00257488">
        <w:rPr>
          <w:rFonts w:cstheme="minorHAnsi"/>
          <w:sz w:val="24"/>
          <w:szCs w:val="24"/>
        </w:rPr>
        <w:t xml:space="preserve">Lastly, the easement must be in use at the time of the grant. </w:t>
      </w:r>
      <w:r w:rsidR="00DF283A" w:rsidRPr="00257488">
        <w:rPr>
          <w:rFonts w:cstheme="minorHAnsi"/>
          <w:sz w:val="24"/>
          <w:szCs w:val="24"/>
        </w:rPr>
        <w:t xml:space="preserve">This means that the owner himself must be exercising the right during the time of the creation of easement. This allows for the claimant to rely on the right, since the defendant cannot deny that he did not use the right. </w:t>
      </w:r>
    </w:p>
    <w:p w14:paraId="647800E0" w14:textId="682918BF" w:rsidR="00D41CD2" w:rsidRPr="00257488" w:rsidRDefault="00DF283A" w:rsidP="00257488">
      <w:pPr>
        <w:spacing w:line="480" w:lineRule="auto"/>
        <w:rPr>
          <w:rFonts w:cstheme="minorHAnsi"/>
          <w:sz w:val="24"/>
          <w:szCs w:val="24"/>
        </w:rPr>
      </w:pPr>
      <w:r w:rsidRPr="00257488">
        <w:rPr>
          <w:rFonts w:cstheme="minorHAnsi"/>
          <w:sz w:val="24"/>
          <w:szCs w:val="24"/>
        </w:rPr>
        <w:t xml:space="preserve">Provided that Wheeldon v Burrows fails to apply successfully, the last method is s.62 of the Law of Property Act 1925. Under this section, the following have to be </w:t>
      </w:r>
      <w:proofErr w:type="gramStart"/>
      <w:r w:rsidRPr="00257488">
        <w:rPr>
          <w:rFonts w:cstheme="minorHAnsi"/>
          <w:sz w:val="24"/>
          <w:szCs w:val="24"/>
        </w:rPr>
        <w:t>met</w:t>
      </w:r>
      <w:r w:rsidRPr="00257488">
        <w:rPr>
          <w:rFonts w:cstheme="minorHAnsi"/>
          <w:i/>
          <w:sz w:val="24"/>
          <w:szCs w:val="24"/>
        </w:rPr>
        <w:t>:</w:t>
      </w:r>
      <w:proofErr w:type="gramEnd"/>
      <w:r w:rsidRPr="00257488">
        <w:rPr>
          <w:rFonts w:cstheme="minorHAnsi"/>
          <w:i/>
          <w:sz w:val="24"/>
          <w:szCs w:val="24"/>
        </w:rPr>
        <w:t xml:space="preserve"> </w:t>
      </w:r>
      <w:r w:rsidRPr="00257488">
        <w:rPr>
          <w:rFonts w:cstheme="minorHAnsi"/>
          <w:sz w:val="24"/>
          <w:szCs w:val="24"/>
        </w:rPr>
        <w:t xml:space="preserve">firstly, there must be a conveyance by deed or registered disposition and this conveyance must include different occupiers and lastly, existence of prior diversity of occupation or continuous and apparent right. Application of s.62 is seen in </w:t>
      </w:r>
      <w:r w:rsidRPr="00257488">
        <w:rPr>
          <w:rFonts w:cstheme="minorHAnsi"/>
          <w:i/>
          <w:iCs/>
          <w:sz w:val="24"/>
          <w:szCs w:val="24"/>
        </w:rPr>
        <w:t>Wright v Macadam</w:t>
      </w:r>
      <w:r w:rsidRPr="00257488">
        <w:rPr>
          <w:rFonts w:cstheme="minorHAnsi"/>
          <w:sz w:val="24"/>
          <w:szCs w:val="24"/>
        </w:rPr>
        <w:t xml:space="preserve"> conveyance led to a renewed right, thereby creating an easement. However, s.62 only applies to grants and cannot be used for reservations.</w:t>
      </w:r>
    </w:p>
    <w:p w14:paraId="0AD089B3" w14:textId="1415B9AB" w:rsidR="00DF283A" w:rsidRPr="00257488" w:rsidRDefault="00DF283A" w:rsidP="00257488">
      <w:pPr>
        <w:spacing w:line="480" w:lineRule="auto"/>
        <w:rPr>
          <w:rFonts w:cstheme="minorHAnsi"/>
          <w:sz w:val="24"/>
          <w:szCs w:val="24"/>
        </w:rPr>
      </w:pPr>
      <w:r w:rsidRPr="00257488">
        <w:rPr>
          <w:rFonts w:cstheme="minorHAnsi"/>
          <w:sz w:val="24"/>
          <w:szCs w:val="24"/>
        </w:rPr>
        <w:lastRenderedPageBreak/>
        <w:t xml:space="preserve">In conclusion, the courts have gone above and beyond </w:t>
      </w:r>
      <w:proofErr w:type="gramStart"/>
      <w:r w:rsidRPr="00257488">
        <w:rPr>
          <w:rFonts w:cstheme="minorHAnsi"/>
          <w:sz w:val="24"/>
          <w:szCs w:val="24"/>
        </w:rPr>
        <w:t>in order to</w:t>
      </w:r>
      <w:proofErr w:type="gramEnd"/>
      <w:r w:rsidRPr="00257488">
        <w:rPr>
          <w:rFonts w:cstheme="minorHAnsi"/>
          <w:sz w:val="24"/>
          <w:szCs w:val="24"/>
        </w:rPr>
        <w:t xml:space="preserve"> create easements and to protect rights of each party. Grants have been assigned four different tests which would aid the claimant in getting his right. </w:t>
      </w:r>
      <w:r w:rsidR="00173B86" w:rsidRPr="00257488">
        <w:rPr>
          <w:rFonts w:cstheme="minorHAnsi"/>
          <w:sz w:val="24"/>
          <w:szCs w:val="24"/>
        </w:rPr>
        <w:t xml:space="preserve">Although, the test may be difficult to prove, the judges are open and willing to create easements. </w:t>
      </w:r>
      <w:r w:rsidRPr="00257488">
        <w:rPr>
          <w:rFonts w:cstheme="minorHAnsi"/>
          <w:sz w:val="24"/>
          <w:szCs w:val="24"/>
        </w:rPr>
        <w:t xml:space="preserve">Thus, the courts have </w:t>
      </w:r>
      <w:r w:rsidR="00173B86" w:rsidRPr="00257488">
        <w:rPr>
          <w:rFonts w:cstheme="minorHAnsi"/>
          <w:sz w:val="24"/>
          <w:szCs w:val="24"/>
        </w:rPr>
        <w:t>attempted to strike a balance between the two parties.</w:t>
      </w:r>
    </w:p>
    <w:p w14:paraId="2080859A" w14:textId="6A870936" w:rsidR="00173B86" w:rsidRPr="00257488" w:rsidRDefault="00173B86" w:rsidP="00257488">
      <w:pPr>
        <w:spacing w:line="480" w:lineRule="auto"/>
        <w:rPr>
          <w:rFonts w:cstheme="minorHAnsi"/>
          <w:sz w:val="24"/>
          <w:szCs w:val="24"/>
        </w:rPr>
      </w:pPr>
      <w:r w:rsidRPr="00257488">
        <w:rPr>
          <w:rFonts w:cstheme="minorHAnsi"/>
          <w:sz w:val="24"/>
          <w:szCs w:val="24"/>
        </w:rPr>
        <w:t xml:space="preserve">Bibliography. </w:t>
      </w:r>
    </w:p>
    <w:p w14:paraId="19D9E1F9" w14:textId="244EED8F" w:rsidR="00173B86" w:rsidRPr="00257488" w:rsidRDefault="00173B86" w:rsidP="00257488">
      <w:pPr>
        <w:spacing w:line="480" w:lineRule="auto"/>
        <w:rPr>
          <w:rFonts w:cstheme="minorHAnsi"/>
          <w:sz w:val="24"/>
          <w:szCs w:val="24"/>
        </w:rPr>
      </w:pPr>
      <w:r w:rsidRPr="00257488">
        <w:rPr>
          <w:rFonts w:cstheme="minorHAnsi"/>
          <w:sz w:val="24"/>
          <w:szCs w:val="24"/>
        </w:rPr>
        <w:t>Books:</w:t>
      </w:r>
    </w:p>
    <w:p w14:paraId="3E14E8AB" w14:textId="77777777" w:rsidR="00DA616A" w:rsidRPr="00257488" w:rsidRDefault="00DA616A" w:rsidP="00257488">
      <w:pPr>
        <w:spacing w:line="480" w:lineRule="auto"/>
        <w:rPr>
          <w:rFonts w:cstheme="minorHAnsi"/>
          <w:sz w:val="24"/>
          <w:szCs w:val="24"/>
        </w:rPr>
      </w:pPr>
      <w:r w:rsidRPr="00257488">
        <w:rPr>
          <w:rFonts w:cstheme="minorHAnsi"/>
          <w:sz w:val="24"/>
          <w:szCs w:val="24"/>
        </w:rPr>
        <w:t>Bray, J (2016) ‘</w:t>
      </w:r>
      <w:r w:rsidRPr="00257488">
        <w:rPr>
          <w:rFonts w:cstheme="minorHAnsi"/>
          <w:i/>
          <w:iCs/>
          <w:sz w:val="24"/>
          <w:szCs w:val="24"/>
        </w:rPr>
        <w:t>Unlocking Land Law’</w:t>
      </w:r>
      <w:r w:rsidRPr="00257488">
        <w:rPr>
          <w:rFonts w:cstheme="minorHAnsi"/>
          <w:sz w:val="24"/>
          <w:szCs w:val="24"/>
        </w:rPr>
        <w:t xml:space="preserve"> 5</w:t>
      </w:r>
      <w:r w:rsidRPr="00257488">
        <w:rPr>
          <w:rFonts w:cstheme="minorHAnsi"/>
          <w:sz w:val="24"/>
          <w:szCs w:val="24"/>
          <w:vertAlign w:val="superscript"/>
        </w:rPr>
        <w:t>th</w:t>
      </w:r>
      <w:r w:rsidRPr="00257488">
        <w:rPr>
          <w:rFonts w:cstheme="minorHAnsi"/>
          <w:sz w:val="24"/>
          <w:szCs w:val="24"/>
        </w:rPr>
        <w:t xml:space="preserve"> </w:t>
      </w:r>
      <w:proofErr w:type="spellStart"/>
      <w:r w:rsidRPr="00257488">
        <w:rPr>
          <w:rFonts w:cstheme="minorHAnsi"/>
          <w:sz w:val="24"/>
          <w:szCs w:val="24"/>
        </w:rPr>
        <w:t>edn</w:t>
      </w:r>
      <w:proofErr w:type="spellEnd"/>
      <w:r w:rsidRPr="00257488">
        <w:rPr>
          <w:rFonts w:cstheme="minorHAnsi"/>
          <w:sz w:val="24"/>
          <w:szCs w:val="24"/>
        </w:rPr>
        <w:t>, Routledge.</w:t>
      </w:r>
    </w:p>
    <w:p w14:paraId="432ED093" w14:textId="77777777" w:rsidR="00DA616A" w:rsidRPr="00257488" w:rsidRDefault="00DA616A" w:rsidP="00257488">
      <w:pPr>
        <w:spacing w:line="480" w:lineRule="auto"/>
        <w:rPr>
          <w:rFonts w:cstheme="minorHAnsi"/>
          <w:sz w:val="24"/>
          <w:szCs w:val="24"/>
        </w:rPr>
      </w:pPr>
      <w:r w:rsidRPr="00257488">
        <w:rPr>
          <w:rFonts w:cstheme="minorHAnsi"/>
          <w:sz w:val="24"/>
          <w:szCs w:val="24"/>
        </w:rPr>
        <w:t>Dixon, M (2016), ‘</w:t>
      </w:r>
      <w:r w:rsidRPr="00257488">
        <w:rPr>
          <w:rFonts w:cstheme="minorHAnsi"/>
          <w:i/>
          <w:iCs/>
          <w:sz w:val="24"/>
          <w:szCs w:val="24"/>
        </w:rPr>
        <w:t>Modern Land Law’</w:t>
      </w:r>
      <w:r w:rsidRPr="00257488">
        <w:rPr>
          <w:rFonts w:cstheme="minorHAnsi"/>
          <w:sz w:val="24"/>
          <w:szCs w:val="24"/>
        </w:rPr>
        <w:t>. 10</w:t>
      </w:r>
      <w:r w:rsidRPr="00257488">
        <w:rPr>
          <w:rFonts w:cstheme="minorHAnsi"/>
          <w:sz w:val="24"/>
          <w:szCs w:val="24"/>
          <w:vertAlign w:val="superscript"/>
        </w:rPr>
        <w:t>th</w:t>
      </w:r>
      <w:r w:rsidRPr="00257488">
        <w:rPr>
          <w:rFonts w:cstheme="minorHAnsi"/>
          <w:sz w:val="24"/>
          <w:szCs w:val="24"/>
        </w:rPr>
        <w:t xml:space="preserve"> </w:t>
      </w:r>
      <w:proofErr w:type="spellStart"/>
      <w:r w:rsidRPr="00257488">
        <w:rPr>
          <w:rFonts w:cstheme="minorHAnsi"/>
          <w:sz w:val="24"/>
          <w:szCs w:val="24"/>
        </w:rPr>
        <w:t>edn</w:t>
      </w:r>
      <w:proofErr w:type="spellEnd"/>
      <w:r w:rsidRPr="00257488">
        <w:rPr>
          <w:rFonts w:cstheme="minorHAnsi"/>
          <w:sz w:val="24"/>
          <w:szCs w:val="24"/>
        </w:rPr>
        <w:t xml:space="preserve">, Routledge. </w:t>
      </w:r>
    </w:p>
    <w:p w14:paraId="76045E48" w14:textId="77777777" w:rsidR="00DA616A" w:rsidRPr="00257488" w:rsidRDefault="00DA616A" w:rsidP="00257488">
      <w:pPr>
        <w:spacing w:line="480" w:lineRule="auto"/>
        <w:rPr>
          <w:rFonts w:cstheme="minorHAnsi"/>
          <w:sz w:val="24"/>
          <w:szCs w:val="24"/>
        </w:rPr>
      </w:pPr>
      <w:r w:rsidRPr="00257488">
        <w:rPr>
          <w:rFonts w:cstheme="minorHAnsi"/>
          <w:sz w:val="24"/>
          <w:szCs w:val="24"/>
        </w:rPr>
        <w:t>Macfarlane, B., Hopkins, N. and Neild, S (2012) “</w:t>
      </w:r>
      <w:r w:rsidRPr="00257488">
        <w:rPr>
          <w:rFonts w:cstheme="minorHAnsi"/>
          <w:i/>
          <w:iCs/>
          <w:sz w:val="24"/>
          <w:szCs w:val="24"/>
        </w:rPr>
        <w:t>Land Law: Text, Cases and Materials</w:t>
      </w:r>
      <w:r w:rsidRPr="00257488">
        <w:rPr>
          <w:rFonts w:cstheme="minorHAnsi"/>
          <w:sz w:val="24"/>
          <w:szCs w:val="24"/>
        </w:rPr>
        <w:t>”. 2</w:t>
      </w:r>
      <w:r w:rsidRPr="00257488">
        <w:rPr>
          <w:rFonts w:cstheme="minorHAnsi"/>
          <w:sz w:val="24"/>
          <w:szCs w:val="24"/>
          <w:vertAlign w:val="superscript"/>
        </w:rPr>
        <w:t>nd</w:t>
      </w:r>
      <w:r w:rsidRPr="00257488">
        <w:rPr>
          <w:rFonts w:cstheme="minorHAnsi"/>
          <w:sz w:val="24"/>
          <w:szCs w:val="24"/>
        </w:rPr>
        <w:t xml:space="preserve"> </w:t>
      </w:r>
      <w:proofErr w:type="spellStart"/>
      <w:r w:rsidRPr="00257488">
        <w:rPr>
          <w:rFonts w:cstheme="minorHAnsi"/>
          <w:sz w:val="24"/>
          <w:szCs w:val="24"/>
        </w:rPr>
        <w:t>edn</w:t>
      </w:r>
      <w:proofErr w:type="spellEnd"/>
      <w:r w:rsidRPr="00257488">
        <w:rPr>
          <w:rFonts w:cstheme="minorHAnsi"/>
          <w:sz w:val="24"/>
          <w:szCs w:val="24"/>
        </w:rPr>
        <w:t xml:space="preserve">, Oxford University Press. </w:t>
      </w:r>
    </w:p>
    <w:p w14:paraId="71163653" w14:textId="209F7CFD" w:rsidR="00173B86" w:rsidRPr="00257488" w:rsidRDefault="00173B86" w:rsidP="00257488">
      <w:pPr>
        <w:spacing w:line="480" w:lineRule="auto"/>
        <w:rPr>
          <w:rFonts w:cstheme="minorHAnsi"/>
          <w:sz w:val="24"/>
          <w:szCs w:val="24"/>
        </w:rPr>
      </w:pPr>
      <w:r w:rsidRPr="00257488">
        <w:rPr>
          <w:rFonts w:cstheme="minorHAnsi"/>
          <w:sz w:val="24"/>
          <w:szCs w:val="24"/>
        </w:rPr>
        <w:t>Articles/Journals:</w:t>
      </w:r>
    </w:p>
    <w:p w14:paraId="3F62FA00" w14:textId="21311D3F" w:rsidR="00DA616A" w:rsidRPr="00257488" w:rsidRDefault="00DA616A" w:rsidP="00257488">
      <w:pPr>
        <w:spacing w:line="480" w:lineRule="auto"/>
        <w:rPr>
          <w:rFonts w:cstheme="minorHAnsi"/>
          <w:sz w:val="24"/>
          <w:szCs w:val="24"/>
        </w:rPr>
      </w:pPr>
      <w:r w:rsidRPr="00257488">
        <w:rPr>
          <w:rFonts w:cstheme="minorHAnsi"/>
          <w:sz w:val="24"/>
          <w:szCs w:val="24"/>
        </w:rPr>
        <w:t>Bevan, C. (2019) ‘</w:t>
      </w:r>
      <w:r w:rsidRPr="00257488">
        <w:rPr>
          <w:rFonts w:cstheme="minorHAnsi"/>
          <w:i/>
          <w:iCs/>
          <w:sz w:val="24"/>
          <w:szCs w:val="24"/>
        </w:rPr>
        <w:t>Opening Pandora’s box? Recreation pure and simple: easements in the Supreme Cour</w:t>
      </w:r>
      <w:r w:rsidRPr="00257488">
        <w:rPr>
          <w:rFonts w:cstheme="minorHAnsi"/>
          <w:sz w:val="24"/>
          <w:szCs w:val="24"/>
        </w:rPr>
        <w:t>t’ Conv 55.</w:t>
      </w:r>
    </w:p>
    <w:p w14:paraId="743BBF58" w14:textId="32622C51" w:rsidR="00367B44" w:rsidRPr="00257488" w:rsidRDefault="00367B44" w:rsidP="00257488">
      <w:pPr>
        <w:spacing w:line="480" w:lineRule="auto"/>
        <w:rPr>
          <w:rFonts w:cstheme="minorHAnsi"/>
          <w:sz w:val="24"/>
          <w:szCs w:val="24"/>
        </w:rPr>
      </w:pPr>
      <w:r w:rsidRPr="00257488">
        <w:rPr>
          <w:rFonts w:cstheme="minorHAnsi"/>
          <w:sz w:val="24"/>
          <w:szCs w:val="24"/>
        </w:rPr>
        <w:t>Law Commission Consultation Paper No 186 (2008), [4.109].</w:t>
      </w:r>
    </w:p>
    <w:p w14:paraId="531DA266" w14:textId="77777777" w:rsidR="00DA616A" w:rsidRPr="00257488" w:rsidRDefault="00DA616A" w:rsidP="00257488">
      <w:pPr>
        <w:spacing w:line="480" w:lineRule="auto"/>
        <w:rPr>
          <w:rFonts w:cstheme="minorHAnsi"/>
          <w:sz w:val="24"/>
          <w:szCs w:val="24"/>
        </w:rPr>
      </w:pPr>
      <w:r w:rsidRPr="00257488">
        <w:rPr>
          <w:rFonts w:cstheme="minorHAnsi"/>
          <w:sz w:val="24"/>
          <w:szCs w:val="24"/>
        </w:rPr>
        <w:t>Lawson, (2002) ‘</w:t>
      </w:r>
      <w:r w:rsidRPr="00257488">
        <w:rPr>
          <w:rFonts w:cstheme="minorHAnsi"/>
          <w:i/>
          <w:iCs/>
          <w:sz w:val="24"/>
          <w:szCs w:val="24"/>
        </w:rPr>
        <w:t>Easements</w:t>
      </w:r>
      <w:r w:rsidRPr="00257488">
        <w:rPr>
          <w:rFonts w:cstheme="minorHAnsi"/>
          <w:sz w:val="24"/>
          <w:szCs w:val="24"/>
        </w:rPr>
        <w:t>’ in Land Law: Issues, Debates, Policy (ed Tee), p 71.</w:t>
      </w:r>
    </w:p>
    <w:p w14:paraId="32EBF913" w14:textId="77777777" w:rsidR="00DA616A" w:rsidRPr="00257488" w:rsidRDefault="00DA616A" w:rsidP="00257488">
      <w:pPr>
        <w:spacing w:line="480" w:lineRule="auto"/>
        <w:rPr>
          <w:rFonts w:cstheme="minorHAnsi"/>
          <w:sz w:val="24"/>
          <w:szCs w:val="24"/>
        </w:rPr>
      </w:pPr>
      <w:r w:rsidRPr="00257488">
        <w:rPr>
          <w:rFonts w:cstheme="minorHAnsi"/>
          <w:sz w:val="24"/>
          <w:szCs w:val="24"/>
        </w:rPr>
        <w:t>McClean, (1996) ‘</w:t>
      </w:r>
      <w:r w:rsidRPr="00257488">
        <w:rPr>
          <w:rFonts w:cstheme="minorHAnsi"/>
          <w:i/>
          <w:iCs/>
          <w:sz w:val="24"/>
          <w:szCs w:val="24"/>
        </w:rPr>
        <w:t>The Nature of an Easement’</w:t>
      </w:r>
      <w:r w:rsidRPr="00257488">
        <w:rPr>
          <w:rFonts w:cstheme="minorHAnsi"/>
          <w:sz w:val="24"/>
          <w:szCs w:val="24"/>
        </w:rPr>
        <w:t xml:space="preserve"> 5 West LR 32, 36–42.</w:t>
      </w:r>
    </w:p>
    <w:p w14:paraId="7232C048" w14:textId="2C258FFE" w:rsidR="00DA616A" w:rsidRPr="00257488" w:rsidRDefault="00DA616A" w:rsidP="00257488">
      <w:pPr>
        <w:spacing w:line="480" w:lineRule="auto"/>
        <w:rPr>
          <w:rFonts w:cstheme="minorHAnsi"/>
          <w:sz w:val="24"/>
          <w:szCs w:val="24"/>
        </w:rPr>
      </w:pPr>
      <w:r w:rsidRPr="00257488">
        <w:rPr>
          <w:rFonts w:cstheme="minorHAnsi"/>
          <w:sz w:val="24"/>
          <w:szCs w:val="24"/>
        </w:rPr>
        <w:t>Cases:</w:t>
      </w:r>
    </w:p>
    <w:p w14:paraId="6433FAB2" w14:textId="77777777" w:rsidR="00DA616A" w:rsidRPr="00257488" w:rsidRDefault="00DA616A" w:rsidP="00257488">
      <w:pPr>
        <w:spacing w:line="480" w:lineRule="auto"/>
        <w:rPr>
          <w:rFonts w:cstheme="minorHAnsi"/>
          <w:sz w:val="24"/>
          <w:szCs w:val="24"/>
        </w:rPr>
      </w:pPr>
      <w:proofErr w:type="spellStart"/>
      <w:r w:rsidRPr="00257488">
        <w:rPr>
          <w:rFonts w:cstheme="minorHAnsi"/>
          <w:sz w:val="24"/>
          <w:szCs w:val="24"/>
        </w:rPr>
        <w:t>Aldred's</w:t>
      </w:r>
      <w:proofErr w:type="spellEnd"/>
      <w:r w:rsidRPr="00257488">
        <w:rPr>
          <w:rFonts w:cstheme="minorHAnsi"/>
          <w:sz w:val="24"/>
          <w:szCs w:val="24"/>
        </w:rPr>
        <w:t xml:space="preserve"> Case (1610) 9 Co Rep 57b.</w:t>
      </w:r>
    </w:p>
    <w:p w14:paraId="392570B5" w14:textId="77777777" w:rsidR="00DA616A" w:rsidRPr="00257488" w:rsidRDefault="00DA616A" w:rsidP="00257488">
      <w:pPr>
        <w:spacing w:line="480" w:lineRule="auto"/>
        <w:rPr>
          <w:rFonts w:cstheme="minorHAnsi"/>
          <w:sz w:val="24"/>
          <w:szCs w:val="24"/>
        </w:rPr>
      </w:pPr>
      <w:r w:rsidRPr="00257488">
        <w:rPr>
          <w:rFonts w:cstheme="minorHAnsi"/>
          <w:sz w:val="24"/>
          <w:szCs w:val="24"/>
        </w:rPr>
        <w:t>Borman v Griffiths [1930] 1 Ch 493.</w:t>
      </w:r>
    </w:p>
    <w:p w14:paraId="6C61ABC3" w14:textId="14FB01F8" w:rsidR="00DA616A" w:rsidRPr="00257488" w:rsidRDefault="00DA616A" w:rsidP="00257488">
      <w:pPr>
        <w:spacing w:line="480" w:lineRule="auto"/>
        <w:rPr>
          <w:rFonts w:cstheme="minorHAnsi"/>
          <w:sz w:val="24"/>
          <w:szCs w:val="24"/>
        </w:rPr>
      </w:pPr>
      <w:r w:rsidRPr="00257488">
        <w:rPr>
          <w:rFonts w:cstheme="minorHAnsi"/>
          <w:sz w:val="24"/>
          <w:szCs w:val="24"/>
        </w:rPr>
        <w:lastRenderedPageBreak/>
        <w:t>Bowers v Kennedy: IHCS 28 Jun 2000.</w:t>
      </w:r>
    </w:p>
    <w:p w14:paraId="7C873998" w14:textId="0A07256A" w:rsidR="008036F5" w:rsidRPr="00257488" w:rsidRDefault="008036F5" w:rsidP="00257488">
      <w:pPr>
        <w:spacing w:line="480" w:lineRule="auto"/>
        <w:rPr>
          <w:rFonts w:cstheme="minorHAnsi"/>
          <w:sz w:val="24"/>
          <w:szCs w:val="24"/>
        </w:rPr>
      </w:pPr>
      <w:r w:rsidRPr="00257488">
        <w:rPr>
          <w:rFonts w:cstheme="minorHAnsi"/>
          <w:sz w:val="24"/>
          <w:szCs w:val="24"/>
        </w:rPr>
        <w:t>Bruton v London and Quadrant Housing Trust [1999] UKHL 26.</w:t>
      </w:r>
    </w:p>
    <w:p w14:paraId="37692640" w14:textId="23E1E4C5" w:rsidR="00367B44" w:rsidRPr="00257488" w:rsidRDefault="00367B44" w:rsidP="00257488">
      <w:pPr>
        <w:spacing w:line="480" w:lineRule="auto"/>
        <w:rPr>
          <w:rFonts w:cstheme="minorHAnsi"/>
          <w:sz w:val="24"/>
          <w:szCs w:val="24"/>
        </w:rPr>
      </w:pPr>
      <w:r w:rsidRPr="00257488">
        <w:rPr>
          <w:rFonts w:cstheme="minorHAnsi"/>
          <w:sz w:val="24"/>
          <w:szCs w:val="24"/>
        </w:rPr>
        <w:t>Byles J in Bailey v Stephens (1862) 12 CB NS 91.</w:t>
      </w:r>
    </w:p>
    <w:p w14:paraId="7A075A23" w14:textId="77777777" w:rsidR="00DA616A" w:rsidRPr="00257488" w:rsidRDefault="00DA616A" w:rsidP="00257488">
      <w:pPr>
        <w:spacing w:line="480" w:lineRule="auto"/>
        <w:rPr>
          <w:rFonts w:cstheme="minorHAnsi"/>
          <w:sz w:val="24"/>
          <w:szCs w:val="24"/>
        </w:rPr>
      </w:pPr>
      <w:r w:rsidRPr="00257488">
        <w:rPr>
          <w:rFonts w:cstheme="minorHAnsi"/>
          <w:sz w:val="24"/>
          <w:szCs w:val="24"/>
        </w:rPr>
        <w:t>Coventry v Lawrence [2014] UKSC 13.</w:t>
      </w:r>
    </w:p>
    <w:p w14:paraId="0719EC20" w14:textId="77777777" w:rsidR="00DA616A" w:rsidRPr="00257488" w:rsidRDefault="00DA616A" w:rsidP="00257488">
      <w:pPr>
        <w:spacing w:line="480" w:lineRule="auto"/>
        <w:rPr>
          <w:rFonts w:cstheme="minorHAnsi"/>
          <w:sz w:val="24"/>
          <w:szCs w:val="24"/>
        </w:rPr>
      </w:pPr>
      <w:r w:rsidRPr="00257488">
        <w:rPr>
          <w:rFonts w:cstheme="minorHAnsi"/>
          <w:sz w:val="24"/>
          <w:szCs w:val="24"/>
        </w:rPr>
        <w:t xml:space="preserve">Donovan v Rana [2014] EWCA </w:t>
      </w:r>
      <w:proofErr w:type="spellStart"/>
      <w:r w:rsidRPr="00257488">
        <w:rPr>
          <w:rFonts w:cstheme="minorHAnsi"/>
          <w:sz w:val="24"/>
          <w:szCs w:val="24"/>
        </w:rPr>
        <w:t>Civ</w:t>
      </w:r>
      <w:proofErr w:type="spellEnd"/>
      <w:r w:rsidRPr="00257488">
        <w:rPr>
          <w:rFonts w:cstheme="minorHAnsi"/>
          <w:sz w:val="24"/>
          <w:szCs w:val="24"/>
        </w:rPr>
        <w:t xml:space="preserve"> 99.</w:t>
      </w:r>
    </w:p>
    <w:p w14:paraId="08844166" w14:textId="09529CCF" w:rsidR="00DA616A" w:rsidRPr="00257488" w:rsidRDefault="00DA616A" w:rsidP="00257488">
      <w:pPr>
        <w:spacing w:line="480" w:lineRule="auto"/>
        <w:rPr>
          <w:rFonts w:cstheme="minorHAnsi"/>
          <w:sz w:val="24"/>
          <w:szCs w:val="24"/>
        </w:rPr>
      </w:pPr>
      <w:r w:rsidRPr="00257488">
        <w:rPr>
          <w:rFonts w:cstheme="minorHAnsi"/>
          <w:sz w:val="24"/>
          <w:szCs w:val="24"/>
        </w:rPr>
        <w:t xml:space="preserve">Dudley v. Ross, 27 Wis. 679 (1871). </w:t>
      </w:r>
    </w:p>
    <w:p w14:paraId="41565AEF" w14:textId="7BEA7460" w:rsidR="008036F5" w:rsidRPr="00257488" w:rsidRDefault="008036F5" w:rsidP="00257488">
      <w:pPr>
        <w:spacing w:line="480" w:lineRule="auto"/>
        <w:rPr>
          <w:rFonts w:cstheme="minorHAnsi"/>
          <w:sz w:val="24"/>
          <w:szCs w:val="24"/>
        </w:rPr>
      </w:pPr>
      <w:r w:rsidRPr="00257488">
        <w:rPr>
          <w:rFonts w:cstheme="minorHAnsi"/>
          <w:sz w:val="24"/>
          <w:szCs w:val="24"/>
        </w:rPr>
        <w:t>Hill v Tupper (1863) 159 ER 51.</w:t>
      </w:r>
    </w:p>
    <w:p w14:paraId="54CD9B41" w14:textId="77777777" w:rsidR="00DA616A" w:rsidRPr="00257488" w:rsidRDefault="00DA616A" w:rsidP="00257488">
      <w:pPr>
        <w:spacing w:line="480" w:lineRule="auto"/>
        <w:rPr>
          <w:rFonts w:cstheme="minorHAnsi"/>
          <w:sz w:val="24"/>
          <w:szCs w:val="24"/>
        </w:rPr>
      </w:pPr>
      <w:r w:rsidRPr="00257488">
        <w:rPr>
          <w:rFonts w:cstheme="minorHAnsi"/>
          <w:sz w:val="24"/>
          <w:szCs w:val="24"/>
        </w:rPr>
        <w:t>London and Blenheim Estates Ltd v Ladbroke Retail Parks Ltd [1993] 4 All ER 157</w:t>
      </w:r>
    </w:p>
    <w:p w14:paraId="6EC9E51A" w14:textId="5DE64793" w:rsidR="00DA616A" w:rsidRPr="00257488" w:rsidRDefault="00DA616A" w:rsidP="00257488">
      <w:pPr>
        <w:spacing w:line="480" w:lineRule="auto"/>
        <w:rPr>
          <w:rFonts w:cstheme="minorHAnsi"/>
          <w:sz w:val="24"/>
          <w:szCs w:val="24"/>
        </w:rPr>
      </w:pPr>
      <w:r w:rsidRPr="00257488">
        <w:rPr>
          <w:rFonts w:cstheme="minorHAnsi"/>
          <w:sz w:val="24"/>
          <w:szCs w:val="24"/>
        </w:rPr>
        <w:t>Millman v Ellis (1996) 71 P &amp; CR 15.</w:t>
      </w:r>
    </w:p>
    <w:p w14:paraId="6654B442" w14:textId="312EA1C0" w:rsidR="008036F5" w:rsidRPr="00257488" w:rsidRDefault="008036F5" w:rsidP="00257488">
      <w:pPr>
        <w:spacing w:line="480" w:lineRule="auto"/>
        <w:rPr>
          <w:rFonts w:cstheme="minorHAnsi"/>
          <w:sz w:val="24"/>
          <w:szCs w:val="24"/>
        </w:rPr>
      </w:pPr>
      <w:r w:rsidRPr="00257488">
        <w:rPr>
          <w:rFonts w:cstheme="minorHAnsi"/>
          <w:sz w:val="24"/>
          <w:szCs w:val="24"/>
        </w:rPr>
        <w:t xml:space="preserve">Moody v </w:t>
      </w:r>
      <w:proofErr w:type="spellStart"/>
      <w:r w:rsidRPr="00257488">
        <w:rPr>
          <w:rFonts w:cstheme="minorHAnsi"/>
          <w:sz w:val="24"/>
          <w:szCs w:val="24"/>
        </w:rPr>
        <w:t>Steggles</w:t>
      </w:r>
      <w:proofErr w:type="spellEnd"/>
      <w:r w:rsidRPr="00257488">
        <w:rPr>
          <w:rFonts w:cstheme="minorHAnsi"/>
          <w:sz w:val="24"/>
          <w:szCs w:val="24"/>
        </w:rPr>
        <w:t xml:space="preserve"> [1879] 12 Ch D 261.</w:t>
      </w:r>
    </w:p>
    <w:p w14:paraId="650014A5" w14:textId="2B28638E" w:rsidR="008036F5" w:rsidRPr="00257488" w:rsidRDefault="008036F5" w:rsidP="00257488">
      <w:pPr>
        <w:spacing w:line="480" w:lineRule="auto"/>
        <w:rPr>
          <w:rFonts w:cstheme="minorHAnsi"/>
          <w:sz w:val="24"/>
          <w:szCs w:val="24"/>
        </w:rPr>
      </w:pPr>
      <w:r w:rsidRPr="00257488">
        <w:rPr>
          <w:rFonts w:cstheme="minorHAnsi"/>
          <w:sz w:val="24"/>
          <w:szCs w:val="24"/>
        </w:rPr>
        <w:t>Pugh v Savage | [1970] 2 QB 373.</w:t>
      </w:r>
    </w:p>
    <w:p w14:paraId="52670424" w14:textId="4B1AE69B" w:rsidR="00DA616A" w:rsidRPr="00257488" w:rsidRDefault="00DA616A" w:rsidP="00257488">
      <w:pPr>
        <w:spacing w:line="480" w:lineRule="auto"/>
        <w:rPr>
          <w:rFonts w:cstheme="minorHAnsi"/>
          <w:sz w:val="24"/>
          <w:szCs w:val="24"/>
        </w:rPr>
      </w:pPr>
      <w:r w:rsidRPr="00257488">
        <w:rPr>
          <w:rFonts w:cstheme="minorHAnsi"/>
          <w:sz w:val="24"/>
          <w:szCs w:val="24"/>
        </w:rPr>
        <w:t xml:space="preserve">Re Ellenborough Park [1955] EWCA </w:t>
      </w:r>
      <w:proofErr w:type="spellStart"/>
      <w:r w:rsidRPr="00257488">
        <w:rPr>
          <w:rFonts w:cstheme="minorHAnsi"/>
          <w:sz w:val="24"/>
          <w:szCs w:val="24"/>
        </w:rPr>
        <w:t>Civ</w:t>
      </w:r>
      <w:proofErr w:type="spellEnd"/>
      <w:r w:rsidRPr="00257488">
        <w:rPr>
          <w:rFonts w:cstheme="minorHAnsi"/>
          <w:sz w:val="24"/>
          <w:szCs w:val="24"/>
        </w:rPr>
        <w:t xml:space="preserve"> 4.</w:t>
      </w:r>
    </w:p>
    <w:p w14:paraId="620DA30C" w14:textId="3B12904B" w:rsidR="008036F5" w:rsidRPr="00257488" w:rsidRDefault="008036F5" w:rsidP="00257488">
      <w:pPr>
        <w:spacing w:line="480" w:lineRule="auto"/>
        <w:rPr>
          <w:rFonts w:cstheme="minorHAnsi"/>
          <w:sz w:val="24"/>
          <w:szCs w:val="24"/>
        </w:rPr>
      </w:pPr>
      <w:r w:rsidRPr="00257488">
        <w:rPr>
          <w:rFonts w:cstheme="minorHAnsi"/>
          <w:sz w:val="24"/>
          <w:szCs w:val="24"/>
        </w:rPr>
        <w:t>Roe v Siddons (1888) 22 Q.B.D. 224</w:t>
      </w:r>
    </w:p>
    <w:p w14:paraId="5516AFEB" w14:textId="77777777" w:rsidR="00DA616A" w:rsidRPr="00257488" w:rsidRDefault="00DA616A" w:rsidP="00257488">
      <w:pPr>
        <w:spacing w:line="480" w:lineRule="auto"/>
        <w:rPr>
          <w:rFonts w:cstheme="minorHAnsi"/>
          <w:sz w:val="24"/>
          <w:szCs w:val="24"/>
        </w:rPr>
      </w:pPr>
      <w:r w:rsidRPr="00257488">
        <w:rPr>
          <w:rFonts w:cstheme="minorHAnsi"/>
          <w:sz w:val="24"/>
          <w:szCs w:val="24"/>
        </w:rPr>
        <w:t>Sweet &amp; Anor v Sommer &amp; Anor | [2004] EWHC 1504 (Ch).</w:t>
      </w:r>
    </w:p>
    <w:p w14:paraId="6267B837" w14:textId="77777777" w:rsidR="00DA616A" w:rsidRPr="00257488" w:rsidRDefault="00DA616A" w:rsidP="00257488">
      <w:pPr>
        <w:spacing w:line="480" w:lineRule="auto"/>
        <w:rPr>
          <w:rFonts w:cstheme="minorHAnsi"/>
          <w:sz w:val="24"/>
          <w:szCs w:val="24"/>
        </w:rPr>
      </w:pPr>
      <w:r w:rsidRPr="00257488">
        <w:rPr>
          <w:rFonts w:cstheme="minorHAnsi"/>
          <w:sz w:val="24"/>
          <w:szCs w:val="24"/>
        </w:rPr>
        <w:t xml:space="preserve">Thorpe v. </w:t>
      </w:r>
      <w:proofErr w:type="spellStart"/>
      <w:r w:rsidRPr="00257488">
        <w:rPr>
          <w:rFonts w:cstheme="minorHAnsi"/>
          <w:sz w:val="24"/>
          <w:szCs w:val="24"/>
        </w:rPr>
        <w:t>Brumfitt</w:t>
      </w:r>
      <w:proofErr w:type="spellEnd"/>
      <w:r w:rsidRPr="00257488">
        <w:rPr>
          <w:rFonts w:cstheme="minorHAnsi"/>
          <w:sz w:val="24"/>
          <w:szCs w:val="24"/>
        </w:rPr>
        <w:t xml:space="preserve"> (1893) 8 Ch. 650.</w:t>
      </w:r>
    </w:p>
    <w:p w14:paraId="4012FAC2" w14:textId="77777777" w:rsidR="00DA616A" w:rsidRPr="00257488" w:rsidRDefault="00DA616A" w:rsidP="00257488">
      <w:pPr>
        <w:spacing w:line="480" w:lineRule="auto"/>
        <w:rPr>
          <w:rFonts w:cstheme="minorHAnsi"/>
          <w:sz w:val="24"/>
          <w:szCs w:val="24"/>
        </w:rPr>
      </w:pPr>
      <w:r w:rsidRPr="00257488">
        <w:rPr>
          <w:rFonts w:cstheme="minorHAnsi"/>
          <w:sz w:val="24"/>
          <w:szCs w:val="24"/>
        </w:rPr>
        <w:t>Wall v Collins &amp; Anor | [2007] Ch 390.</w:t>
      </w:r>
    </w:p>
    <w:p w14:paraId="332ACA15" w14:textId="77777777" w:rsidR="00DA616A" w:rsidRPr="00257488" w:rsidRDefault="00DA616A" w:rsidP="00257488">
      <w:pPr>
        <w:spacing w:line="480" w:lineRule="auto"/>
        <w:rPr>
          <w:rFonts w:cstheme="minorHAnsi"/>
          <w:sz w:val="24"/>
          <w:szCs w:val="24"/>
        </w:rPr>
      </w:pPr>
      <w:r w:rsidRPr="00257488">
        <w:rPr>
          <w:rFonts w:cstheme="minorHAnsi"/>
          <w:sz w:val="24"/>
          <w:szCs w:val="24"/>
        </w:rPr>
        <w:t>Wheeldon v Burrows LR 12 Ch D 31.</w:t>
      </w:r>
    </w:p>
    <w:p w14:paraId="0B9746CC" w14:textId="77777777" w:rsidR="00DA616A" w:rsidRPr="00257488" w:rsidRDefault="00DA616A" w:rsidP="00257488">
      <w:pPr>
        <w:spacing w:line="480" w:lineRule="auto"/>
        <w:rPr>
          <w:rFonts w:cstheme="minorHAnsi"/>
          <w:i/>
          <w:iCs/>
          <w:sz w:val="24"/>
          <w:szCs w:val="24"/>
        </w:rPr>
      </w:pPr>
      <w:r w:rsidRPr="00257488">
        <w:rPr>
          <w:rFonts w:cstheme="minorHAnsi"/>
          <w:i/>
          <w:iCs/>
          <w:sz w:val="24"/>
          <w:szCs w:val="24"/>
        </w:rPr>
        <w:t xml:space="preserve">Wheeler v J </w:t>
      </w:r>
      <w:proofErr w:type="spellStart"/>
      <w:r w:rsidRPr="00257488">
        <w:rPr>
          <w:rFonts w:cstheme="minorHAnsi"/>
          <w:i/>
          <w:iCs/>
          <w:sz w:val="24"/>
          <w:szCs w:val="24"/>
        </w:rPr>
        <w:t>J</w:t>
      </w:r>
      <w:proofErr w:type="spellEnd"/>
      <w:r w:rsidRPr="00257488">
        <w:rPr>
          <w:rFonts w:cstheme="minorHAnsi"/>
          <w:i/>
          <w:iCs/>
          <w:sz w:val="24"/>
          <w:szCs w:val="24"/>
        </w:rPr>
        <w:t xml:space="preserve"> Saunders [1996] Ch 1. </w:t>
      </w:r>
    </w:p>
    <w:p w14:paraId="4583B84E" w14:textId="77777777" w:rsidR="00DA616A" w:rsidRPr="00257488" w:rsidRDefault="00DA616A" w:rsidP="00257488">
      <w:pPr>
        <w:spacing w:line="480" w:lineRule="auto"/>
        <w:rPr>
          <w:rFonts w:cstheme="minorHAnsi"/>
          <w:sz w:val="24"/>
          <w:szCs w:val="24"/>
        </w:rPr>
      </w:pPr>
      <w:r w:rsidRPr="00257488">
        <w:rPr>
          <w:rFonts w:cstheme="minorHAnsi"/>
          <w:sz w:val="24"/>
          <w:szCs w:val="24"/>
        </w:rPr>
        <w:t>Wong v Beaumont Property Trust Ltd [1965] 1 QB 173.</w:t>
      </w:r>
    </w:p>
    <w:p w14:paraId="69426B04" w14:textId="77777777" w:rsidR="00DA616A" w:rsidRPr="00257488" w:rsidRDefault="00DA616A" w:rsidP="00257488">
      <w:pPr>
        <w:spacing w:line="480" w:lineRule="auto"/>
        <w:rPr>
          <w:rFonts w:cstheme="minorHAnsi"/>
          <w:sz w:val="24"/>
          <w:szCs w:val="24"/>
        </w:rPr>
      </w:pPr>
      <w:r w:rsidRPr="00257488">
        <w:rPr>
          <w:rFonts w:cstheme="minorHAnsi"/>
          <w:sz w:val="24"/>
          <w:szCs w:val="24"/>
        </w:rPr>
        <w:lastRenderedPageBreak/>
        <w:t>Wright v Macadam [1949] KB 744.</w:t>
      </w:r>
    </w:p>
    <w:sectPr w:rsidR="00DA616A" w:rsidRPr="0025748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CBBC7C" w14:textId="77777777" w:rsidR="0012023D" w:rsidRDefault="0012023D" w:rsidP="00016D98">
      <w:pPr>
        <w:spacing w:after="0" w:line="240" w:lineRule="auto"/>
      </w:pPr>
      <w:r>
        <w:separator/>
      </w:r>
    </w:p>
  </w:endnote>
  <w:endnote w:type="continuationSeparator" w:id="0">
    <w:p w14:paraId="1EE1C878" w14:textId="77777777" w:rsidR="0012023D" w:rsidRDefault="0012023D" w:rsidP="00016D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4B9754" w14:textId="77777777" w:rsidR="0012023D" w:rsidRDefault="0012023D" w:rsidP="00016D98">
      <w:pPr>
        <w:spacing w:after="0" w:line="240" w:lineRule="auto"/>
      </w:pPr>
      <w:r>
        <w:separator/>
      </w:r>
    </w:p>
  </w:footnote>
  <w:footnote w:type="continuationSeparator" w:id="0">
    <w:p w14:paraId="2F9FD1DC" w14:textId="77777777" w:rsidR="0012023D" w:rsidRDefault="0012023D" w:rsidP="00016D98">
      <w:pPr>
        <w:spacing w:after="0" w:line="240" w:lineRule="auto"/>
      </w:pPr>
      <w:r>
        <w:continuationSeparator/>
      </w:r>
    </w:p>
  </w:footnote>
  <w:footnote w:id="1">
    <w:p w14:paraId="5A81D153" w14:textId="4FE12E47" w:rsidR="00016D98" w:rsidRPr="00016D98" w:rsidRDefault="00016D98">
      <w:pPr>
        <w:pStyle w:val="FootnoteText"/>
        <w:rPr>
          <w:lang w:val="en-US"/>
        </w:rPr>
      </w:pPr>
    </w:p>
  </w:footnote>
  <w:footnote w:id="2">
    <w:p w14:paraId="63F6B397" w14:textId="7B4AFEBB" w:rsidR="000F632D" w:rsidRPr="000F632D" w:rsidRDefault="000F632D">
      <w:pPr>
        <w:pStyle w:val="FootnoteText"/>
        <w:rPr>
          <w:lang w:val="en-US"/>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2B5"/>
    <w:rsid w:val="00016D98"/>
    <w:rsid w:val="0005605D"/>
    <w:rsid w:val="000752ED"/>
    <w:rsid w:val="000F632D"/>
    <w:rsid w:val="0012023D"/>
    <w:rsid w:val="00173B86"/>
    <w:rsid w:val="0018281D"/>
    <w:rsid w:val="00237AE0"/>
    <w:rsid w:val="00257488"/>
    <w:rsid w:val="00332082"/>
    <w:rsid w:val="00334123"/>
    <w:rsid w:val="00367B44"/>
    <w:rsid w:val="003C436B"/>
    <w:rsid w:val="00466C7F"/>
    <w:rsid w:val="004E3D1A"/>
    <w:rsid w:val="005252D4"/>
    <w:rsid w:val="00535C1F"/>
    <w:rsid w:val="005B1FD6"/>
    <w:rsid w:val="00617BA2"/>
    <w:rsid w:val="00637796"/>
    <w:rsid w:val="00641523"/>
    <w:rsid w:val="00692A1B"/>
    <w:rsid w:val="00797833"/>
    <w:rsid w:val="007B4C76"/>
    <w:rsid w:val="008036F5"/>
    <w:rsid w:val="0080650C"/>
    <w:rsid w:val="00893B59"/>
    <w:rsid w:val="008A1791"/>
    <w:rsid w:val="008B0DC0"/>
    <w:rsid w:val="00921ACC"/>
    <w:rsid w:val="009427EE"/>
    <w:rsid w:val="00AB542F"/>
    <w:rsid w:val="00AD23E1"/>
    <w:rsid w:val="00B06148"/>
    <w:rsid w:val="00B7664C"/>
    <w:rsid w:val="00BC11F4"/>
    <w:rsid w:val="00C26AB6"/>
    <w:rsid w:val="00C733B5"/>
    <w:rsid w:val="00D41CD2"/>
    <w:rsid w:val="00D432B5"/>
    <w:rsid w:val="00D5545B"/>
    <w:rsid w:val="00D63713"/>
    <w:rsid w:val="00DA616A"/>
    <w:rsid w:val="00DF283A"/>
    <w:rsid w:val="00E649C3"/>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D6794"/>
  <w15:chartTrackingRefBased/>
  <w15:docId w15:val="{3CAECFA8-0AE0-4DD4-B9BB-B68F95EF8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16D9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16D98"/>
    <w:rPr>
      <w:sz w:val="20"/>
      <w:szCs w:val="20"/>
      <w:lang w:val="en-GB"/>
    </w:rPr>
  </w:style>
  <w:style w:type="character" w:styleId="FootnoteReference">
    <w:name w:val="footnote reference"/>
    <w:basedOn w:val="DefaultParagraphFont"/>
    <w:uiPriority w:val="99"/>
    <w:semiHidden/>
    <w:unhideWhenUsed/>
    <w:rsid w:val="00016D9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84573">
      <w:bodyDiv w:val="1"/>
      <w:marLeft w:val="0"/>
      <w:marRight w:val="0"/>
      <w:marTop w:val="0"/>
      <w:marBottom w:val="0"/>
      <w:divBdr>
        <w:top w:val="none" w:sz="0" w:space="0" w:color="auto"/>
        <w:left w:val="none" w:sz="0" w:space="0" w:color="auto"/>
        <w:bottom w:val="none" w:sz="0" w:space="0" w:color="auto"/>
        <w:right w:val="none" w:sz="0" w:space="0" w:color="auto"/>
      </w:divBdr>
    </w:div>
    <w:div w:id="20204107">
      <w:bodyDiv w:val="1"/>
      <w:marLeft w:val="0"/>
      <w:marRight w:val="0"/>
      <w:marTop w:val="0"/>
      <w:marBottom w:val="0"/>
      <w:divBdr>
        <w:top w:val="none" w:sz="0" w:space="0" w:color="auto"/>
        <w:left w:val="none" w:sz="0" w:space="0" w:color="auto"/>
        <w:bottom w:val="none" w:sz="0" w:space="0" w:color="auto"/>
        <w:right w:val="none" w:sz="0" w:space="0" w:color="auto"/>
      </w:divBdr>
    </w:div>
    <w:div w:id="525294807">
      <w:bodyDiv w:val="1"/>
      <w:marLeft w:val="0"/>
      <w:marRight w:val="0"/>
      <w:marTop w:val="0"/>
      <w:marBottom w:val="0"/>
      <w:divBdr>
        <w:top w:val="none" w:sz="0" w:space="0" w:color="auto"/>
        <w:left w:val="none" w:sz="0" w:space="0" w:color="auto"/>
        <w:bottom w:val="none" w:sz="0" w:space="0" w:color="auto"/>
        <w:right w:val="none" w:sz="0" w:space="0" w:color="auto"/>
      </w:divBdr>
    </w:div>
    <w:div w:id="554318846">
      <w:bodyDiv w:val="1"/>
      <w:marLeft w:val="0"/>
      <w:marRight w:val="0"/>
      <w:marTop w:val="0"/>
      <w:marBottom w:val="0"/>
      <w:divBdr>
        <w:top w:val="none" w:sz="0" w:space="0" w:color="auto"/>
        <w:left w:val="none" w:sz="0" w:space="0" w:color="auto"/>
        <w:bottom w:val="none" w:sz="0" w:space="0" w:color="auto"/>
        <w:right w:val="none" w:sz="0" w:space="0" w:color="auto"/>
      </w:divBdr>
    </w:div>
    <w:div w:id="929047710">
      <w:bodyDiv w:val="1"/>
      <w:marLeft w:val="0"/>
      <w:marRight w:val="0"/>
      <w:marTop w:val="0"/>
      <w:marBottom w:val="0"/>
      <w:divBdr>
        <w:top w:val="none" w:sz="0" w:space="0" w:color="auto"/>
        <w:left w:val="none" w:sz="0" w:space="0" w:color="auto"/>
        <w:bottom w:val="none" w:sz="0" w:space="0" w:color="auto"/>
        <w:right w:val="none" w:sz="0" w:space="0" w:color="auto"/>
      </w:divBdr>
    </w:div>
    <w:div w:id="1327170527">
      <w:bodyDiv w:val="1"/>
      <w:marLeft w:val="0"/>
      <w:marRight w:val="0"/>
      <w:marTop w:val="0"/>
      <w:marBottom w:val="0"/>
      <w:divBdr>
        <w:top w:val="none" w:sz="0" w:space="0" w:color="auto"/>
        <w:left w:val="none" w:sz="0" w:space="0" w:color="auto"/>
        <w:bottom w:val="none" w:sz="0" w:space="0" w:color="auto"/>
        <w:right w:val="none" w:sz="0" w:space="0" w:color="auto"/>
      </w:divBdr>
    </w:div>
    <w:div w:id="1573806779">
      <w:bodyDiv w:val="1"/>
      <w:marLeft w:val="0"/>
      <w:marRight w:val="0"/>
      <w:marTop w:val="0"/>
      <w:marBottom w:val="0"/>
      <w:divBdr>
        <w:top w:val="none" w:sz="0" w:space="0" w:color="auto"/>
        <w:left w:val="none" w:sz="0" w:space="0" w:color="auto"/>
        <w:bottom w:val="none" w:sz="0" w:space="0" w:color="auto"/>
        <w:right w:val="none" w:sz="0" w:space="0" w:color="auto"/>
      </w:divBdr>
    </w:div>
    <w:div w:id="1659725927">
      <w:bodyDiv w:val="1"/>
      <w:marLeft w:val="0"/>
      <w:marRight w:val="0"/>
      <w:marTop w:val="0"/>
      <w:marBottom w:val="0"/>
      <w:divBdr>
        <w:top w:val="none" w:sz="0" w:space="0" w:color="auto"/>
        <w:left w:val="none" w:sz="0" w:space="0" w:color="auto"/>
        <w:bottom w:val="none" w:sz="0" w:space="0" w:color="auto"/>
        <w:right w:val="none" w:sz="0" w:space="0" w:color="auto"/>
      </w:divBdr>
    </w:div>
    <w:div w:id="1677263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738CC7-F17B-41C3-9123-8FDBE77442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989</TotalTime>
  <Pages>10</Pages>
  <Words>2324</Words>
  <Characters>13253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sandal noorani</dc:creator>
  <cp:keywords/>
  <dc:description/>
  <cp:lastModifiedBy>Naima Tasnim</cp:lastModifiedBy>
  <cp:revision>5</cp:revision>
  <dcterms:created xsi:type="dcterms:W3CDTF">2021-10-29T05:33:00Z</dcterms:created>
  <dcterms:modified xsi:type="dcterms:W3CDTF">2021-10-29T22:55:00Z</dcterms:modified>
</cp:coreProperties>
</file>