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826" w:type="dxa"/>
        <w:jc w:val="left"/>
        <w:tblInd w:w="11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826"/>
      </w:tblGrid>
      <w:tr>
        <w:tblPrEx>
          <w:shd w:val="clear" w:color="auto" w:fill="cfcad0"/>
        </w:tblPrEx>
        <w:trPr>
          <w:trHeight w:val="2021" w:hRule="atLeast"/>
        </w:trPr>
        <w:tc>
          <w:tcPr>
            <w:tcW w:type="dxa" w:w="9826"/>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Trebuchet MS" w:hAnsi="Trebuchet MS"/>
                <w:i w:val="0"/>
                <w:iCs w:val="0"/>
                <w:outline w:val="0"/>
                <w:color w:val="004147"/>
                <w:sz w:val="56"/>
                <w:szCs w:val="56"/>
                <w:u w:color="004147"/>
                <w:shd w:val="nil" w:color="auto" w:fill="auto"/>
                <w:rtl w:val="0"/>
                <w:lang w:val="en-US"/>
                <w14:textFill>
                  <w14:solidFill>
                    <w14:srgbClr w14:val="004147"/>
                  </w14:solidFill>
                </w14:textFill>
              </w:rPr>
              <w:t xml:space="preserve">5HR02 </w:t>
            </w:r>
            <w:r>
              <w:rPr>
                <w:rFonts w:ascii="Trebuchet MS" w:cs="Trebuchet MS" w:hAnsi="Trebuchet MS" w:eastAsia="Trebuchet MS"/>
                <w:i w:val="0"/>
                <w:iCs w:val="0"/>
                <w:outline w:val="0"/>
                <w:color w:val="004147"/>
                <w:sz w:val="56"/>
                <w:szCs w:val="56"/>
                <w:u w:color="004147"/>
                <w:shd w:val="nil" w:color="auto" w:fill="auto"/>
                <w:lang w:val="en-US"/>
                <w14:textFill>
                  <w14:solidFill>
                    <w14:srgbClr w14:val="004147"/>
                  </w14:solidFill>
                </w14:textFill>
              </w:rPr>
              <w:br w:type="textWrapping"/>
            </w:r>
            <w:r>
              <w:rPr>
                <w:rFonts w:ascii="Trebuchet MS" w:hAnsi="Trebuchet MS"/>
                <w:i w:val="0"/>
                <w:iCs w:val="0"/>
                <w:outline w:val="0"/>
                <w:color w:val="004147"/>
                <w:sz w:val="56"/>
                <w:szCs w:val="56"/>
                <w:u w:color="004147"/>
                <w:shd w:val="nil" w:color="auto" w:fill="auto"/>
                <w:rtl w:val="0"/>
                <w:lang w:val="en-US"/>
                <w14:textFill>
                  <w14:solidFill>
                    <w14:srgbClr w14:val="004147"/>
                  </w14:solidFill>
                </w14:textFill>
              </w:rPr>
              <w:t>Talent management and workforce planning</w:t>
            </w:r>
          </w:p>
        </w:tc>
      </w:tr>
      <w:tr>
        <w:tblPrEx>
          <w:shd w:val="clear" w:color="auto" w:fill="cfcad0"/>
        </w:tblPrEx>
        <w:trPr>
          <w:trHeight w:val="640" w:hRule="atLeast"/>
        </w:trPr>
        <w:tc>
          <w:tcPr>
            <w:tcW w:type="dxa" w:w="982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rFonts w:ascii="Trebuchet MS" w:hAnsi="Trebuchet MS"/>
                <w:i w:val="1"/>
                <w:iCs w:val="1"/>
                <w:outline w:val="0"/>
                <w:color w:val="585858"/>
                <w:sz w:val="56"/>
                <w:szCs w:val="56"/>
                <w:u w:color="585858"/>
                <w:shd w:val="nil" w:color="auto" w:fill="auto"/>
                <w:rtl w:val="0"/>
                <w:lang w:val="en-US"/>
                <w14:textFill>
                  <w14:solidFill>
                    <w14:srgbClr w14:val="585858"/>
                  </w14:solidFill>
                </w14:textFill>
              </w:rPr>
              <w:t>Learner Assessment Brief</w:t>
            </w:r>
          </w:p>
        </w:tc>
      </w:tr>
      <w:tr>
        <w:tblPrEx>
          <w:shd w:val="clear" w:color="auto" w:fill="cfcad0"/>
        </w:tblPrEx>
        <w:trPr>
          <w:trHeight w:val="320" w:hRule="atLeast"/>
        </w:trPr>
        <w:tc>
          <w:tcPr>
            <w:tcW w:type="dxa" w:w="982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rFonts w:ascii="Trebuchet MS" w:hAnsi="Trebuchet MS"/>
                <w:b w:val="1"/>
                <w:bCs w:val="1"/>
                <w:outline w:val="0"/>
                <w:color w:val="595959"/>
                <w:sz w:val="28"/>
                <w:szCs w:val="28"/>
                <w:u w:color="595959"/>
                <w:shd w:val="nil" w:color="auto" w:fill="auto"/>
                <w:rtl w:val="0"/>
                <w:lang w:val="en-US"/>
                <w14:textFill>
                  <w14:solidFill>
                    <w14:srgbClr w14:val="595959"/>
                  </w14:solidFill>
                </w14:textFill>
              </w:rPr>
              <w:t>Assessment ID / CIPD_5HR02_26_01</w:t>
            </w:r>
          </w:p>
        </w:tc>
      </w:tr>
      <w:tr>
        <w:tblPrEx>
          <w:shd w:val="clear" w:color="auto" w:fill="cfcad0"/>
        </w:tblPrEx>
        <w:trPr>
          <w:trHeight w:val="4389" w:hRule="atLeast"/>
        </w:trPr>
        <w:tc>
          <w:tcPr>
            <w:tcW w:type="dxa" w:w="982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3245" w:hRule="atLeast"/>
        </w:trPr>
        <w:tc>
          <w:tcPr>
            <w:tcW w:type="dxa" w:w="9826"/>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rPr>
                <w:rFonts w:ascii="Trebuchet MS" w:cs="Trebuchet MS" w:hAnsi="Trebuchet MS" w:eastAsia="Trebuchet MS"/>
                <w:i w:val="1"/>
                <w:iCs w:val="1"/>
                <w:outline w:val="0"/>
                <w:color w:val="595959"/>
                <w:sz w:val="44"/>
                <w:szCs w:val="44"/>
                <w:u w:color="595959"/>
                <w:shd w:val="nil" w:color="auto" w:fill="auto"/>
                <w:lang w:val="en-US"/>
                <w14:textFill>
                  <w14:solidFill>
                    <w14:srgbClr w14:val="595959"/>
                  </w14:solidFill>
                </w14:textFill>
              </w:rPr>
            </w:pPr>
          </w:p>
          <w:p>
            <w:pPr>
              <w:pStyle w:val="Body"/>
              <w:spacing w:after="120"/>
              <w:rPr>
                <w:rFonts w:ascii="Trebuchet MS" w:cs="Trebuchet MS" w:hAnsi="Trebuchet MS" w:eastAsia="Trebuchet MS"/>
                <w:i w:val="1"/>
                <w:iCs w:val="1"/>
                <w:outline w:val="0"/>
                <w:color w:val="595959"/>
                <w:sz w:val="44"/>
                <w:szCs w:val="44"/>
                <w:u w:color="595959"/>
                <w:shd w:val="nil" w:color="auto" w:fill="auto"/>
                <w:lang w:val="en-US"/>
                <w14:textFill>
                  <w14:solidFill>
                    <w14:srgbClr w14:val="595959"/>
                  </w14:solidFill>
                </w14:textFill>
              </w:rPr>
            </w:pPr>
          </w:p>
          <w:p>
            <w:pPr>
              <w:pStyle w:val="Body"/>
              <w:spacing w:after="120"/>
              <w:rPr>
                <w:rFonts w:ascii="Trebuchet MS" w:cs="Trebuchet MS" w:hAnsi="Trebuchet MS" w:eastAsia="Trebuchet MS"/>
                <w:i w:val="1"/>
                <w:iCs w:val="1"/>
                <w:outline w:val="0"/>
                <w:color w:val="595959"/>
                <w:sz w:val="44"/>
                <w:szCs w:val="44"/>
                <w:u w:color="595959"/>
                <w:shd w:val="nil" w:color="auto" w:fill="auto"/>
                <w:lang w:val="en-US"/>
                <w14:textFill>
                  <w14:solidFill>
                    <w14:srgbClr w14:val="595959"/>
                  </w14:solidFill>
                </w14:textFill>
              </w:rPr>
            </w:pPr>
          </w:p>
          <w:p>
            <w:pPr>
              <w:pStyle w:val="Body"/>
              <w:bidi w:val="0"/>
              <w:spacing w:after="120"/>
              <w:ind w:left="0" w:right="0" w:firstLine="0"/>
              <w:jc w:val="left"/>
              <w:rPr>
                <w:rFonts w:ascii="Trebuchet MS" w:cs="Trebuchet MS" w:hAnsi="Trebuchet MS" w:eastAsia="Trebuchet MS"/>
                <w:i w:val="1"/>
                <w:iCs w:val="1"/>
                <w:outline w:val="0"/>
                <w:color w:val="595959"/>
                <w:sz w:val="44"/>
                <w:szCs w:val="44"/>
                <w:u w:color="595959"/>
                <w:shd w:val="nil" w:color="auto" w:fill="auto"/>
                <w:rtl w:val="0"/>
                <w14:textFill>
                  <w14:solidFill>
                    <w14:srgbClr w14:val="595959"/>
                  </w14:solidFill>
                </w14:textFill>
              </w:rPr>
            </w:pPr>
            <w:r>
              <w:rPr>
                <w:rFonts w:ascii="Trebuchet MS" w:hAnsi="Trebuchet MS"/>
                <w:i w:val="1"/>
                <w:iCs w:val="1"/>
                <w:outline w:val="0"/>
                <w:color w:val="595959"/>
                <w:sz w:val="44"/>
                <w:szCs w:val="44"/>
                <w:u w:color="595959"/>
                <w:shd w:val="nil" w:color="auto" w:fill="auto"/>
                <w:rtl w:val="0"/>
                <w:lang w:val="en-US"/>
                <w14:textFill>
                  <w14:solidFill>
                    <w14:srgbClr w14:val="595959"/>
                  </w14:solidFill>
                </w14:textFill>
              </w:rPr>
              <w:t xml:space="preserve">Level 5 Associate Diploma in </w:t>
            </w:r>
          </w:p>
          <w:p>
            <w:pPr>
              <w:pStyle w:val="list in parag"/>
              <w:numPr>
                <w:ilvl w:val="0"/>
                <w:numId w:val="2"/>
              </w:numPr>
              <w:bidi w:val="0"/>
              <w:ind w:right="0"/>
              <w:jc w:val="left"/>
              <w:rPr>
                <w:rFonts w:ascii="Trebuchet MS" w:hAnsi="Trebuchet MS"/>
                <w:sz w:val="56"/>
                <w:szCs w:val="56"/>
                <w:rtl w:val="0"/>
                <w:lang w:val="en-US"/>
              </w:rPr>
            </w:pPr>
            <w:r>
              <w:rPr>
                <w:rFonts w:ascii="Trebuchet MS" w:hAnsi="Trebuchet MS"/>
                <w:outline w:val="0"/>
                <w:color w:val="004147"/>
                <w:sz w:val="56"/>
                <w:szCs w:val="56"/>
                <w:u w:color="004147"/>
                <w:shd w:val="nil" w:color="auto" w:fill="auto"/>
                <w:rtl w:val="0"/>
                <w:lang w:val="en-US"/>
                <w14:textFill>
                  <w14:solidFill>
                    <w14:srgbClr w14:val="004147"/>
                  </w14:solidFill>
                </w14:textFill>
              </w:rPr>
              <w:t xml:space="preserve">People Management </w:t>
            </w:r>
          </w:p>
        </w:tc>
      </w:tr>
    </w:tbl>
    <w:p>
      <w:pPr>
        <w:pStyle w:val="Body"/>
        <w:widowControl w:val="0"/>
        <w:spacing w:line="240" w:lineRule="auto"/>
        <w:ind w:left="10" w:hanging="10"/>
      </w:pPr>
    </w:p>
    <w:p>
      <w:pPr>
        <w:pStyle w:val="Body"/>
        <w:sectPr>
          <w:headerReference w:type="default" r:id="rId4"/>
          <w:headerReference w:type="first" r:id="rId5"/>
          <w:footerReference w:type="default" r:id="rId6"/>
          <w:footerReference w:type="first" r:id="rId7"/>
          <w:pgSz w:w="11900" w:h="16840" w:orient="portrait"/>
          <w:pgMar w:top="3062" w:right="1077" w:bottom="340" w:left="1077" w:header="624" w:footer="720"/>
          <w:titlePg w:val="1"/>
          <w:bidi w:val="0"/>
        </w:sectPr>
      </w:pPr>
      <w:r>
        <w:rPr>
          <w:rFonts w:ascii="Trebuchet MS" w:cs="Trebuchet MS" w:hAnsi="Trebuchet MS" w:eastAsia="Trebuchet MS"/>
        </w:rPr>
        <mc:AlternateContent>
          <mc:Choice Requires="wps">
            <w:drawing xmlns:a="http://schemas.openxmlformats.org/drawingml/2006/main">
              <wp:anchor distT="0" distB="0" distL="0" distR="0" simplePos="0" relativeHeight="251655168" behindDoc="1" locked="0" layoutInCell="1" allowOverlap="1">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1312;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pPr>
        <w:pStyle w:val="Body"/>
        <w:spacing w:line="240" w:lineRule="auto"/>
        <w:rPr>
          <w:rFonts w:ascii="Trebuchet MS" w:cs="Trebuchet MS" w:hAnsi="Trebuchet MS" w:eastAsia="Trebuchet MS"/>
          <w:b w:val="1"/>
          <w:bCs w:val="1"/>
          <w:outline w:val="0"/>
          <w:color w:val="004147"/>
          <w:sz w:val="48"/>
          <w:szCs w:val="48"/>
          <w:u w:color="004147"/>
          <w14:textFill>
            <w14:solidFill>
              <w14:srgbClr w14:val="004147"/>
            </w14:solidFill>
          </w14:textFill>
        </w:rPr>
      </w:pPr>
    </w:p>
    <w:p>
      <w:pPr>
        <w:pStyle w:val="Body"/>
        <w:spacing w:line="240" w:lineRule="auto"/>
        <w:rPr>
          <w:rFonts w:ascii="Trebuchet MS" w:cs="Trebuchet MS" w:hAnsi="Trebuchet MS" w:eastAsia="Trebuchet MS"/>
          <w:b w:val="1"/>
          <w:bCs w:val="1"/>
        </w:rPr>
      </w:pPr>
    </w:p>
    <w:tbl>
      <w:tblPr>
        <w:tblW w:w="96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093"/>
        <w:gridCol w:w="789"/>
        <w:gridCol w:w="593"/>
        <w:gridCol w:w="196"/>
        <w:gridCol w:w="789"/>
        <w:gridCol w:w="396"/>
        <w:gridCol w:w="395"/>
        <w:gridCol w:w="789"/>
        <w:gridCol w:w="198"/>
        <w:gridCol w:w="591"/>
        <w:gridCol w:w="793"/>
      </w:tblGrid>
      <w:tr>
        <w:tblPrEx>
          <w:shd w:val="clear" w:color="auto" w:fill="cfcad0"/>
        </w:tblPrEx>
        <w:trPr>
          <w:trHeight w:val="250" w:hRule="atLeast"/>
        </w:trPr>
        <w:tc>
          <w:tcPr>
            <w:tcW w:type="dxa" w:w="962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Please write clearly in block capitals.</w:t>
            </w:r>
            <w:r>
              <w:rPr>
                <w:rFonts w:ascii="Trebuchet MS" w:hAnsi="Trebuchet MS"/>
                <w:b w:val="0"/>
                <w:bCs w:val="0"/>
                <w:shd w:val="nil" w:color="auto" w:fill="auto"/>
                <w:rtl w:val="0"/>
                <w:lang w:val="en-US"/>
              </w:rPr>
              <w:t xml:space="preserve">  </w:t>
            </w: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Centre number: </w:t>
            </w:r>
          </w:p>
        </w:tc>
        <w:tc>
          <w:tcPr>
            <w:tcW w:type="dxa" w:w="138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 xml:space="preserve"> </w:t>
            </w:r>
          </w:p>
        </w:tc>
        <w:tc>
          <w:tcPr>
            <w:tcW w:type="dxa" w:w="138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38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13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Centre name:</w:t>
            </w:r>
            <w:r>
              <w:rPr>
                <w:rFonts w:ascii="Trebuchet MS" w:cs="Trebuchet MS" w:hAnsi="Trebuchet MS" w:eastAsia="Trebuchet MS"/>
                <w:b w:val="1"/>
                <w:bCs w:val="1"/>
                <w:shd w:val="nil" w:color="auto" w:fill="auto"/>
              </w:rPr>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Learner number (1st 7 digits of CIPD Membership number):</w:t>
            </w:r>
          </w:p>
        </w:tc>
        <w:tc>
          <w:tcPr>
            <w:tcW w:type="dxa" w:w="7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 xml:space="preserve"> </w:t>
            </w:r>
          </w:p>
        </w:tc>
        <w:tc>
          <w:tcPr>
            <w:tcW w:type="dxa" w:w="7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 xml:space="preserve"> </w:t>
            </w:r>
          </w:p>
        </w:tc>
        <w:tc>
          <w:tcPr>
            <w:tcW w:type="dxa" w:w="7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7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7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7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Learner surname: </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 xml:space="preserve"> </w:t>
            </w: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Learner other names: </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 xml:space="preserve"> </w:t>
            </w:r>
          </w:p>
        </w:tc>
      </w:tr>
      <w:tr>
        <w:tblPrEx>
          <w:shd w:val="clear" w:color="auto" w:fill="cfcad0"/>
        </w:tblPrEx>
        <w:trPr>
          <w:trHeight w:val="250" w:hRule="atLeast"/>
        </w:trPr>
        <w:tc>
          <w:tcPr>
            <w:tcW w:type="dxa" w:w="962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Unit code: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5HR02</w:t>
            </w: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Unit title: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Talent management and workforce planning</w:t>
            </w: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Assessment ID:</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CIPD_5HR02_26_01</w:t>
            </w: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Assessment start date: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Assessment submission date: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First resubmission date for centre marking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Second resubmission date for centre marking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50"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Declared word count</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Declared word count resubmission 1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Declared word count resubmission 2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spacing w:line="240" w:lineRule="auto"/>
        <w:rPr>
          <w:rFonts w:ascii="Trebuchet MS" w:cs="Trebuchet MS" w:hAnsi="Trebuchet MS" w:eastAsia="Trebuchet MS"/>
          <w:b w:val="1"/>
          <w:bCs w:val="1"/>
        </w:rPr>
      </w:pPr>
    </w:p>
    <w:p>
      <w:pPr>
        <w:pStyle w:val="Body"/>
        <w:spacing w:line="240" w:lineRule="auto"/>
      </w:pPr>
      <w:r>
        <w:rPr>
          <w:rFonts w:ascii="Arial Unicode MS" w:cs="Arial Unicode MS" w:hAnsi="Arial Unicode MS" w:eastAsia="Arial Unicode MS"/>
          <w:b w:val="0"/>
          <w:bCs w:val="0"/>
          <w:i w:val="0"/>
          <w:iCs w:val="0"/>
          <w:outline w:val="0"/>
          <w:color w:val="004147"/>
          <w:sz w:val="48"/>
          <w:szCs w:val="48"/>
          <w:u w:color="004147"/>
          <w14:textFill>
            <w14:solidFill>
              <w14:srgbClr w14:val="004147"/>
            </w14:solidFill>
          </w14:textFill>
        </w:rPr>
        <w:br w:type="page"/>
      </w:r>
    </w:p>
    <w:p>
      <w:pPr>
        <w:pStyle w:val="Nornal"/>
        <w:spacing w:after="0"/>
        <w:rPr>
          <w:rFonts w:ascii="Trebuchet MS" w:cs="Trebuchet MS" w:hAnsi="Trebuchet MS" w:eastAsia="Trebuchet MS"/>
        </w:rPr>
      </w:pPr>
      <w:r>
        <w:rPr>
          <w:rFonts w:ascii="Trebuchet MS" w:cs="Trebuchet MS" w:hAnsi="Trebuchet MS" w:eastAsia="Trebuchet MS"/>
          <w:b w:val="1"/>
          <w:bCs w:val="1"/>
          <w:outline w:val="0"/>
          <w:color w:val="004146"/>
          <w:sz w:val="48"/>
          <w:szCs w:val="48"/>
          <w:u w:color="004146"/>
          <w14:textFill>
            <w14:solidFill>
              <w14:srgbClr w14:val="004146"/>
            </w14:solidFill>
          </w14:textFill>
        </w:rPr>
        <w:drawing xmlns:a="http://schemas.openxmlformats.org/drawingml/2006/main">
          <wp:anchor distT="0" distB="0" distL="0" distR="0" simplePos="0" relativeHeight="251659264" behindDoc="0" locked="0" layoutInCell="1" allowOverlap="1">
            <wp:simplePos x="0" y="0"/>
            <wp:positionH relativeFrom="page">
              <wp:posOffset>5716270</wp:posOffset>
            </wp:positionH>
            <wp:positionV relativeFrom="line">
              <wp:posOffset>12016</wp:posOffset>
            </wp:positionV>
            <wp:extent cx="1120140" cy="1120140"/>
            <wp:effectExtent l="0" t="0" r="0" b="0"/>
            <wp:wrapNone/>
            <wp:docPr id="1073741830"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0" name="C:\Users\dominiqueb\AppData\Local\Microsoft\Windows\INetCache\Content.MSO\B4F4A35.tmp" descr="C:\Users\dominiqueb\AppData\Local\Microsoft\Windows\INetCache\Content.MSO\B4F4A35.tmp"/>
                    <pic:cNvPicPr>
                      <a:picLocks noChangeAspect="1"/>
                    </pic:cNvPicPr>
                  </pic:nvPicPr>
                  <pic:blipFill>
                    <a:blip r:embed="rId8">
                      <a:extLst/>
                    </a:blip>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cs="Trebuchet MS" w:hAnsi="Trebuchet MS" w:eastAsia="Trebuchet MS"/>
        </w:rPr>
        <mc:AlternateContent>
          <mc:Choice Requires="wps">
            <w:drawing xmlns:a="http://schemas.openxmlformats.org/drawingml/2006/main">
              <wp:inline distT="0" distB="0" distL="0" distR="0">
                <wp:extent cx="6084000" cy="1138801"/>
                <wp:effectExtent l="0" t="0" r="0" b="0"/>
                <wp:docPr id="1073741831" name="officeArt object" descr="Rectangle 6"/>
                <wp:cNvGraphicFramePr/>
                <a:graphic xmlns:a="http://schemas.openxmlformats.org/drawingml/2006/main">
                  <a:graphicData uri="http://schemas.microsoft.com/office/word/2010/wordprocessingShape">
                    <wps:wsp>
                      <wps:cNvSpPr/>
                      <wps:spPr>
                        <a:xfrm>
                          <a:off x="0" y="0"/>
                          <a:ext cx="6084000" cy="1138801"/>
                        </a:xfrm>
                        <a:prstGeom prst="rect">
                          <a:avLst/>
                        </a:prstGeom>
                        <a:solidFill>
                          <a:schemeClr val="accent2">
                            <a:alpha val="4706"/>
                          </a:schemeClr>
                        </a:solidFill>
                        <a:ln w="12700" cap="flat">
                          <a:noFill/>
                          <a:miter lim="400000"/>
                        </a:ln>
                        <a:effectLst/>
                      </wps:spPr>
                      <wps:txbx>
                        <w:txbxContent>
                          <w:p>
                            <w:pPr>
                              <w:pStyle w:val="Body"/>
                              <w:spacing w:line="240" w:lineRule="auto"/>
                              <w:rPr>
                                <w:rFonts w:ascii="Trebuchet MS" w:cs="Trebuchet MS" w:hAnsi="Trebuchet MS" w:eastAsia="Trebuchet MS"/>
                                <w:b w:val="1"/>
                                <w:bCs w:val="1"/>
                                <w:outline w:val="0"/>
                                <w:color w:val="004147"/>
                                <w:sz w:val="48"/>
                                <w:szCs w:val="48"/>
                                <w:u w:color="004147"/>
                                <w14:textFill>
                                  <w14:solidFill>
                                    <w14:srgbClr w14:val="004147"/>
                                  </w14:solidFill>
                                </w14:textFill>
                              </w:rPr>
                            </w:pPr>
                            <w:r>
                              <w:rPr>
                                <w:rFonts w:ascii="Trebuchet MS" w:hAnsi="Trebuchet MS"/>
                                <w:b w:val="1"/>
                                <w:bCs w:val="1"/>
                                <w:outline w:val="0"/>
                                <w:color w:val="004147"/>
                                <w:sz w:val="48"/>
                                <w:szCs w:val="48"/>
                                <w:u w:color="004147"/>
                                <w:rtl w:val="0"/>
                                <w14:textFill>
                                  <w14:solidFill>
                                    <w14:srgbClr w14:val="004147"/>
                                  </w14:solidFill>
                                </w14:textFill>
                              </w:rPr>
                              <w:t>5HR02</w:t>
                            </w:r>
                            <w:r>
                              <w:rPr>
                                <w:rFonts w:ascii="Trebuchet MS" w:cs="Trebuchet MS" w:hAnsi="Trebuchet MS" w:eastAsia="Trebuchet MS"/>
                                <w:b w:val="1"/>
                                <w:bCs w:val="1"/>
                                <w:outline w:val="0"/>
                                <w:color w:val="004147"/>
                                <w:sz w:val="48"/>
                                <w:szCs w:val="48"/>
                                <w:u w:color="004147"/>
                                <w14:textFill>
                                  <w14:solidFill>
                                    <w14:srgbClr w14:val="004147"/>
                                  </w14:solidFill>
                                </w14:textFill>
                              </w:rPr>
                              <w:br w:type="textWrapping"/>
                            </w:r>
                            <w:r>
                              <w:rPr>
                                <w:rFonts w:ascii="Trebuchet MS" w:hAnsi="Trebuchet MS"/>
                                <w:b w:val="1"/>
                                <w:bCs w:val="1"/>
                                <w:outline w:val="0"/>
                                <w:color w:val="004147"/>
                                <w:sz w:val="48"/>
                                <w:szCs w:val="48"/>
                                <w:u w:color="004147"/>
                                <w:rtl w:val="0"/>
                                <w:lang w:val="fr-FR"/>
                                <w14:textFill>
                                  <w14:solidFill>
                                    <w14:srgbClr w14:val="004147"/>
                                  </w14:solidFill>
                                </w14:textFill>
                              </w:rPr>
                              <w:t>Talent management</w:t>
                            </w:r>
                          </w:p>
                          <w:p>
                            <w:pPr>
                              <w:pStyle w:val="Body"/>
                              <w:spacing w:line="240" w:lineRule="auto"/>
                            </w:pPr>
                            <w:r>
                              <w:rPr>
                                <w:rFonts w:ascii="Trebuchet MS" w:hAnsi="Trebuchet MS"/>
                                <w:b w:val="1"/>
                                <w:bCs w:val="1"/>
                                <w:outline w:val="0"/>
                                <w:color w:val="004147"/>
                                <w:sz w:val="48"/>
                                <w:szCs w:val="48"/>
                                <w:u w:color="004147"/>
                                <w:rtl w:val="0"/>
                                <w:lang w:val="en-US"/>
                                <w14:textFill>
                                  <w14:solidFill>
                                    <w14:srgbClr w14:val="004147"/>
                                  </w14:solidFill>
                                </w14:textFill>
                              </w:rPr>
                              <w:t>and workforce planning</w:t>
                            </w:r>
                          </w:p>
                        </w:txbxContent>
                      </wps:txbx>
                      <wps:bodyPr wrap="square" lIns="36000" tIns="36000" rIns="36000" bIns="36000" numCol="1" anchor="t">
                        <a:noAutofit/>
                      </wps:bodyPr>
                    </wps:wsp>
                  </a:graphicData>
                </a:graphic>
              </wp:inline>
            </w:drawing>
          </mc:Choice>
          <mc:Fallback>
            <w:pict>
              <v:rect id="_x0000_s1027" style="visibility:visible;width:479.1pt;height:89.7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rPr>
                          <w:rFonts w:ascii="Trebuchet MS" w:cs="Trebuchet MS" w:hAnsi="Trebuchet MS" w:eastAsia="Trebuchet MS"/>
                          <w:b w:val="1"/>
                          <w:bCs w:val="1"/>
                          <w:outline w:val="0"/>
                          <w:color w:val="004147"/>
                          <w:sz w:val="48"/>
                          <w:szCs w:val="48"/>
                          <w:u w:color="004147"/>
                          <w14:textFill>
                            <w14:solidFill>
                              <w14:srgbClr w14:val="004147"/>
                            </w14:solidFill>
                          </w14:textFill>
                        </w:rPr>
                      </w:pPr>
                      <w:r>
                        <w:rPr>
                          <w:rFonts w:ascii="Trebuchet MS" w:hAnsi="Trebuchet MS"/>
                          <w:b w:val="1"/>
                          <w:bCs w:val="1"/>
                          <w:outline w:val="0"/>
                          <w:color w:val="004147"/>
                          <w:sz w:val="48"/>
                          <w:szCs w:val="48"/>
                          <w:u w:color="004147"/>
                          <w:rtl w:val="0"/>
                          <w14:textFill>
                            <w14:solidFill>
                              <w14:srgbClr w14:val="004147"/>
                            </w14:solidFill>
                          </w14:textFill>
                        </w:rPr>
                        <w:t>5HR02</w:t>
                      </w:r>
                      <w:r>
                        <w:rPr>
                          <w:rFonts w:ascii="Trebuchet MS" w:cs="Trebuchet MS" w:hAnsi="Trebuchet MS" w:eastAsia="Trebuchet MS"/>
                          <w:b w:val="1"/>
                          <w:bCs w:val="1"/>
                          <w:outline w:val="0"/>
                          <w:color w:val="004147"/>
                          <w:sz w:val="48"/>
                          <w:szCs w:val="48"/>
                          <w:u w:color="004147"/>
                          <w14:textFill>
                            <w14:solidFill>
                              <w14:srgbClr w14:val="004147"/>
                            </w14:solidFill>
                          </w14:textFill>
                        </w:rPr>
                        <w:br w:type="textWrapping"/>
                      </w:r>
                      <w:r>
                        <w:rPr>
                          <w:rFonts w:ascii="Trebuchet MS" w:hAnsi="Trebuchet MS"/>
                          <w:b w:val="1"/>
                          <w:bCs w:val="1"/>
                          <w:outline w:val="0"/>
                          <w:color w:val="004147"/>
                          <w:sz w:val="48"/>
                          <w:szCs w:val="48"/>
                          <w:u w:color="004147"/>
                          <w:rtl w:val="0"/>
                          <w:lang w:val="fr-FR"/>
                          <w14:textFill>
                            <w14:solidFill>
                              <w14:srgbClr w14:val="004147"/>
                            </w14:solidFill>
                          </w14:textFill>
                        </w:rPr>
                        <w:t>Talent management</w:t>
                      </w:r>
                    </w:p>
                    <w:p>
                      <w:pPr>
                        <w:pStyle w:val="Body"/>
                        <w:spacing w:line="240" w:lineRule="auto"/>
                      </w:pPr>
                      <w:r>
                        <w:rPr>
                          <w:rFonts w:ascii="Trebuchet MS" w:hAnsi="Trebuchet MS"/>
                          <w:b w:val="1"/>
                          <w:bCs w:val="1"/>
                          <w:outline w:val="0"/>
                          <w:color w:val="004147"/>
                          <w:sz w:val="48"/>
                          <w:szCs w:val="48"/>
                          <w:u w:color="004147"/>
                          <w:rtl w:val="0"/>
                          <w:lang w:val="en-US"/>
                          <w14:textFill>
                            <w14:solidFill>
                              <w14:srgbClr w14:val="004147"/>
                            </w14:solidFill>
                          </w14:textFill>
                        </w:rPr>
                        <w:t>and workforce planning</w:t>
                      </w:r>
                    </w:p>
                  </w:txbxContent>
                </v:textbox>
              </v:rect>
            </w:pict>
          </mc:Fallback>
        </mc:AlternateContent>
      </w:r>
    </w:p>
    <w:p>
      <w:pPr>
        <w:pStyle w:val="Nornal"/>
        <w:spacing w:after="0"/>
        <w:rPr>
          <w:rFonts w:ascii="Trebuchet MS" w:cs="Trebuchet MS" w:hAnsi="Trebuchet MS" w:eastAsia="Trebuchet MS"/>
        </w:rPr>
      </w:pPr>
    </w:p>
    <w:p>
      <w:pPr>
        <w:pStyle w:val="Nornal"/>
        <w:spacing w:after="0"/>
        <w:rPr>
          <w:rFonts w:ascii="Trebuchet MS" w:cs="Trebuchet MS" w:hAnsi="Trebuchet MS" w:eastAsia="Trebuchet MS"/>
        </w:rPr>
      </w:pPr>
      <w:r>
        <w:rPr>
          <w:rFonts w:ascii="Trebuchet MS" w:hAnsi="Trebuchet MS"/>
          <w:rtl w:val="0"/>
          <w:lang w:val="en-U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pPr>
        <w:pStyle w:val="Nornal"/>
        <w:spacing w:after="0"/>
        <w:rPr>
          <w:rFonts w:ascii="Trebuchet MS" w:cs="Trebuchet MS" w:hAnsi="Trebuchet MS" w:eastAsia="Trebuchet MS"/>
        </w:rPr>
      </w:pPr>
      <w:r>
        <w:rPr>
          <w:rFonts w:ascii="Trebuchet MS" w:cs="Trebuchet MS" w:hAnsi="Trebuchet MS" w:eastAsia="Trebuchet MS"/>
          <w:outline w:val="0"/>
          <w:color w:val="00616a"/>
          <w:u w:color="00616a"/>
          <w14:textFill>
            <w14:solidFill>
              <w14:srgbClr w14:val="00616A"/>
            </w14:solidFill>
          </w14:textFill>
        </w:rPr>
        <mc:AlternateContent>
          <mc:Choice Requires="wps">
            <w:drawing xmlns:a="http://schemas.openxmlformats.org/drawingml/2006/main">
              <wp:anchor distT="0" distB="0" distL="0" distR="0" simplePos="0" relativeHeight="251654144" behindDoc="1" locked="0" layoutInCell="1" allowOverlap="1">
                <wp:simplePos x="0" y="0"/>
                <wp:positionH relativeFrom="page">
                  <wp:posOffset>715644</wp:posOffset>
                </wp:positionH>
                <wp:positionV relativeFrom="page">
                  <wp:posOffset>2903806</wp:posOffset>
                </wp:positionV>
                <wp:extent cx="6120766" cy="6798944"/>
                <wp:effectExtent l="0" t="0" r="0" b="0"/>
                <wp:wrapNone/>
                <wp:docPr id="1073741832" name="officeArt object" descr="Rectangle 2"/>
                <wp:cNvGraphicFramePr/>
                <a:graphic xmlns:a="http://schemas.openxmlformats.org/drawingml/2006/main">
                  <a:graphicData uri="http://schemas.microsoft.com/office/word/2010/wordprocessingShape">
                    <wps:wsp>
                      <wps:cNvSpPr/>
                      <wps:spPr>
                        <a:xfrm>
                          <a:off x="0" y="0"/>
                          <a:ext cx="6120766" cy="6798944"/>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28.6pt;width:482.0pt;height:535.3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p>
    <w:p>
      <w:pPr>
        <w:pStyle w:val="Nornal"/>
        <w:spacing w:after="0"/>
        <w:rPr>
          <w:rFonts w:ascii="Trebuchet MS" w:cs="Trebuchet MS" w:hAnsi="Trebuchet MS" w:eastAsia="Trebuchet MS"/>
          <w:b w:val="1"/>
          <w:bCs w:val="1"/>
          <w:outline w:val="0"/>
          <w:color w:val="00616a"/>
          <w:sz w:val="32"/>
          <w:szCs w:val="32"/>
          <w:u w:color="00616a"/>
          <w14:textFill>
            <w14:solidFill>
              <w14:srgbClr w14:val="00616A"/>
            </w14:solidFill>
          </w14:textFill>
        </w:rPr>
      </w:pPr>
      <w:r>
        <w:rPr>
          <w:rFonts w:ascii="Trebuchet MS" w:hAnsi="Trebuchet MS"/>
          <w:b w:val="1"/>
          <w:bCs w:val="1"/>
          <w:outline w:val="0"/>
          <w:color w:val="00616a"/>
          <w:sz w:val="32"/>
          <w:szCs w:val="32"/>
          <w:u w:color="00616a"/>
          <w:rtl w:val="0"/>
          <w:lang w:val="en-US"/>
          <w14:textFill>
            <w14:solidFill>
              <w14:srgbClr w14:val="00616A"/>
            </w14:solidFill>
          </w14:textFill>
        </w:rPr>
        <w:t>CIPD</w:t>
      </w:r>
      <w:r>
        <w:rPr>
          <w:rFonts w:ascii="Trebuchet MS" w:hAnsi="Trebuchet MS" w:hint="default"/>
          <w:b w:val="1"/>
          <w:bCs w:val="1"/>
          <w:outline w:val="0"/>
          <w:color w:val="00616a"/>
          <w:sz w:val="32"/>
          <w:szCs w:val="32"/>
          <w:u w:color="00616a"/>
          <w:rtl w:val="0"/>
          <w:lang w:val="en-US"/>
          <w14:textFill>
            <w14:solidFill>
              <w14:srgbClr w14:val="00616A"/>
            </w14:solidFill>
          </w14:textFill>
        </w:rPr>
        <w:t>’</w:t>
      </w:r>
      <w:r>
        <w:rPr>
          <w:rFonts w:ascii="Trebuchet MS" w:hAnsi="Trebuchet MS"/>
          <w:b w:val="1"/>
          <w:bCs w:val="1"/>
          <w:outline w:val="0"/>
          <w:color w:val="00616a"/>
          <w:sz w:val="32"/>
          <w:szCs w:val="32"/>
          <w:u w:color="00616a"/>
          <w:rtl w:val="0"/>
          <w:lang w:val="en-US"/>
          <w14:textFill>
            <w14:solidFill>
              <w14:srgbClr w14:val="00616A"/>
            </w14:solidFill>
          </w14:textFill>
        </w:rPr>
        <w:t>s insight</w:t>
      </w:r>
    </w:p>
    <w:p>
      <w:pPr>
        <w:pStyle w:val="Nornal"/>
        <w:spacing w:after="0"/>
        <w:rPr>
          <w:rFonts w:ascii="Trebuchet MS" w:cs="Trebuchet MS" w:hAnsi="Trebuchet MS" w:eastAsia="Trebuchet MS"/>
        </w:rPr>
      </w:pPr>
    </w:p>
    <w:p>
      <w:pPr>
        <w:pStyle w:val="Body"/>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Workforce planning (July 2025)</w:t>
      </w:r>
    </w:p>
    <w:p>
      <w:pPr>
        <w:pStyle w:val="Body"/>
        <w:rPr>
          <w:rFonts w:ascii="Trebuchet MS" w:cs="Trebuchet MS" w:hAnsi="Trebuchet MS" w:eastAsia="Trebuchet MS"/>
          <w:outline w:val="0"/>
          <w:color w:val="004147"/>
          <w:sz w:val="28"/>
          <w:szCs w:val="28"/>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Workforce planning is a core business process which aligns changing organisation needs with people strategy. It can be the most effective activity an organisation can engage in. It doesn</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 xml:space="preserve">t need to be complicated and can be adjusted to suit the size and maturity of any organisation. It can provide market and industry intelligence to help organisations focus on a range of challenges and issues, and prepare for initiatives to support longer term business goals. </w:t>
      </w:r>
    </w:p>
    <w:p>
      <w:pPr>
        <w:pStyle w:val="Body"/>
        <w:rPr>
          <w:rFonts w:ascii="Trebuchet MS" w:cs="Trebuchet MS" w:hAnsi="Trebuchet MS" w:eastAsia="Trebuchet MS"/>
        </w:rPr>
      </w:pPr>
    </w:p>
    <w:p>
      <w:pPr>
        <w:pStyle w:val="Body"/>
        <w:rPr>
          <w:rStyle w:val="Hyperlink.0"/>
        </w:rPr>
      </w:pPr>
      <w:r>
        <w:rPr>
          <w:rStyle w:val="Hyperlink.0"/>
        </w:rPr>
        <w:fldChar w:fldCharType="begin" w:fldLock="0"/>
      </w:r>
      <w:r>
        <w:rPr>
          <w:rStyle w:val="Hyperlink.0"/>
        </w:rPr>
        <w:instrText xml:space="preserve"> HYPERLINK "https://www.cipd.co.uk/knowledge/strategy/organisational-development/workforce-planning-factsheet"</w:instrText>
      </w:r>
      <w:r>
        <w:rPr>
          <w:rStyle w:val="Hyperlink.0"/>
        </w:rPr>
        <w:fldChar w:fldCharType="separate" w:fldLock="0"/>
      </w:r>
      <w:r>
        <w:rPr>
          <w:rStyle w:val="Hyperlink.0"/>
          <w:rFonts w:cs="Arial Unicode MS" w:eastAsia="Arial Unicode MS"/>
          <w:rtl w:val="0"/>
          <w:lang w:val="en-US"/>
        </w:rPr>
        <w:t>https://www.cipd.co.uk/knowledge/strategy/organisational-development/workforce-planning-factsheet</w:t>
      </w:r>
      <w:r>
        <w:rPr/>
        <w:fldChar w:fldCharType="end" w:fldLock="0"/>
      </w:r>
    </w:p>
    <w:p>
      <w:pPr>
        <w:pStyle w:val="Body"/>
        <w:rPr>
          <w:rStyle w:val="Link"/>
          <w:rFonts w:ascii="Trebuchet MS" w:cs="Trebuchet MS" w:hAnsi="Trebuchet MS" w:eastAsia="Trebuchet MS"/>
          <w:b w:val="1"/>
          <w:bCs w:val="1"/>
        </w:rPr>
      </w:pPr>
    </w:p>
    <w:p>
      <w:pPr>
        <w:pStyle w:val="Body"/>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Strategic workforce planning (July 2025)</w:t>
      </w:r>
    </w:p>
    <w:p>
      <w:pPr>
        <w:pStyle w:val="Body"/>
        <w:rPr>
          <w:rFonts w:ascii="Trebuchet MS" w:cs="Trebuchet MS" w:hAnsi="Trebuchet MS" w:eastAsia="Trebuchet MS"/>
          <w:outline w:val="0"/>
          <w:color w:val="004147"/>
          <w:sz w:val="28"/>
          <w:szCs w:val="28"/>
          <w:u w:color="004147"/>
          <w14:textFill>
            <w14:solidFill>
              <w14:srgbClr w14:val="004147"/>
            </w14:solidFill>
          </w14:textFill>
        </w:rPr>
      </w:pPr>
    </w:p>
    <w:p>
      <w:pPr>
        <w:pStyle w:val="Body"/>
        <w:spacing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pPr>
        <w:pStyle w:val="Body"/>
        <w:spacing w:before="150"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de-DE"/>
          <w14:textFill>
            <w14:solidFill>
              <w14:srgbClr w14:val="004147"/>
            </w14:solidFill>
          </w14:textFill>
        </w:rPr>
        <w:t>We</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 xml:space="preserve">ll show you how to develop a workforce plan by walking you through two methodologies for workforce planning: a six-stage planning framework and a seven </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rights</w:t>
      </w:r>
      <w:r>
        <w:rPr>
          <w:rFonts w:ascii="Trebuchet MS" w:hAnsi="Trebuchet MS" w:hint="default"/>
          <w:outline w:val="0"/>
          <w:color w:val="004147"/>
          <w:u w:color="004147"/>
          <w:rtl w:val="0"/>
          <w:lang w:val="en-US"/>
          <w14:textFill>
            <w14:solidFill>
              <w14:srgbClr w14:val="004147"/>
            </w14:solidFill>
          </w14:textFill>
        </w:rPr>
        <w:t xml:space="preserve">’ </w:t>
      </w:r>
      <w:r>
        <w:rPr>
          <w:rFonts w:ascii="Trebuchet MS" w:hAnsi="Trebuchet MS"/>
          <w:outline w:val="0"/>
          <w:color w:val="004147"/>
          <w:u w:color="004147"/>
          <w:rtl w:val="0"/>
          <w:lang w:val="en-US"/>
          <w14:textFill>
            <w14:solidFill>
              <w14:srgbClr w14:val="004147"/>
            </w14:solidFill>
          </w14:textFill>
        </w:rPr>
        <w:t xml:space="preserve">principle. The planning framework offers six stages for conducting workforce planning in the right order; the seven </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rights</w:t>
      </w:r>
      <w:r>
        <w:rPr>
          <w:rFonts w:ascii="Trebuchet MS" w:hAnsi="Trebuchet MS" w:hint="default"/>
          <w:outline w:val="0"/>
          <w:color w:val="004147"/>
          <w:u w:color="004147"/>
          <w:rtl w:val="0"/>
          <w:lang w:val="en-US"/>
          <w14:textFill>
            <w14:solidFill>
              <w14:srgbClr w14:val="004147"/>
            </w14:solidFill>
          </w14:textFill>
        </w:rPr>
        <w:t xml:space="preserve">’ </w:t>
      </w:r>
      <w:r>
        <w:rPr>
          <w:rFonts w:ascii="Trebuchet MS" w:hAnsi="Trebuchet MS"/>
          <w:outline w:val="0"/>
          <w:color w:val="004147"/>
          <w:u w:color="004147"/>
          <w:rtl w:val="0"/>
          <w:lang w:val="en-US"/>
          <w14:textFill>
            <w14:solidFill>
              <w14:srgbClr w14:val="004147"/>
            </w14:solidFill>
          </w14:textFill>
        </w:rPr>
        <w:t>principle lists seven areas of the business that you need to consider.</w:t>
      </w:r>
      <w:r>
        <w:rPr>
          <w:rFonts w:ascii="Trebuchet MS" w:hAnsi="Trebuchet MS" w:hint="default"/>
          <w:outline w:val="0"/>
          <w:color w:val="004147"/>
          <w:u w:color="004147"/>
          <w:rtl w:val="0"/>
          <w:lang w:val="en-US"/>
          <w14:textFill>
            <w14:solidFill>
              <w14:srgbClr w14:val="004147"/>
            </w14:solidFill>
          </w14:textFill>
        </w:rPr>
        <w:t> </w:t>
      </w:r>
    </w:p>
    <w:p>
      <w:pPr>
        <w:pStyle w:val="Body"/>
        <w:spacing w:before="150"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People practitioners can use this guide to structure their (strategic) workforce planning, to identify the workforce challenges they may face ahead of time, and to put in place the appropriate actions to ensure organisational readiness and success.</w:t>
      </w:r>
    </w:p>
    <w:p>
      <w:pPr>
        <w:pStyle w:val="Body"/>
        <w:rPr>
          <w:rFonts w:ascii="Trebuchet MS" w:cs="Trebuchet MS" w:hAnsi="Trebuchet MS" w:eastAsia="Trebuchet MS"/>
        </w:rPr>
      </w:pPr>
    </w:p>
    <w:p>
      <w:pPr>
        <w:pStyle w:val="Body"/>
      </w:pPr>
      <w:r>
        <w:rPr>
          <w:rStyle w:val="Hyperlink.0"/>
        </w:rPr>
        <w:fldChar w:fldCharType="begin" w:fldLock="0"/>
      </w:r>
      <w:r>
        <w:rPr>
          <w:rStyle w:val="Hyperlink.0"/>
        </w:rPr>
        <w:instrText xml:space="preserve"> HYPERLINK "https://www.cipd.org/uk/knowledge/guides/strategic-workforce-planning/"</w:instrText>
      </w:r>
      <w:r>
        <w:rPr>
          <w:rStyle w:val="Hyperlink.0"/>
        </w:rPr>
        <w:fldChar w:fldCharType="separate" w:fldLock="0"/>
      </w:r>
      <w:r>
        <w:rPr>
          <w:rStyle w:val="Hyperlink.0"/>
          <w:rFonts w:cs="Arial Unicode MS" w:eastAsia="Arial Unicode MS"/>
          <w:rtl w:val="0"/>
          <w:lang w:val="en-US"/>
        </w:rPr>
        <w:t>https://www.cipd.org/uk/knowledge/guides/strategic-workforce-planning/</w:t>
      </w:r>
      <w:r>
        <w:rPr/>
        <w:fldChar w:fldCharType="end" w:fldLock="0"/>
      </w:r>
    </w:p>
    <w:p>
      <w:pPr>
        <w:pStyle w:val="Body"/>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Employee turnover and retention (February 2026)</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Employee turnover can have a negative impact on an organisation</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s performance. By understanding why staff leave an organisation, employers can devise initiatives that reduce turnover and increase employee retention.</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 xml:space="preserve">This factsheet explains the metrics of employee turnover and retention and strategies on how to keep them at healthy levels. The factsheet also covers why people leave organisations and recommends practices to improve staff retention such as flexibility, fair treatment and </w:t>
      </w:r>
      <w:r>
        <w:rPr>
          <w:rFonts w:ascii="Trebuchet MS" w:cs="Trebuchet MS" w:hAnsi="Trebuchet MS" w:eastAsia="Trebuchet MS"/>
          <w:outline w:val="0"/>
          <w:color w:val="00616a"/>
          <w:u w:color="00616a"/>
          <w14:textFill>
            <w14:solidFill>
              <w14:srgbClr w14:val="00616A"/>
            </w14:solidFill>
          </w14:textFill>
        </w:rPr>
        <mc:AlternateContent>
          <mc:Choice Requires="wps">
            <w:drawing xmlns:a="http://schemas.openxmlformats.org/drawingml/2006/main">
              <wp:anchor distT="0" distB="0" distL="0" distR="0" simplePos="0" relativeHeight="251656192" behindDoc="1" locked="0" layoutInCell="1" allowOverlap="1">
                <wp:simplePos x="0" y="0"/>
                <wp:positionH relativeFrom="page">
                  <wp:posOffset>720089</wp:posOffset>
                </wp:positionH>
                <wp:positionV relativeFrom="page">
                  <wp:posOffset>683894</wp:posOffset>
                </wp:positionV>
                <wp:extent cx="6112365" cy="6184900"/>
                <wp:effectExtent l="0" t="0" r="0" b="0"/>
                <wp:wrapNone/>
                <wp:docPr id="1073741833" name="officeArt object" descr="Rectangle 1941288672"/>
                <wp:cNvGraphicFramePr/>
                <a:graphic xmlns:a="http://schemas.openxmlformats.org/drawingml/2006/main">
                  <a:graphicData uri="http://schemas.microsoft.com/office/word/2010/wordprocessingShape">
                    <wps:wsp>
                      <wps:cNvSpPr/>
                      <wps:spPr>
                        <a:xfrm>
                          <a:off x="0" y="0"/>
                          <a:ext cx="6112365" cy="61849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81.3pt;height:487.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outline w:val="0"/>
          <w:color w:val="004147"/>
          <w:u w:color="004147"/>
          <w:rtl w:val="0"/>
          <w:lang w:val="en-US"/>
          <w14:textFill>
            <w14:solidFill>
              <w14:srgbClr w14:val="004147"/>
            </w14:solidFill>
          </w14:textFill>
        </w:rPr>
        <w:t>employee wellbeing. For more information on turnover patterns for workforces in the UK, explore the CIPD Data hub.</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pPr>
      <w:r>
        <w:rPr>
          <w:rStyle w:val="Hyperlink.1"/>
        </w:rPr>
        <w:fldChar w:fldCharType="begin" w:fldLock="0"/>
      </w:r>
      <w:r>
        <w:rPr>
          <w:rStyle w:val="Hyperlink.1"/>
        </w:rPr>
        <w:instrText xml:space="preserve"> HYPERLINK "https://www.cipd.org/uk/knowledge/factsheets/turnover-retention-factsheet/"</w:instrText>
      </w:r>
      <w:r>
        <w:rPr>
          <w:rStyle w:val="Hyperlink.1"/>
        </w:rPr>
        <w:fldChar w:fldCharType="separate" w:fldLock="0"/>
      </w:r>
      <w:r>
        <w:rPr>
          <w:rStyle w:val="Hyperlink.1"/>
          <w:rFonts w:cs="Arial Unicode MS" w:eastAsia="Arial Unicode MS"/>
          <w:rtl w:val="0"/>
          <w:lang w:val="en-US"/>
        </w:rPr>
        <w:t>https://www.cipd.org/uk/knowledge/factsheets/turnover-retention-factsheet/</w:t>
      </w:r>
      <w:r>
        <w:rPr/>
        <w:fldChar w:fldCharType="end" w:fldLock="0"/>
      </w:r>
    </w:p>
    <w:p>
      <w:pPr>
        <w:pStyle w:val="Body"/>
        <w:rPr>
          <w:rFonts w:ascii="Trebuchet MS" w:cs="Trebuchet MS" w:hAnsi="Trebuchet MS" w:eastAsia="Trebuchet MS"/>
          <w:b w:val="1"/>
          <w:bCs w:val="1"/>
          <w:outline w:val="0"/>
          <w:color w:val="004147"/>
          <w:u w:color="004147"/>
          <w14:textFill>
            <w14:solidFill>
              <w14:srgbClr w14:val="004147"/>
            </w14:solidFill>
          </w14:textFill>
        </w:rPr>
      </w:pPr>
    </w:p>
    <w:p>
      <w:pPr>
        <w:pStyle w:val="Body"/>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Resourcing and talent planning report (September 2024)</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The CIPD</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s Resourcing and talent planning report 2024, produced with the support of resourcing transformation specialist Omni RMS, examines employer practices to offer insights and recommendations to guide talent management and investment decisions.</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Now in its 24th edition, the report includes for the first time, details of the impact of UK migration rule changes, the role of AI in hiring and the increasing prevalence of flexible and hybrid work options. While these findings are based on UK data, the broader trends and implications should be of interest wherever you are based.</w:t>
      </w:r>
    </w:p>
    <w:p>
      <w:pPr>
        <w:pStyle w:val="Body"/>
        <w:rPr>
          <w:rFonts w:ascii="Trebuchet MS" w:cs="Trebuchet MS" w:hAnsi="Trebuchet MS" w:eastAsia="Trebuchet MS"/>
          <w:outline w:val="0"/>
          <w:color w:val="000000"/>
          <w:u w:color="000000"/>
          <w14:textFill>
            <w14:solidFill>
              <w14:srgbClr w14:val="000000"/>
            </w14:solidFill>
          </w14:textFill>
        </w:rPr>
      </w:pPr>
    </w:p>
    <w:p>
      <w:pPr>
        <w:pStyle w:val="Body"/>
        <w:rPr>
          <w:rStyle w:val="Hyperlink.1"/>
        </w:rPr>
      </w:pPr>
      <w:r>
        <w:rPr>
          <w:rStyle w:val="Hyperlink.1"/>
        </w:rPr>
        <w:fldChar w:fldCharType="begin" w:fldLock="0"/>
      </w:r>
      <w:r>
        <w:rPr>
          <w:rStyle w:val="Hyperlink.1"/>
        </w:rPr>
        <w:instrText xml:space="preserve"> HYPERLINK "https://www.cipd.org/uk/knowledge/reports/resourcing-surveys/"</w:instrText>
      </w:r>
      <w:r>
        <w:rPr>
          <w:rStyle w:val="Hyperlink.1"/>
        </w:rPr>
        <w:fldChar w:fldCharType="separate" w:fldLock="0"/>
      </w:r>
      <w:r>
        <w:rPr>
          <w:rStyle w:val="Hyperlink.1"/>
          <w:rFonts w:cs="Arial Unicode MS" w:eastAsia="Arial Unicode MS"/>
          <w:rtl w:val="0"/>
          <w:lang w:val="en-US"/>
        </w:rPr>
        <w:t>https://www.cipd.org/uk/knowledge/reports/resourcing-surveys/</w:t>
      </w:r>
      <w:r>
        <w:rPr/>
        <w:fldChar w:fldCharType="end" w:fldLock="0"/>
      </w:r>
    </w:p>
    <w:p>
      <w:pPr>
        <w:pStyle w:val="Body"/>
        <w:rPr>
          <w:rFonts w:ascii="Trebuchet MS" w:cs="Trebuchet MS" w:hAnsi="Trebuchet MS" w:eastAsia="Trebuchet MS"/>
          <w:outline w:val="0"/>
          <w:color w:val="000000"/>
          <w:u w:color="000000"/>
          <w14:textFill>
            <w14:solidFill>
              <w14:srgbClr w14:val="000000"/>
            </w14:solidFill>
          </w14:textFill>
        </w:rPr>
      </w:pPr>
    </w:p>
    <w:p>
      <w:pPr>
        <w:pStyle w:val="Body"/>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Skills for the future: Why investment in early talent is crucial for workforce success (February 2026)</w:t>
      </w:r>
    </w:p>
    <w:p>
      <w:pPr>
        <w:pStyle w:val="Body"/>
        <w:rPr>
          <w:rFonts w:ascii="Trebuchet MS" w:cs="Trebuchet MS" w:hAnsi="Trebuchet MS" w:eastAsia="Trebuchet MS"/>
          <w:outline w:val="0"/>
          <w:color w:val="000000"/>
          <w:u w:color="000000"/>
          <w14:textFill>
            <w14:solidFill>
              <w14:srgbClr w14:val="000000"/>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Organisations continue to face challenges in recruiting the talent they need despite falling vacancy numbers, while at the same time navigating the rapid pace of technological change and candidate expectations. According to the</w:t>
      </w:r>
      <w:r>
        <w:rPr>
          <w:rFonts w:cs="Arial Unicode MS" w:eastAsia="Arial Unicode MS" w:hint="default"/>
          <w:outline w:val="0"/>
          <w:color w:val="004147"/>
          <w:u w:color="004147"/>
          <w:rtl w:val="0"/>
          <w:lang w:val="fr-FR"/>
          <w14:textFill>
            <w14:solidFill>
              <w14:srgbClr w14:val="004147"/>
            </w14:solidFill>
          </w14:textFill>
        </w:rPr>
        <w:t> </w:t>
      </w:r>
      <w:r>
        <w:rPr>
          <w:rFonts w:ascii="Trebuchet MS" w:hAnsi="Trebuchet MS"/>
          <w:outline w:val="0"/>
          <w:color w:val="004147"/>
          <w:u w:color="004147"/>
          <w:rtl w:val="0"/>
          <w:lang w:val="de-DE"/>
          <w14:textFill>
            <w14:solidFill>
              <w14:srgbClr w14:val="004147"/>
            </w14:solidFill>
          </w14:textFill>
        </w:rPr>
        <w:t>CIPD</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s Resourcing and talent planning 2024 report, supported by Omni RMS, 83% of organisations that attempted to recruit over the previous year experienced difficulties. In response, organisations are turning inward by investing in internal talent mobility, up-skilling existing employees and expanding development programmes to meet current and future workforce needs.</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Style w:val="Hyperlink.1"/>
        </w:rPr>
      </w:pPr>
      <w:r>
        <w:rPr>
          <w:rStyle w:val="Hyperlink.1"/>
        </w:rPr>
        <w:fldChar w:fldCharType="begin" w:fldLock="0"/>
      </w:r>
      <w:r>
        <w:rPr>
          <w:rStyle w:val="Hyperlink.1"/>
        </w:rPr>
        <w:instrText xml:space="preserve"> HYPERLINK "https://www.cipd.org/uk/views-and-insights/thought-leadership/insight/investment-early-talent/"</w:instrText>
      </w:r>
      <w:r>
        <w:rPr>
          <w:rStyle w:val="Hyperlink.1"/>
        </w:rPr>
        <w:fldChar w:fldCharType="separate" w:fldLock="0"/>
      </w:r>
      <w:r>
        <w:rPr>
          <w:rStyle w:val="Hyperlink.1"/>
          <w:rFonts w:cs="Arial Unicode MS" w:eastAsia="Arial Unicode MS"/>
          <w:rtl w:val="0"/>
          <w:lang w:val="en-US"/>
        </w:rPr>
        <w:t>https://www.cipd.org/uk/views-and-insights/thought-leadership/insight/investment-early-talent/</w:t>
      </w:r>
      <w:r>
        <w:rPr/>
        <w:fldChar w:fldCharType="end" w:fldLock="0"/>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Please note that the purpose of this insight is to link you to CIPD</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s research and evidence within the subject area, so that you can engage with the latest thinking. It is not provided to replace the study required as part of the learning or as formative assessment material.</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cs="Trebuchet MS" w:hAnsi="Trebuchet MS" w:eastAsia="Trebuchet MS"/>
          <w:outline w:val="0"/>
          <w:color w:val="00616a"/>
          <w:u w:color="00616a"/>
          <w14:textFill>
            <w14:solidFill>
              <w14:srgbClr w14:val="00616A"/>
            </w14:solidFill>
          </w14:textFill>
        </w:rPr>
        <mc:AlternateContent>
          <mc:Choice Requires="wps">
            <w:drawing xmlns:a="http://schemas.openxmlformats.org/drawingml/2006/main">
              <wp:anchor distT="0" distB="0" distL="0" distR="0" simplePos="0" relativeHeight="251657216" behindDoc="1" locked="0" layoutInCell="1" allowOverlap="1">
                <wp:simplePos x="0" y="0"/>
                <wp:positionH relativeFrom="page">
                  <wp:posOffset>716963</wp:posOffset>
                </wp:positionH>
                <wp:positionV relativeFrom="page">
                  <wp:posOffset>7146387</wp:posOffset>
                </wp:positionV>
                <wp:extent cx="6119447" cy="1104900"/>
                <wp:effectExtent l="0" t="0" r="0" b="0"/>
                <wp:wrapNone/>
                <wp:docPr id="1073741834" name="officeArt object" descr="Rectangle 1829011262"/>
                <wp:cNvGraphicFramePr/>
                <a:graphic xmlns:a="http://schemas.openxmlformats.org/drawingml/2006/main">
                  <a:graphicData uri="http://schemas.microsoft.com/office/word/2010/wordprocessingShape">
                    <wps:wsp>
                      <wps:cNvSpPr/>
                      <wps:spPr>
                        <a:xfrm>
                          <a:off x="0" y="0"/>
                          <a:ext cx="6119447" cy="11049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5pt;margin-top:562.7pt;width:481.8pt;height:87.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p>
    <w:p>
      <w:pPr>
        <w:pStyle w:val="Body"/>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Relevant podcasts</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For more information on this unit</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s key issues, listen to CIPD</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s podcast, HR People Pod.</w:t>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rPr>
          <w:rStyle w:val="Hyperlink.0"/>
        </w:rPr>
      </w:pPr>
      <w:r>
        <w:rPr>
          <w:rStyle w:val="Hyperlink.0"/>
        </w:rPr>
        <w:fldChar w:fldCharType="begin" w:fldLock="0"/>
      </w:r>
      <w:r>
        <w:rPr>
          <w:rStyle w:val="Hyperlink.0"/>
        </w:rPr>
        <w:instrText xml:space="preserve"> HYPERLINK "https://shows.acast.com/689df5d6290bdec8f923f30f/689df5f3aabbc2ace3311547"</w:instrText>
      </w:r>
      <w:r>
        <w:rPr>
          <w:rStyle w:val="Hyperlink.0"/>
        </w:rPr>
        <w:fldChar w:fldCharType="separate" w:fldLock="0"/>
      </w:r>
      <w:r>
        <w:rPr>
          <w:rStyle w:val="Hyperlink.0"/>
          <w:rFonts w:cs="Arial Unicode MS" w:eastAsia="Arial Unicode MS"/>
          <w:rtl w:val="0"/>
          <w:lang w:val="en-US"/>
        </w:rPr>
        <w:t>Episode 7: Great retention</w:t>
      </w:r>
      <w:r>
        <w:rPr/>
        <w:fldChar w:fldCharType="end" w:fldLock="0"/>
      </w:r>
    </w:p>
    <w:p>
      <w:pPr>
        <w:pStyle w:val="Body"/>
        <w:rPr>
          <w:rStyle w:val="Hyperlink.0"/>
        </w:rPr>
      </w:pPr>
      <w:r>
        <w:rPr>
          <w:rStyle w:val="Hyperlink.0"/>
        </w:rPr>
        <w:fldChar w:fldCharType="begin" w:fldLock="0"/>
      </w:r>
      <w:r>
        <w:rPr>
          <w:rStyle w:val="Hyperlink.0"/>
        </w:rPr>
        <w:instrText xml:space="preserve"> HYPERLINK "https://youtu.be/OG6aFL8BXj4?si=ufBq3Nb19JatcPrZ"</w:instrText>
      </w:r>
      <w:r>
        <w:rPr>
          <w:rStyle w:val="Hyperlink.0"/>
        </w:rPr>
        <w:fldChar w:fldCharType="separate" w:fldLock="0"/>
      </w:r>
      <w:r>
        <w:rPr>
          <w:rStyle w:val="Hyperlink.0"/>
          <w:rFonts w:cs="Arial Unicode MS" w:eastAsia="Arial Unicode MS"/>
          <w:rtl w:val="0"/>
          <w:lang w:val="en-US"/>
        </w:rPr>
        <w:t>Episode 35: Lifelong learning and green skills</w:t>
      </w:r>
      <w:r>
        <w:rPr/>
        <w:fldChar w:fldCharType="end" w:fldLock="0"/>
      </w:r>
    </w:p>
    <w:p>
      <w:pPr>
        <w:pStyle w:val="Body"/>
        <w:rPr>
          <w:rFonts w:ascii="Trebuchet MS" w:cs="Trebuchet MS" w:hAnsi="Trebuchet MS" w:eastAsia="Trebuchet MS"/>
          <w:outline w:val="0"/>
          <w:color w:val="004147"/>
          <w:u w:color="004147"/>
          <w14:textFill>
            <w14:solidFill>
              <w14:srgbClr w14:val="004147"/>
            </w14:solidFill>
          </w14:textFill>
        </w:rPr>
      </w:pPr>
    </w:p>
    <w:p>
      <w:pPr>
        <w:pStyle w:val="Body"/>
      </w:pPr>
      <w:r>
        <w:rPr>
          <w:rFonts w:ascii="Arial Unicode MS" w:cs="Arial Unicode MS" w:hAnsi="Arial Unicode MS" w:eastAsia="Arial Unicode MS"/>
          <w:b w:val="0"/>
          <w:bCs w:val="0"/>
          <w:i w:val="0"/>
          <w:iCs w:val="0"/>
          <w:outline w:val="0"/>
          <w:color w:val="000000"/>
          <w:sz w:val="20"/>
          <w:szCs w:val="20"/>
          <w:u w:color="000000"/>
          <w14:textFill>
            <w14:solidFill>
              <w14:srgbClr w14:val="000000"/>
            </w14:solidFill>
          </w14:textFill>
        </w:rPr>
        <w:br w:type="page"/>
      </w:r>
    </w:p>
    <w:p>
      <w:pPr>
        <w:pStyle w:val="Body"/>
        <w:spacing w:line="240" w:lineRule="auto"/>
        <w:rPr>
          <w:rFonts w:ascii="Trebuchet MS" w:cs="Trebuchet MS" w:hAnsi="Trebuchet MS" w:eastAsia="Trebuchet MS"/>
        </w:rPr>
      </w:pPr>
      <w:r>
        <w:rPr>
          <w:rFonts w:ascii="Trebuchet MS" w:cs="Trebuchet MS" w:hAnsi="Trebuchet MS" w:eastAsia="Trebuchet MS"/>
        </w:rPr>
        <mc:AlternateContent>
          <mc:Choice Requires="wps">
            <w:drawing xmlns:a="http://schemas.openxmlformats.org/drawingml/2006/main">
              <wp:inline distT="0" distB="0" distL="0" distR="0">
                <wp:extent cx="6116321" cy="2154801"/>
                <wp:effectExtent l="0" t="0" r="0" b="0"/>
                <wp:docPr id="1073741835" name="officeArt object" descr="Rectangle 828902757"/>
                <wp:cNvGraphicFramePr/>
                <a:graphic xmlns:a="http://schemas.openxmlformats.org/drawingml/2006/main">
                  <a:graphicData uri="http://schemas.microsoft.com/office/word/2010/wordprocessingShape">
                    <wps:wsp>
                      <wps:cNvSpPr/>
                      <wps:spPr>
                        <a:xfrm>
                          <a:off x="0" y="0"/>
                          <a:ext cx="6116321" cy="2154801"/>
                        </a:xfrm>
                        <a:prstGeom prst="rect">
                          <a:avLst/>
                        </a:prstGeom>
                        <a:solidFill>
                          <a:schemeClr val="accent2">
                            <a:alpha val="4706"/>
                          </a:schemeClr>
                        </a:solidFill>
                        <a:ln w="12700" cap="flat">
                          <a:noFill/>
                          <a:miter lim="400000"/>
                        </a:ln>
                        <a:effectLst/>
                      </wps:spPr>
                      <wps:txbx>
                        <w:txbxContent>
                          <w:p>
                            <w:pPr>
                              <w:pStyle w:val="Body"/>
                              <w:spacing w:after="120" w:line="240" w:lineRule="auto"/>
                              <w:rPr>
                                <w:rFonts w:ascii="Trebuchet MS" w:cs="Trebuchet MS" w:hAnsi="Trebuchet MS" w:eastAsia="Trebuchet MS"/>
                                <w:b w:val="1"/>
                                <w:bCs w:val="1"/>
                                <w:outline w:val="0"/>
                                <w:color w:val="004147"/>
                                <w:sz w:val="24"/>
                                <w:szCs w:val="24"/>
                                <w:u w:color="004147"/>
                                <w14:textFill>
                                  <w14:solidFill>
                                    <w14:srgbClr w14:val="004147"/>
                                  </w14:solidFill>
                                </w14:textFill>
                              </w:rPr>
                            </w:pPr>
                            <w:r>
                              <w:rPr>
                                <w:rFonts w:ascii="Trebuchet MS" w:hAnsi="Trebuchet MS"/>
                                <w:b w:val="1"/>
                                <w:bCs w:val="1"/>
                                <w:outline w:val="0"/>
                                <w:color w:val="004147"/>
                                <w:sz w:val="24"/>
                                <w:szCs w:val="24"/>
                                <w:u w:color="004147"/>
                                <w:rtl w:val="0"/>
                                <w:lang w:val="fr-FR"/>
                                <w14:textFill>
                                  <w14:solidFill>
                                    <w14:srgbClr w14:val="004147"/>
                                  </w14:solidFill>
                                </w14:textFill>
                              </w:rPr>
                              <w:t>Preparation</w:t>
                            </w:r>
                            <w:r>
                              <w:rPr>
                                <w:rFonts w:ascii="Trebuchet MS" w:hAnsi="Trebuchet MS" w:hint="default"/>
                                <w:b w:val="1"/>
                                <w:bCs w:val="1"/>
                                <w:outline w:val="0"/>
                                <w:color w:val="004147"/>
                                <w:sz w:val="24"/>
                                <w:szCs w:val="24"/>
                                <w:u w:color="004147"/>
                                <w:rtl w:val="0"/>
                                <w:lang w:val="en-US"/>
                                <w14:textFill>
                                  <w14:solidFill>
                                    <w14:srgbClr w14:val="004147"/>
                                  </w14:solidFill>
                                </w14:textFill>
                              </w:rPr>
                              <w:t> </w:t>
                            </w:r>
                            <w:r>
                              <w:rPr>
                                <w:rFonts w:ascii="Trebuchet MS" w:hAnsi="Trebuchet MS"/>
                                <w:b w:val="1"/>
                                <w:bCs w:val="1"/>
                                <w:outline w:val="0"/>
                                <w:color w:val="004147"/>
                                <w:sz w:val="24"/>
                                <w:szCs w:val="24"/>
                                <w:u w:color="004147"/>
                                <w:rtl w:val="0"/>
                                <w:lang w:val="en-US"/>
                                <w14:textFill>
                                  <w14:solidFill>
                                    <w14:srgbClr w14:val="004147"/>
                                  </w14:solidFill>
                                </w14:textFill>
                              </w:rPr>
                              <w:t>for the task</w:t>
                            </w:r>
                          </w:p>
                          <w:p>
                            <w:pPr>
                              <w:pStyle w:val="Body"/>
                              <w:spacing w:after="120" w:line="240" w:lineRule="auto"/>
                              <w:rPr>
                                <w:rFonts w:ascii="Trebuchet MS" w:cs="Trebuchet MS" w:hAnsi="Trebuchet MS" w:eastAsia="Trebuchet MS"/>
                                <w:outline w:val="0"/>
                                <w:color w:val="000000"/>
                                <w:u w:color="000000"/>
                                <w14:textFill>
                                  <w14:solidFill>
                                    <w14:srgbClr w14:val="000000"/>
                                  </w14:solidFill>
                                </w14:textFill>
                              </w:rPr>
                            </w:pPr>
                            <w:r>
                              <w:rPr>
                                <w:rFonts w:ascii="Trebuchet MS" w:hAnsi="Trebuchet MS"/>
                                <w:outline w:val="0"/>
                                <w:color w:val="000000"/>
                                <w:u w:color="000000"/>
                                <w:rtl w:val="0"/>
                                <w:lang w:val="en-US"/>
                                <w14:textFill>
                                  <w14:solidFill>
                                    <w14:srgbClr w14:val="000000"/>
                                  </w14:solidFill>
                                </w14:textFill>
                              </w:rPr>
                              <w:t>You must:</w:t>
                            </w:r>
                          </w:p>
                          <w:p>
                            <w:pPr>
                              <w:pStyle w:val="List Paragraph"/>
                              <w:numPr>
                                <w:ilvl w:val="0"/>
                                <w:numId w:val="3"/>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not use artificial intelligence to suggest ideas, generate content, or structure, edit or enhance your assessment in any way, and ensure that this is your own independent work;</w:t>
                            </w:r>
                          </w:p>
                          <w:p>
                            <w:pPr>
                              <w:pStyle w:val="List Paragraph"/>
                              <w:numPr>
                                <w:ilvl w:val="0"/>
                                <w:numId w:val="3"/>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make sure you understand your Study Centre's instructions on how to complete and submit your assessment;</w:t>
                            </w:r>
                          </w:p>
                          <w:p>
                            <w:pPr>
                              <w:pStyle w:val="List Paragraph"/>
                              <w:numPr>
                                <w:ilvl w:val="0"/>
                                <w:numId w:val="3"/>
                              </w:numPr>
                              <w:bidi w:val="0"/>
                              <w:spacing w:after="120" w:line="240" w:lineRule="auto"/>
                              <w:ind w:right="0"/>
                              <w:jc w:val="left"/>
                              <w:rPr>
                                <w:rFonts w:ascii="Trebuchet MS" w:hAnsi="Trebuchet MS"/>
                                <w:i w:val="1"/>
                                <w:iCs w:val="1"/>
                                <w:rtl w:val="0"/>
                                <w:lang w:val="en-US"/>
                              </w:rPr>
                            </w:pPr>
                            <w:r>
                              <w:rPr>
                                <w:rFonts w:ascii="Trebuchet MS" w:hAnsi="Trebuchet MS"/>
                                <w:i w:val="0"/>
                                <w:iCs w:val="0"/>
                                <w:outline w:val="0"/>
                                <w:color w:val="000000"/>
                                <w:u w:color="000000"/>
                                <w:rtl w:val="0"/>
                                <w:lang w:val="en-US"/>
                                <w14:textFill>
                                  <w14:solidFill>
                                    <w14:srgbClr w14:val="000000"/>
                                  </w14:solidFill>
                                </w14:textFill>
                              </w:rPr>
                              <w:t xml:space="preserve">watch the supporting video for this unit: </w:t>
                            </w:r>
                            <w:r>
                              <w:rPr>
                                <w:rStyle w:val="Hyperlink.2"/>
                                <w:rFonts w:ascii="Trebuchet MS" w:cs="Trebuchet MS" w:hAnsi="Trebuchet MS" w:eastAsia="Trebuchet MS"/>
                                <w:i w:val="0"/>
                                <w:iCs w:val="0"/>
                              </w:rPr>
                              <w:fldChar w:fldCharType="begin" w:fldLock="0"/>
                            </w:r>
                            <w:r>
                              <w:rPr>
                                <w:rStyle w:val="Hyperlink.2"/>
                                <w:rFonts w:ascii="Trebuchet MS" w:cs="Trebuchet MS" w:hAnsi="Trebuchet MS" w:eastAsia="Trebuchet MS"/>
                                <w:i w:val="0"/>
                                <w:iCs w:val="0"/>
                              </w:rPr>
                              <w:instrText xml:space="preserve"> HYPERLINK "https://www.cipd.org/uk/learning/student-member-area/study-resources/resources-level-5-associate-diplomas-pm/5hr02-talent-management-and-workforce-planning/"</w:instrText>
                            </w:r>
                            <w:r>
                              <w:rPr>
                                <w:rStyle w:val="Hyperlink.2"/>
                                <w:rFonts w:ascii="Trebuchet MS" w:cs="Trebuchet MS" w:hAnsi="Trebuchet MS" w:eastAsia="Trebuchet MS"/>
                                <w:i w:val="0"/>
                                <w:iCs w:val="0"/>
                              </w:rPr>
                              <w:fldChar w:fldCharType="separate" w:fldLock="0"/>
                            </w:r>
                            <w:r>
                              <w:rPr>
                                <w:rStyle w:val="Hyperlink.2"/>
                                <w:rFonts w:ascii="Trebuchet MS" w:hAnsi="Trebuchet MS"/>
                                <w:i w:val="0"/>
                                <w:iCs w:val="0"/>
                                <w:rtl w:val="0"/>
                                <w:lang w:val="en-US"/>
                              </w:rPr>
                              <w:t>5HR02 Talent management and workforce planning | CIPD</w:t>
                            </w:r>
                            <w:r>
                              <w:rPr>
                                <w:rFonts w:ascii="Trebuchet MS" w:cs="Trebuchet MS" w:hAnsi="Trebuchet MS" w:eastAsia="Trebuchet MS"/>
                                <w:i w:val="1"/>
                                <w:iCs w:val="1"/>
                              </w:rPr>
                              <w:fldChar w:fldCharType="end" w:fldLock="0"/>
                            </w:r>
                          </w:p>
                          <w:p>
                            <w:pPr>
                              <w:pStyle w:val="List Paragraph"/>
                              <w:numPr>
                                <w:ilvl w:val="0"/>
                                <w:numId w:val="3"/>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read the </w:t>
                            </w:r>
                            <w:r>
                              <w:rPr>
                                <w:rStyle w:val="Hyperlink.0"/>
                                <w:rFonts w:ascii="Trebuchet MS" w:cs="Trebuchet MS" w:hAnsi="Trebuchet MS" w:eastAsia="Trebuchet MS"/>
                                <w:b w:val="1"/>
                                <w:bCs w:val="1"/>
                                <w:outline w:val="0"/>
                                <w:color w:val="004147"/>
                                <w:u w:color="004147"/>
                                <w14:textFill>
                                  <w14:solidFill>
                                    <w14:srgbClr w14:val="004147"/>
                                  </w14:solidFill>
                                </w14:textFill>
                              </w:rPr>
                              <w:fldChar w:fldCharType="begin" w:fldLock="0"/>
                            </w:r>
                            <w:r>
                              <w:rPr>
                                <w:rStyle w:val="Hyperlink.0"/>
                                <w:rFonts w:ascii="Trebuchet MS" w:cs="Trebuchet MS" w:hAnsi="Trebuchet MS" w:eastAsia="Trebuchet MS"/>
                                <w:b w:val="1"/>
                                <w:bCs w:val="1"/>
                                <w:outline w:val="0"/>
                                <w:color w:val="004147"/>
                                <w:u w:color="004147"/>
                                <w14:textFill>
                                  <w14:solidFill>
                                    <w14:srgbClr w14:val="004147"/>
                                  </w14:solidFill>
                                </w14:textFill>
                              </w:rPr>
                              <w:instrText xml:space="preserve"> HYPERLINK "https://www.cipd.org/en/learning/student-member-area/study-resources/resources-level-5-associate-diplomas-pm/"</w:instrText>
                            </w:r>
                            <w:r>
                              <w:rPr>
                                <w:rStyle w:val="Hyperlink.0"/>
                                <w:rFonts w:ascii="Trebuchet MS" w:cs="Trebuchet MS" w:hAnsi="Trebuchet MS" w:eastAsia="Trebuchet MS"/>
                                <w:b w:val="1"/>
                                <w:bCs w:val="1"/>
                                <w:outline w:val="0"/>
                                <w:color w:val="004147"/>
                                <w:u w:color="004147"/>
                                <w14:textFill>
                                  <w14:solidFill>
                                    <w14:srgbClr w14:val="004147"/>
                                  </w14:solidFill>
                                </w14:textFill>
                              </w:rPr>
                              <w:fldChar w:fldCharType="separate" w:fldLock="0"/>
                            </w:r>
                            <w:r>
                              <w:rPr>
                                <w:rStyle w:val="Hyperlink.0"/>
                                <w:rFonts w:ascii="Trebuchet MS" w:hAnsi="Trebuchet MS"/>
                                <w:b w:val="1"/>
                                <w:bCs w:val="1"/>
                                <w:outline w:val="0"/>
                                <w:color w:val="004147"/>
                                <w:u w:color="004147"/>
                                <w:rtl w:val="0"/>
                                <w:lang w:val="en-US"/>
                                <w14:textFill>
                                  <w14:solidFill>
                                    <w14:srgbClr w14:val="004147"/>
                                  </w14:solidFill>
                                </w14:textFill>
                              </w:rPr>
                              <w:t>CIPD</w:t>
                            </w:r>
                            <w:r>
                              <w:rPr>
                                <w:rStyle w:val="Hyperlink.0"/>
                                <w:rFonts w:ascii="Trebuchet MS" w:hAnsi="Trebuchet MS" w:hint="default"/>
                                <w:b w:val="1"/>
                                <w:bCs w:val="1"/>
                                <w:outline w:val="0"/>
                                <w:color w:val="004147"/>
                                <w:u w:color="004147"/>
                                <w:rtl w:val="0"/>
                                <w:lang w:val="en-US"/>
                                <w14:textFill>
                                  <w14:solidFill>
                                    <w14:srgbClr w14:val="004147"/>
                                  </w14:solidFill>
                                </w14:textFill>
                              </w:rPr>
                              <w:t>’</w:t>
                            </w:r>
                            <w:r>
                              <w:rPr>
                                <w:rStyle w:val="Hyperlink.0"/>
                                <w:rFonts w:ascii="Trebuchet MS" w:hAnsi="Trebuchet MS"/>
                                <w:b w:val="1"/>
                                <w:bCs w:val="1"/>
                                <w:outline w:val="0"/>
                                <w:color w:val="004147"/>
                                <w:u w:color="004147"/>
                                <w:rtl w:val="0"/>
                                <w:lang w:val="en-US"/>
                                <w14:textFill>
                                  <w14:solidFill>
                                    <w14:srgbClr w14:val="004147"/>
                                  </w14:solidFill>
                                </w14:textFill>
                              </w:rPr>
                              <w:t>s word count policy</w:t>
                            </w:r>
                            <w:r>
                              <w:rPr>
                                <w:rFonts w:ascii="Trebuchet MS" w:cs="Trebuchet MS" w:hAnsi="Trebuchet MS" w:eastAsia="Trebuchet MS"/>
                              </w:rPr>
                              <w:fldChar w:fldCharType="end" w:fldLock="0"/>
                            </w:r>
                            <w:r>
                              <w:rPr>
                                <w:rFonts w:ascii="Trebuchet MS" w:hAnsi="Trebuchet MS"/>
                                <w:outline w:val="0"/>
                                <w:color w:val="000000"/>
                                <w:u w:color="000000"/>
                                <w:rtl w:val="0"/>
                                <w:lang w:val="en-US"/>
                                <w14:textFill>
                                  <w14:solidFill>
                                    <w14:srgbClr w14:val="000000"/>
                                  </w14:solidFill>
                                </w14:textFill>
                              </w:rPr>
                              <w:t xml:space="preserve"> which your Study Centre will provide for you. Remember that your work will be referred if you exceed the word count limit (+10%).</w:t>
                            </w:r>
                          </w:p>
                        </w:txbxContent>
                      </wps:txbx>
                      <wps:bodyPr wrap="square" lIns="36000" tIns="36000" rIns="36000" bIns="36000" numCol="1" anchor="t">
                        <a:noAutofit/>
                      </wps:bodyPr>
                    </wps:wsp>
                  </a:graphicData>
                </a:graphic>
              </wp:inline>
            </w:drawing>
          </mc:Choice>
          <mc:Fallback>
            <w:pict>
              <v:rect id="_x0000_s1031" style="visibility:visible;width:481.6pt;height:169.7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after="120" w:line="240" w:lineRule="auto"/>
                        <w:rPr>
                          <w:rFonts w:ascii="Trebuchet MS" w:cs="Trebuchet MS" w:hAnsi="Trebuchet MS" w:eastAsia="Trebuchet MS"/>
                          <w:b w:val="1"/>
                          <w:bCs w:val="1"/>
                          <w:outline w:val="0"/>
                          <w:color w:val="004147"/>
                          <w:sz w:val="24"/>
                          <w:szCs w:val="24"/>
                          <w:u w:color="004147"/>
                          <w14:textFill>
                            <w14:solidFill>
                              <w14:srgbClr w14:val="004147"/>
                            </w14:solidFill>
                          </w14:textFill>
                        </w:rPr>
                      </w:pPr>
                      <w:r>
                        <w:rPr>
                          <w:rFonts w:ascii="Trebuchet MS" w:hAnsi="Trebuchet MS"/>
                          <w:b w:val="1"/>
                          <w:bCs w:val="1"/>
                          <w:outline w:val="0"/>
                          <w:color w:val="004147"/>
                          <w:sz w:val="24"/>
                          <w:szCs w:val="24"/>
                          <w:u w:color="004147"/>
                          <w:rtl w:val="0"/>
                          <w:lang w:val="fr-FR"/>
                          <w14:textFill>
                            <w14:solidFill>
                              <w14:srgbClr w14:val="004147"/>
                            </w14:solidFill>
                          </w14:textFill>
                        </w:rPr>
                        <w:t>Preparation</w:t>
                      </w:r>
                      <w:r>
                        <w:rPr>
                          <w:rFonts w:ascii="Trebuchet MS" w:hAnsi="Trebuchet MS" w:hint="default"/>
                          <w:b w:val="1"/>
                          <w:bCs w:val="1"/>
                          <w:outline w:val="0"/>
                          <w:color w:val="004147"/>
                          <w:sz w:val="24"/>
                          <w:szCs w:val="24"/>
                          <w:u w:color="004147"/>
                          <w:rtl w:val="0"/>
                          <w:lang w:val="en-US"/>
                          <w14:textFill>
                            <w14:solidFill>
                              <w14:srgbClr w14:val="004147"/>
                            </w14:solidFill>
                          </w14:textFill>
                        </w:rPr>
                        <w:t> </w:t>
                      </w:r>
                      <w:r>
                        <w:rPr>
                          <w:rFonts w:ascii="Trebuchet MS" w:hAnsi="Trebuchet MS"/>
                          <w:b w:val="1"/>
                          <w:bCs w:val="1"/>
                          <w:outline w:val="0"/>
                          <w:color w:val="004147"/>
                          <w:sz w:val="24"/>
                          <w:szCs w:val="24"/>
                          <w:u w:color="004147"/>
                          <w:rtl w:val="0"/>
                          <w:lang w:val="en-US"/>
                          <w14:textFill>
                            <w14:solidFill>
                              <w14:srgbClr w14:val="004147"/>
                            </w14:solidFill>
                          </w14:textFill>
                        </w:rPr>
                        <w:t>for the task</w:t>
                      </w:r>
                    </w:p>
                    <w:p>
                      <w:pPr>
                        <w:pStyle w:val="Body"/>
                        <w:spacing w:after="120" w:line="240" w:lineRule="auto"/>
                        <w:rPr>
                          <w:rFonts w:ascii="Trebuchet MS" w:cs="Trebuchet MS" w:hAnsi="Trebuchet MS" w:eastAsia="Trebuchet MS"/>
                          <w:outline w:val="0"/>
                          <w:color w:val="000000"/>
                          <w:u w:color="000000"/>
                          <w14:textFill>
                            <w14:solidFill>
                              <w14:srgbClr w14:val="000000"/>
                            </w14:solidFill>
                          </w14:textFill>
                        </w:rPr>
                      </w:pPr>
                      <w:r>
                        <w:rPr>
                          <w:rFonts w:ascii="Trebuchet MS" w:hAnsi="Trebuchet MS"/>
                          <w:outline w:val="0"/>
                          <w:color w:val="000000"/>
                          <w:u w:color="000000"/>
                          <w:rtl w:val="0"/>
                          <w:lang w:val="en-US"/>
                          <w14:textFill>
                            <w14:solidFill>
                              <w14:srgbClr w14:val="000000"/>
                            </w14:solidFill>
                          </w14:textFill>
                        </w:rPr>
                        <w:t>You must:</w:t>
                      </w:r>
                    </w:p>
                    <w:p>
                      <w:pPr>
                        <w:pStyle w:val="List Paragraph"/>
                        <w:numPr>
                          <w:ilvl w:val="0"/>
                          <w:numId w:val="3"/>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not use artificial intelligence to suggest ideas, generate content, or structure, edit or enhance your assessment in any way, and ensure that this is your own independent work;</w:t>
                      </w:r>
                    </w:p>
                    <w:p>
                      <w:pPr>
                        <w:pStyle w:val="List Paragraph"/>
                        <w:numPr>
                          <w:ilvl w:val="0"/>
                          <w:numId w:val="3"/>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make sure you understand your Study Centre's instructions on how to complete and submit your assessment;</w:t>
                      </w:r>
                    </w:p>
                    <w:p>
                      <w:pPr>
                        <w:pStyle w:val="List Paragraph"/>
                        <w:numPr>
                          <w:ilvl w:val="0"/>
                          <w:numId w:val="3"/>
                        </w:numPr>
                        <w:bidi w:val="0"/>
                        <w:spacing w:after="120" w:line="240" w:lineRule="auto"/>
                        <w:ind w:right="0"/>
                        <w:jc w:val="left"/>
                        <w:rPr>
                          <w:rFonts w:ascii="Trebuchet MS" w:hAnsi="Trebuchet MS"/>
                          <w:i w:val="1"/>
                          <w:iCs w:val="1"/>
                          <w:rtl w:val="0"/>
                          <w:lang w:val="en-US"/>
                        </w:rPr>
                      </w:pPr>
                      <w:r>
                        <w:rPr>
                          <w:rFonts w:ascii="Trebuchet MS" w:hAnsi="Trebuchet MS"/>
                          <w:i w:val="0"/>
                          <w:iCs w:val="0"/>
                          <w:outline w:val="0"/>
                          <w:color w:val="000000"/>
                          <w:u w:color="000000"/>
                          <w:rtl w:val="0"/>
                          <w:lang w:val="en-US"/>
                          <w14:textFill>
                            <w14:solidFill>
                              <w14:srgbClr w14:val="000000"/>
                            </w14:solidFill>
                          </w14:textFill>
                        </w:rPr>
                        <w:t xml:space="preserve">watch the supporting video for this unit: </w:t>
                      </w:r>
                      <w:r>
                        <w:rPr>
                          <w:rStyle w:val="Hyperlink.2"/>
                          <w:rFonts w:ascii="Trebuchet MS" w:cs="Trebuchet MS" w:hAnsi="Trebuchet MS" w:eastAsia="Trebuchet MS"/>
                          <w:i w:val="0"/>
                          <w:iCs w:val="0"/>
                        </w:rPr>
                        <w:fldChar w:fldCharType="begin" w:fldLock="0"/>
                      </w:r>
                      <w:r>
                        <w:rPr>
                          <w:rStyle w:val="Hyperlink.2"/>
                          <w:rFonts w:ascii="Trebuchet MS" w:cs="Trebuchet MS" w:hAnsi="Trebuchet MS" w:eastAsia="Trebuchet MS"/>
                          <w:i w:val="0"/>
                          <w:iCs w:val="0"/>
                        </w:rPr>
                        <w:instrText xml:space="preserve"> HYPERLINK "https://www.cipd.org/uk/learning/student-member-area/study-resources/resources-level-5-associate-diplomas-pm/5hr02-talent-management-and-workforce-planning/"</w:instrText>
                      </w:r>
                      <w:r>
                        <w:rPr>
                          <w:rStyle w:val="Hyperlink.2"/>
                          <w:rFonts w:ascii="Trebuchet MS" w:cs="Trebuchet MS" w:hAnsi="Trebuchet MS" w:eastAsia="Trebuchet MS"/>
                          <w:i w:val="0"/>
                          <w:iCs w:val="0"/>
                        </w:rPr>
                        <w:fldChar w:fldCharType="separate" w:fldLock="0"/>
                      </w:r>
                      <w:r>
                        <w:rPr>
                          <w:rStyle w:val="Hyperlink.2"/>
                          <w:rFonts w:ascii="Trebuchet MS" w:hAnsi="Trebuchet MS"/>
                          <w:i w:val="0"/>
                          <w:iCs w:val="0"/>
                          <w:rtl w:val="0"/>
                          <w:lang w:val="en-US"/>
                        </w:rPr>
                        <w:t>5HR02 Talent management and workforce planning | CIPD</w:t>
                      </w:r>
                      <w:r>
                        <w:rPr>
                          <w:rFonts w:ascii="Trebuchet MS" w:cs="Trebuchet MS" w:hAnsi="Trebuchet MS" w:eastAsia="Trebuchet MS"/>
                          <w:i w:val="1"/>
                          <w:iCs w:val="1"/>
                        </w:rPr>
                        <w:fldChar w:fldCharType="end" w:fldLock="0"/>
                      </w:r>
                    </w:p>
                    <w:p>
                      <w:pPr>
                        <w:pStyle w:val="List Paragraph"/>
                        <w:numPr>
                          <w:ilvl w:val="0"/>
                          <w:numId w:val="3"/>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read the </w:t>
                      </w:r>
                      <w:r>
                        <w:rPr>
                          <w:rStyle w:val="Hyperlink.0"/>
                          <w:rFonts w:ascii="Trebuchet MS" w:cs="Trebuchet MS" w:hAnsi="Trebuchet MS" w:eastAsia="Trebuchet MS"/>
                          <w:b w:val="1"/>
                          <w:bCs w:val="1"/>
                          <w:outline w:val="0"/>
                          <w:color w:val="004147"/>
                          <w:u w:color="004147"/>
                          <w14:textFill>
                            <w14:solidFill>
                              <w14:srgbClr w14:val="004147"/>
                            </w14:solidFill>
                          </w14:textFill>
                        </w:rPr>
                        <w:fldChar w:fldCharType="begin" w:fldLock="0"/>
                      </w:r>
                      <w:r>
                        <w:rPr>
                          <w:rStyle w:val="Hyperlink.0"/>
                          <w:rFonts w:ascii="Trebuchet MS" w:cs="Trebuchet MS" w:hAnsi="Trebuchet MS" w:eastAsia="Trebuchet MS"/>
                          <w:b w:val="1"/>
                          <w:bCs w:val="1"/>
                          <w:outline w:val="0"/>
                          <w:color w:val="004147"/>
                          <w:u w:color="004147"/>
                          <w14:textFill>
                            <w14:solidFill>
                              <w14:srgbClr w14:val="004147"/>
                            </w14:solidFill>
                          </w14:textFill>
                        </w:rPr>
                        <w:instrText xml:space="preserve"> HYPERLINK "https://www.cipd.org/en/learning/student-member-area/study-resources/resources-level-5-associate-diplomas-pm/"</w:instrText>
                      </w:r>
                      <w:r>
                        <w:rPr>
                          <w:rStyle w:val="Hyperlink.0"/>
                          <w:rFonts w:ascii="Trebuchet MS" w:cs="Trebuchet MS" w:hAnsi="Trebuchet MS" w:eastAsia="Trebuchet MS"/>
                          <w:b w:val="1"/>
                          <w:bCs w:val="1"/>
                          <w:outline w:val="0"/>
                          <w:color w:val="004147"/>
                          <w:u w:color="004147"/>
                          <w14:textFill>
                            <w14:solidFill>
                              <w14:srgbClr w14:val="004147"/>
                            </w14:solidFill>
                          </w14:textFill>
                        </w:rPr>
                        <w:fldChar w:fldCharType="separate" w:fldLock="0"/>
                      </w:r>
                      <w:r>
                        <w:rPr>
                          <w:rStyle w:val="Hyperlink.0"/>
                          <w:rFonts w:ascii="Trebuchet MS" w:hAnsi="Trebuchet MS"/>
                          <w:b w:val="1"/>
                          <w:bCs w:val="1"/>
                          <w:outline w:val="0"/>
                          <w:color w:val="004147"/>
                          <w:u w:color="004147"/>
                          <w:rtl w:val="0"/>
                          <w:lang w:val="en-US"/>
                          <w14:textFill>
                            <w14:solidFill>
                              <w14:srgbClr w14:val="004147"/>
                            </w14:solidFill>
                          </w14:textFill>
                        </w:rPr>
                        <w:t>CIPD</w:t>
                      </w:r>
                      <w:r>
                        <w:rPr>
                          <w:rStyle w:val="Hyperlink.0"/>
                          <w:rFonts w:ascii="Trebuchet MS" w:hAnsi="Trebuchet MS" w:hint="default"/>
                          <w:b w:val="1"/>
                          <w:bCs w:val="1"/>
                          <w:outline w:val="0"/>
                          <w:color w:val="004147"/>
                          <w:u w:color="004147"/>
                          <w:rtl w:val="0"/>
                          <w:lang w:val="en-US"/>
                          <w14:textFill>
                            <w14:solidFill>
                              <w14:srgbClr w14:val="004147"/>
                            </w14:solidFill>
                          </w14:textFill>
                        </w:rPr>
                        <w:t>’</w:t>
                      </w:r>
                      <w:r>
                        <w:rPr>
                          <w:rStyle w:val="Hyperlink.0"/>
                          <w:rFonts w:ascii="Trebuchet MS" w:hAnsi="Trebuchet MS"/>
                          <w:b w:val="1"/>
                          <w:bCs w:val="1"/>
                          <w:outline w:val="0"/>
                          <w:color w:val="004147"/>
                          <w:u w:color="004147"/>
                          <w:rtl w:val="0"/>
                          <w:lang w:val="en-US"/>
                          <w14:textFill>
                            <w14:solidFill>
                              <w14:srgbClr w14:val="004147"/>
                            </w14:solidFill>
                          </w14:textFill>
                        </w:rPr>
                        <w:t>s word count policy</w:t>
                      </w:r>
                      <w:r>
                        <w:rPr>
                          <w:rFonts w:ascii="Trebuchet MS" w:cs="Trebuchet MS" w:hAnsi="Trebuchet MS" w:eastAsia="Trebuchet MS"/>
                        </w:rPr>
                        <w:fldChar w:fldCharType="end" w:fldLock="0"/>
                      </w:r>
                      <w:r>
                        <w:rPr>
                          <w:rFonts w:ascii="Trebuchet MS" w:hAnsi="Trebuchet MS"/>
                          <w:outline w:val="0"/>
                          <w:color w:val="000000"/>
                          <w:u w:color="000000"/>
                          <w:rtl w:val="0"/>
                          <w:lang w:val="en-US"/>
                          <w14:textFill>
                            <w14:solidFill>
                              <w14:srgbClr w14:val="000000"/>
                            </w14:solidFill>
                          </w14:textFill>
                        </w:rPr>
                        <w:t xml:space="preserve"> which your Study Centre will provide for you. Remember that your work will be referred if you exceed the word count limit (+10%).</w:t>
                      </w:r>
                    </w:p>
                  </w:txbxContent>
                </v:textbox>
              </v:rect>
            </w:pict>
          </mc:Fallback>
        </mc:AlternateContent>
      </w: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pPr>
      <w:r>
        <w:rPr>
          <w:rFonts w:ascii="Arial Unicode MS" w:cs="Arial Unicode MS" w:hAnsi="Arial Unicode MS" w:eastAsia="Arial Unicode MS"/>
          <w:b w:val="0"/>
          <w:bCs w:val="0"/>
          <w:i w:val="0"/>
          <w:iCs w:val="0"/>
        </w:rPr>
        <w:br w:type="page"/>
      </w:r>
    </w:p>
    <w:p>
      <w:pPr>
        <w:pStyle w:val="Heading"/>
        <w:rPr>
          <w:rFonts w:ascii="Trebuchet MS" w:cs="Trebuchet MS" w:hAnsi="Trebuchet MS" w:eastAsia="Trebuchet MS"/>
        </w:rPr>
      </w:pPr>
      <w:bookmarkStart w:name="_Hlk102485723" w:id="0"/>
      <w:r>
        <w:rPr>
          <w:rFonts w:ascii="Trebuchet MS" w:hAnsi="Trebuchet MS"/>
          <w:rtl w:val="0"/>
          <w:lang w:val="de-DE"/>
        </w:rPr>
        <w:t>Task</w:t>
      </w:r>
    </w:p>
    <w:p>
      <w:pPr>
        <w:pStyle w:val="Body"/>
        <w:spacing w:line="264" w:lineRule="auto"/>
        <w:rPr>
          <w:rFonts w:ascii="Trebuchet MS" w:cs="Trebuchet MS" w:hAnsi="Trebuchet MS" w:eastAsia="Trebuchet MS"/>
        </w:rPr>
      </w:pPr>
      <w:r>
        <w:rPr>
          <w:rFonts w:ascii="Trebuchet MS" w:hAnsi="Trebuchet MS"/>
          <w:rtl w:val="0"/>
          <w:lang w:val="en-US"/>
        </w:rPr>
        <w:t xml:space="preserve">This task requires you to answer </w:t>
      </w:r>
      <w:r>
        <w:rPr>
          <w:rFonts w:ascii="Trebuchet MS" w:hAnsi="Trebuchet MS"/>
          <w:b w:val="1"/>
          <w:bCs w:val="1"/>
          <w:rtl w:val="0"/>
        </w:rPr>
        <w:t>10</w:t>
      </w:r>
      <w:r>
        <w:rPr>
          <w:rFonts w:ascii="Trebuchet MS" w:hAnsi="Trebuchet MS"/>
          <w:rtl w:val="0"/>
          <w:lang w:val="en-US"/>
        </w:rPr>
        <w:t xml:space="preserve"> questions, each relating to the case study. Your answers should respond accurately to the questions and should be informed by wider reading from key academic texts, articles and relevant publications. References should be included within each of your answers and full details presented in a bibliography at the end of your assessment.</w:t>
      </w:r>
    </w:p>
    <w:p>
      <w:pPr>
        <w:pStyle w:val="Body"/>
        <w:spacing w:line="264" w:lineRule="auto"/>
        <w:rPr>
          <w:rFonts w:ascii="Trebuchet MS" w:cs="Trebuchet MS" w:hAnsi="Trebuchet MS" w:eastAsia="Trebuchet MS"/>
        </w:rPr>
      </w:pPr>
    </w:p>
    <w:p>
      <w:pPr>
        <w:pStyle w:val="Body"/>
        <w:spacing w:after="160" w:line="264" w:lineRule="auto"/>
        <w:rPr>
          <w:rFonts w:ascii="Trebuchet MS" w:cs="Trebuchet MS" w:hAnsi="Trebuchet MS" w:eastAsia="Trebuchet MS"/>
        </w:rPr>
      </w:pPr>
      <w:r>
        <w:rPr>
          <w:rFonts w:ascii="Trebuchet MS" w:hAnsi="Trebuchet MS"/>
          <w:rtl w:val="0"/>
          <w:lang w:val="en-US"/>
        </w:rPr>
        <w:t xml:space="preserve">Please ensure that your work is presented clearly, typically using the question, sub-headings or AC references to link your responses to the questions, and that your work complies with the word count requirements stated at the end of the assessment brief.  </w:t>
      </w:r>
    </w:p>
    <w:p>
      <w:pPr>
        <w:pStyle w:val="Body"/>
        <w:spacing w:after="160" w:line="264" w:lineRule="auto"/>
        <w:rPr>
          <w:rFonts w:ascii="Trebuchet MS" w:cs="Trebuchet MS" w:hAnsi="Trebuchet MS" w:eastAsia="Trebuchet MS"/>
        </w:rPr>
      </w:pPr>
    </w:p>
    <w:p>
      <w:pPr>
        <w:pStyle w:val="Heading"/>
        <w:rPr>
          <w:rFonts w:ascii="Trebuchet MS" w:cs="Trebuchet MS" w:hAnsi="Trebuchet MS" w:eastAsia="Trebuchet MS"/>
        </w:rPr>
      </w:pPr>
      <w:r>
        <w:rPr>
          <w:rFonts w:ascii="Trebuchet MS" w:hAnsi="Trebuchet MS"/>
          <w:rtl w:val="0"/>
          <w:lang w:val="en-US"/>
        </w:rPr>
        <w:t>Case study</w:t>
      </w:r>
      <w:bookmarkEnd w:id="0"/>
    </w:p>
    <w:p>
      <w:pPr>
        <w:pStyle w:val="Body"/>
        <w:rPr>
          <w:rFonts w:ascii="Trebuchet MS" w:cs="Trebuchet MS" w:hAnsi="Trebuchet MS" w:eastAsia="Trebuchet MS"/>
        </w:rPr>
      </w:pPr>
      <w:r>
        <w:rPr>
          <w:rFonts w:ascii="Trebuchet MS" w:hAnsi="Trebuchet MS"/>
          <w:rtl w:val="0"/>
          <w:lang w:val="en-US"/>
        </w:rPr>
        <w:t>Founded in the 1950s, Clyssan develops and manufactures a wide range of well-known consumer products. The product range includes beauty, cleaning and food products. Clyssan operates from more than 250 factories and 10 corporate hubs around the world. The global headquarters are in the UK, with regional headquarters in European countries and the US.</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To maintain its market position and stay ahead of product market competitors, Clyssan invests heavily in research and development (R&amp;D), including specialist R&amp;D facilities. Around a quarter of Clyssan</w:t>
      </w:r>
      <w:r>
        <w:rPr>
          <w:rFonts w:ascii="Trebuchet MS" w:hAnsi="Trebuchet MS" w:hint="default"/>
          <w:rtl w:val="0"/>
          <w:lang w:val="en-US"/>
        </w:rPr>
        <w:t>’</w:t>
      </w:r>
      <w:r>
        <w:rPr>
          <w:rFonts w:ascii="Trebuchet MS" w:hAnsi="Trebuchet MS"/>
          <w:rtl w:val="0"/>
          <w:lang w:val="en-US"/>
        </w:rPr>
        <w:t>s UK workforce are employed in R&amp;D. To encourage teamworking, achievements of the R&amp;D team are credited to the department rather than individuals. There is an expectation that the R&amp;D team deliver fast results, particularly in developing new, sustainable packaging solutions.</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 xml:space="preserve">Clyssan offers a one-year industrial placement to almost </w:t>
      </w:r>
      <w:bookmarkStart w:name="_Int_nj0AAGqU" w:id="1"/>
      <w:r>
        <w:rPr>
          <w:rFonts w:ascii="Trebuchet MS" w:hAnsi="Trebuchet MS"/>
          <w:rtl w:val="0"/>
          <w:lang w:val="en-US"/>
        </w:rPr>
        <w:t>100 degree</w:t>
      </w:r>
      <w:bookmarkEnd w:id="1"/>
      <w:r>
        <w:rPr>
          <w:rFonts w:ascii="Trebuchet MS" w:hAnsi="Trebuchet MS"/>
          <w:rtl w:val="0"/>
          <w:lang w:val="en-US"/>
        </w:rPr>
        <w:t xml:space="preserve"> students each year. Students apply for a specific discipline, such as people management, finance, marketing, sustainability, supply chain, research and development, and technology. Currently, vacancies are advertised in the </w:t>
      </w:r>
      <w:r>
        <w:rPr>
          <w:rFonts w:ascii="Trebuchet MS" w:hAnsi="Trebuchet MS" w:hint="default"/>
          <w:rtl w:val="0"/>
          <w:lang w:val="en-US"/>
        </w:rPr>
        <w:t>‘</w:t>
      </w:r>
      <w:r>
        <w:rPr>
          <w:rFonts w:ascii="Trebuchet MS" w:hAnsi="Trebuchet MS"/>
          <w:rtl w:val="0"/>
          <w:lang w:val="en-US"/>
        </w:rPr>
        <w:t>Early Careers</w:t>
      </w:r>
      <w:r>
        <w:rPr>
          <w:rFonts w:ascii="Trebuchet MS" w:hAnsi="Trebuchet MS" w:hint="default"/>
          <w:rtl w:val="0"/>
          <w:lang w:val="en-US"/>
        </w:rPr>
        <w:t xml:space="preserve">’ </w:t>
      </w:r>
      <w:r>
        <w:rPr>
          <w:rFonts w:ascii="Trebuchet MS" w:hAnsi="Trebuchet MS"/>
          <w:rtl w:val="0"/>
          <w:lang w:val="en-US"/>
        </w:rPr>
        <w:t>section of Clyssan</w:t>
      </w:r>
      <w:r>
        <w:rPr>
          <w:rFonts w:ascii="Trebuchet MS" w:hAnsi="Trebuchet MS" w:hint="default"/>
          <w:rtl w:val="0"/>
          <w:lang w:val="en-US"/>
        </w:rPr>
        <w:t>’</w:t>
      </w:r>
      <w:r>
        <w:rPr>
          <w:rFonts w:ascii="Trebuchet MS" w:hAnsi="Trebuchet MS"/>
          <w:rtl w:val="0"/>
          <w:lang w:val="en-US"/>
        </w:rPr>
        <w:t>s website and placement vacancy details are passed to placement officers at a variety of universities. Initial screening is completed by AI, and applicants who progress to the next stage complete online tests (numerical and verbal reasoning, and situational judgement). Applicants who progress to the final stage attend a discovery centre (an immersive day where group tasks and individual activities are completed).</w:t>
      </w:r>
    </w:p>
    <w:p>
      <w:pPr>
        <w:pStyle w:val="Body"/>
        <w:rPr>
          <w:rFonts w:ascii="Trebuchet MS" w:cs="Trebuchet MS" w:hAnsi="Trebuchet MS" w:eastAsia="Trebuchet MS"/>
        </w:rPr>
      </w:pPr>
    </w:p>
    <w:p>
      <w:pPr>
        <w:pStyle w:val="Nornal"/>
        <w:rPr>
          <w:rFonts w:ascii="Trebuchet MS" w:cs="Trebuchet MS" w:hAnsi="Trebuchet MS" w:eastAsia="Trebuchet MS"/>
        </w:rPr>
      </w:pPr>
      <w:r>
        <w:rPr>
          <w:rFonts w:ascii="Trebuchet MS" w:hAnsi="Trebuchet MS"/>
          <w:rtl w:val="0"/>
          <w:lang w:val="en-US"/>
        </w:rPr>
        <w:t>Clyssan has recently invested in a new generation of robotics in their factories. For example, robots now pack all pallets of finished goods. Despite this investment, there remains a role for production operatives, who are employed on a range of contracts, including permanent full-time contracts, permanent part-time contracts, zero-hour contracts in addition to agency workers.</w:t>
      </w: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Heading"/>
        <w:spacing w:before="0" w:after="0"/>
        <w:rPr>
          <w:rFonts w:ascii="Trebuchet MS" w:cs="Trebuchet MS" w:hAnsi="Trebuchet MS" w:eastAsia="Trebuchet MS"/>
        </w:rPr>
      </w:pPr>
      <w:r>
        <w:rPr>
          <w:rFonts w:ascii="Trebuchet MS" w:hAnsi="Trebuchet MS"/>
          <w:rtl w:val="0"/>
          <w:lang w:val="it-IT"/>
        </w:rPr>
        <w:t>Questions</w:t>
      </w:r>
    </w:p>
    <w:p>
      <w:pPr>
        <w:pStyle w:val="Nornal"/>
        <w:spacing w:after="0" w:line="240" w:lineRule="auto"/>
        <w:rPr>
          <w:rFonts w:ascii="Trebuchet MS" w:cs="Trebuchet MS" w:hAnsi="Trebuchet MS" w:eastAsia="Trebuchet MS"/>
          <w:outline w:val="0"/>
          <w:color w:val="004147"/>
          <w:u w:color="004147"/>
          <w14:textFill>
            <w14:solidFill>
              <w14:srgbClr w14:val="004147"/>
            </w14:solidFill>
          </w14:textFill>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 xml:space="preserve">Global organisations have experienced a surge in </w:t>
      </w:r>
      <w:bookmarkStart w:name="_Int_yTVdvElP" w:id="2"/>
      <w:r>
        <w:rPr>
          <w:rFonts w:ascii="Trebuchet MS" w:hAnsi="Trebuchet MS"/>
          <w:rtl w:val="0"/>
          <w:lang w:val="sv-SE"/>
        </w:rPr>
        <w:t>cyber attacks</w:t>
      </w:r>
      <w:bookmarkEnd w:id="2"/>
      <w:r>
        <w:rPr>
          <w:rFonts w:ascii="Trebuchet MS" w:hAnsi="Trebuchet MS"/>
          <w:rtl w:val="0"/>
          <w:lang w:val="en-US"/>
        </w:rPr>
        <w:t xml:space="preserve"> and it is now more important than ever that Clyssan attract and retain cyber security experts. Explain how Clyssan can strategically position themselves in this competitive labour market. (AC 1.1)</w:t>
      </w:r>
    </w:p>
    <w:p>
      <w:pPr>
        <w:pStyle w:val="Body"/>
        <w:spacing w:line="264" w:lineRule="auto"/>
        <w:ind w:left="720" w:firstLine="0"/>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Explain the impact of changing labour market conditions on resourcing decisions at Clyssan. (AC 1.2)</w:t>
      </w:r>
    </w:p>
    <w:p>
      <w:pPr>
        <w:pStyle w:val="Body"/>
        <w:spacing w:line="264" w:lineRule="auto"/>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The people function at Clyssan is divided into specialist teams. The Talent Team is responsible for workforce planning, and the value of workforce planning is being questioned. Analyse the impact of effective workforce planning, making clear how Clyssan could benefit from this activity. (AC 2.1)</w:t>
      </w:r>
    </w:p>
    <w:p>
      <w:pPr>
        <w:pStyle w:val="Body"/>
        <w:spacing w:line="264" w:lineRule="auto"/>
        <w:rPr>
          <w:rFonts w:ascii="Trebuchet MS" w:cs="Trebuchet MS" w:hAnsi="Trebuchet MS" w:eastAsia="Trebuchet MS"/>
        </w:rPr>
      </w:pPr>
    </w:p>
    <w:p>
      <w:pPr>
        <w:pStyle w:val="Body"/>
        <w:numPr>
          <w:ilvl w:val="0"/>
          <w:numId w:val="6"/>
        </w:numPr>
        <w:bidi w:val="0"/>
        <w:spacing w:line="264" w:lineRule="auto"/>
        <w:ind w:right="0"/>
        <w:jc w:val="left"/>
        <w:rPr>
          <w:rFonts w:ascii="Trebuchet MS" w:hAnsi="Trebuchet MS"/>
          <w:rtl w:val="0"/>
          <w:lang w:val="en-US"/>
        </w:rPr>
      </w:pPr>
      <w:r>
        <w:rPr>
          <w:rFonts w:ascii="Trebuchet MS" w:hAnsi="Trebuchet MS"/>
          <w:rtl w:val="0"/>
          <w:lang w:val="en-US"/>
        </w:rPr>
        <w:t>Evaluate techniques that Clyssan could use in their workforce planning process. (AC 2.2)</w:t>
      </w:r>
    </w:p>
    <w:p>
      <w:pPr>
        <w:pStyle w:val="Body"/>
        <w:spacing w:line="264" w:lineRule="auto"/>
        <w:ind w:left="720" w:firstLine="0"/>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You are responsible for recruitment and selection of students for the industrial placement roles. A high number of applications are received for these roles, and you want to ensure that the current recruitment and selection methods are suitable. As part of this activity, evaluate the strengths and weaknesses of:</w:t>
      </w:r>
    </w:p>
    <w:p>
      <w:pPr>
        <w:pStyle w:val="Body"/>
        <w:numPr>
          <w:ilvl w:val="1"/>
          <w:numId w:val="5"/>
        </w:numPr>
        <w:bidi w:val="0"/>
        <w:spacing w:line="264" w:lineRule="auto"/>
        <w:ind w:right="0"/>
        <w:jc w:val="left"/>
        <w:rPr>
          <w:rFonts w:ascii="Trebuchet MS" w:hAnsi="Trebuchet MS"/>
          <w:rtl w:val="0"/>
          <w:lang w:val="en-US"/>
        </w:rPr>
      </w:pPr>
      <w:r>
        <w:rPr>
          <w:rFonts w:ascii="Trebuchet MS" w:hAnsi="Trebuchet MS"/>
          <w:rtl w:val="0"/>
          <w:lang w:val="en-US"/>
        </w:rPr>
        <w:t>advertising placement year roles on Clyssan</w:t>
      </w:r>
      <w:r>
        <w:rPr>
          <w:rFonts w:ascii="Trebuchet MS" w:hAnsi="Trebuchet MS" w:hint="default"/>
          <w:rtl w:val="0"/>
          <w:lang w:val="en-US"/>
        </w:rPr>
        <w:t>’</w:t>
      </w:r>
      <w:r>
        <w:rPr>
          <w:rFonts w:ascii="Trebuchet MS" w:hAnsi="Trebuchet MS"/>
          <w:rtl w:val="0"/>
          <w:lang w:val="en-US"/>
        </w:rPr>
        <w:t>s own website</w:t>
      </w:r>
    </w:p>
    <w:p>
      <w:pPr>
        <w:pStyle w:val="Body"/>
        <w:numPr>
          <w:ilvl w:val="1"/>
          <w:numId w:val="5"/>
        </w:numPr>
        <w:bidi w:val="0"/>
        <w:spacing w:line="264" w:lineRule="auto"/>
        <w:ind w:right="0"/>
        <w:jc w:val="left"/>
        <w:rPr>
          <w:rFonts w:ascii="Trebuchet MS" w:hAnsi="Trebuchet MS"/>
          <w:rtl w:val="0"/>
          <w:lang w:val="en-US"/>
        </w:rPr>
      </w:pPr>
      <w:r>
        <w:rPr>
          <w:rFonts w:ascii="Trebuchet MS" w:hAnsi="Trebuchet MS"/>
          <w:rtl w:val="0"/>
          <w:lang w:val="en-US"/>
        </w:rPr>
        <w:t>liaising with university placement officers</w:t>
      </w:r>
    </w:p>
    <w:p>
      <w:pPr>
        <w:pStyle w:val="Body"/>
        <w:numPr>
          <w:ilvl w:val="1"/>
          <w:numId w:val="5"/>
        </w:numPr>
        <w:bidi w:val="0"/>
        <w:spacing w:line="264" w:lineRule="auto"/>
        <w:ind w:right="0"/>
        <w:jc w:val="left"/>
        <w:rPr>
          <w:rFonts w:ascii="Trebuchet MS" w:hAnsi="Trebuchet MS"/>
          <w:rtl w:val="0"/>
          <w:lang w:val="en-US"/>
        </w:rPr>
      </w:pPr>
      <w:r>
        <w:rPr>
          <w:rFonts w:ascii="Trebuchet MS" w:hAnsi="Trebuchet MS"/>
          <w:rtl w:val="0"/>
          <w:lang w:val="en-US"/>
        </w:rPr>
        <w:t>using online tests</w:t>
      </w:r>
    </w:p>
    <w:p>
      <w:pPr>
        <w:pStyle w:val="Body"/>
        <w:numPr>
          <w:ilvl w:val="1"/>
          <w:numId w:val="5"/>
        </w:numPr>
        <w:bidi w:val="0"/>
        <w:spacing w:line="264" w:lineRule="auto"/>
        <w:ind w:right="0"/>
        <w:jc w:val="left"/>
        <w:rPr>
          <w:rFonts w:ascii="Trebuchet MS" w:hAnsi="Trebuchet MS"/>
          <w:rtl w:val="0"/>
          <w:lang w:val="en-US"/>
        </w:rPr>
      </w:pPr>
      <w:r>
        <w:rPr>
          <w:rFonts w:ascii="Trebuchet MS" w:hAnsi="Trebuchet MS"/>
          <w:rtl w:val="0"/>
          <w:lang w:val="en-US"/>
        </w:rPr>
        <w:t>using discovery centres to select applicants for placement year roles. (AC 2.3)</w:t>
      </w:r>
    </w:p>
    <w:p>
      <w:pPr>
        <w:pStyle w:val="Body"/>
        <w:spacing w:line="264" w:lineRule="auto"/>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The employee turnover rate of R&amp;D employees is higher than in previous years. Discuss what factors could influence R&amp;D employees when deciding whether to leave or remain at Clyssan. (AC 3.1)</w:t>
      </w:r>
    </w:p>
    <w:p>
      <w:pPr>
        <w:pStyle w:val="Body"/>
        <w:spacing w:line="264" w:lineRule="auto"/>
        <w:ind w:left="720" w:firstLine="0"/>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 xml:space="preserve">Retention of R&amp;D staff at Clyssan is an issue, as there are many labour market competitors, and their skills and expertise are highly sought after. Compare </w:t>
      </w:r>
      <w:r>
        <w:rPr>
          <w:rFonts w:ascii="Trebuchet MS" w:hAnsi="Trebuchet MS"/>
          <w:b w:val="1"/>
          <w:bCs w:val="1"/>
          <w:rtl w:val="0"/>
        </w:rPr>
        <w:t>two</w:t>
      </w:r>
      <w:r>
        <w:rPr>
          <w:rFonts w:ascii="Trebuchet MS" w:hAnsi="Trebuchet MS"/>
          <w:rtl w:val="0"/>
          <w:lang w:val="en-US"/>
        </w:rPr>
        <w:t xml:space="preserve"> approaches that Clyssan could use to retain R&amp;D staff. When comparing, it is important to identify similarities and differences between the two approaches. (AC 3.2)</w:t>
      </w:r>
    </w:p>
    <w:p>
      <w:pPr>
        <w:pStyle w:val="Body"/>
        <w:spacing w:line="264" w:lineRule="auto"/>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Explain the impact of dysfunctional employee turnover of R&amp;D staff at Clyssan. (AC 3.3)</w:t>
      </w:r>
    </w:p>
    <w:p>
      <w:pPr>
        <w:pStyle w:val="Body"/>
        <w:spacing w:line="264" w:lineRule="auto"/>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Assess the suitability and use of permanent full-time contracts, permanent part-time contracts, zero-hour contracts and agency workers for the production operative roles at Clyssan. (AC 4.1)</w:t>
      </w:r>
    </w:p>
    <w:p>
      <w:pPr>
        <w:pStyle w:val="List Paragraph"/>
        <w:rPr>
          <w:rFonts w:ascii="Trebuchet MS" w:cs="Trebuchet MS" w:hAnsi="Trebuchet MS" w:eastAsia="Trebuchet MS"/>
        </w:rPr>
      </w:pPr>
    </w:p>
    <w:p>
      <w:pPr>
        <w:pStyle w:val="Body"/>
        <w:numPr>
          <w:ilvl w:val="0"/>
          <w:numId w:val="5"/>
        </w:numPr>
        <w:bidi w:val="0"/>
        <w:spacing w:line="264" w:lineRule="auto"/>
        <w:ind w:right="0"/>
        <w:jc w:val="left"/>
        <w:rPr>
          <w:rFonts w:ascii="Trebuchet MS" w:hAnsi="Trebuchet MS"/>
          <w:rtl w:val="0"/>
          <w:lang w:val="en-US"/>
        </w:rPr>
      </w:pPr>
      <w:r>
        <w:rPr>
          <w:rFonts w:ascii="Trebuchet MS" w:hAnsi="Trebuchet MS"/>
          <w:rtl w:val="0"/>
          <w:lang w:val="en-US"/>
        </w:rPr>
        <w:t>Explain why it is beneficial for Clyssan to provide effective onboarding for directly employed production operatives. (AC 4.2)</w:t>
      </w:r>
    </w:p>
    <w:p>
      <w:pPr>
        <w:pStyle w:val="Body"/>
        <w:spacing w:line="264" w:lineRule="auto"/>
        <w:rPr>
          <w:rFonts w:ascii="Trebuchet MS" w:cs="Trebuchet MS" w:hAnsi="Trebuchet MS" w:eastAsia="Trebuchet MS"/>
        </w:rPr>
      </w:pPr>
    </w:p>
    <w:p>
      <w:pPr>
        <w:pStyle w:val="Nornal"/>
        <w:spacing w:after="120"/>
        <w:rPr>
          <w:rFonts w:ascii="Trebuchet MS" w:cs="Trebuchet MS" w:hAnsi="Trebuchet MS" w:eastAsia="Trebuchet MS"/>
        </w:rPr>
      </w:pPr>
      <w:r>
        <mc:AlternateContent>
          <mc:Choice Requires="wps">
            <w:drawing xmlns:a="http://schemas.openxmlformats.org/drawingml/2006/main">
              <wp:inline distT="0" distB="0" distL="0" distR="0">
                <wp:extent cx="6084000" cy="1164201"/>
                <wp:effectExtent l="0" t="0" r="0" b="0"/>
                <wp:docPr id="1073741836" name="officeArt object" descr="Rectangle 14"/>
                <wp:cNvGraphicFramePr/>
                <a:graphic xmlns:a="http://schemas.openxmlformats.org/drawingml/2006/main">
                  <a:graphicData uri="http://schemas.microsoft.com/office/word/2010/wordprocessingShape">
                    <wps:wsp>
                      <wps:cNvSpPr/>
                      <wps:spPr>
                        <a:xfrm>
                          <a:off x="0" y="0"/>
                          <a:ext cx="6084000" cy="1164201"/>
                        </a:xfrm>
                        <a:prstGeom prst="rect">
                          <a:avLst/>
                        </a:prstGeom>
                        <a:solidFill>
                          <a:schemeClr val="accent2">
                            <a:alpha val="5098"/>
                          </a:schemeClr>
                        </a:solidFill>
                        <a:ln w="12700" cap="flat">
                          <a:noFill/>
                          <a:miter lim="400000"/>
                        </a:ln>
                        <a:effectLst/>
                      </wps:spPr>
                      <wps:txbx>
                        <w:txbxContent>
                          <w:p>
                            <w:pPr>
                              <w:pStyle w:val="List parag"/>
                              <w:tabs>
                                <w:tab w:val="left" w:pos="6650"/>
                                <w:tab w:val="left" w:pos="7630"/>
                              </w:tabs>
                              <w:spacing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b w:val="1"/>
                                <w:bCs w:val="1"/>
                                <w:outline w:val="0"/>
                                <w:color w:val="004147"/>
                                <w:sz w:val="24"/>
                                <w:szCs w:val="24"/>
                                <w:u w:color="004147"/>
                                <w:rtl w:val="0"/>
                                <w:lang w:val="en-US"/>
                                <w14:textFill>
                                  <w14:solidFill>
                                    <w14:srgbClr w14:val="004147"/>
                                  </w14:solidFill>
                                </w14:textFill>
                              </w:rPr>
                              <w:t>Your evidence must consist of:</w:t>
                              <w:tab/>
                              <w:tab/>
                            </w:r>
                          </w:p>
                          <w:p>
                            <w:pPr>
                              <w:pStyle w:val="List Paragraph"/>
                              <w:numPr>
                                <w:ilvl w:val="0"/>
                                <w:numId w:val="7"/>
                              </w:numPr>
                              <w:bidi w:val="0"/>
                              <w:spacing w:after="120" w:line="240" w:lineRule="auto"/>
                              <w:ind w:right="0"/>
                              <w:jc w:val="left"/>
                              <w:rPr>
                                <w:rFonts w:ascii="Trebuchet MS" w:hAnsi="Trebuchet MS"/>
                                <w:rtl w:val="0"/>
                                <w:lang w:val="en-US"/>
                              </w:rPr>
                            </w:pPr>
                            <w:r>
                              <w:rPr>
                                <w:rFonts w:ascii="Trebuchet MS" w:hAnsi="Trebuchet MS"/>
                                <w:rtl w:val="0"/>
                                <w:lang w:val="en-US"/>
                              </w:rPr>
                              <w:t>Q1 to Q10 should total approximately 3900 words. The acceptable word count range for this assessment is 3510 (-10%) to 4290 words (+10%). Any assessment that exceeds 4290 words will be automatically referred, in line with the CIPD word count policy.</w:t>
                            </w:r>
                          </w:p>
                          <w:p>
                            <w:pPr>
                              <w:pStyle w:val="List Paragraph"/>
                              <w:numPr>
                                <w:ilvl w:val="0"/>
                                <w:numId w:val="7"/>
                              </w:numPr>
                              <w:bidi w:val="0"/>
                              <w:spacing w:after="120" w:line="240" w:lineRule="auto"/>
                              <w:ind w:right="0"/>
                              <w:jc w:val="left"/>
                              <w:rPr>
                                <w:rFonts w:ascii="Trebuchet MS" w:hAnsi="Trebuchet MS"/>
                                <w:rtl w:val="0"/>
                                <w:lang w:val="en-US"/>
                              </w:rPr>
                            </w:pPr>
                            <w:r>
                              <w:rPr>
                                <w:rFonts w:ascii="Trebuchet MS" w:hAnsi="Trebuchet MS"/>
                                <w:rtl w:val="0"/>
                                <w:lang w:val="en-US"/>
                              </w:rPr>
                              <w:t>References should be included within each of your answers and full details presented in a reference list or bibliography at the end of</w:t>
                            </w:r>
                            <w:r>
                              <w:rPr>
                                <w:rFonts w:ascii="Trebuchet MS" w:hAnsi="Trebuchet MS" w:hint="default"/>
                                <w:rtl w:val="0"/>
                                <w:lang w:val="en-US"/>
                              </w:rPr>
                              <w:t> </w:t>
                            </w:r>
                            <w:r>
                              <w:rPr>
                                <w:rFonts w:ascii="Trebuchet MS" w:hAnsi="Trebuchet MS"/>
                                <w:rtl w:val="0"/>
                                <w:lang w:val="en-US"/>
                              </w:rPr>
                              <w:t>your</w:t>
                            </w:r>
                            <w:r>
                              <w:rPr>
                                <w:rFonts w:ascii="Trebuchet MS" w:hAnsi="Trebuchet MS" w:hint="default"/>
                                <w:rtl w:val="0"/>
                                <w:lang w:val="en-US"/>
                              </w:rPr>
                              <w:t> </w:t>
                            </w:r>
                            <w:r>
                              <w:rPr>
                                <w:rFonts w:ascii="Trebuchet MS" w:hAnsi="Trebuchet MS"/>
                                <w:rtl w:val="0"/>
                                <w:lang w:val="en-US"/>
                              </w:rPr>
                              <w:t>assessment.</w:t>
                            </w:r>
                          </w:p>
                        </w:txbxContent>
                      </wps:txbx>
                      <wps:bodyPr wrap="square" lIns="36000" tIns="36000" rIns="36000" bIns="36000" numCol="1" anchor="t">
                        <a:noAutofit/>
                      </wps:bodyPr>
                    </wps:wsp>
                  </a:graphicData>
                </a:graphic>
              </wp:inline>
            </w:drawing>
          </mc:Choice>
          <mc:Fallback>
            <w:pict>
              <v:rect id="_x0000_s1032" style="visibility:visible;width:479.1pt;height:91.7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List parag"/>
                        <w:tabs>
                          <w:tab w:val="left" w:pos="6650"/>
                          <w:tab w:val="left" w:pos="7630"/>
                        </w:tabs>
                        <w:spacing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b w:val="1"/>
                          <w:bCs w:val="1"/>
                          <w:outline w:val="0"/>
                          <w:color w:val="004147"/>
                          <w:sz w:val="24"/>
                          <w:szCs w:val="24"/>
                          <w:u w:color="004147"/>
                          <w:rtl w:val="0"/>
                          <w:lang w:val="en-US"/>
                          <w14:textFill>
                            <w14:solidFill>
                              <w14:srgbClr w14:val="004147"/>
                            </w14:solidFill>
                          </w14:textFill>
                        </w:rPr>
                        <w:t>Your evidence must consist of:</w:t>
                        <w:tab/>
                        <w:tab/>
                      </w:r>
                    </w:p>
                    <w:p>
                      <w:pPr>
                        <w:pStyle w:val="List Paragraph"/>
                        <w:numPr>
                          <w:ilvl w:val="0"/>
                          <w:numId w:val="7"/>
                        </w:numPr>
                        <w:bidi w:val="0"/>
                        <w:spacing w:after="120" w:line="240" w:lineRule="auto"/>
                        <w:ind w:right="0"/>
                        <w:jc w:val="left"/>
                        <w:rPr>
                          <w:rFonts w:ascii="Trebuchet MS" w:hAnsi="Trebuchet MS"/>
                          <w:rtl w:val="0"/>
                          <w:lang w:val="en-US"/>
                        </w:rPr>
                      </w:pPr>
                      <w:r>
                        <w:rPr>
                          <w:rFonts w:ascii="Trebuchet MS" w:hAnsi="Trebuchet MS"/>
                          <w:rtl w:val="0"/>
                          <w:lang w:val="en-US"/>
                        </w:rPr>
                        <w:t>Q1 to Q10 should total approximately 3900 words. The acceptable word count range for this assessment is 3510 (-10%) to 4290 words (+10%). Any assessment that exceeds 4290 words will be automatically referred, in line with the CIPD word count policy.</w:t>
                      </w:r>
                    </w:p>
                    <w:p>
                      <w:pPr>
                        <w:pStyle w:val="List Paragraph"/>
                        <w:numPr>
                          <w:ilvl w:val="0"/>
                          <w:numId w:val="7"/>
                        </w:numPr>
                        <w:bidi w:val="0"/>
                        <w:spacing w:after="120" w:line="240" w:lineRule="auto"/>
                        <w:ind w:right="0"/>
                        <w:jc w:val="left"/>
                        <w:rPr>
                          <w:rFonts w:ascii="Trebuchet MS" w:hAnsi="Trebuchet MS"/>
                          <w:rtl w:val="0"/>
                          <w:lang w:val="en-US"/>
                        </w:rPr>
                      </w:pPr>
                      <w:r>
                        <w:rPr>
                          <w:rFonts w:ascii="Trebuchet MS" w:hAnsi="Trebuchet MS"/>
                          <w:rtl w:val="0"/>
                          <w:lang w:val="en-US"/>
                        </w:rPr>
                        <w:t>References should be included within each of your answers and full details presented in a reference list or bibliography at the end of</w:t>
                      </w:r>
                      <w:r>
                        <w:rPr>
                          <w:rFonts w:ascii="Trebuchet MS" w:hAnsi="Trebuchet MS" w:hint="default"/>
                          <w:rtl w:val="0"/>
                          <w:lang w:val="en-US"/>
                        </w:rPr>
                        <w:t> </w:t>
                      </w:r>
                      <w:r>
                        <w:rPr>
                          <w:rFonts w:ascii="Trebuchet MS" w:hAnsi="Trebuchet MS"/>
                          <w:rtl w:val="0"/>
                          <w:lang w:val="en-US"/>
                        </w:rPr>
                        <w:t>your</w:t>
                      </w:r>
                      <w:r>
                        <w:rPr>
                          <w:rFonts w:ascii="Trebuchet MS" w:hAnsi="Trebuchet MS" w:hint="default"/>
                          <w:rtl w:val="0"/>
                          <w:lang w:val="en-US"/>
                        </w:rPr>
                        <w:t> </w:t>
                      </w:r>
                      <w:r>
                        <w:rPr>
                          <w:rFonts w:ascii="Trebuchet MS" w:hAnsi="Trebuchet MS"/>
                          <w:rtl w:val="0"/>
                          <w:lang w:val="en-US"/>
                        </w:rPr>
                        <w:t>assessment.</w:t>
                      </w:r>
                    </w:p>
                  </w:txbxContent>
                </v:textbox>
              </v:rect>
            </w:pict>
          </mc:Fallback>
        </mc:AlternateContent>
      </w:r>
    </w:p>
    <w:p>
      <w:pPr>
        <w:pStyle w:val="Body"/>
        <w:spacing w:line="240" w:lineRule="auto"/>
      </w:pPr>
      <w:r>
        <w:rPr>
          <w:rFonts w:ascii="Arial Unicode MS" w:cs="Arial Unicode MS" w:hAnsi="Arial Unicode MS" w:eastAsia="Arial Unicode MS"/>
          <w:b w:val="0"/>
          <w:bCs w:val="0"/>
          <w:i w:val="0"/>
          <w:iCs w:val="0"/>
          <w:outline w:val="0"/>
          <w:color w:val="004146"/>
          <w:sz w:val="32"/>
          <w:szCs w:val="32"/>
          <w:u w:color="004146"/>
          <w14:textFill>
            <w14:solidFill>
              <w14:srgbClr w14:val="004146"/>
            </w14:solidFill>
          </w14:textFill>
        </w:rPr>
        <w:br w:type="page"/>
      </w:r>
    </w:p>
    <w:p>
      <w:pPr>
        <w:pStyle w:val="Heading 3"/>
        <w:rPr>
          <w:rFonts w:ascii="Trebuchet MS" w:cs="Trebuchet MS" w:hAnsi="Trebuchet MS" w:eastAsia="Trebuchet MS"/>
          <w:outline w:val="0"/>
          <w:color w:val="004146"/>
          <w:sz w:val="32"/>
          <w:szCs w:val="32"/>
          <w:u w:color="004146"/>
          <w14:textFill>
            <w14:solidFill>
              <w14:srgbClr w14:val="004146"/>
            </w14:solidFill>
          </w14:textFill>
        </w:rPr>
      </w:pPr>
      <w:r>
        <w:rPr>
          <w:rFonts w:ascii="Trebuchet MS" w:hAnsi="Trebuchet MS"/>
          <w:outline w:val="0"/>
          <w:color w:val="004146"/>
          <w:sz w:val="32"/>
          <w:szCs w:val="32"/>
          <w:u w:color="004146"/>
          <w:rtl w:val="0"/>
          <w:lang w:val="de-DE"/>
          <w14:textFill>
            <w14:solidFill>
              <w14:srgbClr w14:val="004146"/>
            </w14:solidFill>
          </w14:textFill>
        </w:rPr>
        <w:t>Answer</w:t>
      </w:r>
      <w:r>
        <w:rPr>
          <w:rFonts w:ascii="Trebuchet MS" w:hAnsi="Trebuchet MS" w:hint="default"/>
          <w:outline w:val="0"/>
          <w:color w:val="004146"/>
          <w:sz w:val="32"/>
          <w:szCs w:val="32"/>
          <w:u w:color="004146"/>
          <w:rtl w:val="0"/>
          <w14:textFill>
            <w14:solidFill>
              <w14:srgbClr w14:val="004146"/>
            </w14:solidFill>
          </w14:textFill>
        </w:rPr>
        <w:t> </w:t>
      </w:r>
      <w:r>
        <w:rPr>
          <w:rFonts w:ascii="Trebuchet MS" w:hAnsi="Trebuchet MS"/>
          <w:outline w:val="0"/>
          <w:color w:val="004146"/>
          <w:sz w:val="32"/>
          <w:szCs w:val="32"/>
          <w:u w:color="004146"/>
          <w:rtl w:val="0"/>
          <w:lang w:val="en-US"/>
          <w14:textFill>
            <w14:solidFill>
              <w14:srgbClr w14:val="004146"/>
            </w14:solidFill>
          </w14:textFill>
        </w:rPr>
        <w:t>Checklist</w:t>
      </w:r>
    </w:p>
    <w:p>
      <w:pPr>
        <w:pStyle w:val="Nornal"/>
        <w:rPr>
          <w:rFonts w:ascii="Trebuchet MS" w:cs="Trebuchet MS" w:hAnsi="Trebuchet MS" w:eastAsia="Trebuchet MS"/>
        </w:rPr>
      </w:pPr>
      <w:r>
        <w:rPr>
          <w:rFonts w:ascii="Trebuchet MS" w:hAnsi="Trebuchet MS"/>
          <w:rtl w:val="0"/>
          <w:lang w:val="en-US"/>
        </w:rPr>
        <w:t>You may find the following checklist helpful to make sure that you have answered all the questions. You don</w:t>
      </w:r>
      <w:r>
        <w:rPr>
          <w:rFonts w:ascii="Trebuchet MS" w:hAnsi="Trebuchet MS" w:hint="default"/>
          <w:rtl w:val="0"/>
          <w:lang w:val="en-US"/>
        </w:rPr>
        <w:t>’</w:t>
      </w:r>
      <w:r>
        <w:rPr>
          <w:rFonts w:ascii="Trebuchet MS" w:hAnsi="Trebuchet MS"/>
          <w:rtl w:val="0"/>
          <w:lang w:val="en-US"/>
        </w:rPr>
        <w:t>t have to use it if you don</w:t>
      </w:r>
      <w:r>
        <w:rPr>
          <w:rFonts w:ascii="Trebuchet MS" w:hAnsi="Trebuchet MS" w:hint="default"/>
          <w:rtl w:val="0"/>
          <w:lang w:val="en-US"/>
        </w:rPr>
        <w:t>’</w:t>
      </w:r>
      <w:r>
        <w:rPr>
          <w:rFonts w:ascii="Trebuchet MS" w:hAnsi="Trebuchet MS"/>
          <w:rtl w:val="0"/>
          <w:lang w:val="en-US"/>
        </w:rPr>
        <w:t>t want to.</w:t>
      </w: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711"/>
        <w:gridCol w:w="7694"/>
        <w:gridCol w:w="1227"/>
      </w:tblGrid>
      <w:tr>
        <w:tblPrEx>
          <w:shd w:val="clear" w:color="auto" w:fill="520d5d"/>
        </w:tblPrEx>
        <w:trPr>
          <w:trHeight w:val="851" w:hRule="atLeast"/>
          <w:tblHeader/>
        </w:trPr>
        <w:tc>
          <w:tcPr>
            <w:tcW w:type="dxa" w:w="8405"/>
            <w:gridSpan w:val="2"/>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top"/>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Questions</w:t>
            </w:r>
          </w:p>
        </w:tc>
        <w:tc>
          <w:tcPr>
            <w:tcW w:type="dxa" w:w="1227"/>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rFonts w:ascii="Trebuchet MS" w:hAnsi="Trebuchet MS"/>
                <w:b w:val="1"/>
                <w:bCs w:val="1"/>
                <w:outline w:val="0"/>
                <w:color w:val="004147"/>
                <w:u w:color="004147"/>
                <w:shd w:val="nil" w:color="auto" w:fill="auto"/>
                <w:rtl w:val="0"/>
                <w:lang w:val="en-US"/>
                <w14:textFill>
                  <w14:solidFill>
                    <w14:srgbClr w14:val="004147"/>
                  </w14:solidFill>
                </w14:textFill>
              </w:rPr>
              <w:t>Answered</w:t>
            </w:r>
            <w:r>
              <w:rPr>
                <w:rFonts w:ascii="Trebuchet MS" w:cs="Trebuchet MS" w:hAnsi="Trebuchet MS" w:eastAsia="Trebuchet MS"/>
                <w:b w:val="1"/>
                <w:bCs w:val="1"/>
                <w:outline w:val="0"/>
                <w:color w:val="004147"/>
                <w:u w:color="004147"/>
                <w:shd w:val="nil" w:color="auto" w:fill="auto"/>
                <w:lang w:val="en-US"/>
                <w14:textFill>
                  <w14:solidFill>
                    <w14:srgbClr w14:val="004147"/>
                  </w14:solidFill>
                </w14:textFill>
              </w:rPr>
              <w:br w:type="textWrapping"/>
            </w:r>
            <w:r>
              <w:rPr>
                <w:rFonts w:ascii="Trebuchet MS" w:hAnsi="Trebuchet MS"/>
                <w:b w:val="1"/>
                <w:bCs w:val="1"/>
                <w:outline w:val="0"/>
                <w:color w:val="004147"/>
                <w:u w:color="004147"/>
                <w:shd w:val="nil" w:color="auto" w:fill="auto"/>
                <w:rtl w:val="0"/>
                <w:lang w:val="en-US"/>
                <w14:textFill>
                  <w14:solidFill>
                    <w14:srgbClr w14:val="004147"/>
                  </w14:solidFill>
                </w14:textFill>
              </w:rPr>
              <w:t>Y/N</w:t>
            </w:r>
          </w:p>
        </w:tc>
      </w:tr>
      <w:tr>
        <w:tblPrEx>
          <w:shd w:val="clear" w:color="auto" w:fill="cfcad0"/>
        </w:tblPrEx>
        <w:trPr>
          <w:trHeight w:val="1042"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Q1.</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Global organisations have experienced a surge in cyber attacks and it is now more important than ever that Clyssan attract and retain cyber security experts. Explain how Clyssan can strategically position themselves in this competitive labour market. (AC 1.1)</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14"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Q2.</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Explain the impact of changing labour market conditions on resourcing decisions at Clyssan. (AC 1.2)</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306"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Q3.</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The people function at Clyssan is divided into specialist teams. The Talent Team is responsible for workforce planning, and the value of workforce planning is being questioned. Analyse the impact of effective workforce planning, making clear how Clyssan could benefit from this activity. (AC 2.1)</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14"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Q4</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Evaluate techniques that Clyssan could use in their workforce planning process. (AC 2.2)</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2626"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Q5.</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spacing w:line="264" w:lineRule="auto"/>
              <w:rPr>
                <w:rFonts w:ascii="Trebuchet MS" w:cs="Trebuchet MS" w:hAnsi="Trebuchet MS" w:eastAsia="Trebuchet MS"/>
                <w:outline w:val="0"/>
                <w:color w:val="004147"/>
                <w:u w:color="004147"/>
                <w:shd w:val="nil" w:color="auto" w:fill="auto"/>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 xml:space="preserve">You are responsible for recruitment and selection of students for the industrial placement roles. A high number of applications are received for these roles, and you want to ensure that the current recruitment and selection methods are suitable. As part of this activity, evaluate the strengths and weaknesses of: </w:t>
            </w:r>
          </w:p>
          <w:p>
            <w:pPr>
              <w:pStyle w:val="List Paragraph"/>
              <w:numPr>
                <w:ilvl w:val="0"/>
                <w:numId w:val="8"/>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advertising placement year roles on Clyssan</w:t>
            </w:r>
            <w:r>
              <w:rPr>
                <w:rFonts w:ascii="Trebuchet MS" w:hAnsi="Trebuchet MS" w:hint="default"/>
                <w:outline w:val="0"/>
                <w:color w:val="004147"/>
                <w:u w:color="004147"/>
                <w:shd w:val="nil" w:color="auto" w:fill="auto"/>
                <w:rtl w:val="0"/>
                <w:lang w:val="en-US"/>
                <w14:textFill>
                  <w14:solidFill>
                    <w14:srgbClr w14:val="004147"/>
                  </w14:solidFill>
                </w14:textFill>
              </w:rPr>
              <w:t>’</w:t>
            </w:r>
            <w:r>
              <w:rPr>
                <w:rFonts w:ascii="Trebuchet MS" w:hAnsi="Trebuchet MS"/>
                <w:outline w:val="0"/>
                <w:color w:val="004147"/>
                <w:u w:color="004147"/>
                <w:shd w:val="nil" w:color="auto" w:fill="auto"/>
                <w:rtl w:val="0"/>
                <w:lang w:val="en-US"/>
                <w14:textFill>
                  <w14:solidFill>
                    <w14:srgbClr w14:val="004147"/>
                  </w14:solidFill>
                </w14:textFill>
              </w:rPr>
              <w:t>s own website</w:t>
            </w:r>
          </w:p>
          <w:p>
            <w:pPr>
              <w:pStyle w:val="List Paragraph"/>
              <w:numPr>
                <w:ilvl w:val="0"/>
                <w:numId w:val="8"/>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liaising with university placement officers</w:t>
            </w:r>
          </w:p>
          <w:p>
            <w:pPr>
              <w:pStyle w:val="List Paragraph"/>
              <w:numPr>
                <w:ilvl w:val="0"/>
                <w:numId w:val="8"/>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using online tests</w:t>
            </w:r>
          </w:p>
          <w:p>
            <w:pPr>
              <w:pStyle w:val="List Paragraph"/>
              <w:numPr>
                <w:ilvl w:val="0"/>
                <w:numId w:val="8"/>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using discovery centres to select applicants for placement year roles. (AC 2.3)</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7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Q6.</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The employee turnover rate of R&amp;D employees is higher than in previous years. Discuss what factors could influence R&amp;D employees when deciding whether to leave or remain at Clyssan. (AC 3.1)</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306"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Q7.</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 xml:space="preserve">Retention of R&amp;D staff at Clyssan is an issue, as there are many labour market competitors, and their skills and expertise are highly sought after. Compare </w:t>
            </w:r>
            <w:r>
              <w:rPr>
                <w:rFonts w:ascii="Trebuchet MS" w:hAnsi="Trebuchet MS"/>
                <w:b w:val="1"/>
                <w:bCs w:val="1"/>
                <w:outline w:val="0"/>
                <w:color w:val="004147"/>
                <w:u w:color="004147"/>
                <w:shd w:val="nil" w:color="auto" w:fill="auto"/>
                <w:rtl w:val="0"/>
                <w:lang w:val="en-US"/>
                <w14:textFill>
                  <w14:solidFill>
                    <w14:srgbClr w14:val="004147"/>
                  </w14:solidFill>
                </w14:textFill>
              </w:rPr>
              <w:t>two</w:t>
            </w:r>
            <w:r>
              <w:rPr>
                <w:rFonts w:ascii="Trebuchet MS" w:hAnsi="Trebuchet MS"/>
                <w:outline w:val="0"/>
                <w:color w:val="004147"/>
                <w:u w:color="004147"/>
                <w:shd w:val="nil" w:color="auto" w:fill="auto"/>
                <w:rtl w:val="0"/>
                <w:lang w:val="en-US"/>
                <w14:textFill>
                  <w14:solidFill>
                    <w14:srgbClr w14:val="004147"/>
                  </w14:solidFill>
                </w14:textFill>
              </w:rPr>
              <w:t xml:space="preserve"> approaches that Clyssan could use to retain R&amp;D staff. When comparing, it is important to identify similarities and difference between the two approaches. (AC 3.2)</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14"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Q8.</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Explain the impact of dysfunctional employee turnover of R&amp;D staff at Clyssan. (AC 3.3)</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7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Q9.</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Assess the suitability and use of permanent full-time contracts, permanent part-time contracts, zero-hour contracts and agency workers for the production operative roles at Clyssan. (AC 4.1)</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14"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Q10.</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pPr>
            <w:r>
              <w:rPr>
                <w:rFonts w:ascii="Trebuchet MS" w:hAnsi="Trebuchet MS"/>
                <w:outline w:val="0"/>
                <w:color w:val="004147"/>
                <w:u w:color="004147"/>
                <w:shd w:val="nil" w:color="auto" w:fill="auto"/>
                <w:rtl w:val="0"/>
                <w:lang w:val="en-US"/>
                <w14:textFill>
                  <w14:solidFill>
                    <w14:srgbClr w14:val="004147"/>
                  </w14:solidFill>
                </w14:textFill>
              </w:rPr>
              <w:t>Explain why it is beneficial for Clyssan to provide effective onboarding for directly employed production operatives. (AC 4.2)</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Nornal"/>
        <w:widowControl w:val="0"/>
        <w:spacing w:line="240" w:lineRule="auto"/>
        <w:rPr>
          <w:rFonts w:ascii="Trebuchet MS" w:cs="Trebuchet MS" w:hAnsi="Trebuchet MS" w:eastAsia="Trebuchet MS"/>
        </w:rPr>
      </w:pPr>
    </w:p>
    <w:p>
      <w:pPr>
        <w:pStyle w:val="Heading 3"/>
        <w:rPr>
          <w:rFonts w:ascii="Trebuchet MS" w:cs="Trebuchet MS" w:hAnsi="Trebuchet MS" w:eastAsia="Trebuchet MS"/>
          <w:outline w:val="0"/>
          <w:color w:val="004146"/>
          <w:sz w:val="32"/>
          <w:szCs w:val="32"/>
          <w:u w:color="004146"/>
          <w14:textFill>
            <w14:solidFill>
              <w14:srgbClr w14:val="004146"/>
            </w14:solidFill>
          </w14:textFill>
        </w:rPr>
      </w:pPr>
      <w:r>
        <w:rPr>
          <w:rFonts w:ascii="Trebuchet MS" w:hAnsi="Trebuchet MS"/>
          <w:outline w:val="0"/>
          <w:color w:val="004146"/>
          <w:sz w:val="32"/>
          <w:szCs w:val="32"/>
          <w:u w:color="004146"/>
          <w:rtl w:val="0"/>
          <w:lang w:val="en-US"/>
          <w14:textFill>
            <w14:solidFill>
              <w14:srgbClr w14:val="004146"/>
            </w14:solidFill>
          </w14:textFill>
        </w:rPr>
        <w:t>Declaration of Authentication</w:t>
      </w:r>
    </w:p>
    <w:p>
      <w:pPr>
        <w:pStyle w:val="Heading 2"/>
        <w:rPr>
          <w:rFonts w:ascii="Trebuchet MS" w:cs="Trebuchet MS" w:hAnsi="Trebuchet MS" w:eastAsia="Trebuchet MS"/>
        </w:rPr>
      </w:pPr>
      <w:r>
        <w:rPr>
          <w:rFonts w:ascii="Trebuchet MS" w:hAnsi="Trebuchet MS"/>
          <w:rtl w:val="0"/>
          <w:lang w:val="en-US"/>
        </w:rPr>
        <w:t xml:space="preserve">Declaration by learner </w:t>
      </w:r>
    </w:p>
    <w:tbl>
      <w:tblPr>
        <w:tblW w:w="962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032"/>
        <w:gridCol w:w="597"/>
      </w:tblGrid>
      <w:tr>
        <w:tblPrEx>
          <w:shd w:val="clear" w:color="auto" w:fill="cfcad0"/>
        </w:tblPrEx>
        <w:trPr>
          <w:trHeight w:val="2845" w:hRule="atLeast"/>
        </w:trPr>
        <w:tc>
          <w:tcPr>
            <w:tcW w:type="dxa" w:w="9629"/>
            <w:gridSpan w:val="2"/>
            <w:tcBorders>
              <w:top w:val="single" w:color="004147" w:sz="8" w:space="0" w:shadow="0" w:frame="0"/>
              <w:left w:val="single" w:color="004147" w:sz="8" w:space="0" w:shadow="0" w:frame="0"/>
              <w:bottom w:val="nil"/>
              <w:right w:val="single" w:color="004147" w:sz="8" w:space="0" w:shadow="0" w:frame="0"/>
            </w:tcBorders>
            <w:shd w:val="clear" w:color="auto" w:fill="auto"/>
            <w:tcMar>
              <w:top w:type="dxa" w:w="80"/>
              <w:left w:type="dxa" w:w="80"/>
              <w:bottom w:type="dxa" w:w="80"/>
              <w:right w:type="dxa" w:w="80"/>
            </w:tcMar>
            <w:vAlign w:val="top"/>
          </w:tcPr>
          <w:p>
            <w:pPr>
              <w:pStyle w:val="Heading"/>
              <w:spacing w:before="0" w:after="0"/>
              <w:rPr>
                <w:rFonts w:ascii="Trebuchet MS" w:cs="Trebuchet MS" w:hAnsi="Trebuchet MS" w:eastAsia="Trebuchet MS"/>
                <w:b w:val="1"/>
                <w:bCs w:val="1"/>
                <w:i w:val="0"/>
                <w:iCs w:val="0"/>
                <w:sz w:val="22"/>
                <w:szCs w:val="22"/>
                <w:shd w:val="nil" w:color="auto" w:fill="auto"/>
              </w:rPr>
            </w:pPr>
            <w:r>
              <w:rPr>
                <w:rFonts w:ascii="Trebuchet MS" w:hAnsi="Trebuchet MS"/>
                <w:b w:val="1"/>
                <w:bCs w:val="1"/>
                <w:i w:val="0"/>
                <w:iCs w:val="0"/>
                <w:sz w:val="22"/>
                <w:szCs w:val="22"/>
                <w:shd w:val="nil" w:color="auto" w:fill="auto"/>
                <w:rtl w:val="0"/>
                <w:lang w:val="en-US"/>
              </w:rPr>
              <w:t>I can confirm that:</w:t>
            </w:r>
          </w:p>
          <w:p>
            <w:pPr>
              <w:pStyle w:val="Body"/>
              <w:rPr>
                <w:rFonts w:ascii="Trebuchet MS" w:cs="Trebuchet MS" w:hAnsi="Trebuchet MS" w:eastAsia="Trebuchet MS"/>
                <w:outline w:val="0"/>
                <w:color w:val="004147"/>
                <w:u w:color="004147"/>
                <w:shd w:val="nil" w:color="auto" w:fill="auto"/>
                <w:lang w:val="en-US"/>
                <w14:textFill>
                  <w14:solidFill>
                    <w14:srgbClr w14:val="004147"/>
                  </w14:solidFill>
                </w14:textFill>
              </w:rPr>
            </w:pPr>
          </w:p>
          <w:p>
            <w:pPr>
              <w:pStyle w:val="List Paragraph"/>
              <w:numPr>
                <w:ilvl w:val="0"/>
                <w:numId w:val="9"/>
              </w:numPr>
              <w:bidi w:val="0"/>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This assessment is entirely my own work and has been completed in accordance with the requirements set by my study centre and the awarding organisation.</w:t>
            </w:r>
          </w:p>
          <w:p>
            <w:pPr>
              <w:pStyle w:val="Body"/>
              <w:numPr>
                <w:ilvl w:val="0"/>
                <w:numId w:val="9"/>
              </w:numPr>
              <w:bidi w:val="0"/>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All sources used within this assessment have been clearly acknowledged and referenced, and that I have not copied from or colluded with any other individual.</w:t>
            </w:r>
          </w:p>
          <w:p>
            <w:pPr>
              <w:pStyle w:val="Body"/>
              <w:numPr>
                <w:ilvl w:val="0"/>
                <w:numId w:val="9"/>
              </w:numPr>
              <w:bidi w:val="0"/>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I have not used AI tools to suggest ideas, generate content, structure, edit or enhance my assessment.</w:t>
            </w:r>
          </w:p>
          <w:p>
            <w:pPr>
              <w:pStyle w:val="Body"/>
              <w:rPr>
                <w:rFonts w:ascii="Trebuchet MS" w:cs="Trebuchet MS" w:hAnsi="Trebuchet MS" w:eastAsia="Trebuchet MS"/>
                <w:outline w:val="0"/>
                <w:color w:val="004147"/>
                <w:u w:color="004147"/>
                <w:shd w:val="nil" w:color="auto" w:fill="auto"/>
                <w:lang w:val="en-US"/>
                <w14:textFill>
                  <w14:solidFill>
                    <w14:srgbClr w14:val="004147"/>
                  </w14:solidFill>
                </w14:textFill>
              </w:rPr>
            </w:pPr>
          </w:p>
          <w:p>
            <w:pPr>
              <w:pStyle w:val="Body"/>
              <w:bidi w:val="0"/>
              <w:ind w:left="0" w:right="0" w:firstLine="0"/>
              <w:jc w:val="left"/>
              <w:rPr>
                <w:rtl w:val="0"/>
              </w:rPr>
            </w:pPr>
            <w:r>
              <w:rPr>
                <w:rFonts w:ascii="Trebuchet MS" w:hAnsi="Trebuchet MS"/>
                <w:outline w:val="0"/>
                <w:color w:val="004147"/>
                <w:u w:color="004147"/>
                <w:shd w:val="nil" w:color="auto" w:fill="auto"/>
                <w:rtl w:val="0"/>
                <w:lang w:val="en-US"/>
                <w14:textFill>
                  <w14:solidFill>
                    <w14:srgbClr w14:val="004147"/>
                  </w14:solidFill>
                </w14:textFill>
              </w:rPr>
              <w:t xml:space="preserve">I understand the consequences of </w:t>
            </w:r>
            <w:r>
              <w:rPr>
                <w:rStyle w:val="Hyperlink.3"/>
                <w:rFonts w:ascii="Trebuchet MS" w:cs="Trebuchet MS" w:hAnsi="Trebuchet MS" w:eastAsia="Trebuchet MS"/>
                <w:b w:val="1"/>
                <w:bCs w:val="1"/>
                <w:outline w:val="0"/>
                <w:color w:val="0000ff"/>
                <w:u w:val="single" w:color="0000ff"/>
                <w:shd w:val="nil" w:color="auto" w:fill="auto"/>
                <w:lang w:val="en-US"/>
                <w14:textFill>
                  <w14:solidFill>
                    <w14:srgbClr w14:val="0000FF"/>
                  </w14:solidFill>
                </w14:textFill>
              </w:rPr>
              <w:fldChar w:fldCharType="begin" w:fldLock="0"/>
            </w:r>
            <w:r>
              <w:rPr>
                <w:rStyle w:val="Hyperlink.3"/>
                <w:rFonts w:ascii="Trebuchet MS" w:cs="Trebuchet MS" w:hAnsi="Trebuchet MS" w:eastAsia="Trebuchet MS"/>
                <w:b w:val="1"/>
                <w:bCs w:val="1"/>
                <w:outline w:val="0"/>
                <w:color w:val="0000ff"/>
                <w:u w:val="single" w:color="0000ff"/>
                <w:shd w:val="nil" w:color="auto" w:fill="auto"/>
                <w:lang w:val="en-US"/>
                <w14:textFill>
                  <w14:solidFill>
                    <w14:srgbClr w14:val="0000FF"/>
                  </w14:solidFill>
                </w14:textFill>
              </w:rPr>
              <w:instrText xml:space="preserve"> HYPERLINK "https://www.cipd.org/uk/learning/qualifications/policies/"</w:instrText>
            </w:r>
            <w:r>
              <w:rPr>
                <w:rStyle w:val="Hyperlink.3"/>
                <w:rFonts w:ascii="Trebuchet MS" w:cs="Trebuchet MS" w:hAnsi="Trebuchet MS" w:eastAsia="Trebuchet MS"/>
                <w:b w:val="1"/>
                <w:bCs w:val="1"/>
                <w:outline w:val="0"/>
                <w:color w:val="0000ff"/>
                <w:u w:val="single" w:color="0000ff"/>
                <w:shd w:val="nil" w:color="auto" w:fill="auto"/>
                <w:lang w:val="en-US"/>
                <w14:textFill>
                  <w14:solidFill>
                    <w14:srgbClr w14:val="0000FF"/>
                  </w14:solidFill>
                </w14:textFill>
              </w:rPr>
              <w:fldChar w:fldCharType="separate" w:fldLock="0"/>
            </w:r>
            <w:r>
              <w:rPr>
                <w:rStyle w:val="Hyperlink.3"/>
                <w:rFonts w:ascii="Trebuchet MS" w:hAnsi="Trebuchet MS"/>
                <w:b w:val="1"/>
                <w:bCs w:val="1"/>
                <w:outline w:val="0"/>
                <w:color w:val="0000ff"/>
                <w:u w:val="single" w:color="0000ff"/>
                <w:shd w:val="nil" w:color="auto" w:fill="auto"/>
                <w:rtl w:val="0"/>
                <w:lang w:val="en-US"/>
                <w14:textFill>
                  <w14:solidFill>
                    <w14:srgbClr w14:val="0000FF"/>
                  </w14:solidFill>
                </w14:textFill>
              </w:rPr>
              <w:t>malpractice</w:t>
            </w:r>
            <w:r>
              <w:rPr>
                <w:rFonts w:ascii="Trebuchet MS" w:cs="Trebuchet MS" w:hAnsi="Trebuchet MS" w:eastAsia="Trebuchet MS"/>
                <w:outline w:val="0"/>
                <w:color w:val="004147"/>
                <w:u w:color="004147"/>
                <w14:textFill>
                  <w14:solidFill>
                    <w14:srgbClr w14:val="004147"/>
                  </w14:solidFill>
                </w14:textFill>
              </w:rPr>
              <w:fldChar w:fldCharType="end" w:fldLock="0"/>
            </w:r>
            <w:r>
              <w:rPr>
                <w:rFonts w:ascii="Trebuchet MS" w:hAnsi="Trebuchet MS"/>
                <w:outline w:val="0"/>
                <w:color w:val="004147"/>
                <w:u w:color="004147"/>
                <w:shd w:val="nil" w:color="auto" w:fill="auto"/>
                <w:rtl w:val="0"/>
                <w:lang w:val="en-US"/>
                <w14:textFill>
                  <w14:solidFill>
                    <w14:srgbClr w14:val="004147"/>
                  </w14:solidFill>
                </w14:textFill>
              </w:rPr>
              <w:t xml:space="preserve"> and accept that any violation of this agreement may result in disciplinary action.</w:t>
            </w:r>
          </w:p>
        </w:tc>
      </w:tr>
      <w:tr>
        <w:tblPrEx>
          <w:shd w:val="clear" w:color="auto" w:fill="cfcad0"/>
        </w:tblPrEx>
        <w:trPr>
          <w:trHeight w:val="515" w:hRule="atLeast"/>
        </w:trPr>
        <w:tc>
          <w:tcPr>
            <w:tcW w:type="dxa" w:w="9032"/>
            <w:tcBorders>
              <w:top w:val="nil"/>
              <w:left w:val="single" w:color="004147" w:sz="8" w:space="0" w:shadow="0" w:frame="0"/>
              <w:bottom w:val="nil"/>
              <w:right w:val="nil"/>
            </w:tcBorders>
            <w:shd w:val="clear" w:color="auto" w:fill="auto"/>
            <w:tcMar>
              <w:top w:type="dxa" w:w="80"/>
              <w:left w:type="dxa" w:w="80"/>
              <w:bottom w:type="dxa" w:w="80"/>
              <w:right w:type="dxa" w:w="80"/>
            </w:tcMar>
            <w:vAlign w:val="top"/>
          </w:tcPr>
          <w:p>
            <w:pPr>
              <w:pStyle w:val="Heading"/>
              <w:keepNext w:val="1"/>
              <w:keepLines w:val="1"/>
              <w:widowControl w:val="0"/>
              <w:spacing w:before="360" w:after="80"/>
            </w:pPr>
            <w:r>
              <w:rPr>
                <w:rFonts w:ascii="Trebuchet MS" w:hAnsi="Trebuchet MS"/>
                <w:b w:val="1"/>
                <w:bCs w:val="1"/>
                <w:i w:val="0"/>
                <w:iCs w:val="0"/>
                <w:sz w:val="22"/>
                <w:szCs w:val="22"/>
                <w:shd w:val="nil" w:color="auto" w:fill="auto"/>
                <w:rtl w:val="0"/>
                <w:lang w:val="en-US"/>
              </w:rPr>
              <w:t>Learner name:</w:t>
            </w:r>
            <w:r>
              <w:rPr>
                <w:rFonts w:ascii="Trebuchet MS" w:hAnsi="Trebuchet MS" w:hint="default"/>
                <w:i w:val="0"/>
                <w:iCs w:val="0"/>
                <w:sz w:val="22"/>
                <w:szCs w:val="22"/>
                <w:shd w:val="nil" w:color="auto" w:fill="auto"/>
                <w:rtl w:val="0"/>
                <w:lang w:val="en-US"/>
              </w:rPr>
              <w:t> </w:t>
            </w:r>
          </w:p>
        </w:tc>
        <w:tc>
          <w:tcPr>
            <w:tcW w:type="dxa" w:w="597"/>
            <w:tcBorders>
              <w:top w:val="nil"/>
              <w:left w:val="nil"/>
              <w:bottom w:val="nil"/>
              <w:right w:val="single" w:color="004147" w:sz="8" w:space="0" w:shadow="0" w:frame="0"/>
            </w:tcBorders>
            <w:shd w:val="clear" w:color="auto" w:fill="auto"/>
            <w:tcMar>
              <w:top w:type="dxa" w:w="80"/>
              <w:left w:type="dxa" w:w="80"/>
              <w:bottom w:type="dxa" w:w="80"/>
              <w:right w:type="dxa" w:w="80"/>
            </w:tcMar>
            <w:vAlign w:val="center"/>
          </w:tcPr>
          <w:p>
            <w:pPr>
              <w:pStyle w:val="Heading"/>
              <w:keepNext w:val="1"/>
              <w:keepLines w:val="1"/>
              <w:widowControl w:val="0"/>
              <w:spacing w:before="360" w:after="80"/>
            </w:pPr>
            <w:r>
              <w:rPr>
                <w:rFonts w:ascii="Trebuchet MS" w:hAnsi="Trebuchet MS" w:hint="default"/>
                <w:i w:val="0"/>
                <w:iCs w:val="0"/>
                <w:sz w:val="22"/>
                <w:szCs w:val="22"/>
                <w:shd w:val="nil" w:color="auto" w:fill="auto"/>
                <w:rtl w:val="0"/>
                <w:lang w:val="en-US"/>
              </w:rPr>
              <w:t> </w:t>
            </w:r>
          </w:p>
        </w:tc>
      </w:tr>
      <w:tr>
        <w:tblPrEx>
          <w:shd w:val="clear" w:color="auto" w:fill="cfcad0"/>
        </w:tblPrEx>
        <w:trPr>
          <w:trHeight w:val="1102" w:hRule="atLeast"/>
        </w:trPr>
        <w:tc>
          <w:tcPr>
            <w:tcW w:type="dxa" w:w="9032"/>
            <w:tcBorders>
              <w:top w:val="nil"/>
              <w:left w:val="single" w:color="004147" w:sz="8" w:space="0" w:shadow="0" w:frame="0"/>
              <w:bottom w:val="nil"/>
              <w:right w:val="nil"/>
            </w:tcBorders>
            <w:shd w:val="clear" w:color="auto" w:fill="auto"/>
            <w:tcMar>
              <w:top w:type="dxa" w:w="80"/>
              <w:left w:type="dxa" w:w="80"/>
              <w:bottom w:type="dxa" w:w="80"/>
              <w:right w:type="dxa" w:w="80"/>
            </w:tcMar>
            <w:vAlign w:val="top"/>
          </w:tcPr>
          <w:p>
            <w:pPr>
              <w:pStyle w:val="Heading"/>
              <w:keepNext w:val="1"/>
              <w:keepLines w:val="1"/>
              <w:widowControl w:val="0"/>
              <w:spacing w:before="360" w:after="80"/>
              <w:rPr>
                <w:rFonts w:ascii="Trebuchet MS" w:cs="Trebuchet MS" w:hAnsi="Trebuchet MS" w:eastAsia="Trebuchet MS"/>
                <w:i w:val="0"/>
                <w:iCs w:val="0"/>
                <w:sz w:val="22"/>
                <w:szCs w:val="22"/>
                <w:shd w:val="nil" w:color="auto" w:fill="auto"/>
              </w:rPr>
            </w:pPr>
            <w:r>
              <w:rPr>
                <w:rFonts w:ascii="Trebuchet MS" w:hAnsi="Trebuchet MS"/>
                <w:b w:val="1"/>
                <w:bCs w:val="1"/>
                <w:i w:val="0"/>
                <w:iCs w:val="0"/>
                <w:sz w:val="22"/>
                <w:szCs w:val="22"/>
                <w:shd w:val="nil" w:color="auto" w:fill="auto"/>
                <w:rtl w:val="0"/>
                <w:lang w:val="en-US"/>
              </w:rPr>
              <w:t>Learner signature:</w:t>
            </w:r>
            <w:r>
              <w:rPr>
                <w:rFonts w:ascii="Trebuchet MS" w:hAnsi="Trebuchet MS" w:hint="default"/>
                <w:i w:val="0"/>
                <w:iCs w:val="0"/>
                <w:sz w:val="22"/>
                <w:szCs w:val="22"/>
                <w:shd w:val="nil" w:color="auto" w:fill="auto"/>
                <w:rtl w:val="0"/>
                <w:lang w:val="en-US"/>
              </w:rPr>
              <w:t> </w:t>
            </w:r>
          </w:p>
          <w:p>
            <w:pPr>
              <w:pStyle w:val="Body"/>
              <w:bidi w:val="0"/>
              <w:ind w:left="0" w:right="0" w:firstLine="0"/>
              <w:jc w:val="left"/>
              <w:rPr>
                <w:rtl w:val="0"/>
              </w:rPr>
            </w:pPr>
            <w:r>
              <w:rPr>
                <w:rFonts w:ascii="Trebuchet MS" w:hAnsi="Trebuchet MS"/>
                <w:outline w:val="0"/>
                <w:color w:val="004147"/>
                <w:u w:color="004147"/>
                <w:shd w:val="nil" w:color="auto" w:fill="auto"/>
                <w:rtl w:val="0"/>
                <w:lang w:val="en-US"/>
                <w14:textFill>
                  <w14:solidFill>
                    <w14:srgbClr w14:val="004147"/>
                  </w14:solidFill>
                </w14:textFill>
              </w:rPr>
              <w:t>(This must be a true signature, so a handwritten signature, or a photo or scan of a handwritten signature, or an e-signature.</w:t>
            </w:r>
            <w:r>
              <w:rPr>
                <w:rFonts w:ascii="Trebuchet MS" w:hAnsi="Trebuchet MS" w:hint="default"/>
                <w:outline w:val="0"/>
                <w:color w:val="004147"/>
                <w:u w:color="004147"/>
                <w:shd w:val="nil" w:color="auto" w:fill="auto"/>
                <w:rtl w:val="0"/>
                <w:lang w:val="en-US"/>
                <w14:textFill>
                  <w14:solidFill>
                    <w14:srgbClr w14:val="004147"/>
                  </w14:solidFill>
                </w14:textFill>
              </w:rPr>
              <w:t> </w:t>
            </w:r>
            <w:r>
              <w:rPr>
                <w:rFonts w:ascii="Trebuchet MS" w:hAnsi="Trebuchet MS"/>
                <w:outline w:val="0"/>
                <w:color w:val="004147"/>
                <w:u w:color="004147"/>
                <w:shd w:val="nil" w:color="auto" w:fill="auto"/>
                <w:rtl w:val="0"/>
                <w:lang w:val="en-US"/>
                <w14:textFill>
                  <w14:solidFill>
                    <w14:srgbClr w14:val="004147"/>
                  </w14:solidFill>
                </w14:textFill>
              </w:rPr>
              <w:t>A typed signature is not acceptable.)</w:t>
            </w:r>
            <w:r>
              <w:rPr>
                <w:rFonts w:ascii="Trebuchet MS" w:cs="Trebuchet MS" w:hAnsi="Trebuchet MS" w:eastAsia="Trebuchet MS"/>
                <w:outline w:val="0"/>
                <w:color w:val="004147"/>
                <w:u w:color="004147"/>
                <w:shd w:val="nil" w:color="auto" w:fill="auto"/>
                <w14:textFill>
                  <w14:solidFill>
                    <w14:srgbClr w14:val="004147"/>
                  </w14:solidFill>
                </w14:textFill>
              </w:rPr>
            </w:r>
          </w:p>
        </w:tc>
        <w:tc>
          <w:tcPr>
            <w:tcW w:type="dxa" w:w="597"/>
            <w:tcBorders>
              <w:top w:val="nil"/>
              <w:left w:val="nil"/>
              <w:bottom w:val="nil"/>
              <w:right w:val="single" w:color="004147" w:sz="8" w:space="0" w:shadow="0" w:frame="0"/>
            </w:tcBorders>
            <w:shd w:val="clear" w:color="auto" w:fill="auto"/>
            <w:tcMar>
              <w:top w:type="dxa" w:w="80"/>
              <w:left w:type="dxa" w:w="80"/>
              <w:bottom w:type="dxa" w:w="80"/>
              <w:right w:type="dxa" w:w="80"/>
            </w:tcMar>
            <w:vAlign w:val="center"/>
          </w:tcPr>
          <w:p>
            <w:pPr>
              <w:pStyle w:val="Heading"/>
              <w:keepNext w:val="1"/>
              <w:keepLines w:val="1"/>
              <w:widowControl w:val="0"/>
              <w:spacing w:before="360" w:after="80"/>
            </w:pPr>
            <w:r>
              <w:rPr>
                <w:rFonts w:ascii="Trebuchet MS" w:hAnsi="Trebuchet MS" w:hint="default"/>
                <w:i w:val="0"/>
                <w:iCs w:val="0"/>
                <w:sz w:val="22"/>
                <w:szCs w:val="22"/>
                <w:shd w:val="nil" w:color="auto" w:fill="auto"/>
                <w:rtl w:val="0"/>
                <w:lang w:val="en-US"/>
              </w:rPr>
              <w:t> </w:t>
            </w:r>
          </w:p>
        </w:tc>
      </w:tr>
      <w:tr>
        <w:tblPrEx>
          <w:shd w:val="clear" w:color="auto" w:fill="cfcad0"/>
        </w:tblPrEx>
        <w:trPr>
          <w:trHeight w:val="2122" w:hRule="atLeast"/>
        </w:trPr>
        <w:tc>
          <w:tcPr>
            <w:tcW w:type="dxa" w:w="9032"/>
            <w:tcBorders>
              <w:top w:val="nil"/>
              <w:left w:val="single" w:color="004147" w:sz="8" w:space="0" w:shadow="0" w:frame="0"/>
              <w:bottom w:val="single" w:color="004147" w:sz="8" w:space="0" w:shadow="0" w:frame="0"/>
              <w:right w:val="nil"/>
            </w:tcBorders>
            <w:shd w:val="clear" w:color="auto" w:fill="auto"/>
            <w:tcMar>
              <w:top w:type="dxa" w:w="80"/>
              <w:left w:type="dxa" w:w="80"/>
              <w:bottom w:type="dxa" w:w="80"/>
              <w:right w:type="dxa" w:w="80"/>
            </w:tcMar>
            <w:vAlign w:val="top"/>
          </w:tcPr>
          <w:p>
            <w:pPr>
              <w:pStyle w:val="Heading"/>
              <w:keepNext w:val="1"/>
              <w:keepLines w:val="1"/>
              <w:widowControl w:val="0"/>
              <w:spacing w:before="360" w:after="80"/>
              <w:rPr>
                <w:rFonts w:ascii="Trebuchet MS" w:cs="Trebuchet MS" w:hAnsi="Trebuchet MS" w:eastAsia="Trebuchet MS"/>
                <w:i w:val="0"/>
                <w:iCs w:val="0"/>
                <w:sz w:val="22"/>
                <w:szCs w:val="22"/>
                <w:shd w:val="nil" w:color="auto" w:fill="auto"/>
              </w:rPr>
            </w:pPr>
            <w:r>
              <w:rPr>
                <w:rFonts w:ascii="Trebuchet MS" w:hAnsi="Trebuchet MS"/>
                <w:b w:val="1"/>
                <w:bCs w:val="1"/>
                <w:i w:val="0"/>
                <w:iCs w:val="0"/>
                <w:sz w:val="22"/>
                <w:szCs w:val="22"/>
                <w:shd w:val="nil" w:color="auto" w:fill="auto"/>
                <w:rtl w:val="0"/>
                <w:lang w:val="en-US"/>
              </w:rPr>
              <w:t>Date of submission*</w:t>
            </w:r>
          </w:p>
          <w:p>
            <w:pPr>
              <w:pStyle w:val="Heading"/>
              <w:keepNext w:val="1"/>
              <w:keepLines w:val="1"/>
              <w:widowControl w:val="0"/>
              <w:bidi w:val="0"/>
              <w:spacing w:before="360" w:after="80"/>
              <w:ind w:left="0" w:right="0" w:firstLine="0"/>
              <w:jc w:val="left"/>
              <w:rPr>
                <w:rFonts w:ascii="Trebuchet MS" w:cs="Trebuchet MS" w:hAnsi="Trebuchet MS" w:eastAsia="Trebuchet MS"/>
                <w:b w:val="1"/>
                <w:bCs w:val="1"/>
                <w:i w:val="0"/>
                <w:iCs w:val="0"/>
                <w:sz w:val="22"/>
                <w:szCs w:val="22"/>
                <w:shd w:val="nil" w:color="auto" w:fill="auto"/>
                <w:rtl w:val="0"/>
              </w:rPr>
            </w:pPr>
            <w:r>
              <w:rPr>
                <w:rFonts w:ascii="Trebuchet MS" w:hAnsi="Trebuchet MS"/>
                <w:b w:val="1"/>
                <w:bCs w:val="1"/>
                <w:i w:val="0"/>
                <w:iCs w:val="0"/>
                <w:sz w:val="22"/>
                <w:szCs w:val="22"/>
                <w:shd w:val="nil" w:color="auto" w:fill="auto"/>
                <w:rtl w:val="0"/>
                <w:lang w:val="en-US"/>
              </w:rPr>
              <w:t>Date of first re-submission (if applicable)*</w:t>
            </w:r>
          </w:p>
          <w:p>
            <w:pPr>
              <w:pStyle w:val="Heading"/>
              <w:keepNext w:val="1"/>
              <w:keepLines w:val="1"/>
              <w:widowControl w:val="0"/>
              <w:bidi w:val="0"/>
              <w:spacing w:before="360" w:after="80"/>
              <w:ind w:left="0" w:right="0" w:firstLine="0"/>
              <w:jc w:val="left"/>
              <w:rPr>
                <w:rFonts w:ascii="Trebuchet MS" w:cs="Trebuchet MS" w:hAnsi="Trebuchet MS" w:eastAsia="Trebuchet MS"/>
                <w:b w:val="1"/>
                <w:bCs w:val="1"/>
                <w:i w:val="0"/>
                <w:iCs w:val="0"/>
                <w:sz w:val="22"/>
                <w:szCs w:val="22"/>
                <w:shd w:val="nil" w:color="auto" w:fill="auto"/>
                <w:rtl w:val="0"/>
              </w:rPr>
            </w:pPr>
            <w:r>
              <w:rPr>
                <w:rFonts w:ascii="Trebuchet MS" w:hAnsi="Trebuchet MS"/>
                <w:b w:val="1"/>
                <w:bCs w:val="1"/>
                <w:i w:val="0"/>
                <w:iCs w:val="0"/>
                <w:sz w:val="22"/>
                <w:szCs w:val="22"/>
                <w:shd w:val="nil" w:color="auto" w:fill="auto"/>
                <w:rtl w:val="0"/>
                <w:lang w:val="en-US"/>
              </w:rPr>
              <w:t xml:space="preserve">Date of second re-submission (if applicable)* </w:t>
            </w:r>
          </w:p>
          <w:p>
            <w:pPr>
              <w:pStyle w:val="Heading"/>
              <w:keepNext w:val="1"/>
              <w:keepLines w:val="1"/>
              <w:widowControl w:val="0"/>
              <w:bidi w:val="0"/>
              <w:spacing w:before="360" w:after="80"/>
              <w:ind w:left="0" w:right="0" w:firstLine="0"/>
              <w:jc w:val="left"/>
              <w:rPr>
                <w:rtl w:val="0"/>
              </w:rPr>
            </w:pPr>
            <w:r>
              <w:rPr>
                <w:rFonts w:ascii="Trebuchet MS" w:hAnsi="Trebuchet MS"/>
                <w:b w:val="1"/>
                <w:bCs w:val="1"/>
                <w:i w:val="0"/>
                <w:iCs w:val="0"/>
                <w:sz w:val="22"/>
                <w:szCs w:val="22"/>
                <w:shd w:val="nil" w:color="auto" w:fill="auto"/>
                <w:rtl w:val="0"/>
                <w:lang w:val="en-US"/>
              </w:rPr>
              <w:t>*This should be the date on which you submit your assessment</w:t>
            </w:r>
            <w:r>
              <w:rPr>
                <w:rFonts w:ascii="Trebuchet MS" w:hAnsi="Trebuchet MS" w:hint="default"/>
                <w:b w:val="1"/>
                <w:bCs w:val="1"/>
                <w:i w:val="0"/>
                <w:iCs w:val="0"/>
                <w:sz w:val="22"/>
                <w:szCs w:val="22"/>
                <w:shd w:val="nil" w:color="auto" w:fill="auto"/>
                <w:rtl w:val="0"/>
                <w:lang w:val="en-US"/>
              </w:rPr>
              <w:t> </w:t>
            </w:r>
            <w:r>
              <w:rPr>
                <w:rFonts w:ascii="Trebuchet MS" w:hAnsi="Trebuchet MS"/>
                <w:b w:val="1"/>
                <w:bCs w:val="1"/>
                <w:i w:val="0"/>
                <w:iCs w:val="0"/>
                <w:sz w:val="22"/>
                <w:szCs w:val="22"/>
                <w:shd w:val="nil" w:color="auto" w:fill="auto"/>
                <w:rtl w:val="0"/>
                <w:lang w:val="en-US"/>
              </w:rPr>
              <w:t>for marking.</w:t>
            </w:r>
          </w:p>
        </w:tc>
        <w:tc>
          <w:tcPr>
            <w:tcW w:type="dxa" w:w="597"/>
            <w:tcBorders>
              <w:top w:val="nil"/>
              <w:left w:val="nil"/>
              <w:bottom w:val="single" w:color="004147" w:sz="8" w:space="0" w:shadow="0" w:frame="0"/>
              <w:right w:val="single" w:color="004147" w:sz="8" w:space="0" w:shadow="0" w:frame="0"/>
            </w:tcBorders>
            <w:shd w:val="clear" w:color="auto" w:fill="auto"/>
            <w:tcMar>
              <w:top w:type="dxa" w:w="80"/>
              <w:left w:type="dxa" w:w="80"/>
              <w:bottom w:type="dxa" w:w="80"/>
              <w:right w:type="dxa" w:w="80"/>
            </w:tcMar>
            <w:vAlign w:val="center"/>
          </w:tcPr>
          <w:p>
            <w:pPr>
              <w:pStyle w:val="Heading"/>
              <w:keepNext w:val="1"/>
              <w:keepLines w:val="1"/>
              <w:widowControl w:val="0"/>
              <w:spacing w:before="360" w:after="80"/>
            </w:pPr>
            <w:r>
              <w:rPr>
                <w:rFonts w:ascii="Trebuchet MS" w:hAnsi="Trebuchet MS" w:hint="default"/>
                <w:i w:val="0"/>
                <w:iCs w:val="0"/>
                <w:sz w:val="22"/>
                <w:szCs w:val="22"/>
                <w:shd w:val="nil" w:color="auto" w:fill="auto"/>
                <w:rtl w:val="0"/>
                <w:lang w:val="en-US"/>
              </w:rPr>
              <w:t> </w:t>
            </w:r>
          </w:p>
        </w:tc>
      </w:tr>
    </w:tbl>
    <w:p>
      <w:pPr>
        <w:pStyle w:val="Body"/>
        <w:spacing w:line="240" w:lineRule="auto"/>
        <w:rPr>
          <w:rFonts w:ascii="Trebuchet MS" w:cs="Trebuchet MS" w:hAnsi="Trebuchet MS" w:eastAsia="Trebuchet MS"/>
        </w:rPr>
      </w:pPr>
    </w:p>
    <w:p>
      <w:pPr>
        <w:pStyle w:val="Body"/>
      </w:pPr>
    </w:p>
    <w:p>
      <w:pPr>
        <w:pStyle w:val="Body"/>
        <w:rPr>
          <w:rFonts w:ascii="Trebuchet MS" w:cs="Trebuchet MS" w:hAnsi="Trebuchet MS" w:eastAsia="Trebuchet MS"/>
        </w:rPr>
      </w:pPr>
    </w:p>
    <w:p>
      <w:pPr>
        <w:pStyle w:val="Body"/>
        <w:spacing w:line="240" w:lineRule="auto"/>
      </w:pPr>
      <w:r>
        <w:rPr>
          <w:rFonts w:ascii="Arial Unicode MS" w:cs="Arial Unicode MS" w:hAnsi="Arial Unicode MS" w:eastAsia="Arial Unicode MS"/>
          <w:b w:val="0"/>
          <w:bCs w:val="0"/>
          <w:i w:val="0"/>
          <w:iCs w:val="0"/>
        </w:rPr>
        <w:br w:type="page"/>
      </w:r>
    </w:p>
    <w:p>
      <w:pPr>
        <w:pStyle w:val="Body"/>
        <w:rPr>
          <w:rFonts w:ascii="Trebuchet MS" w:cs="Trebuchet MS" w:hAnsi="Trebuchet MS" w:eastAsia="Trebuchet MS"/>
          <w:i w:val="1"/>
          <w:iCs w:val="1"/>
          <w:outline w:val="0"/>
          <w:color w:val="004146"/>
          <w:sz w:val="40"/>
          <w:szCs w:val="40"/>
          <w:u w:color="004146"/>
          <w14:textFill>
            <w14:solidFill>
              <w14:srgbClr w14:val="004146"/>
            </w14:solidFill>
          </w14:textFill>
        </w:rPr>
      </w:pPr>
      <w:r>
        <w:rPr>
          <w:rFonts w:ascii="Trebuchet MS" w:cs="Trebuchet MS" w:hAnsi="Trebuchet MS" w:eastAsia="Trebuchet MS"/>
          <w:b w:val="1"/>
          <w:bCs w:val="1"/>
          <w:outline w:val="0"/>
          <w:color w:val="004146"/>
          <w:sz w:val="48"/>
          <w:szCs w:val="48"/>
          <w:u w:color="004146"/>
          <w14:textFill>
            <w14:solidFill>
              <w14:srgbClr w14:val="004146"/>
            </w14:solidFill>
          </w14:textFill>
        </w:rPr>
        <w:drawing xmlns:a="http://schemas.openxmlformats.org/drawingml/2006/main">
          <wp:anchor distT="0" distB="0" distL="0" distR="0" simplePos="0" relativeHeight="251660288" behindDoc="0" locked="0" layoutInCell="1" allowOverlap="1">
            <wp:simplePos x="0" y="0"/>
            <wp:positionH relativeFrom="page">
              <wp:posOffset>5716270</wp:posOffset>
            </wp:positionH>
            <wp:positionV relativeFrom="line">
              <wp:posOffset>5763</wp:posOffset>
            </wp:positionV>
            <wp:extent cx="1120140" cy="1120140"/>
            <wp:effectExtent l="0" t="0" r="0" b="0"/>
            <wp:wrapNone/>
            <wp:docPr id="1073741837"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7" name="C:\Users\dominiqueb\AppData\Local\Microsoft\Windows\INetCache\Content.MSO\B4F4A35.tmp" descr="C:\Users\dominiqueb\AppData\Local\Microsoft\Windows\INetCache\Content.MSO\B4F4A35.tmp"/>
                    <pic:cNvPicPr>
                      <a:picLocks noChangeAspect="1"/>
                    </pic:cNvPicPr>
                  </pic:nvPicPr>
                  <pic:blipFill>
                    <a:blip r:embed="rId8">
                      <a:extLst/>
                    </a:blip>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cs="Trebuchet MS" w:hAnsi="Trebuchet MS" w:eastAsia="Trebuchet MS"/>
        </w:rPr>
        <mc:AlternateContent>
          <mc:Choice Requires="wps">
            <w:drawing xmlns:a="http://schemas.openxmlformats.org/drawingml/2006/main">
              <wp:inline distT="0" distB="0" distL="0" distR="0">
                <wp:extent cx="6084000" cy="1138801"/>
                <wp:effectExtent l="0" t="0" r="0" b="0"/>
                <wp:docPr id="1073741838" name="officeArt object" descr="Rectangle 1191776958"/>
                <wp:cNvGraphicFramePr/>
                <a:graphic xmlns:a="http://schemas.openxmlformats.org/drawingml/2006/main">
                  <a:graphicData uri="http://schemas.microsoft.com/office/word/2010/wordprocessingShape">
                    <wps:wsp>
                      <wps:cNvSpPr/>
                      <wps:spPr>
                        <a:xfrm>
                          <a:off x="0" y="0"/>
                          <a:ext cx="6084000" cy="1138801"/>
                        </a:xfrm>
                        <a:prstGeom prst="rect">
                          <a:avLst/>
                        </a:prstGeom>
                        <a:solidFill>
                          <a:schemeClr val="accent2">
                            <a:alpha val="4706"/>
                          </a:schemeClr>
                        </a:solidFill>
                        <a:ln w="12700" cap="flat">
                          <a:noFill/>
                          <a:miter lim="400000"/>
                        </a:ln>
                        <a:effectLst/>
                      </wps:spPr>
                      <wps:txbx>
                        <w:txbxContent>
                          <w:p>
                            <w:pPr>
                              <w:pStyle w:val="Body"/>
                              <w:spacing w:line="240" w:lineRule="auto"/>
                              <w:rPr>
                                <w:rFonts w:ascii="Trebuchet MS" w:cs="Trebuchet MS" w:hAnsi="Trebuchet MS" w:eastAsia="Trebuchet MS"/>
                                <w:b w:val="1"/>
                                <w:bCs w:val="1"/>
                                <w:outline w:val="0"/>
                                <w:color w:val="004147"/>
                                <w:sz w:val="48"/>
                                <w:szCs w:val="48"/>
                                <w:u w:color="004147"/>
                                <w14:textFill>
                                  <w14:solidFill>
                                    <w14:srgbClr w14:val="004147"/>
                                  </w14:solidFill>
                                </w14:textFill>
                              </w:rPr>
                            </w:pPr>
                            <w:r>
                              <w:rPr>
                                <w:rFonts w:ascii="Trebuchet MS" w:hAnsi="Trebuchet MS"/>
                                <w:b w:val="1"/>
                                <w:bCs w:val="1"/>
                                <w:outline w:val="0"/>
                                <w:color w:val="004147"/>
                                <w:sz w:val="48"/>
                                <w:szCs w:val="48"/>
                                <w:u w:color="004147"/>
                                <w:rtl w:val="0"/>
                                <w14:textFill>
                                  <w14:solidFill>
                                    <w14:srgbClr w14:val="004147"/>
                                  </w14:solidFill>
                                </w14:textFill>
                              </w:rPr>
                              <w:t>5HR02</w:t>
                            </w:r>
                            <w:r>
                              <w:rPr>
                                <w:rFonts w:ascii="Trebuchet MS" w:cs="Trebuchet MS" w:hAnsi="Trebuchet MS" w:eastAsia="Trebuchet MS"/>
                                <w:b w:val="1"/>
                                <w:bCs w:val="1"/>
                                <w:outline w:val="0"/>
                                <w:color w:val="004147"/>
                                <w:sz w:val="48"/>
                                <w:szCs w:val="48"/>
                                <w:u w:color="004147"/>
                                <w14:textFill>
                                  <w14:solidFill>
                                    <w14:srgbClr w14:val="004147"/>
                                  </w14:solidFill>
                                </w14:textFill>
                              </w:rPr>
                              <w:br w:type="textWrapping"/>
                            </w:r>
                            <w:r>
                              <w:rPr>
                                <w:rFonts w:ascii="Trebuchet MS" w:hAnsi="Trebuchet MS"/>
                                <w:b w:val="1"/>
                                <w:bCs w:val="1"/>
                                <w:outline w:val="0"/>
                                <w:color w:val="004147"/>
                                <w:sz w:val="48"/>
                                <w:szCs w:val="48"/>
                                <w:u w:color="004147"/>
                                <w:rtl w:val="0"/>
                                <w:lang w:val="fr-FR"/>
                                <w14:textFill>
                                  <w14:solidFill>
                                    <w14:srgbClr w14:val="004147"/>
                                  </w14:solidFill>
                                </w14:textFill>
                              </w:rPr>
                              <w:t>Talent management</w:t>
                            </w:r>
                          </w:p>
                          <w:p>
                            <w:pPr>
                              <w:pStyle w:val="Body"/>
                              <w:spacing w:line="240" w:lineRule="auto"/>
                            </w:pPr>
                            <w:r>
                              <w:rPr>
                                <w:rFonts w:ascii="Trebuchet MS" w:hAnsi="Trebuchet MS"/>
                                <w:b w:val="1"/>
                                <w:bCs w:val="1"/>
                                <w:outline w:val="0"/>
                                <w:color w:val="004147"/>
                                <w:sz w:val="48"/>
                                <w:szCs w:val="48"/>
                                <w:u w:color="004147"/>
                                <w:rtl w:val="0"/>
                                <w:lang w:val="en-US"/>
                                <w14:textFill>
                                  <w14:solidFill>
                                    <w14:srgbClr w14:val="004147"/>
                                  </w14:solidFill>
                                </w14:textFill>
                              </w:rPr>
                              <w:t>and workforce planning</w:t>
                            </w:r>
                          </w:p>
                        </w:txbxContent>
                      </wps:txbx>
                      <wps:bodyPr wrap="square" lIns="36000" tIns="36000" rIns="36000" bIns="36000" numCol="1" anchor="t">
                        <a:noAutofit/>
                      </wps:bodyPr>
                    </wps:wsp>
                  </a:graphicData>
                </a:graphic>
              </wp:inline>
            </w:drawing>
          </mc:Choice>
          <mc:Fallback>
            <w:pict>
              <v:rect id="_x0000_s1033" style="visibility:visible;width:479.1pt;height:89.7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rPr>
                          <w:rFonts w:ascii="Trebuchet MS" w:cs="Trebuchet MS" w:hAnsi="Trebuchet MS" w:eastAsia="Trebuchet MS"/>
                          <w:b w:val="1"/>
                          <w:bCs w:val="1"/>
                          <w:outline w:val="0"/>
                          <w:color w:val="004147"/>
                          <w:sz w:val="48"/>
                          <w:szCs w:val="48"/>
                          <w:u w:color="004147"/>
                          <w14:textFill>
                            <w14:solidFill>
                              <w14:srgbClr w14:val="004147"/>
                            </w14:solidFill>
                          </w14:textFill>
                        </w:rPr>
                      </w:pPr>
                      <w:r>
                        <w:rPr>
                          <w:rFonts w:ascii="Trebuchet MS" w:hAnsi="Trebuchet MS"/>
                          <w:b w:val="1"/>
                          <w:bCs w:val="1"/>
                          <w:outline w:val="0"/>
                          <w:color w:val="004147"/>
                          <w:sz w:val="48"/>
                          <w:szCs w:val="48"/>
                          <w:u w:color="004147"/>
                          <w:rtl w:val="0"/>
                          <w14:textFill>
                            <w14:solidFill>
                              <w14:srgbClr w14:val="004147"/>
                            </w14:solidFill>
                          </w14:textFill>
                        </w:rPr>
                        <w:t>5HR02</w:t>
                      </w:r>
                      <w:r>
                        <w:rPr>
                          <w:rFonts w:ascii="Trebuchet MS" w:cs="Trebuchet MS" w:hAnsi="Trebuchet MS" w:eastAsia="Trebuchet MS"/>
                          <w:b w:val="1"/>
                          <w:bCs w:val="1"/>
                          <w:outline w:val="0"/>
                          <w:color w:val="004147"/>
                          <w:sz w:val="48"/>
                          <w:szCs w:val="48"/>
                          <w:u w:color="004147"/>
                          <w14:textFill>
                            <w14:solidFill>
                              <w14:srgbClr w14:val="004147"/>
                            </w14:solidFill>
                          </w14:textFill>
                        </w:rPr>
                        <w:br w:type="textWrapping"/>
                      </w:r>
                      <w:r>
                        <w:rPr>
                          <w:rFonts w:ascii="Trebuchet MS" w:hAnsi="Trebuchet MS"/>
                          <w:b w:val="1"/>
                          <w:bCs w:val="1"/>
                          <w:outline w:val="0"/>
                          <w:color w:val="004147"/>
                          <w:sz w:val="48"/>
                          <w:szCs w:val="48"/>
                          <w:u w:color="004147"/>
                          <w:rtl w:val="0"/>
                          <w:lang w:val="fr-FR"/>
                          <w14:textFill>
                            <w14:solidFill>
                              <w14:srgbClr w14:val="004147"/>
                            </w14:solidFill>
                          </w14:textFill>
                        </w:rPr>
                        <w:t>Talent management</w:t>
                      </w:r>
                    </w:p>
                    <w:p>
                      <w:pPr>
                        <w:pStyle w:val="Body"/>
                        <w:spacing w:line="240" w:lineRule="auto"/>
                      </w:pPr>
                      <w:r>
                        <w:rPr>
                          <w:rFonts w:ascii="Trebuchet MS" w:hAnsi="Trebuchet MS"/>
                          <w:b w:val="1"/>
                          <w:bCs w:val="1"/>
                          <w:outline w:val="0"/>
                          <w:color w:val="004147"/>
                          <w:sz w:val="48"/>
                          <w:szCs w:val="48"/>
                          <w:u w:color="004147"/>
                          <w:rtl w:val="0"/>
                          <w:lang w:val="en-US"/>
                          <w14:textFill>
                            <w14:solidFill>
                              <w14:srgbClr w14:val="004147"/>
                            </w14:solidFill>
                          </w14:textFill>
                        </w:rPr>
                        <w:t>and workforce planning</w:t>
                      </w:r>
                    </w:p>
                  </w:txbxContent>
                </v:textbox>
              </v:rect>
            </w:pict>
          </mc:Fallback>
        </mc:AlternateContent>
      </w:r>
    </w:p>
    <w:p>
      <w:pPr>
        <w:pStyle w:val="Body"/>
        <w:rPr>
          <w:rFonts w:ascii="Trebuchet MS" w:cs="Trebuchet MS" w:hAnsi="Trebuchet MS" w:eastAsia="Trebuchet MS"/>
          <w:i w:val="1"/>
          <w:iCs w:val="1"/>
          <w:outline w:val="0"/>
          <w:color w:val="004146"/>
          <w:u w:color="004146"/>
          <w14:textFill>
            <w14:solidFill>
              <w14:srgbClr w14:val="004146"/>
            </w14:solidFill>
          </w14:textFill>
        </w:rPr>
      </w:pPr>
    </w:p>
    <w:p>
      <w:pPr>
        <w:pStyle w:val="Body"/>
        <w:rPr>
          <w:rFonts w:ascii="Trebuchet MS" w:cs="Trebuchet MS" w:hAnsi="Trebuchet MS" w:eastAsia="Trebuchet MS"/>
          <w:i w:val="1"/>
          <w:iCs w:val="1"/>
          <w:outline w:val="0"/>
          <w:color w:val="004146"/>
          <w:sz w:val="40"/>
          <w:szCs w:val="40"/>
          <w:u w:color="004146"/>
          <w14:textFill>
            <w14:solidFill>
              <w14:srgbClr w14:val="004146"/>
            </w14:solidFill>
          </w14:textFill>
        </w:rPr>
      </w:pPr>
      <w:r>
        <w:rPr>
          <w:rFonts w:ascii="Trebuchet MS" w:hAnsi="Trebuchet MS"/>
          <w:i w:val="1"/>
          <w:iCs w:val="1"/>
          <w:outline w:val="0"/>
          <w:color w:val="004146"/>
          <w:sz w:val="40"/>
          <w:szCs w:val="40"/>
          <w:u w:color="004146"/>
          <w:rtl w:val="0"/>
          <w:lang w:val="en-US"/>
          <w14:textFill>
            <w14:solidFill>
              <w14:srgbClr w14:val="004146"/>
            </w14:solidFill>
          </w14:textFill>
        </w:rPr>
        <w:t>Marking Guidance for Assessors</w:t>
      </w:r>
    </w:p>
    <w:p>
      <w:pPr>
        <w:pStyle w:val="Body"/>
        <w:rPr>
          <w:rFonts w:ascii="Trebuchet MS" w:cs="Trebuchet MS" w:hAnsi="Trebuchet MS" w:eastAsia="Trebuchet MS"/>
          <w:i w:val="1"/>
          <w:iCs w:val="1"/>
          <w:outline w:val="0"/>
          <w:color w:val="004146"/>
          <w:u w:color="004146"/>
          <w14:textFill>
            <w14:solidFill>
              <w14:srgbClr w14:val="004146"/>
            </w14:solidFill>
          </w14:textFill>
        </w:rPr>
      </w:pPr>
    </w:p>
    <w:p>
      <w:pPr>
        <w:pStyle w:val="Nornal"/>
        <w:rPr>
          <w:rFonts w:ascii="Trebuchet MS" w:cs="Trebuchet MS" w:hAnsi="Trebuchet MS" w:eastAsia="Trebuchet MS"/>
        </w:rPr>
      </w:pPr>
      <w:r>
        <w:rPr>
          <w:rFonts w:ascii="Trebuchet MS" w:hAnsi="Trebuchet MS"/>
          <w:rtl w:val="0"/>
          <w:lang w:val="en-US"/>
        </w:rPr>
        <w:t xml:space="preserve">You should mark in line with the marking descriptors set out on page 12 of this brief. </w:t>
      </w:r>
    </w:p>
    <w:p>
      <w:pPr>
        <w:pStyle w:val="Nornal"/>
        <w:rPr>
          <w:rFonts w:ascii="Trebuchet MS" w:cs="Trebuchet MS" w:hAnsi="Trebuchet MS" w:eastAsia="Trebuchet MS"/>
        </w:rPr>
      </w:pPr>
      <w:r>
        <w:rPr>
          <w:rFonts w:ascii="Trebuchet MS" w:hAnsi="Trebuchet MS"/>
          <w:rtl w:val="0"/>
          <w:lang w:val="en-US"/>
        </w:rPr>
        <w:t xml:space="preserve">You must provide a mark from one to four for each question set. You </w:t>
      </w:r>
      <w:r>
        <w:rPr>
          <w:rFonts w:ascii="Trebuchet MS" w:hAnsi="Trebuchet MS"/>
          <w:b w:val="1"/>
          <w:bCs w:val="1"/>
          <w:rtl w:val="0"/>
          <w:lang w:val="en-US"/>
        </w:rPr>
        <w:t>must</w:t>
      </w:r>
      <w:r>
        <w:rPr>
          <w:rFonts w:ascii="Trebuchet MS" w:hAnsi="Trebuchet MS"/>
          <w:rtl w:val="0"/>
          <w:lang w:val="en-US"/>
        </w:rPr>
        <w:t xml:space="preserve"> provide constructive, developmental feedback against each question where you award a mark of one, so refer/fail and rich summary feedback at the end of the feedback form, following the instructions provided there.</w:t>
      </w:r>
    </w:p>
    <w:p>
      <w:pPr>
        <w:pStyle w:val="Nornal"/>
        <w:rPr>
          <w:rFonts w:ascii="Trebuchet MS" w:cs="Trebuchet MS" w:hAnsi="Trebuchet MS" w:eastAsia="Trebuchet MS"/>
        </w:rPr>
      </w:pPr>
      <w:r>
        <w:rPr>
          <w:rFonts w:ascii="Trebuchet MS" w:hAnsi="Trebuchet MS"/>
          <w:rtl w:val="0"/>
          <w:lang w:val="en-US"/>
        </w:rPr>
        <w:t xml:space="preserve">To pass the unit assessment learners </w:t>
      </w:r>
      <w:r>
        <w:rPr>
          <w:rFonts w:ascii="Trebuchet MS" w:hAnsi="Trebuchet MS"/>
          <w:b w:val="1"/>
          <w:bCs w:val="1"/>
          <w:rtl w:val="0"/>
          <w:lang w:val="en-US"/>
        </w:rPr>
        <w:t>must</w:t>
      </w:r>
      <w:r>
        <w:rPr>
          <w:rFonts w:ascii="Trebuchet MS" w:hAnsi="Trebuchet MS"/>
          <w:rtl w:val="0"/>
          <w:lang w:val="en-US"/>
        </w:rPr>
        <w:t xml:space="preserve"> achieve a mark of two (Low Pass) or above </w:t>
      </w:r>
      <w:r>
        <w:rPr>
          <w:rFonts w:ascii="Trebuchet MS" w:hAnsi="Trebuchet MS"/>
          <w:b w:val="1"/>
          <w:bCs w:val="1"/>
          <w:rtl w:val="0"/>
          <w:lang w:val="en-US"/>
        </w:rPr>
        <w:t>for each of</w:t>
      </w:r>
      <w:r>
        <w:rPr>
          <w:rFonts w:ascii="Trebuchet MS" w:hAnsi="Trebuchet MS"/>
          <w:rtl w:val="0"/>
          <w:lang w:val="en-US"/>
        </w:rPr>
        <w:t xml:space="preserve"> </w:t>
      </w:r>
      <w:r>
        <w:rPr>
          <w:rFonts w:ascii="Trebuchet MS" w:hAnsi="Trebuchet MS"/>
          <w:b w:val="1"/>
          <w:bCs w:val="1"/>
          <w:rtl w:val="0"/>
          <w:lang w:val="en-US"/>
        </w:rPr>
        <w:t>the questions.</w:t>
      </w:r>
      <w:r>
        <w:rPr>
          <w:rFonts w:ascii="Trebuchet MS" w:hAnsi="Trebuchet MS"/>
          <w:rtl w:val="0"/>
          <w:lang w:val="en-US"/>
        </w:rPr>
        <w:t xml:space="preserve"> You must refer/fail them if you award a mark of one for any of the questions.</w:t>
      </w:r>
    </w:p>
    <w:p>
      <w:pPr>
        <w:pStyle w:val="Nornal"/>
        <w:rPr>
          <w:rFonts w:ascii="Trebuchet MS" w:cs="Trebuchet MS" w:hAnsi="Trebuchet MS" w:eastAsia="Trebuchet MS"/>
          <w:u w:val="single"/>
        </w:rPr>
      </w:pPr>
      <w:r>
        <w:rPr>
          <w:rFonts w:ascii="Trebuchet MS" w:hAnsi="Trebuchet MS"/>
          <w:rtl w:val="0"/>
          <w:lang w:val="en-US"/>
        </w:rPr>
        <w:t xml:space="preserve">Please ensure that you use the correct terminology. Learners have three attempts at the assessment. They only </w:t>
      </w:r>
      <w:r>
        <w:rPr>
          <w:rFonts w:ascii="Trebuchet MS" w:hAnsi="Trebuchet MS" w:hint="default"/>
          <w:rtl w:val="0"/>
          <w:lang w:val="en-US"/>
        </w:rPr>
        <w:t>‘</w:t>
      </w:r>
      <w:r>
        <w:rPr>
          <w:rFonts w:ascii="Trebuchet MS" w:hAnsi="Trebuchet MS"/>
          <w:rtl w:val="0"/>
          <w:lang w:val="en-US"/>
        </w:rPr>
        <w:t>fail</w:t>
      </w:r>
      <w:r>
        <w:rPr>
          <w:rFonts w:ascii="Trebuchet MS" w:hAnsi="Trebuchet MS" w:hint="default"/>
          <w:rtl w:val="0"/>
          <w:lang w:val="en-US"/>
        </w:rPr>
        <w:t xml:space="preserve">’ </w:t>
      </w:r>
      <w:r>
        <w:rPr>
          <w:rFonts w:ascii="Trebuchet MS" w:hAnsi="Trebuchet MS"/>
          <w:rtl w:val="0"/>
          <w:lang w:val="en-US"/>
        </w:rPr>
        <w:t xml:space="preserve">the assessment if they do not achieve a mark of one for any of the questions at their third attempt. Until then they are </w:t>
      </w:r>
      <w:r>
        <w:rPr>
          <w:rFonts w:ascii="Trebuchet MS" w:hAnsi="Trebuchet MS" w:hint="default"/>
          <w:rtl w:val="0"/>
          <w:lang w:val="en-US"/>
        </w:rPr>
        <w:t>‘</w:t>
      </w:r>
      <w:r>
        <w:rPr>
          <w:rFonts w:ascii="Trebuchet MS" w:hAnsi="Trebuchet MS"/>
          <w:rtl w:val="0"/>
          <w:lang w:val="en-US"/>
        </w:rPr>
        <w:t>referred</w:t>
      </w:r>
      <w:r>
        <w:rPr>
          <w:rFonts w:ascii="Trebuchet MS" w:hAnsi="Trebuchet MS" w:hint="default"/>
          <w:rtl w:val="0"/>
          <w:lang w:val="en-US"/>
        </w:rPr>
        <w:t>’</w:t>
      </w:r>
      <w:r>
        <w:rPr>
          <w:rFonts w:ascii="Trebuchet MS" w:hAnsi="Trebuchet MS"/>
          <w:rtl w:val="0"/>
          <w:lang w:val="en-US"/>
        </w:rPr>
        <w:t>.</w:t>
      </w:r>
    </w:p>
    <w:p>
      <w:pPr>
        <w:pStyle w:val="Body"/>
        <w:rPr>
          <w:rFonts w:ascii="Trebuchet MS" w:cs="Trebuchet MS" w:hAnsi="Trebuchet MS" w:eastAsia="Trebuchet MS"/>
        </w:rPr>
      </w:pPr>
      <w:r>
        <w:rPr>
          <w:rFonts w:ascii="Trebuchet MS" w:hAnsi="Trebuchet MS"/>
          <w:rtl w:val="0"/>
          <w:lang w:val="en-US"/>
        </w:rPr>
        <w:t>When you have marked each question, you should total the marks awarded and determine the unit outcome. The table below shows the marking bands for each outcome for this unit.</w:t>
      </w:r>
    </w:p>
    <w:p>
      <w:pPr>
        <w:pStyle w:val="Body"/>
        <w:rPr>
          <w:rFonts w:ascii="Trebuchet MS" w:cs="Trebuchet MS" w:hAnsi="Trebuchet MS" w:eastAsia="Trebuchet MS"/>
          <w:b w:val="1"/>
          <w:bCs w:val="1"/>
        </w:rPr>
      </w:pPr>
    </w:p>
    <w:tbl>
      <w:tblPr>
        <w:tblW w:w="601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50"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Overall mark</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Unit result</w:t>
            </w:r>
          </w:p>
        </w:tc>
      </w:tr>
      <w:tr>
        <w:tblPrEx>
          <w:shd w:val="clear" w:color="auto" w:fill="cfcad0"/>
        </w:tblPrEx>
        <w:trPr>
          <w:trHeight w:val="294"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0 to 19</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Fail</w:t>
            </w:r>
          </w:p>
        </w:tc>
      </w:tr>
      <w:tr>
        <w:tblPrEx>
          <w:shd w:val="clear" w:color="auto" w:fill="cfcad0"/>
        </w:tblPrEx>
        <w:trPr>
          <w:trHeight w:val="294"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 xml:space="preserve">20 to 25 </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Low Pass</w:t>
            </w:r>
          </w:p>
        </w:tc>
      </w:tr>
      <w:tr>
        <w:tblPrEx>
          <w:shd w:val="clear" w:color="auto" w:fill="cfcad0"/>
        </w:tblPrEx>
        <w:trPr>
          <w:trHeight w:val="294"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26 to 32</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Pass</w:t>
            </w:r>
          </w:p>
        </w:tc>
      </w:tr>
      <w:tr>
        <w:tblPrEx>
          <w:shd w:val="clear" w:color="auto" w:fill="cfcad0"/>
        </w:tblPrEx>
        <w:trPr>
          <w:trHeight w:val="250"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33 to 40</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rFonts w:ascii="Trebuchet MS" w:hAnsi="Trebuchet MS"/>
                <w:b w:val="1"/>
                <w:bCs w:val="1"/>
                <w:shd w:val="nil" w:color="auto" w:fill="auto"/>
                <w:rtl w:val="0"/>
                <w:lang w:val="en-US"/>
              </w:rPr>
              <w:t>High Pass</w:t>
            </w:r>
          </w:p>
        </w:tc>
      </w:tr>
    </w:tbl>
    <w:p>
      <w:pPr>
        <w:pStyle w:val="Body"/>
        <w:widowControl w:val="0"/>
        <w:spacing w:line="240" w:lineRule="auto"/>
        <w:jc w:val="center"/>
        <w:rPr>
          <w:rFonts w:ascii="Trebuchet MS" w:cs="Trebuchet MS" w:hAnsi="Trebuchet MS" w:eastAsia="Trebuchet MS"/>
          <w:b w:val="1"/>
          <w:bCs w:val="1"/>
        </w:rPr>
      </w:pPr>
    </w:p>
    <w:p>
      <w:pPr>
        <w:pStyle w:val="Nornal"/>
        <w:spacing w:after="0"/>
        <w:rPr>
          <w:rFonts w:ascii="Trebuchet MS" w:cs="Trebuchet MS" w:hAnsi="Trebuchet MS" w:eastAsia="Trebuchet MS"/>
        </w:rPr>
      </w:pPr>
    </w:p>
    <w:p>
      <w:pPr>
        <w:pStyle w:val="Nornal"/>
        <w:rPr>
          <w:rFonts w:ascii="Trebuchet MS" w:cs="Trebuchet MS" w:hAnsi="Trebuchet MS" w:eastAsia="Trebuchet MS"/>
        </w:rPr>
      </w:pPr>
      <w:r>
        <w:rPr>
          <w:rFonts w:ascii="Trebuchet MS" w:hAnsi="Trebuchet MS"/>
          <w:rtl w:val="0"/>
          <w:lang w:val="en-US"/>
        </w:rPr>
        <w:t xml:space="preserve">Please note that the unit outcome is provided: </w:t>
      </w:r>
    </w:p>
    <w:p>
      <w:pPr>
        <w:pStyle w:val="Nornal"/>
        <w:numPr>
          <w:ilvl w:val="0"/>
          <w:numId w:val="11"/>
        </w:numPr>
        <w:bidi w:val="0"/>
        <w:spacing w:after="0" w:line="240" w:lineRule="auto"/>
        <w:ind w:right="0"/>
        <w:jc w:val="left"/>
        <w:rPr>
          <w:rFonts w:ascii="Trebuchet MS" w:hAnsi="Trebuchet MS"/>
          <w:rtl w:val="0"/>
          <w:lang w:val="en-US"/>
        </w:rPr>
      </w:pPr>
      <w:r>
        <w:rPr>
          <w:rFonts w:ascii="Trebuchet MS" w:hAnsi="Trebuchet MS"/>
          <w:rtl w:val="0"/>
          <w:lang w:val="en-US"/>
        </w:rPr>
        <w:t>to help learners understand where they are performing well and where they may need to develop</w:t>
      </w:r>
    </w:p>
    <w:p>
      <w:pPr>
        <w:pStyle w:val="Nornal"/>
        <w:numPr>
          <w:ilvl w:val="0"/>
          <w:numId w:val="11"/>
        </w:numPr>
        <w:bidi w:val="0"/>
        <w:spacing w:after="0" w:line="240" w:lineRule="auto"/>
        <w:ind w:right="0"/>
        <w:jc w:val="left"/>
        <w:rPr>
          <w:rFonts w:ascii="Trebuchet MS" w:hAnsi="Trebuchet MS"/>
          <w:rtl w:val="0"/>
          <w:lang w:val="en-US"/>
        </w:rPr>
      </w:pPr>
      <w:r>
        <w:rPr>
          <w:rFonts w:ascii="Trebuchet MS" w:hAnsi="Trebuchet MS"/>
          <w:rtl w:val="0"/>
          <w:lang w:val="en-US"/>
        </w:rPr>
        <w:t>to help inform your teaching practice</w:t>
      </w:r>
    </w:p>
    <w:p>
      <w:pPr>
        <w:pStyle w:val="Nornal"/>
        <w:numPr>
          <w:ilvl w:val="0"/>
          <w:numId w:val="11"/>
        </w:numPr>
        <w:bidi w:val="0"/>
        <w:spacing w:after="0" w:line="240" w:lineRule="auto"/>
        <w:ind w:right="0"/>
        <w:jc w:val="left"/>
        <w:rPr>
          <w:rFonts w:ascii="Trebuchet MS" w:hAnsi="Trebuchet MS"/>
          <w:rtl w:val="0"/>
          <w:lang w:val="en-US"/>
        </w:rPr>
      </w:pPr>
      <w:r>
        <w:rPr>
          <w:rFonts w:ascii="Trebuchet MS" w:hAnsi="Trebuchet MS"/>
          <w:rtl w:val="0"/>
          <w:lang w:val="en-US"/>
        </w:rPr>
        <w:t>for moderation purposes</w:t>
      </w:r>
    </w:p>
    <w:p>
      <w:pPr>
        <w:pStyle w:val="Nornal"/>
        <w:spacing w:after="0" w:line="240" w:lineRule="auto"/>
        <w:ind w:left="714" w:firstLine="0"/>
        <w:rPr>
          <w:rFonts w:ascii="Trebuchet MS" w:cs="Trebuchet MS" w:hAnsi="Trebuchet MS" w:eastAsia="Trebuchet MS"/>
          <w:u w:val="single"/>
        </w:rPr>
      </w:pPr>
    </w:p>
    <w:p>
      <w:pPr>
        <w:pStyle w:val="Body"/>
        <w:rPr>
          <w:rFonts w:ascii="Trebuchet MS" w:cs="Trebuchet MS" w:hAnsi="Trebuchet MS" w:eastAsia="Trebuchet MS"/>
          <w:b w:val="1"/>
          <w:bCs w:val="1"/>
          <w:outline w:val="0"/>
          <w:color w:val="004147"/>
          <w:sz w:val="28"/>
          <w:szCs w:val="28"/>
          <w:u w:color="004147"/>
          <w14:textFill>
            <w14:solidFill>
              <w14:srgbClr w14:val="004147"/>
            </w14:solidFill>
          </w14:textFill>
        </w:rPr>
      </w:pPr>
      <w:r>
        <w:rPr>
          <w:rFonts w:ascii="Trebuchet MS" w:hAnsi="Trebuchet MS"/>
          <w:rtl w:val="0"/>
          <w:lang w:val="en-US"/>
        </w:rPr>
        <w:t>The qualification is not graded and unit outcomes do not appear on learners</w:t>
      </w:r>
      <w:r>
        <w:rPr>
          <w:rFonts w:ascii="Trebuchet MS" w:hAnsi="Trebuchet MS" w:hint="default"/>
          <w:rtl w:val="0"/>
          <w:lang w:val="en-US"/>
        </w:rPr>
        <w:t xml:space="preserve">’ </w:t>
      </w:r>
      <w:r>
        <w:rPr>
          <w:rFonts w:ascii="Trebuchet MS" w:hAnsi="Trebuchet MS"/>
          <w:rtl w:val="0"/>
          <w:lang w:val="en-US"/>
        </w:rPr>
        <w:t>certificates or statements of unit credit.</w:t>
      </w:r>
    </w:p>
    <w:p>
      <w:pPr>
        <w:pStyle w:val="Body"/>
      </w:pPr>
      <w:r>
        <w:rPr>
          <w:rFonts w:ascii="Arial Unicode MS" w:cs="Arial Unicode MS" w:hAnsi="Arial Unicode MS" w:eastAsia="Arial Unicode MS"/>
          <w:b w:val="0"/>
          <w:bCs w:val="0"/>
          <w:i w:val="0"/>
          <w:iCs w:val="0"/>
          <w:sz w:val="36"/>
          <w:szCs w:val="36"/>
        </w:rPr>
        <w:br w:type="page"/>
      </w:r>
    </w:p>
    <w:p>
      <w:pPr>
        <w:pStyle w:val="Heading"/>
        <w:rPr>
          <w:rFonts w:ascii="Trebuchet MS" w:cs="Trebuchet MS" w:hAnsi="Trebuchet MS" w:eastAsia="Trebuchet MS"/>
          <w:i w:val="0"/>
          <w:iCs w:val="0"/>
          <w:outline w:val="0"/>
          <w:color w:val="243e15"/>
          <w:u w:color="243e15"/>
          <w14:textFill>
            <w14:solidFill>
              <w14:srgbClr w14:val="243E15"/>
            </w14:solidFill>
          </w14:textFill>
        </w:rPr>
      </w:pPr>
      <w:r>
        <w:rPr>
          <w:rFonts w:ascii="Trebuchet MS" w:hAnsi="Trebuchet MS"/>
          <w:sz w:val="40"/>
          <w:szCs w:val="40"/>
          <w:rtl w:val="0"/>
          <w:lang w:val="en-US"/>
        </w:rPr>
        <w:t>Marking Descriptors</w:t>
      </w:r>
    </w:p>
    <w:tbl>
      <w:tblPr>
        <w:tblW w:w="963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704"/>
        <w:gridCol w:w="851"/>
        <w:gridCol w:w="8079"/>
      </w:tblGrid>
      <w:tr>
        <w:tblPrEx>
          <w:shd w:val="clear" w:color="auto" w:fill="520d5d"/>
        </w:tblPrEx>
        <w:trPr>
          <w:trHeight w:val="570"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Mark</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Range</w:t>
            </w:r>
          </w:p>
        </w:tc>
        <w:tc>
          <w:tcPr>
            <w:tcW w:type="dxa" w:w="80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Descriptor</w:t>
            </w:r>
          </w:p>
        </w:tc>
      </w:tr>
      <w:tr>
        <w:tblPrEx>
          <w:shd w:val="clear" w:color="auto" w:fill="520d5d"/>
        </w:tblPrEx>
        <w:trPr>
          <w:trHeight w:val="2804"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1</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 xml:space="preserve">Refer/Fail </w:t>
            </w:r>
          </w:p>
        </w:tc>
        <w:tc>
          <w:tcPr>
            <w:tcW w:type="dxa" w:w="80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DOES NOT </w:t>
            </w:r>
          </w:p>
          <w:p>
            <w:pPr>
              <w:pStyle w:val="List Paragraph"/>
              <w:numPr>
                <w:ilvl w:val="0"/>
                <w:numId w:val="12"/>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demonstrate the knowledge, understanding or skill required to meet the AC.</w:t>
            </w:r>
          </w:p>
          <w:p>
            <w:pPr>
              <w:pStyle w:val="List Paragraph"/>
              <w:numPr>
                <w:ilvl w:val="0"/>
                <w:numId w:val="12"/>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any, or appropriate examples, where these are required to support the answer.</w:t>
            </w:r>
          </w:p>
          <w:p>
            <w:pPr>
              <w:pStyle w:val="List Paragraph"/>
              <w:numPr>
                <w:ilvl w:val="0"/>
                <w:numId w:val="12"/>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evidence of the use of reading and research to inform the answer.</w:t>
            </w:r>
          </w:p>
          <w:p>
            <w:pPr>
              <w:pStyle w:val="List Paragraph"/>
              <w:numPr>
                <w:ilvl w:val="0"/>
                <w:numId w:val="12"/>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at least one appropriate reference for each assessment criteria (where this is required).*</w:t>
            </w:r>
          </w:p>
          <w:p>
            <w:pPr>
              <w:pStyle w:val="List Paragraph"/>
              <w:numPr>
                <w:ilvl w:val="0"/>
                <w:numId w:val="12"/>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refer to the case study. </w:t>
            </w:r>
          </w:p>
          <w:p>
            <w:pPr>
              <w:pStyle w:val="List Paragraph"/>
              <w:numPr>
                <w:ilvl w:val="0"/>
                <w:numId w:val="12"/>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respond clearly to the question/task and is not well expressed.</w:t>
            </w:r>
          </w:p>
          <w:p>
            <w:pPr>
              <w:pStyle w:val="List Paragraph"/>
              <w:numPr>
                <w:ilvl w:val="0"/>
                <w:numId w:val="12"/>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have an appropriate format or structure which meets the requirements set out in the brief.</w:t>
            </w:r>
          </w:p>
        </w:tc>
      </w:tr>
      <w:tr>
        <w:tblPrEx>
          <w:shd w:val="clear" w:color="auto" w:fill="520d5d"/>
        </w:tblPrEx>
        <w:trPr>
          <w:trHeight w:val="2567"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2</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Low Pass</w:t>
            </w:r>
          </w:p>
        </w:tc>
        <w:tc>
          <w:tcPr>
            <w:tcW w:type="dxa" w:w="80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DOES </w:t>
            </w:r>
          </w:p>
          <w:p>
            <w:pPr>
              <w:pStyle w:val="List Paragraph"/>
              <w:numPr>
                <w:ilvl w:val="0"/>
                <w:numId w:val="13"/>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demonstrate the minimum level of knowledge, understanding or skill required to meet the AC.  </w:t>
            </w:r>
          </w:p>
          <w:p>
            <w:pPr>
              <w:pStyle w:val="List Paragraph"/>
              <w:numPr>
                <w:ilvl w:val="0"/>
                <w:numId w:val="13"/>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an appropriate example where this is required to support the answer.</w:t>
            </w:r>
          </w:p>
          <w:p>
            <w:pPr>
              <w:pStyle w:val="List Paragraph"/>
              <w:numPr>
                <w:ilvl w:val="0"/>
                <w:numId w:val="13"/>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include evidence of some reading and research to inform the answer. </w:t>
            </w:r>
          </w:p>
          <w:p>
            <w:pPr>
              <w:pStyle w:val="List Paragraph"/>
              <w:numPr>
                <w:ilvl w:val="0"/>
                <w:numId w:val="13"/>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 reference for each assessment criteria (where this is required).*</w:t>
            </w:r>
          </w:p>
          <w:p>
            <w:pPr>
              <w:pStyle w:val="List Paragraph"/>
              <w:numPr>
                <w:ilvl w:val="0"/>
                <w:numId w:val="13"/>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refer to the case study.</w:t>
            </w:r>
          </w:p>
          <w:p>
            <w:pPr>
              <w:pStyle w:val="List Paragraph"/>
              <w:numPr>
                <w:ilvl w:val="0"/>
                <w:numId w:val="13"/>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respond to the question or task although it could be clearer and/or better expressed.</w:t>
            </w:r>
          </w:p>
          <w:p>
            <w:pPr>
              <w:pStyle w:val="List Paragraph"/>
              <w:numPr>
                <w:ilvl w:val="0"/>
                <w:numId w:val="13"/>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have an appropriate format or structure which meets the requirements set out in the brief.</w:t>
            </w:r>
          </w:p>
        </w:tc>
      </w:tr>
      <w:tr>
        <w:tblPrEx>
          <w:shd w:val="clear" w:color="auto" w:fill="520d5d"/>
        </w:tblPrEx>
        <w:trPr>
          <w:trHeight w:val="2804"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3</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Pass</w:t>
            </w:r>
            <w:r>
              <w:rPr>
                <w:rFonts w:ascii="Trebuchet MS" w:cs="Trebuchet MS" w:hAnsi="Trebuchet MS" w:eastAsia="Trebuchet MS"/>
                <w:b w:val="1"/>
                <w:bCs w:val="1"/>
                <w:outline w:val="0"/>
                <w:color w:val="004147"/>
                <w:sz w:val="24"/>
                <w:szCs w:val="24"/>
                <w:u w:color="004147"/>
                <w:shd w:val="nil" w:color="auto" w:fill="auto"/>
                <w14:textFill>
                  <w14:solidFill>
                    <w14:srgbClr w14:val="004147"/>
                  </w14:solidFill>
                </w14:textFill>
              </w:rPr>
            </w:r>
          </w:p>
        </w:tc>
        <w:tc>
          <w:tcPr>
            <w:tcW w:type="dxa" w:w="80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w:t>
            </w:r>
          </w:p>
          <w:p>
            <w:pPr>
              <w:pStyle w:val="List Paragraph"/>
              <w:numPr>
                <w:ilvl w:val="0"/>
                <w:numId w:val="14"/>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demonstrates a good level of the knowledge, understanding or skill required to meet the AC.</w:t>
            </w:r>
          </w:p>
          <w:p>
            <w:pPr>
              <w:pStyle w:val="List Paragraph"/>
              <w:numPr>
                <w:ilvl w:val="0"/>
                <w:numId w:val="14"/>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use of a good example or examples where these are required to support the answer.</w:t>
            </w:r>
          </w:p>
          <w:p>
            <w:pPr>
              <w:pStyle w:val="List Paragraph"/>
              <w:numPr>
                <w:ilvl w:val="0"/>
                <w:numId w:val="14"/>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evidence of a good level of reading and research to inform the answer.</w:t>
            </w:r>
          </w:p>
          <w:p>
            <w:pPr>
              <w:pStyle w:val="List Paragraph"/>
              <w:numPr>
                <w:ilvl w:val="0"/>
                <w:numId w:val="14"/>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good use of at least one reference for each assessment criteria (where this is required).*</w:t>
            </w:r>
          </w:p>
          <w:p>
            <w:pPr>
              <w:pStyle w:val="List Paragraph"/>
              <w:numPr>
                <w:ilvl w:val="0"/>
                <w:numId w:val="14"/>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makes good reference to the case study. </w:t>
            </w:r>
          </w:p>
          <w:p>
            <w:pPr>
              <w:pStyle w:val="List Paragraph"/>
              <w:numPr>
                <w:ilvl w:val="0"/>
                <w:numId w:val="14"/>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directly addresses the question/task and is well expressed.</w:t>
            </w:r>
          </w:p>
          <w:p>
            <w:pPr>
              <w:pStyle w:val="List Paragraph"/>
              <w:keepNext w:val="1"/>
              <w:numPr>
                <w:ilvl w:val="0"/>
                <w:numId w:val="15"/>
              </w:numPr>
              <w:bidi w:val="0"/>
              <w:spacing w:line="240" w:lineRule="auto"/>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has a good format or structure which meets the requirements set out in the brief.</w:t>
            </w:r>
          </w:p>
        </w:tc>
      </w:tr>
      <w:tr>
        <w:tblPrEx>
          <w:shd w:val="clear" w:color="auto" w:fill="520d5d"/>
        </w:tblPrEx>
        <w:trPr>
          <w:trHeight w:val="2842"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4</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High Pass</w:t>
            </w:r>
          </w:p>
        </w:tc>
        <w:tc>
          <w:tcPr>
            <w:tcW w:type="dxa" w:w="80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w:t>
            </w:r>
          </w:p>
          <w:p>
            <w:pPr>
              <w:pStyle w:val="List Paragraph"/>
              <w:numPr>
                <w:ilvl w:val="0"/>
                <w:numId w:val="16"/>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demonstrates an excellent level of the knowledge, understanding or skill required to meet the AC.</w:t>
            </w:r>
          </w:p>
          <w:p>
            <w:pPr>
              <w:pStyle w:val="List Paragraph"/>
              <w:numPr>
                <w:ilvl w:val="0"/>
                <w:numId w:val="16"/>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use of an excellent example or examples where these are required to support the answer.</w:t>
            </w:r>
          </w:p>
          <w:p>
            <w:pPr>
              <w:pStyle w:val="List Paragraph"/>
              <w:numPr>
                <w:ilvl w:val="0"/>
                <w:numId w:val="16"/>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includes evidence of extensive reading and research to inform the answer. </w:t>
            </w:r>
            <w:r>
              <w:rPr>
                <w:rFonts w:ascii="Trebuchet MS" w:hAnsi="Trebuchet MS" w:hint="default"/>
                <w:outline w:val="0"/>
                <w:color w:val="004147"/>
                <w:sz w:val="20"/>
                <w:szCs w:val="20"/>
                <w:u w:color="004147"/>
                <w:shd w:val="nil" w:color="auto" w:fill="auto"/>
                <w:rtl w:val="0"/>
                <w:lang w:val="en-US"/>
                <w14:textFill>
                  <w14:solidFill>
                    <w14:srgbClr w14:val="004147"/>
                  </w14:solidFill>
                </w14:textFill>
              </w:rPr>
              <w:t> </w:t>
            </w:r>
          </w:p>
          <w:p>
            <w:pPr>
              <w:pStyle w:val="List Paragraph"/>
              <w:numPr>
                <w:ilvl w:val="0"/>
                <w:numId w:val="16"/>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excellent use of at least one reference for each assessment criteria (where this is required).*</w:t>
            </w:r>
          </w:p>
          <w:p>
            <w:pPr>
              <w:pStyle w:val="List Paragraph"/>
              <w:numPr>
                <w:ilvl w:val="0"/>
                <w:numId w:val="16"/>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makes excellent reference to the case study.</w:t>
            </w:r>
          </w:p>
          <w:p>
            <w:pPr>
              <w:pStyle w:val="List Paragraph"/>
              <w:numPr>
                <w:ilvl w:val="0"/>
                <w:numId w:val="16"/>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responds very clearly to the question/task and is particularly well expressed.</w:t>
            </w:r>
          </w:p>
          <w:p>
            <w:pPr>
              <w:pStyle w:val="List Paragraph"/>
              <w:numPr>
                <w:ilvl w:val="0"/>
                <w:numId w:val="16"/>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has an excellent format or structure which meets the requirements set out in the brief.</w:t>
            </w:r>
          </w:p>
        </w:tc>
      </w:tr>
      <w:tr>
        <w:tblPrEx>
          <w:shd w:val="clear" w:color="auto" w:fill="cfcad0"/>
        </w:tblPrEx>
        <w:trPr>
          <w:trHeight w:val="910" w:hRule="atLeast"/>
        </w:trPr>
        <w:tc>
          <w:tcPr>
            <w:tcW w:type="dxa" w:w="155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ff6f7"/>
            <w:tcMar>
              <w:top w:type="dxa" w:w="80"/>
              <w:left w:type="dxa" w:w="80"/>
              <w:bottom w:type="dxa" w:w="80"/>
              <w:right w:type="dxa" w:w="80"/>
            </w:tcMar>
            <w:vAlign w:val="top"/>
          </w:tcPr>
          <w:p/>
        </w:tc>
        <w:tc>
          <w:tcPr>
            <w:tcW w:type="dxa" w:w="80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line="240" w:lineRule="auto"/>
            </w:pPr>
            <w:r>
              <w:rPr>
                <w:rFonts w:ascii="Trebuchet MS" w:hAnsi="Trebuchet MS"/>
                <w:outline w:val="0"/>
                <w:color w:val="004147"/>
                <w:sz w:val="20"/>
                <w:szCs w:val="20"/>
                <w:u w:color="004147"/>
                <w:shd w:val="nil" w:color="auto" w:fill="auto"/>
                <w:rtl w:val="0"/>
                <w:lang w:val="en-US"/>
                <w14:textFill>
                  <w14:solidFill>
                    <w14:srgbClr w14:val="004147"/>
                  </w14:solidFill>
                </w14:textFill>
              </w:rPr>
              <w:t>*Not all ACs in each unit need a reference. If they don</w:t>
            </w:r>
            <w:r>
              <w:rPr>
                <w:rFonts w:ascii="Trebuchet MS" w:hAnsi="Trebuchet MS" w:hint="default"/>
                <w:outline w:val="0"/>
                <w:color w:val="004147"/>
                <w:sz w:val="20"/>
                <w:szCs w:val="20"/>
                <w:u w:color="004147"/>
                <w:shd w:val="nil" w:color="auto" w:fill="auto"/>
                <w:rtl w:val="0"/>
                <w:lang w:val="en-US"/>
                <w14:textFill>
                  <w14:solidFill>
                    <w14:srgbClr w14:val="004147"/>
                  </w14:solidFill>
                </w14:textFill>
              </w:rPr>
              <w:t>’</w:t>
            </w: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 the brief will say so. </w:t>
            </w:r>
            <w:r>
              <w:rPr>
                <w:rFonts w:ascii="Trebuchet MS" w:hAnsi="Trebuchet MS"/>
                <w:b w:val="1"/>
                <w:bCs w:val="1"/>
                <w:outline w:val="0"/>
                <w:color w:val="004147"/>
                <w:sz w:val="20"/>
                <w:szCs w:val="20"/>
                <w:u w:color="004147"/>
                <w:shd w:val="nil" w:color="auto" w:fill="auto"/>
                <w:rtl w:val="0"/>
                <w:lang w:val="en-US"/>
                <w14:textFill>
                  <w14:solidFill>
                    <w14:srgbClr w14:val="004147"/>
                  </w14:solidFill>
                </w14:textFill>
              </w:rPr>
              <w:t xml:space="preserve">All </w:t>
            </w:r>
            <w:r>
              <w:rPr>
                <w:rFonts w:ascii="Trebuchet MS" w:hAnsi="Trebuchet MS"/>
                <w:outline w:val="0"/>
                <w:color w:val="004147"/>
                <w:sz w:val="20"/>
                <w:szCs w:val="20"/>
                <w:u w:color="004147"/>
                <w:shd w:val="nil" w:color="auto" w:fill="auto"/>
                <w:rtl w:val="0"/>
                <w:lang w:val="en-US"/>
                <w14:textFill>
                  <w14:solidFill>
                    <w14:srgbClr w14:val="004147"/>
                  </w14:solidFill>
                </w14:textFill>
              </w:rPr>
              <w:t>ACs in Unit 5HR02 require a reference.</w:t>
            </w:r>
            <w:r>
              <w:rPr>
                <w:rFonts w:ascii="Trebuchet MS" w:hAnsi="Trebuchet MS"/>
                <w:outline w:val="0"/>
                <w:color w:val="004147"/>
                <w:sz w:val="22"/>
                <w:szCs w:val="22"/>
                <w:u w:color="004147"/>
                <w:shd w:val="nil" w:color="auto" w:fill="auto"/>
                <w:rtl w:val="0"/>
                <w:lang w:val="en-US"/>
                <w14:textFill>
                  <w14:solidFill>
                    <w14:srgbClr w14:val="004147"/>
                  </w14:solidFill>
                </w14:textFill>
              </w:rPr>
              <w:t xml:space="preserve"> </w:t>
            </w:r>
            <w:r>
              <w:rPr>
                <w:rFonts w:ascii="Trebuchet MS" w:hAnsi="Trebuchet MS"/>
                <w:outline w:val="0"/>
                <w:color w:val="004147"/>
                <w:sz w:val="20"/>
                <w:szCs w:val="20"/>
                <w:u w:color="004147"/>
                <w:shd w:val="nil" w:color="auto" w:fill="auto"/>
                <w:rtl w:val="0"/>
                <w:lang w:val="en-US"/>
                <w14:textFill>
                  <w14:solidFill>
                    <w14:srgbClr w14:val="004147"/>
                  </w14:solidFill>
                </w14:textFill>
              </w:rPr>
              <w:t>References should be presented using a recognised form of referencing. For example, if using Harvard referencing, this would include in-text citations and a list of references or bibliography at the end of the assessment.</w:t>
            </w:r>
          </w:p>
        </w:tc>
      </w:tr>
    </w:tbl>
    <w:p>
      <w:pPr>
        <w:pStyle w:val="Body"/>
        <w:spacing w:line="240" w:lineRule="auto"/>
        <w:rPr>
          <w:rFonts w:ascii="Trebuchet MS" w:cs="Trebuchet MS" w:hAnsi="Trebuchet MS" w:eastAsia="Trebuchet MS"/>
        </w:rPr>
      </w:pPr>
    </w:p>
    <w:p>
      <w:pPr>
        <w:pStyle w:val="Heading"/>
        <w:rPr>
          <w:rFonts w:ascii="Trebuchet MS" w:cs="Trebuchet MS" w:hAnsi="Trebuchet MS" w:eastAsia="Trebuchet MS"/>
          <w:sz w:val="40"/>
          <w:szCs w:val="40"/>
        </w:rPr>
      </w:pPr>
      <w:r>
        <w:rPr>
          <w:rFonts w:ascii="Trebuchet MS" w:hAnsi="Trebuchet MS"/>
          <w:sz w:val="40"/>
          <w:szCs w:val="40"/>
          <w:rtl w:val="0"/>
          <w:lang w:val="en-US"/>
        </w:rPr>
        <w:t>Marking grid and feedback for learner</w:t>
      </w:r>
    </w:p>
    <w:tbl>
      <w:tblPr>
        <w:tblW w:w="963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256"/>
        <w:gridCol w:w="1842"/>
        <w:gridCol w:w="2835"/>
        <w:gridCol w:w="1701"/>
      </w:tblGrid>
      <w:tr>
        <w:tblPrEx>
          <w:shd w:val="clear" w:color="auto" w:fill="cfcad0"/>
        </w:tblPrEx>
        <w:trPr>
          <w:trHeight w:val="660" w:hRule="atLeast"/>
        </w:trPr>
        <w:tc>
          <w:tcPr>
            <w:tcW w:type="dxa" w:w="963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sz w:val="32"/>
                <w:szCs w:val="32"/>
                <w:u w:color="004147"/>
                <w:shd w:val="nil" w:color="auto" w:fill="auto"/>
                <w:rtl w:val="0"/>
                <w:lang w:val="en-US"/>
                <w14:textFill>
                  <w14:solidFill>
                    <w14:srgbClr w14:val="004147"/>
                  </w14:solidFill>
                </w14:textFill>
              </w:rPr>
              <w:t>Unit 5HR02: Assessor Feedback to Learner</w:t>
            </w:r>
            <w:r>
              <w:rPr>
                <w:rFonts w:ascii="Trebuchet MS" w:cs="Trebuchet MS" w:hAnsi="Trebuchet MS" w:eastAsia="Trebuchet MS"/>
                <w:b w:val="1"/>
                <w:bCs w:val="1"/>
                <w:outline w:val="0"/>
                <w:color w:val="004147"/>
                <w:sz w:val="32"/>
                <w:szCs w:val="32"/>
                <w:u w:color="004147"/>
                <w:shd w:val="nil" w:color="auto" w:fill="auto"/>
                <w14:textFill>
                  <w14:solidFill>
                    <w14:srgbClr w14:val="004147"/>
                  </w14:solidFill>
                </w14:textFill>
              </w:rPr>
            </w:r>
          </w:p>
        </w:tc>
      </w:tr>
      <w:tr>
        <w:tblPrEx>
          <w:shd w:val="clear" w:color="auto" w:fill="cfcad0"/>
        </w:tblPrEx>
        <w:trPr>
          <w:trHeight w:val="250"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Centre number</w:t>
            </w:r>
          </w:p>
        </w:tc>
        <w:tc>
          <w:tcPr>
            <w:tcW w:type="dxa" w:w="637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50"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Centre name</w:t>
            </w:r>
          </w:p>
        </w:tc>
        <w:tc>
          <w:tcPr>
            <w:tcW w:type="dxa" w:w="637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Learner number (1st 7 digits of CIPD Membership number)</w:t>
            </w:r>
          </w:p>
        </w:tc>
        <w:tc>
          <w:tcPr>
            <w:tcW w:type="dxa" w:w="637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50"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Learner surname</w:t>
            </w:r>
          </w:p>
        </w:tc>
        <w:tc>
          <w:tcPr>
            <w:tcW w:type="dxa" w:w="637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Learner other names (e.g. first name and middle name(s))</w:t>
            </w:r>
          </w:p>
        </w:tc>
        <w:tc>
          <w:tcPr>
            <w:tcW w:type="dxa" w:w="637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Reported word count</w:t>
            </w:r>
          </w:p>
          <w:p>
            <w:pPr>
              <w:pStyle w:val="Body"/>
              <w:bidi w:val="0"/>
              <w:ind w:left="0" w:right="0" w:firstLine="0"/>
              <w:jc w:val="left"/>
              <w:rPr>
                <w:rtl w:val="0"/>
              </w:rPr>
            </w:pPr>
            <w:r>
              <w:rPr>
                <w:rFonts w:ascii="Trebuchet MS" w:hAnsi="Trebuchet MS"/>
                <w:b w:val="1"/>
                <w:bCs w:val="1"/>
                <w:outline w:val="0"/>
                <w:color w:val="004147"/>
                <w:u w:color="004147"/>
                <w:shd w:val="nil" w:color="auto" w:fill="auto"/>
                <w:rtl w:val="0"/>
                <w:lang w:val="en-US"/>
                <w14:textFill>
                  <w14:solidFill>
                    <w14:srgbClr w14:val="004147"/>
                  </w14:solidFill>
                </w14:textFill>
              </w:rPr>
              <w:t>Submission</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Actual word count</w:t>
            </w:r>
          </w:p>
          <w:p>
            <w:pPr>
              <w:pStyle w:val="Body"/>
              <w:bidi w:val="0"/>
              <w:ind w:left="0" w:right="0" w:firstLine="0"/>
              <w:jc w:val="left"/>
              <w:rPr>
                <w:rtl w:val="0"/>
              </w:rPr>
            </w:pPr>
            <w:r>
              <w:rPr>
                <w:rFonts w:ascii="Trebuchet MS" w:hAnsi="Trebuchet MS"/>
                <w:b w:val="1"/>
                <w:bCs w:val="1"/>
                <w:i w:val="0"/>
                <w:iCs w:val="0"/>
                <w:outline w:val="0"/>
                <w:color w:val="004147"/>
                <w:u w:color="004147"/>
                <w:shd w:val="nil" w:color="auto" w:fill="auto"/>
                <w:rtl w:val="0"/>
                <w:lang w:val="en-US"/>
                <w14:textFill>
                  <w14:solidFill>
                    <w14:srgbClr w14:val="004147"/>
                  </w14:solidFill>
                </w14:textFill>
              </w:rPr>
              <w:t>Submission</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Reported word count Resubmission 1</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i w:val="0"/>
                <w:iCs w:val="0"/>
                <w:outline w:val="0"/>
                <w:color w:val="004147"/>
                <w:u w:color="004147"/>
                <w:shd w:val="nil" w:color="auto" w:fill="auto"/>
                <w:rtl w:val="0"/>
                <w:lang w:val="en-US"/>
                <w14:textFill>
                  <w14:solidFill>
                    <w14:srgbClr w14:val="004147"/>
                  </w14:solidFill>
                </w14:textFill>
              </w:rPr>
              <w:t>Actual word count Resubmission 1</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Reported word count Resubmission 2</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i w:val="0"/>
                <w:iCs w:val="0"/>
                <w:outline w:val="0"/>
                <w:color w:val="004147"/>
                <w:u w:color="004147"/>
                <w:shd w:val="nil" w:color="auto" w:fill="auto"/>
                <w:rtl w:val="0"/>
                <w:lang w:val="en-US"/>
                <w14:textFill>
                  <w14:solidFill>
                    <w14:srgbClr w14:val="004147"/>
                  </w14:solidFill>
                </w14:textFill>
              </w:rPr>
              <w:t>Actual word count Resubmission 2</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 xml:space="preserve">Note to Assessor </w:t>
      </w:r>
      <w:r>
        <w:rPr>
          <w:rFonts w:ascii="Trebuchet MS" w:hAnsi="Trebuchet MS" w:hint="default"/>
          <w:outline w:val="0"/>
          <w:color w:val="004147"/>
          <w:u w:color="004147"/>
          <w:rtl w:val="0"/>
          <w:lang w:val="en-US"/>
          <w14:textFill>
            <w14:solidFill>
              <w14:srgbClr w14:val="004147"/>
            </w14:solidFill>
          </w14:textFill>
        </w:rPr>
        <w:t xml:space="preserve">– </w:t>
      </w:r>
      <w:r>
        <w:rPr>
          <w:rFonts w:ascii="Trebuchet MS" w:hAnsi="Trebuchet MS"/>
          <w:outline w:val="0"/>
          <w:color w:val="004147"/>
          <w:u w:color="004147"/>
          <w:rtl w:val="0"/>
          <w:lang w:val="en-US"/>
          <w14:textFill>
            <w14:solidFill>
              <w14:srgbClr w14:val="004147"/>
            </w14:solidFill>
          </w14:textFill>
        </w:rPr>
        <w:t xml:space="preserve">Please enter a </w:t>
      </w:r>
      <w:r>
        <w:rPr>
          <w:rFonts w:ascii="Trebuchet MS" w:hAnsi="Trebuchet MS"/>
          <w:b w:val="1"/>
          <w:bCs w:val="1"/>
          <w:outline w:val="0"/>
          <w:color w:val="004147"/>
          <w:u w:color="004147"/>
          <w:rtl w:val="0"/>
          <w14:textFill>
            <w14:solidFill>
              <w14:srgbClr w14:val="004147"/>
            </w14:solidFill>
          </w14:textFill>
        </w:rPr>
        <w:t>mark</w:t>
      </w:r>
      <w:r>
        <w:rPr>
          <w:rFonts w:ascii="Trebuchet MS" w:hAnsi="Trebuchet MS"/>
          <w:outline w:val="0"/>
          <w:color w:val="004147"/>
          <w:u w:color="004147"/>
          <w:rtl w:val="0"/>
          <w:lang w:val="en-US"/>
          <w14:textFill>
            <w14:solidFill>
              <w14:srgbClr w14:val="004147"/>
            </w14:solidFill>
          </w14:textFill>
        </w:rPr>
        <w:t xml:space="preserve"> for each AC. You need only provide </w:t>
      </w:r>
      <w:r>
        <w:rPr>
          <w:rFonts w:ascii="Trebuchet MS" w:hAnsi="Trebuchet MS"/>
          <w:b w:val="1"/>
          <w:bCs w:val="1"/>
          <w:outline w:val="0"/>
          <w:color w:val="004147"/>
          <w:u w:color="004147"/>
          <w:rtl w:val="0"/>
          <w:lang w:val="en-US"/>
          <w14:textFill>
            <w14:solidFill>
              <w14:srgbClr w14:val="004147"/>
            </w14:solidFill>
          </w14:textFill>
        </w:rPr>
        <w:t xml:space="preserve">feedback </w:t>
      </w:r>
    </w:p>
    <w:p>
      <w:pPr>
        <w:pStyle w:val="Body"/>
        <w:spacing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where you have awarded a mark of 1. This feedback should be developmental.</w:t>
      </w:r>
    </w:p>
    <w:p>
      <w:pPr>
        <w:pStyle w:val="Body"/>
        <w:rPr>
          <w:rFonts w:ascii="Trebuchet MS" w:cs="Trebuchet MS" w:hAnsi="Trebuchet MS" w:eastAsia="Trebuchet MS"/>
        </w:rPr>
      </w:pPr>
    </w:p>
    <w:tbl>
      <w:tblPr>
        <w:tblW w:w="963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176"/>
        <w:gridCol w:w="7608"/>
        <w:gridCol w:w="850"/>
      </w:tblGrid>
      <w:tr>
        <w:tblPrEx>
          <w:shd w:val="clear" w:color="auto" w:fill="cfcad0"/>
        </w:tblPrEx>
        <w:trPr>
          <w:trHeight w:val="509" w:hRule="atLeast"/>
        </w:trPr>
        <w:tc>
          <w:tcPr>
            <w:tcW w:type="dxa" w:w="963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 xml:space="preserve">Task </w:t>
            </w:r>
            <w:r>
              <w:rPr>
                <w:rFonts w:ascii="Trebuchet MS" w:hAnsi="Trebuchet MS" w:hint="default"/>
                <w:b w:val="1"/>
                <w:bCs w:val="1"/>
                <w:outline w:val="0"/>
                <w:color w:val="004147"/>
                <w:u w:color="004147"/>
                <w:shd w:val="nil" w:color="auto" w:fill="auto"/>
                <w:rtl w:val="0"/>
                <w:lang w:val="en-US"/>
                <w14:textFill>
                  <w14:solidFill>
                    <w14:srgbClr w14:val="004147"/>
                  </w14:solidFill>
                </w14:textFill>
              </w:rPr>
              <w:t xml:space="preserve">– </w:t>
            </w:r>
            <w:r>
              <w:rPr>
                <w:rFonts w:ascii="Trebuchet MS" w:hAnsi="Trebuchet MS"/>
                <w:b w:val="1"/>
                <w:bCs w:val="1"/>
                <w:outline w:val="0"/>
                <w:color w:val="004147"/>
                <w:u w:color="004147"/>
                <w:shd w:val="nil" w:color="auto" w:fill="auto"/>
                <w:rtl w:val="0"/>
                <w:lang w:val="en-US"/>
                <w14:textFill>
                  <w14:solidFill>
                    <w14:srgbClr w14:val="004147"/>
                  </w14:solidFill>
                </w14:textFill>
              </w:rPr>
              <w:t>response to questions</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r>
      <w:tr>
        <w:tblPrEx>
          <w:shd w:val="clear" w:color="auto" w:fill="cfcad0"/>
        </w:tblPrEx>
        <w:trPr>
          <w:trHeight w:val="509" w:hRule="atLeast"/>
        </w:trPr>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AC Number</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Assessment Criteria</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 xml:space="preserve">Mark </w:t>
            </w:r>
          </w:p>
          <w:p>
            <w:pPr>
              <w:pStyle w:val="Body"/>
              <w:bidi w:val="0"/>
              <w:ind w:left="0" w:right="0" w:firstLine="0"/>
              <w:jc w:val="left"/>
              <w:rPr>
                <w:rtl w:val="0"/>
              </w:rPr>
            </w:pPr>
            <w:r>
              <w:rPr>
                <w:rFonts w:ascii="Trebuchet MS" w:hAnsi="Trebuchet MS"/>
                <w:b w:val="1"/>
                <w:bCs w:val="1"/>
                <w:outline w:val="0"/>
                <w:color w:val="004147"/>
                <w:u w:color="004147"/>
                <w:shd w:val="nil" w:color="auto" w:fill="auto"/>
                <w:rtl w:val="0"/>
                <w:lang w:val="en-US"/>
                <w14:textFill>
                  <w14:solidFill>
                    <w14:srgbClr w14:val="004147"/>
                  </w14:solidFill>
                </w14:textFill>
              </w:rPr>
              <w:t>1-4</w:t>
            </w:r>
          </w:p>
        </w:tc>
      </w:tr>
      <w:tr>
        <w:tblPrEx>
          <w:shd w:val="clear" w:color="auto" w:fill="cfcad0"/>
        </w:tblPrEx>
        <w:trPr>
          <w:trHeight w:val="1027"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Q1.</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Global organisations have experienced a surge in cyber attacks and it is now more important than ever that Clyssan attract and retain cyber security experts. Explain how Clyssan can strategically position themselves in this competitive labour market. (AC 1.1)</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14"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Q2.</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pPr>
            <w:r>
              <w:rPr>
                <w:rFonts w:ascii="Trebuchet MS" w:hAnsi="Trebuchet MS"/>
                <w:outline w:val="0"/>
                <w:color w:val="004147"/>
                <w:u w:color="004147"/>
                <w:shd w:val="nil" w:color="auto" w:fill="auto"/>
                <w:rtl w:val="0"/>
                <w:lang w:val="en-US"/>
                <w14:textFill>
                  <w14:solidFill>
                    <w14:srgbClr w14:val="004147"/>
                  </w14:solidFill>
                </w14:textFill>
              </w:rPr>
              <w:t>Explain the impact of changing labour market conditions on resourcing decisions at Clyssan. (AC 1.2)</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306"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Q3.</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pPr>
            <w:r>
              <w:rPr>
                <w:rFonts w:ascii="Trebuchet MS" w:hAnsi="Trebuchet MS"/>
                <w:outline w:val="0"/>
                <w:color w:val="004147"/>
                <w:u w:color="004147"/>
                <w:shd w:val="nil" w:color="auto" w:fill="auto"/>
                <w:rtl w:val="0"/>
                <w:lang w:val="en-US"/>
                <w14:textFill>
                  <w14:solidFill>
                    <w14:srgbClr w14:val="004147"/>
                  </w14:solidFill>
                </w14:textFill>
              </w:rPr>
              <w:t>The people function at Clyssan is divided into specialist teams. The Talent Team is responsible for workforce planning, and the value of workforce planning is being questioned. Analyse the impact of effective workforce planning, making clear how Clyssan could benefit from this activity. (AC 2.1)</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Q4.</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Evaluate techniques that Clyssan could use in their workforce planning process. (AC 2.2)</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626"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Q5.</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rPr>
                <w:rFonts w:ascii="Trebuchet MS" w:cs="Trebuchet MS" w:hAnsi="Trebuchet MS" w:eastAsia="Trebuchet MS"/>
                <w:outline w:val="0"/>
                <w:color w:val="004147"/>
                <w:u w:color="004147"/>
                <w:shd w:val="nil" w:color="auto" w:fill="auto"/>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You are responsible for recruitment and selection of students for the industrial placement roles. A high number of applications are received for these roles, and you want to ensure that the current recruitment and selection methods are suitable. As part of this activity, evaluate the strengths and weaknesses of:</w:t>
            </w:r>
          </w:p>
          <w:p>
            <w:pPr>
              <w:pStyle w:val="List Paragraph"/>
              <w:numPr>
                <w:ilvl w:val="0"/>
                <w:numId w:val="17"/>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advertising placement year roles on Clyssan</w:t>
            </w:r>
            <w:r>
              <w:rPr>
                <w:rFonts w:ascii="Trebuchet MS" w:hAnsi="Trebuchet MS" w:hint="default"/>
                <w:outline w:val="0"/>
                <w:color w:val="004147"/>
                <w:u w:color="004147"/>
                <w:shd w:val="nil" w:color="auto" w:fill="auto"/>
                <w:rtl w:val="0"/>
                <w:lang w:val="en-US"/>
                <w14:textFill>
                  <w14:solidFill>
                    <w14:srgbClr w14:val="004147"/>
                  </w14:solidFill>
                </w14:textFill>
              </w:rPr>
              <w:t>’</w:t>
            </w:r>
            <w:r>
              <w:rPr>
                <w:rFonts w:ascii="Trebuchet MS" w:hAnsi="Trebuchet MS"/>
                <w:outline w:val="0"/>
                <w:color w:val="004147"/>
                <w:u w:color="004147"/>
                <w:shd w:val="nil" w:color="auto" w:fill="auto"/>
                <w:rtl w:val="0"/>
                <w:lang w:val="en-US"/>
                <w14:textFill>
                  <w14:solidFill>
                    <w14:srgbClr w14:val="004147"/>
                  </w14:solidFill>
                </w14:textFill>
              </w:rPr>
              <w:t>s own website</w:t>
            </w:r>
          </w:p>
          <w:p>
            <w:pPr>
              <w:pStyle w:val="List Paragraph"/>
              <w:numPr>
                <w:ilvl w:val="0"/>
                <w:numId w:val="17"/>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liaising with university placement officers</w:t>
            </w:r>
          </w:p>
          <w:p>
            <w:pPr>
              <w:pStyle w:val="List Paragraph"/>
              <w:numPr>
                <w:ilvl w:val="0"/>
                <w:numId w:val="17"/>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using online tests</w:t>
            </w:r>
          </w:p>
          <w:p>
            <w:pPr>
              <w:pStyle w:val="List Paragraph"/>
              <w:numPr>
                <w:ilvl w:val="0"/>
                <w:numId w:val="17"/>
              </w:numPr>
              <w:bidi w:val="0"/>
              <w:spacing w:line="264" w:lineRule="auto"/>
              <w:ind w:right="0"/>
              <w:jc w:val="left"/>
              <w:rPr>
                <w:rFonts w:ascii="Trebuchet MS" w:hAnsi="Trebuchet MS"/>
                <w:outline w:val="0"/>
                <w:color w:val="004147"/>
                <w:u w:color="004147"/>
                <w:rtl w:val="0"/>
                <w:lang w:val="en-US"/>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using discovery centres to select applicants for placement year roles. (AC 2.3)</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78"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Q6.</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pPr>
            <w:r>
              <w:rPr>
                <w:rFonts w:ascii="Trebuchet MS" w:hAnsi="Trebuchet MS"/>
                <w:outline w:val="0"/>
                <w:color w:val="004147"/>
                <w:u w:color="004147"/>
                <w:shd w:val="nil" w:color="auto" w:fill="auto"/>
                <w:rtl w:val="0"/>
                <w:lang w:val="en-US"/>
                <w14:textFill>
                  <w14:solidFill>
                    <w14:srgbClr w14:val="004147"/>
                  </w14:solidFill>
                </w14:textFill>
              </w:rPr>
              <w:t>The employee turnover rate of R&amp;D employees is higher than in previous years. Discuss what factors could influence R&amp;D employees when deciding whether to leave or remain at Clyssan. (AC 3.1)</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306"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Q7.</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pPr>
            <w:r>
              <w:rPr>
                <w:rFonts w:ascii="Trebuchet MS" w:hAnsi="Trebuchet MS"/>
                <w:outline w:val="0"/>
                <w:color w:val="004147"/>
                <w:u w:color="004147"/>
                <w:shd w:val="nil" w:color="auto" w:fill="auto"/>
                <w:rtl w:val="0"/>
                <w:lang w:val="en-US"/>
                <w14:textFill>
                  <w14:solidFill>
                    <w14:srgbClr w14:val="004147"/>
                  </w14:solidFill>
                </w14:textFill>
              </w:rPr>
              <w:t xml:space="preserve">Retention of R&amp;D staff at Clyssan is an issue, as there are many labour market competitors, and their skills and expertise are highly sought after. Compare </w:t>
            </w:r>
            <w:r>
              <w:rPr>
                <w:rFonts w:ascii="Trebuchet MS" w:hAnsi="Trebuchet MS"/>
                <w:b w:val="1"/>
                <w:bCs w:val="1"/>
                <w:outline w:val="0"/>
                <w:color w:val="004147"/>
                <w:u w:color="004147"/>
                <w:shd w:val="nil" w:color="auto" w:fill="auto"/>
                <w:rtl w:val="0"/>
                <w:lang w:val="en-US"/>
                <w14:textFill>
                  <w14:solidFill>
                    <w14:srgbClr w14:val="004147"/>
                  </w14:solidFill>
                </w14:textFill>
              </w:rPr>
              <w:t>two</w:t>
            </w:r>
            <w:r>
              <w:rPr>
                <w:rFonts w:ascii="Trebuchet MS" w:hAnsi="Trebuchet MS"/>
                <w:outline w:val="0"/>
                <w:color w:val="004147"/>
                <w:u w:color="004147"/>
                <w:shd w:val="nil" w:color="auto" w:fill="auto"/>
                <w:rtl w:val="0"/>
                <w:lang w:val="en-US"/>
                <w14:textFill>
                  <w14:solidFill>
                    <w14:srgbClr w14:val="004147"/>
                  </w14:solidFill>
                </w14:textFill>
              </w:rPr>
              <w:t xml:space="preserve"> approaches that Clyssan could use to retain R&amp;D staff. When comparing, it is important to identify similarities and differences between the two approaches. (AC 3.2)</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14"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Q8.</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pPr>
            <w:r>
              <w:rPr>
                <w:rFonts w:ascii="Trebuchet MS" w:hAnsi="Trebuchet MS"/>
                <w:outline w:val="0"/>
                <w:color w:val="004147"/>
                <w:u w:color="004147"/>
                <w:shd w:val="nil" w:color="auto" w:fill="auto"/>
                <w:rtl w:val="0"/>
                <w:lang w:val="en-US"/>
                <w14:textFill>
                  <w14:solidFill>
                    <w14:srgbClr w14:val="004147"/>
                  </w14:solidFill>
                </w14:textFill>
              </w:rPr>
              <w:t>Explain the impact of dysfunctional employee turnover of R&amp;D staff at Clyssan. (AC 3.3)</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78"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Q9.</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pPr>
            <w:r>
              <w:rPr>
                <w:rFonts w:ascii="Trebuchet MS" w:hAnsi="Trebuchet MS"/>
                <w:outline w:val="0"/>
                <w:color w:val="004147"/>
                <w:u w:color="004147"/>
                <w:shd w:val="nil" w:color="auto" w:fill="auto"/>
                <w:rtl w:val="0"/>
                <w:lang w:val="en-US"/>
                <w14:textFill>
                  <w14:solidFill>
                    <w14:srgbClr w14:val="004147"/>
                  </w14:solidFill>
                </w14:textFill>
              </w:rPr>
              <w:t>Assess the suitability and use of permanent full-time contracts, permanent part-time contracts, zero-hour contracts and agency workers for the production operative roles at Clyssan. (AC 4.1)</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14" w:hRule="atLeast"/>
        </w:trPr>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Q10.</w:t>
            </w: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spacing w:line="264" w:lineRule="auto"/>
            </w:pPr>
            <w:r>
              <w:rPr>
                <w:rFonts w:ascii="Trebuchet MS" w:hAnsi="Trebuchet MS"/>
                <w:outline w:val="0"/>
                <w:color w:val="004147"/>
                <w:u w:color="004147"/>
                <w:shd w:val="nil" w:color="auto" w:fill="auto"/>
                <w:rtl w:val="0"/>
                <w:lang w:val="en-US"/>
                <w14:textFill>
                  <w14:solidFill>
                    <w14:srgbClr w14:val="004147"/>
                  </w14:solidFill>
                </w14:textFill>
              </w:rPr>
              <w:t>Explain why it is beneficial for Clyssan to provide effective onboarding for directly employed production operatives. (AC 4.2)</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6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87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 xml:space="preserve">Total marks for TASK </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87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TASK (resubmission 1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87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TASK (resubmission 2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rPr>
          <w:rFonts w:ascii="Trebuchet MS" w:cs="Trebuchet MS" w:hAnsi="Trebuchet MS" w:eastAsia="Trebuchet MS"/>
        </w:rPr>
      </w:pPr>
    </w:p>
    <w:p>
      <w:pPr>
        <w:pStyle w:val="Body"/>
        <w:rPr>
          <w:rFonts w:ascii="Trebuchet MS" w:cs="Trebuchet MS" w:hAnsi="Trebuchet MS" w:eastAsia="Trebuchet MS"/>
        </w:rPr>
      </w:pPr>
    </w:p>
    <w:tbl>
      <w:tblPr>
        <w:tblW w:w="963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256"/>
        <w:gridCol w:w="1824"/>
        <w:gridCol w:w="160"/>
        <w:gridCol w:w="1855"/>
        <w:gridCol w:w="781"/>
        <w:gridCol w:w="1758"/>
      </w:tblGrid>
      <w:tr>
        <w:tblPrEx>
          <w:shd w:val="clear" w:color="auto" w:fill="cfcad0"/>
        </w:tblPrEx>
        <w:trPr>
          <w:trHeight w:val="509"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UNIT</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9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rFonts w:ascii="Trebuchet MS" w:hAnsi="Trebuchet MS"/>
                <w:b w:val="1"/>
                <w:bCs w:val="1"/>
                <w:outline w:val="0"/>
                <w:color w:val="004147"/>
                <w:u w:color="004147"/>
                <w:shd w:val="nil" w:color="auto" w:fill="auto"/>
                <w:rtl w:val="0"/>
                <w:lang w:val="en-US"/>
                <w14:textFill>
                  <w14:solidFill>
                    <w14:srgbClr w14:val="004147"/>
                  </w14:solidFill>
                </w14:textFill>
              </w:rPr>
              <w:t>Grade</w:t>
            </w:r>
          </w:p>
        </w:tc>
        <w:tc>
          <w:tcPr>
            <w:tcW w:type="dxa" w:w="1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UNIT (resubmission 1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9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rFonts w:ascii="Trebuchet MS" w:hAnsi="Trebuchet MS"/>
                <w:b w:val="1"/>
                <w:bCs w:val="1"/>
                <w:outline w:val="0"/>
                <w:color w:val="004147"/>
                <w:u w:color="004147"/>
                <w:shd w:val="nil" w:color="auto" w:fill="auto"/>
                <w:rtl w:val="0"/>
                <w:lang w:val="en-US"/>
                <w14:textFill>
                  <w14:solidFill>
                    <w14:srgbClr w14:val="004147"/>
                  </w14:solidFill>
                </w14:textFill>
              </w:rPr>
              <w:t>Grade (resubmission 1 if applicable)</w:t>
            </w:r>
          </w:p>
        </w:tc>
        <w:tc>
          <w:tcPr>
            <w:tcW w:type="dxa" w:w="1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tabs>
                <w:tab w:val="left" w:pos="2317"/>
                <w:tab w:val="right" w:pos="7656"/>
              </w:tabs>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UNIT (resubmission 2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9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6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rFonts w:ascii="Trebuchet MS" w:hAnsi="Trebuchet MS"/>
                <w:b w:val="1"/>
                <w:bCs w:val="1"/>
                <w:outline w:val="0"/>
                <w:color w:val="004147"/>
                <w:u w:color="004147"/>
                <w:shd w:val="nil" w:color="auto" w:fill="auto"/>
                <w:rtl w:val="0"/>
                <w:lang w:val="en-US"/>
                <w14:textFill>
                  <w14:solidFill>
                    <w14:srgbClr w14:val="004147"/>
                  </w14:solidFill>
                </w14:textFill>
              </w:rPr>
              <w:t>Grade (resubmission 2 if applicable)</w:t>
            </w:r>
          </w:p>
        </w:tc>
        <w:tc>
          <w:tcPr>
            <w:tcW w:type="dxa" w:w="17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439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Assessor Feedback Summary</w:t>
            </w:r>
          </w:p>
          <w:p>
            <w:pPr>
              <w:pStyle w:val="Body"/>
              <w:bidi w:val="0"/>
              <w:ind w:left="0" w:right="0" w:firstLine="0"/>
              <w:jc w:val="left"/>
              <w:rPr>
                <w:rFonts w:ascii="Trebuchet MS" w:cs="Trebuchet MS" w:hAnsi="Trebuchet MS" w:eastAsia="Trebuchet MS"/>
                <w:i w:val="1"/>
                <w:iCs w:val="1"/>
                <w:outline w:val="0"/>
                <w:color w:val="004147"/>
                <w:u w:color="004147"/>
                <w:shd w:val="nil" w:color="auto" w:fill="auto"/>
                <w:rtl w:val="0"/>
                <w14:textFill>
                  <w14:solidFill>
                    <w14:srgbClr w14:val="004147"/>
                  </w14:solidFill>
                </w14:textFill>
              </w:rPr>
            </w:pPr>
            <w:r>
              <w:rPr>
                <w:rFonts w:ascii="Trebuchet MS" w:hAnsi="Trebuchet MS"/>
                <w:i w:val="1"/>
                <w:iCs w:val="1"/>
                <w:outline w:val="0"/>
                <w:color w:val="004147"/>
                <w:u w:color="004147"/>
                <w:shd w:val="nil" w:color="auto" w:fill="auto"/>
                <w:rtl w:val="0"/>
                <w:lang w:val="en-US"/>
                <w14:textFill>
                  <w14:solidFill>
                    <w14:srgbClr w14:val="004147"/>
                  </w14:solidFill>
                </w14:textFill>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pPr>
              <w:pStyle w:val="Body"/>
              <w:bidi w:val="0"/>
              <w:ind w:left="0" w:right="0" w:firstLine="0"/>
              <w:jc w:val="left"/>
              <w:rPr>
                <w:rtl w:val="0"/>
              </w:rPr>
            </w:pPr>
            <w:r>
              <w:rPr>
                <w:rFonts w:ascii="Trebuchet MS" w:hAnsi="Trebuchet MS"/>
                <w:i w:val="1"/>
                <w:iCs w:val="1"/>
                <w:outline w:val="0"/>
                <w:color w:val="004147"/>
                <w:u w:color="004147"/>
                <w:shd w:val="nil" w:color="auto" w:fill="auto"/>
                <w:rtl w:val="0"/>
                <w:lang w:val="en-US"/>
                <w14:textFill>
                  <w14:solidFill>
                    <w14:srgbClr w14:val="004147"/>
                  </w14:solidFill>
                </w14:textFill>
              </w:rPr>
              <w:t xml:space="preserve">Please use a different </w:t>
            </w:r>
            <w:r>
              <w:rPr>
                <w:rFonts w:ascii="Trebuchet MS" w:hAnsi="Trebuchet MS"/>
                <w:i w:val="1"/>
                <w:iCs w:val="1"/>
                <w:outline w:val="0"/>
                <w:color w:val="ff0000"/>
                <w:u w:color="ff0000"/>
                <w:shd w:val="nil" w:color="auto" w:fill="auto"/>
                <w:rtl w:val="0"/>
                <w:lang w:val="en-US"/>
                <w14:textFill>
                  <w14:solidFill>
                    <w14:srgbClr w14:val="FF0000"/>
                  </w14:solidFill>
                </w14:textFill>
              </w:rPr>
              <w:t>font colour</w:t>
            </w:r>
            <w:r>
              <w:rPr>
                <w:rFonts w:ascii="Trebuchet MS" w:hAnsi="Trebuchet MS"/>
                <w:i w:val="1"/>
                <w:iCs w:val="1"/>
                <w:outline w:val="0"/>
                <w:color w:val="004147"/>
                <w:u w:color="004147"/>
                <w:shd w:val="nil" w:color="auto" w:fill="auto"/>
                <w:rtl w:val="0"/>
                <w:lang w:val="en-US"/>
                <w14:textFill>
                  <w14:solidFill>
                    <w14:srgbClr w14:val="004147"/>
                  </w14:solidFill>
                </w14:textFill>
              </w:rPr>
              <w:t xml:space="preserve"> for any resubmission comments)</w:t>
            </w:r>
          </w:p>
        </w:tc>
        <w:tc>
          <w:tcPr>
            <w:tcW w:type="dxa" w:w="6378"/>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rFonts w:ascii="Trebuchet MS" w:cs="Trebuchet MS" w:hAnsi="Trebuchet MS" w:eastAsia="Trebuchet MS"/>
                <w:b w:val="1"/>
                <w:bCs w:val="1"/>
                <w:outline w:val="0"/>
                <w:color w:val="004147"/>
                <w:u w:color="004147"/>
                <w:shd w:val="nil" w:color="auto" w:fill="auto"/>
                <w:lang w:val="en-US"/>
                <w14:textFill>
                  <w14:solidFill>
                    <w14:srgbClr w14:val="004147"/>
                  </w14:solidFill>
                </w14:textFill>
              </w:rPr>
            </w:r>
          </w:p>
        </w:tc>
      </w:tr>
      <w:tr>
        <w:tblPrEx>
          <w:shd w:val="clear" w:color="auto" w:fill="cfcad0"/>
        </w:tblPrEx>
        <w:trPr>
          <w:trHeight w:val="250" w:hRule="atLeast"/>
        </w:trPr>
        <w:tc>
          <w:tcPr>
            <w:tcW w:type="dxa" w:w="325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Assessor name</w:t>
            </w:r>
          </w:p>
          <w:p>
            <w:pPr>
              <w:pStyle w:val="Body"/>
            </w:pPr>
            <w:r>
              <w:rPr>
                <w:rFonts w:ascii="Trebuchet MS" w:cs="Trebuchet MS" w:hAnsi="Trebuchet MS" w:eastAsia="Trebuchet MS"/>
                <w:b w:val="1"/>
                <w:bCs w:val="1"/>
                <w:outline w:val="0"/>
                <w:color w:val="004147"/>
                <w:u w:color="004147"/>
                <w:shd w:val="nil" w:color="auto" w:fill="auto"/>
                <w:lang w:val="en-US"/>
                <w14:textFill>
                  <w14:solidFill>
                    <w14:srgbClr w14:val="004147"/>
                  </w14:solidFill>
                </w14:textFill>
              </w:rPr>
            </w:r>
          </w:p>
        </w:tc>
        <w:tc>
          <w:tcPr>
            <w:tcW w:type="dxa" w:w="1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Submission</w:t>
            </w:r>
          </w:p>
        </w:tc>
        <w:tc>
          <w:tcPr>
            <w:tcW w:type="dxa" w:w="201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Resubmission 1</w:t>
            </w:r>
          </w:p>
        </w:tc>
        <w:tc>
          <w:tcPr>
            <w:tcW w:type="dxa" w:w="253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Resubmission 2</w:t>
            </w:r>
          </w:p>
        </w:tc>
      </w:tr>
      <w:tr>
        <w:tblPrEx>
          <w:shd w:val="clear" w:color="auto" w:fill="cfcad0"/>
        </w:tblPrEx>
        <w:trPr>
          <w:trHeight w:val="360" w:hRule="atLeast"/>
        </w:trPr>
        <w:tc>
          <w:tcPr>
            <w:tcW w:type="dxa" w:w="325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1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1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3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286"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Assessor signature*</w:t>
            </w:r>
          </w:p>
          <w:p>
            <w:pPr>
              <w:pStyle w:val="Body"/>
              <w:bidi w:val="0"/>
              <w:ind w:left="0" w:right="0" w:firstLine="0"/>
              <w:jc w:val="left"/>
              <w:rPr>
                <w:rtl w:val="0"/>
              </w:rPr>
            </w:pPr>
            <w:r>
              <w:rPr>
                <w:rFonts w:ascii="Trebuchet MS" w:hAnsi="Trebuchet MS"/>
                <w:b w:val="0"/>
                <w:bCs w:val="0"/>
                <w:i w:val="1"/>
                <w:iCs w:val="1"/>
                <w:outline w:val="0"/>
                <w:color w:val="004147"/>
                <w:u w:color="004147"/>
                <w:shd w:val="clear" w:color="auto" w:fill="c0c0c0"/>
                <w:rtl w:val="0"/>
                <w:lang w:val="en-US"/>
                <w14:textFill>
                  <w14:solidFill>
                    <w14:srgbClr w14:val="004147"/>
                  </w14:solidFill>
                </w14:textFill>
              </w:rPr>
              <w:t>I confirm that I am satisfied that to the best of my knowledge, the work produced is solely that of the learner.</w:t>
            </w:r>
          </w:p>
        </w:tc>
        <w:tc>
          <w:tcPr>
            <w:tcW w:type="dxa" w:w="1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1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3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Date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8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1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53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rPr>
          <w:rFonts w:ascii="Trebuchet MS" w:cs="Trebuchet MS" w:hAnsi="Trebuchet MS" w:eastAsia="Trebuchet MS"/>
        </w:rPr>
      </w:pPr>
    </w:p>
    <w:p>
      <w:pPr>
        <w:pStyle w:val="Body"/>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*This must be a true signature, so a handwritten signature, or a photo or scan of a handwritten signature, or an e-signature.</w:t>
      </w:r>
      <w:r>
        <w:rPr>
          <w:rFonts w:ascii="Trebuchet MS" w:hAnsi="Trebuchet MS" w:hint="default"/>
          <w:outline w:val="0"/>
          <w:color w:val="004147"/>
          <w:u w:color="004147"/>
          <w:rtl w:val="0"/>
          <w:lang w:val="en-US"/>
          <w14:textFill>
            <w14:solidFill>
              <w14:srgbClr w14:val="004147"/>
            </w14:solidFill>
          </w14:textFill>
        </w:rPr>
        <w:t> </w:t>
      </w:r>
      <w:r>
        <w:rPr>
          <w:rFonts w:ascii="Trebuchet MS" w:hAnsi="Trebuchet MS"/>
          <w:outline w:val="0"/>
          <w:color w:val="004147"/>
          <w:u w:color="004147"/>
          <w:rtl w:val="0"/>
          <w:lang w:val="en-US"/>
          <w14:textFill>
            <w14:solidFill>
              <w14:srgbClr w14:val="004147"/>
            </w14:solidFill>
          </w14:textFill>
        </w:rPr>
        <w:t>A typed signature is not acceptable.</w:t>
      </w:r>
    </w:p>
    <w:p>
      <w:pPr>
        <w:pStyle w:val="Body"/>
        <w:rPr>
          <w:rFonts w:ascii="Trebuchet MS" w:cs="Trebuchet MS" w:hAnsi="Trebuchet MS" w:eastAsia="Trebuchet MS"/>
        </w:rPr>
      </w:pPr>
    </w:p>
    <w:p>
      <w:pPr>
        <w:pStyle w:val="Body"/>
        <w:tabs>
          <w:tab w:val="left" w:pos="5425"/>
        </w:tabs>
      </w:pPr>
      <w:r>
        <w:rPr>
          <w:rFonts w:ascii="Trebuchet MS" w:cs="Trebuchet MS" w:hAnsi="Trebuchet MS" w:eastAsia="Trebuchet MS"/>
        </w:rPr>
        <w:tab/>
      </w:r>
    </w:p>
    <w:sectPr>
      <w:headerReference w:type="default" r:id="rId9"/>
      <w:footerReference w:type="default" r:id="rId10"/>
      <w:pgSz w:w="11900" w:h="16840" w:orient="portrait"/>
      <w:pgMar w:top="1077" w:right="1134" w:bottom="1077" w:left="1134" w:header="624"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rebuchet MS">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tab/>
    </w:r>
    <w:r>
      <w:rPr>
        <w:rFonts w:ascii="Trebuchet MS" w:hAnsi="Trebuchet MS"/>
        <w:outline w:val="0"/>
        <w:color w:val="004146"/>
        <w:u w:color="004146"/>
        <w:rtl w:val="0"/>
        <w:lang w:val="en-US"/>
        <w14:textFill>
          <w14:solidFill>
            <w14:srgbClr w14:val="004146"/>
          </w14:solidFill>
        </w14:textFill>
      </w:rPr>
      <w:t xml:space="preserve">Version 1 </w:t>
    </w:r>
    <w:r>
      <w:rPr>
        <w:rFonts w:ascii="Trebuchet MS" w:hAnsi="Trebuchet MS" w:hint="default"/>
        <w:outline w:val="0"/>
        <w:color w:val="004146"/>
        <w:u w:color="004146"/>
        <w:rtl w:val="0"/>
        <w:lang w:val="en-US"/>
        <w14:textFill>
          <w14:solidFill>
            <w14:srgbClr w14:val="004146"/>
          </w14:solidFill>
        </w14:textFill>
      </w:rPr>
      <w:t xml:space="preserve">– </w:t>
    </w:r>
    <w:r>
      <w:rPr>
        <w:rFonts w:ascii="Trebuchet MS" w:hAnsi="Trebuchet MS"/>
        <w:outline w:val="0"/>
        <w:color w:val="004146"/>
        <w:u w:color="004146"/>
        <w:rtl w:val="0"/>
        <w:lang w:val="en-US"/>
        <w14:textFill>
          <w14:solidFill>
            <w14:srgbClr w14:val="004146"/>
          </w14:solidFill>
        </w14:textFill>
      </w:rPr>
      <w:t>Released June 2026</w:t>
    </w:r>
    <w:r>
      <w:tab/>
    </w: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footer"/>
    </w:pPr>
    <w:r>
      <w:rPr>
        <w:outline w:val="0"/>
        <w:color w:val="ffffff"/>
        <w:u w:color="ffffff"/>
        <w14:textFill>
          <w14:solidFill>
            <w14:srgbClr w14:val="FFFFFF"/>
          </w14:solidFill>
        </w14:textFill>
      </w:rPr>
      <w:drawing xmlns:a="http://schemas.openxmlformats.org/drawingml/2006/main">
        <wp:inline distT="0" distB="0" distL="0" distR="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tab/>
      <w:tab/>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List Paragraph"/>
      <w:numPr>
        <w:ilvl w:val="0"/>
        <w:numId w:val="1"/>
      </w:numPr>
      <w:bidi w:val="0"/>
      <w:spacing w:line="240" w:lineRule="auto"/>
      <w:ind w:right="0"/>
      <w:jc w:val="left"/>
      <w:rPr>
        <w:rFonts w:ascii="Trebuchet MS" w:hAnsi="Trebuchet MS"/>
        <w:b w:val="1"/>
        <w:bCs w:val="1"/>
        <w:outline w:val="0"/>
        <w:color w:val="004146"/>
        <w:rtl w:val="0"/>
        <w:lang w:val="en-US"/>
        <w14:textFill>
          <w14:solidFill>
            <w14:srgbClr w14:val="004146"/>
          </w14:solidFill>
        </w14:textFill>
      </w:rPr>
    </w:pPr>
    <w:r>
      <w:rPr>
        <w:rFonts w:ascii="Trebuchet MS" w:hAnsi="Trebuchet MS"/>
        <w:b w:val="1"/>
        <w:bCs w:val="1"/>
        <w:outline w:val="0"/>
        <w:color w:val="004146"/>
        <w:u w:color="004146"/>
        <w:rtl w:val="0"/>
        <w:lang w:val="en-US"/>
        <w14:textFill>
          <w14:solidFill>
            <w14:srgbClr w14:val="004146"/>
          </w14:solidFill>
        </w14:textFill>
      </w:rPr>
      <w:t xml:space="preserve">Version 1 </w:t>
    </w:r>
    <w:r>
      <w:rPr>
        <w:rFonts w:ascii="Trebuchet MS" w:hAnsi="Trebuchet MS" w:hint="default"/>
        <w:b w:val="1"/>
        <w:bCs w:val="1"/>
        <w:outline w:val="0"/>
        <w:color w:val="004146"/>
        <w:u w:color="004146"/>
        <w:rtl w:val="0"/>
        <w:lang w:val="en-US"/>
        <w14:textFill>
          <w14:solidFill>
            <w14:srgbClr w14:val="004146"/>
          </w14:solidFill>
        </w14:textFill>
      </w:rPr>
      <w:t xml:space="preserve">– </w:t>
    </w:r>
    <w:r>
      <w:rPr>
        <w:rFonts w:ascii="Trebuchet MS" w:hAnsi="Trebuchet MS"/>
        <w:b w:val="1"/>
        <w:bCs w:val="1"/>
        <w:outline w:val="0"/>
        <w:color w:val="004146"/>
        <w:u w:color="004146"/>
        <w:rtl w:val="0"/>
        <w:lang w:val="en-US"/>
        <w14:textFill>
          <w14:solidFill>
            <w14:srgbClr w14:val="004146"/>
          </w14:solidFill>
        </w14:textFill>
      </w:rPr>
      <w:t>Released June 2026</w:t>
    </w:r>
  </w:p>
  <w:p>
    <w:pPr>
      <w:pStyle w:val="List Paragraph"/>
      <w:numPr>
        <w:ilvl w:val="0"/>
        <w:numId w:val="1"/>
      </w:numPr>
      <w:bidi w:val="0"/>
      <w:spacing w:line="240" w:lineRule="auto"/>
      <w:ind w:right="0"/>
      <w:jc w:val="left"/>
      <w:rPr>
        <w:rFonts w:ascii="Trebuchet MS" w:hAnsi="Trebuchet MS"/>
        <w:b w:val="1"/>
        <w:bCs w:val="1"/>
        <w:outline w:val="0"/>
        <w:color w:val="004146"/>
        <w:rtl w:val="0"/>
        <w:lang w:val="en-US"/>
        <w14:textFill>
          <w14:solidFill>
            <w14:srgbClr w14:val="004146"/>
          </w14:solidFill>
        </w14:textFill>
      </w:rPr>
    </w:pPr>
    <w:r>
      <w:rPr>
        <w:rFonts w:ascii="Trebuchet MS" w:hAnsi="Trebuchet MS"/>
        <w:b w:val="1"/>
        <w:bCs w:val="1"/>
        <w:outline w:val="0"/>
        <w:color w:val="004146"/>
        <w:u w:color="004146"/>
        <w:rtl w:val="0"/>
        <w:lang w:val="en-US"/>
        <w14:textFill>
          <w14:solidFill>
            <w14:srgbClr w14:val="004146"/>
          </w14:solidFill>
        </w14:textFill>
      </w:rPr>
      <w:t>Expires June 2028</w:t>
    </w:r>
  </w:p>
  <w:p>
    <w:pPr>
      <w:pStyle w:val="List Paragraph"/>
      <w:numPr>
        <w:ilvl w:val="0"/>
        <w:numId w:val="1"/>
      </w:numPr>
      <w:bidi w:val="0"/>
      <w:spacing w:line="240" w:lineRule="auto"/>
      <w:ind w:right="0"/>
      <w:jc w:val="left"/>
      <w:rPr>
        <w:rFonts w:ascii="Trebuchet MS" w:hAnsi="Trebuchet MS"/>
        <w:b w:val="1"/>
        <w:bCs w:val="1"/>
        <w:outline w:val="0"/>
        <w:color w:val="004146"/>
        <w:rtl w:val="0"/>
        <w:lang w:val="en-US"/>
        <w14:textFill>
          <w14:solidFill>
            <w14:srgbClr w14:val="004146"/>
          </w14:solidFill>
        </w14:textFill>
      </w:rPr>
    </w:pPr>
    <w:r>
      <w:rPr>
        <w:rFonts w:ascii="Trebuchet MS" w:hAnsi="Trebuchet MS"/>
        <w:b w:val="1"/>
        <w:bCs w:val="1"/>
        <w:outline w:val="0"/>
        <w:color w:val="004146"/>
        <w:u w:color="004146"/>
        <w:rtl w:val="0"/>
        <w:lang w:val="en-US"/>
        <w14:textFill>
          <w14:solidFill>
            <w14:srgbClr w14:val="004146"/>
          </w14:solidFill>
        </w14:textFill>
      </w:rPr>
      <w:t>Study Centre information only: Last moderation window is September 2028</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footer"/>
    </w:pPr>
    <w:r>
      <w:drawing xmlns:a="http://schemas.openxmlformats.org/drawingml/2006/main">
        <wp:inline distT="0" distB="0" distL="0" distR="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726"/>
        <w:tab w:val="clear" w:pos="4513"/>
        <w:tab w:val="clear" w:pos="9026"/>
      </w:tabs>
    </w:pPr>
    <w:r>
      <w:drawing xmlns:a="http://schemas.openxmlformats.org/drawingml/2006/main">
        <wp:anchor distT="152400" distB="152400" distL="152400" distR="152400" simplePos="0" relativeHeight="251658240" behindDoc="1" locked="0" layoutInCell="1" allowOverlap="1">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r>
      <w:drawing xmlns:a="http://schemas.openxmlformats.org/drawingml/2006/main">
        <wp:anchor distT="152400" distB="152400" distL="152400" distR="152400" simplePos="0" relativeHeight="251658240" behindDoc="1" locked="0" layoutInCell="1" allowOverlap="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extLst/>
                  </a:blip>
                  <a:stretch>
                    <a:fillRect/>
                  </a:stretch>
                </pic:blipFill>
                <pic:spPr>
                  <a:xfrm>
                    <a:off x="0" y="0"/>
                    <a:ext cx="1160020" cy="743568"/>
                  </a:xfrm>
                  <a:prstGeom prst="rect">
                    <a:avLst/>
                  </a:prstGeom>
                  <a:ln w="12700" cap="flat">
                    <a:noFill/>
                    <a:miter lim="400000"/>
                  </a:ln>
                  <a:effectLst/>
                </pic:spPr>
              </pic:pic>
            </a:graphicData>
          </a:graphic>
        </wp:anchor>
      </w:drawing>
    </w: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726"/>
        <w:tab w:val="clear" w:pos="4513"/>
        <w:tab w:val="clear" w:pos="9026"/>
      </w:tabs>
    </w:pPr>
    <w:r>
      <w:rPr>
        <w:outline w:val="0"/>
        <w:color w:val="808080"/>
        <w:u w:color="808080"/>
        <w:rtl w:val="0"/>
        <w:lang w:val="en-US"/>
        <w14:textFill>
          <w14:solidFill>
            <w14:srgbClr w14:val="808080"/>
          </w14:solidFill>
        </w14:textFill>
      </w:rPr>
      <w:t xml:space="preserve"> </w:t>
      <w:tab/>
      <w:tab/>
    </w:r>
    <w:r>
      <w:rPr>
        <w:rFonts w:ascii="Trebuchet MS" w:hAnsi="Trebuchet MS"/>
        <w:outline w:val="0"/>
        <w:color w:val="004146"/>
        <w:u w:color="004146"/>
        <w:rtl w:val="0"/>
        <w:lang w:val="en-US"/>
        <w14:textFill>
          <w14:solidFill>
            <w14:srgbClr w14:val="004146"/>
          </w14:solidFill>
        </w14:textFill>
      </w:rPr>
      <w:t>Level 5 Associate Diploma</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141" w:hanging="141"/>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start w:val="1"/>
      <w:numFmt w:val="bullet"/>
      <w:suff w:val="nothing"/>
      <w:lvlText w:val="o"/>
      <w:lvlJc w:val="left"/>
      <w:pPr>
        <w:ind w:left="1221" w:hanging="141"/>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start w:val="1"/>
      <w:numFmt w:val="bullet"/>
      <w:suff w:val="nothing"/>
      <w:lvlText w:val="▪"/>
      <w:lvlJc w:val="left"/>
      <w:pPr>
        <w:ind w:left="1941" w:hanging="141"/>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start w:val="1"/>
      <w:numFmt w:val="bullet"/>
      <w:suff w:val="tab"/>
      <w:lvlText w:val="·"/>
      <w:lvlJc w:val="left"/>
      <w:pPr>
        <w:ind w:left="2661" w:hanging="141"/>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start w:val="1"/>
      <w:numFmt w:val="bullet"/>
      <w:suff w:val="nothing"/>
      <w:lvlText w:val="o"/>
      <w:lvlJc w:val="left"/>
      <w:pPr>
        <w:ind w:left="3381" w:hanging="141"/>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start w:val="1"/>
      <w:numFmt w:val="bullet"/>
      <w:suff w:val="nothing"/>
      <w:lvlText w:val="▪"/>
      <w:lvlJc w:val="left"/>
      <w:pPr>
        <w:ind w:left="4101" w:hanging="141"/>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start w:val="1"/>
      <w:numFmt w:val="bullet"/>
      <w:suff w:val="tab"/>
      <w:lvlText w:val="·"/>
      <w:lvlJc w:val="left"/>
      <w:pPr>
        <w:ind w:left="4821" w:hanging="141"/>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start w:val="1"/>
      <w:numFmt w:val="bullet"/>
      <w:suff w:val="nothing"/>
      <w:lvlText w:val="o"/>
      <w:lvlJc w:val="left"/>
      <w:pPr>
        <w:ind w:left="5541" w:hanging="141"/>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start w:val="1"/>
      <w:numFmt w:val="bullet"/>
      <w:suff w:val="nothing"/>
      <w:lvlText w:val="▪"/>
      <w:lvlJc w:val="left"/>
      <w:pPr>
        <w:ind w:left="6261" w:hanging="141"/>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4"/>
  </w:abstractNum>
  <w:abstractNum w:abstractNumId="4">
    <w:multiLevelType w:val="hybridMultilevel"/>
    <w:styleLink w:val="Imported Style 4"/>
    <w:lvl w:ilvl="0">
      <w:start w:val="1"/>
      <w:numFmt w:val="decimal"/>
      <w:suff w:val="tab"/>
      <w:lvlText w:val="%1."/>
      <w:lvlJc w:val="left"/>
      <w:pPr>
        <w:ind w:left="56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72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08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180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52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24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396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468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40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120" w:hanging="360"/>
      </w:pPr>
      <w:rPr>
        <w:rFonts w:ascii="Trebuchet MS" w:cs="Trebuchet MS" w:hAnsi="Trebuchet MS" w:eastAsia="Trebuchet MS"/>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1"/>
  </w:abstractNum>
  <w:abstractNum w:abstractNumId="9">
    <w:multiLevelType w:val="hybridMultilevel"/>
    <w:styleLink w:val="Imported Style 1"/>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start w:val="1"/>
      <w:numFmt w:val="bullet"/>
      <w:suff w:val="tab"/>
      <w:lvlText w:val="o"/>
      <w:lvlJc w:val="left"/>
      <w:pPr>
        <w:ind w:left="1794" w:hanging="357"/>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514" w:hanging="357"/>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3234" w:hanging="357"/>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954" w:hanging="357"/>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674" w:hanging="357"/>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394" w:hanging="357"/>
      </w:pPr>
      <w:rPr>
        <w:rFonts w:ascii="Symbol" w:cs="Symbol" w:hAnsi="Symbol" w:eastAsia="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6114" w:hanging="357"/>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834" w:hanging="357"/>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142" w:hanging="142"/>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start w:val="1"/>
      <w:numFmt w:val="bullet"/>
      <w:suff w:val="tab"/>
      <w:lvlText w:val="o"/>
      <w:lvlJc w:val="left"/>
      <w:pPr>
        <w:ind w:left="1111" w:hanging="391"/>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start w:val="1"/>
      <w:numFmt w:val="bullet"/>
      <w:suff w:val="tab"/>
      <w:lvlText w:val="▪"/>
      <w:lvlJc w:val="left"/>
      <w:pPr>
        <w:ind w:left="1831" w:hanging="391"/>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start w:val="1"/>
      <w:numFmt w:val="bullet"/>
      <w:suff w:val="tab"/>
      <w:lvlText w:val="·"/>
      <w:lvlJc w:val="left"/>
      <w:pPr>
        <w:ind w:left="2551" w:hanging="391"/>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start w:val="1"/>
      <w:numFmt w:val="bullet"/>
      <w:suff w:val="tab"/>
      <w:lvlText w:val="o"/>
      <w:lvlJc w:val="left"/>
      <w:pPr>
        <w:ind w:left="3271" w:hanging="391"/>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start w:val="1"/>
      <w:numFmt w:val="bullet"/>
      <w:suff w:val="tab"/>
      <w:lvlText w:val="▪"/>
      <w:lvlJc w:val="left"/>
      <w:pPr>
        <w:ind w:left="3991" w:hanging="391"/>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start w:val="1"/>
      <w:numFmt w:val="bullet"/>
      <w:suff w:val="tab"/>
      <w:lvlText w:val="·"/>
      <w:lvlJc w:val="left"/>
      <w:pPr>
        <w:ind w:left="4711" w:hanging="391"/>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start w:val="1"/>
      <w:numFmt w:val="bullet"/>
      <w:suff w:val="tab"/>
      <w:lvlText w:val="o"/>
      <w:lvlJc w:val="left"/>
      <w:pPr>
        <w:ind w:left="5431" w:hanging="391"/>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start w:val="1"/>
      <w:numFmt w:val="bullet"/>
      <w:suff w:val="tab"/>
      <w:lvlText w:val="▪"/>
      <w:lvlJc w:val="left"/>
      <w:pPr>
        <w:ind w:left="6151" w:hanging="391"/>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142" w:hanging="14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1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3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51"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7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9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11"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3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5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142" w:hanging="14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1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3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51"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7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9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11"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3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5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142" w:hanging="14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1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3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51"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7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9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11"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3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51"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4"/>
  </w:num>
  <w:num w:numId="5">
    <w:abstractNumId w:val="3"/>
  </w:num>
  <w:num w:numId="6">
    <w:abstractNumId w:val="3"/>
    <w:lvlOverride w:ilvl="0">
      <w:lvl w:ilvl="0">
        <w:start w:val="1"/>
        <w:numFmt w:val="decimal"/>
        <w:suff w:val="tab"/>
        <w:lvlText w:val="%1."/>
        <w:lvlJc w:val="left"/>
        <w:pPr>
          <w:ind w:left="578" w:hanging="578"/>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1">
      <w:lvl w:ilvl="1">
        <w:start w:val="1"/>
        <w:numFmt w:val="lowerLetter"/>
        <w:suff w:val="tab"/>
        <w:lvlText w:val="%2."/>
        <w:lvlJc w:val="left"/>
        <w:pPr>
          <w:ind w:left="1287" w:hanging="578"/>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2">
      <w:lvl w:ilvl="2">
        <w:start w:val="1"/>
        <w:numFmt w:val="lowerRoman"/>
        <w:suff w:val="tab"/>
        <w:lvlText w:val="%3."/>
        <w:lvlJc w:val="left"/>
        <w:pPr>
          <w:ind w:left="2007" w:hanging="513"/>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3">
      <w:lvl w:ilvl="3">
        <w:start w:val="1"/>
        <w:numFmt w:val="decimal"/>
        <w:suff w:val="tab"/>
        <w:lvlText w:val="%4."/>
        <w:lvlJc w:val="left"/>
        <w:pPr>
          <w:ind w:left="2727" w:hanging="578"/>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4">
      <w:lvl w:ilvl="4">
        <w:start w:val="1"/>
        <w:numFmt w:val="lowerLetter"/>
        <w:suff w:val="tab"/>
        <w:lvlText w:val="%5."/>
        <w:lvlJc w:val="left"/>
        <w:pPr>
          <w:ind w:left="3447" w:hanging="578"/>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5">
      <w:lvl w:ilvl="5">
        <w:start w:val="1"/>
        <w:numFmt w:val="lowerRoman"/>
        <w:suff w:val="tab"/>
        <w:lvlText w:val="%6."/>
        <w:lvlJc w:val="left"/>
        <w:pPr>
          <w:ind w:left="4167" w:hanging="513"/>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6">
      <w:lvl w:ilvl="6">
        <w:start w:val="1"/>
        <w:numFmt w:val="decimal"/>
        <w:suff w:val="tab"/>
        <w:lvlText w:val="%7."/>
        <w:lvlJc w:val="left"/>
        <w:pPr>
          <w:ind w:left="4887" w:hanging="578"/>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7">
      <w:lvl w:ilvl="7">
        <w:start w:val="1"/>
        <w:numFmt w:val="lowerLetter"/>
        <w:suff w:val="tab"/>
        <w:lvlText w:val="%8."/>
        <w:lvlJc w:val="left"/>
        <w:pPr>
          <w:ind w:left="5607" w:hanging="578"/>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lvlOverride w:ilvl="8">
      <w:lvl w:ilvl="8">
        <w:start w:val="1"/>
        <w:numFmt w:val="lowerRoman"/>
        <w:suff w:val="tab"/>
        <w:lvlText w:val="%9."/>
        <w:lvlJc w:val="left"/>
        <w:pPr>
          <w:ind w:left="6327" w:hanging="513"/>
        </w:pPr>
        <w:rPr>
          <w:rFonts w:hAnsi="Arial Unicode MS"/>
          <w:caps w:val="0"/>
          <w:smallCaps w:val="0"/>
          <w:strike w:val="0"/>
          <w:dstrike w:val="0"/>
          <w:outline w:val="0"/>
          <w:emboss w:val="0"/>
          <w:imprint w:val="0"/>
          <w:color w:val="004147"/>
          <w:spacing w:val="0"/>
          <w:w w:val="100"/>
          <w:kern w:val="0"/>
          <w:position w:val="0"/>
          <w:highlight w:val="none"/>
          <w:vertAlign w:val="baseline"/>
        </w:rPr>
      </w:lvl>
    </w:lvlOverride>
  </w:num>
  <w:num w:numId="7">
    <w:abstractNumId w:val="5"/>
  </w:num>
  <w:num w:numId="8">
    <w:abstractNumId w:val="6"/>
  </w:num>
  <w:num w:numId="9">
    <w:abstractNumId w:val="7"/>
  </w:num>
  <w:num w:numId="10">
    <w:abstractNumId w:val="9"/>
  </w:num>
  <w:num w:numId="11">
    <w:abstractNumId w:val="8"/>
  </w:num>
  <w:num w:numId="12">
    <w:abstractNumId w:val="10"/>
  </w:num>
  <w:num w:numId="13">
    <w:abstractNumId w:val="11"/>
  </w:num>
  <w:num w:numId="14">
    <w:abstractNumId w:val="12"/>
  </w:num>
  <w:num w:numId="15">
    <w:abstractNumId w:val="12"/>
    <w:lvlOverride w:ilvl="0">
      <w:lvl w:ilvl="0">
        <w:start w:val="1"/>
        <w:numFmt w:val="bullet"/>
        <w:suff w:val="tab"/>
        <w:lvlText w:val="·"/>
        <w:lvlJc w:val="left"/>
        <w:pPr>
          <w:ind w:left="113" w:hanging="11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082" w:hanging="36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802" w:hanging="36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22" w:hanging="36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242" w:hanging="36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62" w:hanging="36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82" w:hanging="36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402" w:hanging="36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22" w:hanging="36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3"/>
  </w:num>
  <w:num w:numId="17">
    <w:abstractNumId w:val="1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59"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list in parag">
    <w:name w:val="list in parag"/>
    <w:next w:val="list in parag"/>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64"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Trebuchet MS" w:cs="Trebuchet MS" w:hAnsi="Trebuchet MS" w:eastAsia="Trebuchet MS"/>
      <w:b w:val="1"/>
      <w:bCs w:val="1"/>
      <w:outline w:val="0"/>
      <w:color w:val="004147"/>
      <w:u w:color="004147"/>
      <w14:textFill>
        <w14:solidFill>
          <w14:srgbClr w14:val="004147"/>
        </w14:solidFill>
      </w14:textFill>
    </w:rPr>
  </w:style>
  <w:style w:type="character" w:styleId="Hyperlink.1">
    <w:name w:val="Hyperlink.1"/>
    <w:basedOn w:val="Link"/>
    <w:next w:val="Hyperlink.1"/>
    <w:rPr>
      <w:rFonts w:ascii="Arial" w:cs="Arial" w:hAnsi="Arial" w:eastAsia="Arial"/>
      <w:b w:val="1"/>
      <w:bCs w:val="1"/>
      <w:outline w:val="0"/>
      <w:color w:val="004147"/>
      <w:u w:color="004147"/>
      <w14:textFill>
        <w14:solidFill>
          <w14:srgbClr w14:val="004147"/>
        </w14:solidFill>
      </w14:textFill>
    </w:rPr>
  </w:style>
  <w:style w:type="character" w:styleId="Hyperlink.2">
    <w:name w:val="Hyperlink.2"/>
    <w:basedOn w:val="Link"/>
    <w:next w:val="Hyperlink.2"/>
    <w:rPr>
      <w:rFonts w:ascii="Trebuchet MS" w:cs="Trebuchet MS" w:hAnsi="Trebuchet MS" w:eastAsia="Trebuchet MS"/>
    </w:rPr>
  </w:style>
  <w:style w:type="paragraph" w:styleId="Heading">
    <w:name w:val="Heading"/>
    <w:next w:val="Body"/>
    <w:pPr>
      <w:keepNext w:val="0"/>
      <w:keepLines w:val="0"/>
      <w:pageBreakBefore w:val="0"/>
      <w:widowControl w:val="1"/>
      <w:shd w:val="clear" w:color="auto" w:fill="auto"/>
      <w:suppressAutoHyphens w:val="0"/>
      <w:bidi w:val="0"/>
      <w:spacing w:before="120" w:after="360" w:line="264" w:lineRule="auto"/>
      <w:ind w:left="0" w:right="0" w:firstLine="0"/>
      <w:jc w:val="left"/>
      <w:outlineLvl w:val="0"/>
    </w:pPr>
    <w:rPr>
      <w:rFonts w:ascii="Georgia" w:cs="Georgia" w:hAnsi="Georgia" w:eastAsia="Georgia"/>
      <w:b w:val="0"/>
      <w:bCs w:val="0"/>
      <w:i w:val="1"/>
      <w:iCs w:val="1"/>
      <w:caps w:val="0"/>
      <w:smallCaps w:val="0"/>
      <w:strike w:val="0"/>
      <w:dstrike w:val="0"/>
      <w:outline w:val="0"/>
      <w:color w:val="004147"/>
      <w:spacing w:val="0"/>
      <w:kern w:val="0"/>
      <w:position w:val="0"/>
      <w:sz w:val="48"/>
      <w:szCs w:val="48"/>
      <w:u w:val="none" w:color="004147"/>
      <w:shd w:val="nil" w:color="auto" w:fill="auto"/>
      <w:vertAlign w:val="baseline"/>
      <w14:textOutline>
        <w14:noFill/>
      </w14:textOutline>
      <w14:textFill>
        <w14:solidFill>
          <w14:srgbClr w14:val="004147"/>
        </w14:solidFill>
      </w14:textFill>
    </w:rPr>
  </w:style>
  <w:style w:type="numbering" w:styleId="Imported Style 4">
    <w:name w:val="Imported Style 4"/>
    <w:pPr>
      <w:numPr>
        <w:numId w:val="4"/>
      </w:numPr>
    </w:p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120" w:after="120" w:line="264" w:lineRule="auto"/>
      <w:ind w:left="0" w:right="227" w:firstLine="0"/>
      <w:jc w:val="left"/>
      <w:outlineLvl w:val="2"/>
    </w:pPr>
    <w:rPr>
      <w:rFonts w:ascii="Arial" w:cs="Arial Unicode MS" w:hAnsi="Arial" w:eastAsia="Arial Unicode MS"/>
      <w:b w:val="1"/>
      <w:bCs w:val="1"/>
      <w:i w:val="0"/>
      <w:iCs w:val="0"/>
      <w:caps w:val="0"/>
      <w:smallCaps w:val="0"/>
      <w:strike w:val="0"/>
      <w:dstrike w:val="0"/>
      <w:outline w:val="0"/>
      <w:color w:val="004147"/>
      <w:spacing w:val="0"/>
      <w:kern w:val="0"/>
      <w:position w:val="0"/>
      <w:sz w:val="24"/>
      <w:szCs w:val="24"/>
      <w:u w:val="none" w:color="004147"/>
      <w:shd w:val="nil" w:color="auto" w:fill="auto"/>
      <w:vertAlign w:val="baseline"/>
      <w:lang w:val="de-DE"/>
      <w14:textOutline>
        <w14:noFill/>
      </w14:textOutline>
      <w14:textFill>
        <w14:solidFill>
          <w14:srgbClr w14:val="004147"/>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40" w:after="120" w:line="259" w:lineRule="auto"/>
      <w:ind w:left="0" w:right="0" w:firstLine="0"/>
      <w:jc w:val="left"/>
      <w:outlineLvl w:val="1"/>
    </w:pPr>
    <w:rPr>
      <w:rFonts w:ascii="Arial" w:cs="Arial Unicode MS" w:hAnsi="Arial" w:eastAsia="Arial Unicode MS"/>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lang w:val="en-US"/>
      <w14:textOutline>
        <w14:noFill/>
      </w14:textOutline>
      <w14:textFill>
        <w14:solidFill>
          <w14:srgbClr w14:val="7F7F7F"/>
        </w14:solidFill>
      </w14:textFill>
    </w:rPr>
  </w:style>
  <w:style w:type="character" w:styleId="Hyperlink.3">
    <w:name w:val="Hyperlink.3"/>
    <w:basedOn w:val="Link"/>
    <w:next w:val="Hyperlink.3"/>
    <w:rPr>
      <w:rFonts w:ascii="Trebuchet MS" w:cs="Trebuchet MS" w:hAnsi="Trebuchet MS" w:eastAsia="Trebuchet MS"/>
      <w:b w:val="1"/>
      <w:bCs w:val="1"/>
      <w:shd w:val="nil" w:color="auto" w:fill="auto"/>
      <w:lang w:val="en-US"/>
    </w:rPr>
  </w:style>
  <w:style w:type="numbering" w:styleId="Imported Style 1">
    <w:name w:val="Imported Style 1"/>
    <w:pPr>
      <w:numPr>
        <w:numId w:val="10"/>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theme" Target="theme/theme1.xml"/></Relationships>

</file>

<file path=word/_rels/footer1.xml.rels><?xml version="1.0" encoding="UTF-8"?>
<Relationships xmlns="http://schemas.openxmlformats.org/package/2006/relationships"><Relationship Id="rId1" Type="http://schemas.openxmlformats.org/officeDocument/2006/relationships/image" Target="media/image4.png"/></Relationships>

</file>

<file path=word/_rels/footer3.xml.rels><?xml version="1.0" encoding="UTF-8"?>
<Relationships xmlns="http://schemas.openxmlformats.org/package/2006/relationships"><Relationship Id="rId1" Type="http://schemas.openxmlformats.org/officeDocument/2006/relationships/image" Target="media/image4.png"/></Relationships>

</file>

<file path=word/_rels/header1.xml.rels><?xml version="1.0" encoding="UTF-8"?>
<Relationships xmlns="http://schemas.openxmlformats.org/package/2006/relationships"><Relationship Id="rId1" Type="http://schemas.openxmlformats.org/officeDocument/2006/relationships/image" Target="media/image2.png"/></Relationships>

</file>

<file path=word/_rels/header2.xml.rels><?xml version="1.0" encoding="UTF-8"?>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