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D231B" w14:textId="77777777" w:rsidR="00196C27" w:rsidRPr="007A7D56" w:rsidRDefault="00196C27" w:rsidP="00196C27">
      <w:pPr>
        <w:rPr>
          <w:rFonts w:ascii="Arial" w:hAnsi="Arial" w:cs="Arial"/>
          <w:sz w:val="32"/>
          <w:szCs w:val="32"/>
        </w:rPr>
      </w:pPr>
      <w:r w:rsidRPr="007A7D56">
        <w:rPr>
          <w:rFonts w:ascii="Arial" w:hAnsi="Arial" w:cs="Arial"/>
          <w:b/>
          <w:bCs/>
          <w:sz w:val="32"/>
          <w:szCs w:val="32"/>
        </w:rPr>
        <w:t>Name:</w:t>
      </w:r>
      <w:r w:rsidRPr="007A7D56">
        <w:rPr>
          <w:rFonts w:ascii="Arial" w:hAnsi="Arial" w:cs="Arial"/>
          <w:sz w:val="32"/>
          <w:szCs w:val="32"/>
        </w:rPr>
        <w:t xml:space="preserve"> Adrian Amankwah </w:t>
      </w:r>
    </w:p>
    <w:p w14:paraId="18F8B800" w14:textId="77777777" w:rsidR="00196C27" w:rsidRPr="007A7D56" w:rsidRDefault="00196C27" w:rsidP="00196C27">
      <w:pPr>
        <w:rPr>
          <w:rFonts w:ascii="Arial" w:hAnsi="Arial" w:cs="Arial"/>
          <w:sz w:val="32"/>
          <w:szCs w:val="32"/>
        </w:rPr>
      </w:pPr>
      <w:r w:rsidRPr="007A7D56">
        <w:rPr>
          <w:rFonts w:ascii="Arial" w:hAnsi="Arial" w:cs="Arial"/>
          <w:b/>
          <w:bCs/>
          <w:sz w:val="32"/>
          <w:szCs w:val="32"/>
        </w:rPr>
        <w:t>Student Number:</w:t>
      </w:r>
      <w:r w:rsidRPr="007A7D56">
        <w:rPr>
          <w:rFonts w:ascii="Arial" w:hAnsi="Arial" w:cs="Arial"/>
          <w:sz w:val="32"/>
          <w:szCs w:val="32"/>
        </w:rPr>
        <w:t xml:space="preserve"> 2440924 </w:t>
      </w:r>
    </w:p>
    <w:p w14:paraId="4AAC4091" w14:textId="77777777" w:rsidR="00462B5F" w:rsidRDefault="00196C27" w:rsidP="00196C27">
      <w:pPr>
        <w:rPr>
          <w:rFonts w:ascii="Arial" w:hAnsi="Arial" w:cs="Arial"/>
          <w:sz w:val="32"/>
          <w:szCs w:val="32"/>
        </w:rPr>
      </w:pPr>
      <w:r w:rsidRPr="007A7D56">
        <w:rPr>
          <w:rFonts w:ascii="Arial" w:hAnsi="Arial" w:cs="Arial"/>
          <w:b/>
          <w:bCs/>
          <w:sz w:val="32"/>
          <w:szCs w:val="32"/>
        </w:rPr>
        <w:t>Module Code and Title:</w:t>
      </w:r>
      <w:r w:rsidRPr="007A7D56">
        <w:rPr>
          <w:rFonts w:ascii="Arial" w:hAnsi="Arial" w:cs="Arial"/>
          <w:sz w:val="32"/>
          <w:szCs w:val="32"/>
        </w:rPr>
        <w:t xml:space="preserve"> </w:t>
      </w:r>
      <w:r w:rsidR="00462B5F" w:rsidRPr="00462B5F">
        <w:rPr>
          <w:rFonts w:ascii="Arial" w:hAnsi="Arial" w:cs="Arial"/>
          <w:sz w:val="32"/>
          <w:szCs w:val="32"/>
        </w:rPr>
        <w:t>LCHS4003</w:t>
      </w:r>
      <w:r w:rsidRPr="007A7D56">
        <w:rPr>
          <w:rFonts w:ascii="Arial" w:hAnsi="Arial" w:cs="Arial"/>
          <w:sz w:val="32"/>
          <w:szCs w:val="32"/>
        </w:rPr>
        <w:t xml:space="preserve">, </w:t>
      </w:r>
      <w:r w:rsidR="00462B5F" w:rsidRPr="00462B5F">
        <w:rPr>
          <w:rFonts w:ascii="Arial" w:hAnsi="Arial" w:cs="Arial"/>
          <w:sz w:val="32"/>
          <w:szCs w:val="32"/>
        </w:rPr>
        <w:t xml:space="preserve">Introduction to Health and Social Care </w:t>
      </w:r>
    </w:p>
    <w:p w14:paraId="54ED134D" w14:textId="72656835" w:rsidR="00196C27" w:rsidRPr="007A7D56" w:rsidRDefault="00196C27" w:rsidP="00196C27">
      <w:pPr>
        <w:rPr>
          <w:rFonts w:ascii="Arial" w:hAnsi="Arial" w:cs="Arial"/>
          <w:sz w:val="32"/>
          <w:szCs w:val="32"/>
        </w:rPr>
      </w:pPr>
      <w:r w:rsidRPr="007A7D56">
        <w:rPr>
          <w:rFonts w:ascii="Arial" w:hAnsi="Arial" w:cs="Arial"/>
          <w:b/>
          <w:bCs/>
          <w:sz w:val="32"/>
          <w:szCs w:val="32"/>
        </w:rPr>
        <w:t>Lecturer’s Name:</w:t>
      </w:r>
      <w:r w:rsidRPr="007A7D56">
        <w:rPr>
          <w:rFonts w:ascii="Arial" w:hAnsi="Arial" w:cs="Arial"/>
          <w:sz w:val="32"/>
          <w:szCs w:val="32"/>
        </w:rPr>
        <w:t xml:space="preserve"> </w:t>
      </w:r>
      <w:r w:rsidR="00462B5F" w:rsidRPr="00462B5F">
        <w:rPr>
          <w:rFonts w:ascii="Arial" w:hAnsi="Arial" w:cs="Arial"/>
          <w:sz w:val="32"/>
          <w:szCs w:val="32"/>
        </w:rPr>
        <w:t>Umma Suleiman</w:t>
      </w:r>
    </w:p>
    <w:p w14:paraId="260A54DB" w14:textId="2E0DB8C1" w:rsidR="00196C27" w:rsidRPr="007A7D56" w:rsidRDefault="00196C27" w:rsidP="00196C27">
      <w:pPr>
        <w:rPr>
          <w:rFonts w:ascii="Arial" w:hAnsi="Arial" w:cs="Arial"/>
          <w:sz w:val="32"/>
          <w:szCs w:val="32"/>
        </w:rPr>
      </w:pPr>
      <w:r w:rsidRPr="007A7D56">
        <w:rPr>
          <w:rFonts w:ascii="Arial" w:hAnsi="Arial" w:cs="Arial"/>
          <w:b/>
          <w:bCs/>
          <w:sz w:val="32"/>
          <w:szCs w:val="32"/>
        </w:rPr>
        <w:t>Assignment Title:</w:t>
      </w:r>
      <w:r w:rsidRPr="007A7D56">
        <w:rPr>
          <w:rFonts w:ascii="Arial" w:hAnsi="Arial" w:cs="Arial"/>
          <w:sz w:val="32"/>
          <w:szCs w:val="32"/>
        </w:rPr>
        <w:t xml:space="preserve"> </w:t>
      </w:r>
      <w:r w:rsidR="00462B5F" w:rsidRPr="00462B5F">
        <w:rPr>
          <w:rFonts w:ascii="Arial" w:hAnsi="Arial" w:cs="Arial"/>
          <w:sz w:val="32"/>
          <w:szCs w:val="32"/>
        </w:rPr>
        <w:t>Case Study: Mrs Mann</w:t>
      </w:r>
    </w:p>
    <w:p w14:paraId="5716E5CA" w14:textId="247A644E" w:rsidR="00462B5F" w:rsidRDefault="00462B5F">
      <w:pPr>
        <w:rPr>
          <w:rFonts w:ascii="Arial" w:hAnsi="Arial" w:cs="Arial"/>
          <w:sz w:val="32"/>
          <w:szCs w:val="32"/>
        </w:rPr>
      </w:pPr>
      <w:r>
        <w:rPr>
          <w:rFonts w:ascii="Arial" w:hAnsi="Arial" w:cs="Arial"/>
          <w:sz w:val="32"/>
          <w:szCs w:val="32"/>
        </w:rPr>
        <w:br w:type="page"/>
      </w:r>
    </w:p>
    <w:p w14:paraId="64D48530" w14:textId="67AA164E" w:rsidR="00462B5F" w:rsidRPr="00462B5F" w:rsidRDefault="00462B5F" w:rsidP="00462B5F">
      <w:pPr>
        <w:rPr>
          <w:rFonts w:ascii="Arial" w:hAnsi="Arial" w:cs="Arial"/>
          <w:b/>
          <w:bCs/>
        </w:rPr>
      </w:pPr>
      <w:r w:rsidRPr="00462B5F">
        <w:rPr>
          <w:rFonts w:ascii="Arial" w:hAnsi="Arial" w:cs="Arial"/>
          <w:b/>
          <w:bCs/>
        </w:rPr>
        <w:lastRenderedPageBreak/>
        <w:t>Introduction</w:t>
      </w:r>
    </w:p>
    <w:p w14:paraId="4EBC1C42" w14:textId="77777777" w:rsidR="00462B5F" w:rsidRPr="00462B5F" w:rsidRDefault="00462B5F" w:rsidP="00462B5F">
      <w:pPr>
        <w:rPr>
          <w:rFonts w:ascii="Arial" w:hAnsi="Arial" w:cs="Arial"/>
          <w:sz w:val="32"/>
          <w:szCs w:val="32"/>
        </w:rPr>
      </w:pPr>
    </w:p>
    <w:p w14:paraId="2E95D6FD" w14:textId="77777777" w:rsidR="00462B5F" w:rsidRDefault="00462B5F" w:rsidP="00462B5F">
      <w:pPr>
        <w:rPr>
          <w:rFonts w:ascii="Arial" w:hAnsi="Arial" w:cs="Arial"/>
          <w:sz w:val="22"/>
          <w:szCs w:val="22"/>
        </w:rPr>
      </w:pPr>
      <w:r w:rsidRPr="00462B5F">
        <w:rPr>
          <w:rFonts w:ascii="Arial" w:hAnsi="Arial" w:cs="Arial"/>
          <w:sz w:val="22"/>
          <w:szCs w:val="22"/>
        </w:rPr>
        <w:t xml:space="preserve">Supporting someone like Mrs Mann after a hip replacement requires more than simply delivering care tasks; it relies on clear communication, accurate documentation, and coordinated teamwork. Because she lives alone, speaks limited English, and depends on several professionals, the quality of communication and record keeping directly affects her safety and recovery. </w:t>
      </w:r>
    </w:p>
    <w:p w14:paraId="41F0D2D7" w14:textId="77777777" w:rsidR="00462B5F" w:rsidRDefault="00462B5F" w:rsidP="00462B5F">
      <w:pPr>
        <w:rPr>
          <w:rFonts w:ascii="Arial" w:hAnsi="Arial" w:cs="Arial"/>
          <w:sz w:val="22"/>
          <w:szCs w:val="22"/>
        </w:rPr>
      </w:pPr>
      <w:r w:rsidRPr="00462B5F">
        <w:rPr>
          <w:rFonts w:ascii="Arial" w:hAnsi="Arial" w:cs="Arial"/>
          <w:sz w:val="22"/>
          <w:szCs w:val="22"/>
        </w:rPr>
        <w:t xml:space="preserve">The recent issues with inconsistent documentation and a delayed medication adjustment highlight how easily gaps can appear when information is not shared effectively. At the same time, her situation reflects the wider expectations placed on health and social care workers to follow legislation, uphold equality, and work collaboratively across different agencies. </w:t>
      </w:r>
    </w:p>
    <w:p w14:paraId="5DABE869" w14:textId="26FFE494" w:rsidR="00462B5F" w:rsidRDefault="00462B5F" w:rsidP="00462B5F">
      <w:pPr>
        <w:rPr>
          <w:rFonts w:ascii="Arial" w:hAnsi="Arial" w:cs="Arial"/>
          <w:sz w:val="22"/>
          <w:szCs w:val="22"/>
        </w:rPr>
      </w:pPr>
      <w:r w:rsidRPr="00462B5F">
        <w:rPr>
          <w:rFonts w:ascii="Arial" w:hAnsi="Arial" w:cs="Arial"/>
          <w:sz w:val="22"/>
          <w:szCs w:val="22"/>
        </w:rPr>
        <w:t>This report explores three key areas that shape good practice in Mrs Mann’s case: effective communication, strong administrative and record</w:t>
      </w:r>
      <w:r w:rsidRPr="00462B5F">
        <w:rPr>
          <w:rFonts w:ascii="Cambria Math" w:hAnsi="Cambria Math" w:cs="Cambria Math"/>
          <w:sz w:val="22"/>
          <w:szCs w:val="22"/>
        </w:rPr>
        <w:t>‑</w:t>
      </w:r>
      <w:r w:rsidRPr="00462B5F">
        <w:rPr>
          <w:rFonts w:ascii="Arial" w:hAnsi="Arial" w:cs="Arial"/>
          <w:sz w:val="22"/>
          <w:szCs w:val="22"/>
        </w:rPr>
        <w:t>keeping skills, and multi</w:t>
      </w:r>
      <w:r w:rsidRPr="00462B5F">
        <w:rPr>
          <w:rFonts w:ascii="Cambria Math" w:hAnsi="Cambria Math" w:cs="Cambria Math"/>
          <w:sz w:val="22"/>
          <w:szCs w:val="22"/>
        </w:rPr>
        <w:t>‑</w:t>
      </w:r>
      <w:r w:rsidRPr="00462B5F">
        <w:rPr>
          <w:rFonts w:ascii="Arial" w:hAnsi="Arial" w:cs="Arial"/>
          <w:sz w:val="22"/>
          <w:szCs w:val="22"/>
        </w:rPr>
        <w:t xml:space="preserve">agency collaboration. </w:t>
      </w:r>
    </w:p>
    <w:p w14:paraId="0666C9B9" w14:textId="5C5FF7A2" w:rsidR="00462B5F" w:rsidRDefault="00462B5F" w:rsidP="00462B5F">
      <w:pPr>
        <w:rPr>
          <w:rFonts w:ascii="Arial" w:hAnsi="Arial" w:cs="Arial"/>
          <w:sz w:val="22"/>
          <w:szCs w:val="22"/>
        </w:rPr>
      </w:pPr>
      <w:r w:rsidRPr="00462B5F">
        <w:rPr>
          <w:rFonts w:ascii="Arial" w:hAnsi="Arial" w:cs="Arial"/>
          <w:sz w:val="22"/>
          <w:szCs w:val="22"/>
        </w:rPr>
        <w:t>Drawing on legislation, professional frameworks, and academic sources, the report considers how these principles support safe, person</w:t>
      </w:r>
      <w:r w:rsidRPr="00462B5F">
        <w:rPr>
          <w:rFonts w:ascii="Cambria Math" w:hAnsi="Cambria Math" w:cs="Cambria Math"/>
          <w:sz w:val="22"/>
          <w:szCs w:val="22"/>
        </w:rPr>
        <w:t>‑</w:t>
      </w:r>
      <w:r w:rsidRPr="00462B5F">
        <w:rPr>
          <w:rFonts w:ascii="Arial" w:hAnsi="Arial" w:cs="Arial"/>
          <w:sz w:val="22"/>
          <w:szCs w:val="22"/>
        </w:rPr>
        <w:t>centred care for individuals with complex needs.</w:t>
      </w:r>
    </w:p>
    <w:p w14:paraId="68ABD9D1" w14:textId="77777777" w:rsidR="00462B5F" w:rsidRDefault="00462B5F">
      <w:pPr>
        <w:rPr>
          <w:rFonts w:ascii="Arial" w:hAnsi="Arial" w:cs="Arial"/>
          <w:sz w:val="22"/>
          <w:szCs w:val="22"/>
        </w:rPr>
      </w:pPr>
      <w:r>
        <w:rPr>
          <w:rFonts w:ascii="Arial" w:hAnsi="Arial" w:cs="Arial"/>
          <w:sz w:val="22"/>
          <w:szCs w:val="22"/>
        </w:rPr>
        <w:br w:type="page"/>
      </w:r>
    </w:p>
    <w:p w14:paraId="488B0EE3" w14:textId="77777777" w:rsidR="00462B5F" w:rsidRPr="00462B5F" w:rsidRDefault="00462B5F" w:rsidP="00462B5F">
      <w:pPr>
        <w:rPr>
          <w:rFonts w:ascii="Arial" w:hAnsi="Arial" w:cs="Arial"/>
          <w:b/>
          <w:bCs/>
        </w:rPr>
      </w:pPr>
      <w:r w:rsidRPr="00462B5F">
        <w:rPr>
          <w:rFonts w:ascii="Arial" w:hAnsi="Arial" w:cs="Arial"/>
          <w:b/>
          <w:bCs/>
        </w:rPr>
        <w:lastRenderedPageBreak/>
        <w:t xml:space="preserve">Importance of Effective Communication </w:t>
      </w:r>
    </w:p>
    <w:p w14:paraId="01D357C9" w14:textId="77777777" w:rsidR="00462B5F" w:rsidRDefault="00462B5F" w:rsidP="00462B5F">
      <w:pPr>
        <w:rPr>
          <w:rFonts w:ascii="Arial" w:hAnsi="Arial" w:cs="Arial"/>
          <w:b/>
          <w:bCs/>
          <w:sz w:val="22"/>
          <w:szCs w:val="22"/>
        </w:rPr>
      </w:pPr>
    </w:p>
    <w:p w14:paraId="4972115D" w14:textId="77777777" w:rsidR="00462B5F" w:rsidRPr="00462B5F" w:rsidRDefault="00462B5F" w:rsidP="00462B5F">
      <w:pPr>
        <w:rPr>
          <w:rFonts w:ascii="Arial" w:hAnsi="Arial" w:cs="Arial"/>
          <w:sz w:val="22"/>
          <w:szCs w:val="22"/>
        </w:rPr>
      </w:pPr>
      <w:r w:rsidRPr="00462B5F">
        <w:rPr>
          <w:rFonts w:ascii="Arial" w:hAnsi="Arial" w:cs="Arial"/>
          <w:sz w:val="22"/>
          <w:szCs w:val="22"/>
        </w:rPr>
        <w:t>Communication is central to Mrs Mann’s wellbeing, particularly because she speaks limited English and relies on others to interpret. Effective communication ensures she understands her care, feels respected, and can express her needs. Poor communication, by contrast, increases the risk of mistakes, as seen in the delayed medication adjustment. The Equality Act 2010 emphasises the duty to remove barriers for people with protected characteristics, including age, disability, and race. In practice, this means adapting communication methods to ensure Mrs Mann is not disadvantaged because English is not her first language (Thornicroft et al., 2022). Providing interpreters, using simple language, and checking understanding are essential reasonable adjustments.</w:t>
      </w:r>
    </w:p>
    <w:p w14:paraId="38110BFB" w14:textId="77777777" w:rsidR="00462B5F" w:rsidRPr="00462B5F" w:rsidRDefault="00462B5F" w:rsidP="00462B5F">
      <w:pPr>
        <w:rPr>
          <w:rFonts w:ascii="Arial" w:hAnsi="Arial" w:cs="Arial"/>
          <w:sz w:val="22"/>
          <w:szCs w:val="22"/>
        </w:rPr>
      </w:pPr>
      <w:r w:rsidRPr="00462B5F">
        <w:rPr>
          <w:rFonts w:ascii="Arial" w:hAnsi="Arial" w:cs="Arial"/>
          <w:sz w:val="22"/>
          <w:szCs w:val="22"/>
        </w:rPr>
        <w:t>Communicating with her family, particularly her daughter, also plays an important role. Family members often act as cultural and linguistic bridges, but professionals must avoid relying on them for complex or sensitive information. The Health and Social Care Act 2012 stresses the importance of involving individuals in decisions about their care, which requires communication that is accessible and inclusive (Glasby, 2017). Using professional interpreters when needed, offering translated materials, and ensuring Mrs Mann’s own voice is heard helps maintain her autonomy.</w:t>
      </w:r>
    </w:p>
    <w:p w14:paraId="010564F1" w14:textId="77777777" w:rsidR="00462B5F" w:rsidRPr="00462B5F" w:rsidRDefault="00462B5F" w:rsidP="00462B5F">
      <w:pPr>
        <w:rPr>
          <w:rFonts w:ascii="Arial" w:hAnsi="Arial" w:cs="Arial"/>
          <w:sz w:val="22"/>
          <w:szCs w:val="22"/>
        </w:rPr>
      </w:pPr>
      <w:r w:rsidRPr="00462B5F">
        <w:rPr>
          <w:rFonts w:ascii="Arial" w:hAnsi="Arial" w:cs="Arial"/>
          <w:sz w:val="22"/>
          <w:szCs w:val="22"/>
        </w:rPr>
        <w:t>A useful framework for understanding communication in this context is the SOLER model, which encourages workers to adopt an open, attentive posture, maintain appropriate eye contact, and listen actively (Egan, 2014). Although originally developed for counselling, SOLER is widely applied in health and social care because it promotes empathy and presence. For Mrs Mann, this might involve sitting at her level, using gestures or visual aids, and giving her time to respond. Active listening is especially important when language barriers exist, as it helps workers pick up on non</w:t>
      </w:r>
      <w:r w:rsidRPr="00462B5F">
        <w:rPr>
          <w:rFonts w:ascii="Arial" w:hAnsi="Arial" w:cs="Arial"/>
          <w:sz w:val="22"/>
          <w:szCs w:val="22"/>
        </w:rPr>
        <w:noBreakHyphen/>
        <w:t>verbal cues and clarify misunderstandings.</w:t>
      </w:r>
    </w:p>
    <w:p w14:paraId="46FE3356" w14:textId="77777777" w:rsidR="00462B5F" w:rsidRPr="00462B5F" w:rsidRDefault="00462B5F" w:rsidP="00462B5F">
      <w:pPr>
        <w:rPr>
          <w:rFonts w:ascii="Arial" w:hAnsi="Arial" w:cs="Arial"/>
          <w:sz w:val="22"/>
          <w:szCs w:val="22"/>
        </w:rPr>
      </w:pPr>
      <w:r w:rsidRPr="00462B5F">
        <w:rPr>
          <w:rFonts w:ascii="Arial" w:hAnsi="Arial" w:cs="Arial"/>
          <w:sz w:val="22"/>
          <w:szCs w:val="22"/>
        </w:rPr>
        <w:t>Cultural sensitivity is another key aspect. Mrs Mann’s background, beliefs, and preferences may influence how she communicates and how she expects to be cared for. The NHS Constitution highlights the need for dignity, respect, and personalised care (Department of Health and Social Care, 2021). Workers should therefore approach conversations with curiosity rather than assumptions, asking open questions and acknowledging cultural differences.</w:t>
      </w:r>
    </w:p>
    <w:p w14:paraId="21045684" w14:textId="77777777" w:rsidR="00462B5F" w:rsidRPr="00462B5F" w:rsidRDefault="00462B5F" w:rsidP="00462B5F">
      <w:pPr>
        <w:rPr>
          <w:rFonts w:ascii="Arial" w:hAnsi="Arial" w:cs="Arial"/>
          <w:sz w:val="22"/>
          <w:szCs w:val="22"/>
        </w:rPr>
      </w:pPr>
      <w:r w:rsidRPr="00462B5F">
        <w:rPr>
          <w:rFonts w:ascii="Arial" w:hAnsi="Arial" w:cs="Arial"/>
          <w:sz w:val="22"/>
          <w:szCs w:val="22"/>
        </w:rPr>
        <w:t>Finally, communication between professionals is equally important. Clear handovers, accurate documentation, and timely updates help ensure continuity of care. The recent incident in Mrs Mann’s case demonstrates how communication failures can have real consequences. Using structured communication tools, such as SBAR (Situation, Background, Assessment, Recommendation), can reduce ambiguity and support safer decision</w:t>
      </w:r>
      <w:r w:rsidRPr="00462B5F">
        <w:rPr>
          <w:rFonts w:ascii="Arial" w:hAnsi="Arial" w:cs="Arial"/>
          <w:sz w:val="22"/>
          <w:szCs w:val="22"/>
        </w:rPr>
        <w:noBreakHyphen/>
        <w:t>making (O’Daniel &amp; Rosenstein, 2008).</w:t>
      </w:r>
    </w:p>
    <w:p w14:paraId="3E77D6F3" w14:textId="33F44337" w:rsidR="00462B5F" w:rsidRDefault="00462B5F" w:rsidP="00462B5F">
      <w:pPr>
        <w:rPr>
          <w:rFonts w:ascii="Arial" w:hAnsi="Arial" w:cs="Arial"/>
          <w:sz w:val="22"/>
          <w:szCs w:val="22"/>
        </w:rPr>
      </w:pPr>
      <w:r w:rsidRPr="00462B5F">
        <w:rPr>
          <w:rFonts w:ascii="Arial" w:hAnsi="Arial" w:cs="Arial"/>
          <w:sz w:val="22"/>
          <w:szCs w:val="22"/>
        </w:rPr>
        <w:t xml:space="preserve">Overall, effective </w:t>
      </w:r>
      <w:r w:rsidR="00D42522">
        <w:rPr>
          <w:rFonts w:ascii="Arial" w:hAnsi="Arial" w:cs="Arial"/>
          <w:sz w:val="22"/>
          <w:szCs w:val="22"/>
        </w:rPr>
        <w:t xml:space="preserve">communication </w:t>
      </w:r>
      <w:r w:rsidRPr="00462B5F">
        <w:rPr>
          <w:rFonts w:ascii="Arial" w:hAnsi="Arial" w:cs="Arial"/>
          <w:sz w:val="22"/>
          <w:szCs w:val="22"/>
        </w:rPr>
        <w:t>adapted to language needs, culturally sensitive, and supported by structured tool</w:t>
      </w:r>
      <w:r>
        <w:rPr>
          <w:rFonts w:ascii="Arial" w:hAnsi="Arial" w:cs="Arial"/>
          <w:sz w:val="22"/>
          <w:szCs w:val="22"/>
        </w:rPr>
        <w:t xml:space="preserve"> </w:t>
      </w:r>
      <w:r w:rsidRPr="00462B5F">
        <w:rPr>
          <w:rFonts w:ascii="Arial" w:hAnsi="Arial" w:cs="Arial"/>
          <w:sz w:val="22"/>
          <w:szCs w:val="22"/>
        </w:rPr>
        <w:t>forms the foundation of safe, person</w:t>
      </w:r>
      <w:r w:rsidRPr="00462B5F">
        <w:rPr>
          <w:rFonts w:ascii="Arial" w:hAnsi="Arial" w:cs="Arial"/>
          <w:sz w:val="22"/>
          <w:szCs w:val="22"/>
        </w:rPr>
        <w:noBreakHyphen/>
        <w:t>centred care for Mrs Mann.</w:t>
      </w:r>
    </w:p>
    <w:p w14:paraId="46C249AD" w14:textId="77777777" w:rsidR="00462B5F" w:rsidRDefault="00462B5F">
      <w:pPr>
        <w:rPr>
          <w:rFonts w:ascii="Arial" w:hAnsi="Arial" w:cs="Arial"/>
          <w:sz w:val="22"/>
          <w:szCs w:val="22"/>
        </w:rPr>
      </w:pPr>
      <w:r>
        <w:rPr>
          <w:rFonts w:ascii="Arial" w:hAnsi="Arial" w:cs="Arial"/>
          <w:sz w:val="22"/>
          <w:szCs w:val="22"/>
        </w:rPr>
        <w:br w:type="page"/>
      </w:r>
    </w:p>
    <w:p w14:paraId="40409B8E" w14:textId="4398A3BF" w:rsidR="00462B5F" w:rsidRPr="00462B5F" w:rsidRDefault="00462B5F" w:rsidP="00462B5F">
      <w:pPr>
        <w:rPr>
          <w:rFonts w:ascii="Arial" w:hAnsi="Arial" w:cs="Arial"/>
          <w:b/>
          <w:bCs/>
        </w:rPr>
      </w:pPr>
      <w:r w:rsidRPr="00462B5F">
        <w:rPr>
          <w:rFonts w:ascii="Arial" w:hAnsi="Arial" w:cs="Arial"/>
          <w:b/>
          <w:bCs/>
        </w:rPr>
        <w:lastRenderedPageBreak/>
        <w:t xml:space="preserve">Importance of Good Administrative Skills and Record Keeping </w:t>
      </w:r>
    </w:p>
    <w:p w14:paraId="0336FCA2" w14:textId="77777777" w:rsidR="00462B5F" w:rsidRPr="00462B5F" w:rsidRDefault="00462B5F" w:rsidP="00462B5F">
      <w:pPr>
        <w:rPr>
          <w:rFonts w:ascii="Arial" w:hAnsi="Arial" w:cs="Arial"/>
          <w:b/>
          <w:bCs/>
          <w:sz w:val="22"/>
          <w:szCs w:val="22"/>
        </w:rPr>
      </w:pPr>
    </w:p>
    <w:p w14:paraId="099C68F0" w14:textId="77777777" w:rsidR="00462B5F" w:rsidRPr="00462B5F" w:rsidRDefault="00462B5F" w:rsidP="00462B5F">
      <w:pPr>
        <w:rPr>
          <w:rFonts w:ascii="Arial" w:hAnsi="Arial" w:cs="Arial"/>
          <w:sz w:val="22"/>
          <w:szCs w:val="22"/>
        </w:rPr>
      </w:pPr>
      <w:r w:rsidRPr="00462B5F">
        <w:rPr>
          <w:rFonts w:ascii="Arial" w:hAnsi="Arial" w:cs="Arial"/>
          <w:sz w:val="22"/>
          <w:szCs w:val="22"/>
        </w:rPr>
        <w:t>Administrative skills are often overlooked in care work, yet they are essential for maintaining safety, accountability, and continuity. In Mrs Mann’s case, inconsistent documentation contributed to a missed medication change, showing how administrative errors can directly affect health outcomes. Good record keeping ensures that every professional involved has access to accurate, up</w:t>
      </w:r>
      <w:r w:rsidRPr="00462B5F">
        <w:rPr>
          <w:rFonts w:ascii="Arial" w:hAnsi="Arial" w:cs="Arial"/>
          <w:sz w:val="22"/>
          <w:szCs w:val="22"/>
        </w:rPr>
        <w:noBreakHyphen/>
        <w:t>to</w:t>
      </w:r>
      <w:r w:rsidRPr="00462B5F">
        <w:rPr>
          <w:rFonts w:ascii="Arial" w:hAnsi="Arial" w:cs="Arial"/>
          <w:sz w:val="22"/>
          <w:szCs w:val="22"/>
        </w:rPr>
        <w:noBreakHyphen/>
        <w:t>date information, reducing the risk of duplication, omissions, or conflicting instructions.</w:t>
      </w:r>
    </w:p>
    <w:p w14:paraId="50726434" w14:textId="77777777" w:rsidR="00462B5F" w:rsidRPr="00462B5F" w:rsidRDefault="00462B5F" w:rsidP="00462B5F">
      <w:pPr>
        <w:rPr>
          <w:rFonts w:ascii="Arial" w:hAnsi="Arial" w:cs="Arial"/>
          <w:sz w:val="22"/>
          <w:szCs w:val="22"/>
        </w:rPr>
      </w:pPr>
      <w:r w:rsidRPr="00462B5F">
        <w:rPr>
          <w:rFonts w:ascii="Arial" w:hAnsi="Arial" w:cs="Arial"/>
          <w:sz w:val="22"/>
          <w:szCs w:val="22"/>
        </w:rPr>
        <w:t>The Data Protection Act 2018 and the UK GDPR set out strict requirements for handling personal information. Care records must be accurate, relevant, and stored securely, with access limited to those who need it for legitimate care purposes (Information Commissioner’s Office, 2020). For Mrs Mann, this means her care workers, GP, physiotherapist, and agency staff must follow clear protocols for documenting visits, medication changes, mobility progress, and any concerns. Records should be factual, written promptly, and free from personal opinions. This supports transparency and protects both the service user and the organisation.</w:t>
      </w:r>
    </w:p>
    <w:p w14:paraId="4F7AEE64" w14:textId="77777777" w:rsidR="00462B5F" w:rsidRPr="00462B5F" w:rsidRDefault="00462B5F" w:rsidP="00462B5F">
      <w:pPr>
        <w:rPr>
          <w:rFonts w:ascii="Arial" w:hAnsi="Arial" w:cs="Arial"/>
          <w:sz w:val="22"/>
          <w:szCs w:val="22"/>
        </w:rPr>
      </w:pPr>
      <w:r w:rsidRPr="00462B5F">
        <w:rPr>
          <w:rFonts w:ascii="Arial" w:hAnsi="Arial" w:cs="Arial"/>
          <w:sz w:val="22"/>
          <w:szCs w:val="22"/>
        </w:rPr>
        <w:t>Professional frameworks reinforce these expectations. The Care Quality Commission (CQC) identifies good record keeping as a key indicator of safe and effective care. Poor documentation can lead to safeguarding risks, medication errors, and breakdowns in communication (CQC, 2022). In domiciliary care, where multiple workers may visit the same person, consistent documentation is particularly important. Each entry forms part of a shared narrative that guides the next worker’s actions.</w:t>
      </w:r>
    </w:p>
    <w:p w14:paraId="3A184174" w14:textId="77777777" w:rsidR="00462B5F" w:rsidRPr="00462B5F" w:rsidRDefault="00462B5F" w:rsidP="00462B5F">
      <w:pPr>
        <w:rPr>
          <w:rFonts w:ascii="Arial" w:hAnsi="Arial" w:cs="Arial"/>
          <w:sz w:val="22"/>
          <w:szCs w:val="22"/>
        </w:rPr>
      </w:pPr>
      <w:r w:rsidRPr="00462B5F">
        <w:rPr>
          <w:rFonts w:ascii="Arial" w:hAnsi="Arial" w:cs="Arial"/>
          <w:sz w:val="22"/>
          <w:szCs w:val="22"/>
        </w:rPr>
        <w:t>Administrative skills also include managing communication channels, following policies, and understanding how information flows between agencies. For example, when the physiotherapist updates Mrs Mann’s mobility plan, this must be recorded clearly and communicated to the care team. Similarly, any concerns raised by care workers should be escalated promptly and documented according to organisational procedures. The NHS Code of Practice on Confidentiality emphasises the need to balance information sharing with respect for privacy, ensuring that only relevant information is shared with appropriate professionals (NHS Digital, 2018).</w:t>
      </w:r>
    </w:p>
    <w:p w14:paraId="4F93D1C9" w14:textId="77777777" w:rsidR="00462B5F" w:rsidRPr="00462B5F" w:rsidRDefault="00462B5F" w:rsidP="00462B5F">
      <w:pPr>
        <w:rPr>
          <w:rFonts w:ascii="Arial" w:hAnsi="Arial" w:cs="Arial"/>
          <w:sz w:val="22"/>
          <w:szCs w:val="22"/>
        </w:rPr>
      </w:pPr>
      <w:r w:rsidRPr="00462B5F">
        <w:rPr>
          <w:rFonts w:ascii="Arial" w:hAnsi="Arial" w:cs="Arial"/>
          <w:sz w:val="22"/>
          <w:szCs w:val="22"/>
        </w:rPr>
        <w:t>Digital systems can support better record keeping, but they also require workers to be confident in using technology. Training is essential to ensure staff understand how to enter information correctly, how to maintain confidentiality, and how to recognise errors. Administrative competence is therefore not just about paperwork; it is a professional skill that underpins safe practice.</w:t>
      </w:r>
    </w:p>
    <w:p w14:paraId="74E3F345" w14:textId="0ED9CBC7" w:rsidR="00462B5F" w:rsidRPr="00462B5F" w:rsidRDefault="00462B5F" w:rsidP="00462B5F">
      <w:pPr>
        <w:rPr>
          <w:rFonts w:ascii="Arial" w:hAnsi="Arial" w:cs="Arial"/>
          <w:sz w:val="22"/>
          <w:szCs w:val="22"/>
        </w:rPr>
      </w:pPr>
      <w:r w:rsidRPr="00462B5F">
        <w:rPr>
          <w:rFonts w:ascii="Arial" w:hAnsi="Arial" w:cs="Arial"/>
          <w:sz w:val="22"/>
          <w:szCs w:val="22"/>
        </w:rPr>
        <w:t>In Mrs Mann’s case, strengthening administrative processes—such as standardising documentation, improving communication pathways, and ensuring compliance with data protection la</w:t>
      </w:r>
      <w:r w:rsidR="00D42522">
        <w:rPr>
          <w:rFonts w:ascii="Arial" w:hAnsi="Arial" w:cs="Arial"/>
          <w:sz w:val="22"/>
          <w:szCs w:val="22"/>
        </w:rPr>
        <w:t xml:space="preserve"> </w:t>
      </w:r>
      <w:r w:rsidRPr="00462B5F">
        <w:rPr>
          <w:rFonts w:ascii="Arial" w:hAnsi="Arial" w:cs="Arial"/>
          <w:sz w:val="22"/>
          <w:szCs w:val="22"/>
        </w:rPr>
        <w:t>would help prevent future incidents and support a more coordinated approach to her care.</w:t>
      </w:r>
    </w:p>
    <w:p w14:paraId="3EA0221E" w14:textId="27A6A277" w:rsidR="00462B5F" w:rsidRDefault="00462B5F">
      <w:pPr>
        <w:rPr>
          <w:rFonts w:ascii="Arial" w:hAnsi="Arial" w:cs="Arial"/>
          <w:sz w:val="22"/>
          <w:szCs w:val="22"/>
        </w:rPr>
      </w:pPr>
      <w:r>
        <w:rPr>
          <w:rFonts w:ascii="Arial" w:hAnsi="Arial" w:cs="Arial"/>
          <w:sz w:val="22"/>
          <w:szCs w:val="22"/>
        </w:rPr>
        <w:br w:type="page"/>
      </w:r>
    </w:p>
    <w:p w14:paraId="79D36089" w14:textId="69BD23C1" w:rsidR="00462B5F" w:rsidRPr="00462B5F" w:rsidRDefault="00462B5F" w:rsidP="00462B5F">
      <w:pPr>
        <w:rPr>
          <w:rFonts w:ascii="Arial" w:hAnsi="Arial" w:cs="Arial"/>
          <w:b/>
          <w:bCs/>
        </w:rPr>
      </w:pPr>
      <w:r w:rsidRPr="00462B5F">
        <w:rPr>
          <w:rFonts w:ascii="Arial" w:hAnsi="Arial" w:cs="Arial"/>
          <w:b/>
          <w:bCs/>
        </w:rPr>
        <w:lastRenderedPageBreak/>
        <w:t xml:space="preserve">Importance of Collaborative Working </w:t>
      </w:r>
    </w:p>
    <w:p w14:paraId="7593E48A" w14:textId="77777777" w:rsidR="00462B5F" w:rsidRPr="00462B5F" w:rsidRDefault="00462B5F" w:rsidP="00462B5F">
      <w:pPr>
        <w:rPr>
          <w:rFonts w:ascii="Arial" w:hAnsi="Arial" w:cs="Arial"/>
          <w:b/>
          <w:bCs/>
          <w:sz w:val="22"/>
          <w:szCs w:val="22"/>
        </w:rPr>
      </w:pPr>
    </w:p>
    <w:p w14:paraId="3D2B6460" w14:textId="77777777" w:rsidR="00462B5F" w:rsidRPr="00462B5F" w:rsidRDefault="00462B5F" w:rsidP="00462B5F">
      <w:pPr>
        <w:rPr>
          <w:rFonts w:ascii="Arial" w:hAnsi="Arial" w:cs="Arial"/>
          <w:sz w:val="22"/>
          <w:szCs w:val="22"/>
        </w:rPr>
      </w:pPr>
      <w:r w:rsidRPr="00462B5F">
        <w:rPr>
          <w:rFonts w:ascii="Arial" w:hAnsi="Arial" w:cs="Arial"/>
          <w:sz w:val="22"/>
          <w:szCs w:val="22"/>
        </w:rPr>
        <w:t>Mrs Mann’s recovery depends on effective collaboration between her GP, physiotherapist, care workers, and family. Multi</w:t>
      </w:r>
      <w:r w:rsidRPr="00462B5F">
        <w:rPr>
          <w:rFonts w:ascii="Arial" w:hAnsi="Arial" w:cs="Arial"/>
          <w:sz w:val="22"/>
          <w:szCs w:val="22"/>
        </w:rPr>
        <w:noBreakHyphen/>
        <w:t>agency working ensures that each professional contributes their expertise while maintaining a shared understanding of her needs. Collaboration reduces duplication, supports continuity, and helps identify risks early. For example, the physiotherapist’s observations about mobility must be communicated to the care team so they can adjust support safely.</w:t>
      </w:r>
    </w:p>
    <w:p w14:paraId="44B69369" w14:textId="77777777" w:rsidR="00462B5F" w:rsidRPr="00462B5F" w:rsidRDefault="00462B5F" w:rsidP="00462B5F">
      <w:pPr>
        <w:rPr>
          <w:rFonts w:ascii="Arial" w:hAnsi="Arial" w:cs="Arial"/>
          <w:sz w:val="22"/>
          <w:szCs w:val="22"/>
        </w:rPr>
      </w:pPr>
      <w:r w:rsidRPr="00462B5F">
        <w:rPr>
          <w:rFonts w:ascii="Arial" w:hAnsi="Arial" w:cs="Arial"/>
          <w:sz w:val="22"/>
          <w:szCs w:val="22"/>
        </w:rPr>
        <w:t>Approaches that foster collaboration include regular multidisciplinary meetings, shared care plans, and structured communication tools such as SBAR. These methods help professionals exchange information clearly and avoid assumptions. The Care Act 2014 places a duty on agencies to cooperate in promoting wellbeing, which includes sharing information appropriately and coordinating interventions (Lloyd, 2020).</w:t>
      </w:r>
    </w:p>
    <w:p w14:paraId="2B420980" w14:textId="77777777" w:rsidR="00462B5F" w:rsidRPr="00462B5F" w:rsidRDefault="00462B5F" w:rsidP="00462B5F">
      <w:pPr>
        <w:rPr>
          <w:rFonts w:ascii="Arial" w:hAnsi="Arial" w:cs="Arial"/>
          <w:sz w:val="22"/>
          <w:szCs w:val="22"/>
        </w:rPr>
      </w:pPr>
      <w:r w:rsidRPr="00462B5F">
        <w:rPr>
          <w:rFonts w:ascii="Arial" w:hAnsi="Arial" w:cs="Arial"/>
          <w:sz w:val="22"/>
          <w:szCs w:val="22"/>
        </w:rPr>
        <w:t>However, multi</w:t>
      </w:r>
      <w:r w:rsidRPr="00462B5F">
        <w:rPr>
          <w:rFonts w:ascii="Arial" w:hAnsi="Arial" w:cs="Arial"/>
          <w:sz w:val="22"/>
          <w:szCs w:val="22"/>
        </w:rPr>
        <w:noBreakHyphen/>
        <w:t>agency working also presents challenges. Differences in organisational culture, communication styles, and workloads can create misunderstandings. Time pressures may limit opportunities for joint discussions, and unclear roles can lead to tasks being missed. Strategies to overcome these challenges include establishing clear lines of responsibility, using agreed documentation formats, and promoting a culture of openness where concerns can be raised without blame. Building positive relationships between professionals also helps, as trust encourages more honest and timely communication.</w:t>
      </w:r>
    </w:p>
    <w:p w14:paraId="1F732BA0" w14:textId="547D4C78" w:rsidR="00462B5F" w:rsidRDefault="00462B5F" w:rsidP="00462B5F">
      <w:pPr>
        <w:rPr>
          <w:rFonts w:ascii="Arial" w:hAnsi="Arial" w:cs="Arial"/>
          <w:sz w:val="22"/>
          <w:szCs w:val="22"/>
        </w:rPr>
      </w:pPr>
      <w:r w:rsidRPr="00462B5F">
        <w:rPr>
          <w:rFonts w:ascii="Arial" w:hAnsi="Arial" w:cs="Arial"/>
          <w:sz w:val="22"/>
          <w:szCs w:val="22"/>
        </w:rPr>
        <w:t>For Mrs Mann, effective collaboration means ensuring that every professional understands her language needs, cultural background, and rehabilitation goals. When agencies work together consistently, the risk of incident</w:t>
      </w:r>
      <w:r w:rsidR="00D42522">
        <w:rPr>
          <w:rFonts w:ascii="Arial" w:hAnsi="Arial" w:cs="Arial"/>
          <w:sz w:val="22"/>
          <w:szCs w:val="22"/>
        </w:rPr>
        <w:t xml:space="preserve"> </w:t>
      </w:r>
      <w:r w:rsidRPr="00462B5F">
        <w:rPr>
          <w:rFonts w:ascii="Arial" w:hAnsi="Arial" w:cs="Arial"/>
          <w:sz w:val="22"/>
          <w:szCs w:val="22"/>
        </w:rPr>
        <w:t>such as the delayed medication adjustmen</w:t>
      </w:r>
      <w:r w:rsidR="00D42522">
        <w:rPr>
          <w:rFonts w:ascii="Arial" w:hAnsi="Arial" w:cs="Arial"/>
          <w:sz w:val="22"/>
          <w:szCs w:val="22"/>
        </w:rPr>
        <w:t xml:space="preserve">t </w:t>
      </w:r>
      <w:r w:rsidRPr="00462B5F">
        <w:rPr>
          <w:rFonts w:ascii="Arial" w:hAnsi="Arial" w:cs="Arial"/>
          <w:sz w:val="22"/>
          <w:szCs w:val="22"/>
        </w:rPr>
        <w:t>is reduced, and her care becomes more coordinated and person</w:t>
      </w:r>
      <w:r w:rsidRPr="00462B5F">
        <w:rPr>
          <w:rFonts w:ascii="Arial" w:hAnsi="Arial" w:cs="Arial"/>
          <w:sz w:val="22"/>
          <w:szCs w:val="22"/>
        </w:rPr>
        <w:noBreakHyphen/>
        <w:t>centred.</w:t>
      </w:r>
    </w:p>
    <w:p w14:paraId="1EC7C566" w14:textId="77777777" w:rsidR="00462B5F" w:rsidRDefault="00462B5F">
      <w:pPr>
        <w:rPr>
          <w:rFonts w:ascii="Arial" w:hAnsi="Arial" w:cs="Arial"/>
          <w:sz w:val="22"/>
          <w:szCs w:val="22"/>
        </w:rPr>
      </w:pPr>
      <w:r>
        <w:rPr>
          <w:rFonts w:ascii="Arial" w:hAnsi="Arial" w:cs="Arial"/>
          <w:sz w:val="22"/>
          <w:szCs w:val="22"/>
        </w:rPr>
        <w:br w:type="page"/>
      </w:r>
    </w:p>
    <w:p w14:paraId="2EDBA6B9" w14:textId="3B97C2C7" w:rsidR="00462B5F" w:rsidRDefault="00462B5F" w:rsidP="00462B5F">
      <w:pPr>
        <w:rPr>
          <w:rFonts w:ascii="Arial" w:hAnsi="Arial" w:cs="Arial"/>
          <w:b/>
          <w:bCs/>
          <w:sz w:val="22"/>
          <w:szCs w:val="22"/>
        </w:rPr>
      </w:pPr>
      <w:r w:rsidRPr="00462B5F">
        <w:rPr>
          <w:rFonts w:ascii="Arial" w:hAnsi="Arial" w:cs="Arial"/>
          <w:b/>
          <w:bCs/>
          <w:sz w:val="22"/>
          <w:szCs w:val="22"/>
        </w:rPr>
        <w:lastRenderedPageBreak/>
        <w:t>Conclusion</w:t>
      </w:r>
    </w:p>
    <w:p w14:paraId="5E0EFF77" w14:textId="77777777" w:rsidR="00462B5F" w:rsidRPr="00462B5F" w:rsidRDefault="00462B5F" w:rsidP="00462B5F">
      <w:pPr>
        <w:rPr>
          <w:rFonts w:ascii="Arial" w:hAnsi="Arial" w:cs="Arial"/>
          <w:b/>
          <w:bCs/>
          <w:sz w:val="22"/>
          <w:szCs w:val="22"/>
        </w:rPr>
      </w:pPr>
    </w:p>
    <w:p w14:paraId="2274B9E1" w14:textId="77777777" w:rsidR="00D42522" w:rsidRDefault="00462B5F" w:rsidP="00462B5F">
      <w:pPr>
        <w:rPr>
          <w:rFonts w:ascii="Arial" w:hAnsi="Arial" w:cs="Arial"/>
          <w:sz w:val="22"/>
          <w:szCs w:val="22"/>
        </w:rPr>
      </w:pPr>
      <w:r w:rsidRPr="00462B5F">
        <w:rPr>
          <w:rFonts w:ascii="Arial" w:hAnsi="Arial" w:cs="Arial"/>
          <w:sz w:val="22"/>
          <w:szCs w:val="22"/>
        </w:rPr>
        <w:t xml:space="preserve">Mrs Mann’s case highlights how communication, administration, and collaboration are deeply interconnected in health and social care practice. Her language needs, reliance on multiple professionals, and recent documentation issues show how easily gaps can occur when these foundations are weak. </w:t>
      </w:r>
    </w:p>
    <w:p w14:paraId="1FFCF06E" w14:textId="548B2B19" w:rsidR="00D42522" w:rsidRDefault="00462B5F" w:rsidP="00462B5F">
      <w:pPr>
        <w:rPr>
          <w:rFonts w:ascii="Arial" w:hAnsi="Arial" w:cs="Arial"/>
          <w:sz w:val="22"/>
          <w:szCs w:val="22"/>
        </w:rPr>
      </w:pPr>
      <w:r w:rsidRPr="00462B5F">
        <w:rPr>
          <w:rFonts w:ascii="Arial" w:hAnsi="Arial" w:cs="Arial"/>
          <w:sz w:val="22"/>
          <w:szCs w:val="22"/>
        </w:rPr>
        <w:t xml:space="preserve">Effective </w:t>
      </w:r>
      <w:r w:rsidR="00D42522">
        <w:rPr>
          <w:rFonts w:ascii="Arial" w:hAnsi="Arial" w:cs="Arial"/>
          <w:sz w:val="22"/>
          <w:szCs w:val="22"/>
        </w:rPr>
        <w:t xml:space="preserve">communication </w:t>
      </w:r>
      <w:r w:rsidRPr="00462B5F">
        <w:rPr>
          <w:rFonts w:ascii="Arial" w:hAnsi="Arial" w:cs="Arial"/>
          <w:sz w:val="22"/>
          <w:szCs w:val="22"/>
        </w:rPr>
        <w:t xml:space="preserve">adapted to her cultural and linguistic </w:t>
      </w:r>
      <w:r w:rsidR="00D42522">
        <w:rPr>
          <w:rFonts w:ascii="Arial" w:hAnsi="Arial" w:cs="Arial"/>
          <w:sz w:val="22"/>
          <w:szCs w:val="22"/>
        </w:rPr>
        <w:t xml:space="preserve">background </w:t>
      </w:r>
      <w:r w:rsidRPr="00462B5F">
        <w:rPr>
          <w:rFonts w:ascii="Arial" w:hAnsi="Arial" w:cs="Arial"/>
          <w:sz w:val="22"/>
          <w:szCs w:val="22"/>
        </w:rPr>
        <w:t xml:space="preserve">helps ensure she understands her care and can participate in decisions. Strong administrative skills and accurate record keeping protect her safety and support continuity, while compliance with legislation such as the Data Protection Act 2018 ensures her information is handled responsibly. </w:t>
      </w:r>
    </w:p>
    <w:p w14:paraId="43331DF9" w14:textId="5CE33062" w:rsidR="00D42522" w:rsidRDefault="00462B5F" w:rsidP="00462B5F">
      <w:pPr>
        <w:rPr>
          <w:rFonts w:ascii="Arial" w:hAnsi="Arial" w:cs="Arial"/>
          <w:sz w:val="22"/>
          <w:szCs w:val="22"/>
        </w:rPr>
      </w:pPr>
      <w:r w:rsidRPr="00462B5F">
        <w:rPr>
          <w:rFonts w:ascii="Arial" w:hAnsi="Arial" w:cs="Arial"/>
          <w:sz w:val="22"/>
          <w:szCs w:val="22"/>
        </w:rPr>
        <w:t>Collaborative working brings together the expertise of her GP, physiotherapist, care workers, and family, creating a coordinated approach that reduces risks and promotes recovery. By strengthening these three areas, professionals can provide safer, more person</w:t>
      </w:r>
      <w:r w:rsidRPr="00462B5F">
        <w:rPr>
          <w:rFonts w:ascii="Arial" w:hAnsi="Arial" w:cs="Arial"/>
          <w:sz w:val="22"/>
          <w:szCs w:val="22"/>
        </w:rPr>
        <w:noBreakHyphen/>
        <w:t>centred care that respects Mrs Mann’s dignity, independence, and wellbeing.</w:t>
      </w:r>
    </w:p>
    <w:p w14:paraId="12C41A7D" w14:textId="77777777" w:rsidR="00D42522" w:rsidRDefault="00D42522">
      <w:pPr>
        <w:rPr>
          <w:rFonts w:ascii="Arial" w:hAnsi="Arial" w:cs="Arial"/>
          <w:sz w:val="22"/>
          <w:szCs w:val="22"/>
        </w:rPr>
      </w:pPr>
      <w:r>
        <w:rPr>
          <w:rFonts w:ascii="Arial" w:hAnsi="Arial" w:cs="Arial"/>
          <w:sz w:val="22"/>
          <w:szCs w:val="22"/>
        </w:rPr>
        <w:br w:type="page"/>
      </w:r>
    </w:p>
    <w:p w14:paraId="381D7375" w14:textId="15AEE236" w:rsidR="00462B5F" w:rsidRDefault="00D42522" w:rsidP="00462B5F">
      <w:pPr>
        <w:rPr>
          <w:rFonts w:ascii="Arial" w:hAnsi="Arial" w:cs="Arial"/>
          <w:b/>
          <w:bCs/>
        </w:rPr>
      </w:pPr>
      <w:r w:rsidRPr="00D42522">
        <w:rPr>
          <w:rFonts w:ascii="Arial" w:hAnsi="Arial" w:cs="Arial"/>
          <w:b/>
          <w:bCs/>
        </w:rPr>
        <w:lastRenderedPageBreak/>
        <w:t>Reference List</w:t>
      </w:r>
    </w:p>
    <w:p w14:paraId="4BB83B0F" w14:textId="77777777" w:rsidR="00D42522" w:rsidRDefault="00D42522" w:rsidP="00462B5F">
      <w:pPr>
        <w:rPr>
          <w:rFonts w:ascii="Arial" w:hAnsi="Arial" w:cs="Arial"/>
          <w:b/>
          <w:bCs/>
        </w:rPr>
      </w:pPr>
    </w:p>
    <w:p w14:paraId="026D6CA2"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Care Quality Commission (2022) </w:t>
      </w:r>
      <w:r w:rsidRPr="00D42522">
        <w:rPr>
          <w:rFonts w:ascii="Arial" w:hAnsi="Arial" w:cs="Arial"/>
          <w:i/>
          <w:iCs/>
          <w:sz w:val="22"/>
          <w:szCs w:val="22"/>
        </w:rPr>
        <w:t>Guidance on safe care and treatment</w:t>
      </w:r>
      <w:r w:rsidRPr="00D42522">
        <w:rPr>
          <w:rFonts w:ascii="Arial" w:hAnsi="Arial" w:cs="Arial"/>
          <w:sz w:val="22"/>
          <w:szCs w:val="22"/>
        </w:rPr>
        <w:t>. Available at: https://www.cqc.org.uk/guidance-providers/regulations-enforcement/regulation-12-safe-care-and-treatment</w:t>
      </w:r>
    </w:p>
    <w:p w14:paraId="3AED398D"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Department of Health and Social Care (2021) </w:t>
      </w:r>
      <w:r w:rsidRPr="00D42522">
        <w:rPr>
          <w:rFonts w:ascii="Arial" w:hAnsi="Arial" w:cs="Arial"/>
          <w:i/>
          <w:iCs/>
          <w:sz w:val="22"/>
          <w:szCs w:val="22"/>
        </w:rPr>
        <w:t>The NHS Constitution for England</w:t>
      </w:r>
      <w:r w:rsidRPr="00D42522">
        <w:rPr>
          <w:rFonts w:ascii="Arial" w:hAnsi="Arial" w:cs="Arial"/>
          <w:sz w:val="22"/>
          <w:szCs w:val="22"/>
        </w:rPr>
        <w:t>. Available at: https://www.gov.uk/government/publications/the-nhs-constitution-for-england</w:t>
      </w:r>
    </w:p>
    <w:p w14:paraId="39C5A0A1"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Egan, G. (2014) </w:t>
      </w:r>
      <w:r w:rsidRPr="00D42522">
        <w:rPr>
          <w:rFonts w:ascii="Arial" w:hAnsi="Arial" w:cs="Arial"/>
          <w:i/>
          <w:iCs/>
          <w:sz w:val="22"/>
          <w:szCs w:val="22"/>
        </w:rPr>
        <w:t>The Skilled Helper: A Problem</w:t>
      </w:r>
      <w:r w:rsidRPr="00D42522">
        <w:rPr>
          <w:rFonts w:ascii="Arial" w:hAnsi="Arial" w:cs="Arial"/>
          <w:i/>
          <w:iCs/>
          <w:sz w:val="22"/>
          <w:szCs w:val="22"/>
        </w:rPr>
        <w:noBreakHyphen/>
        <w:t>Management and Opportunity</w:t>
      </w:r>
      <w:r w:rsidRPr="00D42522">
        <w:rPr>
          <w:rFonts w:ascii="Arial" w:hAnsi="Arial" w:cs="Arial"/>
          <w:i/>
          <w:iCs/>
          <w:sz w:val="22"/>
          <w:szCs w:val="22"/>
        </w:rPr>
        <w:noBreakHyphen/>
        <w:t>Development Approach to Helping</w:t>
      </w:r>
      <w:r w:rsidRPr="00D42522">
        <w:rPr>
          <w:rFonts w:ascii="Arial" w:hAnsi="Arial" w:cs="Arial"/>
          <w:sz w:val="22"/>
          <w:szCs w:val="22"/>
        </w:rPr>
        <w:t>. Available at: https://uk.sagepub.com/en-gb/eur/the-skilled-helper/book241063</w:t>
      </w:r>
    </w:p>
    <w:p w14:paraId="6DB01920"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Glasby, J. (2017) </w:t>
      </w:r>
      <w:r w:rsidRPr="00D42522">
        <w:rPr>
          <w:rFonts w:ascii="Arial" w:hAnsi="Arial" w:cs="Arial"/>
          <w:i/>
          <w:iCs/>
          <w:sz w:val="22"/>
          <w:szCs w:val="22"/>
        </w:rPr>
        <w:t>Understanding Health and Social Care</w:t>
      </w:r>
      <w:r w:rsidRPr="00D42522">
        <w:rPr>
          <w:rFonts w:ascii="Arial" w:hAnsi="Arial" w:cs="Arial"/>
          <w:sz w:val="22"/>
          <w:szCs w:val="22"/>
        </w:rPr>
        <w:t>. 3rd ed. Available at: https://policy.bristoluniversitypress.co.uk/understanding-health-and-social-care</w:t>
      </w:r>
    </w:p>
    <w:p w14:paraId="17C0DC42"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Information Commissioner’s Office (2020) </w:t>
      </w:r>
      <w:r w:rsidRPr="00D42522">
        <w:rPr>
          <w:rFonts w:ascii="Arial" w:hAnsi="Arial" w:cs="Arial"/>
          <w:i/>
          <w:iCs/>
          <w:sz w:val="22"/>
          <w:szCs w:val="22"/>
        </w:rPr>
        <w:t>Guide to the Data Protection Act 2018</w:t>
      </w:r>
      <w:r w:rsidRPr="00D42522">
        <w:rPr>
          <w:rFonts w:ascii="Arial" w:hAnsi="Arial" w:cs="Arial"/>
          <w:sz w:val="22"/>
          <w:szCs w:val="22"/>
        </w:rPr>
        <w:t>. Available at: https://ico.org.uk/for-organisations/guide-to-data-protection/</w:t>
      </w:r>
    </w:p>
    <w:p w14:paraId="5CCE9EBA"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Lloyd, L. (2020) </w:t>
      </w:r>
      <w:r w:rsidRPr="00D42522">
        <w:rPr>
          <w:rFonts w:ascii="Arial" w:hAnsi="Arial" w:cs="Arial"/>
          <w:i/>
          <w:iCs/>
          <w:sz w:val="22"/>
          <w:szCs w:val="22"/>
        </w:rPr>
        <w:t>The Care Act 2014: An Overview</w:t>
      </w:r>
      <w:r w:rsidRPr="00D42522">
        <w:rPr>
          <w:rFonts w:ascii="Arial" w:hAnsi="Arial" w:cs="Arial"/>
          <w:sz w:val="22"/>
          <w:szCs w:val="22"/>
        </w:rPr>
        <w:t>. Available at: https://www.scie.org.uk/care-act-2014/</w:t>
      </w:r>
    </w:p>
    <w:p w14:paraId="7DAC1BBC"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O’Daniel, M. and Rosenstein, A. (2008) ‘Professional Communication and Team Collaboration’, in </w:t>
      </w:r>
      <w:r w:rsidRPr="00D42522">
        <w:rPr>
          <w:rFonts w:ascii="Arial" w:hAnsi="Arial" w:cs="Arial"/>
          <w:i/>
          <w:iCs/>
          <w:sz w:val="22"/>
          <w:szCs w:val="22"/>
        </w:rPr>
        <w:t>Patient Safety and Quality: An Evidence</w:t>
      </w:r>
      <w:r w:rsidRPr="00D42522">
        <w:rPr>
          <w:rFonts w:ascii="Arial" w:hAnsi="Arial" w:cs="Arial"/>
          <w:i/>
          <w:iCs/>
          <w:sz w:val="22"/>
          <w:szCs w:val="22"/>
        </w:rPr>
        <w:noBreakHyphen/>
        <w:t>Based Handbook for Nurses</w:t>
      </w:r>
      <w:r w:rsidRPr="00D42522">
        <w:rPr>
          <w:rFonts w:ascii="Arial" w:hAnsi="Arial" w:cs="Arial"/>
          <w:sz w:val="22"/>
          <w:szCs w:val="22"/>
        </w:rPr>
        <w:t>. Available at: https://www.ncbi.nlm.nih.gov/books/NBK2637/</w:t>
      </w:r>
    </w:p>
    <w:p w14:paraId="4EB0F727" w14:textId="77777777" w:rsidR="00D42522" w:rsidRPr="00D42522" w:rsidRDefault="00D42522" w:rsidP="00D42522">
      <w:pPr>
        <w:rPr>
          <w:rFonts w:ascii="Arial" w:hAnsi="Arial" w:cs="Arial"/>
          <w:sz w:val="22"/>
          <w:szCs w:val="22"/>
        </w:rPr>
      </w:pPr>
      <w:r w:rsidRPr="00D42522">
        <w:rPr>
          <w:rFonts w:ascii="Arial" w:hAnsi="Arial" w:cs="Arial"/>
          <w:sz w:val="22"/>
          <w:szCs w:val="22"/>
        </w:rPr>
        <w:t xml:space="preserve">Thornicroft, G., Rose, D. and Kassam, A. (2022) </w:t>
      </w:r>
      <w:r w:rsidRPr="00D42522">
        <w:rPr>
          <w:rFonts w:ascii="Arial" w:hAnsi="Arial" w:cs="Arial"/>
          <w:i/>
          <w:iCs/>
          <w:sz w:val="22"/>
          <w:szCs w:val="22"/>
        </w:rPr>
        <w:t>Principles of Equality and Diversity in Health Care</w:t>
      </w:r>
      <w:r w:rsidRPr="00D42522">
        <w:rPr>
          <w:rFonts w:ascii="Arial" w:hAnsi="Arial" w:cs="Arial"/>
          <w:sz w:val="22"/>
          <w:szCs w:val="22"/>
        </w:rPr>
        <w:t>. Available at: https://www.taylorfrancis.com/books/mono/10.4324/9781315858024</w:t>
      </w:r>
    </w:p>
    <w:p w14:paraId="2A42C7C3" w14:textId="77777777" w:rsidR="00D42522" w:rsidRPr="00462B5F" w:rsidRDefault="00D42522" w:rsidP="00462B5F">
      <w:pPr>
        <w:rPr>
          <w:rFonts w:ascii="Arial" w:hAnsi="Arial" w:cs="Arial"/>
          <w:b/>
          <w:bCs/>
        </w:rPr>
      </w:pPr>
    </w:p>
    <w:p w14:paraId="251FADBA" w14:textId="77777777" w:rsidR="00462B5F" w:rsidRPr="00462B5F" w:rsidRDefault="00462B5F" w:rsidP="00462B5F">
      <w:pPr>
        <w:rPr>
          <w:rFonts w:ascii="Arial" w:hAnsi="Arial" w:cs="Arial"/>
          <w:sz w:val="22"/>
          <w:szCs w:val="22"/>
        </w:rPr>
      </w:pPr>
    </w:p>
    <w:p w14:paraId="3EB3646E" w14:textId="77777777" w:rsidR="00462B5F" w:rsidRPr="00462B5F" w:rsidRDefault="00462B5F" w:rsidP="00462B5F">
      <w:pPr>
        <w:rPr>
          <w:rFonts w:ascii="Arial" w:hAnsi="Arial" w:cs="Arial"/>
          <w:sz w:val="22"/>
          <w:szCs w:val="22"/>
        </w:rPr>
      </w:pPr>
    </w:p>
    <w:p w14:paraId="4F71D0B1" w14:textId="77777777" w:rsidR="00462B5F" w:rsidRPr="00462B5F" w:rsidRDefault="00462B5F" w:rsidP="00462B5F">
      <w:pPr>
        <w:rPr>
          <w:rFonts w:ascii="Arial" w:hAnsi="Arial" w:cs="Arial"/>
          <w:sz w:val="22"/>
          <w:szCs w:val="22"/>
        </w:rPr>
      </w:pPr>
    </w:p>
    <w:sectPr w:rsidR="00462B5F" w:rsidRPr="00462B5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24346" w14:textId="77777777" w:rsidR="002F541E" w:rsidRDefault="002F541E" w:rsidP="00196C27">
      <w:pPr>
        <w:spacing w:after="0" w:line="240" w:lineRule="auto"/>
      </w:pPr>
      <w:r>
        <w:separator/>
      </w:r>
    </w:p>
  </w:endnote>
  <w:endnote w:type="continuationSeparator" w:id="0">
    <w:p w14:paraId="0838C328" w14:textId="77777777" w:rsidR="002F541E" w:rsidRDefault="002F541E" w:rsidP="00196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282091"/>
      <w:docPartObj>
        <w:docPartGallery w:val="Page Numbers (Bottom of Page)"/>
        <w:docPartUnique/>
      </w:docPartObj>
    </w:sdtPr>
    <w:sdtContent>
      <w:p w14:paraId="47177E45" w14:textId="11AF3760" w:rsidR="002A2691" w:rsidRDefault="002A2691">
        <w:pPr>
          <w:pStyle w:val="Footer"/>
          <w:jc w:val="center"/>
        </w:pPr>
        <w:r>
          <w:fldChar w:fldCharType="begin"/>
        </w:r>
        <w:r>
          <w:instrText>PAGE   \* MERGEFORMAT</w:instrText>
        </w:r>
        <w:r>
          <w:fldChar w:fldCharType="separate"/>
        </w:r>
        <w:r>
          <w:t>2</w:t>
        </w:r>
        <w:r>
          <w:fldChar w:fldCharType="end"/>
        </w:r>
      </w:p>
    </w:sdtContent>
  </w:sdt>
  <w:p w14:paraId="24E0DF8D" w14:textId="77777777" w:rsidR="002A2691" w:rsidRDefault="002A2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91896" w14:textId="77777777" w:rsidR="002F541E" w:rsidRDefault="002F541E" w:rsidP="00196C27">
      <w:pPr>
        <w:spacing w:after="0" w:line="240" w:lineRule="auto"/>
      </w:pPr>
      <w:r>
        <w:separator/>
      </w:r>
    </w:p>
  </w:footnote>
  <w:footnote w:type="continuationSeparator" w:id="0">
    <w:p w14:paraId="221C937A" w14:textId="77777777" w:rsidR="002F541E" w:rsidRDefault="002F541E" w:rsidP="00196C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56"/>
    <w:rsid w:val="00196C27"/>
    <w:rsid w:val="002A2691"/>
    <w:rsid w:val="002E5C0E"/>
    <w:rsid w:val="002F541E"/>
    <w:rsid w:val="00462B5F"/>
    <w:rsid w:val="005A1416"/>
    <w:rsid w:val="005C71B0"/>
    <w:rsid w:val="007A7D56"/>
    <w:rsid w:val="008F40EC"/>
    <w:rsid w:val="00C752BB"/>
    <w:rsid w:val="00D42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91FC8"/>
  <w15:chartTrackingRefBased/>
  <w15:docId w15:val="{B6895761-E04B-48AC-A31A-BBAC24DBE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D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7D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7D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7D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7D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7D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7D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7D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7D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D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7D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7D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7D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7D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7D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D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D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D56"/>
    <w:rPr>
      <w:rFonts w:eastAsiaTheme="majorEastAsia" w:cstheme="majorBidi"/>
      <w:color w:val="272727" w:themeColor="text1" w:themeTint="D8"/>
    </w:rPr>
  </w:style>
  <w:style w:type="paragraph" w:styleId="Title">
    <w:name w:val="Title"/>
    <w:basedOn w:val="Normal"/>
    <w:next w:val="Normal"/>
    <w:link w:val="TitleChar"/>
    <w:uiPriority w:val="10"/>
    <w:qFormat/>
    <w:rsid w:val="007A7D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D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D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7D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D56"/>
    <w:pPr>
      <w:spacing w:before="160"/>
      <w:jc w:val="center"/>
    </w:pPr>
    <w:rPr>
      <w:i/>
      <w:iCs/>
      <w:color w:val="404040" w:themeColor="text1" w:themeTint="BF"/>
    </w:rPr>
  </w:style>
  <w:style w:type="character" w:customStyle="1" w:styleId="QuoteChar">
    <w:name w:val="Quote Char"/>
    <w:basedOn w:val="DefaultParagraphFont"/>
    <w:link w:val="Quote"/>
    <w:uiPriority w:val="29"/>
    <w:rsid w:val="007A7D56"/>
    <w:rPr>
      <w:i/>
      <w:iCs/>
      <w:color w:val="404040" w:themeColor="text1" w:themeTint="BF"/>
    </w:rPr>
  </w:style>
  <w:style w:type="paragraph" w:styleId="ListParagraph">
    <w:name w:val="List Paragraph"/>
    <w:basedOn w:val="Normal"/>
    <w:uiPriority w:val="34"/>
    <w:qFormat/>
    <w:rsid w:val="007A7D56"/>
    <w:pPr>
      <w:ind w:left="720"/>
      <w:contextualSpacing/>
    </w:pPr>
  </w:style>
  <w:style w:type="character" w:styleId="IntenseEmphasis">
    <w:name w:val="Intense Emphasis"/>
    <w:basedOn w:val="DefaultParagraphFont"/>
    <w:uiPriority w:val="21"/>
    <w:qFormat/>
    <w:rsid w:val="007A7D56"/>
    <w:rPr>
      <w:i/>
      <w:iCs/>
      <w:color w:val="0F4761" w:themeColor="accent1" w:themeShade="BF"/>
    </w:rPr>
  </w:style>
  <w:style w:type="paragraph" w:styleId="IntenseQuote">
    <w:name w:val="Intense Quote"/>
    <w:basedOn w:val="Normal"/>
    <w:next w:val="Normal"/>
    <w:link w:val="IntenseQuoteChar"/>
    <w:uiPriority w:val="30"/>
    <w:qFormat/>
    <w:rsid w:val="007A7D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7D56"/>
    <w:rPr>
      <w:i/>
      <w:iCs/>
      <w:color w:val="0F4761" w:themeColor="accent1" w:themeShade="BF"/>
    </w:rPr>
  </w:style>
  <w:style w:type="character" w:styleId="IntenseReference">
    <w:name w:val="Intense Reference"/>
    <w:basedOn w:val="DefaultParagraphFont"/>
    <w:uiPriority w:val="32"/>
    <w:qFormat/>
    <w:rsid w:val="007A7D56"/>
    <w:rPr>
      <w:b/>
      <w:bCs/>
      <w:smallCaps/>
      <w:color w:val="0F4761" w:themeColor="accent1" w:themeShade="BF"/>
      <w:spacing w:val="5"/>
    </w:rPr>
  </w:style>
  <w:style w:type="paragraph" w:styleId="Header">
    <w:name w:val="header"/>
    <w:basedOn w:val="Normal"/>
    <w:link w:val="HeaderChar"/>
    <w:uiPriority w:val="99"/>
    <w:unhideWhenUsed/>
    <w:rsid w:val="00196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C27"/>
  </w:style>
  <w:style w:type="paragraph" w:styleId="Footer">
    <w:name w:val="footer"/>
    <w:basedOn w:val="Normal"/>
    <w:link w:val="FooterChar"/>
    <w:uiPriority w:val="99"/>
    <w:unhideWhenUsed/>
    <w:rsid w:val="00196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F6F11-F706-4B0D-9C0E-4E538E51B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1731</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Amankwah (2440924)</dc:creator>
  <cp:keywords/>
  <dc:description/>
  <cp:lastModifiedBy>Adrian Amankwah (2440924)</cp:lastModifiedBy>
  <cp:revision>2</cp:revision>
  <dcterms:created xsi:type="dcterms:W3CDTF">2025-12-19T14:59:00Z</dcterms:created>
  <dcterms:modified xsi:type="dcterms:W3CDTF">2025-12-19T14:59:00Z</dcterms:modified>
</cp:coreProperties>
</file>