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03BE9" w14:textId="6E12ACC2" w:rsidR="00537301" w:rsidRPr="00537301" w:rsidRDefault="00537301" w:rsidP="00537301">
      <w:pPr>
        <w:jc w:val="center"/>
        <w:rPr>
          <w:rFonts w:ascii="Book Antiqua" w:hAnsi="Book Antiqua"/>
          <w:b/>
          <w:bCs/>
          <w:sz w:val="24"/>
          <w:szCs w:val="24"/>
        </w:rPr>
      </w:pPr>
      <w:r w:rsidRPr="00537301">
        <w:rPr>
          <w:rFonts w:ascii="Book Antiqua" w:hAnsi="Book Antiqua"/>
          <w:b/>
          <w:bCs/>
          <w:sz w:val="24"/>
          <w:szCs w:val="24"/>
        </w:rPr>
        <w:t xml:space="preserve">Reflective Report </w:t>
      </w:r>
    </w:p>
    <w:p w14:paraId="45974684" w14:textId="71399825" w:rsidR="00B94A8E" w:rsidRDefault="00B94A8E" w:rsidP="00B94A8E">
      <w:pPr>
        <w:rPr>
          <w:rFonts w:ascii="Book Antiqua" w:hAnsi="Book Antiqua"/>
        </w:rPr>
      </w:pPr>
      <w:r>
        <w:rPr>
          <w:rFonts w:ascii="Book Antiqua" w:hAnsi="Book Antiqua"/>
        </w:rPr>
        <w:t xml:space="preserve">This dissertation will use mythographic methodology, which is not a unified discourse, to attempt to identify two major Neolithic sites in Anatolia, </w:t>
      </w:r>
      <w:r w:rsidR="00A915D1" w:rsidRPr="00A915D1">
        <w:rPr>
          <w:rStyle w:val="Emphasis"/>
          <w:rFonts w:ascii="Book Antiqua" w:hAnsi="Book Antiqua" w:cs="Arial"/>
          <w:i w:val="0"/>
          <w:iCs w:val="0"/>
          <w:shd w:val="clear" w:color="auto" w:fill="FFFFFF"/>
        </w:rPr>
        <w:t>Çatalhöyük</w:t>
      </w:r>
      <w:r>
        <w:rPr>
          <w:rFonts w:ascii="Book Antiqua" w:hAnsi="Book Antiqua"/>
        </w:rPr>
        <w:t xml:space="preserve"> and </w:t>
      </w:r>
      <w:r w:rsidR="00597902" w:rsidRPr="00597902">
        <w:rPr>
          <w:rFonts w:ascii="Book Antiqua" w:hAnsi="Book Antiqua" w:cs="Arial"/>
          <w:color w:val="222222"/>
          <w:shd w:val="clear" w:color="auto" w:fill="FFFFFF"/>
        </w:rPr>
        <w:t>Göbekli Tepe</w:t>
      </w:r>
      <w:bookmarkStart w:id="0" w:name="_GoBack"/>
      <w:bookmarkEnd w:id="0"/>
      <w:r>
        <w:rPr>
          <w:rFonts w:ascii="Book Antiqua" w:hAnsi="Book Antiqua"/>
        </w:rPr>
        <w:t xml:space="preserve">, within the mythic literature of antiquity. After investigating the wealth of symbolism at the </w:t>
      </w:r>
      <w:r w:rsidR="00D77749">
        <w:rPr>
          <w:rFonts w:ascii="Book Antiqua" w:hAnsi="Book Antiqua"/>
        </w:rPr>
        <w:t>sites mentioned above</w:t>
      </w:r>
      <w:r>
        <w:rPr>
          <w:rFonts w:ascii="Book Antiqua" w:hAnsi="Book Antiqua"/>
        </w:rPr>
        <w:t xml:space="preserve">, whether it be displayed through or on architectural elements or hand-crafted items, the common themes identified will be kept keenly in mind when attempting to locate those themes within Sumerian, Egyptian, Indian, Greek and Roman mythic texts, rituals or architecture. The task is broad and runs </w:t>
      </w:r>
      <w:r w:rsidR="00A8666B">
        <w:rPr>
          <w:rFonts w:ascii="Book Antiqua" w:hAnsi="Book Antiqua"/>
        </w:rPr>
        <w:t xml:space="preserve">the </w:t>
      </w:r>
      <w:r>
        <w:rPr>
          <w:rFonts w:ascii="Book Antiqua" w:hAnsi="Book Antiqua"/>
        </w:rPr>
        <w:t xml:space="preserve">risk </w:t>
      </w:r>
      <w:r w:rsidR="00112B98">
        <w:rPr>
          <w:rFonts w:ascii="Book Antiqua" w:hAnsi="Book Antiqua"/>
        </w:rPr>
        <w:t xml:space="preserve">of </w:t>
      </w:r>
      <w:r w:rsidR="002E7112">
        <w:rPr>
          <w:rFonts w:ascii="Book Antiqua" w:hAnsi="Book Antiqua"/>
        </w:rPr>
        <w:t>getting</w:t>
      </w:r>
      <w:r w:rsidR="0049015F">
        <w:rPr>
          <w:rFonts w:ascii="Book Antiqua" w:hAnsi="Book Antiqua"/>
        </w:rPr>
        <w:t xml:space="preserve"> buried beneath a pile of interesting, but </w:t>
      </w:r>
      <w:r w:rsidR="00112B98">
        <w:rPr>
          <w:rFonts w:ascii="Book Antiqua" w:hAnsi="Book Antiqua"/>
        </w:rPr>
        <w:t>unrequired, research,</w:t>
      </w:r>
      <w:r>
        <w:rPr>
          <w:rFonts w:ascii="Book Antiqua" w:hAnsi="Book Antiqua"/>
        </w:rPr>
        <w:t xml:space="preserve"> and becoming overwhelming</w:t>
      </w:r>
      <w:r w:rsidR="002E7112">
        <w:rPr>
          <w:rFonts w:ascii="Book Antiqua" w:hAnsi="Book Antiqua"/>
        </w:rPr>
        <w:t>. Y</w:t>
      </w:r>
      <w:r w:rsidR="00721310">
        <w:rPr>
          <w:rFonts w:ascii="Book Antiqua" w:hAnsi="Book Antiqua"/>
        </w:rPr>
        <w:t>et, this</w:t>
      </w:r>
      <w:r>
        <w:rPr>
          <w:rFonts w:ascii="Book Antiqua" w:hAnsi="Book Antiqua"/>
        </w:rPr>
        <w:t xml:space="preserve"> research is </w:t>
      </w:r>
      <w:r w:rsidR="00D77749">
        <w:rPr>
          <w:rFonts w:ascii="Book Antiqua" w:hAnsi="Book Antiqua"/>
        </w:rPr>
        <w:t>essential</w:t>
      </w:r>
      <w:r>
        <w:rPr>
          <w:rFonts w:ascii="Book Antiqua" w:hAnsi="Book Antiqua"/>
        </w:rPr>
        <w:t xml:space="preserve"> to the interpretation of the Neolithic symbolism corpus. This project is particularly important to the contemporary dialogue of Neolithic Anatolia as </w:t>
      </w:r>
      <w:r w:rsidR="002E7112">
        <w:rPr>
          <w:rFonts w:ascii="Book Antiqua" w:hAnsi="Book Antiqua"/>
        </w:rPr>
        <w:t>many</w:t>
      </w:r>
      <w:r>
        <w:rPr>
          <w:rFonts w:ascii="Book Antiqua" w:hAnsi="Book Antiqua"/>
        </w:rPr>
        <w:t xml:space="preserve"> of the discussions involve </w:t>
      </w:r>
      <w:r w:rsidR="00711A14">
        <w:rPr>
          <w:rFonts w:ascii="Book Antiqua" w:hAnsi="Book Antiqua"/>
        </w:rPr>
        <w:t xml:space="preserve">briefly mentioned </w:t>
      </w:r>
      <w:r>
        <w:rPr>
          <w:rFonts w:ascii="Book Antiqua" w:hAnsi="Book Antiqua"/>
        </w:rPr>
        <w:t xml:space="preserve">speculative </w:t>
      </w:r>
      <w:r w:rsidR="002E7112">
        <w:rPr>
          <w:rFonts w:ascii="Book Antiqua" w:hAnsi="Book Antiqua"/>
        </w:rPr>
        <w:t>inquiries</w:t>
      </w:r>
      <w:r w:rsidR="00D77749">
        <w:rPr>
          <w:rFonts w:ascii="Book Antiqua" w:hAnsi="Book Antiqua"/>
        </w:rPr>
        <w:t>,</w:t>
      </w:r>
      <w:r>
        <w:rPr>
          <w:rFonts w:ascii="Book Antiqua" w:hAnsi="Book Antiqua"/>
        </w:rPr>
        <w:t xml:space="preserve"> and detailed accounts of the data set itself, lacking in-depth interpretations</w:t>
      </w:r>
      <w:r w:rsidR="00730F6F">
        <w:rPr>
          <w:rFonts w:ascii="Book Antiqua" w:hAnsi="Book Antiqua"/>
        </w:rPr>
        <w:t xml:space="preserve"> or delving into the speculations</w:t>
      </w:r>
      <w:r>
        <w:rPr>
          <w:rFonts w:ascii="Book Antiqua" w:hAnsi="Book Antiqua"/>
        </w:rPr>
        <w:t>. There is an apparent gap of knowledge</w:t>
      </w:r>
      <w:r w:rsidR="00021F82">
        <w:rPr>
          <w:rFonts w:ascii="Book Antiqua" w:hAnsi="Book Antiqua"/>
        </w:rPr>
        <w:t xml:space="preserve"> within later</w:t>
      </w:r>
      <w:r>
        <w:rPr>
          <w:rFonts w:ascii="Book Antiqua" w:hAnsi="Book Antiqua"/>
        </w:rPr>
        <w:t xml:space="preserve"> </w:t>
      </w:r>
      <w:r w:rsidR="00E00F76">
        <w:rPr>
          <w:rFonts w:ascii="Book Antiqua" w:hAnsi="Book Antiqua"/>
        </w:rPr>
        <w:t xml:space="preserve">human history </w:t>
      </w:r>
      <w:r>
        <w:rPr>
          <w:rFonts w:ascii="Book Antiqua" w:hAnsi="Book Antiqua"/>
        </w:rPr>
        <w:t>concerning the identification of the symbols, rituals and architectural elements found at the Anatolian sites. However, undoubt</w:t>
      </w:r>
      <w:r w:rsidR="00D77749">
        <w:rPr>
          <w:rFonts w:ascii="Book Antiqua" w:hAnsi="Book Antiqua"/>
        </w:rPr>
        <w:t>ed</w:t>
      </w:r>
      <w:r>
        <w:rPr>
          <w:rFonts w:ascii="Book Antiqua" w:hAnsi="Book Antiqua"/>
        </w:rPr>
        <w:t xml:space="preserve">ly, there is research currently unread and </w:t>
      </w:r>
      <w:r w:rsidR="00FD1EAB">
        <w:rPr>
          <w:rFonts w:ascii="Book Antiqua" w:hAnsi="Book Antiqua"/>
        </w:rPr>
        <w:t xml:space="preserve">unknown to me </w:t>
      </w:r>
      <w:r w:rsidR="00505F47">
        <w:rPr>
          <w:rFonts w:ascii="Book Antiqua" w:hAnsi="Book Antiqua"/>
        </w:rPr>
        <w:t>presently</w:t>
      </w:r>
      <w:r w:rsidR="00FD1EAB">
        <w:rPr>
          <w:rFonts w:ascii="Book Antiqua" w:hAnsi="Book Antiqua"/>
        </w:rPr>
        <w:t>, which will hopefully emerge and be app</w:t>
      </w:r>
      <w:r w:rsidR="003F07EA">
        <w:rPr>
          <w:rFonts w:ascii="Book Antiqua" w:hAnsi="Book Antiqua"/>
        </w:rPr>
        <w:t xml:space="preserve">ropriately employed as research continues. </w:t>
      </w:r>
    </w:p>
    <w:p w14:paraId="57790CF2" w14:textId="7B45E6CF" w:rsidR="00B94A8E" w:rsidRDefault="00B94A8E" w:rsidP="00B94A8E">
      <w:pPr>
        <w:rPr>
          <w:rFonts w:ascii="Book Antiqua" w:hAnsi="Book Antiqua"/>
        </w:rPr>
      </w:pPr>
      <w:r>
        <w:rPr>
          <w:rFonts w:ascii="Book Antiqua" w:hAnsi="Book Antiqua"/>
        </w:rPr>
        <w:t>Furthermore, the absence of a unified discipline for the study of myth (</w:t>
      </w:r>
      <w:r w:rsidRPr="0084014B">
        <w:rPr>
          <w:rFonts w:ascii="Book Antiqua" w:hAnsi="Book Antiqua"/>
          <w:color w:val="1F4E79" w:themeColor="accent5" w:themeShade="80"/>
        </w:rPr>
        <w:t>Segal 2004:2</w:t>
      </w:r>
      <w:r>
        <w:rPr>
          <w:rFonts w:ascii="Book Antiqua" w:hAnsi="Book Antiqua"/>
        </w:rPr>
        <w:t xml:space="preserve">) and its interdisciplinary </w:t>
      </w:r>
      <w:r w:rsidR="0002769A">
        <w:rPr>
          <w:rFonts w:ascii="Book Antiqua" w:hAnsi="Book Antiqua"/>
        </w:rPr>
        <w:t>reach</w:t>
      </w:r>
      <w:r>
        <w:rPr>
          <w:rFonts w:ascii="Book Antiqua" w:hAnsi="Book Antiqua"/>
        </w:rPr>
        <w:t>, has caused a chaotic and confusing</w:t>
      </w:r>
      <w:r w:rsidR="00537301">
        <w:rPr>
          <w:rFonts w:ascii="Book Antiqua" w:hAnsi="Book Antiqua"/>
        </w:rPr>
        <w:t xml:space="preserve"> (</w:t>
      </w:r>
      <w:proofErr w:type="spellStart"/>
      <w:r w:rsidR="00865E26" w:rsidRPr="008E60FD">
        <w:rPr>
          <w:rFonts w:ascii="Book Antiqua" w:hAnsi="Book Antiqua"/>
          <w:color w:val="1F4E79" w:themeColor="accent5" w:themeShade="80"/>
        </w:rPr>
        <w:t>Strenski</w:t>
      </w:r>
      <w:proofErr w:type="spellEnd"/>
      <w:r w:rsidR="00865E26" w:rsidRPr="008E60FD">
        <w:rPr>
          <w:rFonts w:ascii="Book Antiqua" w:hAnsi="Book Antiqua"/>
          <w:color w:val="1F4E79" w:themeColor="accent5" w:themeShade="80"/>
        </w:rPr>
        <w:t xml:space="preserve"> 199</w:t>
      </w:r>
      <w:r w:rsidR="008E60FD" w:rsidRPr="008E60FD">
        <w:rPr>
          <w:rFonts w:ascii="Book Antiqua" w:hAnsi="Book Antiqua"/>
          <w:color w:val="1F4E79" w:themeColor="accent5" w:themeShade="80"/>
        </w:rPr>
        <w:t xml:space="preserve">5:4, </w:t>
      </w:r>
      <w:r w:rsidR="00537301">
        <w:rPr>
          <w:rFonts w:ascii="Book Antiqua" w:hAnsi="Book Antiqua"/>
          <w:color w:val="1F4E79" w:themeColor="accent5" w:themeShade="80"/>
        </w:rPr>
        <w:t>Malinowski 1978:16</w:t>
      </w:r>
      <w:r w:rsidR="00537301">
        <w:rPr>
          <w:rFonts w:ascii="Book Antiqua" w:hAnsi="Book Antiqua"/>
        </w:rPr>
        <w:t>)</w:t>
      </w:r>
      <w:r>
        <w:rPr>
          <w:rFonts w:ascii="Book Antiqua" w:hAnsi="Book Antiqua"/>
        </w:rPr>
        <w:t xml:space="preserve"> corpus of literature lacking in organisation, appreciation and consistency.  Scholars from various disciplines </w:t>
      </w:r>
      <w:r w:rsidR="005A377D">
        <w:rPr>
          <w:rFonts w:ascii="Book Antiqua" w:hAnsi="Book Antiqua"/>
        </w:rPr>
        <w:t>often use</w:t>
      </w:r>
      <w:r>
        <w:rPr>
          <w:rFonts w:ascii="Book Antiqua" w:hAnsi="Book Antiqua"/>
        </w:rPr>
        <w:t xml:space="preserve"> mythos to justify their theories, such as Freud with his infamous Oedipus complex theory (</w:t>
      </w:r>
      <w:r w:rsidRPr="00546A39">
        <w:rPr>
          <w:rFonts w:ascii="Book Antiqua" w:hAnsi="Book Antiqua"/>
          <w:color w:val="1F4E79" w:themeColor="accent5" w:themeShade="80"/>
        </w:rPr>
        <w:t>Doty 2000:162</w:t>
      </w:r>
      <w:r>
        <w:rPr>
          <w:rFonts w:ascii="Book Antiqua" w:hAnsi="Book Antiqua"/>
        </w:rPr>
        <w:t>), and yet, myth plays an underappreciated role concerning the understanding of the ancient world. Myths’ web extends into anthropology, archaeology, classics, history, literature, philosophy, psychology, and theology</w:t>
      </w:r>
      <w:r w:rsidR="005B1297">
        <w:rPr>
          <w:rFonts w:ascii="Book Antiqua" w:hAnsi="Book Antiqua"/>
        </w:rPr>
        <w:t xml:space="preserve"> (</w:t>
      </w:r>
      <w:r w:rsidR="005B1297" w:rsidRPr="005B1297">
        <w:rPr>
          <w:rFonts w:ascii="Book Antiqua" w:hAnsi="Book Antiqua"/>
          <w:color w:val="1F4E79" w:themeColor="accent5" w:themeShade="80"/>
        </w:rPr>
        <w:t>Guerin 2005:225-6</w:t>
      </w:r>
      <w:r w:rsidR="00537301">
        <w:rPr>
          <w:rFonts w:ascii="Book Antiqua" w:hAnsi="Book Antiqua"/>
          <w:color w:val="1F4E79" w:themeColor="accent5" w:themeShade="80"/>
        </w:rPr>
        <w:t>, Malinowski 1978:16</w:t>
      </w:r>
      <w:r w:rsidR="005B1297">
        <w:rPr>
          <w:rFonts w:ascii="Book Antiqua" w:hAnsi="Book Antiqua"/>
        </w:rPr>
        <w:t xml:space="preserve">) </w:t>
      </w:r>
      <w:r w:rsidR="005A377D">
        <w:rPr>
          <w:rFonts w:ascii="Book Antiqua" w:hAnsi="Book Antiqua"/>
        </w:rPr>
        <w:t>allowing the use of</w:t>
      </w:r>
      <w:r>
        <w:rPr>
          <w:rFonts w:ascii="Book Antiqua" w:hAnsi="Book Antiqua"/>
        </w:rPr>
        <w:t xml:space="preserve"> a mythographer</w:t>
      </w:r>
      <w:r w:rsidR="005A377D">
        <w:rPr>
          <w:rFonts w:ascii="Book Antiqua" w:hAnsi="Book Antiqua"/>
        </w:rPr>
        <w:t>’</w:t>
      </w:r>
      <w:r>
        <w:rPr>
          <w:rFonts w:ascii="Book Antiqua" w:hAnsi="Book Antiqua"/>
        </w:rPr>
        <w:t xml:space="preserve">s lens to encompass a </w:t>
      </w:r>
      <w:r w:rsidR="007B7F2A">
        <w:rPr>
          <w:rFonts w:ascii="Book Antiqua" w:hAnsi="Book Antiqua"/>
        </w:rPr>
        <w:t>more comprehensive</w:t>
      </w:r>
      <w:r>
        <w:rPr>
          <w:rFonts w:ascii="Book Antiqua" w:hAnsi="Book Antiqua"/>
        </w:rPr>
        <w:t xml:space="preserve"> understanding of the</w:t>
      </w:r>
      <w:r w:rsidR="00B7278F">
        <w:rPr>
          <w:rFonts w:ascii="Book Antiqua" w:hAnsi="Book Antiqua"/>
        </w:rPr>
        <w:t>se</w:t>
      </w:r>
      <w:r>
        <w:rPr>
          <w:rFonts w:ascii="Book Antiqua" w:hAnsi="Book Antiqua"/>
        </w:rPr>
        <w:t xml:space="preserve"> subjects. Additionally, the study of mythography shows the interconnectivity of humanity </w:t>
      </w:r>
      <w:r w:rsidR="00B7278F">
        <w:rPr>
          <w:rFonts w:ascii="Book Antiqua" w:hAnsi="Book Antiqua"/>
        </w:rPr>
        <w:t>whil</w:t>
      </w:r>
      <w:r w:rsidR="00156912">
        <w:rPr>
          <w:rFonts w:ascii="Book Antiqua" w:hAnsi="Book Antiqua"/>
        </w:rPr>
        <w:t>e</w:t>
      </w:r>
      <w:r w:rsidR="00B7278F">
        <w:rPr>
          <w:rFonts w:ascii="Book Antiqua" w:hAnsi="Book Antiqua"/>
        </w:rPr>
        <w:t xml:space="preserve"> also</w:t>
      </w:r>
      <w:r>
        <w:rPr>
          <w:rFonts w:ascii="Book Antiqua" w:hAnsi="Book Antiqua"/>
        </w:rPr>
        <w:t xml:space="preserve"> displaying how unique we can be</w:t>
      </w:r>
      <w:r w:rsidR="00156912">
        <w:rPr>
          <w:rFonts w:ascii="Book Antiqua" w:hAnsi="Book Antiqua"/>
        </w:rPr>
        <w:t>,</w:t>
      </w:r>
      <w:r>
        <w:rPr>
          <w:rFonts w:ascii="Book Antiqua" w:hAnsi="Book Antiqua"/>
        </w:rPr>
        <w:t xml:space="preserve"> and it opens the mind to other cultures’ worldviews and histories, of which both are topics of importance in today</w:t>
      </w:r>
      <w:r w:rsidR="007B7F2A">
        <w:rPr>
          <w:rFonts w:ascii="Book Antiqua" w:hAnsi="Book Antiqua"/>
        </w:rPr>
        <w:t>'</w:t>
      </w:r>
      <w:r>
        <w:rPr>
          <w:rFonts w:ascii="Book Antiqua" w:hAnsi="Book Antiqua"/>
        </w:rPr>
        <w:t xml:space="preserve">s’ turbulent world. Myth also breathes life and excitement back into history, drawing and inspiring people towards </w:t>
      </w:r>
      <w:r w:rsidR="007B7F2A">
        <w:rPr>
          <w:rFonts w:ascii="Book Antiqua" w:hAnsi="Book Antiqua"/>
        </w:rPr>
        <w:t xml:space="preserve">the </w:t>
      </w:r>
      <w:r>
        <w:rPr>
          <w:rFonts w:ascii="Book Antiqua" w:hAnsi="Book Antiqua"/>
        </w:rPr>
        <w:t>academic study of humanities and</w:t>
      </w:r>
      <w:r w:rsidR="0054281F">
        <w:rPr>
          <w:rFonts w:ascii="Book Antiqua" w:hAnsi="Book Antiqua"/>
        </w:rPr>
        <w:t xml:space="preserve"> it</w:t>
      </w:r>
      <w:r>
        <w:rPr>
          <w:rFonts w:ascii="Book Antiqua" w:hAnsi="Book Antiqua"/>
        </w:rPr>
        <w:t xml:space="preserve"> can be appreciated and understood by all ages.</w:t>
      </w:r>
    </w:p>
    <w:p w14:paraId="59F27555" w14:textId="6F340B25" w:rsidR="00B94A8E" w:rsidRDefault="00B94A8E" w:rsidP="00B94A8E">
      <w:pPr>
        <w:rPr>
          <w:rFonts w:ascii="Book Antiqua" w:hAnsi="Book Antiqua"/>
        </w:rPr>
      </w:pPr>
      <w:r>
        <w:rPr>
          <w:rFonts w:ascii="Book Antiqua" w:hAnsi="Book Antiqua"/>
        </w:rPr>
        <w:t xml:space="preserve">The disorganised mythographic literature illuminated an issue concerning the plethora of disparate definitions; the variety and volume of </w:t>
      </w:r>
      <w:r w:rsidR="00F14653">
        <w:rPr>
          <w:rFonts w:ascii="Book Antiqua" w:hAnsi="Book Antiqua"/>
        </w:rPr>
        <w:t>meaning</w:t>
      </w:r>
      <w:r>
        <w:rPr>
          <w:rFonts w:ascii="Book Antiqua" w:hAnsi="Book Antiqua"/>
        </w:rPr>
        <w:t>s often contradic</w:t>
      </w:r>
      <w:r w:rsidR="0054281F">
        <w:rPr>
          <w:rFonts w:ascii="Book Antiqua" w:hAnsi="Book Antiqua"/>
        </w:rPr>
        <w:t>t</w:t>
      </w:r>
      <w:r>
        <w:rPr>
          <w:rFonts w:ascii="Book Antiqua" w:hAnsi="Book Antiqua"/>
        </w:rPr>
        <w:t xml:space="preserve"> each other or fail to encompass the concept of myth fully. Some methodology models for myth are exclusive of data, for example, the ritualistic school of thought denotes that myths derive from ritual, thus ignoring myths that lack ritual connections (</w:t>
      </w:r>
      <w:proofErr w:type="spellStart"/>
      <w:r w:rsidRPr="003360C5">
        <w:rPr>
          <w:rFonts w:ascii="Book Antiqua" w:hAnsi="Book Antiqua"/>
          <w:color w:val="1F4E79" w:themeColor="accent5" w:themeShade="80"/>
        </w:rPr>
        <w:t>Csapo</w:t>
      </w:r>
      <w:proofErr w:type="spellEnd"/>
      <w:r w:rsidRPr="003360C5">
        <w:rPr>
          <w:rFonts w:ascii="Book Antiqua" w:hAnsi="Book Antiqua"/>
          <w:color w:val="1F4E79" w:themeColor="accent5" w:themeShade="80"/>
        </w:rPr>
        <w:t xml:space="preserve"> 2009:145, Doty 2000:336</w:t>
      </w:r>
      <w:r>
        <w:rPr>
          <w:rFonts w:ascii="Arial Nova" w:hAnsi="Arial Nova"/>
        </w:rPr>
        <w:t>)</w:t>
      </w:r>
      <w:r>
        <w:rPr>
          <w:rFonts w:ascii="Book Antiqua" w:hAnsi="Book Antiqua"/>
        </w:rPr>
        <w:t xml:space="preserve">. Additionally, the projection from academics into their methods </w:t>
      </w:r>
      <w:r w:rsidR="008C3235">
        <w:rPr>
          <w:rFonts w:ascii="Book Antiqua" w:hAnsi="Book Antiqua"/>
        </w:rPr>
        <w:t>must be remembered</w:t>
      </w:r>
      <w:r>
        <w:rPr>
          <w:rFonts w:ascii="Book Antiqua" w:hAnsi="Book Antiqua"/>
        </w:rPr>
        <w:t xml:space="preserve">, as they are all products of their time </w:t>
      </w:r>
      <w:r w:rsidR="00FB050B">
        <w:rPr>
          <w:rFonts w:ascii="Book Antiqua" w:hAnsi="Book Antiqua"/>
        </w:rPr>
        <w:t>and wri</w:t>
      </w:r>
      <w:r w:rsidR="00B533DD">
        <w:rPr>
          <w:rFonts w:ascii="Book Antiqua" w:hAnsi="Book Antiqua"/>
        </w:rPr>
        <w:t>t</w:t>
      </w:r>
      <w:r w:rsidR="00FB050B">
        <w:rPr>
          <w:rFonts w:ascii="Book Antiqua" w:hAnsi="Book Antiqua"/>
        </w:rPr>
        <w:t>te</w:t>
      </w:r>
      <w:r w:rsidR="00334DB4">
        <w:rPr>
          <w:rFonts w:ascii="Book Antiqua" w:hAnsi="Book Antiqua"/>
        </w:rPr>
        <w:t>n</w:t>
      </w:r>
      <w:r>
        <w:rPr>
          <w:rFonts w:ascii="Book Antiqua" w:hAnsi="Book Antiqua"/>
        </w:rPr>
        <w:t xml:space="preserve"> through socio-political lenses (</w:t>
      </w:r>
      <w:r w:rsidRPr="0084014B">
        <w:rPr>
          <w:rFonts w:ascii="Book Antiqua" w:hAnsi="Book Antiqua"/>
          <w:color w:val="1F4E79" w:themeColor="accent5" w:themeShade="80"/>
        </w:rPr>
        <w:t>Bowie, 2009:83</w:t>
      </w:r>
      <w:r>
        <w:rPr>
          <w:rFonts w:ascii="Book Antiqua" w:hAnsi="Book Antiqua"/>
        </w:rPr>
        <w:t>). The academic community’s tendency to remain rigid in disciplines, methods and categorisations can cause knowledge acquisition to be muted if a multi-disciplinary and multi-methodology approach is consistently denied. This can affect interpretations, or the data discussed and collected. Furthermore, academia also denies spirituality and the mysterious, such as concepts currently unexplainable epistemologically. Carl Gustav Jung and Mircea Eliade, both prominent figures</w:t>
      </w:r>
      <w:r w:rsidR="00FB050B">
        <w:rPr>
          <w:rFonts w:ascii="Book Antiqua" w:hAnsi="Book Antiqua"/>
        </w:rPr>
        <w:t xml:space="preserve"> who </w:t>
      </w:r>
      <w:r>
        <w:rPr>
          <w:rFonts w:ascii="Book Antiqua" w:hAnsi="Book Antiqua"/>
        </w:rPr>
        <w:t>have</w:t>
      </w:r>
      <w:r w:rsidR="00FB050B">
        <w:rPr>
          <w:rFonts w:ascii="Book Antiqua" w:hAnsi="Book Antiqua"/>
        </w:rPr>
        <w:t xml:space="preserve"> had</w:t>
      </w:r>
      <w:r>
        <w:rPr>
          <w:rFonts w:ascii="Book Antiqua" w:hAnsi="Book Antiqua"/>
        </w:rPr>
        <w:t xml:space="preserve"> undeniable influence within this dissertation, sought to unite academic with the mysterious, believing that absence of </w:t>
      </w:r>
      <w:r>
        <w:rPr>
          <w:rFonts w:ascii="Book Antiqua" w:hAnsi="Book Antiqua"/>
        </w:rPr>
        <w:lastRenderedPageBreak/>
        <w:t>understanding does not equate to absence of existence (</w:t>
      </w:r>
      <w:r w:rsidRPr="00450463">
        <w:rPr>
          <w:rFonts w:ascii="Book Antiqua" w:hAnsi="Book Antiqua"/>
          <w:color w:val="1F4E79" w:themeColor="accent5" w:themeShade="80"/>
        </w:rPr>
        <w:t>Coupe 2009:144, Snowden 2017:61</w:t>
      </w:r>
      <w:r>
        <w:t>)</w:t>
      </w:r>
      <w:r>
        <w:rPr>
          <w:rFonts w:ascii="Book Antiqua" w:hAnsi="Book Antiqua"/>
        </w:rPr>
        <w:t xml:space="preserve">. These two scholars are of </w:t>
      </w:r>
      <w:proofErr w:type="gramStart"/>
      <w:r>
        <w:rPr>
          <w:rFonts w:ascii="Book Antiqua" w:hAnsi="Book Antiqua"/>
        </w:rPr>
        <w:t>particular interest</w:t>
      </w:r>
      <w:proofErr w:type="gramEnd"/>
      <w:r>
        <w:rPr>
          <w:rFonts w:ascii="Book Antiqua" w:hAnsi="Book Antiqua"/>
        </w:rPr>
        <w:t xml:space="preserve">; however, the works of Max Muller, Claude Levi-Strauss, Sir James Frazer, Rene Girard, and Jane Harrison are also </w:t>
      </w:r>
      <w:r w:rsidR="006B1584">
        <w:rPr>
          <w:rFonts w:ascii="Book Antiqua" w:hAnsi="Book Antiqua"/>
        </w:rPr>
        <w:t>included,</w:t>
      </w:r>
      <w:r>
        <w:rPr>
          <w:rFonts w:ascii="Book Antiqua" w:hAnsi="Book Antiqua"/>
        </w:rPr>
        <w:t xml:space="preserve"> alongside other scholars unmentioned here. One piece of literature that proved useful for background</w:t>
      </w:r>
      <w:r w:rsidR="006B1584">
        <w:rPr>
          <w:rFonts w:ascii="Book Antiqua" w:hAnsi="Book Antiqua"/>
        </w:rPr>
        <w:t xml:space="preserve"> and </w:t>
      </w:r>
      <w:r>
        <w:rPr>
          <w:rFonts w:ascii="Book Antiqua" w:hAnsi="Book Antiqua"/>
        </w:rPr>
        <w:t xml:space="preserve">vague knowledge of methodologies was Fiona Bowie’s book </w:t>
      </w:r>
      <w:r>
        <w:rPr>
          <w:rFonts w:ascii="Book Antiqua" w:hAnsi="Book Antiqua"/>
          <w:i/>
          <w:iCs/>
        </w:rPr>
        <w:t xml:space="preserve">The Anthropology of Religion </w:t>
      </w:r>
      <w:r>
        <w:rPr>
          <w:rFonts w:ascii="Book Antiqua" w:hAnsi="Book Antiqua"/>
        </w:rPr>
        <w:t>(</w:t>
      </w:r>
      <w:r w:rsidRPr="00597902">
        <w:rPr>
          <w:rFonts w:ascii="Book Antiqua" w:hAnsi="Book Antiqua"/>
          <w:color w:val="1F4E79" w:themeColor="accent5" w:themeShade="80"/>
        </w:rPr>
        <w:t>2009</w:t>
      </w:r>
      <w:r>
        <w:rPr>
          <w:rFonts w:ascii="Book Antiqua" w:hAnsi="Book Antiqua"/>
        </w:rPr>
        <w:t>). This also displays the interdisciplinary reach</w:t>
      </w:r>
      <w:r w:rsidR="006B1584">
        <w:rPr>
          <w:rFonts w:ascii="Book Antiqua" w:hAnsi="Book Antiqua"/>
        </w:rPr>
        <w:t>/potential</w:t>
      </w:r>
      <w:r>
        <w:rPr>
          <w:rFonts w:ascii="Book Antiqua" w:hAnsi="Book Antiqua"/>
        </w:rPr>
        <w:t xml:space="preserve"> of a mythographic approach. </w:t>
      </w:r>
      <w:r w:rsidR="000400D1">
        <w:rPr>
          <w:rFonts w:ascii="Book Antiqua" w:hAnsi="Book Antiqua"/>
        </w:rPr>
        <w:t>Several works</w:t>
      </w:r>
      <w:r>
        <w:rPr>
          <w:rFonts w:ascii="Book Antiqua" w:hAnsi="Book Antiqua"/>
        </w:rPr>
        <w:t xml:space="preserve"> attempt to organise the mythic methodologies, such as </w:t>
      </w:r>
      <w:r>
        <w:rPr>
          <w:rFonts w:ascii="Book Antiqua" w:hAnsi="Book Antiqua"/>
          <w:i/>
          <w:iCs/>
        </w:rPr>
        <w:t xml:space="preserve">Myth </w:t>
      </w:r>
      <w:r w:rsidR="006A3A69">
        <w:rPr>
          <w:rFonts w:ascii="Book Antiqua" w:hAnsi="Book Antiqua"/>
        </w:rPr>
        <w:t>(</w:t>
      </w:r>
      <w:r w:rsidR="006A3A69" w:rsidRPr="006A3A69">
        <w:rPr>
          <w:rFonts w:ascii="Book Antiqua" w:hAnsi="Book Antiqua"/>
          <w:color w:val="1F4E79" w:themeColor="accent5" w:themeShade="80"/>
        </w:rPr>
        <w:t>2009</w:t>
      </w:r>
      <w:r w:rsidR="006A3A69">
        <w:rPr>
          <w:rFonts w:ascii="Book Antiqua" w:hAnsi="Book Antiqua"/>
        </w:rPr>
        <w:t xml:space="preserve">) </w:t>
      </w:r>
      <w:r>
        <w:rPr>
          <w:rFonts w:ascii="Book Antiqua" w:hAnsi="Book Antiqua"/>
        </w:rPr>
        <w:t xml:space="preserve">by Laurence Coupe, </w:t>
      </w:r>
      <w:r>
        <w:rPr>
          <w:rFonts w:ascii="Book Antiqua" w:hAnsi="Book Antiqua"/>
          <w:i/>
          <w:iCs/>
        </w:rPr>
        <w:t xml:space="preserve">Theories of Mythology </w:t>
      </w:r>
      <w:r>
        <w:rPr>
          <w:rFonts w:ascii="Book Antiqua" w:hAnsi="Book Antiqua"/>
        </w:rPr>
        <w:t>(</w:t>
      </w:r>
      <w:r w:rsidRPr="00597902">
        <w:rPr>
          <w:rFonts w:ascii="Book Antiqua" w:hAnsi="Book Antiqua"/>
          <w:color w:val="1F4E79" w:themeColor="accent5" w:themeShade="80"/>
        </w:rPr>
        <w:t>2009</w:t>
      </w:r>
      <w:r>
        <w:rPr>
          <w:rFonts w:ascii="Book Antiqua" w:hAnsi="Book Antiqua"/>
        </w:rPr>
        <w:t xml:space="preserve">) by Eric </w:t>
      </w:r>
      <w:proofErr w:type="spellStart"/>
      <w:r>
        <w:rPr>
          <w:rFonts w:ascii="Book Antiqua" w:hAnsi="Book Antiqua"/>
        </w:rPr>
        <w:t>Csapo</w:t>
      </w:r>
      <w:proofErr w:type="spellEnd"/>
      <w:r>
        <w:rPr>
          <w:rFonts w:ascii="Book Antiqua" w:hAnsi="Book Antiqua"/>
        </w:rPr>
        <w:t xml:space="preserve">, and </w:t>
      </w:r>
      <w:r>
        <w:rPr>
          <w:rFonts w:ascii="Book Antiqua" w:hAnsi="Book Antiqua"/>
          <w:i/>
          <w:iCs/>
        </w:rPr>
        <w:t xml:space="preserve">Mythography: the study of myth and ritual </w:t>
      </w:r>
      <w:r>
        <w:rPr>
          <w:rFonts w:ascii="Book Antiqua" w:hAnsi="Book Antiqua"/>
        </w:rPr>
        <w:t>(</w:t>
      </w:r>
      <w:r w:rsidRPr="00597902">
        <w:rPr>
          <w:rFonts w:ascii="Book Antiqua" w:hAnsi="Book Antiqua"/>
          <w:color w:val="1F4E79" w:themeColor="accent5" w:themeShade="80"/>
        </w:rPr>
        <w:t>2000</w:t>
      </w:r>
      <w:r>
        <w:rPr>
          <w:rFonts w:ascii="Book Antiqua" w:hAnsi="Book Antiqua"/>
        </w:rPr>
        <w:t>)</w:t>
      </w:r>
      <w:r>
        <w:rPr>
          <w:rFonts w:ascii="Book Antiqua" w:hAnsi="Book Antiqua"/>
          <w:i/>
          <w:iCs/>
        </w:rPr>
        <w:t xml:space="preserve"> </w:t>
      </w:r>
      <w:r>
        <w:rPr>
          <w:rFonts w:ascii="Book Antiqua" w:hAnsi="Book Antiqua"/>
        </w:rPr>
        <w:t xml:space="preserve">by William G. Doty. These works help to identify </w:t>
      </w:r>
      <w:r w:rsidR="000400D1">
        <w:rPr>
          <w:rFonts w:ascii="Book Antiqua" w:hAnsi="Book Antiqua"/>
        </w:rPr>
        <w:t>critical</w:t>
      </w:r>
      <w:r>
        <w:rPr>
          <w:rFonts w:ascii="Book Antiqua" w:hAnsi="Book Antiqua"/>
        </w:rPr>
        <w:t xml:space="preserve"> figures within mythographic discourse, albeit briefly </w:t>
      </w:r>
      <w:r w:rsidR="00724E45">
        <w:rPr>
          <w:rFonts w:ascii="Book Antiqua" w:hAnsi="Book Antiqua"/>
        </w:rPr>
        <w:t>whil</w:t>
      </w:r>
      <w:r w:rsidR="006F2019">
        <w:rPr>
          <w:rFonts w:ascii="Book Antiqua" w:hAnsi="Book Antiqua"/>
        </w:rPr>
        <w:t>e</w:t>
      </w:r>
      <w:r>
        <w:rPr>
          <w:rFonts w:ascii="Book Antiqua" w:hAnsi="Book Antiqua"/>
        </w:rPr>
        <w:t xml:space="preserve"> lacking depth. The largest is by Doty</w:t>
      </w:r>
      <w:r w:rsidR="006F2019">
        <w:rPr>
          <w:rFonts w:ascii="Book Antiqua" w:hAnsi="Book Antiqua"/>
        </w:rPr>
        <w:t>,</w:t>
      </w:r>
      <w:r>
        <w:rPr>
          <w:rFonts w:ascii="Book Antiqua" w:hAnsi="Book Antiqua"/>
        </w:rPr>
        <w:t xml:space="preserve"> and </w:t>
      </w:r>
      <w:r w:rsidR="00724E45">
        <w:rPr>
          <w:rFonts w:ascii="Book Antiqua" w:hAnsi="Book Antiqua"/>
        </w:rPr>
        <w:t xml:space="preserve">this </w:t>
      </w:r>
      <w:r>
        <w:rPr>
          <w:rFonts w:ascii="Book Antiqua" w:hAnsi="Book Antiqua"/>
        </w:rPr>
        <w:t>provides an excellent starting point for mythographic research.</w:t>
      </w:r>
    </w:p>
    <w:p w14:paraId="458C1A6A" w14:textId="65172193" w:rsidR="00B94A8E" w:rsidRDefault="00B94A8E" w:rsidP="00B94A8E">
      <w:pPr>
        <w:rPr>
          <w:rFonts w:ascii="Book Antiqua" w:hAnsi="Book Antiqua"/>
        </w:rPr>
      </w:pPr>
      <w:r>
        <w:rPr>
          <w:rFonts w:ascii="Book Antiqua" w:hAnsi="Book Antiqua"/>
        </w:rPr>
        <w:t xml:space="preserve">The archaeological data available for these sites are abundant, well discussed and frequently updated. However, there is no coherent synthesis of photographs of the symbols and artefacts uncovered </w:t>
      </w:r>
      <w:r w:rsidR="00F269C3">
        <w:rPr>
          <w:rFonts w:ascii="Book Antiqua" w:hAnsi="Book Antiqua"/>
        </w:rPr>
        <w:t xml:space="preserve">at the two sites, </w:t>
      </w:r>
      <w:r>
        <w:rPr>
          <w:rFonts w:ascii="Book Antiqua" w:hAnsi="Book Antiqua"/>
        </w:rPr>
        <w:t xml:space="preserve">which makes </w:t>
      </w:r>
      <w:r w:rsidR="000400D1">
        <w:rPr>
          <w:rFonts w:ascii="Book Antiqua" w:hAnsi="Book Antiqua"/>
        </w:rPr>
        <w:t>review</w:t>
      </w:r>
      <w:r>
        <w:rPr>
          <w:rFonts w:ascii="Book Antiqua" w:hAnsi="Book Antiqua"/>
        </w:rPr>
        <w:t>ing them slightly problematic. To solve this, I will be formulating</w:t>
      </w:r>
      <w:r w:rsidR="00E76775">
        <w:rPr>
          <w:rFonts w:ascii="Book Antiqua" w:hAnsi="Book Antiqua"/>
        </w:rPr>
        <w:t xml:space="preserve"> a</w:t>
      </w:r>
      <w:r>
        <w:rPr>
          <w:rFonts w:ascii="Book Antiqua" w:hAnsi="Book Antiqua"/>
        </w:rPr>
        <w:t xml:space="preserve"> table of symbols, both for ease of access when researching and for the readers of the dissertation upon completion. Having the visuals </w:t>
      </w:r>
      <w:r w:rsidR="00F269C3">
        <w:rPr>
          <w:rFonts w:ascii="Book Antiqua" w:hAnsi="Book Antiqua"/>
        </w:rPr>
        <w:t>prominently displayed</w:t>
      </w:r>
      <w:r>
        <w:rPr>
          <w:rFonts w:ascii="Book Antiqua" w:hAnsi="Book Antiqua"/>
        </w:rPr>
        <w:t xml:space="preserve"> could prove vital when interpreting the symbolisms’ possible connection</w:t>
      </w:r>
      <w:r w:rsidR="00F269C3">
        <w:rPr>
          <w:rFonts w:ascii="Book Antiqua" w:hAnsi="Book Antiqua"/>
        </w:rPr>
        <w:t>s</w:t>
      </w:r>
      <w:r>
        <w:rPr>
          <w:rFonts w:ascii="Book Antiqua" w:hAnsi="Book Antiqua"/>
        </w:rPr>
        <w:t xml:space="preserve"> to literature myth. For this reason, copies of the myth literature will be placed in the Appendix. With the </w:t>
      </w:r>
      <w:r w:rsidR="002B344A">
        <w:rPr>
          <w:rFonts w:ascii="Book Antiqua" w:hAnsi="Book Antiqua"/>
        </w:rPr>
        <w:t xml:space="preserve">literature </w:t>
      </w:r>
      <w:r w:rsidR="00DB60A9">
        <w:rPr>
          <w:rFonts w:ascii="Book Antiqua" w:hAnsi="Book Antiqua"/>
        </w:rPr>
        <w:t xml:space="preserve">of antiquity </w:t>
      </w:r>
      <w:r w:rsidR="002B344A">
        <w:rPr>
          <w:rFonts w:ascii="Book Antiqua" w:hAnsi="Book Antiqua"/>
        </w:rPr>
        <w:t>and imagery of the sites</w:t>
      </w:r>
      <w:r>
        <w:rPr>
          <w:rFonts w:ascii="Book Antiqua" w:hAnsi="Book Antiqua"/>
        </w:rPr>
        <w:t xml:space="preserve"> </w:t>
      </w:r>
      <w:r w:rsidR="008C32C4">
        <w:rPr>
          <w:rFonts w:ascii="Book Antiqua" w:hAnsi="Book Antiqua"/>
        </w:rPr>
        <w:t xml:space="preserve">easily </w:t>
      </w:r>
      <w:r w:rsidR="00DB60A9">
        <w:rPr>
          <w:rFonts w:ascii="Book Antiqua" w:hAnsi="Book Antiqua"/>
        </w:rPr>
        <w:t>accessible</w:t>
      </w:r>
      <w:r>
        <w:rPr>
          <w:rFonts w:ascii="Book Antiqua" w:hAnsi="Book Antiqua"/>
        </w:rPr>
        <w:t>, it will be easier for the creation of a logical, flowing and clear format of the interpretation and discussion. With further research, more lines of enquiry and curiosit</w:t>
      </w:r>
      <w:r w:rsidR="009F52F3">
        <w:rPr>
          <w:rFonts w:ascii="Book Antiqua" w:hAnsi="Book Antiqua"/>
        </w:rPr>
        <w:t>ies</w:t>
      </w:r>
      <w:r>
        <w:rPr>
          <w:rFonts w:ascii="Book Antiqua" w:hAnsi="Book Antiqua"/>
        </w:rPr>
        <w:t xml:space="preserve"> </w:t>
      </w:r>
      <w:r w:rsidR="00585E44">
        <w:rPr>
          <w:rFonts w:ascii="Book Antiqua" w:hAnsi="Book Antiqua"/>
        </w:rPr>
        <w:t>emerge</w:t>
      </w:r>
      <w:r w:rsidR="00E76775">
        <w:rPr>
          <w:rFonts w:ascii="Book Antiqua" w:hAnsi="Book Antiqua"/>
        </w:rPr>
        <w:t>,</w:t>
      </w:r>
      <w:r>
        <w:rPr>
          <w:rFonts w:ascii="Book Antiqua" w:hAnsi="Book Antiqua"/>
        </w:rPr>
        <w:t xml:space="preserve"> so it’s </w:t>
      </w:r>
      <w:r w:rsidR="00E76775">
        <w:rPr>
          <w:rFonts w:ascii="Book Antiqua" w:hAnsi="Book Antiqua"/>
        </w:rPr>
        <w:t>crucial</w:t>
      </w:r>
      <w:r>
        <w:rPr>
          <w:rFonts w:ascii="Book Antiqua" w:hAnsi="Book Antiqua"/>
        </w:rPr>
        <w:t xml:space="preserve"> to remain focused and on track with the outlined topic, ignoring the wealth of </w:t>
      </w:r>
      <w:r w:rsidR="004B70C5">
        <w:rPr>
          <w:rFonts w:ascii="Book Antiqua" w:hAnsi="Book Antiqua"/>
        </w:rPr>
        <w:t>distractingly</w:t>
      </w:r>
      <w:r>
        <w:rPr>
          <w:rFonts w:ascii="Book Antiqua" w:hAnsi="Book Antiqua"/>
        </w:rPr>
        <w:t xml:space="preserve"> interesting information. Although the sites are </w:t>
      </w:r>
      <w:r w:rsidR="00DB6DD4">
        <w:rPr>
          <w:rFonts w:ascii="Book Antiqua" w:hAnsi="Book Antiqua"/>
        </w:rPr>
        <w:t>forefront topics within</w:t>
      </w:r>
      <w:r>
        <w:rPr>
          <w:rFonts w:ascii="Book Antiqua" w:hAnsi="Book Antiqua"/>
        </w:rPr>
        <w:t xml:space="preserve"> active discourse, the wholly scientific view of the data sets removes some of the humanity from the sites. This dissertation is agreeable to the views of Jung and Eliade and seeks to open academic studies to the more ‘mysterious’ side of life.</w:t>
      </w:r>
    </w:p>
    <w:p w14:paraId="2ADE3ADD" w14:textId="66417691" w:rsidR="00B94A8E" w:rsidRDefault="00B94A8E" w:rsidP="00B94A8E">
      <w:pPr>
        <w:rPr>
          <w:rFonts w:ascii="Book Antiqua" w:hAnsi="Book Antiqua"/>
        </w:rPr>
      </w:pPr>
      <w:r>
        <w:rPr>
          <w:rFonts w:ascii="Book Antiqua" w:hAnsi="Book Antiqua"/>
        </w:rPr>
        <w:t xml:space="preserve">The </w:t>
      </w:r>
      <w:r w:rsidR="009F52F3">
        <w:rPr>
          <w:rFonts w:ascii="Book Antiqua" w:hAnsi="Book Antiqua"/>
        </w:rPr>
        <w:t xml:space="preserve">substantial collection of relevant </w:t>
      </w:r>
      <w:r>
        <w:rPr>
          <w:rFonts w:ascii="Book Antiqua" w:hAnsi="Book Antiqua"/>
        </w:rPr>
        <w:t xml:space="preserve">myths that will require </w:t>
      </w:r>
      <w:r w:rsidR="002F611C">
        <w:rPr>
          <w:rFonts w:ascii="Book Antiqua" w:hAnsi="Book Antiqua"/>
        </w:rPr>
        <w:t>re</w:t>
      </w:r>
      <w:r>
        <w:rPr>
          <w:rFonts w:ascii="Book Antiqua" w:hAnsi="Book Antiqua"/>
        </w:rPr>
        <w:t xml:space="preserve">searching through is slightly daunting, and it could prove easy to </w:t>
      </w:r>
      <w:r w:rsidR="002F611C">
        <w:rPr>
          <w:rFonts w:ascii="Book Antiqua" w:hAnsi="Book Antiqua"/>
        </w:rPr>
        <w:t>be enticed into tangents</w:t>
      </w:r>
      <w:r>
        <w:rPr>
          <w:rFonts w:ascii="Book Antiqua" w:hAnsi="Book Antiqua"/>
        </w:rPr>
        <w:t xml:space="preserve">. The </w:t>
      </w:r>
      <w:r w:rsidR="00BF2270">
        <w:rPr>
          <w:rFonts w:ascii="Book Antiqua" w:hAnsi="Book Antiqua"/>
        </w:rPr>
        <w:t>extensiv</w:t>
      </w:r>
      <w:r>
        <w:rPr>
          <w:rFonts w:ascii="Book Antiqua" w:hAnsi="Book Antiqua"/>
        </w:rPr>
        <w:t>e collection of Greek, Roman and Egyptian myth anthologies and sources are familiar, whereas the Sumerian and Indian mythologies are unknown to me</w:t>
      </w:r>
      <w:r w:rsidR="002F611C">
        <w:rPr>
          <w:rFonts w:ascii="Book Antiqua" w:hAnsi="Book Antiqua"/>
        </w:rPr>
        <w:t xml:space="preserve"> at present</w:t>
      </w:r>
      <w:r>
        <w:rPr>
          <w:rFonts w:ascii="Book Antiqua" w:hAnsi="Book Antiqua"/>
        </w:rPr>
        <w:t>. Each will reveal different myths and symbols, and the diversity of symbol representation is as vitally important as the similarities. The zoomorphic symbolism, particularly of the bull, is more common and has a plethora of information</w:t>
      </w:r>
      <w:r w:rsidR="00DB6DD4">
        <w:rPr>
          <w:rFonts w:ascii="Book Antiqua" w:hAnsi="Book Antiqua"/>
        </w:rPr>
        <w:t>;</w:t>
      </w:r>
      <w:r>
        <w:rPr>
          <w:rFonts w:ascii="Book Antiqua" w:hAnsi="Book Antiqua"/>
        </w:rPr>
        <w:t xml:space="preserve"> thus</w:t>
      </w:r>
      <w:r w:rsidR="00DB6DD4">
        <w:rPr>
          <w:rFonts w:ascii="Book Antiqua" w:hAnsi="Book Antiqua"/>
        </w:rPr>
        <w:t>,</w:t>
      </w:r>
      <w:r>
        <w:rPr>
          <w:rFonts w:ascii="Book Antiqua" w:hAnsi="Book Antiqua"/>
        </w:rPr>
        <w:t xml:space="preserve"> </w:t>
      </w:r>
      <w:r w:rsidR="00A85647">
        <w:rPr>
          <w:rFonts w:ascii="Book Antiqua" w:hAnsi="Book Antiqua"/>
        </w:rPr>
        <w:t xml:space="preserve">it </w:t>
      </w:r>
      <w:r>
        <w:rPr>
          <w:rFonts w:ascii="Book Antiqua" w:hAnsi="Book Antiqua"/>
        </w:rPr>
        <w:t>will require a more focused, in</w:t>
      </w:r>
      <w:r w:rsidR="00BF2270">
        <w:rPr>
          <w:rFonts w:ascii="Book Antiqua" w:hAnsi="Book Antiqua"/>
        </w:rPr>
        <w:t>-</w:t>
      </w:r>
      <w:r>
        <w:rPr>
          <w:rFonts w:ascii="Book Antiqua" w:hAnsi="Book Antiqua"/>
        </w:rPr>
        <w:t>depth discussion to identify aspects correctly. It</w:t>
      </w:r>
      <w:r w:rsidR="00A85647">
        <w:rPr>
          <w:rFonts w:ascii="Book Antiqua" w:hAnsi="Book Antiqua"/>
        </w:rPr>
        <w:t xml:space="preserve"> is</w:t>
      </w:r>
      <w:r>
        <w:rPr>
          <w:rFonts w:ascii="Book Antiqua" w:hAnsi="Book Antiqua"/>
        </w:rPr>
        <w:t xml:space="preserve"> essential to avoid </w:t>
      </w:r>
      <w:r w:rsidR="00A85647">
        <w:rPr>
          <w:rFonts w:ascii="Book Antiqua" w:hAnsi="Book Antiqua"/>
        </w:rPr>
        <w:t>amassing</w:t>
      </w:r>
      <w:r>
        <w:rPr>
          <w:rFonts w:ascii="Book Antiqua" w:hAnsi="Book Antiqua"/>
        </w:rPr>
        <w:t xml:space="preserve"> a collection of bull related mythology and </w:t>
      </w:r>
      <w:r w:rsidR="002B4C31">
        <w:rPr>
          <w:rFonts w:ascii="Book Antiqua" w:hAnsi="Book Antiqua"/>
        </w:rPr>
        <w:t>keep a ke</w:t>
      </w:r>
      <w:r w:rsidR="00DB6DD4">
        <w:rPr>
          <w:rFonts w:ascii="Book Antiqua" w:hAnsi="Book Antiqua"/>
        </w:rPr>
        <w:t>e</w:t>
      </w:r>
      <w:r w:rsidR="002B4C31">
        <w:rPr>
          <w:rFonts w:ascii="Book Antiqua" w:hAnsi="Book Antiqua"/>
        </w:rPr>
        <w:t>n focus on the</w:t>
      </w:r>
      <w:r>
        <w:rPr>
          <w:rFonts w:ascii="Book Antiqua" w:hAnsi="Book Antiqua"/>
        </w:rPr>
        <w:t xml:space="preserve"> proposed connection to the Anatolian sites. The depiction of a volcano at </w:t>
      </w:r>
      <w:r w:rsidR="00A915D1" w:rsidRPr="00A915D1">
        <w:rPr>
          <w:rStyle w:val="Emphasis"/>
          <w:rFonts w:ascii="Book Antiqua" w:hAnsi="Book Antiqua" w:cs="Arial"/>
          <w:i w:val="0"/>
          <w:iCs w:val="0"/>
          <w:shd w:val="clear" w:color="auto" w:fill="FFFFFF"/>
        </w:rPr>
        <w:t>Çatalhöyük</w:t>
      </w:r>
      <w:r>
        <w:rPr>
          <w:rFonts w:ascii="Book Antiqua" w:hAnsi="Book Antiqua"/>
        </w:rPr>
        <w:t xml:space="preserve"> could prove more </w:t>
      </w:r>
      <w:r w:rsidR="00DB6DD4">
        <w:rPr>
          <w:rFonts w:ascii="Book Antiqua" w:hAnsi="Book Antiqua"/>
        </w:rPr>
        <w:t>challenging</w:t>
      </w:r>
      <w:r>
        <w:rPr>
          <w:rFonts w:ascii="Book Antiqua" w:hAnsi="Book Antiqua"/>
        </w:rPr>
        <w:t xml:space="preserve"> </w:t>
      </w:r>
      <w:r w:rsidR="002B4C31">
        <w:rPr>
          <w:rFonts w:ascii="Book Antiqua" w:hAnsi="Book Antiqua"/>
        </w:rPr>
        <w:t>to identify</w:t>
      </w:r>
      <w:r>
        <w:rPr>
          <w:rFonts w:ascii="Book Antiqua" w:hAnsi="Book Antiqua"/>
        </w:rPr>
        <w:t xml:space="preserve">, but this is an exciting </w:t>
      </w:r>
      <w:r w:rsidR="00DB6DD4">
        <w:rPr>
          <w:rFonts w:ascii="Book Antiqua" w:hAnsi="Book Antiqua"/>
        </w:rPr>
        <w:t>trial</w:t>
      </w:r>
      <w:r>
        <w:rPr>
          <w:rFonts w:ascii="Book Antiqua" w:hAnsi="Book Antiqua"/>
        </w:rPr>
        <w:t xml:space="preserve"> and </w:t>
      </w:r>
      <w:r w:rsidR="00086531">
        <w:rPr>
          <w:rFonts w:ascii="Book Antiqua" w:hAnsi="Book Antiqua"/>
        </w:rPr>
        <w:t xml:space="preserve">is an identified </w:t>
      </w:r>
      <w:r>
        <w:rPr>
          <w:rFonts w:ascii="Book Antiqua" w:hAnsi="Book Antiqua"/>
        </w:rPr>
        <w:t xml:space="preserve">knowledge gap in academia. A recent study undertaken by </w:t>
      </w:r>
      <w:proofErr w:type="spellStart"/>
      <w:r>
        <w:rPr>
          <w:rFonts w:ascii="Book Antiqua" w:hAnsi="Book Antiqua"/>
        </w:rPr>
        <w:t>Sweatmen</w:t>
      </w:r>
      <w:proofErr w:type="spellEnd"/>
      <w:r>
        <w:rPr>
          <w:rFonts w:ascii="Book Antiqua" w:hAnsi="Book Antiqua"/>
        </w:rPr>
        <w:t xml:space="preserve"> and Coombs (</w:t>
      </w:r>
      <w:r w:rsidRPr="006A3A69">
        <w:rPr>
          <w:rFonts w:ascii="Book Antiqua" w:hAnsi="Book Antiqua"/>
          <w:color w:val="1F4E79" w:themeColor="accent5" w:themeShade="80"/>
        </w:rPr>
        <w:t>20</w:t>
      </w:r>
      <w:r w:rsidR="006A3A69">
        <w:rPr>
          <w:rFonts w:ascii="Book Antiqua" w:hAnsi="Book Antiqua"/>
          <w:color w:val="1F4E79" w:themeColor="accent5" w:themeShade="80"/>
        </w:rPr>
        <w:t>1</w:t>
      </w:r>
      <w:r w:rsidRPr="006A3A69">
        <w:rPr>
          <w:rFonts w:ascii="Book Antiqua" w:hAnsi="Book Antiqua"/>
          <w:color w:val="1F4E79" w:themeColor="accent5" w:themeShade="80"/>
        </w:rPr>
        <w:t>9</w:t>
      </w:r>
      <w:r>
        <w:rPr>
          <w:rFonts w:ascii="Book Antiqua" w:hAnsi="Book Antiqua"/>
        </w:rPr>
        <w:t xml:space="preserve">) has revealed potential astronomical connections to the sites, with </w:t>
      </w:r>
      <w:proofErr w:type="gramStart"/>
      <w:r>
        <w:rPr>
          <w:rFonts w:ascii="Book Antiqua" w:hAnsi="Book Antiqua"/>
        </w:rPr>
        <w:t>particular attention</w:t>
      </w:r>
      <w:proofErr w:type="gramEnd"/>
      <w:r>
        <w:rPr>
          <w:rFonts w:ascii="Book Antiqua" w:hAnsi="Book Antiqua"/>
        </w:rPr>
        <w:t xml:space="preserve"> pa</w:t>
      </w:r>
      <w:r w:rsidR="00A73996">
        <w:rPr>
          <w:rFonts w:ascii="Book Antiqua" w:hAnsi="Book Antiqua"/>
        </w:rPr>
        <w:t>i</w:t>
      </w:r>
      <w:r>
        <w:rPr>
          <w:rFonts w:ascii="Book Antiqua" w:hAnsi="Book Antiqua"/>
        </w:rPr>
        <w:t xml:space="preserve">d to </w:t>
      </w:r>
      <w:r w:rsidR="00597902" w:rsidRPr="00597902">
        <w:rPr>
          <w:rFonts w:ascii="Book Antiqua" w:hAnsi="Book Antiqua" w:cs="Arial"/>
          <w:color w:val="222222"/>
          <w:shd w:val="clear" w:color="auto" w:fill="FFFFFF"/>
        </w:rPr>
        <w:t>Göbekli Tepe</w:t>
      </w:r>
      <w:r>
        <w:rPr>
          <w:rFonts w:ascii="Book Antiqua" w:hAnsi="Book Antiqua"/>
        </w:rPr>
        <w:t xml:space="preserve">. This is a line of enquiry that opens doors to many mythic tales and is one that I </w:t>
      </w:r>
      <w:r w:rsidR="002B4C31">
        <w:rPr>
          <w:rFonts w:ascii="Book Antiqua" w:hAnsi="Book Antiqua"/>
        </w:rPr>
        <w:t>will relish delving into.</w:t>
      </w:r>
      <w:r w:rsidR="00285333">
        <w:rPr>
          <w:rFonts w:ascii="Book Antiqua" w:hAnsi="Book Antiqua"/>
        </w:rPr>
        <w:t xml:space="preserve"> </w:t>
      </w:r>
      <w:r>
        <w:rPr>
          <w:rFonts w:ascii="Book Antiqua" w:hAnsi="Book Antiqua"/>
        </w:rPr>
        <w:t xml:space="preserve"> </w:t>
      </w:r>
    </w:p>
    <w:p w14:paraId="5B31B6C4" w14:textId="75EFC865" w:rsidR="00D633D2" w:rsidRPr="00285333" w:rsidRDefault="00B94A8E" w:rsidP="00B94A8E">
      <w:pPr>
        <w:rPr>
          <w:rFonts w:ascii="Book Antiqua" w:hAnsi="Book Antiqua"/>
        </w:rPr>
      </w:pPr>
      <w:r>
        <w:rPr>
          <w:rFonts w:ascii="Book Antiqua" w:hAnsi="Book Antiqua"/>
        </w:rPr>
        <w:t xml:space="preserve">To conclude, this topic is broad but vital to the study of Neolithic Symbolism and the inclusion and gradual formation of an official mythography discipline. It opens doors to the mysterious, touches on subjects of intrigue and importance to the understanding of human history, and breathes life back into the distant archaeological data. It is also a good starting point for the research I wish to undertake in the future. </w:t>
      </w:r>
    </w:p>
    <w:p w14:paraId="47D4B97E" w14:textId="0A90419C" w:rsidR="00B94A8E" w:rsidRPr="005B1297" w:rsidRDefault="00B94A8E" w:rsidP="00B94A8E">
      <w:pPr>
        <w:rPr>
          <w:rFonts w:ascii="Book Antiqua" w:hAnsi="Book Antiqua"/>
          <w:b/>
          <w:bCs/>
        </w:rPr>
      </w:pPr>
      <w:r w:rsidRPr="005B1297">
        <w:rPr>
          <w:rFonts w:ascii="Book Antiqua" w:hAnsi="Book Antiqua"/>
          <w:b/>
          <w:bCs/>
        </w:rPr>
        <w:lastRenderedPageBreak/>
        <w:t>References:</w:t>
      </w:r>
    </w:p>
    <w:p w14:paraId="46DCFD33" w14:textId="77777777" w:rsidR="00537301" w:rsidRPr="008D3C0F" w:rsidRDefault="00537301" w:rsidP="00B94A8E">
      <w:pPr>
        <w:pStyle w:val="ListParagraph"/>
        <w:numPr>
          <w:ilvl w:val="0"/>
          <w:numId w:val="1"/>
        </w:numPr>
        <w:rPr>
          <w:rFonts w:ascii="Book Antiqua" w:hAnsi="Book Antiqua"/>
          <w:sz w:val="20"/>
          <w:szCs w:val="20"/>
        </w:rPr>
      </w:pPr>
      <w:r w:rsidRPr="008D3C0F">
        <w:rPr>
          <w:rFonts w:ascii="Book Antiqua" w:hAnsi="Book Antiqua"/>
          <w:sz w:val="20"/>
          <w:szCs w:val="20"/>
        </w:rPr>
        <w:t xml:space="preserve">Bowie, F. (2009). </w:t>
      </w:r>
      <w:r w:rsidRPr="008D3C0F">
        <w:rPr>
          <w:rFonts w:ascii="Book Antiqua" w:hAnsi="Book Antiqua"/>
          <w:i/>
          <w:sz w:val="20"/>
          <w:szCs w:val="20"/>
        </w:rPr>
        <w:t>The Anthropology of Religion</w:t>
      </w:r>
      <w:r w:rsidRPr="008D3C0F">
        <w:rPr>
          <w:rFonts w:ascii="Book Antiqua" w:hAnsi="Book Antiqua"/>
          <w:sz w:val="20"/>
          <w:szCs w:val="20"/>
        </w:rPr>
        <w:t>. Malden: Blackwell Publ.</w:t>
      </w:r>
    </w:p>
    <w:p w14:paraId="26EA72FB" w14:textId="77777777" w:rsidR="00537301" w:rsidRPr="008D3C0F" w:rsidRDefault="00537301" w:rsidP="00B94A8E">
      <w:pPr>
        <w:pStyle w:val="ListParagraph"/>
        <w:numPr>
          <w:ilvl w:val="0"/>
          <w:numId w:val="1"/>
        </w:numPr>
        <w:rPr>
          <w:rFonts w:ascii="Book Antiqua" w:hAnsi="Book Antiqua" w:cs="Arial"/>
          <w:color w:val="000000"/>
          <w:sz w:val="20"/>
          <w:szCs w:val="20"/>
          <w:shd w:val="clear" w:color="auto" w:fill="FFFFFF"/>
        </w:rPr>
      </w:pPr>
      <w:r w:rsidRPr="008D3C0F">
        <w:rPr>
          <w:rFonts w:ascii="Book Antiqua" w:hAnsi="Book Antiqua" w:cs="Arial"/>
          <w:color w:val="000000"/>
          <w:sz w:val="20"/>
          <w:szCs w:val="20"/>
          <w:shd w:val="clear" w:color="auto" w:fill="FFFFFF"/>
        </w:rPr>
        <w:t>Coupe, L. (2009). </w:t>
      </w:r>
      <w:r w:rsidRPr="008D3C0F">
        <w:rPr>
          <w:rFonts w:ascii="Book Antiqua" w:hAnsi="Book Antiqua" w:cs="Arial"/>
          <w:i/>
          <w:iCs/>
          <w:color w:val="000000"/>
          <w:sz w:val="20"/>
          <w:szCs w:val="20"/>
          <w:shd w:val="clear" w:color="auto" w:fill="FFFFFF"/>
        </w:rPr>
        <w:t>Myth</w:t>
      </w:r>
      <w:r w:rsidRPr="008D3C0F">
        <w:rPr>
          <w:rFonts w:ascii="Book Antiqua" w:hAnsi="Book Antiqua" w:cs="Arial"/>
          <w:color w:val="000000"/>
          <w:sz w:val="20"/>
          <w:szCs w:val="20"/>
          <w:shd w:val="clear" w:color="auto" w:fill="FFFFFF"/>
        </w:rPr>
        <w:t>. London: Routledge.</w:t>
      </w:r>
    </w:p>
    <w:p w14:paraId="0B49DEC7" w14:textId="77777777" w:rsidR="00537301" w:rsidRPr="008D3C0F" w:rsidRDefault="00537301" w:rsidP="00B94A8E">
      <w:pPr>
        <w:pStyle w:val="ListParagraph"/>
        <w:numPr>
          <w:ilvl w:val="0"/>
          <w:numId w:val="1"/>
        </w:numPr>
        <w:rPr>
          <w:rFonts w:ascii="Book Antiqua" w:hAnsi="Book Antiqua" w:cs="Arial"/>
          <w:color w:val="000000"/>
          <w:sz w:val="20"/>
          <w:szCs w:val="20"/>
          <w:shd w:val="clear" w:color="auto" w:fill="FFFFFF"/>
        </w:rPr>
      </w:pPr>
      <w:proofErr w:type="spellStart"/>
      <w:r w:rsidRPr="008D3C0F">
        <w:rPr>
          <w:rFonts w:ascii="Book Antiqua" w:hAnsi="Book Antiqua" w:cs="Arial"/>
          <w:color w:val="000000"/>
          <w:sz w:val="20"/>
          <w:szCs w:val="20"/>
          <w:shd w:val="clear" w:color="auto" w:fill="FFFFFF"/>
        </w:rPr>
        <w:t>Csapo</w:t>
      </w:r>
      <w:proofErr w:type="spellEnd"/>
      <w:r w:rsidRPr="008D3C0F">
        <w:rPr>
          <w:rFonts w:ascii="Book Antiqua" w:hAnsi="Book Antiqua" w:cs="Arial"/>
          <w:color w:val="000000"/>
          <w:sz w:val="20"/>
          <w:szCs w:val="20"/>
          <w:shd w:val="clear" w:color="auto" w:fill="FFFFFF"/>
        </w:rPr>
        <w:t>, E. (2009). </w:t>
      </w:r>
      <w:r w:rsidRPr="008D3C0F">
        <w:rPr>
          <w:rFonts w:ascii="Book Antiqua" w:hAnsi="Book Antiqua" w:cs="Arial"/>
          <w:i/>
          <w:iCs/>
          <w:noProof/>
          <w:color w:val="000000"/>
          <w:sz w:val="20"/>
          <w:szCs w:val="20"/>
          <w:shd w:val="clear" w:color="auto" w:fill="FFFFFF"/>
        </w:rPr>
        <w:t>Theories</w:t>
      </w:r>
      <w:r w:rsidRPr="008D3C0F">
        <w:rPr>
          <w:rFonts w:ascii="Book Antiqua" w:hAnsi="Book Antiqua" w:cs="Arial"/>
          <w:i/>
          <w:iCs/>
          <w:color w:val="000000"/>
          <w:sz w:val="20"/>
          <w:szCs w:val="20"/>
          <w:shd w:val="clear" w:color="auto" w:fill="FFFFFF"/>
        </w:rPr>
        <w:t xml:space="preserve"> of mythology</w:t>
      </w:r>
      <w:r w:rsidRPr="008D3C0F">
        <w:rPr>
          <w:rFonts w:ascii="Book Antiqua" w:hAnsi="Book Antiqua" w:cs="Arial"/>
          <w:color w:val="000000"/>
          <w:sz w:val="20"/>
          <w:szCs w:val="20"/>
          <w:shd w:val="clear" w:color="auto" w:fill="FFFFFF"/>
        </w:rPr>
        <w:t>. Malden: Blackwell.</w:t>
      </w:r>
    </w:p>
    <w:p w14:paraId="2BF438BC" w14:textId="77777777" w:rsidR="00537301" w:rsidRDefault="00537301" w:rsidP="00B94A8E">
      <w:pPr>
        <w:pStyle w:val="ListParagraph"/>
        <w:numPr>
          <w:ilvl w:val="0"/>
          <w:numId w:val="1"/>
        </w:numPr>
        <w:rPr>
          <w:rFonts w:ascii="Book Antiqua" w:hAnsi="Book Antiqua" w:cs="Arial"/>
          <w:color w:val="000000"/>
          <w:sz w:val="20"/>
          <w:szCs w:val="20"/>
          <w:shd w:val="clear" w:color="auto" w:fill="FFFFFF"/>
        </w:rPr>
      </w:pPr>
      <w:r w:rsidRPr="008D3C0F">
        <w:rPr>
          <w:rFonts w:ascii="Book Antiqua" w:hAnsi="Book Antiqua" w:cs="Arial"/>
          <w:color w:val="000000"/>
          <w:sz w:val="20"/>
          <w:szCs w:val="20"/>
          <w:shd w:val="clear" w:color="auto" w:fill="FFFFFF"/>
        </w:rPr>
        <w:t>Doty, W. (2000). </w:t>
      </w:r>
      <w:r w:rsidRPr="008D3C0F">
        <w:rPr>
          <w:rFonts w:ascii="Book Antiqua" w:hAnsi="Book Antiqua" w:cs="Arial"/>
          <w:i/>
          <w:iCs/>
          <w:color w:val="000000"/>
          <w:sz w:val="20"/>
          <w:szCs w:val="20"/>
          <w:shd w:val="clear" w:color="auto" w:fill="FFFFFF"/>
        </w:rPr>
        <w:t>Mythography</w:t>
      </w:r>
      <w:r w:rsidRPr="008D3C0F">
        <w:rPr>
          <w:rFonts w:ascii="Book Antiqua" w:hAnsi="Book Antiqua" w:cs="Arial"/>
          <w:color w:val="000000"/>
          <w:sz w:val="20"/>
          <w:szCs w:val="20"/>
          <w:shd w:val="clear" w:color="auto" w:fill="FFFFFF"/>
        </w:rPr>
        <w:t>. Tuscaloosa: University of Alabama Press.</w:t>
      </w:r>
    </w:p>
    <w:p w14:paraId="53313FDD" w14:textId="77777777" w:rsidR="00537301" w:rsidRDefault="00537301" w:rsidP="00B94A8E">
      <w:pPr>
        <w:pStyle w:val="ListParagraph"/>
        <w:numPr>
          <w:ilvl w:val="0"/>
          <w:numId w:val="1"/>
        </w:numPr>
        <w:rPr>
          <w:rFonts w:ascii="Book Antiqua" w:hAnsi="Book Antiqua" w:cs="Arial"/>
          <w:color w:val="000000"/>
          <w:sz w:val="20"/>
          <w:szCs w:val="20"/>
          <w:shd w:val="clear" w:color="auto" w:fill="FFFFFF"/>
        </w:rPr>
      </w:pPr>
      <w:proofErr w:type="spellStart"/>
      <w:r>
        <w:rPr>
          <w:rFonts w:ascii="Book Antiqua" w:hAnsi="Book Antiqua" w:cs="Arial"/>
          <w:color w:val="000000"/>
          <w:sz w:val="20"/>
          <w:szCs w:val="20"/>
          <w:shd w:val="clear" w:color="auto" w:fill="FFFFFF"/>
        </w:rPr>
        <w:t>Geurin</w:t>
      </w:r>
      <w:proofErr w:type="spellEnd"/>
      <w:r>
        <w:rPr>
          <w:rFonts w:ascii="Book Antiqua" w:hAnsi="Book Antiqua" w:cs="Arial"/>
          <w:color w:val="000000"/>
          <w:sz w:val="20"/>
          <w:szCs w:val="20"/>
          <w:shd w:val="clear" w:color="auto" w:fill="FFFFFF"/>
        </w:rPr>
        <w:t xml:space="preserve">, W. (2005). Mythological and Archetypal Approaches. </w:t>
      </w:r>
      <w:r>
        <w:rPr>
          <w:rFonts w:ascii="Book Antiqua" w:hAnsi="Book Antiqua" w:cs="Arial"/>
          <w:i/>
          <w:iCs/>
          <w:color w:val="000000"/>
          <w:sz w:val="20"/>
          <w:szCs w:val="20"/>
          <w:shd w:val="clear" w:color="auto" w:fill="FFFFFF"/>
        </w:rPr>
        <w:t xml:space="preserve">A Handbook of critical approaches to literature </w:t>
      </w:r>
      <w:r>
        <w:rPr>
          <w:rFonts w:ascii="Book Antiqua" w:hAnsi="Book Antiqua" w:cs="Arial"/>
          <w:color w:val="000000"/>
          <w:sz w:val="20"/>
          <w:szCs w:val="20"/>
          <w:shd w:val="clear" w:color="auto" w:fill="FFFFFF"/>
        </w:rPr>
        <w:t>(5</w:t>
      </w:r>
      <w:r w:rsidRPr="005B1297">
        <w:rPr>
          <w:rFonts w:ascii="Book Antiqua" w:hAnsi="Book Antiqua" w:cs="Arial"/>
          <w:color w:val="000000"/>
          <w:sz w:val="20"/>
          <w:szCs w:val="20"/>
          <w:shd w:val="clear" w:color="auto" w:fill="FFFFFF"/>
          <w:vertAlign w:val="superscript"/>
        </w:rPr>
        <w:t>th</w:t>
      </w:r>
      <w:r>
        <w:rPr>
          <w:rFonts w:ascii="Book Antiqua" w:hAnsi="Book Antiqua" w:cs="Arial"/>
          <w:color w:val="000000"/>
          <w:sz w:val="20"/>
          <w:szCs w:val="20"/>
          <w:shd w:val="clear" w:color="auto" w:fill="FFFFFF"/>
        </w:rPr>
        <w:t xml:space="preserve"> ed). Oxford University Press, New York.</w:t>
      </w:r>
    </w:p>
    <w:p w14:paraId="236BEAA3" w14:textId="73C3559B" w:rsidR="00537301" w:rsidRDefault="00537301" w:rsidP="00B94A8E">
      <w:pPr>
        <w:pStyle w:val="ListParagraph"/>
        <w:numPr>
          <w:ilvl w:val="0"/>
          <w:numId w:val="1"/>
        </w:numPr>
        <w:rPr>
          <w:rFonts w:ascii="Book Antiqua" w:hAnsi="Book Antiqua" w:cs="Arial"/>
          <w:color w:val="000000"/>
          <w:sz w:val="20"/>
          <w:szCs w:val="20"/>
          <w:shd w:val="clear" w:color="auto" w:fill="FFFFFF"/>
        </w:rPr>
      </w:pPr>
      <w:r>
        <w:rPr>
          <w:rFonts w:ascii="Book Antiqua" w:hAnsi="Book Antiqua" w:cs="Arial"/>
          <w:color w:val="000000"/>
          <w:sz w:val="20"/>
          <w:szCs w:val="20"/>
          <w:shd w:val="clear" w:color="auto" w:fill="FFFFFF"/>
        </w:rPr>
        <w:t xml:space="preserve">Malinowski, B. (1976). </w:t>
      </w:r>
      <w:r>
        <w:rPr>
          <w:rFonts w:ascii="Book Antiqua" w:hAnsi="Book Antiqua" w:cs="Arial"/>
          <w:i/>
          <w:iCs/>
          <w:color w:val="000000"/>
          <w:sz w:val="20"/>
          <w:szCs w:val="20"/>
          <w:shd w:val="clear" w:color="auto" w:fill="FFFFFF"/>
        </w:rPr>
        <w:t xml:space="preserve">Myth in Primitive Psychology. </w:t>
      </w:r>
      <w:r>
        <w:rPr>
          <w:rFonts w:ascii="Book Antiqua" w:hAnsi="Book Antiqua" w:cs="Arial"/>
          <w:color w:val="000000"/>
          <w:sz w:val="20"/>
          <w:szCs w:val="20"/>
          <w:shd w:val="clear" w:color="auto" w:fill="FFFFFF"/>
        </w:rPr>
        <w:t>Westport, Conn.: Negro Universities Press.</w:t>
      </w:r>
    </w:p>
    <w:p w14:paraId="27B80A94" w14:textId="6D3BA0FE" w:rsidR="00650477" w:rsidRDefault="00650477" w:rsidP="00B94A8E">
      <w:pPr>
        <w:pStyle w:val="ListParagraph"/>
        <w:numPr>
          <w:ilvl w:val="0"/>
          <w:numId w:val="1"/>
        </w:numPr>
        <w:rPr>
          <w:rFonts w:ascii="Book Antiqua" w:hAnsi="Book Antiqua" w:cs="Arial"/>
          <w:color w:val="000000"/>
          <w:sz w:val="20"/>
          <w:szCs w:val="20"/>
          <w:shd w:val="clear" w:color="auto" w:fill="FFFFFF"/>
        </w:rPr>
      </w:pPr>
      <w:proofErr w:type="spellStart"/>
      <w:r>
        <w:rPr>
          <w:rFonts w:ascii="Book Antiqua" w:hAnsi="Book Antiqua" w:cs="Arial"/>
          <w:color w:val="000000"/>
          <w:sz w:val="20"/>
          <w:szCs w:val="20"/>
          <w:shd w:val="clear" w:color="auto" w:fill="FFFFFF"/>
        </w:rPr>
        <w:t>Strenski</w:t>
      </w:r>
      <w:proofErr w:type="spellEnd"/>
      <w:r>
        <w:rPr>
          <w:rFonts w:ascii="Book Antiqua" w:hAnsi="Book Antiqua" w:cs="Arial"/>
          <w:color w:val="000000"/>
          <w:sz w:val="20"/>
          <w:szCs w:val="20"/>
          <w:shd w:val="clear" w:color="auto" w:fill="FFFFFF"/>
        </w:rPr>
        <w:t xml:space="preserve">, I. (1995). </w:t>
      </w:r>
      <w:r>
        <w:rPr>
          <w:rFonts w:ascii="Book Antiqua" w:hAnsi="Book Antiqua" w:cs="Arial"/>
          <w:i/>
          <w:iCs/>
          <w:color w:val="000000"/>
          <w:sz w:val="20"/>
          <w:szCs w:val="20"/>
          <w:shd w:val="clear" w:color="auto" w:fill="FFFFFF"/>
        </w:rPr>
        <w:t xml:space="preserve">Four theories of myth in the twentieth-century history. </w:t>
      </w:r>
      <w:r>
        <w:rPr>
          <w:rFonts w:ascii="Book Antiqua" w:hAnsi="Book Antiqua" w:cs="Arial"/>
          <w:color w:val="000000"/>
          <w:sz w:val="20"/>
          <w:szCs w:val="20"/>
          <w:shd w:val="clear" w:color="auto" w:fill="FFFFFF"/>
        </w:rPr>
        <w:t>London. Macmillan.</w:t>
      </w:r>
    </w:p>
    <w:p w14:paraId="7E153186" w14:textId="77777777" w:rsidR="00537301" w:rsidRDefault="00537301" w:rsidP="00B94A8E">
      <w:pPr>
        <w:pStyle w:val="ListParagraph"/>
        <w:numPr>
          <w:ilvl w:val="0"/>
          <w:numId w:val="1"/>
        </w:numPr>
        <w:rPr>
          <w:rFonts w:ascii="Book Antiqua" w:hAnsi="Book Antiqua" w:cs="Arial"/>
          <w:color w:val="000000"/>
          <w:sz w:val="20"/>
          <w:szCs w:val="20"/>
          <w:shd w:val="clear" w:color="auto" w:fill="FFFFFF"/>
        </w:rPr>
      </w:pPr>
      <w:proofErr w:type="spellStart"/>
      <w:r w:rsidRPr="00B94A8E">
        <w:rPr>
          <w:rFonts w:ascii="Book Antiqua" w:hAnsi="Book Antiqua" w:cs="Arial"/>
          <w:color w:val="000000"/>
          <w:sz w:val="20"/>
          <w:szCs w:val="20"/>
          <w:shd w:val="clear" w:color="auto" w:fill="FFFFFF"/>
        </w:rPr>
        <w:t>Sweatman</w:t>
      </w:r>
      <w:proofErr w:type="spellEnd"/>
      <w:r w:rsidRPr="00B94A8E">
        <w:rPr>
          <w:rFonts w:ascii="Book Antiqua" w:hAnsi="Book Antiqua" w:cs="Arial"/>
          <w:color w:val="000000"/>
          <w:sz w:val="20"/>
          <w:szCs w:val="20"/>
          <w:shd w:val="clear" w:color="auto" w:fill="FFFFFF"/>
        </w:rPr>
        <w:t>, M. and Coombs, A. (2019). Decoding European Palaeolithic Art: Extremely Ancient knowledge of Precession of the Equinoxes. </w:t>
      </w:r>
      <w:r w:rsidRPr="00B94A8E">
        <w:rPr>
          <w:rFonts w:ascii="Book Antiqua" w:hAnsi="Book Antiqua" w:cs="Arial"/>
          <w:i/>
          <w:iCs/>
          <w:color w:val="000000"/>
          <w:sz w:val="20"/>
          <w:szCs w:val="20"/>
          <w:shd w:val="clear" w:color="auto" w:fill="FFFFFF"/>
        </w:rPr>
        <w:t>Athens Journal of History</w:t>
      </w:r>
      <w:r w:rsidRPr="00B94A8E">
        <w:rPr>
          <w:rFonts w:ascii="Book Antiqua" w:hAnsi="Book Antiqua" w:cs="Arial"/>
          <w:color w:val="000000"/>
          <w:sz w:val="20"/>
          <w:szCs w:val="20"/>
          <w:shd w:val="clear" w:color="auto" w:fill="FFFFFF"/>
        </w:rPr>
        <w:t>, 5(1), pp.1-30.</w:t>
      </w:r>
    </w:p>
    <w:p w14:paraId="0E19D85F" w14:textId="77777777" w:rsidR="00B94A8E" w:rsidRDefault="00B94A8E"/>
    <w:sectPr w:rsidR="00B94A8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7565C" w14:textId="77777777" w:rsidR="005B57B4" w:rsidRDefault="005B57B4" w:rsidP="00B94A8E">
      <w:pPr>
        <w:spacing w:after="0" w:line="240" w:lineRule="auto"/>
      </w:pPr>
      <w:r>
        <w:separator/>
      </w:r>
    </w:p>
  </w:endnote>
  <w:endnote w:type="continuationSeparator" w:id="0">
    <w:p w14:paraId="67DB91A8" w14:textId="77777777" w:rsidR="005B57B4" w:rsidRDefault="005B57B4" w:rsidP="00B94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C700C" w14:textId="77777777" w:rsidR="00D14227" w:rsidRDefault="00D14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30019"/>
      <w:docPartObj>
        <w:docPartGallery w:val="Page Numbers (Bottom of Page)"/>
        <w:docPartUnique/>
      </w:docPartObj>
    </w:sdtPr>
    <w:sdtEndPr>
      <w:rPr>
        <w:rFonts w:ascii="Times New Roman" w:hAnsi="Times New Roman" w:cs="Times New Roman"/>
        <w:noProof/>
      </w:rPr>
    </w:sdtEndPr>
    <w:sdtContent>
      <w:p w14:paraId="5694A80A" w14:textId="23F4C900" w:rsidR="00D14227" w:rsidRPr="00D14227" w:rsidRDefault="00D14227">
        <w:pPr>
          <w:pStyle w:val="Footer"/>
          <w:jc w:val="center"/>
          <w:rPr>
            <w:rFonts w:ascii="Times New Roman" w:hAnsi="Times New Roman" w:cs="Times New Roman"/>
          </w:rPr>
        </w:pPr>
        <w:r w:rsidRPr="00D14227">
          <w:rPr>
            <w:rFonts w:ascii="Times New Roman" w:hAnsi="Times New Roman" w:cs="Times New Roman"/>
          </w:rPr>
          <w:fldChar w:fldCharType="begin"/>
        </w:r>
        <w:r w:rsidRPr="00D14227">
          <w:rPr>
            <w:rFonts w:ascii="Times New Roman" w:hAnsi="Times New Roman" w:cs="Times New Roman"/>
          </w:rPr>
          <w:instrText xml:space="preserve"> PAGE   \* MERGEFORMAT </w:instrText>
        </w:r>
        <w:r w:rsidRPr="00D14227">
          <w:rPr>
            <w:rFonts w:ascii="Times New Roman" w:hAnsi="Times New Roman" w:cs="Times New Roman"/>
          </w:rPr>
          <w:fldChar w:fldCharType="separate"/>
        </w:r>
        <w:r w:rsidRPr="00D14227">
          <w:rPr>
            <w:rFonts w:ascii="Times New Roman" w:hAnsi="Times New Roman" w:cs="Times New Roman"/>
            <w:noProof/>
          </w:rPr>
          <w:t>2</w:t>
        </w:r>
        <w:r w:rsidRPr="00D14227">
          <w:rPr>
            <w:rFonts w:ascii="Times New Roman" w:hAnsi="Times New Roman" w:cs="Times New Roman"/>
            <w:noProof/>
          </w:rPr>
          <w:fldChar w:fldCharType="end"/>
        </w:r>
      </w:p>
    </w:sdtContent>
  </w:sdt>
  <w:p w14:paraId="75348EE5" w14:textId="77777777" w:rsidR="00D14227" w:rsidRDefault="00D142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AA109" w14:textId="77777777" w:rsidR="00D14227" w:rsidRDefault="00D14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BCCBA" w14:textId="77777777" w:rsidR="005B57B4" w:rsidRDefault="005B57B4" w:rsidP="00B94A8E">
      <w:pPr>
        <w:spacing w:after="0" w:line="240" w:lineRule="auto"/>
      </w:pPr>
      <w:r>
        <w:separator/>
      </w:r>
    </w:p>
  </w:footnote>
  <w:footnote w:type="continuationSeparator" w:id="0">
    <w:p w14:paraId="1DDA29E8" w14:textId="77777777" w:rsidR="005B57B4" w:rsidRDefault="005B57B4" w:rsidP="00B94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901E0" w14:textId="77777777" w:rsidR="00D14227" w:rsidRDefault="00D14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73E52" w14:textId="253E89F0" w:rsidR="00D14227" w:rsidRPr="00D14227" w:rsidRDefault="00B2338D">
    <w:pPr>
      <w:pStyle w:val="Header"/>
      <w:rPr>
        <w:rFonts w:ascii="Times New Roman" w:hAnsi="Times New Roman" w:cs="Times New Roman"/>
      </w:rPr>
    </w:pPr>
    <w:r w:rsidRPr="00B2338D">
      <w:rPr>
        <w:rFonts w:ascii="Times New Roman" w:hAnsi="Times New Roman" w:cs="Times New Roman"/>
      </w:rPr>
      <w:t>HPAH6006</w:t>
    </w:r>
    <w:r w:rsidR="00D14227">
      <w:tab/>
    </w:r>
    <w:r w:rsidR="00D14227">
      <w:tab/>
    </w:r>
    <w:r w:rsidR="00D14227" w:rsidRPr="00D14227">
      <w:rPr>
        <w:rFonts w:ascii="Times New Roman" w:hAnsi="Times New Roman" w:cs="Times New Roman"/>
      </w:rPr>
      <w:t>1600109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79B0F" w14:textId="77777777" w:rsidR="00D14227" w:rsidRDefault="00D142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93509E"/>
    <w:multiLevelType w:val="hybridMultilevel"/>
    <w:tmpl w:val="F30C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wMDe1tDAzMbQ0tDBU0lEKTi0uzszPAykwqQUAdw7IiiwAAAA="/>
  </w:docVars>
  <w:rsids>
    <w:rsidRoot w:val="00B94A8E"/>
    <w:rsid w:val="00021F82"/>
    <w:rsid w:val="0002769A"/>
    <w:rsid w:val="000400D1"/>
    <w:rsid w:val="00086531"/>
    <w:rsid w:val="00112B98"/>
    <w:rsid w:val="00156912"/>
    <w:rsid w:val="00285333"/>
    <w:rsid w:val="002B344A"/>
    <w:rsid w:val="002B4C31"/>
    <w:rsid w:val="002E7112"/>
    <w:rsid w:val="002F611C"/>
    <w:rsid w:val="002F7DDF"/>
    <w:rsid w:val="00327AAD"/>
    <w:rsid w:val="00334DB4"/>
    <w:rsid w:val="003B658D"/>
    <w:rsid w:val="003F07EA"/>
    <w:rsid w:val="0049015F"/>
    <w:rsid w:val="004B70C5"/>
    <w:rsid w:val="00505F47"/>
    <w:rsid w:val="00537301"/>
    <w:rsid w:val="0054281F"/>
    <w:rsid w:val="00585E44"/>
    <w:rsid w:val="00597902"/>
    <w:rsid w:val="005A377D"/>
    <w:rsid w:val="005B1297"/>
    <w:rsid w:val="005B57B4"/>
    <w:rsid w:val="00650477"/>
    <w:rsid w:val="006A3A69"/>
    <w:rsid w:val="006B1584"/>
    <w:rsid w:val="006F2019"/>
    <w:rsid w:val="00711A14"/>
    <w:rsid w:val="00721310"/>
    <w:rsid w:val="00724E45"/>
    <w:rsid w:val="00730F6F"/>
    <w:rsid w:val="007343D3"/>
    <w:rsid w:val="007A394C"/>
    <w:rsid w:val="007B7F2A"/>
    <w:rsid w:val="00832E6B"/>
    <w:rsid w:val="00865E26"/>
    <w:rsid w:val="008673AC"/>
    <w:rsid w:val="00895405"/>
    <w:rsid w:val="008C3235"/>
    <w:rsid w:val="008C32C4"/>
    <w:rsid w:val="008E60FD"/>
    <w:rsid w:val="009F52F3"/>
    <w:rsid w:val="00A73996"/>
    <w:rsid w:val="00A85647"/>
    <w:rsid w:val="00A8666B"/>
    <w:rsid w:val="00A915D1"/>
    <w:rsid w:val="00B2338D"/>
    <w:rsid w:val="00B533DD"/>
    <w:rsid w:val="00B7278F"/>
    <w:rsid w:val="00B94A8E"/>
    <w:rsid w:val="00BF2270"/>
    <w:rsid w:val="00D14227"/>
    <w:rsid w:val="00D633D2"/>
    <w:rsid w:val="00D77749"/>
    <w:rsid w:val="00D9655F"/>
    <w:rsid w:val="00DB60A9"/>
    <w:rsid w:val="00DB6DD4"/>
    <w:rsid w:val="00E00F76"/>
    <w:rsid w:val="00E76775"/>
    <w:rsid w:val="00F14653"/>
    <w:rsid w:val="00F269C3"/>
    <w:rsid w:val="00FB050B"/>
    <w:rsid w:val="00FD1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A0618"/>
  <w15:chartTrackingRefBased/>
  <w15:docId w15:val="{4432CBA6-3776-41E5-A081-17C948D6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4A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A8E"/>
    <w:pPr>
      <w:ind w:left="720"/>
      <w:contextualSpacing/>
    </w:pPr>
  </w:style>
  <w:style w:type="paragraph" w:styleId="FootnoteText">
    <w:name w:val="footnote text"/>
    <w:basedOn w:val="Normal"/>
    <w:link w:val="FootnoteTextChar"/>
    <w:uiPriority w:val="99"/>
    <w:semiHidden/>
    <w:unhideWhenUsed/>
    <w:rsid w:val="00B94A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A8E"/>
    <w:rPr>
      <w:sz w:val="20"/>
      <w:szCs w:val="20"/>
    </w:rPr>
  </w:style>
  <w:style w:type="character" w:styleId="FootnoteReference">
    <w:name w:val="footnote reference"/>
    <w:basedOn w:val="DefaultParagraphFont"/>
    <w:uiPriority w:val="99"/>
    <w:semiHidden/>
    <w:unhideWhenUsed/>
    <w:rsid w:val="00B94A8E"/>
    <w:rPr>
      <w:vertAlign w:val="superscript"/>
    </w:rPr>
  </w:style>
  <w:style w:type="character" w:styleId="Emphasis">
    <w:name w:val="Emphasis"/>
    <w:basedOn w:val="DefaultParagraphFont"/>
    <w:uiPriority w:val="20"/>
    <w:qFormat/>
    <w:rsid w:val="00A915D1"/>
    <w:rPr>
      <w:i/>
      <w:iCs/>
    </w:rPr>
  </w:style>
  <w:style w:type="paragraph" w:styleId="Header">
    <w:name w:val="header"/>
    <w:basedOn w:val="Normal"/>
    <w:link w:val="HeaderChar"/>
    <w:uiPriority w:val="99"/>
    <w:unhideWhenUsed/>
    <w:rsid w:val="00D14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227"/>
  </w:style>
  <w:style w:type="paragraph" w:styleId="Footer">
    <w:name w:val="footer"/>
    <w:basedOn w:val="Normal"/>
    <w:link w:val="FooterChar"/>
    <w:uiPriority w:val="99"/>
    <w:unhideWhenUsed/>
    <w:rsid w:val="00D14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709218">
      <w:bodyDiv w:val="1"/>
      <w:marLeft w:val="0"/>
      <w:marRight w:val="0"/>
      <w:marTop w:val="0"/>
      <w:marBottom w:val="0"/>
      <w:divBdr>
        <w:top w:val="none" w:sz="0" w:space="0" w:color="auto"/>
        <w:left w:val="none" w:sz="0" w:space="0" w:color="auto"/>
        <w:bottom w:val="none" w:sz="0" w:space="0" w:color="auto"/>
        <w:right w:val="none" w:sz="0" w:space="0" w:color="auto"/>
      </w:divBdr>
    </w:div>
    <w:div w:id="99248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1F3BD-82A1-4216-B1DE-77426779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dc:creator>
  <cp:keywords/>
  <dc:description/>
  <cp:lastModifiedBy>Danielle Alexander</cp:lastModifiedBy>
  <cp:revision>60</cp:revision>
  <dcterms:created xsi:type="dcterms:W3CDTF">2019-09-25T11:33:00Z</dcterms:created>
  <dcterms:modified xsi:type="dcterms:W3CDTF">2019-10-11T12:27:00Z</dcterms:modified>
</cp:coreProperties>
</file>