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7284198"/>
        <w:docPartObj>
          <w:docPartGallery w:val="Cover Pages"/>
          <w:docPartUnique/>
        </w:docPartObj>
      </w:sdtPr>
      <w:sdtEndPr>
        <w:rPr>
          <w:sz w:val="2"/>
        </w:rPr>
      </w:sdtEndPr>
      <w:sdtContent>
        <w:p w14:paraId="557C0D49" w14:textId="7F74AAD9" w:rsidR="00DF7385" w:rsidRDefault="00DB20AA">
          <w:r>
            <w:rPr>
              <w:noProof/>
            </w:rPr>
            <mc:AlternateContent>
              <mc:Choice Requires="wps">
                <w:drawing>
                  <wp:anchor distT="0" distB="0" distL="114300" distR="114300" simplePos="0" relativeHeight="251657216" behindDoc="1" locked="0" layoutInCell="1" allowOverlap="0" wp14:anchorId="0A561348" wp14:editId="61CC8E1C">
                    <wp:simplePos x="0" y="0"/>
                    <wp:positionH relativeFrom="page">
                      <wp:align>center</wp:align>
                    </wp:positionH>
                    <wp:positionV relativeFrom="page">
                      <wp:align>center</wp:align>
                    </wp:positionV>
                    <wp:extent cx="6858000" cy="914400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790"/>
                                </w:tblGrid>
                                <w:tr w:rsidR="00DF7385" w14:paraId="67FA1953" w14:textId="77777777">
                                  <w:trPr>
                                    <w:trHeight w:hRule="exact" w:val="9360"/>
                                  </w:trPr>
                                  <w:tc>
                                    <w:tcPr>
                                      <w:tcW w:w="9350" w:type="dxa"/>
                                    </w:tcPr>
                                    <w:p w14:paraId="0D649D7A" w14:textId="7C867727" w:rsidR="00DF7385" w:rsidRDefault="00350AB6">
                                      <w:r>
                                        <w:rPr>
                                          <w:noProof/>
                                        </w:rPr>
                                        <w:drawing>
                                          <wp:inline distT="0" distB="0" distL="0" distR="0" wp14:anchorId="4D960DE6" wp14:editId="4EF88734">
                                            <wp:extent cx="6810510" cy="56388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9"/>
                                                    <a:stretch>
                                                      <a:fillRect/>
                                                    </a:stretch>
                                                  </pic:blipFill>
                                                  <pic:spPr>
                                                    <a:xfrm>
                                                      <a:off x="0" y="0"/>
                                                      <a:ext cx="6810510" cy="5638800"/>
                                                    </a:xfrm>
                                                    <a:prstGeom prst="rect">
                                                      <a:avLst/>
                                                    </a:prstGeom>
                                                  </pic:spPr>
                                                </pic:pic>
                                              </a:graphicData>
                                            </a:graphic>
                                          </wp:inline>
                                        </w:drawing>
                                      </w:r>
                                    </w:p>
                                  </w:tc>
                                </w:tr>
                                <w:tr w:rsidR="00DF7385" w14:paraId="3DA08B25" w14:textId="77777777">
                                  <w:trPr>
                                    <w:trHeight w:hRule="exact" w:val="4320"/>
                                  </w:trPr>
                                  <w:tc>
                                    <w:tcPr>
                                      <w:tcW w:w="9350" w:type="dxa"/>
                                      <w:shd w:val="clear" w:color="auto" w:fill="44546A" w:themeFill="text2"/>
                                      <w:vAlign w:val="center"/>
                                    </w:tcPr>
                                    <w:p w14:paraId="00AA745A" w14:textId="7A459983" w:rsidR="00DF7385"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EF1E639146D4490966658BBC1828E96"/>
                                          </w:placeholder>
                                          <w:dataBinding w:prefixMappings="xmlns:ns0='http://purl.org/dc/elements/1.1/' xmlns:ns1='http://schemas.openxmlformats.org/package/2006/metadata/core-properties' " w:xpath="/ns1:coreProperties[1]/ns0:title[1]" w:storeItemID="{6C3C8BC8-F283-45AE-878A-BAB7291924A1}"/>
                                          <w:text/>
                                        </w:sdtPr>
                                        <w:sdtContent>
                                          <w:r w:rsidR="00EB6C90" w:rsidRPr="00EB6C90">
                                            <w:rPr>
                                              <w:rFonts w:asciiTheme="majorHAnsi" w:hAnsiTheme="majorHAnsi"/>
                                              <w:color w:val="FFFFFF" w:themeColor="background1"/>
                                              <w:sz w:val="96"/>
                                              <w:szCs w:val="96"/>
                                            </w:rPr>
                                            <w:t xml:space="preserve">Reducing </w:t>
                                          </w:r>
                                          <w:r w:rsidR="005124F7">
                                            <w:rPr>
                                              <w:rFonts w:asciiTheme="majorHAnsi" w:hAnsiTheme="majorHAnsi"/>
                                              <w:color w:val="FFFFFF" w:themeColor="background1"/>
                                              <w:sz w:val="96"/>
                                              <w:szCs w:val="96"/>
                                            </w:rPr>
                                            <w:t xml:space="preserve">net </w:t>
                                          </w:r>
                                          <w:r w:rsidR="00EB6C90" w:rsidRPr="00EB6C90">
                                            <w:rPr>
                                              <w:rFonts w:asciiTheme="majorHAnsi" w:hAnsiTheme="majorHAnsi"/>
                                              <w:color w:val="FFFFFF" w:themeColor="background1"/>
                                              <w:sz w:val="96"/>
                                              <w:szCs w:val="96"/>
                                            </w:rPr>
                                            <w:t>CO2</w:t>
                                          </w:r>
                                          <w:r w:rsidR="00EB6C90">
                                            <w:rPr>
                                              <w:rFonts w:asciiTheme="majorHAnsi" w:hAnsiTheme="majorHAnsi"/>
                                              <w:color w:val="FFFFFF" w:themeColor="background1"/>
                                              <w:sz w:val="96"/>
                                              <w:szCs w:val="96"/>
                                            </w:rPr>
                                            <w:t xml:space="preserve"> emissions in steelmaking using Biochar</w:t>
                                          </w:r>
                                        </w:sdtContent>
                                      </w:sdt>
                                    </w:p>
                                    <w:p w14:paraId="263E4317" w14:textId="4C975F2B" w:rsidR="00DF7385"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A9335657DAF49679A17106271C7812F"/>
                                          </w:placeholder>
                                          <w:dataBinding w:prefixMappings="xmlns:ns0='http://purl.org/dc/elements/1.1/' xmlns:ns1='http://schemas.openxmlformats.org/package/2006/metadata/core-properties' " w:xpath="/ns1:coreProperties[1]/ns0:subject[1]" w:storeItemID="{6C3C8BC8-F283-45AE-878A-BAB7291924A1}"/>
                                          <w:text/>
                                        </w:sdtPr>
                                        <w:sdtContent>
                                          <w:r w:rsidR="00DF7385">
                                            <w:rPr>
                                              <w:color w:val="FFFFFF" w:themeColor="background1"/>
                                              <w:sz w:val="32"/>
                                              <w:szCs w:val="32"/>
                                            </w:rPr>
                                            <w:t>Jamie Waters</w:t>
                                          </w:r>
                                        </w:sdtContent>
                                      </w:sdt>
                                    </w:p>
                                  </w:tc>
                                </w:tr>
                                <w:tr w:rsidR="00DF7385" w14:paraId="6DB2305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Pr>
                                      <w:tblGrid>
                                        <w:gridCol w:w="3596"/>
                                        <w:gridCol w:w="3597"/>
                                        <w:gridCol w:w="3597"/>
                                      </w:tblGrid>
                                      <w:tr w:rsidR="00DF7385" w14:paraId="6319E724" w14:textId="77777777">
                                        <w:trPr>
                                          <w:trHeight w:hRule="exact" w:val="720"/>
                                        </w:trPr>
                                        <w:tc>
                                          <w:tcPr>
                                            <w:tcW w:w="3590" w:type="dxa"/>
                                            <w:vAlign w:val="center"/>
                                          </w:tcPr>
                                          <w:p w14:paraId="5306DBDA" w14:textId="649DBD17" w:rsidR="00DF7385" w:rsidRDefault="00000000">
                                            <w:pPr>
                                              <w:pStyle w:val="NoSpacing"/>
                                              <w:ind w:left="720" w:right="144"/>
                                              <w:rPr>
                                                <w:color w:val="FFFFFF" w:themeColor="background1"/>
                                              </w:rPr>
                                            </w:pPr>
                                            <w:sdt>
                                              <w:sdtPr>
                                                <w:rPr>
                                                  <w:color w:val="FFFFFF" w:themeColor="background1"/>
                                                </w:rPr>
                                                <w:alias w:val="Author"/>
                                                <w:tag w:val=""/>
                                                <w:id w:val="942812742"/>
                                                <w:placeholder>
                                                  <w:docPart w:val="E199B85B042C479FBF10073968473063"/>
                                                </w:placeholder>
                                                <w:dataBinding w:prefixMappings="xmlns:ns0='http://purl.org/dc/elements/1.1/' xmlns:ns1='http://schemas.openxmlformats.org/package/2006/metadata/core-properties' " w:xpath="/ns1:coreProperties[1]/ns0:creator[1]" w:storeItemID="{6C3C8BC8-F283-45AE-878A-BAB7291924A1}"/>
                                                <w:text/>
                                              </w:sdtPr>
                                              <w:sdtContent>
                                                <w:r w:rsidR="00DF7385">
                                                  <w:rPr>
                                                    <w:color w:val="FFFFFF" w:themeColor="background1"/>
                                                  </w:rPr>
                                                  <w:t>Jamie Waters (</w:t>
                                                </w:r>
                                                <w:r w:rsidR="00C00570">
                                                  <w:rPr>
                                                    <w:color w:val="FFFFFF" w:themeColor="background1"/>
                                                  </w:rPr>
                                                  <w:t>1551425</w:t>
                                                </w:r>
                                                <w:r w:rsidR="00DF7385">
                                                  <w:rPr>
                                                    <w:color w:val="FFFFFF" w:themeColor="background1"/>
                                                  </w:rPr>
                                                  <w:t>)</w:t>
                                                </w:r>
                                              </w:sdtContent>
                                            </w:sdt>
                                          </w:p>
                                        </w:tc>
                                        <w:tc>
                                          <w:tcPr>
                                            <w:tcW w:w="3591" w:type="dxa"/>
                                            <w:vAlign w:val="center"/>
                                          </w:tcPr>
                                          <w:sdt>
                                            <w:sdtPr>
                                              <w:rPr>
                                                <w:color w:val="FFFFFF" w:themeColor="background1"/>
                                              </w:rPr>
                                              <w:alias w:val="Date"/>
                                              <w:tag w:val=""/>
                                              <w:id w:val="748164578"/>
                                              <w:placeholder>
                                                <w:docPart w:val="9B03B7CEC2FA45EB9EE495D67D815D18"/>
                                              </w:placeholder>
                                              <w:dataBinding w:prefixMappings="xmlns:ns0='http://schemas.microsoft.com/office/2006/coverPageProps' " w:xpath="/ns0:CoverPageProperties[1]/ns0:PublishDate[1]" w:storeItemID="{55AF091B-3C7A-41E3-B477-F2FDAA23CFDA}"/>
                                              <w:date w:fullDate="2022-07-29T00:00:00Z">
                                                <w:dateFormat w:val="M/d/yy"/>
                                                <w:lid w:val="en-US"/>
                                                <w:storeMappedDataAs w:val="dateTime"/>
                                                <w:calendar w:val="gregorian"/>
                                              </w:date>
                                            </w:sdtPr>
                                            <w:sdtContent>
                                              <w:p w14:paraId="492D0E6A" w14:textId="160FA411" w:rsidR="00DF7385" w:rsidRDefault="00C00570">
                                                <w:pPr>
                                                  <w:pStyle w:val="NoSpacing"/>
                                                  <w:ind w:left="144" w:right="144"/>
                                                  <w:jc w:val="center"/>
                                                  <w:rPr>
                                                    <w:color w:val="FFFFFF" w:themeColor="background1"/>
                                                  </w:rPr>
                                                </w:pPr>
                                                <w:r>
                                                  <w:rPr>
                                                    <w:color w:val="FFFFFF" w:themeColor="background1"/>
                                                  </w:rPr>
                                                  <w:t>7/29/22</w:t>
                                                </w:r>
                                              </w:p>
                                            </w:sdtContent>
                                          </w:sdt>
                                        </w:tc>
                                        <w:sdt>
                                          <w:sdtPr>
                                            <w:rPr>
                                              <w:color w:val="FFFFFF" w:themeColor="background1"/>
                                            </w:rPr>
                                            <w:alias w:val="Course title"/>
                                            <w:tag w:val=""/>
                                            <w:id w:val="-15923909"/>
                                            <w:placeholder>
                                              <w:docPart w:val="784B233B45F647E5B84CA2948984A770"/>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08ED8A4" w14:textId="718E6758" w:rsidR="00DF7385" w:rsidRDefault="00C00570">
                                                <w:pPr>
                                                  <w:pStyle w:val="NoSpacing"/>
                                                  <w:ind w:left="144" w:right="720"/>
                                                  <w:jc w:val="right"/>
                                                  <w:rPr>
                                                    <w:color w:val="FFFFFF" w:themeColor="background1"/>
                                                  </w:rPr>
                                                </w:pPr>
                                                <w:r>
                                                  <w:rPr>
                                                    <w:color w:val="FFFFFF" w:themeColor="background1"/>
                                                  </w:rPr>
                                                  <w:t>Lean &amp; Agile Operations</w:t>
                                                </w:r>
                                              </w:p>
                                            </w:tc>
                                          </w:sdtContent>
                                        </w:sdt>
                                      </w:tr>
                                    </w:tbl>
                                    <w:p w14:paraId="73C52891" w14:textId="77777777" w:rsidR="00DF7385" w:rsidRDefault="00DF7385"/>
                                  </w:tc>
                                </w:tr>
                              </w:tbl>
                              <w:p w14:paraId="67F6835A" w14:textId="77777777" w:rsidR="00DF7385" w:rsidRDefault="00DF738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561348" id="_x0000_t202" coordsize="21600,21600" o:spt="202" path="m,l,21600r21600,l21600,xe">
                    <v:stroke joinstyle="miter"/>
                    <v:path gradientshapeok="t" o:connecttype="rect"/>
                  </v:shapetype>
                  <v:shape id="Text Box 47" o:spid="_x0000_s1026" type="#_x0000_t202" style="position:absolute;margin-left:0;margin-top:0;width:540pt;height:10in;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790"/>
                          </w:tblGrid>
                          <w:tr w:rsidR="00DF7385" w14:paraId="67FA1953" w14:textId="77777777">
                            <w:trPr>
                              <w:trHeight w:hRule="exact" w:val="9360"/>
                            </w:trPr>
                            <w:tc>
                              <w:tcPr>
                                <w:tcW w:w="9350" w:type="dxa"/>
                              </w:tcPr>
                              <w:p w14:paraId="0D649D7A" w14:textId="7C867727" w:rsidR="00DF7385" w:rsidRDefault="00350AB6">
                                <w:r>
                                  <w:rPr>
                                    <w:noProof/>
                                  </w:rPr>
                                  <w:drawing>
                                    <wp:inline distT="0" distB="0" distL="0" distR="0" wp14:anchorId="4D960DE6" wp14:editId="4EF88734">
                                      <wp:extent cx="6810510" cy="56388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9"/>
                                              <a:stretch>
                                                <a:fillRect/>
                                              </a:stretch>
                                            </pic:blipFill>
                                            <pic:spPr>
                                              <a:xfrm>
                                                <a:off x="0" y="0"/>
                                                <a:ext cx="6810510" cy="5638800"/>
                                              </a:xfrm>
                                              <a:prstGeom prst="rect">
                                                <a:avLst/>
                                              </a:prstGeom>
                                            </pic:spPr>
                                          </pic:pic>
                                        </a:graphicData>
                                      </a:graphic>
                                    </wp:inline>
                                  </w:drawing>
                                </w:r>
                              </w:p>
                            </w:tc>
                          </w:tr>
                          <w:tr w:rsidR="00DF7385" w14:paraId="3DA08B25" w14:textId="77777777">
                            <w:trPr>
                              <w:trHeight w:hRule="exact" w:val="4320"/>
                            </w:trPr>
                            <w:tc>
                              <w:tcPr>
                                <w:tcW w:w="9350" w:type="dxa"/>
                                <w:shd w:val="clear" w:color="auto" w:fill="44546A" w:themeFill="text2"/>
                                <w:vAlign w:val="center"/>
                              </w:tcPr>
                              <w:p w14:paraId="00AA745A" w14:textId="7A459983" w:rsidR="00DF7385"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EF1E639146D4490966658BBC1828E96"/>
                                    </w:placeholder>
                                    <w:dataBinding w:prefixMappings="xmlns:ns0='http://purl.org/dc/elements/1.1/' xmlns:ns1='http://schemas.openxmlformats.org/package/2006/metadata/core-properties' " w:xpath="/ns1:coreProperties[1]/ns0:title[1]" w:storeItemID="{6C3C8BC8-F283-45AE-878A-BAB7291924A1}"/>
                                    <w:text/>
                                  </w:sdtPr>
                                  <w:sdtContent>
                                    <w:r w:rsidR="00EB6C90" w:rsidRPr="00EB6C90">
                                      <w:rPr>
                                        <w:rFonts w:asciiTheme="majorHAnsi" w:hAnsiTheme="majorHAnsi"/>
                                        <w:color w:val="FFFFFF" w:themeColor="background1"/>
                                        <w:sz w:val="96"/>
                                        <w:szCs w:val="96"/>
                                      </w:rPr>
                                      <w:t xml:space="preserve">Reducing </w:t>
                                    </w:r>
                                    <w:r w:rsidR="005124F7">
                                      <w:rPr>
                                        <w:rFonts w:asciiTheme="majorHAnsi" w:hAnsiTheme="majorHAnsi"/>
                                        <w:color w:val="FFFFFF" w:themeColor="background1"/>
                                        <w:sz w:val="96"/>
                                        <w:szCs w:val="96"/>
                                      </w:rPr>
                                      <w:t xml:space="preserve">net </w:t>
                                    </w:r>
                                    <w:r w:rsidR="00EB6C90" w:rsidRPr="00EB6C90">
                                      <w:rPr>
                                        <w:rFonts w:asciiTheme="majorHAnsi" w:hAnsiTheme="majorHAnsi"/>
                                        <w:color w:val="FFFFFF" w:themeColor="background1"/>
                                        <w:sz w:val="96"/>
                                        <w:szCs w:val="96"/>
                                      </w:rPr>
                                      <w:t>CO2</w:t>
                                    </w:r>
                                    <w:r w:rsidR="00EB6C90">
                                      <w:rPr>
                                        <w:rFonts w:asciiTheme="majorHAnsi" w:hAnsiTheme="majorHAnsi"/>
                                        <w:color w:val="FFFFFF" w:themeColor="background1"/>
                                        <w:sz w:val="96"/>
                                        <w:szCs w:val="96"/>
                                      </w:rPr>
                                      <w:t xml:space="preserve"> emissions in steelmaking using Biochar</w:t>
                                    </w:r>
                                  </w:sdtContent>
                                </w:sdt>
                              </w:p>
                              <w:p w14:paraId="263E4317" w14:textId="4C975F2B" w:rsidR="00DF7385"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A9335657DAF49679A17106271C7812F"/>
                                    </w:placeholder>
                                    <w:dataBinding w:prefixMappings="xmlns:ns0='http://purl.org/dc/elements/1.1/' xmlns:ns1='http://schemas.openxmlformats.org/package/2006/metadata/core-properties' " w:xpath="/ns1:coreProperties[1]/ns0:subject[1]" w:storeItemID="{6C3C8BC8-F283-45AE-878A-BAB7291924A1}"/>
                                    <w:text/>
                                  </w:sdtPr>
                                  <w:sdtContent>
                                    <w:r w:rsidR="00DF7385">
                                      <w:rPr>
                                        <w:color w:val="FFFFFF" w:themeColor="background1"/>
                                        <w:sz w:val="32"/>
                                        <w:szCs w:val="32"/>
                                      </w:rPr>
                                      <w:t>Jamie Waters</w:t>
                                    </w:r>
                                  </w:sdtContent>
                                </w:sdt>
                              </w:p>
                            </w:tc>
                          </w:tr>
                          <w:tr w:rsidR="00DF7385" w14:paraId="6DB2305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Pr>
                                <w:tblGrid>
                                  <w:gridCol w:w="3596"/>
                                  <w:gridCol w:w="3597"/>
                                  <w:gridCol w:w="3597"/>
                                </w:tblGrid>
                                <w:tr w:rsidR="00DF7385" w14:paraId="6319E724" w14:textId="77777777">
                                  <w:trPr>
                                    <w:trHeight w:hRule="exact" w:val="720"/>
                                  </w:trPr>
                                  <w:tc>
                                    <w:tcPr>
                                      <w:tcW w:w="3590" w:type="dxa"/>
                                      <w:vAlign w:val="center"/>
                                    </w:tcPr>
                                    <w:p w14:paraId="5306DBDA" w14:textId="649DBD17" w:rsidR="00DF7385" w:rsidRDefault="00000000">
                                      <w:pPr>
                                        <w:pStyle w:val="NoSpacing"/>
                                        <w:ind w:left="720" w:right="144"/>
                                        <w:rPr>
                                          <w:color w:val="FFFFFF" w:themeColor="background1"/>
                                        </w:rPr>
                                      </w:pPr>
                                      <w:sdt>
                                        <w:sdtPr>
                                          <w:rPr>
                                            <w:color w:val="FFFFFF" w:themeColor="background1"/>
                                          </w:rPr>
                                          <w:alias w:val="Author"/>
                                          <w:tag w:val=""/>
                                          <w:id w:val="942812742"/>
                                          <w:placeholder>
                                            <w:docPart w:val="E199B85B042C479FBF10073968473063"/>
                                          </w:placeholder>
                                          <w:dataBinding w:prefixMappings="xmlns:ns0='http://purl.org/dc/elements/1.1/' xmlns:ns1='http://schemas.openxmlformats.org/package/2006/metadata/core-properties' " w:xpath="/ns1:coreProperties[1]/ns0:creator[1]" w:storeItemID="{6C3C8BC8-F283-45AE-878A-BAB7291924A1}"/>
                                          <w:text/>
                                        </w:sdtPr>
                                        <w:sdtContent>
                                          <w:r w:rsidR="00DF7385">
                                            <w:rPr>
                                              <w:color w:val="FFFFFF" w:themeColor="background1"/>
                                            </w:rPr>
                                            <w:t>Jamie Waters (</w:t>
                                          </w:r>
                                          <w:r w:rsidR="00C00570">
                                            <w:rPr>
                                              <w:color w:val="FFFFFF" w:themeColor="background1"/>
                                            </w:rPr>
                                            <w:t>1551425</w:t>
                                          </w:r>
                                          <w:r w:rsidR="00DF7385">
                                            <w:rPr>
                                              <w:color w:val="FFFFFF" w:themeColor="background1"/>
                                            </w:rPr>
                                            <w:t>)</w:t>
                                          </w:r>
                                        </w:sdtContent>
                                      </w:sdt>
                                    </w:p>
                                  </w:tc>
                                  <w:tc>
                                    <w:tcPr>
                                      <w:tcW w:w="3591" w:type="dxa"/>
                                      <w:vAlign w:val="center"/>
                                    </w:tcPr>
                                    <w:sdt>
                                      <w:sdtPr>
                                        <w:rPr>
                                          <w:color w:val="FFFFFF" w:themeColor="background1"/>
                                        </w:rPr>
                                        <w:alias w:val="Date"/>
                                        <w:tag w:val=""/>
                                        <w:id w:val="748164578"/>
                                        <w:placeholder>
                                          <w:docPart w:val="9B03B7CEC2FA45EB9EE495D67D815D18"/>
                                        </w:placeholder>
                                        <w:dataBinding w:prefixMappings="xmlns:ns0='http://schemas.microsoft.com/office/2006/coverPageProps' " w:xpath="/ns0:CoverPageProperties[1]/ns0:PublishDate[1]" w:storeItemID="{55AF091B-3C7A-41E3-B477-F2FDAA23CFDA}"/>
                                        <w:date w:fullDate="2022-07-29T00:00:00Z">
                                          <w:dateFormat w:val="M/d/yy"/>
                                          <w:lid w:val="en-US"/>
                                          <w:storeMappedDataAs w:val="dateTime"/>
                                          <w:calendar w:val="gregorian"/>
                                        </w:date>
                                      </w:sdtPr>
                                      <w:sdtContent>
                                        <w:p w14:paraId="492D0E6A" w14:textId="160FA411" w:rsidR="00DF7385" w:rsidRDefault="00C00570">
                                          <w:pPr>
                                            <w:pStyle w:val="NoSpacing"/>
                                            <w:ind w:left="144" w:right="144"/>
                                            <w:jc w:val="center"/>
                                            <w:rPr>
                                              <w:color w:val="FFFFFF" w:themeColor="background1"/>
                                            </w:rPr>
                                          </w:pPr>
                                          <w:r>
                                            <w:rPr>
                                              <w:color w:val="FFFFFF" w:themeColor="background1"/>
                                            </w:rPr>
                                            <w:t>7/29/22</w:t>
                                          </w:r>
                                        </w:p>
                                      </w:sdtContent>
                                    </w:sdt>
                                  </w:tc>
                                  <w:sdt>
                                    <w:sdtPr>
                                      <w:rPr>
                                        <w:color w:val="FFFFFF" w:themeColor="background1"/>
                                      </w:rPr>
                                      <w:alias w:val="Course title"/>
                                      <w:tag w:val=""/>
                                      <w:id w:val="-15923909"/>
                                      <w:placeholder>
                                        <w:docPart w:val="784B233B45F647E5B84CA2948984A770"/>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08ED8A4" w14:textId="718E6758" w:rsidR="00DF7385" w:rsidRDefault="00C00570">
                                          <w:pPr>
                                            <w:pStyle w:val="NoSpacing"/>
                                            <w:ind w:left="144" w:right="720"/>
                                            <w:jc w:val="right"/>
                                            <w:rPr>
                                              <w:color w:val="FFFFFF" w:themeColor="background1"/>
                                            </w:rPr>
                                          </w:pPr>
                                          <w:r>
                                            <w:rPr>
                                              <w:color w:val="FFFFFF" w:themeColor="background1"/>
                                            </w:rPr>
                                            <w:t>Lean &amp; Agile Operations</w:t>
                                          </w:r>
                                        </w:p>
                                      </w:tc>
                                    </w:sdtContent>
                                  </w:sdt>
                                </w:tr>
                              </w:tbl>
                              <w:p w14:paraId="73C52891" w14:textId="77777777" w:rsidR="00DF7385" w:rsidRDefault="00DF7385"/>
                            </w:tc>
                          </w:tr>
                        </w:tbl>
                        <w:p w14:paraId="67F6835A" w14:textId="77777777" w:rsidR="00DF7385" w:rsidRDefault="00DF7385"/>
                      </w:txbxContent>
                    </v:textbox>
                    <w10:wrap anchorx="page" anchory="page"/>
                  </v:shape>
                </w:pict>
              </mc:Fallback>
            </mc:AlternateContent>
          </w:r>
        </w:p>
        <w:p w14:paraId="45028993" w14:textId="24D9D89C" w:rsidR="00DF7385" w:rsidRDefault="00DF7385">
          <w:pPr>
            <w:rPr>
              <w:sz w:val="2"/>
            </w:rPr>
          </w:pPr>
          <w:r>
            <w:rPr>
              <w:sz w:val="2"/>
            </w:rPr>
            <w:br w:type="page"/>
          </w:r>
        </w:p>
      </w:sdtContent>
    </w:sdt>
    <w:p w14:paraId="42727CAC" w14:textId="241513C4" w:rsidR="00EC325B" w:rsidRDefault="00DF7385" w:rsidP="00350AB6">
      <w:pPr>
        <w:pStyle w:val="Heading1"/>
        <w:spacing w:line="360" w:lineRule="auto"/>
        <w:jc w:val="both"/>
      </w:pPr>
      <w:bookmarkStart w:id="0" w:name="_Toc127911422"/>
      <w:r>
        <w:lastRenderedPageBreak/>
        <w:t>Abstract</w:t>
      </w:r>
      <w:bookmarkEnd w:id="0"/>
    </w:p>
    <w:p w14:paraId="42727CB0" w14:textId="77777777" w:rsidR="00196715" w:rsidRPr="00E44E2C" w:rsidRDefault="00196715" w:rsidP="00350AB6">
      <w:pPr>
        <w:spacing w:line="360" w:lineRule="auto"/>
        <w:jc w:val="both"/>
        <w:rPr>
          <w:sz w:val="24"/>
          <w:szCs w:val="24"/>
        </w:rPr>
      </w:pPr>
    </w:p>
    <w:p w14:paraId="20113419" w14:textId="77777777" w:rsidR="00DF7385" w:rsidRDefault="00DF7385" w:rsidP="00350AB6">
      <w:pPr>
        <w:spacing w:line="360" w:lineRule="auto"/>
        <w:jc w:val="both"/>
        <w:rPr>
          <w:sz w:val="28"/>
          <w:szCs w:val="28"/>
        </w:rPr>
      </w:pPr>
    </w:p>
    <w:p w14:paraId="10AADE12" w14:textId="77777777" w:rsidR="00DF7385" w:rsidRDefault="00DF7385" w:rsidP="00350AB6">
      <w:pPr>
        <w:spacing w:line="360" w:lineRule="auto"/>
        <w:jc w:val="both"/>
        <w:rPr>
          <w:sz w:val="28"/>
          <w:szCs w:val="28"/>
        </w:rPr>
      </w:pPr>
    </w:p>
    <w:p w14:paraId="159015DF" w14:textId="3EC9852C" w:rsidR="00DF7385" w:rsidRDefault="00DF7385" w:rsidP="00350AB6">
      <w:pPr>
        <w:spacing w:line="360" w:lineRule="auto"/>
        <w:jc w:val="both"/>
        <w:rPr>
          <w:sz w:val="28"/>
          <w:szCs w:val="28"/>
        </w:rPr>
      </w:pPr>
    </w:p>
    <w:p w14:paraId="4D4EE090" w14:textId="77777777" w:rsidR="00DF7385" w:rsidRDefault="00DF7385" w:rsidP="00350AB6">
      <w:pPr>
        <w:spacing w:line="360" w:lineRule="auto"/>
        <w:jc w:val="both"/>
        <w:rPr>
          <w:sz w:val="28"/>
          <w:szCs w:val="28"/>
        </w:rPr>
      </w:pPr>
    </w:p>
    <w:p w14:paraId="21C63960" w14:textId="77777777" w:rsidR="00DF7385" w:rsidRDefault="00DF7385" w:rsidP="00350AB6">
      <w:pPr>
        <w:spacing w:line="360" w:lineRule="auto"/>
        <w:jc w:val="both"/>
        <w:rPr>
          <w:sz w:val="28"/>
          <w:szCs w:val="28"/>
        </w:rPr>
      </w:pPr>
    </w:p>
    <w:p w14:paraId="60796480" w14:textId="77777777" w:rsidR="00DF7385" w:rsidRDefault="00DF7385" w:rsidP="00350AB6">
      <w:pPr>
        <w:spacing w:line="360" w:lineRule="auto"/>
        <w:jc w:val="both"/>
        <w:rPr>
          <w:sz w:val="28"/>
          <w:szCs w:val="28"/>
        </w:rPr>
      </w:pPr>
    </w:p>
    <w:p w14:paraId="314F846F" w14:textId="77777777" w:rsidR="00DF7385" w:rsidRDefault="00DF7385" w:rsidP="00350AB6">
      <w:pPr>
        <w:spacing w:line="360" w:lineRule="auto"/>
        <w:jc w:val="both"/>
        <w:rPr>
          <w:sz w:val="28"/>
          <w:szCs w:val="28"/>
        </w:rPr>
      </w:pPr>
    </w:p>
    <w:p w14:paraId="3AEBE5C3" w14:textId="77777777" w:rsidR="00DF7385" w:rsidRDefault="00DF7385" w:rsidP="00350AB6">
      <w:pPr>
        <w:spacing w:line="360" w:lineRule="auto"/>
        <w:jc w:val="both"/>
        <w:rPr>
          <w:sz w:val="28"/>
          <w:szCs w:val="28"/>
        </w:rPr>
      </w:pPr>
    </w:p>
    <w:p w14:paraId="7C2A157C" w14:textId="4089D342" w:rsidR="00DF7385" w:rsidRDefault="00DF7385" w:rsidP="00350AB6">
      <w:pPr>
        <w:spacing w:line="360" w:lineRule="auto"/>
        <w:jc w:val="both"/>
        <w:rPr>
          <w:sz w:val="28"/>
          <w:szCs w:val="28"/>
        </w:rPr>
      </w:pPr>
    </w:p>
    <w:p w14:paraId="60B475ED" w14:textId="77777777" w:rsidR="00DF7385" w:rsidRDefault="00DF7385" w:rsidP="00350AB6">
      <w:pPr>
        <w:spacing w:line="360" w:lineRule="auto"/>
        <w:jc w:val="both"/>
        <w:rPr>
          <w:sz w:val="28"/>
          <w:szCs w:val="28"/>
        </w:rPr>
      </w:pPr>
    </w:p>
    <w:p w14:paraId="1E428F56" w14:textId="77777777" w:rsidR="004B7326" w:rsidRDefault="004B7326" w:rsidP="00350AB6">
      <w:pPr>
        <w:spacing w:line="360" w:lineRule="auto"/>
        <w:jc w:val="both"/>
        <w:rPr>
          <w:sz w:val="28"/>
          <w:szCs w:val="28"/>
        </w:rPr>
      </w:pPr>
    </w:p>
    <w:p w14:paraId="5A97FAF5" w14:textId="77777777" w:rsidR="004B7326" w:rsidRDefault="004B7326" w:rsidP="00350AB6">
      <w:pPr>
        <w:spacing w:line="360" w:lineRule="auto"/>
        <w:jc w:val="both"/>
        <w:rPr>
          <w:sz w:val="28"/>
          <w:szCs w:val="28"/>
        </w:rPr>
      </w:pPr>
    </w:p>
    <w:p w14:paraId="344B34EF" w14:textId="77777777" w:rsidR="004B7326" w:rsidRDefault="004B7326" w:rsidP="00350AB6">
      <w:pPr>
        <w:spacing w:line="360" w:lineRule="auto"/>
        <w:jc w:val="both"/>
        <w:rPr>
          <w:sz w:val="28"/>
          <w:szCs w:val="28"/>
        </w:rPr>
      </w:pPr>
    </w:p>
    <w:p w14:paraId="11E24B13" w14:textId="77777777" w:rsidR="004B7326" w:rsidRDefault="004B7326" w:rsidP="00350AB6">
      <w:pPr>
        <w:spacing w:line="360" w:lineRule="auto"/>
        <w:jc w:val="both"/>
        <w:rPr>
          <w:sz w:val="28"/>
          <w:szCs w:val="28"/>
        </w:rPr>
      </w:pPr>
    </w:p>
    <w:p w14:paraId="7587D579" w14:textId="443A7689" w:rsidR="00DF7385" w:rsidRDefault="00CA3BEC" w:rsidP="00350AB6">
      <w:pPr>
        <w:spacing w:line="360" w:lineRule="auto"/>
        <w:jc w:val="both"/>
        <w:rPr>
          <w:noProof/>
        </w:rPr>
      </w:pPr>
      <w:r>
        <w:rPr>
          <w:noProof/>
        </w:rPr>
        <w:t xml:space="preserve">               </w:t>
      </w:r>
    </w:p>
    <w:p w14:paraId="6C3F0BCD" w14:textId="77777777" w:rsidR="00E44E2C" w:rsidRDefault="00E44E2C" w:rsidP="00350AB6">
      <w:pPr>
        <w:spacing w:line="360" w:lineRule="auto"/>
        <w:jc w:val="both"/>
        <w:rPr>
          <w:noProof/>
        </w:rPr>
      </w:pPr>
    </w:p>
    <w:p w14:paraId="33031019" w14:textId="77777777" w:rsidR="00E44E2C" w:rsidRDefault="00E44E2C" w:rsidP="00350AB6">
      <w:pPr>
        <w:spacing w:line="360" w:lineRule="auto"/>
        <w:jc w:val="both"/>
        <w:rPr>
          <w:noProof/>
        </w:rPr>
      </w:pPr>
    </w:p>
    <w:p w14:paraId="664269D0" w14:textId="77777777" w:rsidR="00E44E2C" w:rsidRDefault="00E44E2C" w:rsidP="00350AB6">
      <w:pPr>
        <w:spacing w:line="360" w:lineRule="auto"/>
        <w:jc w:val="both"/>
        <w:rPr>
          <w:sz w:val="28"/>
          <w:szCs w:val="28"/>
        </w:rPr>
      </w:pPr>
    </w:p>
    <w:p w14:paraId="4A87F4BC" w14:textId="77777777" w:rsidR="00001558" w:rsidRDefault="00001558" w:rsidP="00350AB6">
      <w:pPr>
        <w:pStyle w:val="Heading1"/>
        <w:spacing w:line="360" w:lineRule="auto"/>
        <w:jc w:val="both"/>
      </w:pPr>
      <w:bookmarkStart w:id="1" w:name="_Toc127911423"/>
      <w:r>
        <w:lastRenderedPageBreak/>
        <w:t>Declaration</w:t>
      </w:r>
      <w:bookmarkEnd w:id="1"/>
      <w:r>
        <w:t xml:space="preserve"> </w:t>
      </w:r>
    </w:p>
    <w:p w14:paraId="4F65DE39" w14:textId="77777777" w:rsidR="003B72AF" w:rsidRDefault="003B72AF" w:rsidP="003B72AF">
      <w:pPr>
        <w:spacing w:line="360" w:lineRule="auto"/>
        <w:jc w:val="both"/>
      </w:pPr>
      <w:r>
        <w:t>This thesis is the result of the author’s personal research and conducted work. It has been composed by the author with all relevant research cited and has not been previously submitted for examination for the award of an honour’s degree. Confirmation of work:</w:t>
      </w:r>
    </w:p>
    <w:p w14:paraId="1E0BCA5E" w14:textId="6F054BB3" w:rsidR="003B72AF" w:rsidRDefault="003B72AF" w:rsidP="003B72AF">
      <w:pPr>
        <w:spacing w:line="360" w:lineRule="auto"/>
        <w:jc w:val="both"/>
      </w:pPr>
      <w:r>
        <w:t xml:space="preserve"> Signed:</w:t>
      </w:r>
    </w:p>
    <w:p w14:paraId="02B3D061" w14:textId="4E1BDD76" w:rsidR="00001558" w:rsidRDefault="003B72AF" w:rsidP="003B72AF">
      <w:pPr>
        <w:spacing w:line="360" w:lineRule="auto"/>
        <w:jc w:val="both"/>
      </w:pPr>
      <w:r>
        <w:t xml:space="preserve"> Date: </w:t>
      </w:r>
    </w:p>
    <w:p w14:paraId="0D2F4B9E" w14:textId="77777777" w:rsidR="00001558" w:rsidRDefault="00001558" w:rsidP="00350AB6">
      <w:pPr>
        <w:pStyle w:val="Heading1"/>
        <w:spacing w:line="360" w:lineRule="auto"/>
        <w:jc w:val="both"/>
      </w:pPr>
    </w:p>
    <w:p w14:paraId="60B2FA7D" w14:textId="58B44355" w:rsidR="00001558" w:rsidRDefault="00001558" w:rsidP="00350AB6">
      <w:pPr>
        <w:pStyle w:val="Heading1"/>
        <w:spacing w:line="360" w:lineRule="auto"/>
        <w:jc w:val="both"/>
      </w:pPr>
    </w:p>
    <w:p w14:paraId="11980AD0" w14:textId="10E39652" w:rsidR="003B72AF" w:rsidRDefault="003B72AF" w:rsidP="003B72AF"/>
    <w:p w14:paraId="060A8994" w14:textId="63AA9AA8" w:rsidR="003B72AF" w:rsidRDefault="003B72AF" w:rsidP="003B72AF"/>
    <w:p w14:paraId="22FBFCB2" w14:textId="1B884A4D" w:rsidR="003B72AF" w:rsidRDefault="003B72AF" w:rsidP="003B72AF"/>
    <w:p w14:paraId="56971D93" w14:textId="1507DBC8" w:rsidR="003B72AF" w:rsidRDefault="003B72AF" w:rsidP="003B72AF"/>
    <w:p w14:paraId="6987385C" w14:textId="67025BC3" w:rsidR="003B72AF" w:rsidRDefault="003B72AF" w:rsidP="003B72AF"/>
    <w:p w14:paraId="608722CD" w14:textId="6703870A" w:rsidR="003B72AF" w:rsidRDefault="003B72AF" w:rsidP="003B72AF"/>
    <w:p w14:paraId="0D606E4A" w14:textId="1355C487" w:rsidR="003B72AF" w:rsidRDefault="003B72AF" w:rsidP="003B72AF"/>
    <w:p w14:paraId="5C6139D2" w14:textId="385F3F42" w:rsidR="003B72AF" w:rsidRDefault="003B72AF" w:rsidP="003B72AF"/>
    <w:p w14:paraId="390AA40A" w14:textId="271A2067" w:rsidR="003B72AF" w:rsidRDefault="003B72AF" w:rsidP="003B72AF"/>
    <w:p w14:paraId="3059DD32" w14:textId="4C91E93F" w:rsidR="003B72AF" w:rsidRDefault="003B72AF" w:rsidP="003B72AF"/>
    <w:p w14:paraId="14ADF02E" w14:textId="02F41B87" w:rsidR="003B72AF" w:rsidRDefault="003B72AF" w:rsidP="003B72AF"/>
    <w:p w14:paraId="69D0C7A2" w14:textId="60921900" w:rsidR="003B72AF" w:rsidRDefault="004B7326" w:rsidP="003B72AF">
      <w:r>
        <w:rPr>
          <w:noProof/>
        </w:rPr>
        <w:drawing>
          <wp:inline distT="0" distB="0" distL="0" distR="0" wp14:anchorId="260210AC" wp14:editId="38466310">
            <wp:extent cx="2800350" cy="1704975"/>
            <wp:effectExtent l="0" t="0" r="0" b="9525"/>
            <wp:docPr id="6"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1704975"/>
                    </a:xfrm>
                    <a:prstGeom prst="rect">
                      <a:avLst/>
                    </a:prstGeom>
                    <a:noFill/>
                    <a:ln>
                      <a:noFill/>
                    </a:ln>
                  </pic:spPr>
                </pic:pic>
              </a:graphicData>
            </a:graphic>
          </wp:inline>
        </w:drawing>
      </w:r>
      <w:r>
        <w:rPr>
          <w:noProof/>
        </w:rPr>
        <w:t xml:space="preserve">                     </w:t>
      </w:r>
      <w:r>
        <w:rPr>
          <w:noProof/>
        </w:rPr>
        <w:drawing>
          <wp:inline distT="0" distB="0" distL="0" distR="0" wp14:anchorId="48700DC7" wp14:editId="0DCD7758">
            <wp:extent cx="2266950" cy="1685925"/>
            <wp:effectExtent l="0" t="0" r="0" b="9525"/>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6950" cy="1685925"/>
                    </a:xfrm>
                    <a:prstGeom prst="rect">
                      <a:avLst/>
                    </a:prstGeom>
                    <a:noFill/>
                    <a:ln>
                      <a:noFill/>
                    </a:ln>
                  </pic:spPr>
                </pic:pic>
              </a:graphicData>
            </a:graphic>
          </wp:inline>
        </w:drawing>
      </w:r>
    </w:p>
    <w:p w14:paraId="28621A88" w14:textId="5FD5F3DC" w:rsidR="003B72AF" w:rsidRDefault="003B72AF" w:rsidP="003B72AF"/>
    <w:p w14:paraId="2DF9171D" w14:textId="47F8855B" w:rsidR="004B7326" w:rsidRDefault="004B7326" w:rsidP="003B72AF"/>
    <w:p w14:paraId="451CB6B7" w14:textId="77777777" w:rsidR="003B72AF" w:rsidRPr="003B72AF" w:rsidRDefault="003B72AF" w:rsidP="003B72AF"/>
    <w:p w14:paraId="42727CB1" w14:textId="012C4FDA" w:rsidR="00196715" w:rsidRDefault="00001558" w:rsidP="00350AB6">
      <w:pPr>
        <w:pStyle w:val="Heading1"/>
        <w:spacing w:line="360" w:lineRule="auto"/>
        <w:jc w:val="both"/>
      </w:pPr>
      <w:bookmarkStart w:id="2" w:name="_Toc127911424"/>
      <w:r>
        <w:lastRenderedPageBreak/>
        <w:t>Acknowledgements</w:t>
      </w:r>
      <w:bookmarkEnd w:id="2"/>
      <w:r>
        <w:t xml:space="preserve"> </w:t>
      </w:r>
      <w:r w:rsidR="00196715">
        <w:br w:type="page"/>
      </w:r>
    </w:p>
    <w:sdt>
      <w:sdtPr>
        <w:rPr>
          <w:rFonts w:asciiTheme="minorHAnsi" w:eastAsiaTheme="minorHAnsi" w:hAnsiTheme="minorHAnsi" w:cstheme="minorBidi"/>
          <w:color w:val="auto"/>
          <w:sz w:val="22"/>
          <w:szCs w:val="22"/>
          <w:lang w:val="en-GB"/>
        </w:rPr>
        <w:id w:val="-1919091210"/>
        <w:docPartObj>
          <w:docPartGallery w:val="Table of Contents"/>
          <w:docPartUnique/>
        </w:docPartObj>
      </w:sdtPr>
      <w:sdtEndPr>
        <w:rPr>
          <w:b/>
          <w:bCs/>
          <w:noProof/>
        </w:rPr>
      </w:sdtEndPr>
      <w:sdtContent>
        <w:p w14:paraId="42727CB2" w14:textId="07AC24C1" w:rsidR="00196715" w:rsidRPr="00DF7385" w:rsidRDefault="00196715" w:rsidP="00350AB6">
          <w:pPr>
            <w:pStyle w:val="TOCHeading"/>
            <w:spacing w:line="360" w:lineRule="auto"/>
            <w:jc w:val="both"/>
            <w:rPr>
              <w:rFonts w:asciiTheme="minorHAnsi" w:eastAsiaTheme="minorHAnsi" w:hAnsiTheme="minorHAnsi" w:cstheme="minorBidi"/>
              <w:color w:val="auto"/>
              <w:sz w:val="22"/>
              <w:szCs w:val="22"/>
              <w:lang w:val="en-GB"/>
            </w:rPr>
          </w:pPr>
          <w:r>
            <w:t>Table of Contents</w:t>
          </w:r>
        </w:p>
        <w:p w14:paraId="1202AED3" w14:textId="35B68D2D" w:rsidR="00AB2C33" w:rsidRDefault="000C5EBB">
          <w:pPr>
            <w:pStyle w:val="TOC1"/>
            <w:tabs>
              <w:tab w:val="right" w:leader="dot" w:pos="9016"/>
            </w:tabs>
            <w:rPr>
              <w:rFonts w:eastAsiaTheme="minorEastAsia"/>
              <w:noProof/>
              <w:lang w:eastAsia="en-GB"/>
            </w:rPr>
          </w:pPr>
          <w:r>
            <w:fldChar w:fldCharType="begin"/>
          </w:r>
          <w:r w:rsidR="00196715">
            <w:instrText xml:space="preserve"> TOC \o "1-3" \h \z \u </w:instrText>
          </w:r>
          <w:r>
            <w:fldChar w:fldCharType="separate"/>
          </w:r>
          <w:hyperlink w:anchor="_Toc127911422" w:history="1">
            <w:r w:rsidR="00AB2C33" w:rsidRPr="00682679">
              <w:rPr>
                <w:rStyle w:val="Hyperlink"/>
                <w:noProof/>
              </w:rPr>
              <w:t>Abstract</w:t>
            </w:r>
            <w:r w:rsidR="00AB2C33">
              <w:rPr>
                <w:noProof/>
                <w:webHidden/>
              </w:rPr>
              <w:tab/>
            </w:r>
            <w:r w:rsidR="00AB2C33">
              <w:rPr>
                <w:noProof/>
                <w:webHidden/>
              </w:rPr>
              <w:fldChar w:fldCharType="begin"/>
            </w:r>
            <w:r w:rsidR="00AB2C33">
              <w:rPr>
                <w:noProof/>
                <w:webHidden/>
              </w:rPr>
              <w:instrText xml:space="preserve"> PAGEREF _Toc127911422 \h </w:instrText>
            </w:r>
            <w:r w:rsidR="00AB2C33">
              <w:rPr>
                <w:noProof/>
                <w:webHidden/>
              </w:rPr>
            </w:r>
            <w:r w:rsidR="00AB2C33">
              <w:rPr>
                <w:noProof/>
                <w:webHidden/>
              </w:rPr>
              <w:fldChar w:fldCharType="separate"/>
            </w:r>
            <w:r w:rsidR="00AB2C33">
              <w:rPr>
                <w:noProof/>
                <w:webHidden/>
              </w:rPr>
              <w:t>1</w:t>
            </w:r>
            <w:r w:rsidR="00AB2C33">
              <w:rPr>
                <w:noProof/>
                <w:webHidden/>
              </w:rPr>
              <w:fldChar w:fldCharType="end"/>
            </w:r>
          </w:hyperlink>
        </w:p>
        <w:p w14:paraId="0BF98DFA" w14:textId="595BA448" w:rsidR="00AB2C33" w:rsidRDefault="00AB2C33">
          <w:pPr>
            <w:pStyle w:val="TOC1"/>
            <w:tabs>
              <w:tab w:val="right" w:leader="dot" w:pos="9016"/>
            </w:tabs>
            <w:rPr>
              <w:rFonts w:eastAsiaTheme="minorEastAsia"/>
              <w:noProof/>
              <w:lang w:eastAsia="en-GB"/>
            </w:rPr>
          </w:pPr>
          <w:hyperlink w:anchor="_Toc127911423" w:history="1">
            <w:r w:rsidRPr="00682679">
              <w:rPr>
                <w:rStyle w:val="Hyperlink"/>
                <w:noProof/>
              </w:rPr>
              <w:t>Declaration</w:t>
            </w:r>
            <w:r>
              <w:rPr>
                <w:noProof/>
                <w:webHidden/>
              </w:rPr>
              <w:tab/>
            </w:r>
            <w:r>
              <w:rPr>
                <w:noProof/>
                <w:webHidden/>
              </w:rPr>
              <w:fldChar w:fldCharType="begin"/>
            </w:r>
            <w:r>
              <w:rPr>
                <w:noProof/>
                <w:webHidden/>
              </w:rPr>
              <w:instrText xml:space="preserve"> PAGEREF _Toc127911423 \h </w:instrText>
            </w:r>
            <w:r>
              <w:rPr>
                <w:noProof/>
                <w:webHidden/>
              </w:rPr>
            </w:r>
            <w:r>
              <w:rPr>
                <w:noProof/>
                <w:webHidden/>
              </w:rPr>
              <w:fldChar w:fldCharType="separate"/>
            </w:r>
            <w:r>
              <w:rPr>
                <w:noProof/>
                <w:webHidden/>
              </w:rPr>
              <w:t>2</w:t>
            </w:r>
            <w:r>
              <w:rPr>
                <w:noProof/>
                <w:webHidden/>
              </w:rPr>
              <w:fldChar w:fldCharType="end"/>
            </w:r>
          </w:hyperlink>
        </w:p>
        <w:p w14:paraId="7FC86192" w14:textId="2F891F87" w:rsidR="00AB2C33" w:rsidRDefault="00AB2C33">
          <w:pPr>
            <w:pStyle w:val="TOC1"/>
            <w:tabs>
              <w:tab w:val="right" w:leader="dot" w:pos="9016"/>
            </w:tabs>
            <w:rPr>
              <w:rFonts w:eastAsiaTheme="minorEastAsia"/>
              <w:noProof/>
              <w:lang w:eastAsia="en-GB"/>
            </w:rPr>
          </w:pPr>
          <w:hyperlink w:anchor="_Toc127911424" w:history="1">
            <w:r w:rsidRPr="00682679">
              <w:rPr>
                <w:rStyle w:val="Hyperlink"/>
                <w:noProof/>
              </w:rPr>
              <w:t>Acknowledgements</w:t>
            </w:r>
            <w:r>
              <w:rPr>
                <w:noProof/>
                <w:webHidden/>
              </w:rPr>
              <w:tab/>
            </w:r>
            <w:r>
              <w:rPr>
                <w:noProof/>
                <w:webHidden/>
              </w:rPr>
              <w:fldChar w:fldCharType="begin"/>
            </w:r>
            <w:r>
              <w:rPr>
                <w:noProof/>
                <w:webHidden/>
              </w:rPr>
              <w:instrText xml:space="preserve"> PAGEREF _Toc127911424 \h </w:instrText>
            </w:r>
            <w:r>
              <w:rPr>
                <w:noProof/>
                <w:webHidden/>
              </w:rPr>
            </w:r>
            <w:r>
              <w:rPr>
                <w:noProof/>
                <w:webHidden/>
              </w:rPr>
              <w:fldChar w:fldCharType="separate"/>
            </w:r>
            <w:r>
              <w:rPr>
                <w:noProof/>
                <w:webHidden/>
              </w:rPr>
              <w:t>3</w:t>
            </w:r>
            <w:r>
              <w:rPr>
                <w:noProof/>
                <w:webHidden/>
              </w:rPr>
              <w:fldChar w:fldCharType="end"/>
            </w:r>
          </w:hyperlink>
        </w:p>
        <w:p w14:paraId="45540F41" w14:textId="469A0474" w:rsidR="00AB2C33" w:rsidRDefault="00AB2C33">
          <w:pPr>
            <w:pStyle w:val="TOC1"/>
            <w:tabs>
              <w:tab w:val="right" w:leader="dot" w:pos="9016"/>
            </w:tabs>
            <w:rPr>
              <w:rFonts w:eastAsiaTheme="minorEastAsia"/>
              <w:noProof/>
              <w:lang w:eastAsia="en-GB"/>
            </w:rPr>
          </w:pPr>
          <w:hyperlink w:anchor="_Toc127911425" w:history="1">
            <w:r w:rsidRPr="00682679">
              <w:rPr>
                <w:rStyle w:val="Hyperlink"/>
                <w:noProof/>
              </w:rPr>
              <w:t>Table of Figures</w:t>
            </w:r>
            <w:r>
              <w:rPr>
                <w:noProof/>
                <w:webHidden/>
              </w:rPr>
              <w:tab/>
            </w:r>
            <w:r>
              <w:rPr>
                <w:noProof/>
                <w:webHidden/>
              </w:rPr>
              <w:fldChar w:fldCharType="begin"/>
            </w:r>
            <w:r>
              <w:rPr>
                <w:noProof/>
                <w:webHidden/>
              </w:rPr>
              <w:instrText xml:space="preserve"> PAGEREF _Toc127911425 \h </w:instrText>
            </w:r>
            <w:r>
              <w:rPr>
                <w:noProof/>
                <w:webHidden/>
              </w:rPr>
            </w:r>
            <w:r>
              <w:rPr>
                <w:noProof/>
                <w:webHidden/>
              </w:rPr>
              <w:fldChar w:fldCharType="separate"/>
            </w:r>
            <w:r>
              <w:rPr>
                <w:noProof/>
                <w:webHidden/>
              </w:rPr>
              <w:t>6</w:t>
            </w:r>
            <w:r>
              <w:rPr>
                <w:noProof/>
                <w:webHidden/>
              </w:rPr>
              <w:fldChar w:fldCharType="end"/>
            </w:r>
          </w:hyperlink>
        </w:p>
        <w:p w14:paraId="44DA1C23" w14:textId="049A8C9C" w:rsidR="00AB2C33" w:rsidRDefault="00AB2C33">
          <w:pPr>
            <w:pStyle w:val="TOC1"/>
            <w:tabs>
              <w:tab w:val="right" w:leader="dot" w:pos="9016"/>
            </w:tabs>
            <w:rPr>
              <w:rFonts w:eastAsiaTheme="minorEastAsia"/>
              <w:noProof/>
              <w:lang w:eastAsia="en-GB"/>
            </w:rPr>
          </w:pPr>
          <w:hyperlink w:anchor="_Toc127911426" w:history="1">
            <w:r w:rsidRPr="00682679">
              <w:rPr>
                <w:rStyle w:val="Hyperlink"/>
                <w:noProof/>
              </w:rPr>
              <w:t>Glossary</w:t>
            </w:r>
            <w:r>
              <w:rPr>
                <w:noProof/>
                <w:webHidden/>
              </w:rPr>
              <w:tab/>
            </w:r>
            <w:r>
              <w:rPr>
                <w:noProof/>
                <w:webHidden/>
              </w:rPr>
              <w:fldChar w:fldCharType="begin"/>
            </w:r>
            <w:r>
              <w:rPr>
                <w:noProof/>
                <w:webHidden/>
              </w:rPr>
              <w:instrText xml:space="preserve"> PAGEREF _Toc127911426 \h </w:instrText>
            </w:r>
            <w:r>
              <w:rPr>
                <w:noProof/>
                <w:webHidden/>
              </w:rPr>
            </w:r>
            <w:r>
              <w:rPr>
                <w:noProof/>
                <w:webHidden/>
              </w:rPr>
              <w:fldChar w:fldCharType="separate"/>
            </w:r>
            <w:r>
              <w:rPr>
                <w:noProof/>
                <w:webHidden/>
              </w:rPr>
              <w:t>8</w:t>
            </w:r>
            <w:r>
              <w:rPr>
                <w:noProof/>
                <w:webHidden/>
              </w:rPr>
              <w:fldChar w:fldCharType="end"/>
            </w:r>
          </w:hyperlink>
        </w:p>
        <w:p w14:paraId="7E76374A" w14:textId="15E4A2F1" w:rsidR="00AB2C33" w:rsidRDefault="00AB2C33">
          <w:pPr>
            <w:pStyle w:val="TOC1"/>
            <w:tabs>
              <w:tab w:val="right" w:leader="dot" w:pos="9016"/>
            </w:tabs>
            <w:rPr>
              <w:rFonts w:eastAsiaTheme="minorEastAsia"/>
              <w:noProof/>
              <w:lang w:eastAsia="en-GB"/>
            </w:rPr>
          </w:pPr>
          <w:hyperlink w:anchor="_Toc127911427" w:history="1">
            <w:r w:rsidRPr="00682679">
              <w:rPr>
                <w:rStyle w:val="Hyperlink"/>
                <w:noProof/>
              </w:rPr>
              <w:t>Introduction</w:t>
            </w:r>
            <w:r>
              <w:rPr>
                <w:noProof/>
                <w:webHidden/>
              </w:rPr>
              <w:tab/>
            </w:r>
            <w:r>
              <w:rPr>
                <w:noProof/>
                <w:webHidden/>
              </w:rPr>
              <w:fldChar w:fldCharType="begin"/>
            </w:r>
            <w:r>
              <w:rPr>
                <w:noProof/>
                <w:webHidden/>
              </w:rPr>
              <w:instrText xml:space="preserve"> PAGEREF _Toc127911427 \h </w:instrText>
            </w:r>
            <w:r>
              <w:rPr>
                <w:noProof/>
                <w:webHidden/>
              </w:rPr>
            </w:r>
            <w:r>
              <w:rPr>
                <w:noProof/>
                <w:webHidden/>
              </w:rPr>
              <w:fldChar w:fldCharType="separate"/>
            </w:r>
            <w:r>
              <w:rPr>
                <w:noProof/>
                <w:webHidden/>
              </w:rPr>
              <w:t>11</w:t>
            </w:r>
            <w:r>
              <w:rPr>
                <w:noProof/>
                <w:webHidden/>
              </w:rPr>
              <w:fldChar w:fldCharType="end"/>
            </w:r>
          </w:hyperlink>
        </w:p>
        <w:p w14:paraId="18340427" w14:textId="4353D6A5" w:rsidR="00AB2C33" w:rsidRDefault="00AB2C33">
          <w:pPr>
            <w:pStyle w:val="TOC2"/>
            <w:tabs>
              <w:tab w:val="right" w:leader="dot" w:pos="9016"/>
            </w:tabs>
            <w:rPr>
              <w:rFonts w:eastAsiaTheme="minorEastAsia"/>
              <w:noProof/>
              <w:lang w:eastAsia="en-GB"/>
            </w:rPr>
          </w:pPr>
          <w:hyperlink w:anchor="_Toc127911428" w:history="1">
            <w:r w:rsidRPr="00682679">
              <w:rPr>
                <w:rStyle w:val="Hyperlink"/>
                <w:noProof/>
              </w:rPr>
              <w:t>Background</w:t>
            </w:r>
            <w:r>
              <w:rPr>
                <w:noProof/>
                <w:webHidden/>
              </w:rPr>
              <w:tab/>
            </w:r>
            <w:r>
              <w:rPr>
                <w:noProof/>
                <w:webHidden/>
              </w:rPr>
              <w:fldChar w:fldCharType="begin"/>
            </w:r>
            <w:r>
              <w:rPr>
                <w:noProof/>
                <w:webHidden/>
              </w:rPr>
              <w:instrText xml:space="preserve"> PAGEREF _Toc127911428 \h </w:instrText>
            </w:r>
            <w:r>
              <w:rPr>
                <w:noProof/>
                <w:webHidden/>
              </w:rPr>
            </w:r>
            <w:r>
              <w:rPr>
                <w:noProof/>
                <w:webHidden/>
              </w:rPr>
              <w:fldChar w:fldCharType="separate"/>
            </w:r>
            <w:r>
              <w:rPr>
                <w:noProof/>
                <w:webHidden/>
              </w:rPr>
              <w:t>11</w:t>
            </w:r>
            <w:r>
              <w:rPr>
                <w:noProof/>
                <w:webHidden/>
              </w:rPr>
              <w:fldChar w:fldCharType="end"/>
            </w:r>
          </w:hyperlink>
        </w:p>
        <w:p w14:paraId="1E8FFFCC" w14:textId="7DFE6C21" w:rsidR="00AB2C33" w:rsidRDefault="00AB2C33">
          <w:pPr>
            <w:pStyle w:val="TOC2"/>
            <w:tabs>
              <w:tab w:val="right" w:leader="dot" w:pos="9016"/>
            </w:tabs>
            <w:rPr>
              <w:rFonts w:eastAsiaTheme="minorEastAsia"/>
              <w:noProof/>
              <w:lang w:eastAsia="en-GB"/>
            </w:rPr>
          </w:pPr>
          <w:hyperlink w:anchor="_Toc127911429" w:history="1">
            <w:r w:rsidRPr="00682679">
              <w:rPr>
                <w:rStyle w:val="Hyperlink"/>
                <w:noProof/>
              </w:rPr>
              <w:t>Research aim</w:t>
            </w:r>
            <w:r>
              <w:rPr>
                <w:noProof/>
                <w:webHidden/>
              </w:rPr>
              <w:tab/>
            </w:r>
            <w:r>
              <w:rPr>
                <w:noProof/>
                <w:webHidden/>
              </w:rPr>
              <w:fldChar w:fldCharType="begin"/>
            </w:r>
            <w:r>
              <w:rPr>
                <w:noProof/>
                <w:webHidden/>
              </w:rPr>
              <w:instrText xml:space="preserve"> PAGEREF _Toc127911429 \h </w:instrText>
            </w:r>
            <w:r>
              <w:rPr>
                <w:noProof/>
                <w:webHidden/>
              </w:rPr>
            </w:r>
            <w:r>
              <w:rPr>
                <w:noProof/>
                <w:webHidden/>
              </w:rPr>
              <w:fldChar w:fldCharType="separate"/>
            </w:r>
            <w:r>
              <w:rPr>
                <w:noProof/>
                <w:webHidden/>
              </w:rPr>
              <w:t>15</w:t>
            </w:r>
            <w:r>
              <w:rPr>
                <w:noProof/>
                <w:webHidden/>
              </w:rPr>
              <w:fldChar w:fldCharType="end"/>
            </w:r>
          </w:hyperlink>
        </w:p>
        <w:p w14:paraId="1554EE5C" w14:textId="71EFBDA6" w:rsidR="00AB2C33" w:rsidRDefault="00AB2C33">
          <w:pPr>
            <w:pStyle w:val="TOC2"/>
            <w:tabs>
              <w:tab w:val="right" w:leader="dot" w:pos="9016"/>
            </w:tabs>
            <w:rPr>
              <w:rFonts w:eastAsiaTheme="minorEastAsia"/>
              <w:noProof/>
              <w:lang w:eastAsia="en-GB"/>
            </w:rPr>
          </w:pPr>
          <w:hyperlink w:anchor="_Toc127911430" w:history="1">
            <w:r w:rsidRPr="00682679">
              <w:rPr>
                <w:rStyle w:val="Hyperlink"/>
                <w:noProof/>
              </w:rPr>
              <w:t>Objectives</w:t>
            </w:r>
            <w:r>
              <w:rPr>
                <w:noProof/>
                <w:webHidden/>
              </w:rPr>
              <w:tab/>
            </w:r>
            <w:r>
              <w:rPr>
                <w:noProof/>
                <w:webHidden/>
              </w:rPr>
              <w:fldChar w:fldCharType="begin"/>
            </w:r>
            <w:r>
              <w:rPr>
                <w:noProof/>
                <w:webHidden/>
              </w:rPr>
              <w:instrText xml:space="preserve"> PAGEREF _Toc127911430 \h </w:instrText>
            </w:r>
            <w:r>
              <w:rPr>
                <w:noProof/>
                <w:webHidden/>
              </w:rPr>
            </w:r>
            <w:r>
              <w:rPr>
                <w:noProof/>
                <w:webHidden/>
              </w:rPr>
              <w:fldChar w:fldCharType="separate"/>
            </w:r>
            <w:r>
              <w:rPr>
                <w:noProof/>
                <w:webHidden/>
              </w:rPr>
              <w:t>15</w:t>
            </w:r>
            <w:r>
              <w:rPr>
                <w:noProof/>
                <w:webHidden/>
              </w:rPr>
              <w:fldChar w:fldCharType="end"/>
            </w:r>
          </w:hyperlink>
        </w:p>
        <w:p w14:paraId="7648EA34" w14:textId="72C279C0" w:rsidR="00AB2C33" w:rsidRDefault="00AB2C33">
          <w:pPr>
            <w:pStyle w:val="TOC1"/>
            <w:tabs>
              <w:tab w:val="right" w:leader="dot" w:pos="9016"/>
            </w:tabs>
            <w:rPr>
              <w:rFonts w:eastAsiaTheme="minorEastAsia"/>
              <w:noProof/>
              <w:lang w:eastAsia="en-GB"/>
            </w:rPr>
          </w:pPr>
          <w:hyperlink w:anchor="_Toc127911431" w:history="1">
            <w:r w:rsidRPr="00682679">
              <w:rPr>
                <w:rStyle w:val="Hyperlink"/>
                <w:noProof/>
              </w:rPr>
              <w:t>Theory</w:t>
            </w:r>
            <w:r>
              <w:rPr>
                <w:noProof/>
                <w:webHidden/>
              </w:rPr>
              <w:tab/>
            </w:r>
            <w:r>
              <w:rPr>
                <w:noProof/>
                <w:webHidden/>
              </w:rPr>
              <w:fldChar w:fldCharType="begin"/>
            </w:r>
            <w:r>
              <w:rPr>
                <w:noProof/>
                <w:webHidden/>
              </w:rPr>
              <w:instrText xml:space="preserve"> PAGEREF _Toc127911431 \h </w:instrText>
            </w:r>
            <w:r>
              <w:rPr>
                <w:noProof/>
                <w:webHidden/>
              </w:rPr>
            </w:r>
            <w:r>
              <w:rPr>
                <w:noProof/>
                <w:webHidden/>
              </w:rPr>
              <w:fldChar w:fldCharType="separate"/>
            </w:r>
            <w:r>
              <w:rPr>
                <w:noProof/>
                <w:webHidden/>
              </w:rPr>
              <w:t>16</w:t>
            </w:r>
            <w:r>
              <w:rPr>
                <w:noProof/>
                <w:webHidden/>
              </w:rPr>
              <w:fldChar w:fldCharType="end"/>
            </w:r>
          </w:hyperlink>
        </w:p>
        <w:p w14:paraId="664DC23A" w14:textId="5DE408F6" w:rsidR="00AB2C33" w:rsidRDefault="00AB2C33">
          <w:pPr>
            <w:pStyle w:val="TOC2"/>
            <w:tabs>
              <w:tab w:val="right" w:leader="dot" w:pos="9016"/>
            </w:tabs>
            <w:rPr>
              <w:rFonts w:eastAsiaTheme="minorEastAsia"/>
              <w:noProof/>
              <w:lang w:eastAsia="en-GB"/>
            </w:rPr>
          </w:pPr>
          <w:hyperlink w:anchor="_Toc127911432" w:history="1">
            <w:r w:rsidRPr="00682679">
              <w:rPr>
                <w:rStyle w:val="Hyperlink"/>
                <w:noProof/>
              </w:rPr>
              <w:t>Biomass</w:t>
            </w:r>
            <w:r>
              <w:rPr>
                <w:noProof/>
                <w:webHidden/>
              </w:rPr>
              <w:tab/>
            </w:r>
            <w:r>
              <w:rPr>
                <w:noProof/>
                <w:webHidden/>
              </w:rPr>
              <w:fldChar w:fldCharType="begin"/>
            </w:r>
            <w:r>
              <w:rPr>
                <w:noProof/>
                <w:webHidden/>
              </w:rPr>
              <w:instrText xml:space="preserve"> PAGEREF _Toc127911432 \h </w:instrText>
            </w:r>
            <w:r>
              <w:rPr>
                <w:noProof/>
                <w:webHidden/>
              </w:rPr>
            </w:r>
            <w:r>
              <w:rPr>
                <w:noProof/>
                <w:webHidden/>
              </w:rPr>
              <w:fldChar w:fldCharType="separate"/>
            </w:r>
            <w:r>
              <w:rPr>
                <w:noProof/>
                <w:webHidden/>
              </w:rPr>
              <w:t>16</w:t>
            </w:r>
            <w:r>
              <w:rPr>
                <w:noProof/>
                <w:webHidden/>
              </w:rPr>
              <w:fldChar w:fldCharType="end"/>
            </w:r>
          </w:hyperlink>
        </w:p>
        <w:p w14:paraId="5021164B" w14:textId="7F6422C0" w:rsidR="00AB2C33" w:rsidRDefault="00AB2C33">
          <w:pPr>
            <w:pStyle w:val="TOC3"/>
            <w:tabs>
              <w:tab w:val="right" w:leader="dot" w:pos="9016"/>
            </w:tabs>
            <w:rPr>
              <w:rFonts w:eastAsiaTheme="minorEastAsia"/>
              <w:noProof/>
              <w:lang w:eastAsia="en-GB"/>
            </w:rPr>
          </w:pPr>
          <w:hyperlink w:anchor="_Toc127911433" w:history="1">
            <w:r w:rsidRPr="00682679">
              <w:rPr>
                <w:rStyle w:val="Hyperlink"/>
                <w:noProof/>
              </w:rPr>
              <w:t>Raw Biomass structure</w:t>
            </w:r>
            <w:r>
              <w:rPr>
                <w:noProof/>
                <w:webHidden/>
              </w:rPr>
              <w:tab/>
            </w:r>
            <w:r>
              <w:rPr>
                <w:noProof/>
                <w:webHidden/>
              </w:rPr>
              <w:fldChar w:fldCharType="begin"/>
            </w:r>
            <w:r>
              <w:rPr>
                <w:noProof/>
                <w:webHidden/>
              </w:rPr>
              <w:instrText xml:space="preserve"> PAGEREF _Toc127911433 \h </w:instrText>
            </w:r>
            <w:r>
              <w:rPr>
                <w:noProof/>
                <w:webHidden/>
              </w:rPr>
            </w:r>
            <w:r>
              <w:rPr>
                <w:noProof/>
                <w:webHidden/>
              </w:rPr>
              <w:fldChar w:fldCharType="separate"/>
            </w:r>
            <w:r>
              <w:rPr>
                <w:noProof/>
                <w:webHidden/>
              </w:rPr>
              <w:t>16</w:t>
            </w:r>
            <w:r>
              <w:rPr>
                <w:noProof/>
                <w:webHidden/>
              </w:rPr>
              <w:fldChar w:fldCharType="end"/>
            </w:r>
          </w:hyperlink>
        </w:p>
        <w:p w14:paraId="20611251" w14:textId="2FCA1969" w:rsidR="00AB2C33" w:rsidRDefault="00AB2C33">
          <w:pPr>
            <w:pStyle w:val="TOC3"/>
            <w:tabs>
              <w:tab w:val="right" w:leader="dot" w:pos="9016"/>
            </w:tabs>
            <w:rPr>
              <w:rFonts w:eastAsiaTheme="minorEastAsia"/>
              <w:noProof/>
              <w:lang w:eastAsia="en-GB"/>
            </w:rPr>
          </w:pPr>
          <w:hyperlink w:anchor="_Toc127911434" w:history="1">
            <w:r w:rsidRPr="00682679">
              <w:rPr>
                <w:rStyle w:val="Hyperlink"/>
                <w:noProof/>
              </w:rPr>
              <w:t>The problem with Raw Biomass</w:t>
            </w:r>
            <w:r>
              <w:rPr>
                <w:noProof/>
                <w:webHidden/>
              </w:rPr>
              <w:tab/>
            </w:r>
            <w:r>
              <w:rPr>
                <w:noProof/>
                <w:webHidden/>
              </w:rPr>
              <w:fldChar w:fldCharType="begin"/>
            </w:r>
            <w:r>
              <w:rPr>
                <w:noProof/>
                <w:webHidden/>
              </w:rPr>
              <w:instrText xml:space="preserve"> PAGEREF _Toc127911434 \h </w:instrText>
            </w:r>
            <w:r>
              <w:rPr>
                <w:noProof/>
                <w:webHidden/>
              </w:rPr>
            </w:r>
            <w:r>
              <w:rPr>
                <w:noProof/>
                <w:webHidden/>
              </w:rPr>
              <w:fldChar w:fldCharType="separate"/>
            </w:r>
            <w:r>
              <w:rPr>
                <w:noProof/>
                <w:webHidden/>
              </w:rPr>
              <w:t>18</w:t>
            </w:r>
            <w:r>
              <w:rPr>
                <w:noProof/>
                <w:webHidden/>
              </w:rPr>
              <w:fldChar w:fldCharType="end"/>
            </w:r>
          </w:hyperlink>
        </w:p>
        <w:p w14:paraId="47086373" w14:textId="0C96C651" w:rsidR="00AB2C33" w:rsidRDefault="00AB2C33">
          <w:pPr>
            <w:pStyle w:val="TOC3"/>
            <w:tabs>
              <w:tab w:val="right" w:leader="dot" w:pos="9016"/>
            </w:tabs>
            <w:rPr>
              <w:rFonts w:eastAsiaTheme="minorEastAsia"/>
              <w:noProof/>
              <w:lang w:eastAsia="en-GB"/>
            </w:rPr>
          </w:pPr>
          <w:hyperlink w:anchor="_Toc127911435" w:history="1">
            <w:r w:rsidRPr="00682679">
              <w:rPr>
                <w:rStyle w:val="Hyperlink"/>
                <w:noProof/>
              </w:rPr>
              <w:t>Biomass Pre-treatment</w:t>
            </w:r>
            <w:r>
              <w:rPr>
                <w:noProof/>
                <w:webHidden/>
              </w:rPr>
              <w:tab/>
            </w:r>
            <w:r>
              <w:rPr>
                <w:noProof/>
                <w:webHidden/>
              </w:rPr>
              <w:fldChar w:fldCharType="begin"/>
            </w:r>
            <w:r>
              <w:rPr>
                <w:noProof/>
                <w:webHidden/>
              </w:rPr>
              <w:instrText xml:space="preserve"> PAGEREF _Toc127911435 \h </w:instrText>
            </w:r>
            <w:r>
              <w:rPr>
                <w:noProof/>
                <w:webHidden/>
              </w:rPr>
            </w:r>
            <w:r>
              <w:rPr>
                <w:noProof/>
                <w:webHidden/>
              </w:rPr>
              <w:fldChar w:fldCharType="separate"/>
            </w:r>
            <w:r>
              <w:rPr>
                <w:noProof/>
                <w:webHidden/>
              </w:rPr>
              <w:t>19</w:t>
            </w:r>
            <w:r>
              <w:rPr>
                <w:noProof/>
                <w:webHidden/>
              </w:rPr>
              <w:fldChar w:fldCharType="end"/>
            </w:r>
          </w:hyperlink>
        </w:p>
        <w:p w14:paraId="27DC0B32" w14:textId="5699B70B" w:rsidR="00AB2C33" w:rsidRDefault="00AB2C33">
          <w:pPr>
            <w:pStyle w:val="TOC2"/>
            <w:tabs>
              <w:tab w:val="right" w:leader="dot" w:pos="9016"/>
            </w:tabs>
            <w:rPr>
              <w:rFonts w:eastAsiaTheme="minorEastAsia"/>
              <w:noProof/>
              <w:lang w:eastAsia="en-GB"/>
            </w:rPr>
          </w:pPr>
          <w:hyperlink w:anchor="_Toc127911436" w:history="1">
            <w:r w:rsidRPr="00682679">
              <w:rPr>
                <w:rStyle w:val="Hyperlink"/>
                <w:noProof/>
              </w:rPr>
              <w:t>Biomass utilisation in the iron and steel industry</w:t>
            </w:r>
            <w:r>
              <w:rPr>
                <w:noProof/>
                <w:webHidden/>
              </w:rPr>
              <w:tab/>
            </w:r>
            <w:r>
              <w:rPr>
                <w:noProof/>
                <w:webHidden/>
              </w:rPr>
              <w:fldChar w:fldCharType="begin"/>
            </w:r>
            <w:r>
              <w:rPr>
                <w:noProof/>
                <w:webHidden/>
              </w:rPr>
              <w:instrText xml:space="preserve"> PAGEREF _Toc127911436 \h </w:instrText>
            </w:r>
            <w:r>
              <w:rPr>
                <w:noProof/>
                <w:webHidden/>
              </w:rPr>
            </w:r>
            <w:r>
              <w:rPr>
                <w:noProof/>
                <w:webHidden/>
              </w:rPr>
              <w:fldChar w:fldCharType="separate"/>
            </w:r>
            <w:r>
              <w:rPr>
                <w:noProof/>
                <w:webHidden/>
              </w:rPr>
              <w:t>22</w:t>
            </w:r>
            <w:r>
              <w:rPr>
                <w:noProof/>
                <w:webHidden/>
              </w:rPr>
              <w:fldChar w:fldCharType="end"/>
            </w:r>
          </w:hyperlink>
        </w:p>
        <w:p w14:paraId="3FA63D87" w14:textId="38BD7CD8" w:rsidR="00AB2C33" w:rsidRDefault="00AB2C33">
          <w:pPr>
            <w:pStyle w:val="TOC3"/>
            <w:tabs>
              <w:tab w:val="right" w:leader="dot" w:pos="9016"/>
            </w:tabs>
            <w:rPr>
              <w:rFonts w:eastAsiaTheme="minorEastAsia"/>
              <w:noProof/>
              <w:lang w:eastAsia="en-GB"/>
            </w:rPr>
          </w:pPr>
          <w:hyperlink w:anchor="_Toc127911437" w:history="1">
            <w:r w:rsidRPr="00682679">
              <w:rPr>
                <w:rStyle w:val="Hyperlink"/>
                <w:noProof/>
              </w:rPr>
              <w:t>Injection of Biomass into blast furnaces</w:t>
            </w:r>
            <w:r>
              <w:rPr>
                <w:noProof/>
                <w:webHidden/>
              </w:rPr>
              <w:tab/>
            </w:r>
            <w:r>
              <w:rPr>
                <w:noProof/>
                <w:webHidden/>
              </w:rPr>
              <w:fldChar w:fldCharType="begin"/>
            </w:r>
            <w:r>
              <w:rPr>
                <w:noProof/>
                <w:webHidden/>
              </w:rPr>
              <w:instrText xml:space="preserve"> PAGEREF _Toc127911437 \h </w:instrText>
            </w:r>
            <w:r>
              <w:rPr>
                <w:noProof/>
                <w:webHidden/>
              </w:rPr>
            </w:r>
            <w:r>
              <w:rPr>
                <w:noProof/>
                <w:webHidden/>
              </w:rPr>
              <w:fldChar w:fldCharType="separate"/>
            </w:r>
            <w:r>
              <w:rPr>
                <w:noProof/>
                <w:webHidden/>
              </w:rPr>
              <w:t>22</w:t>
            </w:r>
            <w:r>
              <w:rPr>
                <w:noProof/>
                <w:webHidden/>
              </w:rPr>
              <w:fldChar w:fldCharType="end"/>
            </w:r>
          </w:hyperlink>
        </w:p>
        <w:p w14:paraId="67933F01" w14:textId="6DB1D489" w:rsidR="00AB2C33" w:rsidRDefault="00AB2C33">
          <w:pPr>
            <w:pStyle w:val="TOC3"/>
            <w:tabs>
              <w:tab w:val="right" w:leader="dot" w:pos="9016"/>
            </w:tabs>
            <w:rPr>
              <w:rFonts w:eastAsiaTheme="minorEastAsia"/>
              <w:noProof/>
              <w:lang w:eastAsia="en-GB"/>
            </w:rPr>
          </w:pPr>
          <w:hyperlink w:anchor="_Toc127911438" w:history="1">
            <w:r w:rsidRPr="00682679">
              <w:rPr>
                <w:rStyle w:val="Hyperlink"/>
                <w:noProof/>
              </w:rPr>
              <w:t>Potential for biomass in metallurgical coke making.</w:t>
            </w:r>
            <w:r>
              <w:rPr>
                <w:noProof/>
                <w:webHidden/>
              </w:rPr>
              <w:tab/>
            </w:r>
            <w:r>
              <w:rPr>
                <w:noProof/>
                <w:webHidden/>
              </w:rPr>
              <w:fldChar w:fldCharType="begin"/>
            </w:r>
            <w:r>
              <w:rPr>
                <w:noProof/>
                <w:webHidden/>
              </w:rPr>
              <w:instrText xml:space="preserve"> PAGEREF _Toc127911438 \h </w:instrText>
            </w:r>
            <w:r>
              <w:rPr>
                <w:noProof/>
                <w:webHidden/>
              </w:rPr>
            </w:r>
            <w:r>
              <w:rPr>
                <w:noProof/>
                <w:webHidden/>
              </w:rPr>
              <w:fldChar w:fldCharType="separate"/>
            </w:r>
            <w:r>
              <w:rPr>
                <w:noProof/>
                <w:webHidden/>
              </w:rPr>
              <w:t>24</w:t>
            </w:r>
            <w:r>
              <w:rPr>
                <w:noProof/>
                <w:webHidden/>
              </w:rPr>
              <w:fldChar w:fldCharType="end"/>
            </w:r>
          </w:hyperlink>
        </w:p>
        <w:p w14:paraId="16E4F6D6" w14:textId="23FA7068" w:rsidR="00AB2C33" w:rsidRDefault="00AB2C33">
          <w:pPr>
            <w:pStyle w:val="TOC3"/>
            <w:tabs>
              <w:tab w:val="right" w:leader="dot" w:pos="9016"/>
            </w:tabs>
            <w:rPr>
              <w:rFonts w:eastAsiaTheme="minorEastAsia"/>
              <w:noProof/>
              <w:lang w:eastAsia="en-GB"/>
            </w:rPr>
          </w:pPr>
          <w:hyperlink w:anchor="_Toc127911439" w:history="1">
            <w:r w:rsidRPr="00682679">
              <w:rPr>
                <w:rStyle w:val="Hyperlink"/>
                <w:noProof/>
              </w:rPr>
              <w:t>Potential for biomass in the sintering process</w:t>
            </w:r>
            <w:r>
              <w:rPr>
                <w:noProof/>
                <w:webHidden/>
              </w:rPr>
              <w:tab/>
            </w:r>
            <w:r>
              <w:rPr>
                <w:noProof/>
                <w:webHidden/>
              </w:rPr>
              <w:fldChar w:fldCharType="begin"/>
            </w:r>
            <w:r>
              <w:rPr>
                <w:noProof/>
                <w:webHidden/>
              </w:rPr>
              <w:instrText xml:space="preserve"> PAGEREF _Toc127911439 \h </w:instrText>
            </w:r>
            <w:r>
              <w:rPr>
                <w:noProof/>
                <w:webHidden/>
              </w:rPr>
            </w:r>
            <w:r>
              <w:rPr>
                <w:noProof/>
                <w:webHidden/>
              </w:rPr>
              <w:fldChar w:fldCharType="separate"/>
            </w:r>
            <w:r>
              <w:rPr>
                <w:noProof/>
                <w:webHidden/>
              </w:rPr>
              <w:t>26</w:t>
            </w:r>
            <w:r>
              <w:rPr>
                <w:noProof/>
                <w:webHidden/>
              </w:rPr>
              <w:fldChar w:fldCharType="end"/>
            </w:r>
          </w:hyperlink>
        </w:p>
        <w:p w14:paraId="68DE31AD" w14:textId="5D904F72" w:rsidR="00AB2C33" w:rsidRDefault="00AB2C33">
          <w:pPr>
            <w:pStyle w:val="TOC3"/>
            <w:tabs>
              <w:tab w:val="right" w:leader="dot" w:pos="9016"/>
            </w:tabs>
            <w:rPr>
              <w:rFonts w:eastAsiaTheme="minorEastAsia"/>
              <w:noProof/>
              <w:lang w:eastAsia="en-GB"/>
            </w:rPr>
          </w:pPr>
          <w:hyperlink w:anchor="_Toc127911440" w:history="1">
            <w:r w:rsidRPr="00682679">
              <w:rPr>
                <w:rStyle w:val="Hyperlink"/>
                <w:noProof/>
              </w:rPr>
              <w:t>Biomass supply and availability</w:t>
            </w:r>
            <w:r>
              <w:rPr>
                <w:noProof/>
                <w:webHidden/>
              </w:rPr>
              <w:tab/>
            </w:r>
            <w:r>
              <w:rPr>
                <w:noProof/>
                <w:webHidden/>
              </w:rPr>
              <w:fldChar w:fldCharType="begin"/>
            </w:r>
            <w:r>
              <w:rPr>
                <w:noProof/>
                <w:webHidden/>
              </w:rPr>
              <w:instrText xml:space="preserve"> PAGEREF _Toc127911440 \h </w:instrText>
            </w:r>
            <w:r>
              <w:rPr>
                <w:noProof/>
                <w:webHidden/>
              </w:rPr>
            </w:r>
            <w:r>
              <w:rPr>
                <w:noProof/>
                <w:webHidden/>
              </w:rPr>
              <w:fldChar w:fldCharType="separate"/>
            </w:r>
            <w:r>
              <w:rPr>
                <w:noProof/>
                <w:webHidden/>
              </w:rPr>
              <w:t>28</w:t>
            </w:r>
            <w:r>
              <w:rPr>
                <w:noProof/>
                <w:webHidden/>
              </w:rPr>
              <w:fldChar w:fldCharType="end"/>
            </w:r>
          </w:hyperlink>
        </w:p>
        <w:p w14:paraId="2F24B40F" w14:textId="246674A1" w:rsidR="00AB2C33" w:rsidRDefault="00AB2C33">
          <w:pPr>
            <w:pStyle w:val="TOC1"/>
            <w:tabs>
              <w:tab w:val="right" w:leader="dot" w:pos="9016"/>
            </w:tabs>
            <w:rPr>
              <w:rFonts w:eastAsiaTheme="minorEastAsia"/>
              <w:noProof/>
              <w:lang w:eastAsia="en-GB"/>
            </w:rPr>
          </w:pPr>
          <w:hyperlink w:anchor="_Toc127911441" w:history="1">
            <w:r w:rsidRPr="00682679">
              <w:rPr>
                <w:rStyle w:val="Hyperlink"/>
                <w:noProof/>
              </w:rPr>
              <w:t>Analysis</w:t>
            </w:r>
            <w:r>
              <w:rPr>
                <w:noProof/>
                <w:webHidden/>
              </w:rPr>
              <w:tab/>
            </w:r>
            <w:r>
              <w:rPr>
                <w:noProof/>
                <w:webHidden/>
              </w:rPr>
              <w:fldChar w:fldCharType="begin"/>
            </w:r>
            <w:r>
              <w:rPr>
                <w:noProof/>
                <w:webHidden/>
              </w:rPr>
              <w:instrText xml:space="preserve"> PAGEREF _Toc127911441 \h </w:instrText>
            </w:r>
            <w:r>
              <w:rPr>
                <w:noProof/>
                <w:webHidden/>
              </w:rPr>
            </w:r>
            <w:r>
              <w:rPr>
                <w:noProof/>
                <w:webHidden/>
              </w:rPr>
              <w:fldChar w:fldCharType="separate"/>
            </w:r>
            <w:r>
              <w:rPr>
                <w:noProof/>
                <w:webHidden/>
              </w:rPr>
              <w:t>31</w:t>
            </w:r>
            <w:r>
              <w:rPr>
                <w:noProof/>
                <w:webHidden/>
              </w:rPr>
              <w:fldChar w:fldCharType="end"/>
            </w:r>
          </w:hyperlink>
        </w:p>
        <w:p w14:paraId="2E1C60BE" w14:textId="0B03C04B" w:rsidR="00AB2C33" w:rsidRDefault="00AB2C33">
          <w:pPr>
            <w:pStyle w:val="TOC2"/>
            <w:tabs>
              <w:tab w:val="right" w:leader="dot" w:pos="9016"/>
            </w:tabs>
            <w:rPr>
              <w:rFonts w:eastAsiaTheme="minorEastAsia"/>
              <w:noProof/>
              <w:lang w:eastAsia="en-GB"/>
            </w:rPr>
          </w:pPr>
          <w:hyperlink w:anchor="_Toc127911442" w:history="1">
            <w:r w:rsidRPr="00682679">
              <w:rPr>
                <w:rStyle w:val="Hyperlink"/>
                <w:noProof/>
              </w:rPr>
              <w:t>Biochar characterisation</w:t>
            </w:r>
            <w:r>
              <w:rPr>
                <w:noProof/>
                <w:webHidden/>
              </w:rPr>
              <w:tab/>
            </w:r>
            <w:r>
              <w:rPr>
                <w:noProof/>
                <w:webHidden/>
              </w:rPr>
              <w:fldChar w:fldCharType="begin"/>
            </w:r>
            <w:r>
              <w:rPr>
                <w:noProof/>
                <w:webHidden/>
              </w:rPr>
              <w:instrText xml:space="preserve"> PAGEREF _Toc127911442 \h </w:instrText>
            </w:r>
            <w:r>
              <w:rPr>
                <w:noProof/>
                <w:webHidden/>
              </w:rPr>
            </w:r>
            <w:r>
              <w:rPr>
                <w:noProof/>
                <w:webHidden/>
              </w:rPr>
              <w:fldChar w:fldCharType="separate"/>
            </w:r>
            <w:r>
              <w:rPr>
                <w:noProof/>
                <w:webHidden/>
              </w:rPr>
              <w:t>31</w:t>
            </w:r>
            <w:r>
              <w:rPr>
                <w:noProof/>
                <w:webHidden/>
              </w:rPr>
              <w:fldChar w:fldCharType="end"/>
            </w:r>
          </w:hyperlink>
        </w:p>
        <w:p w14:paraId="11B822D5" w14:textId="58AC336C" w:rsidR="00AB2C33" w:rsidRDefault="00AB2C33">
          <w:pPr>
            <w:pStyle w:val="TOC3"/>
            <w:tabs>
              <w:tab w:val="right" w:leader="dot" w:pos="9016"/>
            </w:tabs>
            <w:rPr>
              <w:rFonts w:eastAsiaTheme="minorEastAsia"/>
              <w:noProof/>
              <w:lang w:eastAsia="en-GB"/>
            </w:rPr>
          </w:pPr>
          <w:hyperlink w:anchor="_Toc127911443" w:history="1">
            <w:r w:rsidRPr="00682679">
              <w:rPr>
                <w:rStyle w:val="Hyperlink"/>
                <w:noProof/>
              </w:rPr>
              <w:t>Proximate analysis</w:t>
            </w:r>
            <w:r>
              <w:rPr>
                <w:noProof/>
                <w:webHidden/>
              </w:rPr>
              <w:tab/>
            </w:r>
            <w:r>
              <w:rPr>
                <w:noProof/>
                <w:webHidden/>
              </w:rPr>
              <w:fldChar w:fldCharType="begin"/>
            </w:r>
            <w:r>
              <w:rPr>
                <w:noProof/>
                <w:webHidden/>
              </w:rPr>
              <w:instrText xml:space="preserve"> PAGEREF _Toc127911443 \h </w:instrText>
            </w:r>
            <w:r>
              <w:rPr>
                <w:noProof/>
                <w:webHidden/>
              </w:rPr>
            </w:r>
            <w:r>
              <w:rPr>
                <w:noProof/>
                <w:webHidden/>
              </w:rPr>
              <w:fldChar w:fldCharType="separate"/>
            </w:r>
            <w:r>
              <w:rPr>
                <w:noProof/>
                <w:webHidden/>
              </w:rPr>
              <w:t>31</w:t>
            </w:r>
            <w:r>
              <w:rPr>
                <w:noProof/>
                <w:webHidden/>
              </w:rPr>
              <w:fldChar w:fldCharType="end"/>
            </w:r>
          </w:hyperlink>
        </w:p>
        <w:p w14:paraId="601CF5A2" w14:textId="0D05EF3E" w:rsidR="00AB2C33" w:rsidRDefault="00AB2C33">
          <w:pPr>
            <w:pStyle w:val="TOC3"/>
            <w:tabs>
              <w:tab w:val="right" w:leader="dot" w:pos="9016"/>
            </w:tabs>
            <w:rPr>
              <w:rFonts w:eastAsiaTheme="minorEastAsia"/>
              <w:noProof/>
              <w:lang w:eastAsia="en-GB"/>
            </w:rPr>
          </w:pPr>
          <w:hyperlink w:anchor="_Toc127911444" w:history="1">
            <w:r w:rsidRPr="00682679">
              <w:rPr>
                <w:rStyle w:val="Hyperlink"/>
                <w:noProof/>
              </w:rPr>
              <w:t>Ultimate analysis</w:t>
            </w:r>
            <w:r>
              <w:rPr>
                <w:noProof/>
                <w:webHidden/>
              </w:rPr>
              <w:tab/>
            </w:r>
            <w:r>
              <w:rPr>
                <w:noProof/>
                <w:webHidden/>
              </w:rPr>
              <w:fldChar w:fldCharType="begin"/>
            </w:r>
            <w:r>
              <w:rPr>
                <w:noProof/>
                <w:webHidden/>
              </w:rPr>
              <w:instrText xml:space="preserve"> PAGEREF _Toc127911444 \h </w:instrText>
            </w:r>
            <w:r>
              <w:rPr>
                <w:noProof/>
                <w:webHidden/>
              </w:rPr>
            </w:r>
            <w:r>
              <w:rPr>
                <w:noProof/>
                <w:webHidden/>
              </w:rPr>
              <w:fldChar w:fldCharType="separate"/>
            </w:r>
            <w:r>
              <w:rPr>
                <w:noProof/>
                <w:webHidden/>
              </w:rPr>
              <w:t>34</w:t>
            </w:r>
            <w:r>
              <w:rPr>
                <w:noProof/>
                <w:webHidden/>
              </w:rPr>
              <w:fldChar w:fldCharType="end"/>
            </w:r>
          </w:hyperlink>
        </w:p>
        <w:p w14:paraId="520820CA" w14:textId="1DBC2705" w:rsidR="00AB2C33" w:rsidRDefault="00AB2C33">
          <w:pPr>
            <w:pStyle w:val="TOC3"/>
            <w:tabs>
              <w:tab w:val="right" w:leader="dot" w:pos="9016"/>
            </w:tabs>
            <w:rPr>
              <w:rFonts w:eastAsiaTheme="minorEastAsia"/>
              <w:noProof/>
              <w:lang w:eastAsia="en-GB"/>
            </w:rPr>
          </w:pPr>
          <w:hyperlink w:anchor="_Toc127911445" w:history="1">
            <w:r w:rsidRPr="00682679">
              <w:rPr>
                <w:rStyle w:val="Hyperlink"/>
                <w:noProof/>
              </w:rPr>
              <w:t>Calorific value</w:t>
            </w:r>
            <w:r>
              <w:rPr>
                <w:noProof/>
                <w:webHidden/>
              </w:rPr>
              <w:tab/>
            </w:r>
            <w:r>
              <w:rPr>
                <w:noProof/>
                <w:webHidden/>
              </w:rPr>
              <w:fldChar w:fldCharType="begin"/>
            </w:r>
            <w:r>
              <w:rPr>
                <w:noProof/>
                <w:webHidden/>
              </w:rPr>
              <w:instrText xml:space="preserve"> PAGEREF _Toc127911445 \h </w:instrText>
            </w:r>
            <w:r>
              <w:rPr>
                <w:noProof/>
                <w:webHidden/>
              </w:rPr>
            </w:r>
            <w:r>
              <w:rPr>
                <w:noProof/>
                <w:webHidden/>
              </w:rPr>
              <w:fldChar w:fldCharType="separate"/>
            </w:r>
            <w:r>
              <w:rPr>
                <w:noProof/>
                <w:webHidden/>
              </w:rPr>
              <w:t>35</w:t>
            </w:r>
            <w:r>
              <w:rPr>
                <w:noProof/>
                <w:webHidden/>
              </w:rPr>
              <w:fldChar w:fldCharType="end"/>
            </w:r>
          </w:hyperlink>
        </w:p>
        <w:p w14:paraId="1CDED687" w14:textId="665F9D6D" w:rsidR="00AB2C33" w:rsidRDefault="00AB2C33">
          <w:pPr>
            <w:pStyle w:val="TOC3"/>
            <w:tabs>
              <w:tab w:val="right" w:leader="dot" w:pos="9016"/>
            </w:tabs>
            <w:rPr>
              <w:rFonts w:eastAsiaTheme="minorEastAsia"/>
              <w:noProof/>
              <w:lang w:eastAsia="en-GB"/>
            </w:rPr>
          </w:pPr>
          <w:hyperlink w:anchor="_Toc127911446" w:history="1">
            <w:r w:rsidRPr="00682679">
              <w:rPr>
                <w:rStyle w:val="Hyperlink"/>
                <w:noProof/>
              </w:rPr>
              <w:t>Major Elemental Analysis</w:t>
            </w:r>
            <w:r>
              <w:rPr>
                <w:noProof/>
                <w:webHidden/>
              </w:rPr>
              <w:tab/>
            </w:r>
            <w:r>
              <w:rPr>
                <w:noProof/>
                <w:webHidden/>
              </w:rPr>
              <w:fldChar w:fldCharType="begin"/>
            </w:r>
            <w:r>
              <w:rPr>
                <w:noProof/>
                <w:webHidden/>
              </w:rPr>
              <w:instrText xml:space="preserve"> PAGEREF _Toc127911446 \h </w:instrText>
            </w:r>
            <w:r>
              <w:rPr>
                <w:noProof/>
                <w:webHidden/>
              </w:rPr>
            </w:r>
            <w:r>
              <w:rPr>
                <w:noProof/>
                <w:webHidden/>
              </w:rPr>
              <w:fldChar w:fldCharType="separate"/>
            </w:r>
            <w:r>
              <w:rPr>
                <w:noProof/>
                <w:webHidden/>
              </w:rPr>
              <w:t>35</w:t>
            </w:r>
            <w:r>
              <w:rPr>
                <w:noProof/>
                <w:webHidden/>
              </w:rPr>
              <w:fldChar w:fldCharType="end"/>
            </w:r>
          </w:hyperlink>
        </w:p>
        <w:p w14:paraId="2BD8B729" w14:textId="6F61EB1F" w:rsidR="00AB2C33" w:rsidRDefault="00AB2C33">
          <w:pPr>
            <w:pStyle w:val="TOC3"/>
            <w:tabs>
              <w:tab w:val="right" w:leader="dot" w:pos="9016"/>
            </w:tabs>
            <w:rPr>
              <w:rFonts w:eastAsiaTheme="minorEastAsia"/>
              <w:noProof/>
              <w:lang w:eastAsia="en-GB"/>
            </w:rPr>
          </w:pPr>
          <w:hyperlink w:anchor="_Toc127911447" w:history="1">
            <w:r w:rsidRPr="00682679">
              <w:rPr>
                <w:rStyle w:val="Hyperlink"/>
                <w:noProof/>
              </w:rPr>
              <w:t>Minor elemental analysis</w:t>
            </w:r>
            <w:r>
              <w:rPr>
                <w:noProof/>
                <w:webHidden/>
              </w:rPr>
              <w:tab/>
            </w:r>
            <w:r>
              <w:rPr>
                <w:noProof/>
                <w:webHidden/>
              </w:rPr>
              <w:fldChar w:fldCharType="begin"/>
            </w:r>
            <w:r>
              <w:rPr>
                <w:noProof/>
                <w:webHidden/>
              </w:rPr>
              <w:instrText xml:space="preserve"> PAGEREF _Toc127911447 \h </w:instrText>
            </w:r>
            <w:r>
              <w:rPr>
                <w:noProof/>
                <w:webHidden/>
              </w:rPr>
            </w:r>
            <w:r>
              <w:rPr>
                <w:noProof/>
                <w:webHidden/>
              </w:rPr>
              <w:fldChar w:fldCharType="separate"/>
            </w:r>
            <w:r>
              <w:rPr>
                <w:noProof/>
                <w:webHidden/>
              </w:rPr>
              <w:t>36</w:t>
            </w:r>
            <w:r>
              <w:rPr>
                <w:noProof/>
                <w:webHidden/>
              </w:rPr>
              <w:fldChar w:fldCharType="end"/>
            </w:r>
          </w:hyperlink>
        </w:p>
        <w:p w14:paraId="33F769A0" w14:textId="6BE65340" w:rsidR="00AB2C33" w:rsidRDefault="00AB2C33">
          <w:pPr>
            <w:pStyle w:val="TOC3"/>
            <w:tabs>
              <w:tab w:val="right" w:leader="dot" w:pos="9016"/>
            </w:tabs>
            <w:rPr>
              <w:rFonts w:eastAsiaTheme="minorEastAsia"/>
              <w:noProof/>
              <w:lang w:eastAsia="en-GB"/>
            </w:rPr>
          </w:pPr>
          <w:hyperlink w:anchor="_Toc127911448" w:history="1">
            <w:r w:rsidRPr="00682679">
              <w:rPr>
                <w:rStyle w:val="Hyperlink"/>
                <w:noProof/>
              </w:rPr>
              <w:t>Particle size distribution</w:t>
            </w:r>
            <w:r>
              <w:rPr>
                <w:noProof/>
                <w:webHidden/>
              </w:rPr>
              <w:tab/>
            </w:r>
            <w:r>
              <w:rPr>
                <w:noProof/>
                <w:webHidden/>
              </w:rPr>
              <w:fldChar w:fldCharType="begin"/>
            </w:r>
            <w:r>
              <w:rPr>
                <w:noProof/>
                <w:webHidden/>
              </w:rPr>
              <w:instrText xml:space="preserve"> PAGEREF _Toc127911448 \h </w:instrText>
            </w:r>
            <w:r>
              <w:rPr>
                <w:noProof/>
                <w:webHidden/>
              </w:rPr>
            </w:r>
            <w:r>
              <w:rPr>
                <w:noProof/>
                <w:webHidden/>
              </w:rPr>
              <w:fldChar w:fldCharType="separate"/>
            </w:r>
            <w:r>
              <w:rPr>
                <w:noProof/>
                <w:webHidden/>
              </w:rPr>
              <w:t>36</w:t>
            </w:r>
            <w:r>
              <w:rPr>
                <w:noProof/>
                <w:webHidden/>
              </w:rPr>
              <w:fldChar w:fldCharType="end"/>
            </w:r>
          </w:hyperlink>
        </w:p>
        <w:p w14:paraId="359BEEC6" w14:textId="271F1E9C" w:rsidR="00AB2C33" w:rsidRDefault="00AB2C33">
          <w:pPr>
            <w:pStyle w:val="TOC2"/>
            <w:tabs>
              <w:tab w:val="right" w:leader="dot" w:pos="9016"/>
            </w:tabs>
            <w:rPr>
              <w:rFonts w:eastAsiaTheme="minorEastAsia"/>
              <w:noProof/>
              <w:lang w:eastAsia="en-GB"/>
            </w:rPr>
          </w:pPr>
          <w:hyperlink w:anchor="_Toc127911449" w:history="1">
            <w:r w:rsidRPr="00682679">
              <w:rPr>
                <w:rStyle w:val="Hyperlink"/>
                <w:noProof/>
              </w:rPr>
              <w:t>Assessing biochar substitution in pulverised coal injection (PCI)</w:t>
            </w:r>
            <w:r>
              <w:rPr>
                <w:noProof/>
                <w:webHidden/>
              </w:rPr>
              <w:tab/>
            </w:r>
            <w:r>
              <w:rPr>
                <w:noProof/>
                <w:webHidden/>
              </w:rPr>
              <w:fldChar w:fldCharType="begin"/>
            </w:r>
            <w:r>
              <w:rPr>
                <w:noProof/>
                <w:webHidden/>
              </w:rPr>
              <w:instrText xml:space="preserve"> PAGEREF _Toc127911449 \h </w:instrText>
            </w:r>
            <w:r>
              <w:rPr>
                <w:noProof/>
                <w:webHidden/>
              </w:rPr>
            </w:r>
            <w:r>
              <w:rPr>
                <w:noProof/>
                <w:webHidden/>
              </w:rPr>
              <w:fldChar w:fldCharType="separate"/>
            </w:r>
            <w:r>
              <w:rPr>
                <w:noProof/>
                <w:webHidden/>
              </w:rPr>
              <w:t>37</w:t>
            </w:r>
            <w:r>
              <w:rPr>
                <w:noProof/>
                <w:webHidden/>
              </w:rPr>
              <w:fldChar w:fldCharType="end"/>
            </w:r>
          </w:hyperlink>
        </w:p>
        <w:p w14:paraId="3A23FEFE" w14:textId="4731F701" w:rsidR="00AB2C33" w:rsidRDefault="00AB2C33">
          <w:pPr>
            <w:pStyle w:val="TOC3"/>
            <w:tabs>
              <w:tab w:val="right" w:leader="dot" w:pos="9016"/>
            </w:tabs>
            <w:rPr>
              <w:rFonts w:eastAsiaTheme="minorEastAsia"/>
              <w:noProof/>
              <w:lang w:eastAsia="en-GB"/>
            </w:rPr>
          </w:pPr>
          <w:hyperlink w:anchor="_Toc127911450" w:history="1">
            <w:r w:rsidRPr="00682679">
              <w:rPr>
                <w:rStyle w:val="Hyperlink"/>
                <w:noProof/>
              </w:rPr>
              <w:t>Drop tube furnace.</w:t>
            </w:r>
            <w:r>
              <w:rPr>
                <w:noProof/>
                <w:webHidden/>
              </w:rPr>
              <w:tab/>
            </w:r>
            <w:r>
              <w:rPr>
                <w:noProof/>
                <w:webHidden/>
              </w:rPr>
              <w:fldChar w:fldCharType="begin"/>
            </w:r>
            <w:r>
              <w:rPr>
                <w:noProof/>
                <w:webHidden/>
              </w:rPr>
              <w:instrText xml:space="preserve"> PAGEREF _Toc127911450 \h </w:instrText>
            </w:r>
            <w:r>
              <w:rPr>
                <w:noProof/>
                <w:webHidden/>
              </w:rPr>
            </w:r>
            <w:r>
              <w:rPr>
                <w:noProof/>
                <w:webHidden/>
              </w:rPr>
              <w:fldChar w:fldCharType="separate"/>
            </w:r>
            <w:r>
              <w:rPr>
                <w:noProof/>
                <w:webHidden/>
              </w:rPr>
              <w:t>37</w:t>
            </w:r>
            <w:r>
              <w:rPr>
                <w:noProof/>
                <w:webHidden/>
              </w:rPr>
              <w:fldChar w:fldCharType="end"/>
            </w:r>
          </w:hyperlink>
        </w:p>
        <w:p w14:paraId="11FA20AE" w14:textId="08A43D0E" w:rsidR="00AB2C33" w:rsidRDefault="00AB2C33">
          <w:pPr>
            <w:pStyle w:val="TOC2"/>
            <w:tabs>
              <w:tab w:val="right" w:leader="dot" w:pos="9016"/>
            </w:tabs>
            <w:rPr>
              <w:rFonts w:eastAsiaTheme="minorEastAsia"/>
              <w:noProof/>
              <w:lang w:eastAsia="en-GB"/>
            </w:rPr>
          </w:pPr>
          <w:hyperlink w:anchor="_Toc127911451" w:history="1">
            <w:r w:rsidRPr="00682679">
              <w:rPr>
                <w:rStyle w:val="Hyperlink"/>
                <w:noProof/>
              </w:rPr>
              <w:t>Assessing biochar substitution in coke making</w:t>
            </w:r>
            <w:r>
              <w:rPr>
                <w:noProof/>
                <w:webHidden/>
              </w:rPr>
              <w:tab/>
            </w:r>
            <w:r>
              <w:rPr>
                <w:noProof/>
                <w:webHidden/>
              </w:rPr>
              <w:fldChar w:fldCharType="begin"/>
            </w:r>
            <w:r>
              <w:rPr>
                <w:noProof/>
                <w:webHidden/>
              </w:rPr>
              <w:instrText xml:space="preserve"> PAGEREF _Toc127911451 \h </w:instrText>
            </w:r>
            <w:r>
              <w:rPr>
                <w:noProof/>
                <w:webHidden/>
              </w:rPr>
            </w:r>
            <w:r>
              <w:rPr>
                <w:noProof/>
                <w:webHidden/>
              </w:rPr>
              <w:fldChar w:fldCharType="separate"/>
            </w:r>
            <w:r>
              <w:rPr>
                <w:noProof/>
                <w:webHidden/>
              </w:rPr>
              <w:t>39</w:t>
            </w:r>
            <w:r>
              <w:rPr>
                <w:noProof/>
                <w:webHidden/>
              </w:rPr>
              <w:fldChar w:fldCharType="end"/>
            </w:r>
          </w:hyperlink>
        </w:p>
        <w:p w14:paraId="43C474D9" w14:textId="032F77B2" w:rsidR="00AB2C33" w:rsidRDefault="00AB2C33">
          <w:pPr>
            <w:pStyle w:val="TOC3"/>
            <w:tabs>
              <w:tab w:val="right" w:leader="dot" w:pos="9016"/>
            </w:tabs>
            <w:rPr>
              <w:rFonts w:eastAsiaTheme="minorEastAsia"/>
              <w:noProof/>
              <w:lang w:eastAsia="en-GB"/>
            </w:rPr>
          </w:pPr>
          <w:hyperlink w:anchor="_Toc127911452" w:history="1">
            <w:r w:rsidRPr="00682679">
              <w:rPr>
                <w:rStyle w:val="Hyperlink"/>
                <w:noProof/>
              </w:rPr>
              <w:t>Pilot scale coke oven</w:t>
            </w:r>
            <w:r>
              <w:rPr>
                <w:noProof/>
                <w:webHidden/>
              </w:rPr>
              <w:tab/>
            </w:r>
            <w:r>
              <w:rPr>
                <w:noProof/>
                <w:webHidden/>
              </w:rPr>
              <w:fldChar w:fldCharType="begin"/>
            </w:r>
            <w:r>
              <w:rPr>
                <w:noProof/>
                <w:webHidden/>
              </w:rPr>
              <w:instrText xml:space="preserve"> PAGEREF _Toc127911452 \h </w:instrText>
            </w:r>
            <w:r>
              <w:rPr>
                <w:noProof/>
                <w:webHidden/>
              </w:rPr>
            </w:r>
            <w:r>
              <w:rPr>
                <w:noProof/>
                <w:webHidden/>
              </w:rPr>
              <w:fldChar w:fldCharType="separate"/>
            </w:r>
            <w:r>
              <w:rPr>
                <w:noProof/>
                <w:webHidden/>
              </w:rPr>
              <w:t>39</w:t>
            </w:r>
            <w:r>
              <w:rPr>
                <w:noProof/>
                <w:webHidden/>
              </w:rPr>
              <w:fldChar w:fldCharType="end"/>
            </w:r>
          </w:hyperlink>
        </w:p>
        <w:p w14:paraId="62C3872A" w14:textId="231121DB" w:rsidR="00AB2C33" w:rsidRDefault="00AB2C33">
          <w:pPr>
            <w:pStyle w:val="TOC3"/>
            <w:tabs>
              <w:tab w:val="right" w:leader="dot" w:pos="9016"/>
            </w:tabs>
            <w:rPr>
              <w:rFonts w:eastAsiaTheme="minorEastAsia"/>
              <w:noProof/>
              <w:lang w:eastAsia="en-GB"/>
            </w:rPr>
          </w:pPr>
          <w:hyperlink w:anchor="_Toc127911453" w:history="1">
            <w:r w:rsidRPr="00682679">
              <w:rPr>
                <w:rStyle w:val="Hyperlink"/>
                <w:noProof/>
              </w:rPr>
              <w:t>1/5th Micum – Mechanical Strength</w:t>
            </w:r>
            <w:r>
              <w:rPr>
                <w:noProof/>
                <w:webHidden/>
              </w:rPr>
              <w:tab/>
            </w:r>
            <w:r>
              <w:rPr>
                <w:noProof/>
                <w:webHidden/>
              </w:rPr>
              <w:fldChar w:fldCharType="begin"/>
            </w:r>
            <w:r>
              <w:rPr>
                <w:noProof/>
                <w:webHidden/>
              </w:rPr>
              <w:instrText xml:space="preserve"> PAGEREF _Toc127911453 \h </w:instrText>
            </w:r>
            <w:r>
              <w:rPr>
                <w:noProof/>
                <w:webHidden/>
              </w:rPr>
            </w:r>
            <w:r>
              <w:rPr>
                <w:noProof/>
                <w:webHidden/>
              </w:rPr>
              <w:fldChar w:fldCharType="separate"/>
            </w:r>
            <w:r>
              <w:rPr>
                <w:noProof/>
                <w:webHidden/>
              </w:rPr>
              <w:t>42</w:t>
            </w:r>
            <w:r>
              <w:rPr>
                <w:noProof/>
                <w:webHidden/>
              </w:rPr>
              <w:fldChar w:fldCharType="end"/>
            </w:r>
          </w:hyperlink>
        </w:p>
        <w:p w14:paraId="02254A67" w14:textId="4CCEDEA7" w:rsidR="00AB2C33" w:rsidRDefault="00AB2C33">
          <w:pPr>
            <w:pStyle w:val="TOC3"/>
            <w:tabs>
              <w:tab w:val="right" w:leader="dot" w:pos="9016"/>
            </w:tabs>
            <w:rPr>
              <w:rFonts w:eastAsiaTheme="minorEastAsia"/>
              <w:noProof/>
              <w:lang w:eastAsia="en-GB"/>
            </w:rPr>
          </w:pPr>
          <w:hyperlink w:anchor="_Toc127911454" w:history="1">
            <w:r w:rsidRPr="00682679">
              <w:rPr>
                <w:rStyle w:val="Hyperlink"/>
                <w:noProof/>
              </w:rPr>
              <w:t>Coke strength after reaction and Coke reactivity index (CSR/CRI)</w:t>
            </w:r>
            <w:r>
              <w:rPr>
                <w:noProof/>
                <w:webHidden/>
              </w:rPr>
              <w:tab/>
            </w:r>
            <w:r>
              <w:rPr>
                <w:noProof/>
                <w:webHidden/>
              </w:rPr>
              <w:fldChar w:fldCharType="begin"/>
            </w:r>
            <w:r>
              <w:rPr>
                <w:noProof/>
                <w:webHidden/>
              </w:rPr>
              <w:instrText xml:space="preserve"> PAGEREF _Toc127911454 \h </w:instrText>
            </w:r>
            <w:r>
              <w:rPr>
                <w:noProof/>
                <w:webHidden/>
              </w:rPr>
            </w:r>
            <w:r>
              <w:rPr>
                <w:noProof/>
                <w:webHidden/>
              </w:rPr>
              <w:fldChar w:fldCharType="separate"/>
            </w:r>
            <w:r>
              <w:rPr>
                <w:noProof/>
                <w:webHidden/>
              </w:rPr>
              <w:t>43</w:t>
            </w:r>
            <w:r>
              <w:rPr>
                <w:noProof/>
                <w:webHidden/>
              </w:rPr>
              <w:fldChar w:fldCharType="end"/>
            </w:r>
          </w:hyperlink>
        </w:p>
        <w:p w14:paraId="6BA3F35C" w14:textId="7C73586B" w:rsidR="00AB2C33" w:rsidRDefault="00AB2C33">
          <w:pPr>
            <w:pStyle w:val="TOC2"/>
            <w:tabs>
              <w:tab w:val="right" w:leader="dot" w:pos="9016"/>
            </w:tabs>
            <w:rPr>
              <w:rFonts w:eastAsiaTheme="minorEastAsia"/>
              <w:noProof/>
              <w:lang w:eastAsia="en-GB"/>
            </w:rPr>
          </w:pPr>
          <w:hyperlink w:anchor="_Toc127911455" w:history="1">
            <w:r w:rsidRPr="00682679">
              <w:rPr>
                <w:rStyle w:val="Hyperlink"/>
                <w:noProof/>
              </w:rPr>
              <w:t>Assessing biochar substitution in sinter making</w:t>
            </w:r>
            <w:r>
              <w:rPr>
                <w:noProof/>
                <w:webHidden/>
              </w:rPr>
              <w:tab/>
            </w:r>
            <w:r>
              <w:rPr>
                <w:noProof/>
                <w:webHidden/>
              </w:rPr>
              <w:fldChar w:fldCharType="begin"/>
            </w:r>
            <w:r>
              <w:rPr>
                <w:noProof/>
                <w:webHidden/>
              </w:rPr>
              <w:instrText xml:space="preserve"> PAGEREF _Toc127911455 \h </w:instrText>
            </w:r>
            <w:r>
              <w:rPr>
                <w:noProof/>
                <w:webHidden/>
              </w:rPr>
            </w:r>
            <w:r>
              <w:rPr>
                <w:noProof/>
                <w:webHidden/>
              </w:rPr>
              <w:fldChar w:fldCharType="separate"/>
            </w:r>
            <w:r>
              <w:rPr>
                <w:noProof/>
                <w:webHidden/>
              </w:rPr>
              <w:t>45</w:t>
            </w:r>
            <w:r>
              <w:rPr>
                <w:noProof/>
                <w:webHidden/>
              </w:rPr>
              <w:fldChar w:fldCharType="end"/>
            </w:r>
          </w:hyperlink>
        </w:p>
        <w:p w14:paraId="0BBBF522" w14:textId="178B89E7" w:rsidR="00AB2C33" w:rsidRDefault="00AB2C33">
          <w:pPr>
            <w:pStyle w:val="TOC3"/>
            <w:tabs>
              <w:tab w:val="right" w:leader="dot" w:pos="9016"/>
            </w:tabs>
            <w:rPr>
              <w:rFonts w:eastAsiaTheme="minorEastAsia"/>
              <w:noProof/>
              <w:lang w:eastAsia="en-GB"/>
            </w:rPr>
          </w:pPr>
          <w:hyperlink w:anchor="_Toc127911456" w:history="1">
            <w:r w:rsidRPr="00682679">
              <w:rPr>
                <w:rStyle w:val="Hyperlink"/>
                <w:noProof/>
              </w:rPr>
              <w:t>Sinter pot</w:t>
            </w:r>
            <w:r>
              <w:rPr>
                <w:noProof/>
                <w:webHidden/>
              </w:rPr>
              <w:tab/>
            </w:r>
            <w:r>
              <w:rPr>
                <w:noProof/>
                <w:webHidden/>
              </w:rPr>
              <w:fldChar w:fldCharType="begin"/>
            </w:r>
            <w:r>
              <w:rPr>
                <w:noProof/>
                <w:webHidden/>
              </w:rPr>
              <w:instrText xml:space="preserve"> PAGEREF _Toc127911456 \h </w:instrText>
            </w:r>
            <w:r>
              <w:rPr>
                <w:noProof/>
                <w:webHidden/>
              </w:rPr>
            </w:r>
            <w:r>
              <w:rPr>
                <w:noProof/>
                <w:webHidden/>
              </w:rPr>
              <w:fldChar w:fldCharType="separate"/>
            </w:r>
            <w:r>
              <w:rPr>
                <w:noProof/>
                <w:webHidden/>
              </w:rPr>
              <w:t>45</w:t>
            </w:r>
            <w:r>
              <w:rPr>
                <w:noProof/>
                <w:webHidden/>
              </w:rPr>
              <w:fldChar w:fldCharType="end"/>
            </w:r>
          </w:hyperlink>
        </w:p>
        <w:p w14:paraId="44B7C256" w14:textId="4B9DF57A" w:rsidR="00AB2C33" w:rsidRDefault="00AB2C33">
          <w:pPr>
            <w:pStyle w:val="TOC3"/>
            <w:tabs>
              <w:tab w:val="right" w:leader="dot" w:pos="9016"/>
            </w:tabs>
            <w:rPr>
              <w:rFonts w:eastAsiaTheme="minorEastAsia"/>
              <w:noProof/>
              <w:lang w:eastAsia="en-GB"/>
            </w:rPr>
          </w:pPr>
          <w:hyperlink w:anchor="_Toc127911457" w:history="1">
            <w:r w:rsidRPr="00682679">
              <w:rPr>
                <w:rStyle w:val="Hyperlink"/>
                <w:noProof/>
              </w:rPr>
              <w:t>Determination of low-temperature reduction disintegration indices</w:t>
            </w:r>
            <w:r>
              <w:rPr>
                <w:noProof/>
                <w:webHidden/>
              </w:rPr>
              <w:tab/>
            </w:r>
            <w:r>
              <w:rPr>
                <w:noProof/>
                <w:webHidden/>
              </w:rPr>
              <w:fldChar w:fldCharType="begin"/>
            </w:r>
            <w:r>
              <w:rPr>
                <w:noProof/>
                <w:webHidden/>
              </w:rPr>
              <w:instrText xml:space="preserve"> PAGEREF _Toc127911457 \h </w:instrText>
            </w:r>
            <w:r>
              <w:rPr>
                <w:noProof/>
                <w:webHidden/>
              </w:rPr>
            </w:r>
            <w:r>
              <w:rPr>
                <w:noProof/>
                <w:webHidden/>
              </w:rPr>
              <w:fldChar w:fldCharType="separate"/>
            </w:r>
            <w:r>
              <w:rPr>
                <w:noProof/>
                <w:webHidden/>
              </w:rPr>
              <w:t>47</w:t>
            </w:r>
            <w:r>
              <w:rPr>
                <w:noProof/>
                <w:webHidden/>
              </w:rPr>
              <w:fldChar w:fldCharType="end"/>
            </w:r>
          </w:hyperlink>
        </w:p>
        <w:p w14:paraId="58A744CB" w14:textId="5B44D37F" w:rsidR="00AB2C33" w:rsidRDefault="00AB2C33">
          <w:pPr>
            <w:pStyle w:val="TOC3"/>
            <w:tabs>
              <w:tab w:val="right" w:leader="dot" w:pos="9016"/>
            </w:tabs>
            <w:rPr>
              <w:rFonts w:eastAsiaTheme="minorEastAsia"/>
              <w:noProof/>
              <w:lang w:eastAsia="en-GB"/>
            </w:rPr>
          </w:pPr>
          <w:hyperlink w:anchor="_Toc127911458" w:history="1">
            <w:r w:rsidRPr="00682679">
              <w:rPr>
                <w:rStyle w:val="Hyperlink"/>
                <w:noProof/>
              </w:rPr>
              <w:t>Tumble and Abrasion indices</w:t>
            </w:r>
            <w:r>
              <w:rPr>
                <w:noProof/>
                <w:webHidden/>
              </w:rPr>
              <w:tab/>
            </w:r>
            <w:r>
              <w:rPr>
                <w:noProof/>
                <w:webHidden/>
              </w:rPr>
              <w:fldChar w:fldCharType="begin"/>
            </w:r>
            <w:r>
              <w:rPr>
                <w:noProof/>
                <w:webHidden/>
              </w:rPr>
              <w:instrText xml:space="preserve"> PAGEREF _Toc127911458 \h </w:instrText>
            </w:r>
            <w:r>
              <w:rPr>
                <w:noProof/>
                <w:webHidden/>
              </w:rPr>
            </w:r>
            <w:r>
              <w:rPr>
                <w:noProof/>
                <w:webHidden/>
              </w:rPr>
              <w:fldChar w:fldCharType="separate"/>
            </w:r>
            <w:r>
              <w:rPr>
                <w:noProof/>
                <w:webHidden/>
              </w:rPr>
              <w:t>48</w:t>
            </w:r>
            <w:r>
              <w:rPr>
                <w:noProof/>
                <w:webHidden/>
              </w:rPr>
              <w:fldChar w:fldCharType="end"/>
            </w:r>
          </w:hyperlink>
        </w:p>
        <w:p w14:paraId="2406FAA3" w14:textId="24E51E63" w:rsidR="00AB2C33" w:rsidRDefault="00AB2C33">
          <w:pPr>
            <w:pStyle w:val="TOC3"/>
            <w:tabs>
              <w:tab w:val="right" w:leader="dot" w:pos="9016"/>
            </w:tabs>
            <w:rPr>
              <w:rFonts w:eastAsiaTheme="minorEastAsia"/>
              <w:noProof/>
              <w:lang w:eastAsia="en-GB"/>
            </w:rPr>
          </w:pPr>
          <w:hyperlink w:anchor="_Toc127911459" w:history="1">
            <w:r w:rsidRPr="00682679">
              <w:rPr>
                <w:rStyle w:val="Hyperlink"/>
                <w:noProof/>
              </w:rPr>
              <w:t>Quality Control</w:t>
            </w:r>
            <w:r>
              <w:rPr>
                <w:noProof/>
                <w:webHidden/>
              </w:rPr>
              <w:tab/>
            </w:r>
            <w:r>
              <w:rPr>
                <w:noProof/>
                <w:webHidden/>
              </w:rPr>
              <w:fldChar w:fldCharType="begin"/>
            </w:r>
            <w:r>
              <w:rPr>
                <w:noProof/>
                <w:webHidden/>
              </w:rPr>
              <w:instrText xml:space="preserve"> PAGEREF _Toc127911459 \h </w:instrText>
            </w:r>
            <w:r>
              <w:rPr>
                <w:noProof/>
                <w:webHidden/>
              </w:rPr>
            </w:r>
            <w:r>
              <w:rPr>
                <w:noProof/>
                <w:webHidden/>
              </w:rPr>
              <w:fldChar w:fldCharType="separate"/>
            </w:r>
            <w:r>
              <w:rPr>
                <w:noProof/>
                <w:webHidden/>
              </w:rPr>
              <w:t>49</w:t>
            </w:r>
            <w:r>
              <w:rPr>
                <w:noProof/>
                <w:webHidden/>
              </w:rPr>
              <w:fldChar w:fldCharType="end"/>
            </w:r>
          </w:hyperlink>
        </w:p>
        <w:p w14:paraId="3AC9FF5B" w14:textId="08B14C1A" w:rsidR="00AB2C33" w:rsidRDefault="00AB2C33">
          <w:pPr>
            <w:pStyle w:val="TOC1"/>
            <w:tabs>
              <w:tab w:val="right" w:leader="dot" w:pos="9016"/>
            </w:tabs>
            <w:rPr>
              <w:rFonts w:eastAsiaTheme="minorEastAsia"/>
              <w:noProof/>
              <w:lang w:eastAsia="en-GB"/>
            </w:rPr>
          </w:pPr>
          <w:hyperlink w:anchor="_Toc127911460" w:history="1">
            <w:r w:rsidRPr="00682679">
              <w:rPr>
                <w:rStyle w:val="Hyperlink"/>
                <w:noProof/>
              </w:rPr>
              <w:t>Results</w:t>
            </w:r>
            <w:r>
              <w:rPr>
                <w:noProof/>
                <w:webHidden/>
              </w:rPr>
              <w:tab/>
            </w:r>
            <w:r>
              <w:rPr>
                <w:noProof/>
                <w:webHidden/>
              </w:rPr>
              <w:fldChar w:fldCharType="begin"/>
            </w:r>
            <w:r>
              <w:rPr>
                <w:noProof/>
                <w:webHidden/>
              </w:rPr>
              <w:instrText xml:space="preserve"> PAGEREF _Toc127911460 \h </w:instrText>
            </w:r>
            <w:r>
              <w:rPr>
                <w:noProof/>
                <w:webHidden/>
              </w:rPr>
            </w:r>
            <w:r>
              <w:rPr>
                <w:noProof/>
                <w:webHidden/>
              </w:rPr>
              <w:fldChar w:fldCharType="separate"/>
            </w:r>
            <w:r>
              <w:rPr>
                <w:noProof/>
                <w:webHidden/>
              </w:rPr>
              <w:t>50</w:t>
            </w:r>
            <w:r>
              <w:rPr>
                <w:noProof/>
                <w:webHidden/>
              </w:rPr>
              <w:fldChar w:fldCharType="end"/>
            </w:r>
          </w:hyperlink>
        </w:p>
        <w:p w14:paraId="72560C1D" w14:textId="577C358D" w:rsidR="00AB2C33" w:rsidRDefault="00AB2C33">
          <w:pPr>
            <w:pStyle w:val="TOC2"/>
            <w:tabs>
              <w:tab w:val="right" w:leader="dot" w:pos="9016"/>
            </w:tabs>
            <w:rPr>
              <w:rFonts w:eastAsiaTheme="minorEastAsia"/>
              <w:noProof/>
              <w:lang w:eastAsia="en-GB"/>
            </w:rPr>
          </w:pPr>
          <w:hyperlink w:anchor="_Toc127911461" w:history="1">
            <w:r w:rsidRPr="00682679">
              <w:rPr>
                <w:rStyle w:val="Hyperlink"/>
                <w:noProof/>
              </w:rPr>
              <w:t>Biochar substitution for pulverised coal injection</w:t>
            </w:r>
            <w:r>
              <w:rPr>
                <w:noProof/>
                <w:webHidden/>
              </w:rPr>
              <w:tab/>
            </w:r>
            <w:r>
              <w:rPr>
                <w:noProof/>
                <w:webHidden/>
              </w:rPr>
              <w:fldChar w:fldCharType="begin"/>
            </w:r>
            <w:r>
              <w:rPr>
                <w:noProof/>
                <w:webHidden/>
              </w:rPr>
              <w:instrText xml:space="preserve"> PAGEREF _Toc127911461 \h </w:instrText>
            </w:r>
            <w:r>
              <w:rPr>
                <w:noProof/>
                <w:webHidden/>
              </w:rPr>
            </w:r>
            <w:r>
              <w:rPr>
                <w:noProof/>
                <w:webHidden/>
              </w:rPr>
              <w:fldChar w:fldCharType="separate"/>
            </w:r>
            <w:r>
              <w:rPr>
                <w:noProof/>
                <w:webHidden/>
              </w:rPr>
              <w:t>50</w:t>
            </w:r>
            <w:r>
              <w:rPr>
                <w:noProof/>
                <w:webHidden/>
              </w:rPr>
              <w:fldChar w:fldCharType="end"/>
            </w:r>
          </w:hyperlink>
        </w:p>
        <w:p w14:paraId="6A1BAE5E" w14:textId="5836FD44" w:rsidR="00AB2C33" w:rsidRDefault="00AB2C33">
          <w:pPr>
            <w:pStyle w:val="TOC3"/>
            <w:tabs>
              <w:tab w:val="right" w:leader="dot" w:pos="9016"/>
            </w:tabs>
            <w:rPr>
              <w:rFonts w:eastAsiaTheme="minorEastAsia"/>
              <w:noProof/>
              <w:lang w:eastAsia="en-GB"/>
            </w:rPr>
          </w:pPr>
          <w:hyperlink w:anchor="_Toc127911462" w:history="1">
            <w:r w:rsidRPr="00682679">
              <w:rPr>
                <w:rStyle w:val="Hyperlink"/>
                <w:noProof/>
              </w:rPr>
              <w:t>Properties of charcoal and PCI coal</w:t>
            </w:r>
            <w:r>
              <w:rPr>
                <w:noProof/>
                <w:webHidden/>
              </w:rPr>
              <w:tab/>
            </w:r>
            <w:r>
              <w:rPr>
                <w:noProof/>
                <w:webHidden/>
              </w:rPr>
              <w:fldChar w:fldCharType="begin"/>
            </w:r>
            <w:r>
              <w:rPr>
                <w:noProof/>
                <w:webHidden/>
              </w:rPr>
              <w:instrText xml:space="preserve"> PAGEREF _Toc127911462 \h </w:instrText>
            </w:r>
            <w:r>
              <w:rPr>
                <w:noProof/>
                <w:webHidden/>
              </w:rPr>
            </w:r>
            <w:r>
              <w:rPr>
                <w:noProof/>
                <w:webHidden/>
              </w:rPr>
              <w:fldChar w:fldCharType="separate"/>
            </w:r>
            <w:r>
              <w:rPr>
                <w:noProof/>
                <w:webHidden/>
              </w:rPr>
              <w:t>51</w:t>
            </w:r>
            <w:r>
              <w:rPr>
                <w:noProof/>
                <w:webHidden/>
              </w:rPr>
              <w:fldChar w:fldCharType="end"/>
            </w:r>
          </w:hyperlink>
        </w:p>
        <w:p w14:paraId="42FD337A" w14:textId="4DF571E6" w:rsidR="00AB2C33" w:rsidRDefault="00AB2C33">
          <w:pPr>
            <w:pStyle w:val="TOC3"/>
            <w:tabs>
              <w:tab w:val="right" w:leader="dot" w:pos="9016"/>
            </w:tabs>
            <w:rPr>
              <w:rFonts w:eastAsiaTheme="minorEastAsia"/>
              <w:noProof/>
              <w:lang w:eastAsia="en-GB"/>
            </w:rPr>
          </w:pPr>
          <w:hyperlink w:anchor="_Toc127911463" w:history="1">
            <w:r w:rsidRPr="00682679">
              <w:rPr>
                <w:rStyle w:val="Hyperlink"/>
                <w:noProof/>
              </w:rPr>
              <w:t>Chemical Composition</w:t>
            </w:r>
            <w:r>
              <w:rPr>
                <w:noProof/>
                <w:webHidden/>
              </w:rPr>
              <w:tab/>
            </w:r>
            <w:r>
              <w:rPr>
                <w:noProof/>
                <w:webHidden/>
              </w:rPr>
              <w:fldChar w:fldCharType="begin"/>
            </w:r>
            <w:r>
              <w:rPr>
                <w:noProof/>
                <w:webHidden/>
              </w:rPr>
              <w:instrText xml:space="preserve"> PAGEREF _Toc127911463 \h </w:instrText>
            </w:r>
            <w:r>
              <w:rPr>
                <w:noProof/>
                <w:webHidden/>
              </w:rPr>
            </w:r>
            <w:r>
              <w:rPr>
                <w:noProof/>
                <w:webHidden/>
              </w:rPr>
              <w:fldChar w:fldCharType="separate"/>
            </w:r>
            <w:r>
              <w:rPr>
                <w:noProof/>
                <w:webHidden/>
              </w:rPr>
              <w:t>52</w:t>
            </w:r>
            <w:r>
              <w:rPr>
                <w:noProof/>
                <w:webHidden/>
              </w:rPr>
              <w:fldChar w:fldCharType="end"/>
            </w:r>
          </w:hyperlink>
        </w:p>
        <w:p w14:paraId="06AC954F" w14:textId="4D30D7B6" w:rsidR="00AB2C33" w:rsidRDefault="00AB2C33">
          <w:pPr>
            <w:pStyle w:val="TOC3"/>
            <w:tabs>
              <w:tab w:val="right" w:leader="dot" w:pos="9016"/>
            </w:tabs>
            <w:rPr>
              <w:rFonts w:eastAsiaTheme="minorEastAsia"/>
              <w:noProof/>
              <w:lang w:eastAsia="en-GB"/>
            </w:rPr>
          </w:pPr>
          <w:hyperlink w:anchor="_Toc127911464" w:history="1">
            <w:r w:rsidRPr="00682679">
              <w:rPr>
                <w:rStyle w:val="Hyperlink"/>
                <w:noProof/>
              </w:rPr>
              <w:t>Combustibility</w:t>
            </w:r>
            <w:r>
              <w:rPr>
                <w:noProof/>
                <w:webHidden/>
              </w:rPr>
              <w:tab/>
            </w:r>
            <w:r>
              <w:rPr>
                <w:noProof/>
                <w:webHidden/>
              </w:rPr>
              <w:fldChar w:fldCharType="begin"/>
            </w:r>
            <w:r>
              <w:rPr>
                <w:noProof/>
                <w:webHidden/>
              </w:rPr>
              <w:instrText xml:space="preserve"> PAGEREF _Toc127911464 \h </w:instrText>
            </w:r>
            <w:r>
              <w:rPr>
                <w:noProof/>
                <w:webHidden/>
              </w:rPr>
            </w:r>
            <w:r>
              <w:rPr>
                <w:noProof/>
                <w:webHidden/>
              </w:rPr>
              <w:fldChar w:fldCharType="separate"/>
            </w:r>
            <w:r>
              <w:rPr>
                <w:noProof/>
                <w:webHidden/>
              </w:rPr>
              <w:t>54</w:t>
            </w:r>
            <w:r>
              <w:rPr>
                <w:noProof/>
                <w:webHidden/>
              </w:rPr>
              <w:fldChar w:fldCharType="end"/>
            </w:r>
          </w:hyperlink>
        </w:p>
        <w:p w14:paraId="25E89DD7" w14:textId="672AFF38" w:rsidR="00AB2C33" w:rsidRDefault="00AB2C33">
          <w:pPr>
            <w:pStyle w:val="TOC2"/>
            <w:tabs>
              <w:tab w:val="right" w:leader="dot" w:pos="9016"/>
            </w:tabs>
            <w:rPr>
              <w:rFonts w:eastAsiaTheme="minorEastAsia"/>
              <w:noProof/>
              <w:lang w:eastAsia="en-GB"/>
            </w:rPr>
          </w:pPr>
          <w:hyperlink w:anchor="_Toc127911465" w:history="1">
            <w:r w:rsidRPr="00682679">
              <w:rPr>
                <w:rStyle w:val="Hyperlink"/>
                <w:noProof/>
              </w:rPr>
              <w:t>Biochar substitution into coke making.</w:t>
            </w:r>
            <w:r>
              <w:rPr>
                <w:noProof/>
                <w:webHidden/>
              </w:rPr>
              <w:tab/>
            </w:r>
            <w:r>
              <w:rPr>
                <w:noProof/>
                <w:webHidden/>
              </w:rPr>
              <w:fldChar w:fldCharType="begin"/>
            </w:r>
            <w:r>
              <w:rPr>
                <w:noProof/>
                <w:webHidden/>
              </w:rPr>
              <w:instrText xml:space="preserve"> PAGEREF _Toc127911465 \h </w:instrText>
            </w:r>
            <w:r>
              <w:rPr>
                <w:noProof/>
                <w:webHidden/>
              </w:rPr>
            </w:r>
            <w:r>
              <w:rPr>
                <w:noProof/>
                <w:webHidden/>
              </w:rPr>
              <w:fldChar w:fldCharType="separate"/>
            </w:r>
            <w:r>
              <w:rPr>
                <w:noProof/>
                <w:webHidden/>
              </w:rPr>
              <w:t>56</w:t>
            </w:r>
            <w:r>
              <w:rPr>
                <w:noProof/>
                <w:webHidden/>
              </w:rPr>
              <w:fldChar w:fldCharType="end"/>
            </w:r>
          </w:hyperlink>
        </w:p>
        <w:p w14:paraId="67FC060A" w14:textId="488402FB" w:rsidR="00AB2C33" w:rsidRDefault="00AB2C33">
          <w:pPr>
            <w:pStyle w:val="TOC3"/>
            <w:tabs>
              <w:tab w:val="right" w:leader="dot" w:pos="9016"/>
            </w:tabs>
            <w:rPr>
              <w:rFonts w:eastAsiaTheme="minorEastAsia"/>
              <w:noProof/>
              <w:lang w:eastAsia="en-GB"/>
            </w:rPr>
          </w:pPr>
          <w:hyperlink w:anchor="_Toc127911466" w:history="1">
            <w:r w:rsidRPr="00682679">
              <w:rPr>
                <w:rStyle w:val="Hyperlink"/>
                <w:noProof/>
              </w:rPr>
              <w:t>Chemical properties of coking coal and biochar</w:t>
            </w:r>
            <w:r>
              <w:rPr>
                <w:noProof/>
                <w:webHidden/>
              </w:rPr>
              <w:tab/>
            </w:r>
            <w:r>
              <w:rPr>
                <w:noProof/>
                <w:webHidden/>
              </w:rPr>
              <w:fldChar w:fldCharType="begin"/>
            </w:r>
            <w:r>
              <w:rPr>
                <w:noProof/>
                <w:webHidden/>
              </w:rPr>
              <w:instrText xml:space="preserve"> PAGEREF _Toc127911466 \h </w:instrText>
            </w:r>
            <w:r>
              <w:rPr>
                <w:noProof/>
                <w:webHidden/>
              </w:rPr>
            </w:r>
            <w:r>
              <w:rPr>
                <w:noProof/>
                <w:webHidden/>
              </w:rPr>
              <w:fldChar w:fldCharType="separate"/>
            </w:r>
            <w:r>
              <w:rPr>
                <w:noProof/>
                <w:webHidden/>
              </w:rPr>
              <w:t>57</w:t>
            </w:r>
            <w:r>
              <w:rPr>
                <w:noProof/>
                <w:webHidden/>
              </w:rPr>
              <w:fldChar w:fldCharType="end"/>
            </w:r>
          </w:hyperlink>
        </w:p>
        <w:p w14:paraId="4A808BAB" w14:textId="75E1A393" w:rsidR="00AB2C33" w:rsidRDefault="00AB2C33">
          <w:pPr>
            <w:pStyle w:val="TOC3"/>
            <w:tabs>
              <w:tab w:val="right" w:leader="dot" w:pos="9016"/>
            </w:tabs>
            <w:rPr>
              <w:rFonts w:eastAsiaTheme="minorEastAsia"/>
              <w:noProof/>
              <w:lang w:eastAsia="en-GB"/>
            </w:rPr>
          </w:pPr>
          <w:hyperlink w:anchor="_Toc127911467" w:history="1">
            <w:r w:rsidRPr="00682679">
              <w:rPr>
                <w:rStyle w:val="Hyperlink"/>
                <w:noProof/>
              </w:rPr>
              <w:t>Coke Mechanical strength</w:t>
            </w:r>
            <w:r>
              <w:rPr>
                <w:noProof/>
                <w:webHidden/>
              </w:rPr>
              <w:tab/>
            </w:r>
            <w:r>
              <w:rPr>
                <w:noProof/>
                <w:webHidden/>
              </w:rPr>
              <w:fldChar w:fldCharType="begin"/>
            </w:r>
            <w:r>
              <w:rPr>
                <w:noProof/>
                <w:webHidden/>
              </w:rPr>
              <w:instrText xml:space="preserve"> PAGEREF _Toc127911467 \h </w:instrText>
            </w:r>
            <w:r>
              <w:rPr>
                <w:noProof/>
                <w:webHidden/>
              </w:rPr>
            </w:r>
            <w:r>
              <w:rPr>
                <w:noProof/>
                <w:webHidden/>
              </w:rPr>
              <w:fldChar w:fldCharType="separate"/>
            </w:r>
            <w:r>
              <w:rPr>
                <w:noProof/>
                <w:webHidden/>
              </w:rPr>
              <w:t>59</w:t>
            </w:r>
            <w:r>
              <w:rPr>
                <w:noProof/>
                <w:webHidden/>
              </w:rPr>
              <w:fldChar w:fldCharType="end"/>
            </w:r>
          </w:hyperlink>
        </w:p>
        <w:p w14:paraId="407AF763" w14:textId="41C22D65" w:rsidR="00AB2C33" w:rsidRDefault="00AB2C33">
          <w:pPr>
            <w:pStyle w:val="TOC3"/>
            <w:tabs>
              <w:tab w:val="right" w:leader="dot" w:pos="9016"/>
            </w:tabs>
            <w:rPr>
              <w:rFonts w:eastAsiaTheme="minorEastAsia"/>
              <w:noProof/>
              <w:lang w:eastAsia="en-GB"/>
            </w:rPr>
          </w:pPr>
          <w:hyperlink w:anchor="_Toc127911468" w:history="1">
            <w:r w:rsidRPr="00682679">
              <w:rPr>
                <w:rStyle w:val="Hyperlink"/>
                <w:noProof/>
              </w:rPr>
              <w:t>Hot mechanical strength and reactivity</w:t>
            </w:r>
            <w:r>
              <w:rPr>
                <w:noProof/>
                <w:webHidden/>
              </w:rPr>
              <w:tab/>
            </w:r>
            <w:r>
              <w:rPr>
                <w:noProof/>
                <w:webHidden/>
              </w:rPr>
              <w:fldChar w:fldCharType="begin"/>
            </w:r>
            <w:r>
              <w:rPr>
                <w:noProof/>
                <w:webHidden/>
              </w:rPr>
              <w:instrText xml:space="preserve"> PAGEREF _Toc127911468 \h </w:instrText>
            </w:r>
            <w:r>
              <w:rPr>
                <w:noProof/>
                <w:webHidden/>
              </w:rPr>
            </w:r>
            <w:r>
              <w:rPr>
                <w:noProof/>
                <w:webHidden/>
              </w:rPr>
              <w:fldChar w:fldCharType="separate"/>
            </w:r>
            <w:r>
              <w:rPr>
                <w:noProof/>
                <w:webHidden/>
              </w:rPr>
              <w:t>61</w:t>
            </w:r>
            <w:r>
              <w:rPr>
                <w:noProof/>
                <w:webHidden/>
              </w:rPr>
              <w:fldChar w:fldCharType="end"/>
            </w:r>
          </w:hyperlink>
        </w:p>
        <w:p w14:paraId="487169C1" w14:textId="11C4F2BA" w:rsidR="00AB2C33" w:rsidRDefault="00AB2C33">
          <w:pPr>
            <w:pStyle w:val="TOC3"/>
            <w:tabs>
              <w:tab w:val="right" w:leader="dot" w:pos="9016"/>
            </w:tabs>
            <w:rPr>
              <w:rFonts w:eastAsiaTheme="minorEastAsia"/>
              <w:noProof/>
              <w:lang w:eastAsia="en-GB"/>
            </w:rPr>
          </w:pPr>
          <w:hyperlink w:anchor="_Toc127911469" w:history="1">
            <w:r w:rsidRPr="00682679">
              <w:rPr>
                <w:rStyle w:val="Hyperlink"/>
                <w:noProof/>
              </w:rPr>
              <w:t>Coke chemistry Analysis</w:t>
            </w:r>
            <w:r>
              <w:rPr>
                <w:noProof/>
                <w:webHidden/>
              </w:rPr>
              <w:tab/>
            </w:r>
            <w:r>
              <w:rPr>
                <w:noProof/>
                <w:webHidden/>
              </w:rPr>
              <w:fldChar w:fldCharType="begin"/>
            </w:r>
            <w:r>
              <w:rPr>
                <w:noProof/>
                <w:webHidden/>
              </w:rPr>
              <w:instrText xml:space="preserve"> PAGEREF _Toc127911469 \h </w:instrText>
            </w:r>
            <w:r>
              <w:rPr>
                <w:noProof/>
                <w:webHidden/>
              </w:rPr>
            </w:r>
            <w:r>
              <w:rPr>
                <w:noProof/>
                <w:webHidden/>
              </w:rPr>
              <w:fldChar w:fldCharType="separate"/>
            </w:r>
            <w:r>
              <w:rPr>
                <w:noProof/>
                <w:webHidden/>
              </w:rPr>
              <w:t>62</w:t>
            </w:r>
            <w:r>
              <w:rPr>
                <w:noProof/>
                <w:webHidden/>
              </w:rPr>
              <w:fldChar w:fldCharType="end"/>
            </w:r>
          </w:hyperlink>
        </w:p>
        <w:p w14:paraId="41F2F452" w14:textId="2331E092" w:rsidR="00AB2C33" w:rsidRDefault="00AB2C33">
          <w:pPr>
            <w:pStyle w:val="TOC3"/>
            <w:tabs>
              <w:tab w:val="right" w:leader="dot" w:pos="9016"/>
            </w:tabs>
            <w:rPr>
              <w:rFonts w:eastAsiaTheme="minorEastAsia"/>
              <w:noProof/>
              <w:lang w:eastAsia="en-GB"/>
            </w:rPr>
          </w:pPr>
          <w:hyperlink w:anchor="_Toc127911470" w:history="1">
            <w:r w:rsidRPr="00682679">
              <w:rPr>
                <w:rStyle w:val="Hyperlink"/>
                <w:noProof/>
              </w:rPr>
              <w:t>Photographs of the Biocoke produced in the Pilot oven</w:t>
            </w:r>
            <w:r>
              <w:rPr>
                <w:noProof/>
                <w:webHidden/>
              </w:rPr>
              <w:tab/>
            </w:r>
            <w:r>
              <w:rPr>
                <w:noProof/>
                <w:webHidden/>
              </w:rPr>
              <w:fldChar w:fldCharType="begin"/>
            </w:r>
            <w:r>
              <w:rPr>
                <w:noProof/>
                <w:webHidden/>
              </w:rPr>
              <w:instrText xml:space="preserve"> PAGEREF _Toc127911470 \h </w:instrText>
            </w:r>
            <w:r>
              <w:rPr>
                <w:noProof/>
                <w:webHidden/>
              </w:rPr>
            </w:r>
            <w:r>
              <w:rPr>
                <w:noProof/>
                <w:webHidden/>
              </w:rPr>
              <w:fldChar w:fldCharType="separate"/>
            </w:r>
            <w:r>
              <w:rPr>
                <w:noProof/>
                <w:webHidden/>
              </w:rPr>
              <w:t>63</w:t>
            </w:r>
            <w:r>
              <w:rPr>
                <w:noProof/>
                <w:webHidden/>
              </w:rPr>
              <w:fldChar w:fldCharType="end"/>
            </w:r>
          </w:hyperlink>
        </w:p>
        <w:p w14:paraId="2093B426" w14:textId="0C0A85CE" w:rsidR="00AB2C33" w:rsidRDefault="00AB2C33">
          <w:pPr>
            <w:pStyle w:val="TOC2"/>
            <w:tabs>
              <w:tab w:val="right" w:leader="dot" w:pos="9016"/>
            </w:tabs>
            <w:rPr>
              <w:rFonts w:eastAsiaTheme="minorEastAsia"/>
              <w:noProof/>
              <w:lang w:eastAsia="en-GB"/>
            </w:rPr>
          </w:pPr>
          <w:hyperlink w:anchor="_Toc127911471" w:history="1">
            <w:r w:rsidRPr="00682679">
              <w:rPr>
                <w:rStyle w:val="Hyperlink"/>
                <w:noProof/>
              </w:rPr>
              <w:t>Biochar substitution in Sinter making.</w:t>
            </w:r>
            <w:r>
              <w:rPr>
                <w:noProof/>
                <w:webHidden/>
              </w:rPr>
              <w:tab/>
            </w:r>
            <w:r>
              <w:rPr>
                <w:noProof/>
                <w:webHidden/>
              </w:rPr>
              <w:fldChar w:fldCharType="begin"/>
            </w:r>
            <w:r>
              <w:rPr>
                <w:noProof/>
                <w:webHidden/>
              </w:rPr>
              <w:instrText xml:space="preserve"> PAGEREF _Toc127911471 \h </w:instrText>
            </w:r>
            <w:r>
              <w:rPr>
                <w:noProof/>
                <w:webHidden/>
              </w:rPr>
            </w:r>
            <w:r>
              <w:rPr>
                <w:noProof/>
                <w:webHidden/>
              </w:rPr>
              <w:fldChar w:fldCharType="separate"/>
            </w:r>
            <w:r>
              <w:rPr>
                <w:noProof/>
                <w:webHidden/>
              </w:rPr>
              <w:t>67</w:t>
            </w:r>
            <w:r>
              <w:rPr>
                <w:noProof/>
                <w:webHidden/>
              </w:rPr>
              <w:fldChar w:fldCharType="end"/>
            </w:r>
          </w:hyperlink>
        </w:p>
        <w:p w14:paraId="5D72DEC9" w14:textId="642CE009" w:rsidR="00AB2C33" w:rsidRDefault="00AB2C33">
          <w:pPr>
            <w:pStyle w:val="TOC3"/>
            <w:tabs>
              <w:tab w:val="right" w:leader="dot" w:pos="9016"/>
            </w:tabs>
            <w:rPr>
              <w:rFonts w:eastAsiaTheme="minorEastAsia"/>
              <w:noProof/>
              <w:lang w:eastAsia="en-GB"/>
            </w:rPr>
          </w:pPr>
          <w:hyperlink w:anchor="_Toc127911472" w:history="1">
            <w:r w:rsidRPr="00682679">
              <w:rPr>
                <w:rStyle w:val="Hyperlink"/>
                <w:noProof/>
              </w:rPr>
              <w:t>Coke breeze and biochar chemical analysis</w:t>
            </w:r>
            <w:r>
              <w:rPr>
                <w:noProof/>
                <w:webHidden/>
              </w:rPr>
              <w:tab/>
            </w:r>
            <w:r>
              <w:rPr>
                <w:noProof/>
                <w:webHidden/>
              </w:rPr>
              <w:fldChar w:fldCharType="begin"/>
            </w:r>
            <w:r>
              <w:rPr>
                <w:noProof/>
                <w:webHidden/>
              </w:rPr>
              <w:instrText xml:space="preserve"> PAGEREF _Toc127911472 \h </w:instrText>
            </w:r>
            <w:r>
              <w:rPr>
                <w:noProof/>
                <w:webHidden/>
              </w:rPr>
            </w:r>
            <w:r>
              <w:rPr>
                <w:noProof/>
                <w:webHidden/>
              </w:rPr>
              <w:fldChar w:fldCharType="separate"/>
            </w:r>
            <w:r>
              <w:rPr>
                <w:noProof/>
                <w:webHidden/>
              </w:rPr>
              <w:t>67</w:t>
            </w:r>
            <w:r>
              <w:rPr>
                <w:noProof/>
                <w:webHidden/>
              </w:rPr>
              <w:fldChar w:fldCharType="end"/>
            </w:r>
          </w:hyperlink>
        </w:p>
        <w:p w14:paraId="1AD99BB7" w14:textId="09E7E3A1" w:rsidR="00AB2C33" w:rsidRDefault="00AB2C33">
          <w:pPr>
            <w:pStyle w:val="TOC3"/>
            <w:tabs>
              <w:tab w:val="right" w:leader="dot" w:pos="9016"/>
            </w:tabs>
            <w:rPr>
              <w:rFonts w:eastAsiaTheme="minorEastAsia"/>
              <w:noProof/>
              <w:lang w:eastAsia="en-GB"/>
            </w:rPr>
          </w:pPr>
          <w:hyperlink w:anchor="_Toc127911473" w:history="1">
            <w:r w:rsidRPr="00682679">
              <w:rPr>
                <w:rStyle w:val="Hyperlink"/>
                <w:noProof/>
              </w:rPr>
              <w:t>Characteristics of Sintering with Biocoke</w:t>
            </w:r>
            <w:r>
              <w:rPr>
                <w:noProof/>
                <w:webHidden/>
              </w:rPr>
              <w:tab/>
            </w:r>
            <w:r>
              <w:rPr>
                <w:noProof/>
                <w:webHidden/>
              </w:rPr>
              <w:fldChar w:fldCharType="begin"/>
            </w:r>
            <w:r>
              <w:rPr>
                <w:noProof/>
                <w:webHidden/>
              </w:rPr>
              <w:instrText xml:space="preserve"> PAGEREF _Toc127911473 \h </w:instrText>
            </w:r>
            <w:r>
              <w:rPr>
                <w:noProof/>
                <w:webHidden/>
              </w:rPr>
            </w:r>
            <w:r>
              <w:rPr>
                <w:noProof/>
                <w:webHidden/>
              </w:rPr>
              <w:fldChar w:fldCharType="separate"/>
            </w:r>
            <w:r>
              <w:rPr>
                <w:noProof/>
                <w:webHidden/>
              </w:rPr>
              <w:t>68</w:t>
            </w:r>
            <w:r>
              <w:rPr>
                <w:noProof/>
                <w:webHidden/>
              </w:rPr>
              <w:fldChar w:fldCharType="end"/>
            </w:r>
          </w:hyperlink>
        </w:p>
        <w:p w14:paraId="29377507" w14:textId="02DBC16A" w:rsidR="00AB2C33" w:rsidRDefault="00AB2C33">
          <w:pPr>
            <w:pStyle w:val="TOC3"/>
            <w:tabs>
              <w:tab w:val="right" w:leader="dot" w:pos="9016"/>
            </w:tabs>
            <w:rPr>
              <w:rFonts w:eastAsiaTheme="minorEastAsia"/>
              <w:noProof/>
              <w:lang w:eastAsia="en-GB"/>
            </w:rPr>
          </w:pPr>
          <w:hyperlink w:anchor="_Toc127911474" w:history="1">
            <w:r w:rsidRPr="00682679">
              <w:rPr>
                <w:rStyle w:val="Hyperlink"/>
                <w:noProof/>
              </w:rPr>
              <w:t>Sinter quality indices</w:t>
            </w:r>
            <w:r>
              <w:rPr>
                <w:noProof/>
                <w:webHidden/>
              </w:rPr>
              <w:tab/>
            </w:r>
            <w:r>
              <w:rPr>
                <w:noProof/>
                <w:webHidden/>
              </w:rPr>
              <w:fldChar w:fldCharType="begin"/>
            </w:r>
            <w:r>
              <w:rPr>
                <w:noProof/>
                <w:webHidden/>
              </w:rPr>
              <w:instrText xml:space="preserve"> PAGEREF _Toc127911474 \h </w:instrText>
            </w:r>
            <w:r>
              <w:rPr>
                <w:noProof/>
                <w:webHidden/>
              </w:rPr>
            </w:r>
            <w:r>
              <w:rPr>
                <w:noProof/>
                <w:webHidden/>
              </w:rPr>
              <w:fldChar w:fldCharType="separate"/>
            </w:r>
            <w:r>
              <w:rPr>
                <w:noProof/>
                <w:webHidden/>
              </w:rPr>
              <w:t>75</w:t>
            </w:r>
            <w:r>
              <w:rPr>
                <w:noProof/>
                <w:webHidden/>
              </w:rPr>
              <w:fldChar w:fldCharType="end"/>
            </w:r>
          </w:hyperlink>
        </w:p>
        <w:p w14:paraId="4F915433" w14:textId="41217EAB" w:rsidR="00AB2C33" w:rsidRDefault="00AB2C33">
          <w:pPr>
            <w:pStyle w:val="TOC3"/>
            <w:tabs>
              <w:tab w:val="right" w:leader="dot" w:pos="9016"/>
            </w:tabs>
            <w:rPr>
              <w:rFonts w:eastAsiaTheme="minorEastAsia"/>
              <w:noProof/>
              <w:lang w:eastAsia="en-GB"/>
            </w:rPr>
          </w:pPr>
          <w:hyperlink w:anchor="_Toc127911475" w:history="1">
            <w:r w:rsidRPr="00682679">
              <w:rPr>
                <w:rStyle w:val="Hyperlink"/>
                <w:noProof/>
              </w:rPr>
              <w:t>Photographs of the sinter produced on the sinter pot.</w:t>
            </w:r>
            <w:r>
              <w:rPr>
                <w:noProof/>
                <w:webHidden/>
              </w:rPr>
              <w:tab/>
            </w:r>
            <w:r>
              <w:rPr>
                <w:noProof/>
                <w:webHidden/>
              </w:rPr>
              <w:fldChar w:fldCharType="begin"/>
            </w:r>
            <w:r>
              <w:rPr>
                <w:noProof/>
                <w:webHidden/>
              </w:rPr>
              <w:instrText xml:space="preserve"> PAGEREF _Toc127911475 \h </w:instrText>
            </w:r>
            <w:r>
              <w:rPr>
                <w:noProof/>
                <w:webHidden/>
              </w:rPr>
            </w:r>
            <w:r>
              <w:rPr>
                <w:noProof/>
                <w:webHidden/>
              </w:rPr>
              <w:fldChar w:fldCharType="separate"/>
            </w:r>
            <w:r>
              <w:rPr>
                <w:noProof/>
                <w:webHidden/>
              </w:rPr>
              <w:t>77</w:t>
            </w:r>
            <w:r>
              <w:rPr>
                <w:noProof/>
                <w:webHidden/>
              </w:rPr>
              <w:fldChar w:fldCharType="end"/>
            </w:r>
          </w:hyperlink>
        </w:p>
        <w:p w14:paraId="15580D62" w14:textId="1C530BD0" w:rsidR="00AB2C33" w:rsidRDefault="00AB2C33">
          <w:pPr>
            <w:pStyle w:val="TOC3"/>
            <w:tabs>
              <w:tab w:val="right" w:leader="dot" w:pos="9016"/>
            </w:tabs>
            <w:rPr>
              <w:rFonts w:eastAsiaTheme="minorEastAsia"/>
              <w:noProof/>
              <w:lang w:eastAsia="en-GB"/>
            </w:rPr>
          </w:pPr>
          <w:hyperlink w:anchor="_Toc127911476" w:history="1">
            <w:r w:rsidRPr="00682679">
              <w:rPr>
                <w:rStyle w:val="Hyperlink"/>
                <w:noProof/>
              </w:rPr>
              <w:t>Biochar comparison</w:t>
            </w:r>
            <w:r>
              <w:rPr>
                <w:noProof/>
                <w:webHidden/>
              </w:rPr>
              <w:tab/>
            </w:r>
            <w:r>
              <w:rPr>
                <w:noProof/>
                <w:webHidden/>
              </w:rPr>
              <w:fldChar w:fldCharType="begin"/>
            </w:r>
            <w:r>
              <w:rPr>
                <w:noProof/>
                <w:webHidden/>
              </w:rPr>
              <w:instrText xml:space="preserve"> PAGEREF _Toc127911476 \h </w:instrText>
            </w:r>
            <w:r>
              <w:rPr>
                <w:noProof/>
                <w:webHidden/>
              </w:rPr>
            </w:r>
            <w:r>
              <w:rPr>
                <w:noProof/>
                <w:webHidden/>
              </w:rPr>
              <w:fldChar w:fldCharType="separate"/>
            </w:r>
            <w:r>
              <w:rPr>
                <w:noProof/>
                <w:webHidden/>
              </w:rPr>
              <w:t>81</w:t>
            </w:r>
            <w:r>
              <w:rPr>
                <w:noProof/>
                <w:webHidden/>
              </w:rPr>
              <w:fldChar w:fldCharType="end"/>
            </w:r>
          </w:hyperlink>
        </w:p>
        <w:p w14:paraId="6E062ECF" w14:textId="5B86CBAB" w:rsidR="00AB2C33" w:rsidRDefault="00AB2C33">
          <w:pPr>
            <w:pStyle w:val="TOC2"/>
            <w:tabs>
              <w:tab w:val="right" w:leader="dot" w:pos="9016"/>
            </w:tabs>
            <w:rPr>
              <w:rFonts w:eastAsiaTheme="minorEastAsia"/>
              <w:noProof/>
              <w:lang w:eastAsia="en-GB"/>
            </w:rPr>
          </w:pPr>
          <w:hyperlink w:anchor="_Toc127911477" w:history="1">
            <w:r w:rsidRPr="00682679">
              <w:rPr>
                <w:rStyle w:val="Hyperlink"/>
                <w:noProof/>
              </w:rPr>
              <w:t>Carbon Dioxide emission mitigation potential using Biochar at Port Talbot Steelworks</w:t>
            </w:r>
            <w:r>
              <w:rPr>
                <w:noProof/>
                <w:webHidden/>
              </w:rPr>
              <w:tab/>
            </w:r>
            <w:r>
              <w:rPr>
                <w:noProof/>
                <w:webHidden/>
              </w:rPr>
              <w:fldChar w:fldCharType="begin"/>
            </w:r>
            <w:r>
              <w:rPr>
                <w:noProof/>
                <w:webHidden/>
              </w:rPr>
              <w:instrText xml:space="preserve"> PAGEREF _Toc127911477 \h </w:instrText>
            </w:r>
            <w:r>
              <w:rPr>
                <w:noProof/>
                <w:webHidden/>
              </w:rPr>
            </w:r>
            <w:r>
              <w:rPr>
                <w:noProof/>
                <w:webHidden/>
              </w:rPr>
              <w:fldChar w:fldCharType="separate"/>
            </w:r>
            <w:r>
              <w:rPr>
                <w:noProof/>
                <w:webHidden/>
              </w:rPr>
              <w:t>81</w:t>
            </w:r>
            <w:r>
              <w:rPr>
                <w:noProof/>
                <w:webHidden/>
              </w:rPr>
              <w:fldChar w:fldCharType="end"/>
            </w:r>
          </w:hyperlink>
        </w:p>
        <w:p w14:paraId="7E3E9C9A" w14:textId="71EDA1AA" w:rsidR="00AB2C33" w:rsidRDefault="00AB2C33">
          <w:pPr>
            <w:pStyle w:val="TOC1"/>
            <w:tabs>
              <w:tab w:val="right" w:leader="dot" w:pos="9016"/>
            </w:tabs>
            <w:rPr>
              <w:rFonts w:eastAsiaTheme="minorEastAsia"/>
              <w:noProof/>
              <w:lang w:eastAsia="en-GB"/>
            </w:rPr>
          </w:pPr>
          <w:hyperlink w:anchor="_Toc127911478" w:history="1">
            <w:r w:rsidRPr="00682679">
              <w:rPr>
                <w:rStyle w:val="Hyperlink"/>
                <w:noProof/>
              </w:rPr>
              <w:t>Conclusion</w:t>
            </w:r>
            <w:r>
              <w:rPr>
                <w:noProof/>
                <w:webHidden/>
              </w:rPr>
              <w:tab/>
            </w:r>
            <w:r>
              <w:rPr>
                <w:noProof/>
                <w:webHidden/>
              </w:rPr>
              <w:fldChar w:fldCharType="begin"/>
            </w:r>
            <w:r>
              <w:rPr>
                <w:noProof/>
                <w:webHidden/>
              </w:rPr>
              <w:instrText xml:space="preserve"> PAGEREF _Toc127911478 \h </w:instrText>
            </w:r>
            <w:r>
              <w:rPr>
                <w:noProof/>
                <w:webHidden/>
              </w:rPr>
            </w:r>
            <w:r>
              <w:rPr>
                <w:noProof/>
                <w:webHidden/>
              </w:rPr>
              <w:fldChar w:fldCharType="separate"/>
            </w:r>
            <w:r>
              <w:rPr>
                <w:noProof/>
                <w:webHidden/>
              </w:rPr>
              <w:t>84</w:t>
            </w:r>
            <w:r>
              <w:rPr>
                <w:noProof/>
                <w:webHidden/>
              </w:rPr>
              <w:fldChar w:fldCharType="end"/>
            </w:r>
          </w:hyperlink>
        </w:p>
        <w:p w14:paraId="430AC53E" w14:textId="7DFFC10B" w:rsidR="00AB2C33" w:rsidRDefault="00AB2C33">
          <w:pPr>
            <w:pStyle w:val="TOC2"/>
            <w:tabs>
              <w:tab w:val="right" w:leader="dot" w:pos="9016"/>
            </w:tabs>
            <w:rPr>
              <w:rFonts w:eastAsiaTheme="minorEastAsia"/>
              <w:noProof/>
              <w:lang w:eastAsia="en-GB"/>
            </w:rPr>
          </w:pPr>
          <w:hyperlink w:anchor="_Toc127911479" w:history="1">
            <w:r w:rsidRPr="00682679">
              <w:rPr>
                <w:rStyle w:val="Hyperlink"/>
                <w:noProof/>
              </w:rPr>
              <w:t>Limitations</w:t>
            </w:r>
            <w:r>
              <w:rPr>
                <w:noProof/>
                <w:webHidden/>
              </w:rPr>
              <w:tab/>
            </w:r>
            <w:r>
              <w:rPr>
                <w:noProof/>
                <w:webHidden/>
              </w:rPr>
              <w:fldChar w:fldCharType="begin"/>
            </w:r>
            <w:r>
              <w:rPr>
                <w:noProof/>
                <w:webHidden/>
              </w:rPr>
              <w:instrText xml:space="preserve"> PAGEREF _Toc127911479 \h </w:instrText>
            </w:r>
            <w:r>
              <w:rPr>
                <w:noProof/>
                <w:webHidden/>
              </w:rPr>
            </w:r>
            <w:r>
              <w:rPr>
                <w:noProof/>
                <w:webHidden/>
              </w:rPr>
              <w:fldChar w:fldCharType="separate"/>
            </w:r>
            <w:r>
              <w:rPr>
                <w:noProof/>
                <w:webHidden/>
              </w:rPr>
              <w:t>85</w:t>
            </w:r>
            <w:r>
              <w:rPr>
                <w:noProof/>
                <w:webHidden/>
              </w:rPr>
              <w:fldChar w:fldCharType="end"/>
            </w:r>
          </w:hyperlink>
        </w:p>
        <w:p w14:paraId="0F3DBAC3" w14:textId="22A94D88" w:rsidR="00AB2C33" w:rsidRDefault="00AB2C33">
          <w:pPr>
            <w:pStyle w:val="TOC1"/>
            <w:tabs>
              <w:tab w:val="right" w:leader="dot" w:pos="9016"/>
            </w:tabs>
            <w:rPr>
              <w:rFonts w:eastAsiaTheme="minorEastAsia"/>
              <w:noProof/>
              <w:lang w:eastAsia="en-GB"/>
            </w:rPr>
          </w:pPr>
          <w:hyperlink w:anchor="_Toc127911480" w:history="1">
            <w:r w:rsidRPr="00682679">
              <w:rPr>
                <w:rStyle w:val="Hyperlink"/>
                <w:noProof/>
              </w:rPr>
              <w:t>Recommendations</w:t>
            </w:r>
            <w:r>
              <w:rPr>
                <w:noProof/>
                <w:webHidden/>
              </w:rPr>
              <w:tab/>
            </w:r>
            <w:r>
              <w:rPr>
                <w:noProof/>
                <w:webHidden/>
              </w:rPr>
              <w:fldChar w:fldCharType="begin"/>
            </w:r>
            <w:r>
              <w:rPr>
                <w:noProof/>
                <w:webHidden/>
              </w:rPr>
              <w:instrText xml:space="preserve"> PAGEREF _Toc127911480 \h </w:instrText>
            </w:r>
            <w:r>
              <w:rPr>
                <w:noProof/>
                <w:webHidden/>
              </w:rPr>
            </w:r>
            <w:r>
              <w:rPr>
                <w:noProof/>
                <w:webHidden/>
              </w:rPr>
              <w:fldChar w:fldCharType="separate"/>
            </w:r>
            <w:r>
              <w:rPr>
                <w:noProof/>
                <w:webHidden/>
              </w:rPr>
              <w:t>87</w:t>
            </w:r>
            <w:r>
              <w:rPr>
                <w:noProof/>
                <w:webHidden/>
              </w:rPr>
              <w:fldChar w:fldCharType="end"/>
            </w:r>
          </w:hyperlink>
        </w:p>
        <w:p w14:paraId="4E327925" w14:textId="28F79A0D" w:rsidR="00AB2C33" w:rsidRDefault="00AB2C33">
          <w:pPr>
            <w:pStyle w:val="TOC1"/>
            <w:tabs>
              <w:tab w:val="right" w:leader="dot" w:pos="9016"/>
            </w:tabs>
            <w:rPr>
              <w:rFonts w:eastAsiaTheme="minorEastAsia"/>
              <w:noProof/>
              <w:lang w:eastAsia="en-GB"/>
            </w:rPr>
          </w:pPr>
          <w:hyperlink w:anchor="_Toc127911481" w:history="1">
            <w:r w:rsidRPr="00682679">
              <w:rPr>
                <w:rStyle w:val="Hyperlink"/>
                <w:noProof/>
              </w:rPr>
              <w:t>Reference list</w:t>
            </w:r>
            <w:r>
              <w:rPr>
                <w:noProof/>
                <w:webHidden/>
              </w:rPr>
              <w:tab/>
            </w:r>
            <w:r>
              <w:rPr>
                <w:noProof/>
                <w:webHidden/>
              </w:rPr>
              <w:fldChar w:fldCharType="begin"/>
            </w:r>
            <w:r>
              <w:rPr>
                <w:noProof/>
                <w:webHidden/>
              </w:rPr>
              <w:instrText xml:space="preserve"> PAGEREF _Toc127911481 \h </w:instrText>
            </w:r>
            <w:r>
              <w:rPr>
                <w:noProof/>
                <w:webHidden/>
              </w:rPr>
            </w:r>
            <w:r>
              <w:rPr>
                <w:noProof/>
                <w:webHidden/>
              </w:rPr>
              <w:fldChar w:fldCharType="separate"/>
            </w:r>
            <w:r>
              <w:rPr>
                <w:noProof/>
                <w:webHidden/>
              </w:rPr>
              <w:t>88</w:t>
            </w:r>
            <w:r>
              <w:rPr>
                <w:noProof/>
                <w:webHidden/>
              </w:rPr>
              <w:fldChar w:fldCharType="end"/>
            </w:r>
          </w:hyperlink>
        </w:p>
        <w:p w14:paraId="015E6406" w14:textId="2E45867A" w:rsidR="00AB2C33" w:rsidRDefault="00AB2C33">
          <w:pPr>
            <w:pStyle w:val="TOC1"/>
            <w:tabs>
              <w:tab w:val="right" w:leader="dot" w:pos="9016"/>
            </w:tabs>
            <w:rPr>
              <w:rFonts w:eastAsiaTheme="minorEastAsia"/>
              <w:noProof/>
              <w:lang w:eastAsia="en-GB"/>
            </w:rPr>
          </w:pPr>
          <w:hyperlink w:anchor="_Toc127911482" w:history="1">
            <w:r w:rsidRPr="00682679">
              <w:rPr>
                <w:rStyle w:val="Hyperlink"/>
                <w:noProof/>
              </w:rPr>
              <w:t>Appendix</w:t>
            </w:r>
            <w:r>
              <w:rPr>
                <w:noProof/>
                <w:webHidden/>
              </w:rPr>
              <w:tab/>
            </w:r>
            <w:r>
              <w:rPr>
                <w:noProof/>
                <w:webHidden/>
              </w:rPr>
              <w:fldChar w:fldCharType="begin"/>
            </w:r>
            <w:r>
              <w:rPr>
                <w:noProof/>
                <w:webHidden/>
              </w:rPr>
              <w:instrText xml:space="preserve"> PAGEREF _Toc127911482 \h </w:instrText>
            </w:r>
            <w:r>
              <w:rPr>
                <w:noProof/>
                <w:webHidden/>
              </w:rPr>
            </w:r>
            <w:r>
              <w:rPr>
                <w:noProof/>
                <w:webHidden/>
              </w:rPr>
              <w:fldChar w:fldCharType="separate"/>
            </w:r>
            <w:r>
              <w:rPr>
                <w:noProof/>
                <w:webHidden/>
              </w:rPr>
              <w:t>89</w:t>
            </w:r>
            <w:r>
              <w:rPr>
                <w:noProof/>
                <w:webHidden/>
              </w:rPr>
              <w:fldChar w:fldCharType="end"/>
            </w:r>
          </w:hyperlink>
        </w:p>
        <w:p w14:paraId="6E531D19" w14:textId="1D2FFD05" w:rsidR="00ED35A8" w:rsidRDefault="000C5EBB" w:rsidP="00350AB6">
          <w:pPr>
            <w:spacing w:line="360" w:lineRule="auto"/>
            <w:jc w:val="both"/>
            <w:rPr>
              <w:b/>
              <w:bCs/>
              <w:noProof/>
            </w:rPr>
          </w:pPr>
          <w:r>
            <w:rPr>
              <w:b/>
              <w:bCs/>
              <w:noProof/>
            </w:rPr>
            <w:fldChar w:fldCharType="end"/>
          </w:r>
        </w:p>
      </w:sdtContent>
    </w:sdt>
    <w:p w14:paraId="467930C5" w14:textId="77777777" w:rsidR="0090021C" w:rsidRDefault="0090021C">
      <w:pPr>
        <w:pStyle w:val="TableofFigures"/>
        <w:tabs>
          <w:tab w:val="right" w:leader="dot" w:pos="9016"/>
        </w:tabs>
        <w:rPr>
          <w:sz w:val="28"/>
          <w:szCs w:val="28"/>
        </w:rPr>
      </w:pPr>
    </w:p>
    <w:p w14:paraId="6259AD21" w14:textId="77777777" w:rsidR="0090021C" w:rsidRDefault="0090021C">
      <w:pPr>
        <w:pStyle w:val="TableofFigures"/>
        <w:tabs>
          <w:tab w:val="right" w:leader="dot" w:pos="9016"/>
        </w:tabs>
        <w:rPr>
          <w:sz w:val="28"/>
          <w:szCs w:val="28"/>
        </w:rPr>
      </w:pPr>
    </w:p>
    <w:p w14:paraId="1A36CD85" w14:textId="77777777" w:rsidR="0090021C" w:rsidRDefault="0090021C">
      <w:pPr>
        <w:pStyle w:val="TableofFigures"/>
        <w:tabs>
          <w:tab w:val="right" w:leader="dot" w:pos="9016"/>
        </w:tabs>
        <w:rPr>
          <w:sz w:val="28"/>
          <w:szCs w:val="28"/>
        </w:rPr>
      </w:pPr>
    </w:p>
    <w:p w14:paraId="4C5143A6" w14:textId="77777777" w:rsidR="0090021C" w:rsidRDefault="0090021C">
      <w:pPr>
        <w:pStyle w:val="TableofFigures"/>
        <w:tabs>
          <w:tab w:val="right" w:leader="dot" w:pos="9016"/>
        </w:tabs>
        <w:rPr>
          <w:sz w:val="28"/>
          <w:szCs w:val="28"/>
        </w:rPr>
      </w:pPr>
    </w:p>
    <w:p w14:paraId="79E0DC03" w14:textId="77777777" w:rsidR="0090021C" w:rsidRDefault="0090021C">
      <w:pPr>
        <w:pStyle w:val="TableofFigures"/>
        <w:tabs>
          <w:tab w:val="right" w:leader="dot" w:pos="9016"/>
        </w:tabs>
        <w:rPr>
          <w:sz w:val="28"/>
          <w:szCs w:val="28"/>
        </w:rPr>
      </w:pPr>
    </w:p>
    <w:p w14:paraId="47A09F93" w14:textId="77777777" w:rsidR="0090021C" w:rsidRDefault="0090021C">
      <w:pPr>
        <w:pStyle w:val="TableofFigures"/>
        <w:tabs>
          <w:tab w:val="right" w:leader="dot" w:pos="9016"/>
        </w:tabs>
        <w:rPr>
          <w:sz w:val="28"/>
          <w:szCs w:val="28"/>
        </w:rPr>
      </w:pPr>
    </w:p>
    <w:p w14:paraId="0E92AAC9" w14:textId="77777777" w:rsidR="0090021C" w:rsidRDefault="0090021C">
      <w:pPr>
        <w:pStyle w:val="TableofFigures"/>
        <w:tabs>
          <w:tab w:val="right" w:leader="dot" w:pos="9016"/>
        </w:tabs>
        <w:rPr>
          <w:sz w:val="28"/>
          <w:szCs w:val="28"/>
        </w:rPr>
      </w:pPr>
    </w:p>
    <w:p w14:paraId="7E938ECB" w14:textId="77777777" w:rsidR="0090021C" w:rsidRDefault="0090021C">
      <w:pPr>
        <w:pStyle w:val="TableofFigures"/>
        <w:tabs>
          <w:tab w:val="right" w:leader="dot" w:pos="9016"/>
        </w:tabs>
        <w:rPr>
          <w:sz w:val="28"/>
          <w:szCs w:val="28"/>
        </w:rPr>
      </w:pPr>
    </w:p>
    <w:p w14:paraId="2CF476C5" w14:textId="442E8A53" w:rsidR="0090021C" w:rsidRDefault="0090021C" w:rsidP="0090021C">
      <w:pPr>
        <w:pStyle w:val="Heading1"/>
      </w:pPr>
      <w:bookmarkStart w:id="3" w:name="_Toc127911425"/>
      <w:r>
        <w:t>Table of Figures</w:t>
      </w:r>
      <w:bookmarkEnd w:id="3"/>
    </w:p>
    <w:p w14:paraId="531261CB" w14:textId="716CC2AA" w:rsidR="00A45D71" w:rsidRDefault="00ED35A8" w:rsidP="00A45D71">
      <w:pPr>
        <w:pStyle w:val="TableofFigures"/>
        <w:tabs>
          <w:tab w:val="right" w:leader="dot" w:pos="9016"/>
        </w:tabs>
        <w:spacing w:line="360" w:lineRule="auto"/>
        <w:jc w:val="both"/>
        <w:rPr>
          <w:rFonts w:eastAsiaTheme="minorEastAsia"/>
          <w:noProof/>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27110895" w:history="1">
        <w:r w:rsidR="00A45D71" w:rsidRPr="00B525DE">
          <w:rPr>
            <w:rStyle w:val="Hyperlink"/>
            <w:noProof/>
          </w:rPr>
          <w:t xml:space="preserve">Figure 1 The response of some climate variables to global warming </w:t>
        </w:r>
        <w:r w:rsidR="00A45D71" w:rsidRPr="00B525DE">
          <w:rPr>
            <w:rStyle w:val="Hyperlink"/>
            <w:rFonts w:ascii="Calibri" w:hAnsi="Calibri" w:cs="Calibri"/>
            <w:noProof/>
          </w:rPr>
          <w:t>(Arias et al. 2021)</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_Toc127110895 \h </w:instrText>
        </w:r>
        <w:r w:rsidR="00A45D71">
          <w:rPr>
            <w:noProof/>
            <w:webHidden/>
          </w:rPr>
        </w:r>
        <w:r w:rsidR="00A45D71">
          <w:rPr>
            <w:noProof/>
            <w:webHidden/>
          </w:rPr>
          <w:fldChar w:fldCharType="separate"/>
        </w:r>
        <w:r w:rsidR="00A45D71">
          <w:rPr>
            <w:noProof/>
            <w:webHidden/>
          </w:rPr>
          <w:t>9</w:t>
        </w:r>
        <w:r w:rsidR="00A45D71">
          <w:rPr>
            <w:noProof/>
            <w:webHidden/>
          </w:rPr>
          <w:fldChar w:fldCharType="end"/>
        </w:r>
      </w:hyperlink>
    </w:p>
    <w:p w14:paraId="033E8C7B" w14:textId="7660BA9B"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896" w:history="1">
        <w:r w:rsidR="00A45D71" w:rsidRPr="00B525DE">
          <w:rPr>
            <w:rStyle w:val="Hyperlink"/>
            <w:noProof/>
          </w:rPr>
          <w:t>Figure 2 World Steel Production 1950 - 2021 (Worldsteel. 2021)</w:t>
        </w:r>
        <w:r w:rsidR="00A45D71">
          <w:rPr>
            <w:noProof/>
            <w:webHidden/>
          </w:rPr>
          <w:tab/>
        </w:r>
        <w:r w:rsidR="00A45D71">
          <w:rPr>
            <w:noProof/>
            <w:webHidden/>
          </w:rPr>
          <w:fldChar w:fldCharType="begin"/>
        </w:r>
        <w:r w:rsidR="00A45D71">
          <w:rPr>
            <w:noProof/>
            <w:webHidden/>
          </w:rPr>
          <w:instrText xml:space="preserve"> PAGEREF _Toc127110896 \h </w:instrText>
        </w:r>
        <w:r w:rsidR="00A45D71">
          <w:rPr>
            <w:noProof/>
            <w:webHidden/>
          </w:rPr>
        </w:r>
        <w:r w:rsidR="00A45D71">
          <w:rPr>
            <w:noProof/>
            <w:webHidden/>
          </w:rPr>
          <w:fldChar w:fldCharType="separate"/>
        </w:r>
        <w:r w:rsidR="00A45D71">
          <w:rPr>
            <w:noProof/>
            <w:webHidden/>
          </w:rPr>
          <w:t>10</w:t>
        </w:r>
        <w:r w:rsidR="00A45D71">
          <w:rPr>
            <w:noProof/>
            <w:webHidden/>
          </w:rPr>
          <w:fldChar w:fldCharType="end"/>
        </w:r>
      </w:hyperlink>
    </w:p>
    <w:p w14:paraId="119FF519" w14:textId="408FCAE8"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897" w:history="1">
        <w:r w:rsidR="00A45D71" w:rsidRPr="00B525DE">
          <w:rPr>
            <w:rStyle w:val="Hyperlink"/>
            <w:noProof/>
          </w:rPr>
          <w:t>Figure 3 - CO</w:t>
        </w:r>
        <w:r w:rsidR="00A45D71" w:rsidRPr="00B525DE">
          <w:rPr>
            <w:rStyle w:val="Hyperlink"/>
            <w:noProof/>
            <w:vertAlign w:val="subscript"/>
          </w:rPr>
          <w:t>2</w:t>
        </w:r>
        <w:r w:rsidR="00A45D71" w:rsidRPr="00B525DE">
          <w:rPr>
            <w:rStyle w:val="Hyperlink"/>
            <w:noProof/>
          </w:rPr>
          <w:t xml:space="preserve"> emissions in an integrated steelworks (BF - BOS route) showing carbon-bearing material input (Gray boxes), CO2 emissions, expressed in volume (kg/t of hot rolled coil) and concentration in the flue gas (volume %)in the blue box </w:t>
        </w:r>
        <w:r w:rsidR="00A45D71" w:rsidRPr="00B525DE">
          <w:rPr>
            <w:rStyle w:val="Hyperlink"/>
            <w:rFonts w:ascii="Calibri" w:hAnsi="Calibri" w:cs="Calibri"/>
            <w:noProof/>
          </w:rPr>
          <w:t>(Birat 2010)</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_Toc127110897 \h </w:instrText>
        </w:r>
        <w:r w:rsidR="00A45D71">
          <w:rPr>
            <w:noProof/>
            <w:webHidden/>
          </w:rPr>
        </w:r>
        <w:r w:rsidR="00A45D71">
          <w:rPr>
            <w:noProof/>
            <w:webHidden/>
          </w:rPr>
          <w:fldChar w:fldCharType="separate"/>
        </w:r>
        <w:r w:rsidR="00A45D71">
          <w:rPr>
            <w:noProof/>
            <w:webHidden/>
          </w:rPr>
          <w:t>11</w:t>
        </w:r>
        <w:r w:rsidR="00A45D71">
          <w:rPr>
            <w:noProof/>
            <w:webHidden/>
          </w:rPr>
          <w:fldChar w:fldCharType="end"/>
        </w:r>
      </w:hyperlink>
    </w:p>
    <w:p w14:paraId="408A6C38" w14:textId="264CD2B6"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898" w:history="1">
        <w:r w:rsidR="00A45D71" w:rsidRPr="00B525DE">
          <w:rPr>
            <w:rStyle w:val="Hyperlink"/>
            <w:noProof/>
          </w:rPr>
          <w:t xml:space="preserve">Figure 4 Major constituents of a woody biomass </w:t>
        </w:r>
        <w:r w:rsidR="00A45D71" w:rsidRPr="00B525DE">
          <w:rPr>
            <w:rStyle w:val="Hyperlink"/>
            <w:rFonts w:ascii="Calibri" w:hAnsi="Calibri" w:cs="Calibri"/>
            <w:noProof/>
          </w:rPr>
          <w:t>(Basu 2013)</w:t>
        </w:r>
        <w:r w:rsidR="00A45D71">
          <w:rPr>
            <w:noProof/>
            <w:webHidden/>
          </w:rPr>
          <w:tab/>
        </w:r>
        <w:r w:rsidR="00A45D71">
          <w:rPr>
            <w:noProof/>
            <w:webHidden/>
          </w:rPr>
          <w:fldChar w:fldCharType="begin"/>
        </w:r>
        <w:r w:rsidR="00A45D71">
          <w:rPr>
            <w:noProof/>
            <w:webHidden/>
          </w:rPr>
          <w:instrText xml:space="preserve"> PAGEREF _Toc127110898 \h </w:instrText>
        </w:r>
        <w:r w:rsidR="00A45D71">
          <w:rPr>
            <w:noProof/>
            <w:webHidden/>
          </w:rPr>
        </w:r>
        <w:r w:rsidR="00A45D71">
          <w:rPr>
            <w:noProof/>
            <w:webHidden/>
          </w:rPr>
          <w:fldChar w:fldCharType="separate"/>
        </w:r>
        <w:r w:rsidR="00A45D71">
          <w:rPr>
            <w:noProof/>
            <w:webHidden/>
          </w:rPr>
          <w:t>14</w:t>
        </w:r>
        <w:r w:rsidR="00A45D71">
          <w:rPr>
            <w:noProof/>
            <w:webHidden/>
          </w:rPr>
          <w:fldChar w:fldCharType="end"/>
        </w:r>
      </w:hyperlink>
    </w:p>
    <w:p w14:paraId="19666A4D" w14:textId="4673BEC3"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899" w:history="1">
        <w:r w:rsidR="00A45D71" w:rsidRPr="00B525DE">
          <w:rPr>
            <w:rStyle w:val="Hyperlink"/>
            <w:noProof/>
          </w:rPr>
          <w:t xml:space="preserve">Figure 5 Structure of primary cell wall of plant cell </w:t>
        </w:r>
        <w:r w:rsidR="00A45D71" w:rsidRPr="00B525DE">
          <w:rPr>
            <w:rStyle w:val="Hyperlink"/>
            <w:rFonts w:ascii="Calibri" w:hAnsi="Calibri" w:cs="Calibri"/>
            <w:noProof/>
          </w:rPr>
          <w:t>(Nhuchhen et al. 2014)</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_Toc127110899 \h </w:instrText>
        </w:r>
        <w:r w:rsidR="00A45D71">
          <w:rPr>
            <w:noProof/>
            <w:webHidden/>
          </w:rPr>
        </w:r>
        <w:r w:rsidR="00A45D71">
          <w:rPr>
            <w:noProof/>
            <w:webHidden/>
          </w:rPr>
          <w:fldChar w:fldCharType="separate"/>
        </w:r>
        <w:r w:rsidR="00A45D71">
          <w:rPr>
            <w:noProof/>
            <w:webHidden/>
          </w:rPr>
          <w:t>15</w:t>
        </w:r>
        <w:r w:rsidR="00A45D71">
          <w:rPr>
            <w:noProof/>
            <w:webHidden/>
          </w:rPr>
          <w:fldChar w:fldCharType="end"/>
        </w:r>
      </w:hyperlink>
    </w:p>
    <w:p w14:paraId="0908CA2B" w14:textId="62CA2388"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0" w:history="1">
        <w:r w:rsidR="00A45D71" w:rsidRPr="00B525DE">
          <w:rPr>
            <w:rStyle w:val="Hyperlink"/>
            <w:noProof/>
          </w:rPr>
          <w:t xml:space="preserve">Figure 6 Van Krevelen diagram of products from woody biomass. Raw biomass (non-filled symbols), torrefied biomass (red symbols), HTC biomass (blue symbols), and charcoal (black symbols) </w:t>
        </w:r>
        <w:r w:rsidR="00A45D71" w:rsidRPr="00B525DE">
          <w:rPr>
            <w:rStyle w:val="Hyperlink"/>
            <w:rFonts w:ascii="Calibri" w:hAnsi="Calibri" w:cs="Calibri"/>
            <w:noProof/>
          </w:rPr>
          <w:t>(Suopajärvi and Fabritius 2013)</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_Toc127110900 \h </w:instrText>
        </w:r>
        <w:r w:rsidR="00A45D71">
          <w:rPr>
            <w:noProof/>
            <w:webHidden/>
          </w:rPr>
        </w:r>
        <w:r w:rsidR="00A45D71">
          <w:rPr>
            <w:noProof/>
            <w:webHidden/>
          </w:rPr>
          <w:fldChar w:fldCharType="separate"/>
        </w:r>
        <w:r w:rsidR="00A45D71">
          <w:rPr>
            <w:noProof/>
            <w:webHidden/>
          </w:rPr>
          <w:t>16</w:t>
        </w:r>
        <w:r w:rsidR="00A45D71">
          <w:rPr>
            <w:noProof/>
            <w:webHidden/>
          </w:rPr>
          <w:fldChar w:fldCharType="end"/>
        </w:r>
      </w:hyperlink>
    </w:p>
    <w:p w14:paraId="31407DF5" w14:textId="410F76AE"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1" w:history="1">
        <w:r w:rsidR="00A45D71" w:rsidRPr="00B525DE">
          <w:rPr>
            <w:rStyle w:val="Hyperlink"/>
            <w:noProof/>
          </w:rPr>
          <w:t xml:space="preserve">Figure 7 Biomass upgrading technologies according to product type </w:t>
        </w:r>
        <w:r w:rsidR="00A45D71" w:rsidRPr="00B525DE">
          <w:rPr>
            <w:rStyle w:val="Hyperlink"/>
            <w:rFonts w:ascii="Calibri" w:hAnsi="Calibri" w:cs="Calibri"/>
            <w:noProof/>
          </w:rPr>
          <w:t>(Mousa et al. 2016)</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_Toc127110901 \h </w:instrText>
        </w:r>
        <w:r w:rsidR="00A45D71">
          <w:rPr>
            <w:noProof/>
            <w:webHidden/>
          </w:rPr>
        </w:r>
        <w:r w:rsidR="00A45D71">
          <w:rPr>
            <w:noProof/>
            <w:webHidden/>
          </w:rPr>
          <w:fldChar w:fldCharType="separate"/>
        </w:r>
        <w:r w:rsidR="00A45D71">
          <w:rPr>
            <w:noProof/>
            <w:webHidden/>
          </w:rPr>
          <w:t>17</w:t>
        </w:r>
        <w:r w:rsidR="00A45D71">
          <w:rPr>
            <w:noProof/>
            <w:webHidden/>
          </w:rPr>
          <w:fldChar w:fldCharType="end"/>
        </w:r>
      </w:hyperlink>
    </w:p>
    <w:p w14:paraId="122CEB89" w14:textId="2FCD9D9E"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2" w:history="1">
        <w:r w:rsidR="00A45D71" w:rsidRPr="00B525DE">
          <w:rPr>
            <w:rStyle w:val="Hyperlink"/>
            <w:noProof/>
          </w:rPr>
          <w:t xml:space="preserve">Figure 8 Influence of pre-treatment temperature on key variables </w:t>
        </w:r>
        <w:r w:rsidR="00A45D71" w:rsidRPr="00B525DE">
          <w:rPr>
            <w:rStyle w:val="Hyperlink"/>
            <w:rFonts w:ascii="Calibri" w:hAnsi="Calibri" w:cs="Calibri"/>
            <w:noProof/>
          </w:rPr>
          <w:t>(Liu and Shen 2021)</w:t>
        </w:r>
        <w:r w:rsidR="00A45D71">
          <w:rPr>
            <w:noProof/>
            <w:webHidden/>
          </w:rPr>
          <w:tab/>
        </w:r>
        <w:r w:rsidR="00A45D71">
          <w:rPr>
            <w:noProof/>
            <w:webHidden/>
          </w:rPr>
          <w:fldChar w:fldCharType="begin"/>
        </w:r>
        <w:r w:rsidR="00A45D71">
          <w:rPr>
            <w:noProof/>
            <w:webHidden/>
          </w:rPr>
          <w:instrText xml:space="preserve"> PAGEREF _Toc127110902 \h </w:instrText>
        </w:r>
        <w:r w:rsidR="00A45D71">
          <w:rPr>
            <w:noProof/>
            <w:webHidden/>
          </w:rPr>
        </w:r>
        <w:r w:rsidR="00A45D71">
          <w:rPr>
            <w:noProof/>
            <w:webHidden/>
          </w:rPr>
          <w:fldChar w:fldCharType="separate"/>
        </w:r>
        <w:r w:rsidR="00A45D71">
          <w:rPr>
            <w:noProof/>
            <w:webHidden/>
          </w:rPr>
          <w:t>19</w:t>
        </w:r>
        <w:r w:rsidR="00A45D71">
          <w:rPr>
            <w:noProof/>
            <w:webHidden/>
          </w:rPr>
          <w:fldChar w:fldCharType="end"/>
        </w:r>
      </w:hyperlink>
    </w:p>
    <w:p w14:paraId="60549DD7" w14:textId="6A71459B"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3" w:history="1">
        <w:r w:rsidR="00A45D71" w:rsidRPr="00B525DE">
          <w:rPr>
            <w:rStyle w:val="Hyperlink"/>
            <w:noProof/>
          </w:rPr>
          <w:t xml:space="preserve">Figure 9 Opportunities for Biomass in iron &amp; steelmaking </w:t>
        </w:r>
        <w:r w:rsidR="00A45D71" w:rsidRPr="00B525DE">
          <w:rPr>
            <w:rStyle w:val="Hyperlink"/>
            <w:rFonts w:ascii="Calibri" w:hAnsi="Calibri" w:cs="Calibri"/>
            <w:noProof/>
          </w:rPr>
          <w:t>(Mandova et al. 2018)</w:t>
        </w:r>
        <w:r w:rsidR="00A45D71">
          <w:rPr>
            <w:noProof/>
            <w:webHidden/>
          </w:rPr>
          <w:tab/>
        </w:r>
        <w:r w:rsidR="00A45D71">
          <w:rPr>
            <w:noProof/>
            <w:webHidden/>
          </w:rPr>
          <w:fldChar w:fldCharType="begin"/>
        </w:r>
        <w:r w:rsidR="00A45D71">
          <w:rPr>
            <w:noProof/>
            <w:webHidden/>
          </w:rPr>
          <w:instrText xml:space="preserve"> PAGEREF _Toc127110903 \h </w:instrText>
        </w:r>
        <w:r w:rsidR="00A45D71">
          <w:rPr>
            <w:noProof/>
            <w:webHidden/>
          </w:rPr>
        </w:r>
        <w:r w:rsidR="00A45D71">
          <w:rPr>
            <w:noProof/>
            <w:webHidden/>
          </w:rPr>
          <w:fldChar w:fldCharType="separate"/>
        </w:r>
        <w:r w:rsidR="00A45D71">
          <w:rPr>
            <w:noProof/>
            <w:webHidden/>
          </w:rPr>
          <w:t>20</w:t>
        </w:r>
        <w:r w:rsidR="00A45D71">
          <w:rPr>
            <w:noProof/>
            <w:webHidden/>
          </w:rPr>
          <w:fldChar w:fldCharType="end"/>
        </w:r>
      </w:hyperlink>
    </w:p>
    <w:p w14:paraId="29382E5A" w14:textId="0A8CC6C7"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4" w:history="1">
        <w:r w:rsidR="00A45D71" w:rsidRPr="00B525DE">
          <w:rPr>
            <w:rStyle w:val="Hyperlink"/>
            <w:noProof/>
          </w:rPr>
          <w:t xml:space="preserve">Figure 10 An illustration of a blast furnace </w:t>
        </w:r>
        <w:r w:rsidR="00A45D71" w:rsidRPr="00B525DE">
          <w:rPr>
            <w:rStyle w:val="Hyperlink"/>
            <w:rFonts w:ascii="Calibri" w:hAnsi="Calibri" w:cs="Calibri"/>
            <w:noProof/>
          </w:rPr>
          <w:t>(Geerdes et al. 2009)</w:t>
        </w:r>
        <w:r w:rsidR="00A45D71">
          <w:rPr>
            <w:noProof/>
            <w:webHidden/>
          </w:rPr>
          <w:tab/>
        </w:r>
        <w:r w:rsidR="00A45D71">
          <w:rPr>
            <w:noProof/>
            <w:webHidden/>
          </w:rPr>
          <w:fldChar w:fldCharType="begin"/>
        </w:r>
        <w:r w:rsidR="00A45D71">
          <w:rPr>
            <w:noProof/>
            <w:webHidden/>
          </w:rPr>
          <w:instrText xml:space="preserve"> PAGEREF _Toc127110904 \h </w:instrText>
        </w:r>
        <w:r w:rsidR="00A45D71">
          <w:rPr>
            <w:noProof/>
            <w:webHidden/>
          </w:rPr>
        </w:r>
        <w:r w:rsidR="00A45D71">
          <w:rPr>
            <w:noProof/>
            <w:webHidden/>
          </w:rPr>
          <w:fldChar w:fldCharType="separate"/>
        </w:r>
        <w:r w:rsidR="00A45D71">
          <w:rPr>
            <w:noProof/>
            <w:webHidden/>
          </w:rPr>
          <w:t>21</w:t>
        </w:r>
        <w:r w:rsidR="00A45D71">
          <w:rPr>
            <w:noProof/>
            <w:webHidden/>
          </w:rPr>
          <w:fldChar w:fldCharType="end"/>
        </w:r>
      </w:hyperlink>
    </w:p>
    <w:p w14:paraId="6B570617" w14:textId="56AFABBB"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5" w:history="1">
        <w:r w:rsidR="00A45D71" w:rsidRPr="00B525DE">
          <w:rPr>
            <w:rStyle w:val="Hyperlink"/>
            <w:noProof/>
          </w:rPr>
          <w:t xml:space="preserve">Figure 11 A blast furnace tuyere diagram </w:t>
        </w:r>
        <w:r w:rsidR="00A45D71" w:rsidRPr="00B525DE">
          <w:rPr>
            <w:rStyle w:val="Hyperlink"/>
            <w:rFonts w:ascii="Calibri" w:hAnsi="Calibri" w:cs="Calibri"/>
            <w:noProof/>
          </w:rPr>
          <w:t>(Geerdes et al. 2009)</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_Toc127110905 \h </w:instrText>
        </w:r>
        <w:r w:rsidR="00A45D71">
          <w:rPr>
            <w:noProof/>
            <w:webHidden/>
          </w:rPr>
        </w:r>
        <w:r w:rsidR="00A45D71">
          <w:rPr>
            <w:noProof/>
            <w:webHidden/>
          </w:rPr>
          <w:fldChar w:fldCharType="separate"/>
        </w:r>
        <w:r w:rsidR="00A45D71">
          <w:rPr>
            <w:noProof/>
            <w:webHidden/>
          </w:rPr>
          <w:t>22</w:t>
        </w:r>
        <w:r w:rsidR="00A45D71">
          <w:rPr>
            <w:noProof/>
            <w:webHidden/>
          </w:rPr>
          <w:fldChar w:fldCharType="end"/>
        </w:r>
      </w:hyperlink>
    </w:p>
    <w:p w14:paraId="04918091" w14:textId="1A5D203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6" w:history="1">
        <w:r w:rsidR="00A45D71" w:rsidRPr="00B525DE">
          <w:rPr>
            <w:rStyle w:val="Hyperlink"/>
            <w:noProof/>
          </w:rPr>
          <w:t xml:space="preserve">Figure 12 </w:t>
        </w:r>
        <w:r w:rsidR="00A45D71" w:rsidRPr="00B525DE">
          <w:rPr>
            <w:rStyle w:val="Hyperlink"/>
            <w:rFonts w:cs="Arial"/>
            <w:noProof/>
          </w:rPr>
          <w:t xml:space="preserve">Diagram of a typical by-product coke plant </w:t>
        </w:r>
        <w:r w:rsidR="00A45D71" w:rsidRPr="00B525DE">
          <w:rPr>
            <w:rStyle w:val="Hyperlink"/>
            <w:rFonts w:ascii="Calibri" w:hAnsi="Calibri" w:cs="Calibri"/>
            <w:noProof/>
          </w:rPr>
          <w:t>(Hilding 2005)</w:t>
        </w:r>
        <w:r w:rsidR="00A45D71">
          <w:rPr>
            <w:noProof/>
            <w:webHidden/>
          </w:rPr>
          <w:tab/>
        </w:r>
        <w:r w:rsidR="00A45D71">
          <w:rPr>
            <w:noProof/>
            <w:webHidden/>
          </w:rPr>
          <w:fldChar w:fldCharType="begin"/>
        </w:r>
        <w:r w:rsidR="00A45D71">
          <w:rPr>
            <w:noProof/>
            <w:webHidden/>
          </w:rPr>
          <w:instrText xml:space="preserve"> PAGEREF _Toc127110906 \h </w:instrText>
        </w:r>
        <w:r w:rsidR="00A45D71">
          <w:rPr>
            <w:noProof/>
            <w:webHidden/>
          </w:rPr>
        </w:r>
        <w:r w:rsidR="00A45D71">
          <w:rPr>
            <w:noProof/>
            <w:webHidden/>
          </w:rPr>
          <w:fldChar w:fldCharType="separate"/>
        </w:r>
        <w:r w:rsidR="00A45D71">
          <w:rPr>
            <w:noProof/>
            <w:webHidden/>
          </w:rPr>
          <w:t>23</w:t>
        </w:r>
        <w:r w:rsidR="00A45D71">
          <w:rPr>
            <w:noProof/>
            <w:webHidden/>
          </w:rPr>
          <w:fldChar w:fldCharType="end"/>
        </w:r>
      </w:hyperlink>
    </w:p>
    <w:p w14:paraId="5CFDF6D7" w14:textId="69BBF13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7" w:history="1">
        <w:r w:rsidR="00A45D71" w:rsidRPr="00B525DE">
          <w:rPr>
            <w:rStyle w:val="Hyperlink"/>
            <w:noProof/>
          </w:rPr>
          <w:t xml:space="preserve">Figure 13 Diagram of a sintering machine </w:t>
        </w:r>
        <w:r w:rsidR="00A45D71" w:rsidRPr="00B525DE">
          <w:rPr>
            <w:rStyle w:val="Hyperlink"/>
            <w:rFonts w:ascii="Calibri" w:hAnsi="Calibri" w:cs="Calibri"/>
            <w:noProof/>
          </w:rPr>
          <w:t>(Chen et al. 2016)</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_Toc127110907 \h </w:instrText>
        </w:r>
        <w:r w:rsidR="00A45D71">
          <w:rPr>
            <w:noProof/>
            <w:webHidden/>
          </w:rPr>
        </w:r>
        <w:r w:rsidR="00A45D71">
          <w:rPr>
            <w:noProof/>
            <w:webHidden/>
          </w:rPr>
          <w:fldChar w:fldCharType="separate"/>
        </w:r>
        <w:r w:rsidR="00A45D71">
          <w:rPr>
            <w:noProof/>
            <w:webHidden/>
          </w:rPr>
          <w:t>25</w:t>
        </w:r>
        <w:r w:rsidR="00A45D71">
          <w:rPr>
            <w:noProof/>
            <w:webHidden/>
          </w:rPr>
          <w:fldChar w:fldCharType="end"/>
        </w:r>
      </w:hyperlink>
    </w:p>
    <w:p w14:paraId="15F390D7" w14:textId="0B24F7E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8" w:history="1">
        <w:r w:rsidR="00A45D71" w:rsidRPr="00B525DE">
          <w:rPr>
            <w:rStyle w:val="Hyperlink"/>
            <w:noProof/>
          </w:rPr>
          <w:t xml:space="preserve">Figure 14 Sinter quality indices after biochar addition </w:t>
        </w:r>
        <w:r w:rsidR="00A45D71" w:rsidRPr="00B525DE">
          <w:rPr>
            <w:rStyle w:val="Hyperlink"/>
            <w:rFonts w:ascii="Calibri" w:hAnsi="Calibri" w:cs="Calibri"/>
            <w:noProof/>
          </w:rPr>
          <w:t>(Mousa et al. 2015)</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_Toc127110908 \h </w:instrText>
        </w:r>
        <w:r w:rsidR="00A45D71">
          <w:rPr>
            <w:noProof/>
            <w:webHidden/>
          </w:rPr>
        </w:r>
        <w:r w:rsidR="00A45D71">
          <w:rPr>
            <w:noProof/>
            <w:webHidden/>
          </w:rPr>
          <w:fldChar w:fldCharType="separate"/>
        </w:r>
        <w:r w:rsidR="00A45D71">
          <w:rPr>
            <w:noProof/>
            <w:webHidden/>
          </w:rPr>
          <w:t>26</w:t>
        </w:r>
        <w:r w:rsidR="00A45D71">
          <w:rPr>
            <w:noProof/>
            <w:webHidden/>
          </w:rPr>
          <w:fldChar w:fldCharType="end"/>
        </w:r>
      </w:hyperlink>
    </w:p>
    <w:p w14:paraId="3C084FD0" w14:textId="27FFB465"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09" w:history="1">
        <w:r w:rsidR="00A45D71" w:rsidRPr="00B525DE">
          <w:rPr>
            <w:rStyle w:val="Hyperlink"/>
            <w:noProof/>
          </w:rPr>
          <w:t xml:space="preserve">Figure 15 a) The distribution of woody biomass and waste in the EU b) Comparison of the woody-biomass supply and the existing woody-biomass demand, per country) </w:t>
        </w:r>
        <w:r w:rsidR="00A45D71" w:rsidRPr="00B525DE">
          <w:rPr>
            <w:rStyle w:val="Hyperlink"/>
            <w:rFonts w:ascii="Calibri" w:hAnsi="Calibri" w:cs="Calibri"/>
            <w:noProof/>
          </w:rPr>
          <w:t>(Mandova et al. 2018)</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_Toc127110909 \h </w:instrText>
        </w:r>
        <w:r w:rsidR="00A45D71">
          <w:rPr>
            <w:noProof/>
            <w:webHidden/>
          </w:rPr>
        </w:r>
        <w:r w:rsidR="00A45D71">
          <w:rPr>
            <w:noProof/>
            <w:webHidden/>
          </w:rPr>
          <w:fldChar w:fldCharType="separate"/>
        </w:r>
        <w:r w:rsidR="00A45D71">
          <w:rPr>
            <w:noProof/>
            <w:webHidden/>
          </w:rPr>
          <w:t>27</w:t>
        </w:r>
        <w:r w:rsidR="00A45D71">
          <w:rPr>
            <w:noProof/>
            <w:webHidden/>
          </w:rPr>
          <w:fldChar w:fldCharType="end"/>
        </w:r>
      </w:hyperlink>
    </w:p>
    <w:p w14:paraId="25EAB1E2" w14:textId="67ED0A26"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0" w:history="1">
        <w:r w:rsidR="00A45D71" w:rsidRPr="00B525DE">
          <w:rPr>
            <w:rStyle w:val="Hyperlink"/>
            <w:noProof/>
          </w:rPr>
          <w:t xml:space="preserve">Figure 16 The cost of charcoal production </w:t>
        </w:r>
        <w:r w:rsidR="00A45D71" w:rsidRPr="00B525DE">
          <w:rPr>
            <w:rStyle w:val="Hyperlink"/>
            <w:rFonts w:ascii="Calibri" w:hAnsi="Calibri" w:cs="Calibri"/>
            <w:noProof/>
          </w:rPr>
          <w:t>(Suopajärvi and Fabritius 2013)</w:t>
        </w:r>
        <w:r w:rsidR="00A45D71">
          <w:rPr>
            <w:noProof/>
            <w:webHidden/>
          </w:rPr>
          <w:tab/>
        </w:r>
        <w:r w:rsidR="00A45D71">
          <w:rPr>
            <w:noProof/>
            <w:webHidden/>
          </w:rPr>
          <w:fldChar w:fldCharType="begin"/>
        </w:r>
        <w:r w:rsidR="00A45D71">
          <w:rPr>
            <w:noProof/>
            <w:webHidden/>
          </w:rPr>
          <w:instrText xml:space="preserve"> PAGEREF _Toc127110910 \h </w:instrText>
        </w:r>
        <w:r w:rsidR="00A45D71">
          <w:rPr>
            <w:noProof/>
            <w:webHidden/>
          </w:rPr>
        </w:r>
        <w:r w:rsidR="00A45D71">
          <w:rPr>
            <w:noProof/>
            <w:webHidden/>
          </w:rPr>
          <w:fldChar w:fldCharType="separate"/>
        </w:r>
        <w:r w:rsidR="00A45D71">
          <w:rPr>
            <w:noProof/>
            <w:webHidden/>
          </w:rPr>
          <w:t>28</w:t>
        </w:r>
        <w:r w:rsidR="00A45D71">
          <w:rPr>
            <w:noProof/>
            <w:webHidden/>
          </w:rPr>
          <w:fldChar w:fldCharType="end"/>
        </w:r>
      </w:hyperlink>
    </w:p>
    <w:p w14:paraId="37B70458" w14:textId="38081BE5"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1" w:history="1">
        <w:r w:rsidR="00A45D71" w:rsidRPr="00B525DE">
          <w:rPr>
            <w:rStyle w:val="Hyperlink"/>
            <w:noProof/>
          </w:rPr>
          <w:t xml:space="preserve">Figure 17 Calculated VUI's for BF fuels and subsequent CO2 emissions from the BF </w:t>
        </w:r>
        <w:r w:rsidR="00A45D71" w:rsidRPr="00B525DE">
          <w:rPr>
            <w:rStyle w:val="Hyperlink"/>
            <w:rFonts w:ascii="Calibri" w:hAnsi="Calibri" w:cs="Calibri"/>
            <w:noProof/>
          </w:rPr>
          <w:t>(Mathieson et al. 2011)</w:t>
        </w:r>
        <w:r w:rsidR="00A45D71">
          <w:rPr>
            <w:noProof/>
            <w:webHidden/>
          </w:rPr>
          <w:tab/>
        </w:r>
        <w:r w:rsidR="00A45D71">
          <w:rPr>
            <w:noProof/>
            <w:webHidden/>
          </w:rPr>
          <w:fldChar w:fldCharType="begin"/>
        </w:r>
        <w:r w:rsidR="00A45D71">
          <w:rPr>
            <w:noProof/>
            <w:webHidden/>
          </w:rPr>
          <w:instrText xml:space="preserve"> PAGEREF _Toc127110911 \h </w:instrText>
        </w:r>
        <w:r w:rsidR="00A45D71">
          <w:rPr>
            <w:noProof/>
            <w:webHidden/>
          </w:rPr>
        </w:r>
        <w:r w:rsidR="00A45D71">
          <w:rPr>
            <w:noProof/>
            <w:webHidden/>
          </w:rPr>
          <w:fldChar w:fldCharType="separate"/>
        </w:r>
        <w:r w:rsidR="00A45D71">
          <w:rPr>
            <w:noProof/>
            <w:webHidden/>
          </w:rPr>
          <w:t>28</w:t>
        </w:r>
        <w:r w:rsidR="00A45D71">
          <w:rPr>
            <w:noProof/>
            <w:webHidden/>
          </w:rPr>
          <w:fldChar w:fldCharType="end"/>
        </w:r>
      </w:hyperlink>
    </w:p>
    <w:p w14:paraId="032E6443" w14:textId="4EE40D5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2" w:history="1">
        <w:r w:rsidR="00A45D71" w:rsidRPr="00B525DE">
          <w:rPr>
            <w:rStyle w:val="Hyperlink"/>
            <w:noProof/>
          </w:rPr>
          <w:t xml:space="preserve">Figure 18 Rotary kiln pilot-scale pyrolysis unit used to make biochar 1 </w:t>
        </w:r>
        <w:r w:rsidR="00A45D71" w:rsidRPr="00B525DE">
          <w:rPr>
            <w:rStyle w:val="Hyperlink"/>
            <w:rFonts w:ascii="Calibri" w:hAnsi="Calibri" w:cs="Calibri"/>
            <w:noProof/>
          </w:rPr>
          <w:t>(Mašek et al. 2018)</w:t>
        </w:r>
        <w:r w:rsidR="00A45D71">
          <w:rPr>
            <w:noProof/>
            <w:webHidden/>
          </w:rPr>
          <w:tab/>
        </w:r>
        <w:r w:rsidR="00A45D71">
          <w:rPr>
            <w:noProof/>
            <w:webHidden/>
          </w:rPr>
          <w:fldChar w:fldCharType="begin"/>
        </w:r>
        <w:r w:rsidR="00A45D71">
          <w:rPr>
            <w:noProof/>
            <w:webHidden/>
          </w:rPr>
          <w:instrText xml:space="preserve"> PAGEREF _Toc127110912 \h </w:instrText>
        </w:r>
        <w:r w:rsidR="00A45D71">
          <w:rPr>
            <w:noProof/>
            <w:webHidden/>
          </w:rPr>
        </w:r>
        <w:r w:rsidR="00A45D71">
          <w:rPr>
            <w:noProof/>
            <w:webHidden/>
          </w:rPr>
          <w:fldChar w:fldCharType="separate"/>
        </w:r>
        <w:r w:rsidR="00A45D71">
          <w:rPr>
            <w:noProof/>
            <w:webHidden/>
          </w:rPr>
          <w:t>29</w:t>
        </w:r>
        <w:r w:rsidR="00A45D71">
          <w:rPr>
            <w:noProof/>
            <w:webHidden/>
          </w:rPr>
          <w:fldChar w:fldCharType="end"/>
        </w:r>
      </w:hyperlink>
    </w:p>
    <w:p w14:paraId="25C90BF9" w14:textId="11BBE08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3" w:history="1">
        <w:r w:rsidR="00A45D71" w:rsidRPr="00B525DE">
          <w:rPr>
            <w:rStyle w:val="Hyperlink"/>
            <w:noProof/>
          </w:rPr>
          <w:t xml:space="preserve">Figure 19 The components of coal </w:t>
        </w:r>
        <w:r w:rsidR="00A45D71" w:rsidRPr="00B525DE">
          <w:rPr>
            <w:rStyle w:val="Hyperlink"/>
            <w:rFonts w:ascii="Calibri" w:hAnsi="Calibri" w:cs="Calibri"/>
            <w:noProof/>
          </w:rPr>
          <w:t>(Backus 2022)</w:t>
        </w:r>
        <w:r w:rsidR="00A45D71">
          <w:rPr>
            <w:noProof/>
            <w:webHidden/>
          </w:rPr>
          <w:tab/>
        </w:r>
        <w:r w:rsidR="00A45D71">
          <w:rPr>
            <w:noProof/>
            <w:webHidden/>
          </w:rPr>
          <w:fldChar w:fldCharType="begin"/>
        </w:r>
        <w:r w:rsidR="00A45D71">
          <w:rPr>
            <w:noProof/>
            <w:webHidden/>
          </w:rPr>
          <w:instrText xml:space="preserve"> PAGEREF _Toc127110913 \h </w:instrText>
        </w:r>
        <w:r w:rsidR="00A45D71">
          <w:rPr>
            <w:noProof/>
            <w:webHidden/>
          </w:rPr>
        </w:r>
        <w:r w:rsidR="00A45D71">
          <w:rPr>
            <w:noProof/>
            <w:webHidden/>
          </w:rPr>
          <w:fldChar w:fldCharType="separate"/>
        </w:r>
        <w:r w:rsidR="00A45D71">
          <w:rPr>
            <w:noProof/>
            <w:webHidden/>
          </w:rPr>
          <w:t>30</w:t>
        </w:r>
        <w:r w:rsidR="00A45D71">
          <w:rPr>
            <w:noProof/>
            <w:webHidden/>
          </w:rPr>
          <w:fldChar w:fldCharType="end"/>
        </w:r>
      </w:hyperlink>
    </w:p>
    <w:p w14:paraId="2CDD1AB0" w14:textId="48292BC4"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4" w:history="1">
        <w:r w:rsidR="00A45D71" w:rsidRPr="00B525DE">
          <w:rPr>
            <w:rStyle w:val="Hyperlink"/>
            <w:noProof/>
          </w:rPr>
          <w:t xml:space="preserve">Figure 20 Illustrating x-ray fluorescence </w:t>
        </w:r>
        <w:r w:rsidR="00A45D71" w:rsidRPr="00B525DE">
          <w:rPr>
            <w:rStyle w:val="Hyperlink"/>
            <w:rFonts w:ascii="Calibri" w:hAnsi="Calibri" w:cs="Calibri"/>
            <w:noProof/>
          </w:rPr>
          <w:t>(Blondel 2020)</w:t>
        </w:r>
        <w:r w:rsidR="00A45D71">
          <w:rPr>
            <w:noProof/>
            <w:webHidden/>
          </w:rPr>
          <w:tab/>
        </w:r>
        <w:r w:rsidR="00A45D71">
          <w:rPr>
            <w:noProof/>
            <w:webHidden/>
          </w:rPr>
          <w:fldChar w:fldCharType="begin"/>
        </w:r>
        <w:r w:rsidR="00A45D71">
          <w:rPr>
            <w:noProof/>
            <w:webHidden/>
          </w:rPr>
          <w:instrText xml:space="preserve"> PAGEREF _Toc127110914 \h </w:instrText>
        </w:r>
        <w:r w:rsidR="00A45D71">
          <w:rPr>
            <w:noProof/>
            <w:webHidden/>
          </w:rPr>
        </w:r>
        <w:r w:rsidR="00A45D71">
          <w:rPr>
            <w:noProof/>
            <w:webHidden/>
          </w:rPr>
          <w:fldChar w:fldCharType="separate"/>
        </w:r>
        <w:r w:rsidR="00A45D71">
          <w:rPr>
            <w:noProof/>
            <w:webHidden/>
          </w:rPr>
          <w:t>33</w:t>
        </w:r>
        <w:r w:rsidR="00A45D71">
          <w:rPr>
            <w:noProof/>
            <w:webHidden/>
          </w:rPr>
          <w:fldChar w:fldCharType="end"/>
        </w:r>
      </w:hyperlink>
    </w:p>
    <w:p w14:paraId="3955AA81" w14:textId="78533B21"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5" w:history="1">
        <w:r w:rsidR="00A45D71" w:rsidRPr="00B525DE">
          <w:rPr>
            <w:rStyle w:val="Hyperlink"/>
            <w:noProof/>
          </w:rPr>
          <w:t xml:space="preserve">Figure 21 Excitation of an atom by a plasma </w:t>
        </w:r>
        <w:r w:rsidR="00A45D71" w:rsidRPr="00B525DE">
          <w:rPr>
            <w:rStyle w:val="Hyperlink"/>
            <w:rFonts w:ascii="Calibri" w:hAnsi="Calibri" w:cs="Calibri"/>
            <w:noProof/>
          </w:rPr>
          <w:t>(Thermo Fisher Scientific 2022)</w:t>
        </w:r>
        <w:r w:rsidR="00A45D71">
          <w:rPr>
            <w:noProof/>
            <w:webHidden/>
          </w:rPr>
          <w:tab/>
        </w:r>
        <w:r w:rsidR="00A45D71">
          <w:rPr>
            <w:noProof/>
            <w:webHidden/>
          </w:rPr>
          <w:fldChar w:fldCharType="begin"/>
        </w:r>
        <w:r w:rsidR="00A45D71">
          <w:rPr>
            <w:noProof/>
            <w:webHidden/>
          </w:rPr>
          <w:instrText xml:space="preserve"> PAGEREF _Toc127110915 \h </w:instrText>
        </w:r>
        <w:r w:rsidR="00A45D71">
          <w:rPr>
            <w:noProof/>
            <w:webHidden/>
          </w:rPr>
        </w:r>
        <w:r w:rsidR="00A45D71">
          <w:rPr>
            <w:noProof/>
            <w:webHidden/>
          </w:rPr>
          <w:fldChar w:fldCharType="separate"/>
        </w:r>
        <w:r w:rsidR="00A45D71">
          <w:rPr>
            <w:noProof/>
            <w:webHidden/>
          </w:rPr>
          <w:t>34</w:t>
        </w:r>
        <w:r w:rsidR="00A45D71">
          <w:rPr>
            <w:noProof/>
            <w:webHidden/>
          </w:rPr>
          <w:fldChar w:fldCharType="end"/>
        </w:r>
      </w:hyperlink>
    </w:p>
    <w:p w14:paraId="267AE52A" w14:textId="05130CD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6" w:history="1">
        <w:r w:rsidR="00A45D71" w:rsidRPr="00B525DE">
          <w:rPr>
            <w:rStyle w:val="Hyperlink"/>
            <w:noProof/>
          </w:rPr>
          <w:t xml:space="preserve">Figure 22 Particle size distribution by sieves </w:t>
        </w:r>
        <w:r w:rsidR="00A45D71" w:rsidRPr="00B525DE">
          <w:rPr>
            <w:rStyle w:val="Hyperlink"/>
            <w:rFonts w:ascii="Calibri" w:hAnsi="Calibri" w:cs="Calibri"/>
            <w:noProof/>
          </w:rPr>
          <w:t>(Particle Technology Labs 2022)</w:t>
        </w:r>
        <w:r w:rsidR="00A45D71">
          <w:rPr>
            <w:noProof/>
            <w:webHidden/>
          </w:rPr>
          <w:tab/>
        </w:r>
        <w:r w:rsidR="00A45D71">
          <w:rPr>
            <w:noProof/>
            <w:webHidden/>
          </w:rPr>
          <w:fldChar w:fldCharType="begin"/>
        </w:r>
        <w:r w:rsidR="00A45D71">
          <w:rPr>
            <w:noProof/>
            <w:webHidden/>
          </w:rPr>
          <w:instrText xml:space="preserve"> PAGEREF _Toc127110916 \h </w:instrText>
        </w:r>
        <w:r w:rsidR="00A45D71">
          <w:rPr>
            <w:noProof/>
            <w:webHidden/>
          </w:rPr>
        </w:r>
        <w:r w:rsidR="00A45D71">
          <w:rPr>
            <w:noProof/>
            <w:webHidden/>
          </w:rPr>
          <w:fldChar w:fldCharType="separate"/>
        </w:r>
        <w:r w:rsidR="00A45D71">
          <w:rPr>
            <w:noProof/>
            <w:webHidden/>
          </w:rPr>
          <w:t>35</w:t>
        </w:r>
        <w:r w:rsidR="00A45D71">
          <w:rPr>
            <w:noProof/>
            <w:webHidden/>
          </w:rPr>
          <w:fldChar w:fldCharType="end"/>
        </w:r>
      </w:hyperlink>
    </w:p>
    <w:p w14:paraId="53B64EFA" w14:textId="15732E83"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7" w:history="1">
        <w:r w:rsidR="00A45D71" w:rsidRPr="00B525DE">
          <w:rPr>
            <w:rStyle w:val="Hyperlink"/>
            <w:noProof/>
          </w:rPr>
          <w:t xml:space="preserve">Figure 23 A picture and schematic </w:t>
        </w:r>
        <w:r w:rsidR="00A45D71" w:rsidRPr="00B525DE">
          <w:rPr>
            <w:rStyle w:val="Hyperlink"/>
            <w:rFonts w:ascii="Calibri" w:hAnsi="Calibri" w:cs="Calibri"/>
            <w:noProof/>
          </w:rPr>
          <w:t>(Steer et al. 2021)</w:t>
        </w:r>
        <w:r w:rsidR="00A45D71" w:rsidRPr="00B525DE">
          <w:rPr>
            <w:rStyle w:val="Hyperlink"/>
            <w:noProof/>
          </w:rPr>
          <w:t xml:space="preserve"> of the drop tube furnace.</w:t>
        </w:r>
        <w:r w:rsidR="00A45D71">
          <w:rPr>
            <w:noProof/>
            <w:webHidden/>
          </w:rPr>
          <w:tab/>
        </w:r>
        <w:r w:rsidR="00A45D71">
          <w:rPr>
            <w:noProof/>
            <w:webHidden/>
          </w:rPr>
          <w:fldChar w:fldCharType="begin"/>
        </w:r>
        <w:r w:rsidR="00A45D71">
          <w:rPr>
            <w:noProof/>
            <w:webHidden/>
          </w:rPr>
          <w:instrText xml:space="preserve"> PAGEREF _Toc127110917 \h </w:instrText>
        </w:r>
        <w:r w:rsidR="00A45D71">
          <w:rPr>
            <w:noProof/>
            <w:webHidden/>
          </w:rPr>
        </w:r>
        <w:r w:rsidR="00A45D71">
          <w:rPr>
            <w:noProof/>
            <w:webHidden/>
          </w:rPr>
          <w:fldChar w:fldCharType="separate"/>
        </w:r>
        <w:r w:rsidR="00A45D71">
          <w:rPr>
            <w:noProof/>
            <w:webHidden/>
          </w:rPr>
          <w:t>36</w:t>
        </w:r>
        <w:r w:rsidR="00A45D71">
          <w:rPr>
            <w:noProof/>
            <w:webHidden/>
          </w:rPr>
          <w:fldChar w:fldCharType="end"/>
        </w:r>
      </w:hyperlink>
    </w:p>
    <w:p w14:paraId="1400BB0B" w14:textId="67D023E7"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8" w:history="1">
        <w:r w:rsidR="00A45D71" w:rsidRPr="00B525DE">
          <w:rPr>
            <w:rStyle w:val="Hyperlink"/>
            <w:noProof/>
          </w:rPr>
          <w:t>Figure 24 The Pilot scale coke oven at Tatasteel</w:t>
        </w:r>
        <w:r w:rsidR="00A45D71">
          <w:rPr>
            <w:noProof/>
            <w:webHidden/>
          </w:rPr>
          <w:tab/>
        </w:r>
        <w:r w:rsidR="00A45D71">
          <w:rPr>
            <w:noProof/>
            <w:webHidden/>
          </w:rPr>
          <w:fldChar w:fldCharType="begin"/>
        </w:r>
        <w:r w:rsidR="00A45D71">
          <w:rPr>
            <w:noProof/>
            <w:webHidden/>
          </w:rPr>
          <w:instrText xml:space="preserve"> PAGEREF _Toc127110918 \h </w:instrText>
        </w:r>
        <w:r w:rsidR="00A45D71">
          <w:rPr>
            <w:noProof/>
            <w:webHidden/>
          </w:rPr>
        </w:r>
        <w:r w:rsidR="00A45D71">
          <w:rPr>
            <w:noProof/>
            <w:webHidden/>
          </w:rPr>
          <w:fldChar w:fldCharType="separate"/>
        </w:r>
        <w:r w:rsidR="00A45D71">
          <w:rPr>
            <w:noProof/>
            <w:webHidden/>
          </w:rPr>
          <w:t>37</w:t>
        </w:r>
        <w:r w:rsidR="00A45D71">
          <w:rPr>
            <w:noProof/>
            <w:webHidden/>
          </w:rPr>
          <w:fldChar w:fldCharType="end"/>
        </w:r>
      </w:hyperlink>
    </w:p>
    <w:p w14:paraId="7B144FE3" w14:textId="0B54C9ED"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19" w:history="1">
        <w:r w:rsidR="00A45D71" w:rsidRPr="00B525DE">
          <w:rPr>
            <w:rStyle w:val="Hyperlink"/>
            <w:noProof/>
          </w:rPr>
          <w:t>Figure 25 An illustration of the 25Kg pilot scale coke oven at Port Talbot, made by the author.</w:t>
        </w:r>
        <w:r w:rsidR="00A45D71">
          <w:rPr>
            <w:noProof/>
            <w:webHidden/>
          </w:rPr>
          <w:tab/>
        </w:r>
        <w:r w:rsidR="00A45D71">
          <w:rPr>
            <w:noProof/>
            <w:webHidden/>
          </w:rPr>
          <w:fldChar w:fldCharType="begin"/>
        </w:r>
        <w:r w:rsidR="00A45D71">
          <w:rPr>
            <w:noProof/>
            <w:webHidden/>
          </w:rPr>
          <w:instrText xml:space="preserve"> PAGEREF _Toc127110919 \h </w:instrText>
        </w:r>
        <w:r w:rsidR="00A45D71">
          <w:rPr>
            <w:noProof/>
            <w:webHidden/>
          </w:rPr>
        </w:r>
        <w:r w:rsidR="00A45D71">
          <w:rPr>
            <w:noProof/>
            <w:webHidden/>
          </w:rPr>
          <w:fldChar w:fldCharType="separate"/>
        </w:r>
        <w:r w:rsidR="00A45D71">
          <w:rPr>
            <w:noProof/>
            <w:webHidden/>
          </w:rPr>
          <w:t>38</w:t>
        </w:r>
        <w:r w:rsidR="00A45D71">
          <w:rPr>
            <w:noProof/>
            <w:webHidden/>
          </w:rPr>
          <w:fldChar w:fldCharType="end"/>
        </w:r>
      </w:hyperlink>
    </w:p>
    <w:p w14:paraId="5549AED3" w14:textId="5D1E75D9"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0" w:history="1">
        <w:r w:rsidR="00A45D71" w:rsidRPr="00B525DE">
          <w:rPr>
            <w:rStyle w:val="Hyperlink"/>
            <w:noProof/>
          </w:rPr>
          <w:t>Figure 26 Preparing the coal charge</w:t>
        </w:r>
        <w:r w:rsidR="00A45D71">
          <w:rPr>
            <w:noProof/>
            <w:webHidden/>
          </w:rPr>
          <w:tab/>
        </w:r>
        <w:r w:rsidR="00A45D71">
          <w:rPr>
            <w:noProof/>
            <w:webHidden/>
          </w:rPr>
          <w:fldChar w:fldCharType="begin"/>
        </w:r>
        <w:r w:rsidR="00A45D71">
          <w:rPr>
            <w:noProof/>
            <w:webHidden/>
          </w:rPr>
          <w:instrText xml:space="preserve"> PAGEREF _Toc127110920 \h </w:instrText>
        </w:r>
        <w:r w:rsidR="00A45D71">
          <w:rPr>
            <w:noProof/>
            <w:webHidden/>
          </w:rPr>
        </w:r>
        <w:r w:rsidR="00A45D71">
          <w:rPr>
            <w:noProof/>
            <w:webHidden/>
          </w:rPr>
          <w:fldChar w:fldCharType="separate"/>
        </w:r>
        <w:r w:rsidR="00A45D71">
          <w:rPr>
            <w:noProof/>
            <w:webHidden/>
          </w:rPr>
          <w:t>39</w:t>
        </w:r>
        <w:r w:rsidR="00A45D71">
          <w:rPr>
            <w:noProof/>
            <w:webHidden/>
          </w:rPr>
          <w:fldChar w:fldCharType="end"/>
        </w:r>
      </w:hyperlink>
    </w:p>
    <w:p w14:paraId="06C4BC22" w14:textId="729496C2"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1" w:history="1">
        <w:r w:rsidR="00A45D71" w:rsidRPr="00B525DE">
          <w:rPr>
            <w:rStyle w:val="Hyperlink"/>
            <w:noProof/>
          </w:rPr>
          <w:t>Figure 27 The coal density calculation</w:t>
        </w:r>
        <w:r w:rsidR="00A45D71">
          <w:rPr>
            <w:noProof/>
            <w:webHidden/>
          </w:rPr>
          <w:tab/>
        </w:r>
        <w:r w:rsidR="00A45D71">
          <w:rPr>
            <w:noProof/>
            <w:webHidden/>
          </w:rPr>
          <w:fldChar w:fldCharType="begin"/>
        </w:r>
        <w:r w:rsidR="00A45D71">
          <w:rPr>
            <w:noProof/>
            <w:webHidden/>
          </w:rPr>
          <w:instrText xml:space="preserve"> PAGEREF _Toc127110921 \h </w:instrText>
        </w:r>
        <w:r w:rsidR="00A45D71">
          <w:rPr>
            <w:noProof/>
            <w:webHidden/>
          </w:rPr>
        </w:r>
        <w:r w:rsidR="00A45D71">
          <w:rPr>
            <w:noProof/>
            <w:webHidden/>
          </w:rPr>
          <w:fldChar w:fldCharType="separate"/>
        </w:r>
        <w:r w:rsidR="00A45D71">
          <w:rPr>
            <w:noProof/>
            <w:webHidden/>
          </w:rPr>
          <w:t>40</w:t>
        </w:r>
        <w:r w:rsidR="00A45D71">
          <w:rPr>
            <w:noProof/>
            <w:webHidden/>
          </w:rPr>
          <w:fldChar w:fldCharType="end"/>
        </w:r>
      </w:hyperlink>
    </w:p>
    <w:p w14:paraId="447211E8" w14:textId="01CE9448"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2" w:history="1">
        <w:r w:rsidR="00A45D71" w:rsidRPr="00B525DE">
          <w:rPr>
            <w:rStyle w:val="Hyperlink"/>
            <w:noProof/>
          </w:rPr>
          <w:t xml:space="preserve">Figure 28 The motion of coke in a micum test </w:t>
        </w:r>
        <w:r w:rsidR="00A45D71" w:rsidRPr="00B525DE">
          <w:rPr>
            <w:rStyle w:val="Hyperlink"/>
            <w:rFonts w:ascii="Calibri" w:hAnsi="Calibri" w:cs="Calibri"/>
            <w:noProof/>
          </w:rPr>
          <w:t>(Geerdes et al. 2009)</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_Toc127110922 \h </w:instrText>
        </w:r>
        <w:r w:rsidR="00A45D71">
          <w:rPr>
            <w:noProof/>
            <w:webHidden/>
          </w:rPr>
        </w:r>
        <w:r w:rsidR="00A45D71">
          <w:rPr>
            <w:noProof/>
            <w:webHidden/>
          </w:rPr>
          <w:fldChar w:fldCharType="separate"/>
        </w:r>
        <w:r w:rsidR="00A45D71">
          <w:rPr>
            <w:noProof/>
            <w:webHidden/>
          </w:rPr>
          <w:t>41</w:t>
        </w:r>
        <w:r w:rsidR="00A45D71">
          <w:rPr>
            <w:noProof/>
            <w:webHidden/>
          </w:rPr>
          <w:fldChar w:fldCharType="end"/>
        </w:r>
      </w:hyperlink>
    </w:p>
    <w:p w14:paraId="6725DBE7" w14:textId="1E970E5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3" w:history="1">
        <w:r w:rsidR="00A45D71" w:rsidRPr="00B525DE">
          <w:rPr>
            <w:rStyle w:val="Hyperlink"/>
            <w:noProof/>
          </w:rPr>
          <w:t>Figure 29 Diagram of the CSR/CRI test</w:t>
        </w:r>
        <w:r w:rsidR="00A45D71">
          <w:rPr>
            <w:noProof/>
            <w:webHidden/>
          </w:rPr>
          <w:tab/>
        </w:r>
        <w:r w:rsidR="00A45D71">
          <w:rPr>
            <w:noProof/>
            <w:webHidden/>
          </w:rPr>
          <w:fldChar w:fldCharType="begin"/>
        </w:r>
        <w:r w:rsidR="00A45D71">
          <w:rPr>
            <w:noProof/>
            <w:webHidden/>
          </w:rPr>
          <w:instrText xml:space="preserve"> PAGEREF _Toc127110923 \h </w:instrText>
        </w:r>
        <w:r w:rsidR="00A45D71">
          <w:rPr>
            <w:noProof/>
            <w:webHidden/>
          </w:rPr>
        </w:r>
        <w:r w:rsidR="00A45D71">
          <w:rPr>
            <w:noProof/>
            <w:webHidden/>
          </w:rPr>
          <w:fldChar w:fldCharType="separate"/>
        </w:r>
        <w:r w:rsidR="00A45D71">
          <w:rPr>
            <w:noProof/>
            <w:webHidden/>
          </w:rPr>
          <w:t>42</w:t>
        </w:r>
        <w:r w:rsidR="00A45D71">
          <w:rPr>
            <w:noProof/>
            <w:webHidden/>
          </w:rPr>
          <w:fldChar w:fldCharType="end"/>
        </w:r>
      </w:hyperlink>
    </w:p>
    <w:p w14:paraId="327218F7" w14:textId="22A7C093"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4" w:history="1">
        <w:r w:rsidR="00A45D71" w:rsidRPr="00B525DE">
          <w:rPr>
            <w:rStyle w:val="Hyperlink"/>
            <w:noProof/>
          </w:rPr>
          <w:t>Figure 30 A photograph (author) and a schematic diagram of the sinter pot (Zandi et al. 2010)</w:t>
        </w:r>
        <w:r w:rsidR="00A45D71">
          <w:rPr>
            <w:noProof/>
            <w:webHidden/>
          </w:rPr>
          <w:tab/>
        </w:r>
        <w:r w:rsidR="00A45D71">
          <w:rPr>
            <w:noProof/>
            <w:webHidden/>
          </w:rPr>
          <w:fldChar w:fldCharType="begin"/>
        </w:r>
        <w:r w:rsidR="00A45D71">
          <w:rPr>
            <w:noProof/>
            <w:webHidden/>
          </w:rPr>
          <w:instrText xml:space="preserve"> PAGEREF _Toc127110924 \h </w:instrText>
        </w:r>
        <w:r w:rsidR="00A45D71">
          <w:rPr>
            <w:noProof/>
            <w:webHidden/>
          </w:rPr>
        </w:r>
        <w:r w:rsidR="00A45D71">
          <w:rPr>
            <w:noProof/>
            <w:webHidden/>
          </w:rPr>
          <w:fldChar w:fldCharType="separate"/>
        </w:r>
        <w:r w:rsidR="00A45D71">
          <w:rPr>
            <w:noProof/>
            <w:webHidden/>
          </w:rPr>
          <w:t>43</w:t>
        </w:r>
        <w:r w:rsidR="00A45D71">
          <w:rPr>
            <w:noProof/>
            <w:webHidden/>
          </w:rPr>
          <w:fldChar w:fldCharType="end"/>
        </w:r>
      </w:hyperlink>
    </w:p>
    <w:p w14:paraId="5E3492B8" w14:textId="0239530B"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5" w:history="1">
        <w:r w:rsidR="00A45D71" w:rsidRPr="00B525DE">
          <w:rPr>
            <w:rStyle w:val="Hyperlink"/>
            <w:noProof/>
          </w:rPr>
          <w:t>Figure 31 RDI test equipment apparatus (British Standards Institute 2015b)</w:t>
        </w:r>
        <w:r w:rsidR="00A45D71">
          <w:rPr>
            <w:noProof/>
            <w:webHidden/>
          </w:rPr>
          <w:tab/>
        </w:r>
        <w:r w:rsidR="00A45D71">
          <w:rPr>
            <w:noProof/>
            <w:webHidden/>
          </w:rPr>
          <w:fldChar w:fldCharType="begin"/>
        </w:r>
        <w:r w:rsidR="00A45D71">
          <w:rPr>
            <w:noProof/>
            <w:webHidden/>
          </w:rPr>
          <w:instrText xml:space="preserve"> PAGEREF _Toc127110925 \h </w:instrText>
        </w:r>
        <w:r w:rsidR="00A45D71">
          <w:rPr>
            <w:noProof/>
            <w:webHidden/>
          </w:rPr>
        </w:r>
        <w:r w:rsidR="00A45D71">
          <w:rPr>
            <w:noProof/>
            <w:webHidden/>
          </w:rPr>
          <w:fldChar w:fldCharType="separate"/>
        </w:r>
        <w:r w:rsidR="00A45D71">
          <w:rPr>
            <w:noProof/>
            <w:webHidden/>
          </w:rPr>
          <w:t>45</w:t>
        </w:r>
        <w:r w:rsidR="00A45D71">
          <w:rPr>
            <w:noProof/>
            <w:webHidden/>
          </w:rPr>
          <w:fldChar w:fldCharType="end"/>
        </w:r>
      </w:hyperlink>
    </w:p>
    <w:p w14:paraId="21ED98A1" w14:textId="4040454E"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6" w:history="1">
        <w:r w:rsidR="00A45D71" w:rsidRPr="00B525DE">
          <w:rPr>
            <w:rStyle w:val="Hyperlink"/>
            <w:noProof/>
          </w:rPr>
          <w:t>Figure 32 The drum specifications for the tumble and abrasion test (British Standards Institute 2015a)</w:t>
        </w:r>
        <w:r w:rsidR="00A45D71">
          <w:rPr>
            <w:noProof/>
            <w:webHidden/>
          </w:rPr>
          <w:tab/>
        </w:r>
        <w:r w:rsidR="00A45D71">
          <w:rPr>
            <w:noProof/>
            <w:webHidden/>
          </w:rPr>
          <w:fldChar w:fldCharType="begin"/>
        </w:r>
        <w:r w:rsidR="00A45D71">
          <w:rPr>
            <w:noProof/>
            <w:webHidden/>
          </w:rPr>
          <w:instrText xml:space="preserve"> PAGEREF _Toc127110926 \h </w:instrText>
        </w:r>
        <w:r w:rsidR="00A45D71">
          <w:rPr>
            <w:noProof/>
            <w:webHidden/>
          </w:rPr>
        </w:r>
        <w:r w:rsidR="00A45D71">
          <w:rPr>
            <w:noProof/>
            <w:webHidden/>
          </w:rPr>
          <w:fldChar w:fldCharType="separate"/>
        </w:r>
        <w:r w:rsidR="00A45D71">
          <w:rPr>
            <w:noProof/>
            <w:webHidden/>
          </w:rPr>
          <w:t>46</w:t>
        </w:r>
        <w:r w:rsidR="00A45D71">
          <w:rPr>
            <w:noProof/>
            <w:webHidden/>
          </w:rPr>
          <w:fldChar w:fldCharType="end"/>
        </w:r>
      </w:hyperlink>
    </w:p>
    <w:p w14:paraId="33050EAA" w14:textId="43F84504"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7" w:history="1">
        <w:r w:rsidR="00A45D71" w:rsidRPr="00B525DE">
          <w:rPr>
            <w:rStyle w:val="Hyperlink"/>
            <w:noProof/>
          </w:rPr>
          <w:t xml:space="preserve">Figure 33 The lower zone of the BF </w:t>
        </w:r>
        <w:r w:rsidR="00A45D71" w:rsidRPr="00B525DE">
          <w:rPr>
            <w:rStyle w:val="Hyperlink"/>
            <w:rFonts w:ascii="Calibri" w:hAnsi="Calibri" w:cs="Calibri"/>
            <w:noProof/>
          </w:rPr>
          <w:t>(Ahmed 2018)</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_Toc127110927 \h </w:instrText>
        </w:r>
        <w:r w:rsidR="00A45D71">
          <w:rPr>
            <w:noProof/>
            <w:webHidden/>
          </w:rPr>
        </w:r>
        <w:r w:rsidR="00A45D71">
          <w:rPr>
            <w:noProof/>
            <w:webHidden/>
          </w:rPr>
          <w:fldChar w:fldCharType="separate"/>
        </w:r>
        <w:r w:rsidR="00A45D71">
          <w:rPr>
            <w:noProof/>
            <w:webHidden/>
          </w:rPr>
          <w:t>52</w:t>
        </w:r>
        <w:r w:rsidR="00A45D71">
          <w:rPr>
            <w:noProof/>
            <w:webHidden/>
          </w:rPr>
          <w:fldChar w:fldCharType="end"/>
        </w:r>
      </w:hyperlink>
    </w:p>
    <w:p w14:paraId="64104FBF" w14:textId="070FDB1A"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8" w:history="1">
        <w:r w:rsidR="00A45D71" w:rsidRPr="00B525DE">
          <w:rPr>
            <w:rStyle w:val="Hyperlink"/>
            <w:noProof/>
          </w:rPr>
          <w:t>Figure 34 Graph showing the burnout efficiency of T-coal and biochar</w:t>
        </w:r>
        <w:r w:rsidR="00A45D71">
          <w:rPr>
            <w:noProof/>
            <w:webHidden/>
          </w:rPr>
          <w:tab/>
        </w:r>
        <w:r w:rsidR="00A45D71">
          <w:rPr>
            <w:noProof/>
            <w:webHidden/>
          </w:rPr>
          <w:fldChar w:fldCharType="begin"/>
        </w:r>
        <w:r w:rsidR="00A45D71">
          <w:rPr>
            <w:noProof/>
            <w:webHidden/>
          </w:rPr>
          <w:instrText xml:space="preserve"> PAGEREF _Toc127110928 \h </w:instrText>
        </w:r>
        <w:r w:rsidR="00A45D71">
          <w:rPr>
            <w:noProof/>
            <w:webHidden/>
          </w:rPr>
        </w:r>
        <w:r w:rsidR="00A45D71">
          <w:rPr>
            <w:noProof/>
            <w:webHidden/>
          </w:rPr>
          <w:fldChar w:fldCharType="separate"/>
        </w:r>
        <w:r w:rsidR="00A45D71">
          <w:rPr>
            <w:noProof/>
            <w:webHidden/>
          </w:rPr>
          <w:t>53</w:t>
        </w:r>
        <w:r w:rsidR="00A45D71">
          <w:rPr>
            <w:noProof/>
            <w:webHidden/>
          </w:rPr>
          <w:fldChar w:fldCharType="end"/>
        </w:r>
      </w:hyperlink>
    </w:p>
    <w:p w14:paraId="60D030DF" w14:textId="4B76E5D7"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29" w:history="1">
        <w:r w:rsidR="00A45D71" w:rsidRPr="00B525DE">
          <w:rPr>
            <w:rStyle w:val="Hyperlink"/>
            <w:noProof/>
          </w:rPr>
          <w:t>Figure 35 Results from the coke cold strength tests</w:t>
        </w:r>
        <w:r w:rsidR="00A45D71">
          <w:rPr>
            <w:noProof/>
            <w:webHidden/>
          </w:rPr>
          <w:tab/>
        </w:r>
        <w:r w:rsidR="00A45D71">
          <w:rPr>
            <w:noProof/>
            <w:webHidden/>
          </w:rPr>
          <w:fldChar w:fldCharType="begin"/>
        </w:r>
        <w:r w:rsidR="00A45D71">
          <w:rPr>
            <w:noProof/>
            <w:webHidden/>
          </w:rPr>
          <w:instrText xml:space="preserve"> PAGEREF _Toc127110929 \h </w:instrText>
        </w:r>
        <w:r w:rsidR="00A45D71">
          <w:rPr>
            <w:noProof/>
            <w:webHidden/>
          </w:rPr>
        </w:r>
        <w:r w:rsidR="00A45D71">
          <w:rPr>
            <w:noProof/>
            <w:webHidden/>
          </w:rPr>
          <w:fldChar w:fldCharType="separate"/>
        </w:r>
        <w:r w:rsidR="00A45D71">
          <w:rPr>
            <w:noProof/>
            <w:webHidden/>
          </w:rPr>
          <w:t>57</w:t>
        </w:r>
        <w:r w:rsidR="00A45D71">
          <w:rPr>
            <w:noProof/>
            <w:webHidden/>
          </w:rPr>
          <w:fldChar w:fldCharType="end"/>
        </w:r>
      </w:hyperlink>
    </w:p>
    <w:p w14:paraId="2DEFB6BA" w14:textId="118D4933"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0" w:history="1">
        <w:r w:rsidR="00A45D71" w:rsidRPr="00B525DE">
          <w:rPr>
            <w:rStyle w:val="Hyperlink"/>
            <w:noProof/>
          </w:rPr>
          <w:t>Figure 36 Coke strength and reactivity results</w:t>
        </w:r>
        <w:r w:rsidR="00A45D71">
          <w:rPr>
            <w:noProof/>
            <w:webHidden/>
          </w:rPr>
          <w:tab/>
        </w:r>
        <w:r w:rsidR="00A45D71">
          <w:rPr>
            <w:noProof/>
            <w:webHidden/>
          </w:rPr>
          <w:fldChar w:fldCharType="begin"/>
        </w:r>
        <w:r w:rsidR="00A45D71">
          <w:rPr>
            <w:noProof/>
            <w:webHidden/>
          </w:rPr>
          <w:instrText xml:space="preserve"> PAGEREF _Toc127110930 \h </w:instrText>
        </w:r>
        <w:r w:rsidR="00A45D71">
          <w:rPr>
            <w:noProof/>
            <w:webHidden/>
          </w:rPr>
        </w:r>
        <w:r w:rsidR="00A45D71">
          <w:rPr>
            <w:noProof/>
            <w:webHidden/>
          </w:rPr>
          <w:fldChar w:fldCharType="separate"/>
        </w:r>
        <w:r w:rsidR="00A45D71">
          <w:rPr>
            <w:noProof/>
            <w:webHidden/>
          </w:rPr>
          <w:t>59</w:t>
        </w:r>
        <w:r w:rsidR="00A45D71">
          <w:rPr>
            <w:noProof/>
            <w:webHidden/>
          </w:rPr>
          <w:fldChar w:fldCharType="end"/>
        </w:r>
      </w:hyperlink>
    </w:p>
    <w:p w14:paraId="6041BDA2" w14:textId="6A313E40"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1" w:history="1">
        <w:r w:rsidR="00A45D71" w:rsidRPr="00B525DE">
          <w:rPr>
            <w:rStyle w:val="Hyperlink"/>
            <w:noProof/>
          </w:rPr>
          <w:t>Figure 37 Reference coke - 100% Riverside coal</w:t>
        </w:r>
        <w:r w:rsidR="00A45D71">
          <w:rPr>
            <w:noProof/>
            <w:webHidden/>
          </w:rPr>
          <w:tab/>
        </w:r>
        <w:r w:rsidR="00A45D71">
          <w:rPr>
            <w:noProof/>
            <w:webHidden/>
          </w:rPr>
          <w:fldChar w:fldCharType="begin"/>
        </w:r>
        <w:r w:rsidR="00A45D71">
          <w:rPr>
            <w:noProof/>
            <w:webHidden/>
          </w:rPr>
          <w:instrText xml:space="preserve"> PAGEREF _Toc127110931 \h </w:instrText>
        </w:r>
        <w:r w:rsidR="00A45D71">
          <w:rPr>
            <w:noProof/>
            <w:webHidden/>
          </w:rPr>
        </w:r>
        <w:r w:rsidR="00A45D71">
          <w:rPr>
            <w:noProof/>
            <w:webHidden/>
          </w:rPr>
          <w:fldChar w:fldCharType="separate"/>
        </w:r>
        <w:r w:rsidR="00A45D71">
          <w:rPr>
            <w:noProof/>
            <w:webHidden/>
          </w:rPr>
          <w:t>61</w:t>
        </w:r>
        <w:r w:rsidR="00A45D71">
          <w:rPr>
            <w:noProof/>
            <w:webHidden/>
          </w:rPr>
          <w:fldChar w:fldCharType="end"/>
        </w:r>
      </w:hyperlink>
    </w:p>
    <w:p w14:paraId="5514D54E" w14:textId="15DA0C63"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2" w:history="1">
        <w:r w:rsidR="00A45D71" w:rsidRPr="00B525DE">
          <w:rPr>
            <w:rStyle w:val="Hyperlink"/>
            <w:noProof/>
          </w:rPr>
          <w:t>Figure 38 Pictures of the Biocoke. A – 3% biochar 1 substitution, B – 5% biochar 1 substitution, C – 7.5% biochar 1 substitution.</w:t>
        </w:r>
        <w:r w:rsidR="00A45D71">
          <w:rPr>
            <w:noProof/>
            <w:webHidden/>
          </w:rPr>
          <w:tab/>
        </w:r>
        <w:r w:rsidR="00A45D71">
          <w:rPr>
            <w:noProof/>
            <w:webHidden/>
          </w:rPr>
          <w:fldChar w:fldCharType="begin"/>
        </w:r>
        <w:r w:rsidR="00A45D71">
          <w:rPr>
            <w:noProof/>
            <w:webHidden/>
          </w:rPr>
          <w:instrText xml:space="preserve"> PAGEREF _Toc127110932 \h </w:instrText>
        </w:r>
        <w:r w:rsidR="00A45D71">
          <w:rPr>
            <w:noProof/>
            <w:webHidden/>
          </w:rPr>
        </w:r>
        <w:r w:rsidR="00A45D71">
          <w:rPr>
            <w:noProof/>
            <w:webHidden/>
          </w:rPr>
          <w:fldChar w:fldCharType="separate"/>
        </w:r>
        <w:r w:rsidR="00A45D71">
          <w:rPr>
            <w:noProof/>
            <w:webHidden/>
          </w:rPr>
          <w:t>62</w:t>
        </w:r>
        <w:r w:rsidR="00A45D71">
          <w:rPr>
            <w:noProof/>
            <w:webHidden/>
          </w:rPr>
          <w:fldChar w:fldCharType="end"/>
        </w:r>
      </w:hyperlink>
    </w:p>
    <w:p w14:paraId="1B47E8EE" w14:textId="2C3FEB2F"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3" w:history="1">
        <w:r w:rsidR="00A45D71" w:rsidRPr="00B525DE">
          <w:rPr>
            <w:rStyle w:val="Hyperlink"/>
            <w:noProof/>
          </w:rPr>
          <w:t>Figure 39 Pictures of the Biocoke. A – 3% biochar 2 substitution, B – 5% biochar 2 substitution, C – 7.5% biochar 2 substitution.</w:t>
        </w:r>
        <w:r w:rsidR="00A45D71">
          <w:rPr>
            <w:noProof/>
            <w:webHidden/>
          </w:rPr>
          <w:tab/>
        </w:r>
        <w:r w:rsidR="00A45D71">
          <w:rPr>
            <w:noProof/>
            <w:webHidden/>
          </w:rPr>
          <w:fldChar w:fldCharType="begin"/>
        </w:r>
        <w:r w:rsidR="00A45D71">
          <w:rPr>
            <w:noProof/>
            <w:webHidden/>
          </w:rPr>
          <w:instrText xml:space="preserve"> PAGEREF _Toc127110933 \h </w:instrText>
        </w:r>
        <w:r w:rsidR="00A45D71">
          <w:rPr>
            <w:noProof/>
            <w:webHidden/>
          </w:rPr>
        </w:r>
        <w:r w:rsidR="00A45D71">
          <w:rPr>
            <w:noProof/>
            <w:webHidden/>
          </w:rPr>
          <w:fldChar w:fldCharType="separate"/>
        </w:r>
        <w:r w:rsidR="00A45D71">
          <w:rPr>
            <w:noProof/>
            <w:webHidden/>
          </w:rPr>
          <w:t>63</w:t>
        </w:r>
        <w:r w:rsidR="00A45D71">
          <w:rPr>
            <w:noProof/>
            <w:webHidden/>
          </w:rPr>
          <w:fldChar w:fldCharType="end"/>
        </w:r>
      </w:hyperlink>
    </w:p>
    <w:p w14:paraId="30BFB2E7" w14:textId="4C85EE70"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4" w:history="1">
        <w:r w:rsidR="00A45D71" w:rsidRPr="00B525DE">
          <w:rPr>
            <w:rStyle w:val="Hyperlink"/>
            <w:noProof/>
          </w:rPr>
          <w:t>Figure 40 Factors affecting coke strength after reaction (Dı́ez et al. 2002)</w:t>
        </w:r>
        <w:r w:rsidR="00A45D71">
          <w:rPr>
            <w:noProof/>
            <w:webHidden/>
          </w:rPr>
          <w:tab/>
        </w:r>
        <w:r w:rsidR="00A45D71">
          <w:rPr>
            <w:noProof/>
            <w:webHidden/>
          </w:rPr>
          <w:fldChar w:fldCharType="begin"/>
        </w:r>
        <w:r w:rsidR="00A45D71">
          <w:rPr>
            <w:noProof/>
            <w:webHidden/>
          </w:rPr>
          <w:instrText xml:space="preserve"> PAGEREF _Toc127110934 \h </w:instrText>
        </w:r>
        <w:r w:rsidR="00A45D71">
          <w:rPr>
            <w:noProof/>
            <w:webHidden/>
          </w:rPr>
        </w:r>
        <w:r w:rsidR="00A45D71">
          <w:rPr>
            <w:noProof/>
            <w:webHidden/>
          </w:rPr>
          <w:fldChar w:fldCharType="separate"/>
        </w:r>
        <w:r w:rsidR="00A45D71">
          <w:rPr>
            <w:noProof/>
            <w:webHidden/>
          </w:rPr>
          <w:t>64</w:t>
        </w:r>
        <w:r w:rsidR="00A45D71">
          <w:rPr>
            <w:noProof/>
            <w:webHidden/>
          </w:rPr>
          <w:fldChar w:fldCharType="end"/>
        </w:r>
      </w:hyperlink>
    </w:p>
    <w:p w14:paraId="453F037C" w14:textId="56986D0B"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5" w:history="1">
        <w:r w:rsidR="00A45D71" w:rsidRPr="00B525DE">
          <w:rPr>
            <w:rStyle w:val="Hyperlink"/>
            <w:noProof/>
          </w:rPr>
          <w:t xml:space="preserve">Figure 41 The effect on the temperature profile of combustion rate </w:t>
        </w:r>
        <w:r w:rsidR="00A45D71" w:rsidRPr="00B525DE">
          <w:rPr>
            <w:rStyle w:val="Hyperlink"/>
            <w:rFonts w:ascii="Calibri" w:hAnsi="Calibri" w:cs="Calibri"/>
            <w:noProof/>
          </w:rPr>
          <w:t>(Kawaguchi and Hara 2013)</w:t>
        </w:r>
        <w:r w:rsidR="00A45D71" w:rsidRPr="00B525DE">
          <w:rPr>
            <w:rStyle w:val="Hyperlink"/>
            <w:noProof/>
          </w:rPr>
          <w:t>.</w:t>
        </w:r>
        <w:r w:rsidR="00A45D71">
          <w:rPr>
            <w:noProof/>
            <w:webHidden/>
          </w:rPr>
          <w:tab/>
        </w:r>
        <w:r w:rsidR="00A45D71">
          <w:rPr>
            <w:noProof/>
            <w:webHidden/>
          </w:rPr>
          <w:fldChar w:fldCharType="begin"/>
        </w:r>
        <w:r w:rsidR="00A45D71">
          <w:rPr>
            <w:noProof/>
            <w:webHidden/>
          </w:rPr>
          <w:instrText xml:space="preserve"> PAGEREF _Toc127110935 \h </w:instrText>
        </w:r>
        <w:r w:rsidR="00A45D71">
          <w:rPr>
            <w:noProof/>
            <w:webHidden/>
          </w:rPr>
        </w:r>
        <w:r w:rsidR="00A45D71">
          <w:rPr>
            <w:noProof/>
            <w:webHidden/>
          </w:rPr>
          <w:fldChar w:fldCharType="separate"/>
        </w:r>
        <w:r w:rsidR="00A45D71">
          <w:rPr>
            <w:noProof/>
            <w:webHidden/>
          </w:rPr>
          <w:t>66</w:t>
        </w:r>
        <w:r w:rsidR="00A45D71">
          <w:rPr>
            <w:noProof/>
            <w:webHidden/>
          </w:rPr>
          <w:fldChar w:fldCharType="end"/>
        </w:r>
      </w:hyperlink>
    </w:p>
    <w:p w14:paraId="1D759566" w14:textId="69E8ADB8"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6" w:history="1">
        <w:r w:rsidR="00A45D71" w:rsidRPr="00B525DE">
          <w:rPr>
            <w:rStyle w:val="Hyperlink"/>
            <w:noProof/>
          </w:rPr>
          <w:t>Figure 42 Time - temperature profiles of the biochar 1 sinter pot tests.</w:t>
        </w:r>
        <w:r w:rsidR="00A45D71">
          <w:rPr>
            <w:noProof/>
            <w:webHidden/>
          </w:rPr>
          <w:tab/>
        </w:r>
        <w:r w:rsidR="00A45D71">
          <w:rPr>
            <w:noProof/>
            <w:webHidden/>
          </w:rPr>
          <w:fldChar w:fldCharType="begin"/>
        </w:r>
        <w:r w:rsidR="00A45D71">
          <w:rPr>
            <w:noProof/>
            <w:webHidden/>
          </w:rPr>
          <w:instrText xml:space="preserve"> PAGEREF _Toc127110936 \h </w:instrText>
        </w:r>
        <w:r w:rsidR="00A45D71">
          <w:rPr>
            <w:noProof/>
            <w:webHidden/>
          </w:rPr>
        </w:r>
        <w:r w:rsidR="00A45D71">
          <w:rPr>
            <w:noProof/>
            <w:webHidden/>
          </w:rPr>
          <w:fldChar w:fldCharType="separate"/>
        </w:r>
        <w:r w:rsidR="00A45D71">
          <w:rPr>
            <w:noProof/>
            <w:webHidden/>
          </w:rPr>
          <w:t>67</w:t>
        </w:r>
        <w:r w:rsidR="00A45D71">
          <w:rPr>
            <w:noProof/>
            <w:webHidden/>
          </w:rPr>
          <w:fldChar w:fldCharType="end"/>
        </w:r>
      </w:hyperlink>
    </w:p>
    <w:p w14:paraId="42F12C5E" w14:textId="4DA76134"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7" w:history="1">
        <w:r w:rsidR="00A45D71" w:rsidRPr="00B525DE">
          <w:rPr>
            <w:rStyle w:val="Hyperlink"/>
            <w:noProof/>
          </w:rPr>
          <w:t>Figure 43 Cold and hot permeability graphs – Biochar 1</w:t>
        </w:r>
        <w:r w:rsidR="00A45D71">
          <w:rPr>
            <w:noProof/>
            <w:webHidden/>
          </w:rPr>
          <w:tab/>
        </w:r>
        <w:r w:rsidR="00A45D71">
          <w:rPr>
            <w:noProof/>
            <w:webHidden/>
          </w:rPr>
          <w:fldChar w:fldCharType="begin"/>
        </w:r>
        <w:r w:rsidR="00A45D71">
          <w:rPr>
            <w:noProof/>
            <w:webHidden/>
          </w:rPr>
          <w:instrText xml:space="preserve"> PAGEREF _Toc127110937 \h </w:instrText>
        </w:r>
        <w:r w:rsidR="00A45D71">
          <w:rPr>
            <w:noProof/>
            <w:webHidden/>
          </w:rPr>
        </w:r>
        <w:r w:rsidR="00A45D71">
          <w:rPr>
            <w:noProof/>
            <w:webHidden/>
          </w:rPr>
          <w:fldChar w:fldCharType="separate"/>
        </w:r>
        <w:r w:rsidR="00A45D71">
          <w:rPr>
            <w:noProof/>
            <w:webHidden/>
          </w:rPr>
          <w:t>69</w:t>
        </w:r>
        <w:r w:rsidR="00A45D71">
          <w:rPr>
            <w:noProof/>
            <w:webHidden/>
          </w:rPr>
          <w:fldChar w:fldCharType="end"/>
        </w:r>
      </w:hyperlink>
    </w:p>
    <w:p w14:paraId="393FE279" w14:textId="67103564"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8" w:history="1">
        <w:r w:rsidR="00A45D71" w:rsidRPr="00B525DE">
          <w:rPr>
            <w:rStyle w:val="Hyperlink"/>
            <w:noProof/>
          </w:rPr>
          <w:t>Figure 44 Time - temperature profiles of the biochar 2 sinter pot tests.</w:t>
        </w:r>
        <w:r w:rsidR="00A45D71">
          <w:rPr>
            <w:noProof/>
            <w:webHidden/>
          </w:rPr>
          <w:tab/>
        </w:r>
        <w:r w:rsidR="00A45D71">
          <w:rPr>
            <w:noProof/>
            <w:webHidden/>
          </w:rPr>
          <w:fldChar w:fldCharType="begin"/>
        </w:r>
        <w:r w:rsidR="00A45D71">
          <w:rPr>
            <w:noProof/>
            <w:webHidden/>
          </w:rPr>
          <w:instrText xml:space="preserve"> PAGEREF _Toc127110938 \h </w:instrText>
        </w:r>
        <w:r w:rsidR="00A45D71">
          <w:rPr>
            <w:noProof/>
            <w:webHidden/>
          </w:rPr>
        </w:r>
        <w:r w:rsidR="00A45D71">
          <w:rPr>
            <w:noProof/>
            <w:webHidden/>
          </w:rPr>
          <w:fldChar w:fldCharType="separate"/>
        </w:r>
        <w:r w:rsidR="00A45D71">
          <w:rPr>
            <w:noProof/>
            <w:webHidden/>
          </w:rPr>
          <w:t>70</w:t>
        </w:r>
        <w:r w:rsidR="00A45D71">
          <w:rPr>
            <w:noProof/>
            <w:webHidden/>
          </w:rPr>
          <w:fldChar w:fldCharType="end"/>
        </w:r>
      </w:hyperlink>
    </w:p>
    <w:p w14:paraId="62E00B01" w14:textId="3629F34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39" w:history="1">
        <w:r w:rsidR="00A45D71" w:rsidRPr="00B525DE">
          <w:rPr>
            <w:rStyle w:val="Hyperlink"/>
            <w:noProof/>
          </w:rPr>
          <w:t>Figure 45 Cold and hot permeability graphs – Biochar 2</w:t>
        </w:r>
        <w:r w:rsidR="00A45D71">
          <w:rPr>
            <w:noProof/>
            <w:webHidden/>
          </w:rPr>
          <w:tab/>
        </w:r>
        <w:r w:rsidR="00A45D71">
          <w:rPr>
            <w:noProof/>
            <w:webHidden/>
          </w:rPr>
          <w:fldChar w:fldCharType="begin"/>
        </w:r>
        <w:r w:rsidR="00A45D71">
          <w:rPr>
            <w:noProof/>
            <w:webHidden/>
          </w:rPr>
          <w:instrText xml:space="preserve"> PAGEREF _Toc127110939 \h </w:instrText>
        </w:r>
        <w:r w:rsidR="00A45D71">
          <w:rPr>
            <w:noProof/>
            <w:webHidden/>
          </w:rPr>
        </w:r>
        <w:r w:rsidR="00A45D71">
          <w:rPr>
            <w:noProof/>
            <w:webHidden/>
          </w:rPr>
          <w:fldChar w:fldCharType="separate"/>
        </w:r>
        <w:r w:rsidR="00A45D71">
          <w:rPr>
            <w:noProof/>
            <w:webHidden/>
          </w:rPr>
          <w:t>72</w:t>
        </w:r>
        <w:r w:rsidR="00A45D71">
          <w:rPr>
            <w:noProof/>
            <w:webHidden/>
          </w:rPr>
          <w:fldChar w:fldCharType="end"/>
        </w:r>
      </w:hyperlink>
    </w:p>
    <w:p w14:paraId="48131767" w14:textId="2903DE67"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0" w:history="1">
        <w:r w:rsidR="00A45D71" w:rsidRPr="00B525DE">
          <w:rPr>
            <w:rStyle w:val="Hyperlink"/>
            <w:noProof/>
          </w:rPr>
          <w:t>Figure 46 The Sinter quality indices for biochar 1</w:t>
        </w:r>
        <w:r w:rsidR="00A45D71">
          <w:rPr>
            <w:noProof/>
            <w:webHidden/>
          </w:rPr>
          <w:tab/>
        </w:r>
        <w:r w:rsidR="00A45D71">
          <w:rPr>
            <w:noProof/>
            <w:webHidden/>
          </w:rPr>
          <w:fldChar w:fldCharType="begin"/>
        </w:r>
        <w:r w:rsidR="00A45D71">
          <w:rPr>
            <w:noProof/>
            <w:webHidden/>
          </w:rPr>
          <w:instrText xml:space="preserve"> PAGEREF _Toc127110940 \h </w:instrText>
        </w:r>
        <w:r w:rsidR="00A45D71">
          <w:rPr>
            <w:noProof/>
            <w:webHidden/>
          </w:rPr>
        </w:r>
        <w:r w:rsidR="00A45D71">
          <w:rPr>
            <w:noProof/>
            <w:webHidden/>
          </w:rPr>
          <w:fldChar w:fldCharType="separate"/>
        </w:r>
        <w:r w:rsidR="00A45D71">
          <w:rPr>
            <w:noProof/>
            <w:webHidden/>
          </w:rPr>
          <w:t>73</w:t>
        </w:r>
        <w:r w:rsidR="00A45D71">
          <w:rPr>
            <w:noProof/>
            <w:webHidden/>
          </w:rPr>
          <w:fldChar w:fldCharType="end"/>
        </w:r>
      </w:hyperlink>
    </w:p>
    <w:p w14:paraId="1F75B5CB" w14:textId="754C1E3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1" w:history="1">
        <w:r w:rsidR="00A45D71" w:rsidRPr="00B525DE">
          <w:rPr>
            <w:rStyle w:val="Hyperlink"/>
            <w:noProof/>
          </w:rPr>
          <w:t>Figure 47 Biochar 2 sinter quality indices</w:t>
        </w:r>
        <w:r w:rsidR="00A45D71">
          <w:rPr>
            <w:noProof/>
            <w:webHidden/>
          </w:rPr>
          <w:tab/>
        </w:r>
        <w:r w:rsidR="00A45D71">
          <w:rPr>
            <w:noProof/>
            <w:webHidden/>
          </w:rPr>
          <w:fldChar w:fldCharType="begin"/>
        </w:r>
        <w:r w:rsidR="00A45D71">
          <w:rPr>
            <w:noProof/>
            <w:webHidden/>
          </w:rPr>
          <w:instrText xml:space="preserve"> PAGEREF _Toc127110941 \h </w:instrText>
        </w:r>
        <w:r w:rsidR="00A45D71">
          <w:rPr>
            <w:noProof/>
            <w:webHidden/>
          </w:rPr>
        </w:r>
        <w:r w:rsidR="00A45D71">
          <w:rPr>
            <w:noProof/>
            <w:webHidden/>
          </w:rPr>
          <w:fldChar w:fldCharType="separate"/>
        </w:r>
        <w:r w:rsidR="00A45D71">
          <w:rPr>
            <w:noProof/>
            <w:webHidden/>
          </w:rPr>
          <w:t>74</w:t>
        </w:r>
        <w:r w:rsidR="00A45D71">
          <w:rPr>
            <w:noProof/>
            <w:webHidden/>
          </w:rPr>
          <w:fldChar w:fldCharType="end"/>
        </w:r>
      </w:hyperlink>
    </w:p>
    <w:p w14:paraId="01CBEB64" w14:textId="27D70A6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2" w:history="1">
        <w:r w:rsidR="00A45D71" w:rsidRPr="00B525DE">
          <w:rPr>
            <w:rStyle w:val="Hyperlink"/>
            <w:noProof/>
          </w:rPr>
          <w:t>Figure 48 Examples of sinter cake produced in the sinter pot. On the left a whole sinter cake, on the right an example of channelling in a sinter cake.</w:t>
        </w:r>
        <w:r w:rsidR="00A45D71">
          <w:rPr>
            <w:noProof/>
            <w:webHidden/>
          </w:rPr>
          <w:tab/>
        </w:r>
        <w:r w:rsidR="00A45D71">
          <w:rPr>
            <w:noProof/>
            <w:webHidden/>
          </w:rPr>
          <w:fldChar w:fldCharType="begin"/>
        </w:r>
        <w:r w:rsidR="00A45D71">
          <w:rPr>
            <w:noProof/>
            <w:webHidden/>
          </w:rPr>
          <w:instrText xml:space="preserve"> PAGEREF _Toc127110942 \h </w:instrText>
        </w:r>
        <w:r w:rsidR="00A45D71">
          <w:rPr>
            <w:noProof/>
            <w:webHidden/>
          </w:rPr>
        </w:r>
        <w:r w:rsidR="00A45D71">
          <w:rPr>
            <w:noProof/>
            <w:webHidden/>
          </w:rPr>
          <w:fldChar w:fldCharType="separate"/>
        </w:r>
        <w:r w:rsidR="00A45D71">
          <w:rPr>
            <w:noProof/>
            <w:webHidden/>
          </w:rPr>
          <w:t>75</w:t>
        </w:r>
        <w:r w:rsidR="00A45D71">
          <w:rPr>
            <w:noProof/>
            <w:webHidden/>
          </w:rPr>
          <w:fldChar w:fldCharType="end"/>
        </w:r>
      </w:hyperlink>
    </w:p>
    <w:p w14:paraId="0712091D" w14:textId="09A76132"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3" w:history="1">
        <w:r w:rsidR="00A45D71" w:rsidRPr="00B525DE">
          <w:rPr>
            <w:rStyle w:val="Hyperlink"/>
            <w:noProof/>
          </w:rPr>
          <w:t>Figure 49 Base blend sinter.</w:t>
        </w:r>
        <w:r w:rsidR="00A45D71">
          <w:rPr>
            <w:noProof/>
            <w:webHidden/>
          </w:rPr>
          <w:tab/>
        </w:r>
        <w:r w:rsidR="00A45D71">
          <w:rPr>
            <w:noProof/>
            <w:webHidden/>
          </w:rPr>
          <w:fldChar w:fldCharType="begin"/>
        </w:r>
        <w:r w:rsidR="00A45D71">
          <w:rPr>
            <w:noProof/>
            <w:webHidden/>
          </w:rPr>
          <w:instrText xml:space="preserve"> PAGEREF _Toc127110943 \h </w:instrText>
        </w:r>
        <w:r w:rsidR="00A45D71">
          <w:rPr>
            <w:noProof/>
            <w:webHidden/>
          </w:rPr>
        </w:r>
        <w:r w:rsidR="00A45D71">
          <w:rPr>
            <w:noProof/>
            <w:webHidden/>
          </w:rPr>
          <w:fldChar w:fldCharType="separate"/>
        </w:r>
        <w:r w:rsidR="00A45D71">
          <w:rPr>
            <w:noProof/>
            <w:webHidden/>
          </w:rPr>
          <w:t>76</w:t>
        </w:r>
        <w:r w:rsidR="00A45D71">
          <w:rPr>
            <w:noProof/>
            <w:webHidden/>
          </w:rPr>
          <w:fldChar w:fldCharType="end"/>
        </w:r>
      </w:hyperlink>
    </w:p>
    <w:p w14:paraId="59F45056" w14:textId="10755BB2"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4" w:history="1">
        <w:r w:rsidR="00A45D71" w:rsidRPr="00B525DE">
          <w:rPr>
            <w:rStyle w:val="Hyperlink"/>
            <w:noProof/>
          </w:rPr>
          <w:t>Figure 50 25%addition biochar 1(left) and biochar 2 (right).</w:t>
        </w:r>
        <w:r w:rsidR="00A45D71">
          <w:rPr>
            <w:noProof/>
            <w:webHidden/>
          </w:rPr>
          <w:tab/>
        </w:r>
        <w:r w:rsidR="00A45D71">
          <w:rPr>
            <w:noProof/>
            <w:webHidden/>
          </w:rPr>
          <w:fldChar w:fldCharType="begin"/>
        </w:r>
        <w:r w:rsidR="00A45D71">
          <w:rPr>
            <w:noProof/>
            <w:webHidden/>
          </w:rPr>
          <w:instrText xml:space="preserve"> PAGEREF _Toc127110944 \h </w:instrText>
        </w:r>
        <w:r w:rsidR="00A45D71">
          <w:rPr>
            <w:noProof/>
            <w:webHidden/>
          </w:rPr>
        </w:r>
        <w:r w:rsidR="00A45D71">
          <w:rPr>
            <w:noProof/>
            <w:webHidden/>
          </w:rPr>
          <w:fldChar w:fldCharType="separate"/>
        </w:r>
        <w:r w:rsidR="00A45D71">
          <w:rPr>
            <w:noProof/>
            <w:webHidden/>
          </w:rPr>
          <w:t>76</w:t>
        </w:r>
        <w:r w:rsidR="00A45D71">
          <w:rPr>
            <w:noProof/>
            <w:webHidden/>
          </w:rPr>
          <w:fldChar w:fldCharType="end"/>
        </w:r>
      </w:hyperlink>
    </w:p>
    <w:p w14:paraId="0CBAE9EC" w14:textId="136B04BC"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5" w:history="1">
        <w:r w:rsidR="00A45D71" w:rsidRPr="00B525DE">
          <w:rPr>
            <w:rStyle w:val="Hyperlink"/>
            <w:noProof/>
          </w:rPr>
          <w:t>Figure 51 50% addition biochar 1 (left) and biochar 2 (right)</w:t>
        </w:r>
        <w:r w:rsidR="00A45D71">
          <w:rPr>
            <w:noProof/>
            <w:webHidden/>
          </w:rPr>
          <w:tab/>
        </w:r>
        <w:r w:rsidR="00A45D71">
          <w:rPr>
            <w:noProof/>
            <w:webHidden/>
          </w:rPr>
          <w:fldChar w:fldCharType="begin"/>
        </w:r>
        <w:r w:rsidR="00A45D71">
          <w:rPr>
            <w:noProof/>
            <w:webHidden/>
          </w:rPr>
          <w:instrText xml:space="preserve"> PAGEREF _Toc127110945 \h </w:instrText>
        </w:r>
        <w:r w:rsidR="00A45D71">
          <w:rPr>
            <w:noProof/>
            <w:webHidden/>
          </w:rPr>
        </w:r>
        <w:r w:rsidR="00A45D71">
          <w:rPr>
            <w:noProof/>
            <w:webHidden/>
          </w:rPr>
          <w:fldChar w:fldCharType="separate"/>
        </w:r>
        <w:r w:rsidR="00A45D71">
          <w:rPr>
            <w:noProof/>
            <w:webHidden/>
          </w:rPr>
          <w:t>77</w:t>
        </w:r>
        <w:r w:rsidR="00A45D71">
          <w:rPr>
            <w:noProof/>
            <w:webHidden/>
          </w:rPr>
          <w:fldChar w:fldCharType="end"/>
        </w:r>
      </w:hyperlink>
    </w:p>
    <w:p w14:paraId="79ACC27F" w14:textId="2B969889" w:rsidR="00A45D71" w:rsidRDefault="00000000" w:rsidP="00A45D71">
      <w:pPr>
        <w:pStyle w:val="TableofFigures"/>
        <w:tabs>
          <w:tab w:val="right" w:leader="dot" w:pos="9016"/>
        </w:tabs>
        <w:spacing w:line="360" w:lineRule="auto"/>
        <w:jc w:val="both"/>
        <w:rPr>
          <w:rFonts w:eastAsiaTheme="minorEastAsia"/>
          <w:noProof/>
          <w:lang w:eastAsia="en-GB"/>
        </w:rPr>
      </w:pPr>
      <w:hyperlink w:anchor="_Toc127110946" w:history="1">
        <w:r w:rsidR="00A45D71" w:rsidRPr="00B525DE">
          <w:rPr>
            <w:rStyle w:val="Hyperlink"/>
            <w:noProof/>
          </w:rPr>
          <w:t>Figure 52 75% addition biochar 1 (left) and biochar 2 (right)</w:t>
        </w:r>
        <w:r w:rsidR="00A45D71">
          <w:rPr>
            <w:noProof/>
            <w:webHidden/>
          </w:rPr>
          <w:tab/>
        </w:r>
        <w:r w:rsidR="00A45D71">
          <w:rPr>
            <w:noProof/>
            <w:webHidden/>
          </w:rPr>
          <w:fldChar w:fldCharType="begin"/>
        </w:r>
        <w:r w:rsidR="00A45D71">
          <w:rPr>
            <w:noProof/>
            <w:webHidden/>
          </w:rPr>
          <w:instrText xml:space="preserve"> PAGEREF _Toc127110946 \h </w:instrText>
        </w:r>
        <w:r w:rsidR="00A45D71">
          <w:rPr>
            <w:noProof/>
            <w:webHidden/>
          </w:rPr>
        </w:r>
        <w:r w:rsidR="00A45D71">
          <w:rPr>
            <w:noProof/>
            <w:webHidden/>
          </w:rPr>
          <w:fldChar w:fldCharType="separate"/>
        </w:r>
        <w:r w:rsidR="00A45D71">
          <w:rPr>
            <w:noProof/>
            <w:webHidden/>
          </w:rPr>
          <w:t>78</w:t>
        </w:r>
        <w:r w:rsidR="00A45D71">
          <w:rPr>
            <w:noProof/>
            <w:webHidden/>
          </w:rPr>
          <w:fldChar w:fldCharType="end"/>
        </w:r>
      </w:hyperlink>
    </w:p>
    <w:p w14:paraId="42727CB6" w14:textId="73AE7214" w:rsidR="00196715" w:rsidRPr="00ED35A8" w:rsidRDefault="00ED35A8" w:rsidP="00350AB6">
      <w:pPr>
        <w:spacing w:line="360" w:lineRule="auto"/>
        <w:jc w:val="both"/>
      </w:pPr>
      <w:r>
        <w:rPr>
          <w:sz w:val="28"/>
          <w:szCs w:val="28"/>
        </w:rPr>
        <w:fldChar w:fldCharType="end"/>
      </w:r>
      <w:r w:rsidR="00196715">
        <w:rPr>
          <w:sz w:val="28"/>
          <w:szCs w:val="28"/>
        </w:rPr>
        <w:br w:type="page"/>
      </w:r>
    </w:p>
    <w:p w14:paraId="63C4A91E" w14:textId="21E26F7B" w:rsidR="00001558" w:rsidRDefault="00001558" w:rsidP="00350AB6">
      <w:pPr>
        <w:pStyle w:val="Heading1"/>
        <w:spacing w:line="360" w:lineRule="auto"/>
        <w:jc w:val="both"/>
      </w:pPr>
      <w:bookmarkStart w:id="4" w:name="_Toc127911426"/>
      <w:r>
        <w:lastRenderedPageBreak/>
        <w:t>Glossary</w:t>
      </w:r>
      <w:bookmarkEnd w:id="4"/>
      <w:r>
        <w:t xml:space="preserve"> </w:t>
      </w:r>
    </w:p>
    <w:p w14:paraId="06DB9502" w14:textId="60C4A105" w:rsidR="00001558" w:rsidRDefault="00066814" w:rsidP="00350AB6">
      <w:pPr>
        <w:spacing w:line="360" w:lineRule="auto"/>
        <w:jc w:val="both"/>
      </w:pPr>
      <w:r>
        <w:t xml:space="preserve">GHG – </w:t>
      </w:r>
      <w:r w:rsidR="001621E9">
        <w:t>Greenhouse</w:t>
      </w:r>
      <w:r>
        <w:t xml:space="preserve"> gas</w:t>
      </w:r>
      <w:r w:rsidR="00060527">
        <w:t>es</w:t>
      </w:r>
    </w:p>
    <w:p w14:paraId="03797384" w14:textId="5A7C9894" w:rsidR="00060527" w:rsidRDefault="00060527" w:rsidP="00350AB6">
      <w:pPr>
        <w:spacing w:line="360" w:lineRule="auto"/>
        <w:jc w:val="both"/>
      </w:pPr>
      <w:r>
        <w:t>ISI – Iron and steel industry</w:t>
      </w:r>
    </w:p>
    <w:p w14:paraId="1E4B5CEF" w14:textId="77D7B9F9" w:rsidR="00060527" w:rsidRDefault="00317A14" w:rsidP="00350AB6">
      <w:pPr>
        <w:spacing w:line="360" w:lineRule="auto"/>
        <w:jc w:val="both"/>
      </w:pPr>
      <w:r>
        <w:t>COP</w:t>
      </w:r>
      <w:r w:rsidR="001A5327">
        <w:t xml:space="preserve"> – Conference of parties</w:t>
      </w:r>
    </w:p>
    <w:p w14:paraId="53C75E3B" w14:textId="7E773FC1" w:rsidR="001A5327" w:rsidRDefault="001A5327" w:rsidP="00350AB6">
      <w:pPr>
        <w:spacing w:line="360" w:lineRule="auto"/>
        <w:jc w:val="both"/>
      </w:pPr>
      <w:r>
        <w:t>CO</w:t>
      </w:r>
      <w:r w:rsidRPr="001A5327">
        <w:rPr>
          <w:vertAlign w:val="subscript"/>
        </w:rPr>
        <w:t>2</w:t>
      </w:r>
      <w:r>
        <w:t xml:space="preserve"> – Carbon dioxide</w:t>
      </w:r>
    </w:p>
    <w:p w14:paraId="0A36F450" w14:textId="38097098" w:rsidR="001A5327" w:rsidRDefault="00325851" w:rsidP="00350AB6">
      <w:pPr>
        <w:spacing w:line="360" w:lineRule="auto"/>
        <w:jc w:val="both"/>
      </w:pPr>
      <w:r>
        <w:t>EUETS – European union emissions trading system</w:t>
      </w:r>
    </w:p>
    <w:p w14:paraId="468CAECE" w14:textId="5B9596AB" w:rsidR="00325851" w:rsidRDefault="005E07D9" w:rsidP="00350AB6">
      <w:pPr>
        <w:spacing w:line="360" w:lineRule="auto"/>
        <w:jc w:val="both"/>
      </w:pPr>
      <w:r>
        <w:t>UK – United Kingdom</w:t>
      </w:r>
    </w:p>
    <w:p w14:paraId="632D6567" w14:textId="6932D12B" w:rsidR="005E07D9" w:rsidRDefault="00360BD6" w:rsidP="00350AB6">
      <w:pPr>
        <w:spacing w:line="360" w:lineRule="auto"/>
        <w:jc w:val="both"/>
      </w:pPr>
      <w:r>
        <w:t>BF – Blast furnace</w:t>
      </w:r>
    </w:p>
    <w:p w14:paraId="5DE570F7" w14:textId="0DCB2C95" w:rsidR="00360BD6" w:rsidRDefault="00360BD6" w:rsidP="00350AB6">
      <w:pPr>
        <w:spacing w:line="360" w:lineRule="auto"/>
        <w:jc w:val="both"/>
      </w:pPr>
      <w:r>
        <w:t>BOS – Basic oxygen steelmaking</w:t>
      </w:r>
    </w:p>
    <w:p w14:paraId="514DE9F7" w14:textId="6E56BC98" w:rsidR="00360BD6" w:rsidRDefault="00B66B18" w:rsidP="00350AB6">
      <w:pPr>
        <w:spacing w:line="360" w:lineRule="auto"/>
        <w:jc w:val="both"/>
      </w:pPr>
      <w:r>
        <w:t>EAF – Electric arc steelmaking</w:t>
      </w:r>
    </w:p>
    <w:p w14:paraId="32AEE8E3" w14:textId="664F7071" w:rsidR="00B66B18" w:rsidRDefault="009653F5" w:rsidP="00350AB6">
      <w:pPr>
        <w:spacing w:line="360" w:lineRule="auto"/>
        <w:jc w:val="both"/>
      </w:pPr>
      <w:r>
        <w:t>C – Carbon</w:t>
      </w:r>
    </w:p>
    <w:p w14:paraId="5D5167D7" w14:textId="004EC0D2" w:rsidR="009653F5" w:rsidRDefault="009653F5" w:rsidP="00350AB6">
      <w:pPr>
        <w:spacing w:line="360" w:lineRule="auto"/>
        <w:jc w:val="both"/>
      </w:pPr>
      <w:r>
        <w:t xml:space="preserve">H </w:t>
      </w:r>
      <w:r w:rsidR="008C705B">
        <w:t>–</w:t>
      </w:r>
      <w:r>
        <w:t xml:space="preserve"> </w:t>
      </w:r>
      <w:r w:rsidR="008C705B">
        <w:t>Hydrogen</w:t>
      </w:r>
    </w:p>
    <w:p w14:paraId="5FD76065" w14:textId="4012F8F2" w:rsidR="008C705B" w:rsidRDefault="008C705B" w:rsidP="00350AB6">
      <w:pPr>
        <w:spacing w:line="360" w:lineRule="auto"/>
        <w:jc w:val="both"/>
      </w:pPr>
      <w:r>
        <w:t>O – Oxygen</w:t>
      </w:r>
    </w:p>
    <w:p w14:paraId="43032996" w14:textId="4CCB3A2B" w:rsidR="008C705B" w:rsidRDefault="008C705B" w:rsidP="00350AB6">
      <w:pPr>
        <w:spacing w:line="360" w:lineRule="auto"/>
        <w:jc w:val="both"/>
      </w:pPr>
      <w:r>
        <w:t>N – Nitrogen</w:t>
      </w:r>
    </w:p>
    <w:p w14:paraId="094C41DA" w14:textId="7A8306FE" w:rsidR="008C705B" w:rsidRDefault="008C705B" w:rsidP="00350AB6">
      <w:pPr>
        <w:spacing w:line="360" w:lineRule="auto"/>
        <w:jc w:val="both"/>
      </w:pPr>
      <w:r>
        <w:t>Na – Sodium</w:t>
      </w:r>
    </w:p>
    <w:p w14:paraId="06F87EE9" w14:textId="620C53CD" w:rsidR="008C705B" w:rsidRDefault="008C705B" w:rsidP="00350AB6">
      <w:pPr>
        <w:spacing w:line="360" w:lineRule="auto"/>
        <w:jc w:val="both"/>
      </w:pPr>
      <w:r>
        <w:t>K – Potassium</w:t>
      </w:r>
    </w:p>
    <w:p w14:paraId="09022636" w14:textId="5D81DB8E" w:rsidR="003A20D9" w:rsidRDefault="003A20D9" w:rsidP="00350AB6">
      <w:pPr>
        <w:spacing w:line="360" w:lineRule="auto"/>
        <w:jc w:val="both"/>
      </w:pPr>
      <w:r>
        <w:t>Ca - Calcium</w:t>
      </w:r>
    </w:p>
    <w:p w14:paraId="31C181AD" w14:textId="6C038E30" w:rsidR="008C705B" w:rsidRDefault="0079271A" w:rsidP="00350AB6">
      <w:pPr>
        <w:spacing w:line="360" w:lineRule="auto"/>
        <w:jc w:val="both"/>
      </w:pPr>
      <w:r>
        <w:t>S – Sulphur</w:t>
      </w:r>
    </w:p>
    <w:p w14:paraId="7E0DCCE3" w14:textId="54A88D00" w:rsidR="000E10C6" w:rsidRDefault="000E10C6" w:rsidP="00350AB6">
      <w:pPr>
        <w:spacing w:line="360" w:lineRule="auto"/>
        <w:jc w:val="both"/>
      </w:pPr>
      <w:r>
        <w:t xml:space="preserve">Zn </w:t>
      </w:r>
      <w:r w:rsidR="00B8604A">
        <w:t>–</w:t>
      </w:r>
      <w:r>
        <w:t xml:space="preserve"> Zinc</w:t>
      </w:r>
    </w:p>
    <w:p w14:paraId="68F45746" w14:textId="6E4506A1" w:rsidR="00DB2EC1" w:rsidRDefault="00DB2EC1" w:rsidP="00350AB6">
      <w:pPr>
        <w:spacing w:line="360" w:lineRule="auto"/>
        <w:jc w:val="both"/>
      </w:pPr>
      <w:r>
        <w:t>Fe - Iron</w:t>
      </w:r>
    </w:p>
    <w:p w14:paraId="16C9B498" w14:textId="32A58108" w:rsidR="00B8604A" w:rsidRDefault="00B8604A" w:rsidP="00350AB6">
      <w:pPr>
        <w:spacing w:line="360" w:lineRule="auto"/>
        <w:jc w:val="both"/>
      </w:pPr>
      <w:r>
        <w:t>CO – Carbon monoxide</w:t>
      </w:r>
    </w:p>
    <w:p w14:paraId="50457D6F" w14:textId="3FC6A0BE" w:rsidR="0079271A" w:rsidRDefault="0079271A" w:rsidP="00350AB6">
      <w:pPr>
        <w:spacing w:line="360" w:lineRule="auto"/>
        <w:jc w:val="both"/>
      </w:pPr>
      <w:r>
        <w:t>CV – Calorific value</w:t>
      </w:r>
    </w:p>
    <w:p w14:paraId="2FDB37B4" w14:textId="63812ED1" w:rsidR="0079271A" w:rsidRDefault="0079271A" w:rsidP="00350AB6">
      <w:pPr>
        <w:spacing w:line="360" w:lineRule="auto"/>
        <w:jc w:val="both"/>
      </w:pPr>
      <w:r>
        <w:t>NCV – Net calorific value</w:t>
      </w:r>
    </w:p>
    <w:p w14:paraId="5A094D3A" w14:textId="3C08BF99" w:rsidR="0079271A" w:rsidRDefault="000E10C6" w:rsidP="00350AB6">
      <w:pPr>
        <w:spacing w:line="360" w:lineRule="auto"/>
        <w:jc w:val="both"/>
      </w:pPr>
      <w:r>
        <w:t>LHV – Lower heating value</w:t>
      </w:r>
    </w:p>
    <w:p w14:paraId="34CE5D81" w14:textId="49C8D0A0" w:rsidR="00B8604A" w:rsidRDefault="008A1927" w:rsidP="00350AB6">
      <w:pPr>
        <w:spacing w:line="360" w:lineRule="auto"/>
        <w:jc w:val="both"/>
      </w:pPr>
      <w:r>
        <w:t>HTC – Hydrothermal carbonisation</w:t>
      </w:r>
    </w:p>
    <w:p w14:paraId="4D0364B7" w14:textId="247DADB1" w:rsidR="008A1927" w:rsidRDefault="00DB2EC1" w:rsidP="00350AB6">
      <w:pPr>
        <w:spacing w:line="360" w:lineRule="auto"/>
        <w:jc w:val="both"/>
      </w:pPr>
      <w:r>
        <w:lastRenderedPageBreak/>
        <w:t>PCI – Pulverised coal injection</w:t>
      </w:r>
    </w:p>
    <w:p w14:paraId="3A86AFD5" w14:textId="6BBAD9D2" w:rsidR="00C87972" w:rsidRDefault="00C87972" w:rsidP="00350AB6">
      <w:pPr>
        <w:spacing w:line="360" w:lineRule="auto"/>
        <w:jc w:val="both"/>
      </w:pPr>
      <w:r>
        <w:t>Kg/</w:t>
      </w:r>
      <w:proofErr w:type="spellStart"/>
      <w:r>
        <w:t>tHM</w:t>
      </w:r>
      <w:proofErr w:type="spellEnd"/>
      <w:r>
        <w:t xml:space="preserve"> – Kilogram per ton of hot metal</w:t>
      </w:r>
    </w:p>
    <w:p w14:paraId="7ED91C5E" w14:textId="6B15DC21" w:rsidR="00C87972" w:rsidRDefault="00C87972" w:rsidP="00350AB6">
      <w:pPr>
        <w:spacing w:line="360" w:lineRule="auto"/>
        <w:jc w:val="both"/>
      </w:pPr>
      <w:r>
        <w:t>TGT – Top gas temperature</w:t>
      </w:r>
    </w:p>
    <w:p w14:paraId="28E1B0DF" w14:textId="55C1D194" w:rsidR="003A20D9" w:rsidRDefault="003A20D9" w:rsidP="00350AB6">
      <w:pPr>
        <w:spacing w:line="360" w:lineRule="auto"/>
        <w:jc w:val="both"/>
      </w:pPr>
      <w:r>
        <w:t xml:space="preserve">RAFT - </w:t>
      </w:r>
    </w:p>
    <w:p w14:paraId="726BF9F7" w14:textId="32EBAC9D" w:rsidR="00C87972" w:rsidRDefault="00E24F3A" w:rsidP="00350AB6">
      <w:pPr>
        <w:spacing w:line="360" w:lineRule="auto"/>
        <w:jc w:val="both"/>
      </w:pPr>
      <w:r>
        <w:t>CSR – Coke strength after reaction</w:t>
      </w:r>
    </w:p>
    <w:p w14:paraId="2AC52DE2" w14:textId="57B0AA65" w:rsidR="00E24F3A" w:rsidRDefault="00E24F3A" w:rsidP="00350AB6">
      <w:pPr>
        <w:spacing w:line="360" w:lineRule="auto"/>
        <w:jc w:val="both"/>
      </w:pPr>
      <w:r>
        <w:t>CRI – Coke reactivity index</w:t>
      </w:r>
    </w:p>
    <w:p w14:paraId="3CCDCC55" w14:textId="7542903A" w:rsidR="00E24F3A" w:rsidRDefault="00A03D4B" w:rsidP="00350AB6">
      <w:pPr>
        <w:spacing w:line="360" w:lineRule="auto"/>
        <w:jc w:val="both"/>
      </w:pPr>
      <w:r>
        <w:t>PSD – Particle size determination</w:t>
      </w:r>
    </w:p>
    <w:p w14:paraId="4E421E14" w14:textId="364D13C3" w:rsidR="00A03D4B" w:rsidRDefault="00D75C27" w:rsidP="00350AB6">
      <w:pPr>
        <w:spacing w:line="360" w:lineRule="auto"/>
        <w:jc w:val="both"/>
      </w:pPr>
      <w:r>
        <w:t>LCA – Life cycle assessment</w:t>
      </w:r>
    </w:p>
    <w:p w14:paraId="6D5EA8A0" w14:textId="6E19D899" w:rsidR="00D75C27" w:rsidRDefault="00F4215D" w:rsidP="00350AB6">
      <w:pPr>
        <w:spacing w:line="360" w:lineRule="auto"/>
        <w:jc w:val="both"/>
      </w:pPr>
      <w:r>
        <w:t>EU – European union</w:t>
      </w:r>
    </w:p>
    <w:p w14:paraId="7AF20425" w14:textId="2A2B822A" w:rsidR="00F4215D" w:rsidRDefault="00461612" w:rsidP="00350AB6">
      <w:pPr>
        <w:spacing w:line="360" w:lineRule="auto"/>
        <w:jc w:val="both"/>
      </w:pPr>
      <w:r>
        <w:t>VM – Volatile matter</w:t>
      </w:r>
    </w:p>
    <w:p w14:paraId="5CEA8A9F" w14:textId="7E812038" w:rsidR="0064298B" w:rsidRDefault="0064298B" w:rsidP="00350AB6">
      <w:pPr>
        <w:spacing w:line="360" w:lineRule="auto"/>
        <w:jc w:val="both"/>
      </w:pPr>
      <w:r>
        <w:t>Kg – Kilogram</w:t>
      </w:r>
    </w:p>
    <w:p w14:paraId="1F06FD71" w14:textId="370EC910" w:rsidR="006C76B5" w:rsidRDefault="006C76B5" w:rsidP="00350AB6">
      <w:pPr>
        <w:spacing w:line="360" w:lineRule="auto"/>
        <w:jc w:val="both"/>
      </w:pPr>
      <w:r>
        <w:t xml:space="preserve">g </w:t>
      </w:r>
      <w:r w:rsidR="00813315">
        <w:t>–</w:t>
      </w:r>
      <w:r>
        <w:t xml:space="preserve"> Gram</w:t>
      </w:r>
    </w:p>
    <w:p w14:paraId="2AF04B24" w14:textId="59721003" w:rsidR="00813315" w:rsidRDefault="00813315" w:rsidP="00350AB6">
      <w:pPr>
        <w:spacing w:line="360" w:lineRule="auto"/>
        <w:jc w:val="both"/>
      </w:pPr>
      <w:r>
        <w:t>Kt – Kiloton</w:t>
      </w:r>
    </w:p>
    <w:p w14:paraId="346C4610" w14:textId="05702F24" w:rsidR="00BF2707" w:rsidRDefault="001621E9" w:rsidP="00350AB6">
      <w:pPr>
        <w:spacing w:line="360" w:lineRule="auto"/>
        <w:jc w:val="both"/>
      </w:pPr>
      <w:r>
        <w:t>m</w:t>
      </w:r>
      <w:r w:rsidR="00BF2707">
        <w:t>m – Millimetre</w:t>
      </w:r>
    </w:p>
    <w:p w14:paraId="1EEADB1C" w14:textId="14396016" w:rsidR="00BF2707" w:rsidRDefault="006C76B5" w:rsidP="00350AB6">
      <w:pPr>
        <w:spacing w:line="360" w:lineRule="auto"/>
        <w:jc w:val="both"/>
      </w:pPr>
      <w:proofErr w:type="spellStart"/>
      <w:r>
        <w:t>μm</w:t>
      </w:r>
      <w:proofErr w:type="spellEnd"/>
      <w:r w:rsidR="000E4DC1">
        <w:t xml:space="preserve"> </w:t>
      </w:r>
      <w:r w:rsidR="00637698">
        <w:t>–</w:t>
      </w:r>
      <w:r w:rsidR="000E4DC1">
        <w:t xml:space="preserve"> Micron</w:t>
      </w:r>
    </w:p>
    <w:p w14:paraId="42772E7A" w14:textId="5D968D11" w:rsidR="00637698" w:rsidRDefault="00637698" w:rsidP="00350AB6">
      <w:pPr>
        <w:spacing w:line="360" w:lineRule="auto"/>
        <w:jc w:val="both"/>
      </w:pPr>
      <w:proofErr w:type="spellStart"/>
      <w:r>
        <w:t>ms</w:t>
      </w:r>
      <w:proofErr w:type="spellEnd"/>
      <w:r>
        <w:t xml:space="preserve"> - </w:t>
      </w:r>
      <w:proofErr w:type="spellStart"/>
      <w:r>
        <w:t>milisecond</w:t>
      </w:r>
      <w:proofErr w:type="spellEnd"/>
    </w:p>
    <w:p w14:paraId="34AA7AC5" w14:textId="7215752E" w:rsidR="0064298B" w:rsidRDefault="008A7A69" w:rsidP="00350AB6">
      <w:pPr>
        <w:spacing w:line="360" w:lineRule="auto"/>
        <w:jc w:val="both"/>
      </w:pPr>
      <w:r>
        <w:t>XRF – X-ray fluorescence</w:t>
      </w:r>
    </w:p>
    <w:p w14:paraId="5D488684" w14:textId="1D7FB1E7" w:rsidR="008A7A69" w:rsidRDefault="004C587D" w:rsidP="00350AB6">
      <w:pPr>
        <w:spacing w:line="360" w:lineRule="auto"/>
        <w:jc w:val="both"/>
      </w:pPr>
      <w:r>
        <w:t>ICP</w:t>
      </w:r>
      <w:r w:rsidR="00320C49">
        <w:t>OES - I</w:t>
      </w:r>
      <w:r w:rsidR="00320C49">
        <w:t xml:space="preserve">nductively coupled plasma optical emission </w:t>
      </w:r>
      <w:proofErr w:type="gramStart"/>
      <w:r w:rsidR="00320C49">
        <w:t>spectrometer</w:t>
      </w:r>
      <w:proofErr w:type="gramEnd"/>
    </w:p>
    <w:p w14:paraId="011BA507" w14:textId="31468FC2" w:rsidR="00320C49" w:rsidRDefault="00320C49" w:rsidP="00350AB6">
      <w:pPr>
        <w:spacing w:line="360" w:lineRule="auto"/>
        <w:jc w:val="both"/>
      </w:pPr>
      <w:r>
        <w:t xml:space="preserve">DTF – Drop tube </w:t>
      </w:r>
      <w:proofErr w:type="gramStart"/>
      <w:r>
        <w:t>furnace</w:t>
      </w:r>
      <w:proofErr w:type="gramEnd"/>
    </w:p>
    <w:p w14:paraId="6F1DFB75" w14:textId="7EE2C7A5" w:rsidR="006C76B5" w:rsidRDefault="00AE622C" w:rsidP="00350AB6">
      <w:pPr>
        <w:spacing w:line="360" w:lineRule="auto"/>
        <w:jc w:val="both"/>
      </w:pPr>
      <w:r>
        <w:t>M</w:t>
      </w:r>
      <w:r w:rsidRPr="00421F3B">
        <w:rPr>
          <w:vertAlign w:val="subscript"/>
        </w:rPr>
        <w:t>40</w:t>
      </w:r>
      <w:r>
        <w:rPr>
          <w:vertAlign w:val="subscript"/>
        </w:rPr>
        <w:t xml:space="preserve"> </w:t>
      </w:r>
      <w:r w:rsidR="00CD4008">
        <w:t>–</w:t>
      </w:r>
      <w:r>
        <w:t xml:space="preserve"> </w:t>
      </w:r>
      <w:r w:rsidR="00CD4008">
        <w:t>Fracture index</w:t>
      </w:r>
    </w:p>
    <w:p w14:paraId="14D84B29" w14:textId="325A978C" w:rsidR="00CD4008" w:rsidRDefault="009941BA" w:rsidP="00350AB6">
      <w:pPr>
        <w:spacing w:line="360" w:lineRule="auto"/>
        <w:jc w:val="both"/>
      </w:pPr>
      <w:r>
        <w:t>M</w:t>
      </w:r>
      <w:r w:rsidRPr="00E25935">
        <w:rPr>
          <w:vertAlign w:val="subscript"/>
        </w:rPr>
        <w:t>10</w:t>
      </w:r>
      <w:r>
        <w:t xml:space="preserve"> – Abrasion index</w:t>
      </w:r>
    </w:p>
    <w:p w14:paraId="0E93C291" w14:textId="6D06E900" w:rsidR="009941BA" w:rsidRDefault="00813315" w:rsidP="00350AB6">
      <w:pPr>
        <w:spacing w:line="360" w:lineRule="auto"/>
        <w:jc w:val="both"/>
      </w:pPr>
      <w:r>
        <w:t xml:space="preserve">RDI </w:t>
      </w:r>
      <w:r w:rsidR="00F542EC">
        <w:t>–</w:t>
      </w:r>
      <w:r>
        <w:t xml:space="preserve"> Re</w:t>
      </w:r>
      <w:r w:rsidR="00F542EC">
        <w:t>duction disintegration index</w:t>
      </w:r>
    </w:p>
    <w:p w14:paraId="67035BDC" w14:textId="0C68D674" w:rsidR="00F542EC" w:rsidRDefault="00F542EC" w:rsidP="00350AB6">
      <w:pPr>
        <w:spacing w:line="360" w:lineRule="auto"/>
        <w:jc w:val="both"/>
      </w:pPr>
      <w:proofErr w:type="spellStart"/>
      <w:r>
        <w:t>Ti</w:t>
      </w:r>
      <w:proofErr w:type="spellEnd"/>
      <w:r>
        <w:t xml:space="preserve"> – Tumble index</w:t>
      </w:r>
    </w:p>
    <w:p w14:paraId="38957C0E" w14:textId="06C42D27" w:rsidR="00F542EC" w:rsidRDefault="00F542EC" w:rsidP="00350AB6">
      <w:pPr>
        <w:spacing w:line="360" w:lineRule="auto"/>
        <w:jc w:val="both"/>
      </w:pPr>
      <w:r>
        <w:t>Ai – Abrasion index</w:t>
      </w:r>
    </w:p>
    <w:p w14:paraId="5BF7AB66" w14:textId="04DAF64E" w:rsidR="00CF2A74" w:rsidRDefault="00CF2A74" w:rsidP="00350AB6">
      <w:pPr>
        <w:spacing w:line="360" w:lineRule="auto"/>
        <w:jc w:val="both"/>
      </w:pPr>
      <w:r>
        <w:t>UKAS – United Kingdom accreditation services</w:t>
      </w:r>
    </w:p>
    <w:p w14:paraId="385902BA" w14:textId="5C23869C" w:rsidR="00CF2A74" w:rsidRDefault="00E0463D" w:rsidP="004725E3">
      <w:pPr>
        <w:spacing w:line="360" w:lineRule="auto"/>
        <w:jc w:val="both"/>
      </w:pPr>
      <w:r>
        <w:lastRenderedPageBreak/>
        <w:t>CRM – Certified reference materials</w:t>
      </w:r>
    </w:p>
    <w:p w14:paraId="656407FD" w14:textId="6D713E93" w:rsidR="00E0463D" w:rsidRPr="009941BA" w:rsidRDefault="003517EB" w:rsidP="004725E3">
      <w:pPr>
        <w:spacing w:line="360" w:lineRule="auto"/>
        <w:jc w:val="both"/>
      </w:pPr>
      <w:r>
        <w:t>ISO – International standards organisation</w:t>
      </w:r>
    </w:p>
    <w:p w14:paraId="1693C6C9" w14:textId="4B140CE9" w:rsidR="00320C49" w:rsidRDefault="00763783" w:rsidP="004725E3">
      <w:pPr>
        <w:spacing w:line="360" w:lineRule="auto"/>
        <w:jc w:val="both"/>
      </w:pPr>
      <w:r>
        <w:t>RR – Replacement ratio</w:t>
      </w:r>
    </w:p>
    <w:p w14:paraId="3F003891" w14:textId="14B7F272" w:rsidR="00211D70" w:rsidRDefault="00E20ECE" w:rsidP="004725E3">
      <w:pPr>
        <w:spacing w:line="360" w:lineRule="auto"/>
        <w:jc w:val="both"/>
      </w:pPr>
      <w:proofErr w:type="spellStart"/>
      <w:r w:rsidRPr="007C00B4">
        <w:rPr>
          <w:rFonts w:eastAsiaTheme="minorEastAsia"/>
        </w:rPr>
        <w:t>Ti</w:t>
      </w:r>
      <w:proofErr w:type="spellEnd"/>
      <w:r w:rsidRPr="007C00B4">
        <w:rPr>
          <w:rFonts w:eastAsiaTheme="minorEastAsia"/>
        </w:rPr>
        <w:t xml:space="preserve"> – Ignition temperature</w:t>
      </w:r>
    </w:p>
    <w:p w14:paraId="29F08823" w14:textId="6CF4725C" w:rsidR="00320C49" w:rsidRDefault="007F5AF0" w:rsidP="004725E3">
      <w:pPr>
        <w:spacing w:line="360" w:lineRule="auto"/>
        <w:jc w:val="both"/>
      </w:pPr>
      <w:r w:rsidRPr="007C00B4">
        <w:rPr>
          <w:rFonts w:eastAsiaTheme="minorEastAsia"/>
        </w:rPr>
        <w:t>Tm – temperature of the maximum weight loss rate</w:t>
      </w:r>
    </w:p>
    <w:p w14:paraId="7CCC4B9F" w14:textId="53D3B23F" w:rsidR="00461612" w:rsidRDefault="004421D3"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r w:rsidRPr="007C00B4">
        <w:rPr>
          <w:rFonts w:asciiTheme="minorHAnsi" w:eastAsiaTheme="minorEastAsia" w:hAnsiTheme="minorHAnsi" w:cstheme="minorBidi"/>
          <w:sz w:val="22"/>
          <w:szCs w:val="22"/>
        </w:rPr>
        <w:t>Tb – burnout temperature</w:t>
      </w:r>
      <w:r>
        <w:rPr>
          <w:rFonts w:asciiTheme="minorHAnsi" w:eastAsiaTheme="minorEastAsia" w:hAnsiTheme="minorHAnsi" w:cstheme="minorBidi"/>
          <w:sz w:val="22"/>
          <w:szCs w:val="22"/>
        </w:rPr>
        <w:t xml:space="preserve"> </w:t>
      </w:r>
    </w:p>
    <w:p w14:paraId="2C934196" w14:textId="0561E30B" w:rsidR="004421D3" w:rsidRDefault="004421D3"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TGA – Thermogravimetric ana</w:t>
      </w:r>
      <w:r w:rsidR="003A1D5D">
        <w:rPr>
          <w:rFonts w:asciiTheme="minorHAnsi" w:eastAsiaTheme="minorEastAsia" w:hAnsiTheme="minorHAnsi" w:cstheme="minorBidi"/>
          <w:sz w:val="22"/>
          <w:szCs w:val="22"/>
        </w:rPr>
        <w:t>lysis</w:t>
      </w:r>
    </w:p>
    <w:p w14:paraId="49A55355" w14:textId="0681E21F" w:rsidR="003A1D5D" w:rsidRDefault="004725E3"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proofErr w:type="spellStart"/>
      <w:r>
        <w:rPr>
          <w:rFonts w:asciiTheme="minorHAnsi" w:eastAsiaTheme="minorEastAsia" w:hAnsiTheme="minorHAnsi" w:cstheme="minorBidi"/>
          <w:sz w:val="22"/>
          <w:szCs w:val="22"/>
        </w:rPr>
        <w:t>w</w:t>
      </w:r>
      <w:r w:rsidR="003A1D5D">
        <w:rPr>
          <w:rFonts w:asciiTheme="minorHAnsi" w:eastAsiaTheme="minorEastAsia" w:hAnsiTheme="minorHAnsi" w:cstheme="minorBidi"/>
          <w:sz w:val="22"/>
          <w:szCs w:val="22"/>
        </w:rPr>
        <w:t>t</w:t>
      </w:r>
      <w:proofErr w:type="spellEnd"/>
      <w:r w:rsidR="003A1D5D">
        <w:rPr>
          <w:rFonts w:asciiTheme="minorHAnsi" w:eastAsiaTheme="minorEastAsia" w:hAnsiTheme="minorHAnsi" w:cstheme="minorBidi"/>
          <w:sz w:val="22"/>
          <w:szCs w:val="22"/>
        </w:rPr>
        <w:t xml:space="preserve"> </w:t>
      </w:r>
      <w:r>
        <w:rPr>
          <w:rFonts w:asciiTheme="minorHAnsi" w:eastAsiaTheme="minorEastAsia" w:hAnsiTheme="minorHAnsi" w:cstheme="minorBidi"/>
          <w:sz w:val="22"/>
          <w:szCs w:val="22"/>
        </w:rPr>
        <w:t>–</w:t>
      </w:r>
      <w:r w:rsidR="003A1D5D">
        <w:rPr>
          <w:rFonts w:asciiTheme="minorHAnsi" w:eastAsiaTheme="minorEastAsia" w:hAnsiTheme="minorHAnsi" w:cstheme="minorBidi"/>
          <w:sz w:val="22"/>
          <w:szCs w:val="22"/>
        </w:rPr>
        <w:t xml:space="preserve"> </w:t>
      </w:r>
      <w:r>
        <w:rPr>
          <w:rFonts w:asciiTheme="minorHAnsi" w:eastAsiaTheme="minorEastAsia" w:hAnsiTheme="minorHAnsi" w:cstheme="minorBidi"/>
          <w:sz w:val="22"/>
          <w:szCs w:val="22"/>
        </w:rPr>
        <w:t>Weight</w:t>
      </w:r>
    </w:p>
    <w:p w14:paraId="22150B35" w14:textId="58E51345" w:rsidR="004725E3" w:rsidRDefault="004725E3"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proofErr w:type="spellStart"/>
      <w:r>
        <w:rPr>
          <w:rFonts w:asciiTheme="minorHAnsi" w:eastAsiaTheme="minorEastAsia" w:hAnsiTheme="minorHAnsi" w:cstheme="minorBidi"/>
          <w:sz w:val="22"/>
          <w:szCs w:val="22"/>
        </w:rPr>
        <w:t>db</w:t>
      </w:r>
      <w:proofErr w:type="spellEnd"/>
      <w:r>
        <w:rPr>
          <w:rFonts w:asciiTheme="minorHAnsi" w:eastAsiaTheme="minorEastAsia" w:hAnsiTheme="minorHAnsi" w:cstheme="minorBidi"/>
          <w:sz w:val="22"/>
          <w:szCs w:val="22"/>
        </w:rPr>
        <w:t xml:space="preserve"> – Dry basis</w:t>
      </w:r>
    </w:p>
    <w:p w14:paraId="299A135D" w14:textId="7081AB80" w:rsidR="004725E3" w:rsidRDefault="004725E3"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A</w:t>
      </w:r>
      <w:r w:rsidR="00653E9D">
        <w:rPr>
          <w:rFonts w:asciiTheme="minorHAnsi" w:eastAsiaTheme="minorEastAsia" w:hAnsiTheme="minorHAnsi" w:cstheme="minorBidi"/>
          <w:sz w:val="22"/>
          <w:szCs w:val="22"/>
        </w:rPr>
        <w:t>I – Alkalinity index</w:t>
      </w:r>
    </w:p>
    <w:p w14:paraId="617E925D" w14:textId="55041AC6" w:rsidR="00653E9D" w:rsidRDefault="00F145D9"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FFS – Flame front </w:t>
      </w:r>
      <w:proofErr w:type="gramStart"/>
      <w:r>
        <w:rPr>
          <w:rFonts w:asciiTheme="minorHAnsi" w:eastAsiaTheme="minorEastAsia" w:hAnsiTheme="minorHAnsi" w:cstheme="minorBidi"/>
          <w:sz w:val="22"/>
          <w:szCs w:val="22"/>
        </w:rPr>
        <w:t>speed</w:t>
      </w:r>
      <w:proofErr w:type="gramEnd"/>
    </w:p>
    <w:p w14:paraId="7906D83E" w14:textId="77777777" w:rsidR="00F145D9" w:rsidRDefault="00F145D9" w:rsidP="004725E3">
      <w:pPr>
        <w:pStyle w:val="NormalWeb"/>
        <w:spacing w:before="0" w:beforeAutospacing="0" w:after="0" w:afterAutospacing="0" w:line="360" w:lineRule="auto"/>
        <w:jc w:val="both"/>
        <w:rPr>
          <w:rFonts w:asciiTheme="minorHAnsi" w:eastAsiaTheme="minorEastAsia" w:hAnsiTheme="minorHAnsi" w:cstheme="minorBidi"/>
          <w:sz w:val="22"/>
          <w:szCs w:val="22"/>
        </w:rPr>
      </w:pPr>
    </w:p>
    <w:p w14:paraId="7EF4AA8A" w14:textId="77777777" w:rsidR="004725E3" w:rsidRPr="004421D3" w:rsidRDefault="004725E3" w:rsidP="004421D3">
      <w:pPr>
        <w:pStyle w:val="NormalWeb"/>
        <w:spacing w:before="0" w:beforeAutospacing="0" w:after="0" w:afterAutospacing="0" w:line="360" w:lineRule="auto"/>
        <w:jc w:val="both"/>
        <w:rPr>
          <w:rFonts w:asciiTheme="minorHAnsi" w:eastAsiaTheme="minorEastAsia" w:hAnsiTheme="minorHAnsi" w:cstheme="minorBidi"/>
          <w:sz w:val="22"/>
          <w:szCs w:val="22"/>
        </w:rPr>
      </w:pPr>
    </w:p>
    <w:p w14:paraId="52E92D0B" w14:textId="77777777" w:rsidR="00DB2EC1" w:rsidRDefault="00DB2EC1" w:rsidP="004421D3">
      <w:pPr>
        <w:spacing w:line="360" w:lineRule="auto"/>
        <w:jc w:val="both"/>
      </w:pPr>
    </w:p>
    <w:p w14:paraId="60421A80" w14:textId="77777777" w:rsidR="000E10C6" w:rsidRPr="001A5327" w:rsidRDefault="000E10C6" w:rsidP="00350AB6">
      <w:pPr>
        <w:spacing w:line="360" w:lineRule="auto"/>
        <w:jc w:val="both"/>
      </w:pPr>
    </w:p>
    <w:p w14:paraId="1C8FF43E" w14:textId="77777777" w:rsidR="00060527" w:rsidRDefault="00060527" w:rsidP="00350AB6">
      <w:pPr>
        <w:spacing w:line="360" w:lineRule="auto"/>
        <w:jc w:val="both"/>
      </w:pPr>
    </w:p>
    <w:p w14:paraId="071F9A9A" w14:textId="627AB393" w:rsidR="00001558" w:rsidRDefault="00001558" w:rsidP="00001558"/>
    <w:p w14:paraId="1847FFFF" w14:textId="1D349B34" w:rsidR="00001558" w:rsidRDefault="00001558" w:rsidP="00001558"/>
    <w:p w14:paraId="0632CAE6" w14:textId="659E8516" w:rsidR="00001558" w:rsidRDefault="00001558" w:rsidP="00001558"/>
    <w:p w14:paraId="0D648B4A" w14:textId="654057BE" w:rsidR="00001558" w:rsidRDefault="00001558" w:rsidP="00001558"/>
    <w:p w14:paraId="70730743" w14:textId="07EA7D1F" w:rsidR="00001558" w:rsidRDefault="00001558" w:rsidP="00001558"/>
    <w:p w14:paraId="49CEB167" w14:textId="19789D87" w:rsidR="00001558" w:rsidRDefault="00001558" w:rsidP="00001558"/>
    <w:p w14:paraId="4340071B" w14:textId="0A5D6018" w:rsidR="00001558" w:rsidRDefault="00001558" w:rsidP="00001558"/>
    <w:p w14:paraId="3B3C1E8F" w14:textId="0C6D2360" w:rsidR="00001558" w:rsidRDefault="00001558" w:rsidP="00001558"/>
    <w:p w14:paraId="51F2E208" w14:textId="6DD623AC" w:rsidR="00001558" w:rsidRDefault="00001558" w:rsidP="00001558"/>
    <w:p w14:paraId="4B23645C" w14:textId="27CE0666" w:rsidR="00001558" w:rsidRDefault="00001558" w:rsidP="00001558"/>
    <w:p w14:paraId="25D83CE4" w14:textId="73A4B564" w:rsidR="00001558" w:rsidRDefault="00001558" w:rsidP="00001558"/>
    <w:p w14:paraId="10CFB0DF" w14:textId="0AC11216" w:rsidR="00001558" w:rsidRDefault="00001558" w:rsidP="00001558"/>
    <w:p w14:paraId="6F8E9E3D" w14:textId="4D596E7D" w:rsidR="00001558" w:rsidRDefault="00001558" w:rsidP="00001558"/>
    <w:p w14:paraId="570E7607" w14:textId="77777777" w:rsidR="00001558" w:rsidRPr="00001558" w:rsidRDefault="00001558" w:rsidP="00001558"/>
    <w:p w14:paraId="42727CB7" w14:textId="3410EB86" w:rsidR="00196715" w:rsidRDefault="00196715" w:rsidP="00350AB6">
      <w:pPr>
        <w:pStyle w:val="Heading1"/>
        <w:spacing w:line="360" w:lineRule="auto"/>
        <w:jc w:val="both"/>
      </w:pPr>
      <w:bookmarkStart w:id="5" w:name="_Toc127911427"/>
      <w:r>
        <w:lastRenderedPageBreak/>
        <w:t>Introduction</w:t>
      </w:r>
      <w:bookmarkEnd w:id="5"/>
    </w:p>
    <w:p w14:paraId="08283851" w14:textId="0D84C8EC" w:rsidR="00DE5575" w:rsidRDefault="00DE5575" w:rsidP="00350AB6">
      <w:pPr>
        <w:pStyle w:val="Heading2"/>
        <w:spacing w:line="360" w:lineRule="auto"/>
        <w:jc w:val="both"/>
      </w:pPr>
      <w:bookmarkStart w:id="6" w:name="_Toc127911428"/>
      <w:r>
        <w:t>Background</w:t>
      </w:r>
      <w:bookmarkEnd w:id="6"/>
    </w:p>
    <w:p w14:paraId="3A1CC713" w14:textId="7B6C6BB5" w:rsidR="00DE5575" w:rsidRDefault="009942D6" w:rsidP="00350AB6">
      <w:pPr>
        <w:spacing w:line="360" w:lineRule="auto"/>
        <w:jc w:val="both"/>
      </w:pPr>
      <w:r>
        <w:t xml:space="preserve">Climate change is a problem the world cannot ignore, </w:t>
      </w:r>
      <w:r w:rsidR="002336CB">
        <w:t>shifting weather patterns threaten food production</w:t>
      </w:r>
      <w:r w:rsidR="003079AF">
        <w:t xml:space="preserve"> and</w:t>
      </w:r>
      <w:r w:rsidR="002336CB">
        <w:t xml:space="preserve"> rising sea levels</w:t>
      </w:r>
      <w:r w:rsidR="00EE4E51">
        <w:t xml:space="preserve"> </w:t>
      </w:r>
      <w:r w:rsidR="005D1F8A">
        <w:t>threaten</w:t>
      </w:r>
      <w:r w:rsidR="003079AF">
        <w:t xml:space="preserve"> catastrophic flooding. </w:t>
      </w:r>
      <w:r w:rsidR="00E01345">
        <w:t xml:space="preserve">Climate change has been directly linked to the concentration of </w:t>
      </w:r>
      <w:r w:rsidR="00FA6489">
        <w:t>greenhouse</w:t>
      </w:r>
      <w:r w:rsidR="00E01345">
        <w:t xml:space="preserve"> gases</w:t>
      </w:r>
      <w:r w:rsidR="00FA6489">
        <w:t xml:space="preserve"> (GHG)</w:t>
      </w:r>
      <w:r w:rsidR="00E01345">
        <w:t xml:space="preserve"> in the earth’s atmosphere and the </w:t>
      </w:r>
      <w:r w:rsidR="004529C8">
        <w:t>influence of</w:t>
      </w:r>
      <w:r w:rsidR="00E01345">
        <w:t xml:space="preserve"> human </w:t>
      </w:r>
      <w:r w:rsidR="004529C8">
        <w:t>activities</w:t>
      </w:r>
      <w:r w:rsidR="00E01345">
        <w:t xml:space="preserve"> on climate change is undisputed.</w:t>
      </w:r>
      <w:r w:rsidR="00191A30">
        <w:t xml:space="preserve"> The choices made today will have a significant effect on the climate that future generations will experience.  Reducing emissions rapidly will limit further changes but if current trends continue then some climate changes could persist for thousands of years</w:t>
      </w:r>
      <w:r w:rsidR="00202AEF">
        <w:t xml:space="preserve">, figure 1 illustrates the possible long term effects of climate change </w:t>
      </w:r>
      <w:r w:rsidR="00202AEF">
        <w:fldChar w:fldCharType="begin"/>
      </w:r>
      <w:r w:rsidR="002F2DA2">
        <w:instrText xml:space="preserve"> ADDIN ZOTERO_ITEM CSL_CITATION {"citationID":"NRUl0kaC","properties":{"formattedCitation":"(Arias et al. 2021)","plainCitation":"(Arias et al. 2021)","noteIndex":0},"citationItems":[{"id":1737,"uris":["http://zotero.org/users/local/AB2owHL2/items/6QYID27D"],"itemData":{"id":1737,"type":"report","event-place":"Cambridge, UK","page":"112","publisher":"Cambridge University Press","publisher-place":"Cambridge, UK","source":"Zotero","title":"Technical Summary. In Climate Change 2021: The  Physical Science Basis. Contribution of Working Group I to the Sixth Assessment Report of the Intergovernmental  Panel on Climate Change","URL":"https://www.ipcc.ch/report/ar6/wg1/downloads/report/IPCC_AR6_WGI_TS.pdf","author":[{"family":"Arias","given":"Paola A"},{"family":"Bellouin","given":"Nicolas"},{"family":"Jones","given":"Richard G"},{"family":"Naik","given":"Vaishali"},{"family":"Plattner","given":"Gian-Kasper"},{"family":"Rogelj","given":"Joeri"},{"family":"Sillmann","given":"Jana"},{"family":"Storelvmo","given":"Trude"},{"family":"Thorne","given":"Peter W"},{"family":"Trewin","given":"Blair"},{"family":"Rao","given":"Krishna Achuta"},{"family":"Adhikary","given":"Bhupesh"},{"family":"Allan","given":"Richard P"},{"family":"Armour","given":"Kyle"},{"family":"Barimalala","given":"Rondrotiana"},{"family":"Canadell","given":"Josep G"},{"family":"Cassou","given":"Christophe"},{"family":"Cherchi","given":"Annalisa"},{"family":"Collins","given":"William"},{"family":"Corti","given":"Susanna"},{"family":"Cruz","given":"Faye"},{"family":"Dentener","given":"Frank J"},{"family":"Dereczynski","given":"Claudine"},{"family":"Luca","given":"Alejandro Di"},{"family":"Diongue","given":"Aida"},{"family":"Doblas-Reyes","given":"Francisco J"},{"family":"Dosio","given":"Alessandro"},{"family":"Douville","given":"Hervé"},{"family":"Engelbrecht","given":"François"},{"family":"Fyfe","given":"John C"},{"family":"Gillett","given":"Nathan P"},{"family":"Goldfarb","given":"Leah"}],"accessed":{"date-parts":[["2022",7,5]]},"issued":{"date-parts":[["2021"]]}}}],"schema":"https://github.com/citation-style-language/schema/raw/master/csl-citation.json"} </w:instrText>
      </w:r>
      <w:r w:rsidR="00202AEF">
        <w:fldChar w:fldCharType="separate"/>
      </w:r>
      <w:r w:rsidR="00202AEF" w:rsidRPr="00202AEF">
        <w:rPr>
          <w:rFonts w:ascii="Calibri" w:hAnsi="Calibri" w:cs="Calibri"/>
        </w:rPr>
        <w:t>(Arias et al. 2021)</w:t>
      </w:r>
      <w:r w:rsidR="00202AEF">
        <w:fldChar w:fldCharType="end"/>
      </w:r>
      <w:r w:rsidR="00191A30">
        <w:t xml:space="preserve">. </w:t>
      </w:r>
    </w:p>
    <w:p w14:paraId="58AA7AA3" w14:textId="58636521" w:rsidR="00202AEF" w:rsidRDefault="00202AEF" w:rsidP="00350AB6">
      <w:pPr>
        <w:spacing w:line="360" w:lineRule="auto"/>
        <w:jc w:val="both"/>
      </w:pPr>
      <w:r w:rsidRPr="00202AEF">
        <w:rPr>
          <w:noProof/>
        </w:rPr>
        <w:drawing>
          <wp:inline distT="0" distB="0" distL="0" distR="0" wp14:anchorId="12E6F25B" wp14:editId="17D42B0A">
            <wp:extent cx="5305425" cy="2800350"/>
            <wp:effectExtent l="0" t="0" r="952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stretch>
                      <a:fillRect/>
                    </a:stretch>
                  </pic:blipFill>
                  <pic:spPr>
                    <a:xfrm>
                      <a:off x="0" y="0"/>
                      <a:ext cx="5306168" cy="2800742"/>
                    </a:xfrm>
                    <a:prstGeom prst="rect">
                      <a:avLst/>
                    </a:prstGeom>
                  </pic:spPr>
                </pic:pic>
              </a:graphicData>
            </a:graphic>
          </wp:inline>
        </w:drawing>
      </w:r>
    </w:p>
    <w:p w14:paraId="782B9626" w14:textId="265E6674" w:rsidR="00202AEF" w:rsidRDefault="006B1F47" w:rsidP="006B1F47">
      <w:pPr>
        <w:pStyle w:val="Caption"/>
      </w:pPr>
      <w:bookmarkStart w:id="7" w:name="_Toc127110895"/>
      <w:r>
        <w:t xml:space="preserve">Figure </w:t>
      </w:r>
      <w:fldSimple w:instr=" SEQ Figure \* ARABIC ">
        <w:r w:rsidR="00A0212F">
          <w:rPr>
            <w:noProof/>
          </w:rPr>
          <w:t>1</w:t>
        </w:r>
      </w:fldSimple>
      <w:r>
        <w:t xml:space="preserve"> The response of </w:t>
      </w:r>
      <w:r w:rsidR="009F2B65">
        <w:t>some climate variables to global warming</w:t>
      </w:r>
      <w:r>
        <w:t xml:space="preserve"> </w:t>
      </w:r>
      <w:r>
        <w:fldChar w:fldCharType="begin"/>
      </w:r>
      <w:r w:rsidR="002F2DA2">
        <w:instrText xml:space="preserve"> ADDIN ZOTERO_ITEM CSL_CITATION {"citationID":"QlMQmTC9","properties":{"formattedCitation":"(Arias et al. 2021)","plainCitation":"(Arias et al. 2021)","noteIndex":0},"citationItems":[{"id":1737,"uris":["http://zotero.org/users/local/AB2owHL2/items/6QYID27D"],"itemData":{"id":1737,"type":"report","event-place":"Cambridge, UK","page":"112","publisher":"Cambridge University Press","publisher-place":"Cambridge, UK","source":"Zotero","title":"Technical Summary. In Climate Change 2021: The  Physical Science Basis. Contribution of Working Group I to the Sixth Assessment Report of the Intergovernmental  Panel on Climate Change","URL":"https://www.ipcc.ch/report/ar6/wg1/downloads/report/IPCC_AR6_WGI_TS.pdf","author":[{"family":"Arias","given":"Paola A"},{"family":"Bellouin","given":"Nicolas"},{"family":"Jones","given":"Richard G"},{"family":"Naik","given":"Vaishali"},{"family":"Plattner","given":"Gian-Kasper"},{"family":"Rogelj","given":"Joeri"},{"family":"Sillmann","given":"Jana"},{"family":"Storelvmo","given":"Trude"},{"family":"Thorne","given":"Peter W"},{"family":"Trewin","given":"Blair"},{"family":"Rao","given":"Krishna Achuta"},{"family":"Adhikary","given":"Bhupesh"},{"family":"Allan","given":"Richard P"},{"family":"Armour","given":"Kyle"},{"family":"Barimalala","given":"Rondrotiana"},{"family":"Canadell","given":"Josep G"},{"family":"Cassou","given":"Christophe"},{"family":"Cherchi","given":"Annalisa"},{"family":"Collins","given":"William"},{"family":"Corti","given":"Susanna"},{"family":"Cruz","given":"Faye"},{"family":"Dentener","given":"Frank J"},{"family":"Dereczynski","given":"Claudine"},{"family":"Luca","given":"Alejandro Di"},{"family":"Diongue","given":"Aida"},{"family":"Doblas-Reyes","given":"Francisco J"},{"family":"Dosio","given":"Alessandro"},{"family":"Douville","given":"Hervé"},{"family":"Engelbrecht","given":"François"},{"family":"Fyfe","given":"John C"},{"family":"Gillett","given":"Nathan P"},{"family":"Goldfarb","given":"Leah"}],"accessed":{"date-parts":[["2022",7,5]]},"issued":{"date-parts":[["2021"]]}}}],"schema":"https://github.com/citation-style-language/schema/raw/master/csl-citation.json"} </w:instrText>
      </w:r>
      <w:r>
        <w:fldChar w:fldCharType="separate"/>
      </w:r>
      <w:r w:rsidRPr="006B1F47">
        <w:rPr>
          <w:rFonts w:ascii="Calibri" w:hAnsi="Calibri" w:cs="Calibri"/>
        </w:rPr>
        <w:t>(Arias et al. 2021)</w:t>
      </w:r>
      <w:r>
        <w:fldChar w:fldCharType="end"/>
      </w:r>
      <w:r>
        <w:t>.</w:t>
      </w:r>
      <w:bookmarkEnd w:id="7"/>
    </w:p>
    <w:p w14:paraId="3604E7BF" w14:textId="344F0C38" w:rsidR="00FA6489" w:rsidRDefault="000D3D37" w:rsidP="0040526F">
      <w:pPr>
        <w:spacing w:line="360" w:lineRule="auto"/>
        <w:jc w:val="both"/>
      </w:pPr>
      <w:r>
        <w:t xml:space="preserve">According to </w:t>
      </w:r>
      <w:r>
        <w:fldChar w:fldCharType="begin"/>
      </w:r>
      <w:r>
        <w:instrText xml:space="preserve"> ADDIN ZOTERO_ITEM CSL_CITATION {"citationID":"AJ8BOBx0","properties":{"formattedCitation":"(Holappa 2020)","plainCitation":"(Holappa 2020)","noteIndex":0},"citationItems":[{"id":470,"uris":["http://zotero.org/users/local/AB2owHL2/items/LRLCPEEP"],"itemData":{"id":470,"type":"article-journal","abstract":"The 2018 IPCC (The Intergovernmental Panel on Climate Change’s) report defined the goal to limit global warming to 1.5 °C by 2050. This will require “rapid and far-reaching transitions in land, energy, industry, buildings, transport, and cities”. The challenge falls on all sectors, especially energy production and industry. In this regard, the recent progress and future challenges of greenhouse gas emissions and energy supply are first briefly introduced. Then, the current situation of the steel industry is presented. Steel production is predicted to grow by 25–30% by 2050. The dominant iron-making route, blast furnace (BF), especially, is an energy-intensive process based on fossil fuel consumption; the steel sector is thus responsible for about 7% of all anthropogenic CO2 emissions. In order to take up the 2050 challenge, emissions should see significant cuts. Correspondingly, specific emissions (t CO2/t steel) should be radically decreased. Several large research programs in big steelmaking countries and the EU have been carried out over the last 10–15 years or are ongoing. All plausible measures to decrease CO2 emissions were explored here based on the published literature. The essential results are discussed and concluded. The specific emissions of “world steel” are currently at 1.8 t CO2/t steel. Improved energy efficiency by modernizing plants and adopting best available technologies in all process stages could decrease the emissions by 15–20%. Further reductions towards 1.0 t CO2/t steel level are achievable via novel technologies like top gas recycling in BF, oxygen BF, and maximal replacement of coke by biomass. These processes are, however, waiting for substantive industrialization. Generally, substituting hydrogen for carbon in reductants and fuels like natural gas and coke gas can decrease CO2 emissions remarkably. The same holds for direct reduction processes (DR), which have spread recently, exceeding 100 Mt annual capacity. More radical cut is possible via CO2 capture and storage (CCS). The technology is well-known in the oil industry; and potential applications in other sectors, including the steel industry, are being explored. While this might be a real solution in propitious circumstances, it is hardly universally applicable in the long run. More auspicious is the concept that aims at utilizing captured carbon in the production of chemicals, food, or fuels e.g., methanol (CCU, CCUS). The basic idea is smart, but in the early phase of its application, the high energy-consumption and costs are disincentives. The potential of hydrogen as a fuel and reductant is well-known, but it has a supporting role in iron metallurgy. In the current fight against climate warming, H2 has come into the “limelight” as a reductant, fuel, and energy storage. The hydrogen economy concept contains both production, storage, distribution, and uses. In ironmaking, several research programs have been launched for hydrogen production and reduction of iron oxides. Another global trend is the transfer from fossil fuel to electricity. “Green” electricity generation and hydrogen will be firmly linked together. The electrification of steel production is emphasized upon in this paper as the recycled scrap is estimated to grow from the 30% level to 50% by 2050. Finally, in this review, all means to reduce specific CO2 emissions have been summarized. By thorough modernization of production facilities and energy systems and by adopting new pioneering methods, “world steel” could reach the level of 0.4–0.5 t CO2/t steel and thus reduce two-thirds of current annual emissions.","container-title":"Metals","DOI":"http://dx.doi.org.ezproxy.uwtsd.ac.uk/10.3390/met10091117","issue":"9","language":"English","license":"© 2020. This work is licensed under http://creativecommons.org/licenses/by/3.0/ (the “License”). Notwithstanding the ProQuest Terms and Conditions, you may use this content in accordance with the terms of the License.","note":"number-of-pages: 1117\npublisher-place: Basel, Switzerland\npublisher: MDPI AG","page":"1117","source":"ProQuest","title":"A General Vision for Reduction of Energy Consumption and CO2 Emissions from the Steel Industry","URL":"http://www.proquest.com/docview/2436726619/abstract/7F5306F0F7F34030PQ/1","volume":"10","author":[{"family":"Holappa","given":"Lauri"}],"accessed":{"date-parts":[["2021",2,15]]},"issued":{"date-parts":[["2020"]]}}}],"schema":"https://github.com/citation-style-language/schema/raw/master/csl-citation.json"} </w:instrText>
      </w:r>
      <w:r>
        <w:fldChar w:fldCharType="separate"/>
      </w:r>
      <w:r w:rsidRPr="0040526F">
        <w:rPr>
          <w:rFonts w:ascii="Calibri" w:hAnsi="Calibri" w:cs="Calibri"/>
        </w:rPr>
        <w:t>(Holappa 2020)</w:t>
      </w:r>
      <w:r>
        <w:fldChar w:fldCharType="end"/>
      </w:r>
      <w:r>
        <w:t xml:space="preserve"> </w:t>
      </w:r>
      <w:r w:rsidR="0040526F">
        <w:t>GHG emissions have doubled since 1970 and Carbon Dioxide (CO</w:t>
      </w:r>
      <w:r w:rsidR="0040526F" w:rsidRPr="00583483">
        <w:rPr>
          <w:vertAlign w:val="subscript"/>
        </w:rPr>
        <w:t>2</w:t>
      </w:r>
      <w:r w:rsidR="0040526F">
        <w:t>) the most important GHG has increased f</w:t>
      </w:r>
      <w:r w:rsidR="006E0333">
        <w:t>ro</w:t>
      </w:r>
      <w:r w:rsidR="0040526F">
        <w:t>m 300ppm to 410 ppm (atmospheric content</w:t>
      </w:r>
      <w:r w:rsidR="002A1C4D">
        <w:t>)</w:t>
      </w:r>
      <w:r w:rsidR="0040526F">
        <w:t xml:space="preserve"> since 1950</w:t>
      </w:r>
      <w:r w:rsidR="0095121A">
        <w:t xml:space="preserve">.  </w:t>
      </w:r>
      <w:r w:rsidR="00BE6A2B">
        <w:t>A</w:t>
      </w:r>
      <w:r w:rsidR="00E9736C">
        <w:t xml:space="preserve">t the conference of parties </w:t>
      </w:r>
      <w:r w:rsidR="00BE6A2B">
        <w:t>Paris</w:t>
      </w:r>
      <w:r w:rsidR="00E9736C">
        <w:t xml:space="preserve"> (COP21) in 2015 an agreement to prevent a global rise in temperature of over 2 ◦C was achieved, this target was later reduced to 1.5 ◦C</w:t>
      </w:r>
      <w:r w:rsidR="002A1C4D">
        <w:t xml:space="preserve"> </w:t>
      </w:r>
      <w:r w:rsidR="00E9736C">
        <w:t>at the COP 24 meeting in 2018. To meet the 2 ◦C target a 50% reduction in emissions by 2050 is required</w:t>
      </w:r>
      <w:r w:rsidR="002A1C4D">
        <w:t xml:space="preserve"> and an 80% reduction is required to meet the 1.5 ◦C target respectively</w:t>
      </w:r>
      <w:r w:rsidR="0040526F">
        <w:t xml:space="preserve">. </w:t>
      </w:r>
    </w:p>
    <w:p w14:paraId="110F558D" w14:textId="11FC2036" w:rsidR="002A1C4D" w:rsidRDefault="00A47285" w:rsidP="0040526F">
      <w:pPr>
        <w:spacing w:line="360" w:lineRule="auto"/>
        <w:jc w:val="both"/>
      </w:pPr>
      <w:r>
        <w:t xml:space="preserve">The </w:t>
      </w:r>
      <w:r w:rsidR="00684D87">
        <w:t xml:space="preserve">Iron and </w:t>
      </w:r>
      <w:r>
        <w:t>steel industry</w:t>
      </w:r>
      <w:r w:rsidR="00684D87">
        <w:t xml:space="preserve"> (ISI)</w:t>
      </w:r>
      <w:r>
        <w:t xml:space="preserve"> is one of the</w:t>
      </w:r>
      <w:r w:rsidR="003E5E12">
        <w:t xml:space="preserve"> </w:t>
      </w:r>
      <w:r w:rsidR="009712B1">
        <w:t>world’s</w:t>
      </w:r>
      <w:r>
        <w:t xml:space="preserve"> most important manufacturing sectors </w:t>
      </w:r>
      <w:r w:rsidR="00A1335D">
        <w:t>with</w:t>
      </w:r>
      <w:r>
        <w:t xml:space="preserve"> a significant impact on the global economy.</w:t>
      </w:r>
      <w:r w:rsidR="00FA323F">
        <w:t xml:space="preserve"> Steel is a highly cost-effective material which can be recycled endlessly and has a vast array of applications, steel is going to be crucial for the low carbon transition</w:t>
      </w:r>
      <w:r w:rsidR="003E5E12">
        <w:t xml:space="preserve"> as it is required in in the manufacture of solar panels, wind turbines, </w:t>
      </w:r>
      <w:r w:rsidR="009712B1">
        <w:t>dams,</w:t>
      </w:r>
      <w:r w:rsidR="003E5E12">
        <w:t xml:space="preserve"> and electric </w:t>
      </w:r>
      <w:r w:rsidR="003E5E12">
        <w:lastRenderedPageBreak/>
        <w:t>vehicles</w:t>
      </w:r>
      <w:r w:rsidR="00FA323F">
        <w:t>.</w:t>
      </w:r>
      <w:r>
        <w:t xml:space="preserve"> </w:t>
      </w:r>
      <w:r w:rsidR="00A1335D">
        <w:t>Recent s</w:t>
      </w:r>
      <w:r>
        <w:t>teel demand and production has increased sharply</w:t>
      </w:r>
      <w:r w:rsidR="0064013E">
        <w:t xml:space="preserve"> (Figure 2), </w:t>
      </w:r>
      <w:r w:rsidR="00CC3A73">
        <w:t>the</w:t>
      </w:r>
      <w:r w:rsidR="00CC66DB">
        <w:t xml:space="preserve">re are </w:t>
      </w:r>
      <w:r w:rsidR="0064013E">
        <w:t xml:space="preserve">predictions of growth range from 3000 MT by 2050 </w:t>
      </w:r>
      <w:r w:rsidR="00CC66DB">
        <w:t>to</w:t>
      </w:r>
      <w:r w:rsidR="0064013E">
        <w:t xml:space="preserve"> a more conservative prediction of 2500 MT</w:t>
      </w:r>
      <w:r w:rsidR="006E0333">
        <w:t xml:space="preserve"> </w:t>
      </w:r>
      <w:r w:rsidR="00684D87">
        <w:t xml:space="preserve"> </w:t>
      </w:r>
      <w:r w:rsidR="00684D87">
        <w:fldChar w:fldCharType="begin"/>
      </w:r>
      <w:r w:rsidR="00790785">
        <w:instrText xml:space="preserve"> ADDIN ZOTERO_ITEM CSL_CITATION {"citationID":"plUtV3WM","properties":{"formattedCitation":"(Holappa 2020)","plainCitation":"(Holappa 2020)","noteIndex":0},"citationItems":[{"id":470,"uris":["http://zotero.org/users/local/AB2owHL2/items/LRLCPEEP"],"itemData":{"id":470,"type":"article-journal","abstract":"The 2018 IPCC (The Intergovernmental Panel on Climate Change’s) report defined the goal to limit global warming to 1.5 °C by 2050. This will require “rapid and far-reaching transitions in land, energy, industry, buildings, transport, and cities”. The challenge falls on all sectors, especially energy production and industry. In this regard, the recent progress and future challenges of greenhouse gas emissions and energy supply are first briefly introduced. Then, the current situation of the steel industry is presented. Steel production is predicted to grow by 25–30% by 2050. The dominant iron-making route, blast furnace (BF), especially, is an energy-intensive process based on fossil fuel consumption; the steel sector is thus responsible for about 7% of all anthropogenic CO2 emissions. In order to take up the 2050 challenge, emissions should see significant cuts. Correspondingly, specific emissions (t CO2/t steel) should be radically decreased. Several large research programs in big steelmaking countries and the EU have been carried out over the last 10–15 years or are ongoing. All plausible measures to decrease CO2 emissions were explored here based on the published literature. The essential results are discussed and concluded. The specific emissions of “world steel” are currently at 1.8 t CO2/t steel. Improved energy efficiency by modernizing plants and adopting best available technologies in all process stages could decrease the emissions by 15–20%. Further reductions towards 1.0 t CO2/t steel level are achievable via novel technologies like top gas recycling in BF, oxygen BF, and maximal replacement of coke by biomass. These processes are, however, waiting for substantive industrialization. Generally, substituting hydrogen for carbon in reductants and fuels like natural gas and coke gas can decrease CO2 emissions remarkably. The same holds for direct reduction processes (DR), which have spread recently, exceeding 100 Mt annual capacity. More radical cut is possible via CO2 capture and storage (CCS). The technology is well-known in the oil industry; and potential applications in other sectors, including the steel industry, are being explored. While this might be a real solution in propitious circumstances, it is hardly universally applicable in the long run. More auspicious is the concept that aims at utilizing captured carbon in the production of chemicals, food, or fuels e.g., methanol (CCU, CCUS). The basic idea is smart, but in the early phase of its application, the high energy-consumption and costs are disincentives. The potential of hydrogen as a fuel and reductant is well-known, but it has a supporting role in iron metallurgy. In the current fight against climate warming, H2 has come into the “limelight” as a reductant, fuel, and energy storage. The hydrogen economy concept contains both production, storage, distribution, and uses. In ironmaking, several research programs have been launched for hydrogen production and reduction of iron oxides. Another global trend is the transfer from fossil fuel to electricity. “Green” electricity generation and hydrogen will be firmly linked together. The electrification of steel production is emphasized upon in this paper as the recycled scrap is estimated to grow from the 30% level to 50% by 2050. Finally, in this review, all means to reduce specific CO2 emissions have been summarized. By thorough modernization of production facilities and energy systems and by adopting new pioneering methods, “world steel” could reach the level of 0.4–0.5 t CO2/t steel and thus reduce two-thirds of current annual emissions.","container-title":"Metals","DOI":"http://dx.doi.org.ezproxy.uwtsd.ac.uk/10.3390/met10091117","issue":"9","language":"English","license":"© 2020. This work is licensed under http://creativecommons.org/licenses/by/3.0/ (the “License”). Notwithstanding the ProQuest Terms and Conditions, you may use this content in accordance with the terms of the License.","note":"number-of-pages: 1117\npublisher-place: Basel, Switzerland\npublisher: MDPI AG","page":"1117","source":"ProQuest","title":"A General Vision for Reduction of Energy Consumption and CO2 Emissions from the Steel Industry","URL":"http://www.proquest.com/docview/2436726619/abstract/7F5306F0F7F34030PQ/1","volume":"10","author":[{"family":"Holappa","given":"Lauri"}],"accessed":{"date-parts":[["2021",2,15]]},"issued":{"date-parts":[["2020"]]}}}],"schema":"https://github.com/citation-style-language/schema/raw/master/csl-citation.json"} </w:instrText>
      </w:r>
      <w:r w:rsidR="00684D87">
        <w:fldChar w:fldCharType="separate"/>
      </w:r>
      <w:r w:rsidR="00684D87" w:rsidRPr="00684D87">
        <w:rPr>
          <w:rFonts w:ascii="Calibri" w:hAnsi="Calibri" w:cs="Calibri"/>
        </w:rPr>
        <w:t>(Holappa 2020)</w:t>
      </w:r>
      <w:r w:rsidR="00684D87">
        <w:fldChar w:fldCharType="end"/>
      </w:r>
      <w:r w:rsidR="00684D87">
        <w:t>.</w:t>
      </w:r>
      <w:r w:rsidR="007C6D32">
        <w:t xml:space="preserve"> </w:t>
      </w:r>
    </w:p>
    <w:p w14:paraId="63DD19CF" w14:textId="44D9304D" w:rsidR="0064013E" w:rsidRDefault="0064013E" w:rsidP="0040526F">
      <w:pPr>
        <w:spacing w:line="360" w:lineRule="auto"/>
        <w:jc w:val="both"/>
      </w:pPr>
      <w:r w:rsidRPr="0064013E">
        <w:rPr>
          <w:noProof/>
        </w:rPr>
        <w:drawing>
          <wp:inline distT="0" distB="0" distL="0" distR="0" wp14:anchorId="1320A743" wp14:editId="0E187A80">
            <wp:extent cx="5731510" cy="1685925"/>
            <wp:effectExtent l="0" t="0" r="2540" b="952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3"/>
                    <a:stretch>
                      <a:fillRect/>
                    </a:stretch>
                  </pic:blipFill>
                  <pic:spPr>
                    <a:xfrm>
                      <a:off x="0" y="0"/>
                      <a:ext cx="5731510" cy="1685925"/>
                    </a:xfrm>
                    <a:prstGeom prst="rect">
                      <a:avLst/>
                    </a:prstGeom>
                  </pic:spPr>
                </pic:pic>
              </a:graphicData>
            </a:graphic>
          </wp:inline>
        </w:drawing>
      </w:r>
    </w:p>
    <w:p w14:paraId="5B1EC75F" w14:textId="0641AB7A" w:rsidR="0064013E" w:rsidRDefault="0064013E" w:rsidP="0064013E">
      <w:pPr>
        <w:pStyle w:val="Caption"/>
      </w:pPr>
      <w:bookmarkStart w:id="8" w:name="_Toc127110896"/>
      <w:r>
        <w:t xml:space="preserve">Figure </w:t>
      </w:r>
      <w:fldSimple w:instr=" SEQ Figure \* ARABIC ">
        <w:r w:rsidR="00A0212F">
          <w:rPr>
            <w:noProof/>
          </w:rPr>
          <w:t>2</w:t>
        </w:r>
      </w:fldSimple>
      <w:r>
        <w:t xml:space="preserve"> World Steel Production 1950 - 2021 (</w:t>
      </w:r>
      <w:proofErr w:type="spellStart"/>
      <w:r>
        <w:t>Worldsteel</w:t>
      </w:r>
      <w:proofErr w:type="spellEnd"/>
      <w:r>
        <w:t>. 2021)</w:t>
      </w:r>
      <w:bookmarkEnd w:id="8"/>
    </w:p>
    <w:p w14:paraId="5EFD44BC" w14:textId="3AB29AA9" w:rsidR="00684D87" w:rsidRDefault="00684D87" w:rsidP="00684D87">
      <w:pPr>
        <w:spacing w:line="360" w:lineRule="auto"/>
        <w:jc w:val="both"/>
        <w:rPr>
          <w:rFonts w:cstheme="minorHAnsi"/>
        </w:rPr>
      </w:pPr>
      <w:r w:rsidRPr="00684D87">
        <w:rPr>
          <w:rFonts w:cstheme="minorHAnsi"/>
        </w:rPr>
        <w:t>The ISI is the 2</w:t>
      </w:r>
      <w:r w:rsidRPr="00684D87">
        <w:rPr>
          <w:rFonts w:cstheme="minorHAnsi"/>
          <w:vertAlign w:val="superscript"/>
        </w:rPr>
        <w:t>nd</w:t>
      </w:r>
      <w:r w:rsidRPr="00684D87">
        <w:rPr>
          <w:rFonts w:cstheme="minorHAnsi"/>
        </w:rPr>
        <w:t xml:space="preserve"> </w:t>
      </w:r>
      <w:r w:rsidR="007F4D21">
        <w:rPr>
          <w:rFonts w:cstheme="minorHAnsi"/>
        </w:rPr>
        <w:t>biggest</w:t>
      </w:r>
      <w:r w:rsidRPr="00684D87">
        <w:rPr>
          <w:rFonts w:cstheme="minorHAnsi"/>
        </w:rPr>
        <w:t xml:space="preserve"> </w:t>
      </w:r>
      <w:r w:rsidR="007F4D21">
        <w:rPr>
          <w:rFonts w:cstheme="minorHAnsi"/>
        </w:rPr>
        <w:t>energy user</w:t>
      </w:r>
      <w:r w:rsidRPr="00684D87">
        <w:rPr>
          <w:rFonts w:cstheme="minorHAnsi"/>
        </w:rPr>
        <w:t xml:space="preserve"> </w:t>
      </w:r>
      <w:r w:rsidR="00F52F9C">
        <w:rPr>
          <w:rFonts w:cstheme="minorHAnsi"/>
        </w:rPr>
        <w:t xml:space="preserve">in the world </w:t>
      </w:r>
      <w:r w:rsidRPr="00684D87">
        <w:rPr>
          <w:rFonts w:cstheme="minorHAnsi"/>
        </w:rPr>
        <w:t xml:space="preserve">consuming </w:t>
      </w:r>
      <w:r w:rsidR="0027051A">
        <w:rPr>
          <w:rFonts w:cstheme="minorHAnsi"/>
        </w:rPr>
        <w:t xml:space="preserve">approximately </w:t>
      </w:r>
      <w:r w:rsidRPr="00684D87">
        <w:rPr>
          <w:rFonts w:cstheme="minorHAnsi"/>
        </w:rPr>
        <w:t xml:space="preserve">22% of industrial energy and ~ 8% </w:t>
      </w:r>
      <w:r w:rsidR="0027051A">
        <w:rPr>
          <w:rFonts w:cstheme="minorHAnsi"/>
        </w:rPr>
        <w:t>o</w:t>
      </w:r>
      <w:r w:rsidR="00C52EC4">
        <w:rPr>
          <w:rFonts w:cstheme="minorHAnsi"/>
        </w:rPr>
        <w:t>f total worldwide energy</w:t>
      </w:r>
      <w:r w:rsidRPr="00684D87">
        <w:rPr>
          <w:rFonts w:cstheme="minorHAnsi"/>
        </w:rPr>
        <w:t>. The ISI is also the 2</w:t>
      </w:r>
      <w:r w:rsidRPr="00684D87">
        <w:rPr>
          <w:rFonts w:cstheme="minorHAnsi"/>
          <w:vertAlign w:val="superscript"/>
        </w:rPr>
        <w:t>nd</w:t>
      </w:r>
      <w:r w:rsidRPr="00684D87">
        <w:rPr>
          <w:rFonts w:cstheme="minorHAnsi"/>
        </w:rPr>
        <w:t xml:space="preserve"> largest emitter of CO</w:t>
      </w:r>
      <w:r w:rsidRPr="00684D87">
        <w:rPr>
          <w:rFonts w:cstheme="minorHAnsi"/>
          <w:vertAlign w:val="subscript"/>
        </w:rPr>
        <w:t xml:space="preserve">2 </w:t>
      </w:r>
      <w:r w:rsidR="008743DF">
        <w:rPr>
          <w:rFonts w:cstheme="minorHAnsi"/>
          <w:vertAlign w:val="subscript"/>
        </w:rPr>
        <w:t xml:space="preserve"> </w:t>
      </w:r>
      <w:r w:rsidRPr="00684D87">
        <w:rPr>
          <w:rFonts w:cstheme="minorHAnsi"/>
        </w:rPr>
        <w:t xml:space="preserve">and </w:t>
      </w:r>
      <w:r w:rsidR="00B87D9E">
        <w:rPr>
          <w:rFonts w:cstheme="minorHAnsi"/>
        </w:rPr>
        <w:t>it accounts</w:t>
      </w:r>
      <w:r w:rsidR="008743DF">
        <w:rPr>
          <w:rFonts w:cstheme="minorHAnsi"/>
        </w:rPr>
        <w:t xml:space="preserve"> for</w:t>
      </w:r>
      <w:r w:rsidRPr="00684D87">
        <w:rPr>
          <w:rFonts w:cstheme="minorHAnsi"/>
        </w:rPr>
        <w:t xml:space="preserve"> ~25% of industrial CO</w:t>
      </w:r>
      <w:r w:rsidRPr="00684D87">
        <w:rPr>
          <w:rFonts w:cstheme="minorHAnsi"/>
          <w:vertAlign w:val="subscript"/>
        </w:rPr>
        <w:t xml:space="preserve">2 </w:t>
      </w:r>
      <w:r w:rsidRPr="00684D87">
        <w:rPr>
          <w:rFonts w:cstheme="minorHAnsi"/>
        </w:rPr>
        <w:t>emissions and ~9% total CO</w:t>
      </w:r>
      <w:r w:rsidRPr="00684D87">
        <w:rPr>
          <w:rFonts w:cstheme="minorHAnsi"/>
          <w:vertAlign w:val="subscript"/>
        </w:rPr>
        <w:t xml:space="preserve">2 </w:t>
      </w:r>
      <w:r w:rsidRPr="00684D87">
        <w:rPr>
          <w:rFonts w:cstheme="minorHAnsi"/>
        </w:rPr>
        <w:t>emissions producing 3.2 GT CO</w:t>
      </w:r>
      <w:r w:rsidRPr="00684D87">
        <w:rPr>
          <w:rFonts w:cstheme="minorHAnsi"/>
          <w:vertAlign w:val="subscript"/>
        </w:rPr>
        <w:t xml:space="preserve">2 </w:t>
      </w:r>
      <w:r w:rsidRPr="00684D87">
        <w:rPr>
          <w:rFonts w:cstheme="minorHAnsi"/>
        </w:rPr>
        <w:t xml:space="preserve"> in 2019 </w:t>
      </w:r>
      <w:r w:rsidRPr="00684D87">
        <w:rPr>
          <w:rFonts w:cstheme="minorHAnsi"/>
        </w:rPr>
        <w:fldChar w:fldCharType="begin"/>
      </w:r>
      <w:r>
        <w:rPr>
          <w:rFonts w:cstheme="minorHAnsi"/>
        </w:rPr>
        <w:instrText xml:space="preserve"> ADDIN ZOTERO_ITEM CSL_CITATION {"citationID":"agUB6WUo","properties":{"formattedCitation":"(\\uc0\\u8220{}Data &amp; Statistics,\\uc0\\u8221{} 2020)","plainCitation":"(“Data &amp; Statistics,” 2020)","dontUpdate":true,"noteIndex":0},"citationItems":[{"id":711,"uris":["http://zotero.org/users/local/AB2owHL2/items/HQE539KQ"],"itemData":{"id":711,"type":"webpage","abstract":"Browse, compare and download a world of energy data, statistics and policies","container-title":"IEA","language":"en-GB","title":"Data &amp; Statistics","URL":"https://www.iea.org/data-and-statistics","accessed":{"date-parts":[["2021",3,19]]},"issued":{"date-parts":[["2020",10]]}}}],"schema":"https://github.com/citation-style-language/schema/raw/master/csl-citation.json"} </w:instrText>
      </w:r>
      <w:r w:rsidRPr="00684D87">
        <w:rPr>
          <w:rFonts w:cstheme="minorHAnsi"/>
        </w:rPr>
        <w:fldChar w:fldCharType="separate"/>
      </w:r>
      <w:r w:rsidRPr="00684D87">
        <w:rPr>
          <w:rFonts w:cstheme="minorHAnsi"/>
          <w:szCs w:val="24"/>
        </w:rPr>
        <w:t>(IEA.org 2020)</w:t>
      </w:r>
      <w:r w:rsidRPr="00684D87">
        <w:rPr>
          <w:rFonts w:cstheme="minorHAnsi"/>
        </w:rPr>
        <w:fldChar w:fldCharType="end"/>
      </w:r>
      <w:r w:rsidRPr="00684D87">
        <w:rPr>
          <w:rFonts w:cstheme="minorHAnsi"/>
        </w:rPr>
        <w:t xml:space="preserve">.  </w:t>
      </w:r>
      <w:r w:rsidR="007C6D32">
        <w:rPr>
          <w:rFonts w:cstheme="minorHAnsi"/>
        </w:rPr>
        <w:t>For every tonne of steel produced</w:t>
      </w:r>
      <w:r w:rsidR="002D213A">
        <w:rPr>
          <w:rFonts w:cstheme="minorHAnsi"/>
        </w:rPr>
        <w:t xml:space="preserve"> there is</w:t>
      </w:r>
      <w:r w:rsidR="007C6D32">
        <w:rPr>
          <w:rFonts w:cstheme="minorHAnsi"/>
        </w:rPr>
        <w:t xml:space="preserve"> 1.89 tonne of </w:t>
      </w:r>
      <w:r w:rsidR="007C6D32" w:rsidRPr="00684D87">
        <w:rPr>
          <w:rFonts w:cstheme="minorHAnsi"/>
        </w:rPr>
        <w:t>CO</w:t>
      </w:r>
      <w:r w:rsidR="007C6D32" w:rsidRPr="00684D87">
        <w:rPr>
          <w:rFonts w:cstheme="minorHAnsi"/>
          <w:vertAlign w:val="subscript"/>
        </w:rPr>
        <w:t>2</w:t>
      </w:r>
      <w:r w:rsidR="007C6D32">
        <w:rPr>
          <w:rFonts w:cstheme="minorHAnsi"/>
        </w:rPr>
        <w:t xml:space="preserve"> emitted </w:t>
      </w:r>
      <w:r w:rsidR="007C6D32">
        <w:rPr>
          <w:rFonts w:cstheme="minorHAnsi"/>
        </w:rPr>
        <w:fldChar w:fldCharType="begin"/>
      </w:r>
      <w:r w:rsidR="003F2C98">
        <w:rPr>
          <w:rFonts w:cstheme="minorHAnsi"/>
        </w:rPr>
        <w:instrText xml:space="preserve"> ADDIN ZOTERO_ITEM CSL_CITATION {"citationID":"Cdt8Psxd","properties":{"formattedCitation":"(Sustainability indicators. 2022)","plainCitation":"(Sustainability indicators. 2022)","dontUpdate":true,"noteIndex":0},"citationItems":[{"id":1742,"uris":["http://zotero.org/users/local/AB2owHL2/items/T6ALFBPS"],"itemData":{"id":1742,"type":"post-weblog","abstract":"Steel companies from around the world have been reporting to worldsteel on sustainability indicators since 2004. These indicators provide a systematic way of measuring key aspects of our economic, environmental and social performance.","container-title":"worldsteel.org","language":"en-US","title":"Sustainability indicators","URL":"https://worldsteel.org/steel-topics/sustainability/sustainability-indicators/","accessed":{"date-parts":[["2022",7,5]]},"issued":{"date-parts":[["2022"]]}}}],"schema":"https://github.com/citation-style-language/schema/raw/master/csl-citation.json"} </w:instrText>
      </w:r>
      <w:r w:rsidR="007C6D32">
        <w:rPr>
          <w:rFonts w:cstheme="minorHAnsi"/>
        </w:rPr>
        <w:fldChar w:fldCharType="separate"/>
      </w:r>
      <w:r w:rsidR="002F2DA2" w:rsidRPr="002F2DA2">
        <w:rPr>
          <w:rFonts w:ascii="Calibri" w:hAnsi="Calibri" w:cs="Calibri"/>
        </w:rPr>
        <w:t>(</w:t>
      </w:r>
      <w:r w:rsidR="002F2DA2">
        <w:rPr>
          <w:rFonts w:ascii="Calibri" w:hAnsi="Calibri" w:cs="Calibri"/>
        </w:rPr>
        <w:t>WorldSteel</w:t>
      </w:r>
      <w:r w:rsidR="007C6D32">
        <w:rPr>
          <w:rFonts w:cstheme="minorHAnsi"/>
        </w:rPr>
        <w:fldChar w:fldCharType="end"/>
      </w:r>
      <w:r w:rsidR="007C6D32">
        <w:rPr>
          <w:rFonts w:cstheme="minorHAnsi"/>
        </w:rPr>
        <w:t>.</w:t>
      </w:r>
      <w:r w:rsidR="002F2DA2">
        <w:rPr>
          <w:rFonts w:cstheme="minorHAnsi"/>
        </w:rPr>
        <w:t xml:space="preserve"> 2021)</w:t>
      </w:r>
      <w:r w:rsidR="005609FC">
        <w:rPr>
          <w:rFonts w:cstheme="minorHAnsi"/>
        </w:rPr>
        <w:t>.</w:t>
      </w:r>
    </w:p>
    <w:p w14:paraId="30801B93" w14:textId="018DC9EF" w:rsidR="005609FC" w:rsidRPr="00957C21" w:rsidRDefault="005609FC" w:rsidP="00684D87">
      <w:pPr>
        <w:spacing w:line="360" w:lineRule="auto"/>
        <w:jc w:val="both"/>
        <w:rPr>
          <w:rFonts w:cstheme="minorHAnsi"/>
        </w:rPr>
      </w:pPr>
      <w:r>
        <w:rPr>
          <w:rFonts w:cstheme="minorHAnsi"/>
        </w:rPr>
        <w:t xml:space="preserve">The Kyoto protocol 1997 </w:t>
      </w:r>
      <w:r w:rsidR="00F75F5E">
        <w:rPr>
          <w:rFonts w:cstheme="minorHAnsi"/>
        </w:rPr>
        <w:t>persuaded</w:t>
      </w:r>
      <w:r>
        <w:rPr>
          <w:rFonts w:cstheme="minorHAnsi"/>
        </w:rPr>
        <w:t xml:space="preserve"> the worlds industrialised countries to adopt policies that would limit and reduce GHG’s to agreed targets</w:t>
      </w:r>
      <w:r w:rsidR="009227CE">
        <w:rPr>
          <w:rFonts w:cstheme="minorHAnsi"/>
        </w:rPr>
        <w:t xml:space="preserve"> </w:t>
      </w:r>
      <w:r w:rsidR="009227CE">
        <w:rPr>
          <w:rFonts w:cstheme="minorHAnsi"/>
        </w:rPr>
        <w:fldChar w:fldCharType="begin"/>
      </w:r>
      <w:r w:rsidR="00957C21">
        <w:rPr>
          <w:rFonts w:cstheme="minorHAnsi"/>
        </w:rPr>
        <w:instrText xml:space="preserve"> ADDIN ZOTERO_ITEM CSL_CITATION {"citationID":"msgycAas","properties":{"formattedCitation":"({\\i{}What is the Kyoto Protocol? | UNFCCC} [no date])","plainCitation":"(What is the Kyoto Protocol? | UNFCCC [no date])","dontUpdate":true,"noteIndex":0},"citationItems":[{"id":1750,"uris":["http://zotero.org/users/local/AB2owHL2/items/CNL5897P"],"itemData":{"id":1750,"type":"webpage","title":"What is the Kyoto Protocol? | UNFCCC","URL":"https://unfccc.int/kyoto_protocol","accessed":{"date-parts":[["2022",7,6]]},"issued":{"date-parts":[["2022"]]}}}],"schema":"https://github.com/citation-style-language/schema/raw/master/csl-citation.json"} </w:instrText>
      </w:r>
      <w:r w:rsidR="009227CE">
        <w:rPr>
          <w:rFonts w:cstheme="minorHAnsi"/>
        </w:rPr>
        <w:fldChar w:fldCharType="separate"/>
      </w:r>
      <w:r w:rsidR="009227CE" w:rsidRPr="009227CE">
        <w:rPr>
          <w:rFonts w:ascii="Calibri" w:hAnsi="Calibri" w:cs="Calibri"/>
          <w:szCs w:val="24"/>
        </w:rPr>
        <w:t>(</w:t>
      </w:r>
      <w:r w:rsidR="009227CE" w:rsidRPr="009227CE">
        <w:rPr>
          <w:rFonts w:ascii="Calibri" w:hAnsi="Calibri" w:cs="Calibri"/>
          <w:i/>
          <w:iCs/>
          <w:szCs w:val="24"/>
        </w:rPr>
        <w:t>UNFCCC</w:t>
      </w:r>
      <w:r w:rsidR="009227CE" w:rsidRPr="009227CE">
        <w:rPr>
          <w:rFonts w:ascii="Calibri" w:hAnsi="Calibri" w:cs="Calibri"/>
          <w:szCs w:val="24"/>
        </w:rPr>
        <w:t xml:space="preserve"> </w:t>
      </w:r>
      <w:r w:rsidR="009227CE">
        <w:rPr>
          <w:rFonts w:ascii="Calibri" w:hAnsi="Calibri" w:cs="Calibri"/>
          <w:szCs w:val="24"/>
        </w:rPr>
        <w:t>2022</w:t>
      </w:r>
      <w:r w:rsidR="009227CE" w:rsidRPr="009227CE">
        <w:rPr>
          <w:rFonts w:ascii="Calibri" w:hAnsi="Calibri" w:cs="Calibri"/>
          <w:szCs w:val="24"/>
        </w:rPr>
        <w:t>)</w:t>
      </w:r>
      <w:r w:rsidR="009227CE">
        <w:rPr>
          <w:rFonts w:cstheme="minorHAnsi"/>
        </w:rPr>
        <w:fldChar w:fldCharType="end"/>
      </w:r>
      <w:r>
        <w:rPr>
          <w:rFonts w:cstheme="minorHAnsi"/>
        </w:rPr>
        <w:t xml:space="preserve">. </w:t>
      </w:r>
      <w:r w:rsidR="009227CE">
        <w:rPr>
          <w:rFonts w:cstheme="minorHAnsi"/>
        </w:rPr>
        <w:t xml:space="preserve">As a </w:t>
      </w:r>
      <w:r w:rsidR="004D68DB">
        <w:rPr>
          <w:rFonts w:cstheme="minorHAnsi"/>
        </w:rPr>
        <w:t>result,</w:t>
      </w:r>
      <w:r w:rsidR="008533F5">
        <w:rPr>
          <w:rFonts w:cstheme="minorHAnsi"/>
        </w:rPr>
        <w:t xml:space="preserve"> a</w:t>
      </w:r>
      <w:r w:rsidR="009227CE">
        <w:rPr>
          <w:rFonts w:cstheme="minorHAnsi"/>
        </w:rPr>
        <w:t xml:space="preserve"> Carbon</w:t>
      </w:r>
      <w:r w:rsidR="00722D0D">
        <w:rPr>
          <w:rFonts w:cstheme="minorHAnsi"/>
        </w:rPr>
        <w:t xml:space="preserve"> trading</w:t>
      </w:r>
      <w:r w:rsidR="009227CE">
        <w:rPr>
          <w:rFonts w:cstheme="minorHAnsi"/>
        </w:rPr>
        <w:t xml:space="preserve"> </w:t>
      </w:r>
      <w:r w:rsidR="00722D0D">
        <w:rPr>
          <w:rFonts w:cstheme="minorHAnsi"/>
        </w:rPr>
        <w:t>m</w:t>
      </w:r>
      <w:r w:rsidR="009227CE">
        <w:rPr>
          <w:rFonts w:cstheme="minorHAnsi"/>
        </w:rPr>
        <w:t>arket was created</w:t>
      </w:r>
      <w:r w:rsidR="008533F5">
        <w:rPr>
          <w:rFonts w:cstheme="minorHAnsi"/>
        </w:rPr>
        <w:t>,</w:t>
      </w:r>
      <w:r w:rsidR="00722D0D">
        <w:rPr>
          <w:rFonts w:cstheme="minorHAnsi"/>
        </w:rPr>
        <w:t xml:space="preserve"> </w:t>
      </w:r>
      <w:r w:rsidR="00BF0B78">
        <w:rPr>
          <w:rFonts w:cstheme="minorHAnsi"/>
        </w:rPr>
        <w:t>t</w:t>
      </w:r>
      <w:r w:rsidR="00722D0D">
        <w:rPr>
          <w:rFonts w:cstheme="minorHAnsi"/>
        </w:rPr>
        <w:t>he European Union Emissions trading system (EUETS)</w:t>
      </w:r>
      <w:r w:rsidR="008533F5">
        <w:rPr>
          <w:rFonts w:cstheme="minorHAnsi"/>
        </w:rPr>
        <w:t xml:space="preserve"> being the first and largest, the UK has since created its own trading system</w:t>
      </w:r>
      <w:r w:rsidR="00722D0D">
        <w:rPr>
          <w:rFonts w:cstheme="minorHAnsi"/>
        </w:rPr>
        <w:t xml:space="preserve">. Carbon trading allows governments and countries to trade permits and credits to emit </w:t>
      </w:r>
      <w:r w:rsidR="00BF0B78" w:rsidRPr="00684D87">
        <w:rPr>
          <w:rFonts w:cstheme="minorHAnsi"/>
        </w:rPr>
        <w:t>CO</w:t>
      </w:r>
      <w:r w:rsidR="00BF0B78" w:rsidRPr="00684D87">
        <w:rPr>
          <w:rFonts w:cstheme="minorHAnsi"/>
          <w:vertAlign w:val="subscript"/>
        </w:rPr>
        <w:t>2</w:t>
      </w:r>
      <w:r w:rsidR="00BF0B78">
        <w:rPr>
          <w:rFonts w:cstheme="minorHAnsi"/>
          <w:vertAlign w:val="subscript"/>
        </w:rPr>
        <w:t xml:space="preserve"> </w:t>
      </w:r>
      <w:r w:rsidR="00BF0B78">
        <w:rPr>
          <w:rFonts w:cstheme="minorHAnsi"/>
        </w:rPr>
        <w:t xml:space="preserve">into the atmosphere. It is designed to punish those who over pollute and reward those who reduce their emissions. </w:t>
      </w:r>
      <w:r w:rsidR="00A332F3">
        <w:rPr>
          <w:rFonts w:cstheme="minorHAnsi"/>
        </w:rPr>
        <w:t>The “cap and trade” is the most widely used scheme, governments set a legal limit on emissions over a specific time period</w:t>
      </w:r>
      <w:r w:rsidR="004D68DB">
        <w:rPr>
          <w:rFonts w:cstheme="minorHAnsi"/>
        </w:rPr>
        <w:t xml:space="preserve"> </w:t>
      </w:r>
      <w:r w:rsidR="00A332F3">
        <w:rPr>
          <w:rFonts w:cstheme="minorHAnsi"/>
        </w:rPr>
        <w:t>and companies are allocated a</w:t>
      </w:r>
      <w:r w:rsidR="004D68DB">
        <w:rPr>
          <w:rFonts w:cstheme="minorHAnsi"/>
        </w:rPr>
        <w:t xml:space="preserve">llowances. The UK has set a legal </w:t>
      </w:r>
      <w:r w:rsidR="0009044C">
        <w:rPr>
          <w:rFonts w:cstheme="minorHAnsi"/>
        </w:rPr>
        <w:t>minimum price</w:t>
      </w:r>
      <w:r w:rsidR="004D68DB">
        <w:rPr>
          <w:rFonts w:cstheme="minorHAnsi"/>
        </w:rPr>
        <w:t xml:space="preserve"> of £22 a ton</w:t>
      </w:r>
      <w:r w:rsidR="00A1335D">
        <w:rPr>
          <w:rFonts w:cstheme="minorHAnsi"/>
        </w:rPr>
        <w:t xml:space="preserve"> of </w:t>
      </w:r>
      <w:r w:rsidR="00A1335D" w:rsidRPr="00684D87">
        <w:rPr>
          <w:rFonts w:cstheme="minorHAnsi"/>
        </w:rPr>
        <w:t>CO</w:t>
      </w:r>
      <w:r w:rsidR="00A1335D" w:rsidRPr="00684D87">
        <w:rPr>
          <w:rFonts w:cstheme="minorHAnsi"/>
          <w:vertAlign w:val="subscript"/>
        </w:rPr>
        <w:t>2</w:t>
      </w:r>
      <w:r w:rsidR="004D68DB">
        <w:rPr>
          <w:rFonts w:cstheme="minorHAnsi"/>
        </w:rPr>
        <w:t xml:space="preserve">. </w:t>
      </w:r>
      <w:r w:rsidR="00957C21">
        <w:rPr>
          <w:rFonts w:cstheme="minorHAnsi"/>
        </w:rPr>
        <w:t xml:space="preserve">A company that has used all its credits but is still emitting </w:t>
      </w:r>
      <w:r w:rsidR="00957C21" w:rsidRPr="00684D87">
        <w:rPr>
          <w:rFonts w:cstheme="minorHAnsi"/>
        </w:rPr>
        <w:t>CO</w:t>
      </w:r>
      <w:r w:rsidR="00957C21" w:rsidRPr="00684D87">
        <w:rPr>
          <w:rFonts w:cstheme="minorHAnsi"/>
          <w:vertAlign w:val="subscript"/>
        </w:rPr>
        <w:t>2</w:t>
      </w:r>
      <w:r w:rsidR="00957C21">
        <w:rPr>
          <w:rFonts w:cstheme="minorHAnsi"/>
          <w:vertAlign w:val="subscript"/>
        </w:rPr>
        <w:t xml:space="preserve"> </w:t>
      </w:r>
      <w:r w:rsidR="00957C21">
        <w:rPr>
          <w:rFonts w:cstheme="minorHAnsi"/>
        </w:rPr>
        <w:t xml:space="preserve">would need to buy carbon credits from a company that has emitted less pollution and has credits saved </w:t>
      </w:r>
      <w:r w:rsidR="00957C21">
        <w:rPr>
          <w:rFonts w:cstheme="minorHAnsi"/>
        </w:rPr>
        <w:fldChar w:fldCharType="begin"/>
      </w:r>
      <w:r w:rsidR="00957C21">
        <w:rPr>
          <w:rFonts w:cstheme="minorHAnsi"/>
        </w:rPr>
        <w:instrText xml:space="preserve"> ADDIN ZOTERO_ITEM CSL_CITATION {"citationID":"nx58pbrA","properties":{"formattedCitation":"(Carbonaro 2021)","plainCitation":"(Carbonaro 2021)","noteIndex":0},"citationItems":[{"id":1752,"uris":["http://zotero.org/users/local/AB2owHL2/items/L7RSYET9"],"itemData":{"id":1752,"type":"webpage","abstract":"The UK is about to launch its own carbon trading system after leaving the EU's scheme. But what is carbon trading and how does it work?","language":"en","title":"Carbon emissions trading explained: How will the UK system work?","title-short":"Carbon emissions trading explained","URL":"https://newseu.cgtn.com/news/2021-05-18/Carbon-emissions-trading-explained-How-will-the-UK-system-work--10lp4CqAt2g/index.html","author":[{"family":"Carbonaro","given":"Giulia"}],"accessed":{"date-parts":[["2022",7,6]]},"issued":{"date-parts":[["2021"]]}}}],"schema":"https://github.com/citation-style-language/schema/raw/master/csl-citation.json"} </w:instrText>
      </w:r>
      <w:r w:rsidR="00957C21">
        <w:rPr>
          <w:rFonts w:cstheme="minorHAnsi"/>
        </w:rPr>
        <w:fldChar w:fldCharType="separate"/>
      </w:r>
      <w:r w:rsidR="00957C21" w:rsidRPr="00957C21">
        <w:rPr>
          <w:rFonts w:ascii="Calibri" w:hAnsi="Calibri" w:cs="Calibri"/>
        </w:rPr>
        <w:t>(Carbonaro 2021)</w:t>
      </w:r>
      <w:r w:rsidR="00957C21">
        <w:rPr>
          <w:rFonts w:cstheme="minorHAnsi"/>
        </w:rPr>
        <w:fldChar w:fldCharType="end"/>
      </w:r>
      <w:r w:rsidR="00957C21">
        <w:rPr>
          <w:rFonts w:cstheme="minorHAnsi"/>
        </w:rPr>
        <w:t xml:space="preserve">. </w:t>
      </w:r>
    </w:p>
    <w:p w14:paraId="1D45E29E" w14:textId="059DCBFE" w:rsidR="00D267DA" w:rsidRDefault="00684D87" w:rsidP="00684D87">
      <w:pPr>
        <w:spacing w:line="360" w:lineRule="auto"/>
        <w:jc w:val="both"/>
        <w:rPr>
          <w:rFonts w:cstheme="minorHAnsi"/>
        </w:rPr>
      </w:pPr>
      <w:r>
        <w:t xml:space="preserve">The UK government has </w:t>
      </w:r>
      <w:r w:rsidR="00BF0B78">
        <w:t>set</w:t>
      </w:r>
      <w:r>
        <w:t xml:space="preserve"> a target for a 68% reduction in greenhouse gases by 2030 </w:t>
      </w:r>
      <w:r w:rsidR="00527944">
        <w:t xml:space="preserve">when </w:t>
      </w:r>
      <w:r>
        <w:t>compared to levels in 1990</w:t>
      </w:r>
      <w:r w:rsidR="004473DD">
        <w:t>,</w:t>
      </w:r>
      <w:r>
        <w:t xml:space="preserve"> with further target</w:t>
      </w:r>
      <w:r w:rsidR="003F2C98">
        <w:t>s</w:t>
      </w:r>
      <w:r>
        <w:t xml:space="preserve"> of </w:t>
      </w:r>
      <w:r w:rsidR="003F2C98">
        <w:t xml:space="preserve">78% reduction by 2035 and </w:t>
      </w:r>
      <w:r>
        <w:t xml:space="preserve">net zero </w:t>
      </w:r>
      <w:r w:rsidR="00BF0B78">
        <w:t xml:space="preserve">GHG </w:t>
      </w:r>
      <w:r>
        <w:t>emissions by 2050</w:t>
      </w:r>
      <w:r w:rsidR="003F2C98">
        <w:t xml:space="preserve"> </w:t>
      </w:r>
      <w:r w:rsidR="003F2C98">
        <w:fldChar w:fldCharType="begin"/>
      </w:r>
      <w:r w:rsidR="00957C21">
        <w:instrText xml:space="preserve"> ADDIN ZOTERO_ITEM CSL_CITATION {"citationID":"Vu5wiOXB","properties":{"formattedCitation":"({\\i{}UK enshrines new target in law to slash emissions by 78% by 2035} 2021)","plainCitation":"(UK enshrines new target in law to slash emissions by 78% by 2035 2021)","dontUpdate":true,"noteIndex":0},"citationItems":[{"id":1748,"uris":["http://zotero.org/users/local/AB2owHL2/items/JRGQ7JR5"],"itemData":{"id":1748,"type":"webpage","abstract":"The UK’s sixth Carbon Budget will incorporate the UK’s share of international aviation and shipping emissions for the first time, to bring the UK more than three-quarters of the way to net zero by 2050.","container-title":"GOV.UK","language":"en","title":"UK enshrines new target in law to slash emissions by 78% by 2035","URL":"https://www.gov.uk/government/news/uk-enshrines-new-target-in-law-to-slash-emissions-by-78-by-2035","accessed":{"date-parts":[["2022",7,6]]},"issued":{"date-parts":[["2021"]]}}}],"schema":"https://github.com/citation-style-language/schema/raw/master/csl-citation.json"} </w:instrText>
      </w:r>
      <w:r w:rsidR="003F2C98">
        <w:fldChar w:fldCharType="separate"/>
      </w:r>
      <w:r w:rsidR="003F2C98" w:rsidRPr="003F2C98">
        <w:rPr>
          <w:rFonts w:ascii="Calibri" w:hAnsi="Calibri" w:cs="Calibri"/>
          <w:szCs w:val="24"/>
        </w:rPr>
        <w:t>(</w:t>
      </w:r>
      <w:r w:rsidR="003F2C98">
        <w:rPr>
          <w:rFonts w:ascii="Calibri" w:hAnsi="Calibri" w:cs="Calibri"/>
          <w:i/>
          <w:iCs/>
          <w:szCs w:val="24"/>
        </w:rPr>
        <w:t>Gov.UK.</w:t>
      </w:r>
      <w:r w:rsidR="003F2C98" w:rsidRPr="003F2C98">
        <w:rPr>
          <w:rFonts w:ascii="Calibri" w:hAnsi="Calibri" w:cs="Calibri"/>
          <w:szCs w:val="24"/>
        </w:rPr>
        <w:t xml:space="preserve"> 2021)</w:t>
      </w:r>
      <w:r w:rsidR="003F2C98">
        <w:fldChar w:fldCharType="end"/>
      </w:r>
      <w:r w:rsidR="00271DA4">
        <w:t xml:space="preserve">. </w:t>
      </w:r>
      <w:r w:rsidR="00C909FB">
        <w:rPr>
          <w:rFonts w:cstheme="minorHAnsi"/>
        </w:rPr>
        <w:t xml:space="preserve">In order to meet these targets , the ISI needs to </w:t>
      </w:r>
      <w:r w:rsidR="00A224E8">
        <w:rPr>
          <w:rFonts w:cstheme="minorHAnsi"/>
        </w:rPr>
        <w:t>decrease its CO</w:t>
      </w:r>
      <w:r w:rsidR="00A224E8" w:rsidRPr="00A224E8">
        <w:rPr>
          <w:rFonts w:cstheme="minorHAnsi"/>
          <w:vertAlign w:val="subscript"/>
        </w:rPr>
        <w:t xml:space="preserve">2 </w:t>
      </w:r>
      <w:r w:rsidR="00A224E8">
        <w:rPr>
          <w:rFonts w:cstheme="minorHAnsi"/>
        </w:rPr>
        <w:t xml:space="preserve">usage by 1.9% year on year until 2030 </w:t>
      </w:r>
      <w:r w:rsidRPr="00684D87">
        <w:rPr>
          <w:rFonts w:cstheme="minorHAnsi"/>
        </w:rPr>
        <w:fldChar w:fldCharType="begin"/>
      </w:r>
      <w:r>
        <w:rPr>
          <w:rFonts w:cstheme="minorHAnsi"/>
        </w:rPr>
        <w:instrText xml:space="preserve"> ADDIN ZOTERO_ITEM CSL_CITATION {"citationID":"xyN7SnWu","properties":{"formattedCitation":"(de Souza and Pacca 2021)","plainCitation":"(de Souza and Pacca 2021)","noteIndex":0},"citationItems":[{"id":697,"uris":["http://zotero.org/users/local/AB2owHL2/items/F6H5FFW8"],"itemData":{"id":697,"type":"article-journal","abstract":"Although steel recycling is a credited circular economy strategy, domestic scrap stock may be a limitation to curb steelmaking carbon emissions. In Brazil, charcoal production can be a complementary climate change mitigation alternative to recycling. This study has assessed CO2 abatement potentials and costs in a low-carbon (LC) scenario for the Brazilian steel industry based on two circular bioeconomy-based options. For this purpose, Brazilian steel production was forecasted up to 2050 through an econometric model. The technical amount of scrap and the economic feasibility of charcoal have been estimated to determine the penetration of LC strategies. In addition, an uncertainty analysis was conducted using the Monte Carlo method. For the median value in the simulation, we found that crude steel production will emit 64 MtCO2 in 2050. A recycling share of 36% of the total steel production could reduce these emissions by 20%, and 86% of the remaining blast furnace production could be based on charcoal, improving the total abatement by 65%. The weighted average cost of the LC scenario is -$1/tCO2 for the median value in the simulation, but positive values have been found in 45% of the simulations. Charcoal presents higher abatement costs but less uncertainty than recycling. Such strategies can significantly reduce Brazilian steelmaking emissions, postponing other emerging or more expensive alternatives. Nevertheless, economic policies are needed due to additional costs of charcoal, in conjunction with law enforcement to ensure sustainable charcoal production, and regulations are needed to improve logistics and scrap market disparities.","container-title":"Resources, Conservation and Recycling","DOI":"10.1016/j.resconrec.2021.105517","ISSN":"0921-3449","journalAbbreviation":"Resources, Conservation and Recycling","language":"en","page":"105517","source":"ScienceDirect","title":"Carbon reduction potential and costs through circular bioeconomy in the Brazilian steel industry","URL":"https://www.sciencedirect.com/science/article/pii/S0921344921001245","volume":"169","author":[{"family":"Souza","given":"Jhonathan Fernandes Torres","non-dropping-particle":"de"},{"family":"Pacca","given":"Sérgio A."}],"accessed":{"date-parts":[["2021",3,19]]},"issued":{"date-parts":[["2021",6,1]]}}}],"schema":"https://github.com/citation-style-language/schema/raw/master/csl-citation.json"} </w:instrText>
      </w:r>
      <w:r w:rsidRPr="00684D87">
        <w:rPr>
          <w:rFonts w:cstheme="minorHAnsi"/>
        </w:rPr>
        <w:fldChar w:fldCharType="separate"/>
      </w:r>
      <w:r w:rsidRPr="00684D87">
        <w:rPr>
          <w:rFonts w:ascii="Calibri" w:hAnsi="Calibri" w:cs="Calibri"/>
        </w:rPr>
        <w:t>(de Souza and Pacca 2021)</w:t>
      </w:r>
      <w:r w:rsidRPr="00684D87">
        <w:rPr>
          <w:rFonts w:cstheme="minorHAnsi"/>
        </w:rPr>
        <w:fldChar w:fldCharType="end"/>
      </w:r>
      <w:r w:rsidRPr="00684D87">
        <w:rPr>
          <w:rFonts w:cstheme="minorHAnsi"/>
        </w:rPr>
        <w:t>.</w:t>
      </w:r>
      <w:r>
        <w:rPr>
          <w:rFonts w:cstheme="minorHAnsi"/>
        </w:rPr>
        <w:t xml:space="preserve"> </w:t>
      </w:r>
    </w:p>
    <w:p w14:paraId="199F0C10" w14:textId="77777777" w:rsidR="000E0243" w:rsidRDefault="003B4FEF" w:rsidP="00684D87">
      <w:pPr>
        <w:spacing w:line="360" w:lineRule="auto"/>
        <w:jc w:val="both"/>
        <w:rPr>
          <w:rFonts w:cstheme="minorHAnsi"/>
        </w:rPr>
      </w:pPr>
      <w:r>
        <w:t xml:space="preserve">The ISI has strived to reduce its energy consumption and </w:t>
      </w:r>
      <w:r w:rsidR="00690947">
        <w:t xml:space="preserve">has </w:t>
      </w:r>
      <w:r>
        <w:t>decreased its GHG emission</w:t>
      </w:r>
      <w:r w:rsidR="000E0243">
        <w:t>s</w:t>
      </w:r>
      <w:r>
        <w:t xml:space="preserve"> by 60% in the last 50 years</w:t>
      </w:r>
      <w:r w:rsidR="002E2A19">
        <w:t xml:space="preserve">, </w:t>
      </w:r>
      <w:r w:rsidR="00A967C6">
        <w:t xml:space="preserve">with many </w:t>
      </w:r>
      <w:r w:rsidR="002E2A19">
        <w:t xml:space="preserve">new ways </w:t>
      </w:r>
      <w:r w:rsidR="00207379">
        <w:t xml:space="preserve">of further reducing emissions </w:t>
      </w:r>
      <w:r w:rsidR="004C4539">
        <w:t>under research</w:t>
      </w:r>
      <w:r w:rsidR="00684D87">
        <w:t xml:space="preserve">. </w:t>
      </w:r>
      <w:r w:rsidR="00A15F7E">
        <w:t>Some of these improvements can be implemented immediately but</w:t>
      </w:r>
      <w:r w:rsidR="00BD0664">
        <w:t xml:space="preserve"> in order to meet the targets set for 2050 there needs to be </w:t>
      </w:r>
      <w:r w:rsidR="00684D87">
        <w:t xml:space="preserve">changes in the technologies used to produce steel </w:t>
      </w:r>
      <w:r w:rsidR="00684D87" w:rsidRPr="003E5DEE">
        <w:rPr>
          <w:rFonts w:ascii="Calibri" w:hAnsi="Calibri" w:cs="Calibri"/>
        </w:rPr>
        <w:fldChar w:fldCharType="begin"/>
      </w:r>
      <w:r w:rsidR="00A86D09" w:rsidRPr="003E5DEE">
        <w:rPr>
          <w:rFonts w:ascii="Calibri" w:hAnsi="Calibri" w:cs="Calibri"/>
        </w:rPr>
        <w:instrText xml:space="preserve"> ADDIN ZOTERO_ITEM CSL_CITATION {"citationID":"2630wjte","properties":{"formattedCitation":"({\\i{}STEEL\\uc0\\u8217{}S CONTRIBUTION TO A LOW CARBON FUTURE  AND CLIMATE RESILIENT SOCIETIES worldsteel position paper}, 2020)","plainCitation":"(STEEL’S CONTRIBUTION TO A LOW CARBON FUTURE  AND CLIMATE RESILIENT SOCIETIES worldsteel position paper, 2020)","dontUpdate":true,"noteIndex":0},"citationItems":[{"id":734,"uris":["http://zotero.org/users/local/AB2owHL2/items/7C3UTZWC"],"itemData":{"id":734,"type":"report","publisher":"World steel Association","title":"Steel's Contribution To A Low Carbon Future  and Climate Resiliant Societies worldsteel position paper","URL":": https://www.worldsteel.org/en/dam/ jcr:f7982217-cfde-4fdc-8ba0-795ed807f513/World%2520Steel%2520in%2520Figures%25202020i.pdf","author":[{"family":"Basson","given":"Edwin"}],"accessed":{"date-parts":[["2021",3,21]]},"issued":{"date-parts":[["2020"]]}}}],"schema":"https://github.com/citation-style-language/schema/raw/master/csl-citation.json"} </w:instrText>
      </w:r>
      <w:r w:rsidR="00684D87" w:rsidRPr="003E5DEE">
        <w:rPr>
          <w:rFonts w:ascii="Calibri" w:hAnsi="Calibri" w:cs="Calibri"/>
        </w:rPr>
        <w:fldChar w:fldCharType="separate"/>
      </w:r>
      <w:r w:rsidR="00684D87" w:rsidRPr="003E5DEE">
        <w:rPr>
          <w:rFonts w:ascii="Calibri" w:hAnsi="Calibri" w:cs="Calibri"/>
          <w:szCs w:val="24"/>
        </w:rPr>
        <w:t>(WorldSteel, 202</w:t>
      </w:r>
      <w:r w:rsidR="003E5DEE" w:rsidRPr="003E5DEE">
        <w:rPr>
          <w:rFonts w:ascii="Calibri" w:hAnsi="Calibri" w:cs="Calibri"/>
          <w:szCs w:val="24"/>
        </w:rPr>
        <w:t>1</w:t>
      </w:r>
      <w:r w:rsidR="00684D87" w:rsidRPr="003E5DEE">
        <w:rPr>
          <w:rFonts w:ascii="Calibri" w:hAnsi="Calibri" w:cs="Calibri"/>
          <w:szCs w:val="24"/>
        </w:rPr>
        <w:t>)</w:t>
      </w:r>
      <w:r w:rsidR="00684D87" w:rsidRPr="003E5DEE">
        <w:rPr>
          <w:rFonts w:ascii="Calibri" w:hAnsi="Calibri" w:cs="Calibri"/>
        </w:rPr>
        <w:fldChar w:fldCharType="end"/>
      </w:r>
      <w:r w:rsidR="00684D87" w:rsidRPr="003E5DEE">
        <w:rPr>
          <w:rFonts w:cstheme="minorHAnsi"/>
        </w:rPr>
        <w:t>.</w:t>
      </w:r>
      <w:r w:rsidR="000E722B">
        <w:rPr>
          <w:rFonts w:cstheme="minorHAnsi"/>
        </w:rPr>
        <w:t xml:space="preserve"> </w:t>
      </w:r>
    </w:p>
    <w:p w14:paraId="02509593" w14:textId="11B81FED" w:rsidR="00684D87" w:rsidRPr="00C2129D" w:rsidRDefault="00B6198F" w:rsidP="00684D87">
      <w:pPr>
        <w:spacing w:line="360" w:lineRule="auto"/>
        <w:jc w:val="both"/>
      </w:pPr>
      <w:r>
        <w:rPr>
          <w:rFonts w:cstheme="minorHAnsi"/>
        </w:rPr>
        <w:lastRenderedPageBreak/>
        <w:t>An integrated steelworks consists of</w:t>
      </w:r>
      <w:r w:rsidR="00C16C46">
        <w:rPr>
          <w:rFonts w:cstheme="minorHAnsi"/>
        </w:rPr>
        <w:t xml:space="preserve"> </w:t>
      </w:r>
      <w:r w:rsidR="000E722B">
        <w:rPr>
          <w:rFonts w:cstheme="minorHAnsi"/>
        </w:rPr>
        <w:t>coke making</w:t>
      </w:r>
      <w:r w:rsidR="00C16C46">
        <w:rPr>
          <w:rFonts w:cstheme="minorHAnsi"/>
        </w:rPr>
        <w:t xml:space="preserve">, sintering, </w:t>
      </w:r>
      <w:r w:rsidR="006C3634">
        <w:rPr>
          <w:rFonts w:cstheme="minorHAnsi"/>
        </w:rPr>
        <w:t>iron making</w:t>
      </w:r>
      <w:r w:rsidR="004C3A7A">
        <w:rPr>
          <w:rFonts w:cstheme="minorHAnsi"/>
        </w:rPr>
        <w:t xml:space="preserve"> (blast furnace)</w:t>
      </w:r>
      <w:r w:rsidR="00C16C46">
        <w:rPr>
          <w:rFonts w:cstheme="minorHAnsi"/>
        </w:rPr>
        <w:t>, basic oxygen steelmaking (BOS), hot and cold rolling.</w:t>
      </w:r>
      <w:r w:rsidR="00684D87">
        <w:t xml:space="preserve"> </w:t>
      </w:r>
      <w:r w:rsidR="002A20F3">
        <w:t>Figure 3 shows the CO</w:t>
      </w:r>
      <w:r w:rsidR="002A20F3">
        <w:rPr>
          <w:vertAlign w:val="subscript"/>
        </w:rPr>
        <w:t xml:space="preserve">2 </w:t>
      </w:r>
      <w:r w:rsidR="00E75C88">
        <w:t>concentration in flue gas from</w:t>
      </w:r>
      <w:r w:rsidR="00E20868">
        <w:t xml:space="preserve"> each process in an </w:t>
      </w:r>
      <w:r w:rsidR="00BB6E68">
        <w:t>integrated steel</w:t>
      </w:r>
      <w:r w:rsidR="000F6453">
        <w:t xml:space="preserve"> </w:t>
      </w:r>
      <w:r w:rsidR="00BB6E68">
        <w:t>works</w:t>
      </w:r>
      <w:r w:rsidR="00413B0A">
        <w:t>.</w:t>
      </w:r>
    </w:p>
    <w:p w14:paraId="368ABE90" w14:textId="03BD72A8" w:rsidR="00053383" w:rsidRDefault="00053383" w:rsidP="00684D87">
      <w:pPr>
        <w:spacing w:line="360" w:lineRule="auto"/>
        <w:jc w:val="both"/>
      </w:pPr>
      <w:r w:rsidRPr="00E12EBE">
        <w:rPr>
          <w:noProof/>
        </w:rPr>
        <w:drawing>
          <wp:inline distT="0" distB="0" distL="0" distR="0" wp14:anchorId="15E4506E" wp14:editId="6701429B">
            <wp:extent cx="5024120" cy="2608028"/>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4"/>
                    <a:stretch>
                      <a:fillRect/>
                    </a:stretch>
                  </pic:blipFill>
                  <pic:spPr>
                    <a:xfrm>
                      <a:off x="0" y="0"/>
                      <a:ext cx="5044962" cy="2618847"/>
                    </a:xfrm>
                    <a:prstGeom prst="rect">
                      <a:avLst/>
                    </a:prstGeom>
                  </pic:spPr>
                </pic:pic>
              </a:graphicData>
            </a:graphic>
          </wp:inline>
        </w:drawing>
      </w:r>
    </w:p>
    <w:p w14:paraId="326C2D8D" w14:textId="26ABCA24" w:rsidR="00053383" w:rsidRDefault="00053383" w:rsidP="00053383">
      <w:pPr>
        <w:pStyle w:val="Caption"/>
      </w:pPr>
      <w:bookmarkStart w:id="9" w:name="_Toc127110897"/>
      <w:r>
        <w:t xml:space="preserve">Figure </w:t>
      </w:r>
      <w:fldSimple w:instr=" SEQ Figure \* ARABIC ">
        <w:r w:rsidR="00A0212F">
          <w:rPr>
            <w:noProof/>
          </w:rPr>
          <w:t>3</w:t>
        </w:r>
      </w:fldSimple>
      <w:r>
        <w:t xml:space="preserve"> </w:t>
      </w:r>
      <w:r w:rsidR="00C45F08">
        <w:t xml:space="preserve">- </w:t>
      </w:r>
      <w:r w:rsidR="002A20F3">
        <w:t>CO</w:t>
      </w:r>
      <w:r w:rsidR="002A20F3">
        <w:rPr>
          <w:vertAlign w:val="subscript"/>
        </w:rPr>
        <w:t>2</w:t>
      </w:r>
      <w:r>
        <w:t xml:space="preserve"> emissions in an </w:t>
      </w:r>
      <w:r w:rsidR="000D0BE7">
        <w:t>integrated steelworks</w:t>
      </w:r>
      <w:r>
        <w:t xml:space="preserve"> (BF - BOS route)</w:t>
      </w:r>
      <w:r w:rsidR="00A12258" w:rsidRPr="00A12258">
        <w:t xml:space="preserve"> </w:t>
      </w:r>
      <w:r w:rsidR="00A12258">
        <w:t>showing carbon-bearing material input (</w:t>
      </w:r>
      <w:r w:rsidR="00FB410A">
        <w:t>Gray</w:t>
      </w:r>
      <w:r w:rsidR="00A12258">
        <w:t xml:space="preserve"> boxes), CO2 emissions, expressed in volume (kg/t of hot rolled coil) and concentration in the flue gas (volume %</w:t>
      </w:r>
      <w:r w:rsidR="00FB410A">
        <w:t>)</w:t>
      </w:r>
      <w:r w:rsidR="00B606EF">
        <w:t>in the blue box</w:t>
      </w:r>
      <w:r w:rsidR="000066E2">
        <w:t xml:space="preserve"> </w:t>
      </w:r>
      <w:r w:rsidR="000066E2">
        <w:fldChar w:fldCharType="begin"/>
      </w:r>
      <w:r w:rsidR="004716FD">
        <w:instrText xml:space="preserve"> ADDIN ZOTERO_ITEM CSL_CITATION {"citationID":"aGmV5Oa9","properties":{"formattedCitation":"(Birat 2010)","plainCitation":"(Birat 2010)","noteIndex":0},"citationItems":[{"id":1874,"uris":["http://zotero.org/users/local/AB2owHL2/items/T8DHGYTC"],"itemData":{"id":1874,"type":"report","event-place":"Amsterdam","genre":"CCS roadmap – sectoral assessment, Steel","publisher-place":"Amsterdam","title":"Global Technology  Roadmap for CCS in  Industry","URL":"https://www.globalccsinstitute.com/archive/hub/publications/15671/global-technology-roadmap-ccs-industry-steel-sectoral-report.pdf","author":[{"family":"Birat","given":"J.P"}],"accessed":{"date-parts":[["2022",8,3]]},"issued":{"date-parts":[["2010"]]}}}],"schema":"https://github.com/citation-style-language/schema/raw/master/csl-citation.json"} </w:instrText>
      </w:r>
      <w:r w:rsidR="000066E2">
        <w:fldChar w:fldCharType="separate"/>
      </w:r>
      <w:r w:rsidR="000066E2" w:rsidRPr="000066E2">
        <w:rPr>
          <w:rFonts w:ascii="Calibri" w:hAnsi="Calibri" w:cs="Calibri"/>
        </w:rPr>
        <w:t>(Birat 2010)</w:t>
      </w:r>
      <w:r w:rsidR="000066E2">
        <w:fldChar w:fldCharType="end"/>
      </w:r>
      <w:r w:rsidR="00FB410A">
        <w:t>.</w:t>
      </w:r>
      <w:bookmarkEnd w:id="9"/>
      <w:r w:rsidR="000D0BE7">
        <w:t xml:space="preserve"> </w:t>
      </w:r>
    </w:p>
    <w:p w14:paraId="4F62BFD9" w14:textId="507AF3E2" w:rsidR="00C95EF3" w:rsidRDefault="00AF3466" w:rsidP="00684D87">
      <w:pPr>
        <w:spacing w:line="360" w:lineRule="auto"/>
        <w:jc w:val="both"/>
      </w:pPr>
      <w:r>
        <w:t>There are many pathways towards meeting these targets and the ISI must take them all collectively</w:t>
      </w:r>
      <w:r w:rsidR="00A14D8F">
        <w:t>.</w:t>
      </w:r>
      <w:r>
        <w:t xml:space="preserve"> </w:t>
      </w:r>
      <w:r w:rsidR="00A14D8F">
        <w:t>I</w:t>
      </w:r>
      <w:r>
        <w:t>n the medium to long term new technologies such as carbon capture</w:t>
      </w:r>
      <w:r w:rsidR="00A14D8F">
        <w:t>,</w:t>
      </w:r>
      <w:r>
        <w:t xml:space="preserve"> and </w:t>
      </w:r>
      <w:r w:rsidR="00A14D8F">
        <w:t xml:space="preserve">a </w:t>
      </w:r>
      <w:r>
        <w:t xml:space="preserve">fuel shift away from fossil fuels towards hydrogen, natural gas and renewable energy </w:t>
      </w:r>
      <w:r w:rsidR="00166E13">
        <w:t>and an increase in the utilisation of electric arc furnace (EAF) steel production capacity</w:t>
      </w:r>
      <w:r w:rsidR="00891A16">
        <w:t>,</w:t>
      </w:r>
      <w:r w:rsidR="00166E13">
        <w:t xml:space="preserve"> will yield the </w:t>
      </w:r>
      <w:r w:rsidR="00423D2B">
        <w:t>greatest</w:t>
      </w:r>
      <w:r w:rsidR="00166E13">
        <w:t xml:space="preserve"> results.</w:t>
      </w:r>
      <w:r w:rsidR="001D0AC9">
        <w:t xml:space="preserve"> </w:t>
      </w:r>
      <w:r w:rsidR="002555C1">
        <w:t xml:space="preserve"> In the </w:t>
      </w:r>
      <w:r w:rsidR="00310692">
        <w:t>short-term</w:t>
      </w:r>
      <w:r w:rsidR="00423D2B">
        <w:t>,</w:t>
      </w:r>
      <w:r w:rsidR="002555C1">
        <w:t xml:space="preserve"> significant improvements in </w:t>
      </w:r>
      <w:r w:rsidR="007818CB">
        <w:t>process reliability</w:t>
      </w:r>
      <w:r w:rsidR="002555C1">
        <w:t>, steel demand reduction through material efficiency</w:t>
      </w:r>
      <w:r w:rsidR="00423D2B">
        <w:t xml:space="preserve"> and minimising waste through energy efficiency</w:t>
      </w:r>
      <w:r>
        <w:t xml:space="preserve"> </w:t>
      </w:r>
      <w:r w:rsidR="00423D2B">
        <w:t>are</w:t>
      </w:r>
      <w:r w:rsidR="00E515C9">
        <w:t xml:space="preserve"> mitigations that need to be </w:t>
      </w:r>
      <w:r w:rsidR="008C75E9">
        <w:t>action</w:t>
      </w:r>
      <w:r w:rsidR="00A14D8F">
        <w:t>ed</w:t>
      </w:r>
      <w:r w:rsidR="00E515C9">
        <w:t xml:space="preserve"> </w:t>
      </w:r>
      <w:r w:rsidR="00891A16">
        <w:t>immediately</w:t>
      </w:r>
      <w:r w:rsidR="00E515C9">
        <w:t xml:space="preserve"> </w:t>
      </w:r>
      <w:r w:rsidR="00E515C9">
        <w:fldChar w:fldCharType="begin"/>
      </w:r>
      <w:r w:rsidR="00E515C9">
        <w:instrText xml:space="preserve"> ADDIN ZOTERO_ITEM CSL_CITATION {"citationID":"IytIotV1","properties":{"formattedCitation":"(Aaskov 2022)","plainCitation":"(Aaskov 2022)","noteIndex":0},"citationItems":[{"id":1754,"uris":["http://zotero.org/users/local/AB2owHL2/items/Z2EAYTGD"],"itemData":{"id":1754,"type":"report","language":"en","title":"Net Zero Steel - A Vision for the Future of UK Steel Production","URL":"https://www.makeuk.org/about/uk-steel/net-zero-steel---a-vision-for-the-future-of-uk-steel-production","author":[{"family":"Aaskov","given":"Frank"}],"accessed":{"date-parts":[["2022",7,12]]},"issued":{"date-parts":[["2022"]]}}}],"schema":"https://github.com/citation-style-language/schema/raw/master/csl-citation.json"} </w:instrText>
      </w:r>
      <w:r w:rsidR="00E515C9">
        <w:fldChar w:fldCharType="separate"/>
      </w:r>
      <w:r w:rsidR="00E515C9" w:rsidRPr="00E515C9">
        <w:rPr>
          <w:rFonts w:ascii="Calibri" w:hAnsi="Calibri" w:cs="Calibri"/>
        </w:rPr>
        <w:t>(Aaskov 2022)</w:t>
      </w:r>
      <w:r w:rsidR="00E515C9">
        <w:fldChar w:fldCharType="end"/>
      </w:r>
      <w:r w:rsidR="00E515C9">
        <w:t>.</w:t>
      </w:r>
    </w:p>
    <w:p w14:paraId="17614A7B" w14:textId="59046F29" w:rsidR="00DE4D1F" w:rsidRDefault="00F041D9" w:rsidP="00684D87">
      <w:pPr>
        <w:spacing w:line="360" w:lineRule="auto"/>
        <w:jc w:val="both"/>
      </w:pPr>
      <w:r>
        <w:t>A</w:t>
      </w:r>
      <w:r w:rsidR="00684D87">
        <w:t xml:space="preserve"> biofuel</w:t>
      </w:r>
      <w:r w:rsidR="00327631">
        <w:t xml:space="preserve"> is renewable biomass that is used as an energy source</w:t>
      </w:r>
      <w:r w:rsidR="00684D87">
        <w:t xml:space="preserve">. </w:t>
      </w:r>
      <w:r w:rsidR="00694655">
        <w:t>Biomass such as trees and plants absorb CO</w:t>
      </w:r>
      <w:r w:rsidR="00694655">
        <w:rPr>
          <w:vertAlign w:val="subscript"/>
        </w:rPr>
        <w:t xml:space="preserve">2 </w:t>
      </w:r>
      <w:r w:rsidR="007B1247">
        <w:t xml:space="preserve">from the atmosphere </w:t>
      </w:r>
      <w:r w:rsidR="00694655">
        <w:t>as they grow</w:t>
      </w:r>
      <w:r w:rsidR="001B0ED1">
        <w:t xml:space="preserve">. The biomass is then </w:t>
      </w:r>
      <w:r w:rsidR="007C7580">
        <w:t>burned</w:t>
      </w:r>
      <w:r w:rsidR="001B0ED1">
        <w:t xml:space="preserve"> as a fuel and the </w:t>
      </w:r>
      <w:r w:rsidR="00F938B5">
        <w:t>CO</w:t>
      </w:r>
      <w:r w:rsidR="00F938B5">
        <w:rPr>
          <w:vertAlign w:val="subscript"/>
        </w:rPr>
        <w:t xml:space="preserve">2 </w:t>
      </w:r>
      <w:r w:rsidR="00F938B5">
        <w:t>is returned</w:t>
      </w:r>
      <w:r w:rsidR="006140F6">
        <w:t xml:space="preserve"> to atmosphere</w:t>
      </w:r>
      <w:r w:rsidR="007C7580">
        <w:t>. New trees are planted to form a continuous cycle</w:t>
      </w:r>
      <w:r w:rsidR="00A6124F">
        <w:t xml:space="preserve"> </w:t>
      </w:r>
      <w:r w:rsidR="006C2676">
        <w:t>that meets</w:t>
      </w:r>
      <w:r w:rsidR="00A6124F">
        <w:t xml:space="preserve"> zero net </w:t>
      </w:r>
      <w:r w:rsidR="001B25D8">
        <w:t>CO</w:t>
      </w:r>
      <w:r w:rsidR="001B25D8">
        <w:rPr>
          <w:vertAlign w:val="subscript"/>
        </w:rPr>
        <w:t>2.</w:t>
      </w:r>
      <w:r w:rsidR="00097DFA">
        <w:t xml:space="preserve"> </w:t>
      </w:r>
      <w:r w:rsidR="00E00FAF">
        <w:t>U</w:t>
      </w:r>
      <w:r w:rsidR="00D15281">
        <w:t>sing biomass can be considered a transitional strategy for the reduction of CO</w:t>
      </w:r>
      <w:r w:rsidR="00D15281">
        <w:rPr>
          <w:vertAlign w:val="subscript"/>
        </w:rPr>
        <w:t xml:space="preserve">2 </w:t>
      </w:r>
      <w:r w:rsidR="00D15281">
        <w:t>emissions from the ISI over the next 30 – 40 years</w:t>
      </w:r>
      <w:r w:rsidR="00A14D8F">
        <w:t>,</w:t>
      </w:r>
      <w:r w:rsidR="00D15281">
        <w:t xml:space="preserve"> until new net zero emission iron and steelmaking processes can be developed and adopted</w:t>
      </w:r>
      <w:r w:rsidR="006E1A43">
        <w:t xml:space="preserve">, with potential for up to 50% net emission reductions </w:t>
      </w:r>
      <w:r w:rsidR="006E1A43">
        <w:fldChar w:fldCharType="begin"/>
      </w:r>
      <w:r w:rsidR="006E1A43">
        <w:instrText xml:space="preserve"> ADDIN ZOTERO_ITEM CSL_CITATION {"citationID":"Dpg1pf6C","properties":{"formattedCitation":"(Mathieson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6E1A43">
        <w:fldChar w:fldCharType="separate"/>
      </w:r>
      <w:r w:rsidR="006E1A43" w:rsidRPr="006E1A43">
        <w:rPr>
          <w:rFonts w:ascii="Calibri" w:hAnsi="Calibri" w:cs="Calibri"/>
        </w:rPr>
        <w:t>(Mathieson et al. 2011)</w:t>
      </w:r>
      <w:r w:rsidR="006E1A43">
        <w:fldChar w:fldCharType="end"/>
      </w:r>
      <w:r w:rsidR="00D15281">
        <w:t xml:space="preserve">. </w:t>
      </w:r>
      <w:r w:rsidR="00553FBB">
        <w:t xml:space="preserve">The dominant route for Iron production is through the blast furnace (BF) and it accounts for 70% of world crude steel production. </w:t>
      </w:r>
      <w:r w:rsidR="006B5615">
        <w:t xml:space="preserve"> The energy source of the BF comes from coal and coke.</w:t>
      </w:r>
    </w:p>
    <w:p w14:paraId="7F831E22" w14:textId="41C83B55" w:rsidR="00F92E64" w:rsidRDefault="00765BE2" w:rsidP="00393D81">
      <w:pPr>
        <w:spacing w:line="360" w:lineRule="auto"/>
        <w:jc w:val="both"/>
      </w:pPr>
      <w:r>
        <w:t xml:space="preserve">The technological feasibility of using biomass in BF has been studied by several authors </w:t>
      </w:r>
      <w:r>
        <w:fldChar w:fldCharType="begin"/>
      </w:r>
      <w:r w:rsidR="00790785">
        <w:instrText xml:space="preserve"> ADDIN ZOTERO_ITEM CSL_CITATION {"citationID":"bbigHodE","properties":{"formattedCitation":"(Suopaj\\uc0\\u228{}rvi et al. 2013; Fick et al. 2014; Mousa et al. 2016; Ye et al. 2019)","plainCitation":"(Suopajärvi et al. 2013; Fick et al. 2014; Mousa et al. 2016; Ye et al. 2019)","noteIndex":0},"citationItems":[{"id":1781,"uris":["http://zotero.org/users/local/AB2owHL2/items/MMTKXIYN"],"itemData":{"id":1781,"type":"article-journal","abstract":"Steel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page"},{"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label":"page"},{"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label":"page"},{"id":1643,"uris":["http://zotero.org/users/local/AB2owHL2/items/AY9YF677"],"itemData":{"id":1643,"type":"article-journal","abstract":"Biochar has been extensively used in ferrous metallurgy in recent years as it has comparable metallurgical properties to coke and coal, showing great potential for reduction of the production cost of iron and steel with enhanced quality and for promotion of environmental protection. This article reviewed the main applications of biochar in the iron and steel industry, including its use in coking, iron ore sintering, production of metallized pellets, blast furnace ironmaking, and electric arc furnace steelmaking. The challenges of using biochar and corresponding promising measures were also discussed for sustainable development of the industry.","container-title":"JOM","DOI":"http://dx.doi.org.ezproxy.uwtsd.ac.uk/10.1007/s11837-019-03766-4","ISSN":"10474838","issue":"11","language":"English","license":"Copyright Springer Nature B.V. Nov 2019","note":"number-of-pages: 3931-3940\npublisher-place: New York, Netherlands\npublisher: Springer Nature B.V.\nsection: SUSTAINABLE PYROMETALLURGICAL PROCESSING","page":"3931-3940","source":"ProQuest","title":"Use of Biochar for Sustainable Ferrous Metallurgy","URL":"http://www.proquest.com/docview/2489352821/abstract/6EDC241C755F4923PQ/1","volume":"71","author":[{"family":"Ye","given":"Lei"},{"family":"Peng","given":"Zhiwei"},{"family":"Wang","given":"Liancheng"},{"family":"Anzulevich","given":"Anton"},{"family":"Bychkov","given":"Igor"},{"family":"Kalganov","given":"Dmitrii"},{"family":"Tang","given":"Huimin"},{"family":"Rao","given":"Mingjun"},{"family":"Li","given":"Guanghui"},{"family":"Jiang","given":"Tao"}],"accessed":{"date-parts":[["2022",5,3]]},"issued":{"date-parts":[["2019",11]]}},"label":"page"}],"schema":"https://github.com/citation-style-language/schema/raw/master/csl-citation.json"} </w:instrText>
      </w:r>
      <w:r>
        <w:fldChar w:fldCharType="separate"/>
      </w:r>
      <w:r w:rsidR="003D73E4" w:rsidRPr="003D73E4">
        <w:rPr>
          <w:rFonts w:ascii="Calibri" w:hAnsi="Calibri" w:cs="Calibri"/>
          <w:szCs w:val="24"/>
        </w:rPr>
        <w:t>(Suopajärvi et al. 2013; Fick et al. 2014; Mousa et al. 2016; Ye et al. 2019)</w:t>
      </w:r>
      <w:r>
        <w:fldChar w:fldCharType="end"/>
      </w:r>
      <w:r>
        <w:t xml:space="preserve">. According to these studies, there is true </w:t>
      </w:r>
      <w:r>
        <w:lastRenderedPageBreak/>
        <w:t>potential to utilise renewable biomass in the BF processes in significant quantities</w:t>
      </w:r>
      <w:r w:rsidR="002A168D">
        <w:t>,</w:t>
      </w:r>
      <w:r w:rsidR="000D2C8E">
        <w:t xml:space="preserve"> thereby offsetting </w:t>
      </w:r>
      <w:r w:rsidR="005124F7">
        <w:t xml:space="preserve">net </w:t>
      </w:r>
      <w:r w:rsidR="00A96DD9">
        <w:t>CO</w:t>
      </w:r>
      <w:r w:rsidR="00A96DD9">
        <w:rPr>
          <w:vertAlign w:val="subscript"/>
        </w:rPr>
        <w:t>2</w:t>
      </w:r>
      <w:r>
        <w:t xml:space="preserve"> </w:t>
      </w:r>
      <w:r w:rsidR="005124F7">
        <w:t xml:space="preserve">emissions in the industry. </w:t>
      </w:r>
      <w:r>
        <w:t>These studies have mainly concentrated on the use of charcoal</w:t>
      </w:r>
      <w:r w:rsidR="00CA19C0">
        <w:t xml:space="preserve"> although torrefied wood pellet has also been considered</w:t>
      </w:r>
      <w:r>
        <w:t>. Despite the few studies where biomass has been introduced in ironmaking, there is a need for more detailed considerations of material and energy balances, CO2 reduction potential and environmental burden.</w:t>
      </w:r>
    </w:p>
    <w:p w14:paraId="43C24D00" w14:textId="479D7724" w:rsidR="00E67076" w:rsidRDefault="00836209" w:rsidP="00393D81">
      <w:pPr>
        <w:spacing w:line="360" w:lineRule="auto"/>
        <w:jc w:val="both"/>
      </w:pPr>
      <w:r>
        <w:t>There are limitations to using biomass in iron and steelmaking, biomass in its raw form is not suitable for the ironmaking processes</w:t>
      </w:r>
      <w:r w:rsidR="00C90A49">
        <w:t xml:space="preserve"> because of its high moisture and oxygen content and low calorific value</w:t>
      </w:r>
      <w:r w:rsidR="0069098A">
        <w:t xml:space="preserve"> </w:t>
      </w:r>
      <w:r w:rsidR="004B7326">
        <w:fldChar w:fldCharType="begin"/>
      </w:r>
      <w:r w:rsidR="00E802B4">
        <w:instrText xml:space="preserve"> ADDIN ZOTERO_ITEM CSL_CITATION {"citationID":"qC6pysqf","properties":{"formattedCitation":"(Strezov 2006; Montiano et al. 2014b)","plainCitation":"(Strezov 2006; Montiano et al. 2014b)","noteIndex":0},"citationItems":[{"id":1774,"uris":["http://zotero.org/users/local/AB2owHL2/items/HY7P5VQ6"],"itemData":{"id":1774,"type":"article-journal","abstract":"Iron and steel making are two of the largest energy intensive industries with the highest growth rate in energy consumption of all energy utilisation sectors. In order to meet the growing greenhouse challenges, incorporation of renewable energy sources to the existing and emerging metallurgical operations is desirable. In this respect, biomass can potentially be applied as fuel for minerals processing to stabilise the greenhouse gas emissions as it is renewable and CO2 neutral. The work presented here investigates the fundamental mechanisms of iron ore reduction with biomass wood waste. Several mixtures with different ratios of biomass and iron ore were subjected to thermal, gaseous and X-ray Diffraction analysis. The iron ore was successfully reduced to predominantly metallic iron phase when up to 30% by weight of biomass was introduced into the mixture. Reduction commenced at approximately 670°C and was almost completed at 1200°C. Thermal analysis data identified the individual thermal reaction regions associated with developments of individual iron phases during the heating and were used to calculate the corresponding kinetics of the reduction process.","container-title":"Renewable Energy","DOI":"10.1016/j.renene.2005.08.032","ISSN":"0960-1481","issue":"12","journalAbbreviation":"Renewable Energy","language":"en","page":"1892-1905","source":"ScienceDirect","title":"Iron ore reduction using sawdust: Experimental analysis and kinetic modelling","title-short":"Iron ore reduction using sawdust","URL":"https://www.sciencedirect.com/science/article/pii/S0960148105002764","volume":"31","author":[{"family":"Strezov","given":"Vladimir"}],"accessed":{"date-parts":[["2022",7,12]]},"issued":{"date-parts":[["2006",10,1]]}},"label":"page"},{"id":265,"uris":["http://zotero.org/users/local/AB2owHL2/items/4E9J9PIK"],"itemData":{"id":265,"type":"article-journal","abstract":"Two industrial coal blends used in coke making were subjected to tests in order to assess the influence of waste sawdust (SC2 from chestnut and SP1 from pine) on the quality of the coke produced. The biomass was added in quantities of up to 5wt.%. It was observed that biomass produced a substantial decrease in the plastic properties of the industrial coal blend, with reductions in Gieseler maximum fluidity of around 50% for 3wt.% additions of the two different sawdusts. Carbonizations with sawdust additions ranging from 0.75 to 5wt.% were carried out in a movable wall oven of 17kg capacity. The bulk density of the charge was observed to decrease with increasing amounts of sawdust with negative consequences on the quality of the cokes produced. Mechanical strength was determined by means of the JIS test. Coke reactivity and post-reaction strength (CRI/CSR indices) were also assessed. The amount of sawdust added was low to prevent any deterioration in coke quality. The advantage of using biomass in coking blends should be seen as a possible way to reduce costs and CO2 emissions and to incorporate alternative raw materials in coke production.","container-title":"Fuel","DOI":"10.1016/j.fuel.2013.07.070","ISSN":"0016-2361","journalAbbreviation":"Fuel","language":"en","page":"175-182","source":"ScienceDirect","title":"Influence of biomass on metallurgical coke quality","URL":"http://www.sciencedirect.com/science/article/pii/S0016236113006698","volume":"116","author":[{"family":"Montiano","given":"M. G."},{"family":"Díaz-Faes","given":"E."},{"family":"Barriocanal","given":"C."},{"family":"Alvarez","given":"R."}],"accessed":{"date-parts":[["2021",1,11]]},"issued":{"date-parts":[["2014",1,15]]}},"label":"page"}],"schema":"https://github.com/citation-style-language/schema/raw/master/csl-citation.json"} </w:instrText>
      </w:r>
      <w:r w:rsidR="004B7326">
        <w:fldChar w:fldCharType="separate"/>
      </w:r>
      <w:r w:rsidR="00E802B4" w:rsidRPr="00E802B4">
        <w:rPr>
          <w:rFonts w:ascii="Calibri" w:hAnsi="Calibri" w:cs="Calibri"/>
        </w:rPr>
        <w:t>(Strezov 2006; Montiano et al. 2014b)</w:t>
      </w:r>
      <w:r w:rsidR="004B7326">
        <w:fldChar w:fldCharType="end"/>
      </w:r>
      <w:r w:rsidR="00C90A49">
        <w:t>. Pre-treatment processes such as torrefaction, pyrolysis, gasification, liquefaction, and hydrogenation can enhance the properties of biomass for use</w:t>
      </w:r>
      <w:r w:rsidR="0019563C">
        <w:t xml:space="preserve"> in industry</w:t>
      </w:r>
      <w:r w:rsidR="00C90A49">
        <w:t xml:space="preserve">. Slow pyrolysis </w:t>
      </w:r>
      <w:r w:rsidR="00525F99">
        <w:t xml:space="preserve">of biomass </w:t>
      </w:r>
      <w:r w:rsidR="000C67EA">
        <w:t xml:space="preserve">results in </w:t>
      </w:r>
      <w:r w:rsidR="00DB3DCC">
        <w:t>c</w:t>
      </w:r>
      <w:r w:rsidR="000C67EA">
        <w:t>har</w:t>
      </w:r>
      <w:r w:rsidR="00DB3DCC">
        <w:t>coal</w:t>
      </w:r>
      <w:r w:rsidR="000C67EA">
        <w:t>, the properties of charcoal are comparable to the bituminous coals used in ironmaking although at reduced yields due to a lower bulk density.</w:t>
      </w:r>
      <w:r w:rsidR="00742D3B">
        <w:t xml:space="preserve"> </w:t>
      </w:r>
    </w:p>
    <w:p w14:paraId="4CC88176" w14:textId="246B4EFF" w:rsidR="004B7326" w:rsidRDefault="00074EA4" w:rsidP="00393D81">
      <w:pPr>
        <w:spacing w:line="360" w:lineRule="auto"/>
        <w:jc w:val="both"/>
      </w:pPr>
      <w:r>
        <w:fldChar w:fldCharType="begin"/>
      </w:r>
      <w:r>
        <w:instrText xml:space="preserve"> ADDIN ZOTERO_ITEM CSL_CITATION {"citationID":"FuABhzBt","properties":{"formattedCitation":"(Conte et al. 2021)","plainCitation":"(Conte et al. 2021)","noteIndex":0},"citationItems":[{"id":1937,"uris":["http://zotero.org/users/local/AB2owHL2/items/FXMYWUU4"],"itemData":{"id":1937,"type":"article-journal","abstract":"Biochar is a porous material obtained by biomass thermal degradation in oxygen-starved conditions. It is nowadays applied in many fields. For instance, it is used to synthesize new materials for environmental remediation, catalysis, animal feeding, adsorbent for smells, etc. In the last decades, biochar has been applied also to soils due to its beneficial effects on soil structure, pH, soil organic carbon content, and stability, and, therefore, soil fertility. In addition, this carbonaceous material shows high chemical stability. Once applied to soil it maintains its nature for centuries. Consequently, it can be considered a sink to store atmospheric carbon dioxide in soils, thereby mitigating the effects of global climatic changes. The literature contains plenty of papers dealing with biochar’s environmental effects. However, a discrepancy exists between studies dealing with biochar applications and those dealing with the physical-chemistry behind biochar behavior. On the one hand, the impression is that most of the papers where biochar is tested in soils are based on trial-and-error procedures. Sometimes these give positive results, sometimes not. Consequently, it appears that the scientific world is divided into two factions: either supporters or detractors. On the other hand, studies dealing with biochar’s physical-chemistry do not appear helpful in settling the factions’ problem. This review paper aims at collecting all the information on physical-chemistry of biochar and to use it to explain biochar’s role in different fields of application.","container-title":"Agronomy","DOI":"10.3390/agronomy11040615","issue":"4","language":"English","license":"© 2021 by the authors. Licensee MDPI, Basel, Switzerland. This article is an open access article distributed under the terms and conditions of the Creative Commons Attribution (CC BY) license (http://creativecommons.org/licenses/by/4.0/). Notwithstanding the ProQuest Terms and Conditions, you may use this content in accordance with the terms of the License.","note":"number-of-pages: 615\npublisher-place: Basel, Switzerland\npublisher: MDPI AG","page":"615","source":"ProQuest","title":"Recent Developments in Understanding Biochar’s Physical–Chemistry","URL":"https://www.proquest.com/docview/2528290211/abstract/5B52F7839E064B83PQ/1","volume":"11","author":[{"family":"Conte","given":"Pellegrino"},{"family":"Link to external site","given":"this","dropping-particle":"link will open in a new window"},{"family":"Bertani","given":"Roberta"},{"family":"Link to external site","given":"this","dropping-particle":"link will open in a new window"},{"family":"Sgarbossa","given":"Paolo"},{"family":"Link to external site","given":"this","dropping-particle":"link will open in a new window"},{"family":"Bambina","given":"Paola"},{"family":"Schmidt","given":"Hans-Peter"},{"family":"Link to external site","given":"this","dropping-particle":"link will open in a new window"},{"family":"Raga","given":"Roberto"},{"family":"Link to external site","given":"this","dropping-particle":"link will open in a new window"},{"family":"Papa","given":"Giuseppe Lo"},{"family":"Link to external site","given":"this","dropping-particle":"link will open in a new window"},{"family":"Martino","given":"Delia Francesca Chillura"},{"family":"Link to external site","given":"this","dropping-particle":"link will open in a new window"},{"family":"Meo","given":"Paolo Lo"},{"family":"Link to external site","given":"this","dropping-particle":"link will open in a new window"}],"accessed":{"date-parts":[["2022",9,11]]},"issued":{"date-parts":[["2021"]]}}}],"schema":"https://github.com/citation-style-language/schema/raw/master/csl-citation.json"} </w:instrText>
      </w:r>
      <w:r>
        <w:fldChar w:fldCharType="separate"/>
      </w:r>
      <w:r w:rsidRPr="00074EA4">
        <w:rPr>
          <w:rFonts w:ascii="Calibri" w:hAnsi="Calibri" w:cs="Calibri"/>
        </w:rPr>
        <w:t>(Conte et al. 2021)</w:t>
      </w:r>
      <w:r>
        <w:fldChar w:fldCharType="end"/>
      </w:r>
      <w:r w:rsidR="00B4470F">
        <w:t xml:space="preserve"> defines biochar as:</w:t>
      </w:r>
    </w:p>
    <w:p w14:paraId="7E9A147B" w14:textId="3F475B22" w:rsidR="006D4C65" w:rsidRDefault="00B4470F" w:rsidP="007227D4">
      <w:pPr>
        <w:spacing w:line="360" w:lineRule="auto"/>
        <w:ind w:left="720"/>
        <w:jc w:val="both"/>
      </w:pPr>
      <w:r>
        <w:t xml:space="preserve">“Biochar is a porous, carbonaceous material that is produced by pyrolysis of plant biomasses and is applied in such a way that the contained carbon remains stored as a </w:t>
      </w:r>
      <w:r w:rsidR="00176638">
        <w:t>long-term</w:t>
      </w:r>
      <w:r>
        <w:t xml:space="preserve"> C sink or replaces fossil carbon in industrial manufacturing. It is not made to be burnt for energy </w:t>
      </w:r>
      <w:r w:rsidR="00223790">
        <w:t>generation”.</w:t>
      </w:r>
    </w:p>
    <w:p w14:paraId="19E574C3" w14:textId="236FF8CD" w:rsidR="009709A1" w:rsidRDefault="009709A1" w:rsidP="009709A1">
      <w:pPr>
        <w:spacing w:line="360" w:lineRule="auto"/>
        <w:jc w:val="both"/>
      </w:pPr>
      <w:r>
        <w:t>Bio</w:t>
      </w:r>
      <w:r w:rsidR="001D78A5">
        <w:t>char</w:t>
      </w:r>
      <w:r>
        <w:t xml:space="preserve"> represents an opportunity to enable the ISI industry to reduce its net CO</w:t>
      </w:r>
      <w:r w:rsidRPr="00467746">
        <w:rPr>
          <w:vertAlign w:val="subscript"/>
        </w:rPr>
        <w:t>2</w:t>
      </w:r>
      <w:r>
        <w:rPr>
          <w:vertAlign w:val="subscript"/>
        </w:rPr>
        <w:t xml:space="preserve"> </w:t>
      </w:r>
      <w:r>
        <w:t xml:space="preserve">output and help the UK meet the GHG reduction targets set out by the government. The most suitable type of biomass for use in the ISI is biochar produced from woody feedstocks </w:t>
      </w:r>
      <w:r>
        <w:fldChar w:fldCharType="begin"/>
      </w:r>
      <w:r w:rsidR="00430AAA">
        <w:instrText xml:space="preserve"> ADDIN ZOTERO_ITEM CSL_CITATION {"citationID":"fNLoefSc","properties":{"formattedCitation":"(Suopaj\\uc0\\u228{}rvi et al. 2013; Wei et al. 2017)","plainCitation":"(Suopajärvi et al. 2013; Wei et al. 2017)","dontUpdate":true,"noteIndex":0},"citationItems":[{"id":1781,"uris":["http://zotero.org/users/local/AB2owHL2/items/MMTKXIYN"],"itemData":{"id":1781,"type":"article-journal","abstract":"Steel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page"},{"id":393,"uris":["http://zotero.org/users/local/AB2owHL2/items/2BX9TDVQ"],"itemData":{"id":393,"type":"article-journal","abstract":"This paper provides a critical review on the current status and potential of biomass utilization in ferrous metallurgical processes, i.e., the blast furnace (BF) – basic oxygen furnace (BOF) route, the direct reduction (DR) – electric arc furnace (EAF) route, the scrap – EAF route and the other routes. In the BF-BOF route, biomass can be used as a fuel for iron ore sintering, or as a raw material for the production of bio-coke, and utilized for blast furnace injection. In the DR-EAF route, direct reduction iron can be produced form iron ore and biomass pellet. In the scrap – EAF route, biomass can be utilized in EAF through a cogeneration system. In addition, biomass can be utilized in magnetic separation of refractory low-grade iron ore, in reuse of iron and steel slag, or as an adsorbent for pollutant control, etc. The challenges and outlook of biomass utilization in metallurgical industry are also discussed in this paper.","container-title":"Renewable and Sustainable Energy Reviews","DOI":"10.1016/j.rser.2016.10.013","ISSN":"1364-0321","journalAbbreviation":"Renewable and Sustainable Energy Reviews","language":"en","page":"511-524","source":"ScienceDirect","title":"Current status and potential of biomass utilization in ferrous metallurgical industry","URL":"https://www.sciencedirect.com/science/article/pii/S1364032116306657","volume":"68","author":[{"family":"Wei","given":"Rufei"},{"family":"Zhang","given":"Lingling"},{"family":"Cang","given":"Daqiang"},{"family":"Li","given":"Jiaxin"},{"family":"Li","given":"Xianwei"},{"family":"Xu","given":"Chunbao Charles"}],"accessed":{"date-parts":[["2021",2,6]]},"issued":{"date-parts":[["2017",2,1]]}},"label":"page"}],"schema":"https://github.com/citation-style-language/schema/raw/master/csl-citation.json"} </w:instrText>
      </w:r>
      <w:r>
        <w:fldChar w:fldCharType="separate"/>
      </w:r>
      <w:r w:rsidRPr="00435833">
        <w:rPr>
          <w:rFonts w:ascii="Calibri" w:hAnsi="Calibri" w:cs="Calibri"/>
          <w:szCs w:val="24"/>
        </w:rPr>
        <w:t>(Wei et al. 2017)</w:t>
      </w:r>
      <w:r>
        <w:fldChar w:fldCharType="end"/>
      </w:r>
      <w:r>
        <w:t>.</w:t>
      </w:r>
    </w:p>
    <w:p w14:paraId="3DA9105C" w14:textId="6C7830C6" w:rsidR="009709A1" w:rsidRDefault="009709A1" w:rsidP="009709A1">
      <w:pPr>
        <w:spacing w:line="360" w:lineRule="auto"/>
        <w:jc w:val="both"/>
      </w:pPr>
      <w:r>
        <w:t xml:space="preserve">Research on the effect of biomass in the ISI is limited and sometimes conflicting. Each steel plant uses different sources for its raw materials and uses them in various concentrations and therefore the effect of biochar on each individual steel plant could vary. </w:t>
      </w:r>
    </w:p>
    <w:p w14:paraId="5BA94BE6" w14:textId="77777777" w:rsidR="00A3135F" w:rsidRDefault="00A3135F" w:rsidP="009709A1">
      <w:pPr>
        <w:spacing w:line="360" w:lineRule="auto"/>
        <w:jc w:val="both"/>
      </w:pPr>
    </w:p>
    <w:p w14:paraId="6C9A0D78" w14:textId="77777777" w:rsidR="00A3135F" w:rsidRDefault="00A3135F" w:rsidP="009709A1">
      <w:pPr>
        <w:spacing w:line="360" w:lineRule="auto"/>
        <w:jc w:val="both"/>
      </w:pPr>
    </w:p>
    <w:p w14:paraId="2252C49A" w14:textId="77777777" w:rsidR="00A3135F" w:rsidRDefault="00A3135F" w:rsidP="009709A1">
      <w:pPr>
        <w:spacing w:line="360" w:lineRule="auto"/>
        <w:jc w:val="both"/>
      </w:pPr>
    </w:p>
    <w:p w14:paraId="776591C2" w14:textId="77777777" w:rsidR="00A3135F" w:rsidRDefault="00A3135F" w:rsidP="009709A1">
      <w:pPr>
        <w:spacing w:line="360" w:lineRule="auto"/>
        <w:jc w:val="both"/>
      </w:pPr>
    </w:p>
    <w:p w14:paraId="096239F0" w14:textId="77777777" w:rsidR="00A3135F" w:rsidRDefault="00A3135F" w:rsidP="009709A1">
      <w:pPr>
        <w:spacing w:line="360" w:lineRule="auto"/>
        <w:jc w:val="both"/>
      </w:pPr>
    </w:p>
    <w:p w14:paraId="6A9DE2AD" w14:textId="77777777" w:rsidR="00A3135F" w:rsidRDefault="00A3135F" w:rsidP="009709A1">
      <w:pPr>
        <w:spacing w:line="360" w:lineRule="auto"/>
        <w:jc w:val="both"/>
      </w:pPr>
    </w:p>
    <w:p w14:paraId="194B5C0C" w14:textId="3720C858" w:rsidR="00DE5575" w:rsidRPr="00DE5575" w:rsidRDefault="00DE5575" w:rsidP="00350AB6">
      <w:pPr>
        <w:pStyle w:val="Heading2"/>
        <w:spacing w:line="360" w:lineRule="auto"/>
        <w:jc w:val="both"/>
      </w:pPr>
      <w:bookmarkStart w:id="10" w:name="_Toc127911429"/>
      <w:r>
        <w:lastRenderedPageBreak/>
        <w:t>Research aim</w:t>
      </w:r>
      <w:bookmarkEnd w:id="10"/>
    </w:p>
    <w:p w14:paraId="20E4E828" w14:textId="264F1E18" w:rsidR="003C3838" w:rsidRDefault="005043E5" w:rsidP="00815140">
      <w:pPr>
        <w:spacing w:line="360" w:lineRule="auto"/>
        <w:jc w:val="both"/>
      </w:pPr>
      <w:r>
        <w:t xml:space="preserve">The aim of this report is to assess </w:t>
      </w:r>
      <w:r w:rsidR="00691705">
        <w:t xml:space="preserve">the suitability </w:t>
      </w:r>
      <w:r w:rsidR="002E605F">
        <w:t xml:space="preserve">of </w:t>
      </w:r>
      <w:r w:rsidR="002872EB">
        <w:t xml:space="preserve">two </w:t>
      </w:r>
      <w:r w:rsidR="005A5DCE">
        <w:t>types of biochar,</w:t>
      </w:r>
      <w:r w:rsidR="00B57EFC">
        <w:t xml:space="preserve"> </w:t>
      </w:r>
      <w:r w:rsidR="000A06EC">
        <w:t>wood industry waste</w:t>
      </w:r>
      <w:r w:rsidR="00996CC7">
        <w:t xml:space="preserve"> hardwood biochar and a </w:t>
      </w:r>
      <w:r w:rsidR="00B57EFC">
        <w:t xml:space="preserve">pelletised </w:t>
      </w:r>
      <w:r w:rsidR="00996CC7">
        <w:t>softwood biochar</w:t>
      </w:r>
      <w:r w:rsidR="005A5DCE">
        <w:t>,</w:t>
      </w:r>
      <w:r w:rsidR="00C54167">
        <w:t xml:space="preserve"> for use in three </w:t>
      </w:r>
      <w:r w:rsidR="001669F8">
        <w:t>ironmaking processes</w:t>
      </w:r>
      <w:r w:rsidR="00F873CC">
        <w:t xml:space="preserve"> </w:t>
      </w:r>
      <w:r w:rsidR="007D2141">
        <w:t>at Port Talbot steelworks. The biochar will be assessed</w:t>
      </w:r>
      <w:r w:rsidR="00993C66">
        <w:t xml:space="preserve"> </w:t>
      </w:r>
      <w:r w:rsidR="002A0CA6">
        <w:t>as partial replacement for</w:t>
      </w:r>
      <w:r w:rsidR="00C304A6">
        <w:t xml:space="preserve"> the</w:t>
      </w:r>
      <w:r w:rsidR="00E04302">
        <w:t xml:space="preserve"> </w:t>
      </w:r>
      <w:r w:rsidR="00CE4BBF">
        <w:t>coal</w:t>
      </w:r>
      <w:r w:rsidR="00C304A6">
        <w:t xml:space="preserve"> used in </w:t>
      </w:r>
      <w:r w:rsidR="00CB4F7B">
        <w:t>coke</w:t>
      </w:r>
      <w:r w:rsidR="00891C54">
        <w:t xml:space="preserve"> </w:t>
      </w:r>
      <w:r w:rsidR="00A87609">
        <w:t>and iron</w:t>
      </w:r>
      <w:r w:rsidR="00891C54">
        <w:t xml:space="preserve"> </w:t>
      </w:r>
      <w:r w:rsidR="00A87609">
        <w:t>making</w:t>
      </w:r>
      <w:r w:rsidR="00B73FB9">
        <w:t xml:space="preserve"> and</w:t>
      </w:r>
      <w:r w:rsidR="00CE4BBF">
        <w:t xml:space="preserve"> coke breeze</w:t>
      </w:r>
      <w:r w:rsidR="00785D9A">
        <w:t xml:space="preserve"> used in</w:t>
      </w:r>
      <w:r w:rsidR="00CB4F7B">
        <w:t xml:space="preserve"> sinter making</w:t>
      </w:r>
      <w:r w:rsidR="002A0CA6">
        <w:t>.</w:t>
      </w:r>
      <w:r w:rsidR="00720956">
        <w:t xml:space="preserve"> </w:t>
      </w:r>
      <w:r w:rsidR="002C5A42">
        <w:t xml:space="preserve">The report aims to understand the near optimum amount of biochar </w:t>
      </w:r>
      <w:r w:rsidR="001D4324">
        <w:t xml:space="preserve">that can be used </w:t>
      </w:r>
      <w:r w:rsidR="003F036B">
        <w:t xml:space="preserve">without </w:t>
      </w:r>
      <w:r w:rsidR="008D0362">
        <w:t>having a detrimental impact on</w:t>
      </w:r>
      <w:r w:rsidR="003F036B">
        <w:t xml:space="preserve"> product quality.</w:t>
      </w:r>
      <w:r w:rsidR="00A37568">
        <w:t xml:space="preserve"> </w:t>
      </w:r>
      <w:r w:rsidR="00A55980">
        <w:t xml:space="preserve">The biochar will be assessed </w:t>
      </w:r>
      <w:r w:rsidR="005E7EC9">
        <w:t>using</w:t>
      </w:r>
      <w:r w:rsidR="004D0667">
        <w:t>:</w:t>
      </w:r>
    </w:p>
    <w:p w14:paraId="2CDCC84D" w14:textId="7890C9E6" w:rsidR="00C81128" w:rsidRDefault="004D0667" w:rsidP="00815140">
      <w:pPr>
        <w:pStyle w:val="ListParagraph"/>
        <w:numPr>
          <w:ilvl w:val="0"/>
          <w:numId w:val="10"/>
        </w:numPr>
        <w:spacing w:line="360" w:lineRule="auto"/>
        <w:jc w:val="both"/>
      </w:pPr>
      <w:r>
        <w:t>A</w:t>
      </w:r>
      <w:r w:rsidR="00C81128">
        <w:t xml:space="preserve"> lab scale pilot coke oven</w:t>
      </w:r>
      <w:r w:rsidR="00296921">
        <w:t xml:space="preserve"> and the quality </w:t>
      </w:r>
      <w:r w:rsidR="00AE16C1">
        <w:t>tests associated with coke.</w:t>
      </w:r>
    </w:p>
    <w:p w14:paraId="09258365" w14:textId="5A7EC7AB" w:rsidR="00041D18" w:rsidRDefault="004D0667" w:rsidP="00815140">
      <w:pPr>
        <w:pStyle w:val="ListParagraph"/>
        <w:numPr>
          <w:ilvl w:val="0"/>
          <w:numId w:val="10"/>
        </w:numPr>
        <w:spacing w:line="360" w:lineRule="auto"/>
        <w:jc w:val="both"/>
      </w:pPr>
      <w:r>
        <w:t xml:space="preserve">A </w:t>
      </w:r>
      <w:r w:rsidR="000601E7">
        <w:t>sinter make simulation called the sinter pot</w:t>
      </w:r>
      <w:r w:rsidR="00AE16C1">
        <w:t>. Including the quality tests associated with sinter.</w:t>
      </w:r>
    </w:p>
    <w:p w14:paraId="075E6B7E" w14:textId="54E7C442" w:rsidR="00167006" w:rsidRDefault="00692E61" w:rsidP="00815140">
      <w:pPr>
        <w:pStyle w:val="ListParagraph"/>
        <w:numPr>
          <w:ilvl w:val="0"/>
          <w:numId w:val="10"/>
        </w:numPr>
        <w:spacing w:line="360" w:lineRule="auto"/>
        <w:jc w:val="both"/>
      </w:pPr>
      <w:r>
        <w:t>Several</w:t>
      </w:r>
      <w:r w:rsidR="005E7EC9">
        <w:t xml:space="preserve"> tests required </w:t>
      </w:r>
      <w:r w:rsidR="00D16D67">
        <w:t>f</w:t>
      </w:r>
      <w:r w:rsidR="00415D72">
        <w:t>or</w:t>
      </w:r>
      <w:r w:rsidR="00D16D67">
        <w:t xml:space="preserve"> assessing</w:t>
      </w:r>
      <w:r w:rsidR="00415D72">
        <w:t xml:space="preserve"> potential </w:t>
      </w:r>
      <w:r w:rsidR="007E0FC2">
        <w:t>fuel</w:t>
      </w:r>
      <w:r w:rsidR="003E294E">
        <w:t xml:space="preserve"> replacement</w:t>
      </w:r>
      <w:r w:rsidR="00003CCD">
        <w:t xml:space="preserve"> in the blast furnace</w:t>
      </w:r>
      <w:r w:rsidR="003E294E">
        <w:t xml:space="preserve">. </w:t>
      </w:r>
    </w:p>
    <w:p w14:paraId="215AD57D" w14:textId="601BA951" w:rsidR="00D8473F" w:rsidRDefault="00175C17" w:rsidP="00167006">
      <w:pPr>
        <w:spacing w:line="360" w:lineRule="auto"/>
        <w:jc w:val="both"/>
      </w:pPr>
      <w:r>
        <w:t>Another aim of this project is to understand the potential CO</w:t>
      </w:r>
      <w:r w:rsidRPr="006B69D1">
        <w:rPr>
          <w:vertAlign w:val="subscript"/>
        </w:rPr>
        <w:t xml:space="preserve">2 </w:t>
      </w:r>
      <w:r>
        <w:t xml:space="preserve">savings </w:t>
      </w:r>
      <w:r w:rsidR="000D43DC">
        <w:t xml:space="preserve">from using biochar </w:t>
      </w:r>
      <w:r w:rsidR="004D607F">
        <w:t xml:space="preserve">in the three </w:t>
      </w:r>
      <w:proofErr w:type="gramStart"/>
      <w:r w:rsidR="004D607F">
        <w:t>aforementioned processes</w:t>
      </w:r>
      <w:proofErr w:type="gramEnd"/>
      <w:r w:rsidR="008E74EE">
        <w:t>.</w:t>
      </w:r>
    </w:p>
    <w:p w14:paraId="267A6C41" w14:textId="77777777" w:rsidR="00D8473F" w:rsidRDefault="00D8473F" w:rsidP="00083525">
      <w:pPr>
        <w:pStyle w:val="Heading2"/>
        <w:spacing w:line="360" w:lineRule="auto"/>
      </w:pPr>
      <w:bookmarkStart w:id="11" w:name="_Toc127911430"/>
      <w:r>
        <w:t>Objectives</w:t>
      </w:r>
      <w:bookmarkEnd w:id="11"/>
    </w:p>
    <w:p w14:paraId="79E38B33" w14:textId="00DF9833" w:rsidR="002A6523" w:rsidRPr="002A6523" w:rsidRDefault="0039017A" w:rsidP="00DD0541">
      <w:pPr>
        <w:pStyle w:val="ListParagraph"/>
        <w:numPr>
          <w:ilvl w:val="0"/>
          <w:numId w:val="22"/>
        </w:numPr>
        <w:spacing w:line="360" w:lineRule="auto"/>
        <w:jc w:val="both"/>
      </w:pPr>
      <w:r>
        <w:t xml:space="preserve">Analyse </w:t>
      </w:r>
      <w:r w:rsidR="000D01F0">
        <w:t xml:space="preserve">the biochar samples </w:t>
      </w:r>
      <w:r w:rsidR="003522BB">
        <w:t xml:space="preserve">using the same </w:t>
      </w:r>
      <w:r w:rsidR="00680DF9">
        <w:t>techniques</w:t>
      </w:r>
      <w:r w:rsidR="003522BB">
        <w:t xml:space="preserve"> that would be used to </w:t>
      </w:r>
      <w:r w:rsidR="00680DF9">
        <w:t>assess the fuel</w:t>
      </w:r>
      <w:r>
        <w:t xml:space="preserve">s for coke making, sinter </w:t>
      </w:r>
      <w:r w:rsidR="00CE6178">
        <w:t>making,</w:t>
      </w:r>
      <w:r>
        <w:t xml:space="preserve"> and iron making</w:t>
      </w:r>
      <w:r w:rsidR="00247C8D">
        <w:t>.</w:t>
      </w:r>
    </w:p>
    <w:p w14:paraId="6A9A9726" w14:textId="6836F74E" w:rsidR="00820C4E" w:rsidRDefault="006F7684" w:rsidP="00DD0541">
      <w:pPr>
        <w:pStyle w:val="ListParagraph"/>
        <w:numPr>
          <w:ilvl w:val="0"/>
          <w:numId w:val="21"/>
        </w:numPr>
        <w:spacing w:line="360" w:lineRule="auto"/>
        <w:jc w:val="both"/>
      </w:pPr>
      <w:r>
        <w:t>Evaluate</w:t>
      </w:r>
      <w:r w:rsidR="00DA3208">
        <w:t xml:space="preserve"> the biochar</w:t>
      </w:r>
      <w:r w:rsidR="00976934">
        <w:t xml:space="preserve"> analysis </w:t>
      </w:r>
      <w:r>
        <w:t>against</w:t>
      </w:r>
      <w:r w:rsidR="00976934">
        <w:t xml:space="preserve"> typical fuel analysis for each process.</w:t>
      </w:r>
    </w:p>
    <w:p w14:paraId="5F751700" w14:textId="63CE0E74" w:rsidR="0073181E" w:rsidRDefault="00C32653" w:rsidP="00DD0541">
      <w:pPr>
        <w:pStyle w:val="ListParagraph"/>
        <w:numPr>
          <w:ilvl w:val="0"/>
          <w:numId w:val="21"/>
        </w:numPr>
        <w:spacing w:line="360" w:lineRule="auto"/>
        <w:jc w:val="both"/>
      </w:pPr>
      <w:r>
        <w:t xml:space="preserve">Compare </w:t>
      </w:r>
      <w:r w:rsidR="00144248">
        <w:t xml:space="preserve">the combustion characteristics </w:t>
      </w:r>
      <w:r w:rsidR="00235CFB">
        <w:t xml:space="preserve">of biochar with pulverised coal to determine the suitability of biochar as </w:t>
      </w:r>
      <w:r w:rsidR="0092551E">
        <w:t xml:space="preserve">partial replacement of </w:t>
      </w:r>
      <w:r w:rsidR="0073181E">
        <w:t xml:space="preserve">the coal, using a drop tube furnace and </w:t>
      </w:r>
      <w:r w:rsidR="00263F88">
        <w:t>thermogravimetric analyser</w:t>
      </w:r>
      <w:r w:rsidR="00FE04F5">
        <w:t>.</w:t>
      </w:r>
    </w:p>
    <w:p w14:paraId="065B6DA9" w14:textId="35E6BE6F" w:rsidR="00EB028C" w:rsidRDefault="00FB19E0" w:rsidP="00DD0541">
      <w:pPr>
        <w:pStyle w:val="ListParagraph"/>
        <w:numPr>
          <w:ilvl w:val="0"/>
          <w:numId w:val="21"/>
        </w:numPr>
        <w:spacing w:line="360" w:lineRule="auto"/>
        <w:jc w:val="both"/>
      </w:pPr>
      <w:r>
        <w:t>Use a lab scale pilot oven to produce biocoke</w:t>
      </w:r>
      <w:r w:rsidR="009D2EC5">
        <w:t xml:space="preserve"> with varying biochar</w:t>
      </w:r>
      <w:r w:rsidR="002A33AE">
        <w:t>/coal</w:t>
      </w:r>
      <w:r w:rsidR="009D2EC5">
        <w:t xml:space="preserve"> replacement concentrations</w:t>
      </w:r>
      <w:r w:rsidR="00EB028C">
        <w:t xml:space="preserve">. </w:t>
      </w:r>
    </w:p>
    <w:p w14:paraId="4DFC0C3F" w14:textId="6A975B2E" w:rsidR="00923388" w:rsidRDefault="00904DC1" w:rsidP="00DD0541">
      <w:pPr>
        <w:pStyle w:val="ListParagraph"/>
        <w:numPr>
          <w:ilvl w:val="0"/>
          <w:numId w:val="21"/>
        </w:numPr>
        <w:spacing w:line="360" w:lineRule="auto"/>
        <w:jc w:val="both"/>
      </w:pPr>
      <w:r>
        <w:t xml:space="preserve">Assess the biocoke </w:t>
      </w:r>
      <w:r w:rsidR="00A642DF">
        <w:t>against blast furnace coke quality measures.</w:t>
      </w:r>
      <w:r>
        <w:t xml:space="preserve"> </w:t>
      </w:r>
      <w:r w:rsidR="00DE2440">
        <w:t xml:space="preserve"> </w:t>
      </w:r>
    </w:p>
    <w:p w14:paraId="1BA68FC2" w14:textId="702477F8" w:rsidR="00D07BAF" w:rsidRDefault="008E5D23" w:rsidP="00DD0541">
      <w:pPr>
        <w:pStyle w:val="ListParagraph"/>
        <w:numPr>
          <w:ilvl w:val="0"/>
          <w:numId w:val="21"/>
        </w:numPr>
        <w:spacing w:line="360" w:lineRule="auto"/>
        <w:jc w:val="both"/>
      </w:pPr>
      <w:r>
        <w:t xml:space="preserve">Produce sinter using a sinter pot at varying different </w:t>
      </w:r>
      <w:r w:rsidR="002A33AE">
        <w:t>biochar/coke breeze replacement concentrations</w:t>
      </w:r>
      <w:r w:rsidR="0097183C">
        <w:t xml:space="preserve">. </w:t>
      </w:r>
    </w:p>
    <w:p w14:paraId="6375C4F8" w14:textId="2F02B241" w:rsidR="00787C75" w:rsidRDefault="00787C75" w:rsidP="00DD0541">
      <w:pPr>
        <w:pStyle w:val="ListParagraph"/>
        <w:numPr>
          <w:ilvl w:val="0"/>
          <w:numId w:val="21"/>
        </w:numPr>
        <w:spacing w:line="360" w:lineRule="auto"/>
        <w:jc w:val="both"/>
      </w:pPr>
      <w:r>
        <w:t>Assess the bio-sinter using blast furnace sinter quality measures.</w:t>
      </w:r>
    </w:p>
    <w:p w14:paraId="7ADBCAE1" w14:textId="600E156C" w:rsidR="004B6C82" w:rsidRDefault="004B6C82" w:rsidP="00DD0541">
      <w:pPr>
        <w:pStyle w:val="ListParagraph"/>
        <w:numPr>
          <w:ilvl w:val="0"/>
          <w:numId w:val="21"/>
        </w:numPr>
        <w:spacing w:line="360" w:lineRule="auto"/>
        <w:jc w:val="both"/>
      </w:pPr>
      <w:r>
        <w:t xml:space="preserve">Identify the near optimum </w:t>
      </w:r>
      <w:r w:rsidR="00D7776C">
        <w:t>biochar/fuel replacement percentage.</w:t>
      </w:r>
    </w:p>
    <w:p w14:paraId="413938CA" w14:textId="0B6EC069" w:rsidR="00D7776C" w:rsidRPr="00083525" w:rsidRDefault="00D7776C" w:rsidP="00DD0541">
      <w:pPr>
        <w:pStyle w:val="ListParagraph"/>
        <w:numPr>
          <w:ilvl w:val="0"/>
          <w:numId w:val="21"/>
        </w:numPr>
        <w:spacing w:line="360" w:lineRule="auto"/>
        <w:jc w:val="both"/>
      </w:pPr>
      <w:r>
        <w:t xml:space="preserve">Calculate the </w:t>
      </w:r>
      <w:r w:rsidR="00B2058F">
        <w:t>potential CO</w:t>
      </w:r>
      <w:r w:rsidR="00B2058F" w:rsidRPr="00B2058F">
        <w:rPr>
          <w:vertAlign w:val="subscript"/>
        </w:rPr>
        <w:t xml:space="preserve">2 </w:t>
      </w:r>
      <w:r w:rsidR="00B2058F">
        <w:t>savings that could be realised by using biochar in these processes.</w:t>
      </w:r>
    </w:p>
    <w:p w14:paraId="42727CBA" w14:textId="7DEA743E" w:rsidR="00196715" w:rsidRDefault="00196715" w:rsidP="00083525">
      <w:pPr>
        <w:pStyle w:val="Heading2"/>
        <w:numPr>
          <w:ilvl w:val="0"/>
          <w:numId w:val="20"/>
        </w:numPr>
      </w:pPr>
      <w:r>
        <w:br w:type="page"/>
      </w:r>
    </w:p>
    <w:p w14:paraId="5FD54DD2" w14:textId="538735C3" w:rsidR="00225BF7" w:rsidRDefault="0022042C" w:rsidP="00F104D1">
      <w:pPr>
        <w:pStyle w:val="Heading1"/>
        <w:spacing w:line="360" w:lineRule="auto"/>
        <w:jc w:val="both"/>
      </w:pPr>
      <w:bookmarkStart w:id="12" w:name="_Toc127911431"/>
      <w:r>
        <w:lastRenderedPageBreak/>
        <w:t>Theory</w:t>
      </w:r>
      <w:bookmarkEnd w:id="12"/>
    </w:p>
    <w:p w14:paraId="2B1116D3" w14:textId="3303CDCD" w:rsidR="00225BF7" w:rsidRDefault="00DE4D1F" w:rsidP="00F104D1">
      <w:pPr>
        <w:pStyle w:val="Heading2"/>
        <w:spacing w:line="360" w:lineRule="auto"/>
        <w:jc w:val="both"/>
      </w:pPr>
      <w:bookmarkStart w:id="13" w:name="_Toc127911432"/>
      <w:r>
        <w:t>Biomass</w:t>
      </w:r>
      <w:bookmarkEnd w:id="13"/>
      <w:r>
        <w:t xml:space="preserve"> </w:t>
      </w:r>
    </w:p>
    <w:p w14:paraId="2CCA25E6" w14:textId="24D2C285" w:rsidR="0069098A" w:rsidRDefault="0069098A" w:rsidP="00F104D1">
      <w:pPr>
        <w:spacing w:line="360" w:lineRule="auto"/>
        <w:jc w:val="both"/>
      </w:pPr>
      <w:r>
        <w:t xml:space="preserve">Biomass refers to organic materials produced by plants, animals, and microorganisms. It can be split into four categories: </w:t>
      </w:r>
    </w:p>
    <w:p w14:paraId="621CBB80" w14:textId="77777777" w:rsidR="0069098A" w:rsidRDefault="0069098A" w:rsidP="0069098A">
      <w:pPr>
        <w:pStyle w:val="ListParagraph"/>
        <w:numPr>
          <w:ilvl w:val="0"/>
          <w:numId w:val="3"/>
        </w:numPr>
        <w:spacing w:line="360" w:lineRule="auto"/>
        <w:jc w:val="both"/>
      </w:pPr>
      <w:r>
        <w:t>Wood and forestry residues – Sawdust, woodchip, bark, lump wood etc.</w:t>
      </w:r>
    </w:p>
    <w:p w14:paraId="0351FA44" w14:textId="77777777" w:rsidR="0069098A" w:rsidRDefault="0069098A" w:rsidP="0069098A">
      <w:pPr>
        <w:pStyle w:val="ListParagraph"/>
        <w:numPr>
          <w:ilvl w:val="0"/>
          <w:numId w:val="3"/>
        </w:numPr>
        <w:spacing w:line="360" w:lineRule="auto"/>
        <w:jc w:val="both"/>
      </w:pPr>
      <w:r>
        <w:t>Agriculture residues – Straw, corn stalks, bagasse, willow, and nut hulls.</w:t>
      </w:r>
    </w:p>
    <w:p w14:paraId="7AFAB13B" w14:textId="77777777" w:rsidR="0069098A" w:rsidRDefault="0069098A" w:rsidP="0069098A">
      <w:pPr>
        <w:pStyle w:val="ListParagraph"/>
        <w:numPr>
          <w:ilvl w:val="0"/>
          <w:numId w:val="3"/>
        </w:numPr>
        <w:spacing w:line="360" w:lineRule="auto"/>
        <w:jc w:val="both"/>
      </w:pPr>
      <w:r>
        <w:t>Organic industry waste – Papermill sludge and food processing wastes.</w:t>
      </w:r>
    </w:p>
    <w:p w14:paraId="7E6E1CEB" w14:textId="77777777" w:rsidR="0069098A" w:rsidRDefault="0069098A" w:rsidP="0069098A">
      <w:pPr>
        <w:pStyle w:val="ListParagraph"/>
        <w:numPr>
          <w:ilvl w:val="0"/>
          <w:numId w:val="3"/>
        </w:numPr>
        <w:spacing w:line="360" w:lineRule="auto"/>
        <w:jc w:val="both"/>
      </w:pPr>
      <w:r>
        <w:t>Urban wastes – Sewage, common waste manure and compost.</w:t>
      </w:r>
    </w:p>
    <w:p w14:paraId="61585749" w14:textId="77777777" w:rsidR="0069098A" w:rsidRDefault="0069098A" w:rsidP="0069098A">
      <w:pPr>
        <w:spacing w:line="360" w:lineRule="auto"/>
        <w:jc w:val="both"/>
      </w:pPr>
      <w:r>
        <w:fldChar w:fldCharType="begin"/>
      </w:r>
      <w:r>
        <w:instrText xml:space="preserve"> ADDIN ZOTERO_ITEM CSL_CITATION {"citationID":"53JVGSVI","properties":{"formattedCitation":"(Mousa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fldChar w:fldCharType="separate"/>
      </w:r>
      <w:r w:rsidRPr="00393D81">
        <w:rPr>
          <w:rFonts w:ascii="Calibri" w:hAnsi="Calibri" w:cs="Calibri"/>
        </w:rPr>
        <w:t>(Mousa et al. 2016)</w:t>
      </w:r>
      <w:r>
        <w:fldChar w:fldCharType="end"/>
      </w:r>
    </w:p>
    <w:p w14:paraId="66DA49D4" w14:textId="7782EEBE" w:rsidR="00225BF7" w:rsidRDefault="00146AA0" w:rsidP="00146AA0">
      <w:pPr>
        <w:spacing w:line="360" w:lineRule="auto"/>
        <w:jc w:val="both"/>
      </w:pPr>
      <w:r>
        <w:t>These products</w:t>
      </w:r>
      <w:r w:rsidR="00CA19C0">
        <w:t xml:space="preserve"> all</w:t>
      </w:r>
      <w:r>
        <w:t xml:space="preserve"> have very different origins, and their physical and chemical properties will therefore </w:t>
      </w:r>
      <w:r w:rsidR="00083D15">
        <w:t xml:space="preserve">differ </w:t>
      </w:r>
      <w:r>
        <w:t xml:space="preserve">significantly. The coal, sinter and iron making processes are complex and their raw materials </w:t>
      </w:r>
      <w:r w:rsidR="00B031B2">
        <w:t>h</w:t>
      </w:r>
      <w:r>
        <w:t xml:space="preserve">ave </w:t>
      </w:r>
      <w:r w:rsidR="00B031B2">
        <w:t>specific requirements. Therefore, not all the biomass fuels listed above would be considered suitable for use in these processes</w:t>
      </w:r>
      <w:r w:rsidR="009D058C">
        <w:t>,</w:t>
      </w:r>
      <w:r w:rsidR="008447C8">
        <w:t xml:space="preserve"> there is also</w:t>
      </w:r>
      <w:r w:rsidR="00B031B2">
        <w:t xml:space="preserve"> </w:t>
      </w:r>
      <w:r w:rsidR="009658A0">
        <w:t xml:space="preserve">usually some form of thermal pre-treatment required </w:t>
      </w:r>
      <w:r w:rsidR="0022042C">
        <w:fldChar w:fldCharType="begin"/>
      </w:r>
      <w:r w:rsidR="0022042C">
        <w:instrText xml:space="preserve"> ADDIN ZOTERO_ITEM CSL_CITATION {"citationID":"ji920iIg","properties":{"formattedCitation":"(Fick et al. 2014)","plainCitation":"(Fick et al. 2014)","noteIndex":0},"citationItems":[{"id":1731,"uris":["http://zotero.org/users/local/AB2owHL2/items/RGBXIN8E"],"itemData":{"id":1731,"type":"article-journal","abstract":"The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schema":"https://github.com/citation-style-language/schema/raw/master/csl-citation.json"} </w:instrText>
      </w:r>
      <w:r w:rsidR="0022042C">
        <w:fldChar w:fldCharType="separate"/>
      </w:r>
      <w:r w:rsidR="0022042C" w:rsidRPr="0022042C">
        <w:rPr>
          <w:rFonts w:ascii="Calibri" w:hAnsi="Calibri" w:cs="Calibri"/>
        </w:rPr>
        <w:t>(Fick et al. 2014)</w:t>
      </w:r>
      <w:r w:rsidR="0022042C">
        <w:fldChar w:fldCharType="end"/>
      </w:r>
      <w:r w:rsidR="00B031B2">
        <w:t xml:space="preserve">. </w:t>
      </w:r>
      <w:r w:rsidR="0022042C">
        <w:t xml:space="preserve"> </w:t>
      </w:r>
      <w:r w:rsidR="008D2F53">
        <w:t xml:space="preserve"> </w:t>
      </w:r>
    </w:p>
    <w:p w14:paraId="6C3CF4B9" w14:textId="21A3E149" w:rsidR="008447C8" w:rsidRPr="008447C8" w:rsidRDefault="00CA3164" w:rsidP="00F104D1">
      <w:pPr>
        <w:pStyle w:val="Heading3"/>
        <w:spacing w:line="360" w:lineRule="auto"/>
        <w:jc w:val="both"/>
      </w:pPr>
      <w:bookmarkStart w:id="14" w:name="_Toc127911433"/>
      <w:r>
        <w:t xml:space="preserve">Raw </w:t>
      </w:r>
      <w:r w:rsidR="008447C8">
        <w:t>Biomass structure</w:t>
      </w:r>
      <w:bookmarkEnd w:id="14"/>
    </w:p>
    <w:p w14:paraId="234CBEC1" w14:textId="020896B4" w:rsidR="005A7217" w:rsidRDefault="005A7217" w:rsidP="00F104D1">
      <w:pPr>
        <w:spacing w:line="360" w:lineRule="auto"/>
        <w:jc w:val="both"/>
      </w:pPr>
      <w:r>
        <w:t>The structure of biomass can be lignocellulosic or non-lignocellulosic</w:t>
      </w:r>
      <w:r w:rsidR="00BD2DBB">
        <w:t xml:space="preserve">. The lignocellulosic material is the fibrous part of the plant that consists of cellulose, </w:t>
      </w:r>
      <w:r w:rsidR="00B72433">
        <w:t>hemicellulose,</w:t>
      </w:r>
      <w:r w:rsidR="00BD2DBB">
        <w:t xml:space="preserve"> and lignin</w:t>
      </w:r>
      <w:r w:rsidR="00046072">
        <w:t xml:space="preserve"> (figure </w:t>
      </w:r>
      <w:r w:rsidR="00E433C7">
        <w:t>4</w:t>
      </w:r>
      <w:r w:rsidR="00046072">
        <w:t>)</w:t>
      </w:r>
      <w:r w:rsidR="00B72433">
        <w:t>. The non-lignocellulosic material is non-cellulosic organic material which is used for nutritional purposes such as Sugar, protein, fat and starch. Lignocellulosic material can be described as woody</w:t>
      </w:r>
      <w:r w:rsidR="009264FE">
        <w:t xml:space="preserve"> and is not easily digestible by humans</w:t>
      </w:r>
      <w:r w:rsidR="00EA2334">
        <w:t xml:space="preserve"> </w:t>
      </w:r>
      <w:r w:rsidR="00EA2334">
        <w:fldChar w:fldCharType="begin"/>
      </w:r>
      <w:r w:rsidR="00EA2334">
        <w:instrText xml:space="preserve"> ADDIN ZOTERO_ITEM CSL_CITATION {"citationID":"UxBgHQj5","properties":{"formattedCitation":"(Basu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EA2334">
        <w:fldChar w:fldCharType="separate"/>
      </w:r>
      <w:r w:rsidR="00EA2334" w:rsidRPr="00EA2334">
        <w:rPr>
          <w:rFonts w:ascii="Calibri" w:hAnsi="Calibri" w:cs="Calibri"/>
        </w:rPr>
        <w:t>(Basu 2013)</w:t>
      </w:r>
      <w:r w:rsidR="00EA2334">
        <w:fldChar w:fldCharType="end"/>
      </w:r>
      <w:r w:rsidR="009264FE">
        <w:t>.</w:t>
      </w:r>
      <w:r w:rsidR="007E61DA">
        <w:t xml:space="preserve"> </w:t>
      </w:r>
      <w:r w:rsidR="00790785">
        <w:t xml:space="preserve">In a thorough assessment of many different types of biomass </w:t>
      </w:r>
      <w:r w:rsidR="00790785">
        <w:fldChar w:fldCharType="begin"/>
      </w:r>
      <w:r w:rsidR="00790785">
        <w:instrText xml:space="preserve"> ADDIN ZOTERO_ITEM CSL_CITATION {"citationID":"FMX0xybt","properties":{"formattedCitation":"(Tao et al. 2012)","plainCitation":"(Tao et al. 2012)","noteIndex":0},"citationItems":[{"id":1809,"uris":["http://zotero.org/users/local/AB2owHL2/items/DKFZ59Y6"],"itemData":{"id":1809,"type":"article-journal","container-title":"Renewable and Sustainable Energy Reviews","DOI":"10.1016/j.rser.2012.02.039","ISSN":"13640321","issue":"5","journalAbbreviation":"Renewable and Sustainable Energy Reviews","language":"en","page":"3481-3506","source":"DOI.org (Crossref)","title":"Biomass properties in association with plant species and assortments I: A synthesis based on literature data of energy properties","title-short":"Biomass properties in association with plant species and assortments I","URL":"https://linkinghub.elsevier.com/retrieve/pii/S1364032112001335","volume":"16","author":[{"family":"Tao","given":"Guangcan"},{"family":"Lestander","given":"Torbjörn A."},{"family":"Geladi","given":"Paul"},{"family":"Xiong","given":"Shaojun"}],"accessed":{"date-parts":[["2022",7,20]]},"issued":{"date-parts":[["2012",6]]}}}],"schema":"https://github.com/citation-style-language/schema/raw/master/csl-citation.json"} </w:instrText>
      </w:r>
      <w:r w:rsidR="00790785">
        <w:fldChar w:fldCharType="separate"/>
      </w:r>
      <w:r w:rsidR="00790785" w:rsidRPr="00790785">
        <w:rPr>
          <w:rFonts w:ascii="Calibri" w:hAnsi="Calibri" w:cs="Calibri"/>
        </w:rPr>
        <w:t>(Tao et al. 2012)</w:t>
      </w:r>
      <w:r w:rsidR="00790785">
        <w:fldChar w:fldCharType="end"/>
      </w:r>
      <w:r w:rsidR="00AE3F2F">
        <w:t xml:space="preserve"> found that woody materials </w:t>
      </w:r>
      <w:r w:rsidR="006046A8">
        <w:t xml:space="preserve">were considered a higher </w:t>
      </w:r>
      <w:r w:rsidR="00C70A66">
        <w:t>quality for use in a BF</w:t>
      </w:r>
      <w:r w:rsidR="006B6E69">
        <w:t xml:space="preserve">, while </w:t>
      </w:r>
      <w:r w:rsidR="00572D55">
        <w:t xml:space="preserve"> herbaceous biomass such as straw and fruit residues were </w:t>
      </w:r>
      <w:r w:rsidR="00B97C37">
        <w:t>considered low quality fuels.</w:t>
      </w:r>
      <w:r w:rsidR="009264FE">
        <w:t xml:space="preserve"> </w:t>
      </w:r>
      <w:r w:rsidR="008620E6">
        <w:t xml:space="preserve"> The</w:t>
      </w:r>
      <w:r w:rsidR="004C705F">
        <w:t xml:space="preserve"> reason</w:t>
      </w:r>
      <w:r w:rsidR="00417F5D">
        <w:t>s</w:t>
      </w:r>
      <w:r w:rsidR="004C705F">
        <w:t xml:space="preserve"> the </w:t>
      </w:r>
      <w:r w:rsidR="006858FD">
        <w:t>wood-based</w:t>
      </w:r>
      <w:r w:rsidR="00417F5D">
        <w:t xml:space="preserve"> biomasses are favourable is because </w:t>
      </w:r>
      <w:r w:rsidR="00D90805">
        <w:t xml:space="preserve">they have low ash and sulphur content and the </w:t>
      </w:r>
      <w:r w:rsidR="00E12739">
        <w:t>level</w:t>
      </w:r>
      <w:r w:rsidR="00D90805">
        <w:t xml:space="preserve"> of </w:t>
      </w:r>
      <w:r w:rsidR="00225EF6">
        <w:t>harmful elements such as</w:t>
      </w:r>
      <w:r w:rsidR="0070750C">
        <w:t xml:space="preserve"> sodium (Na) and potassium (K) </w:t>
      </w:r>
      <w:r w:rsidR="00330FF8">
        <w:t>found in wood ash, are at acceptable levels.</w:t>
      </w:r>
      <w:r w:rsidR="00B72433">
        <w:t xml:space="preserve"> </w:t>
      </w:r>
    </w:p>
    <w:p w14:paraId="184258F9" w14:textId="6150850C" w:rsidR="00B95995" w:rsidRDefault="00B95995" w:rsidP="00146AA0">
      <w:pPr>
        <w:spacing w:line="360" w:lineRule="auto"/>
        <w:jc w:val="both"/>
      </w:pPr>
      <w:r w:rsidRPr="00B95995">
        <w:rPr>
          <w:noProof/>
        </w:rPr>
        <w:drawing>
          <wp:inline distT="0" distB="0" distL="0" distR="0" wp14:anchorId="1FD5623B" wp14:editId="67B3C220">
            <wp:extent cx="5063007" cy="1407381"/>
            <wp:effectExtent l="0" t="0" r="4445"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5"/>
                    <a:stretch>
                      <a:fillRect/>
                    </a:stretch>
                  </pic:blipFill>
                  <pic:spPr>
                    <a:xfrm>
                      <a:off x="0" y="0"/>
                      <a:ext cx="5148082" cy="1431030"/>
                    </a:xfrm>
                    <a:prstGeom prst="rect">
                      <a:avLst/>
                    </a:prstGeom>
                  </pic:spPr>
                </pic:pic>
              </a:graphicData>
            </a:graphic>
          </wp:inline>
        </w:drawing>
      </w:r>
    </w:p>
    <w:p w14:paraId="690D1744" w14:textId="24026CC3" w:rsidR="00B95995" w:rsidRDefault="00B95995" w:rsidP="00B95995">
      <w:pPr>
        <w:pStyle w:val="Caption"/>
      </w:pPr>
      <w:bookmarkStart w:id="15" w:name="_Toc127110898"/>
      <w:r>
        <w:t xml:space="preserve">Figure </w:t>
      </w:r>
      <w:fldSimple w:instr=" SEQ Figure \* ARABIC ">
        <w:r w:rsidR="00A0212F">
          <w:rPr>
            <w:noProof/>
          </w:rPr>
          <w:t>4</w:t>
        </w:r>
      </w:fldSimple>
      <w:r>
        <w:t xml:space="preserve"> Major constituents of a woody biomass </w:t>
      </w:r>
      <w:r>
        <w:fldChar w:fldCharType="begin"/>
      </w:r>
      <w:r>
        <w:instrText xml:space="preserve"> ADDIN ZOTERO_ITEM CSL_CITATION {"citationID":"FC7qtAxu","properties":{"formattedCitation":"(Basu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fldChar w:fldCharType="separate"/>
      </w:r>
      <w:r w:rsidRPr="00B95995">
        <w:rPr>
          <w:rFonts w:ascii="Calibri" w:hAnsi="Calibri" w:cs="Calibri"/>
        </w:rPr>
        <w:t>(Basu 2013)</w:t>
      </w:r>
      <w:bookmarkEnd w:id="15"/>
      <w:r>
        <w:fldChar w:fldCharType="end"/>
      </w:r>
    </w:p>
    <w:p w14:paraId="1DDDBA7E" w14:textId="633F639F" w:rsidR="00B95995" w:rsidRDefault="00B95995" w:rsidP="00B95995">
      <w:pPr>
        <w:spacing w:line="360" w:lineRule="auto"/>
        <w:jc w:val="both"/>
      </w:pPr>
      <w:r w:rsidRPr="00B921F5">
        <w:rPr>
          <w:b/>
          <w:bCs/>
        </w:rPr>
        <w:lastRenderedPageBreak/>
        <w:t>Cellulose</w:t>
      </w:r>
      <w:r>
        <w:t xml:space="preserve"> (</w:t>
      </w:r>
      <w:r w:rsidRPr="00B95995">
        <w:t>C</w:t>
      </w:r>
      <w:r w:rsidRPr="00B95995">
        <w:rPr>
          <w:vertAlign w:val="subscript"/>
        </w:rPr>
        <w:t>6</w:t>
      </w:r>
      <w:r>
        <w:t>H</w:t>
      </w:r>
      <w:r w:rsidRPr="00B95995">
        <w:rPr>
          <w:vertAlign w:val="subscript"/>
        </w:rPr>
        <w:t>10</w:t>
      </w:r>
      <w:r>
        <w:t>O</w:t>
      </w:r>
      <w:proofErr w:type="gramStart"/>
      <w:r w:rsidRPr="00B95995">
        <w:rPr>
          <w:vertAlign w:val="subscript"/>
        </w:rPr>
        <w:t>5</w:t>
      </w:r>
      <w:r>
        <w:t>)</w:t>
      </w:r>
      <w:r w:rsidR="00AE3893" w:rsidRPr="00AE3893">
        <w:rPr>
          <w:vertAlign w:val="subscript"/>
        </w:rPr>
        <w:t>n</w:t>
      </w:r>
      <w:proofErr w:type="gramEnd"/>
      <w:r>
        <w:t xml:space="preserve"> </w:t>
      </w:r>
      <w:r w:rsidRPr="00B95995">
        <w:t>is</w:t>
      </w:r>
      <w:r>
        <w:t xml:space="preserve"> the most common organic compound on earth and is the primary structural component of cell walls in biomass. </w:t>
      </w:r>
      <w:r w:rsidR="00E80534">
        <w:t xml:space="preserve">Cellulose is a long chain </w:t>
      </w:r>
      <w:r w:rsidR="008D63B0">
        <w:t>polymer;</w:t>
      </w:r>
      <w:r w:rsidR="00E80534">
        <w:t xml:space="preserve"> its crystalline structure gives it a high strength and forms most biomass skeletal structure. It is the largest component of wood</w:t>
      </w:r>
      <w:r w:rsidR="00993E9D">
        <w:t>,</w:t>
      </w:r>
      <w:r w:rsidR="00E80534">
        <w:t xml:space="preserve"> making up to 44% of dry weight </w:t>
      </w:r>
      <w:r w:rsidR="00E80534">
        <w:fldChar w:fldCharType="begin"/>
      </w:r>
      <w:r w:rsidR="00E80534">
        <w:instrText xml:space="preserve"> ADDIN ZOTERO_ITEM CSL_CITATION {"citationID":"QnaK2EA6","properties":{"formattedCitation":"(Basu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E80534">
        <w:fldChar w:fldCharType="separate"/>
      </w:r>
      <w:r w:rsidR="00E80534" w:rsidRPr="00E80534">
        <w:rPr>
          <w:rFonts w:ascii="Calibri" w:hAnsi="Calibri" w:cs="Calibri"/>
        </w:rPr>
        <w:t>(Basu 2013)</w:t>
      </w:r>
      <w:r w:rsidR="00E80534">
        <w:fldChar w:fldCharType="end"/>
      </w:r>
      <w:r w:rsidR="00E80534">
        <w:t xml:space="preserve">.  Cellulose is hygroscopic and is responsible for the </w:t>
      </w:r>
      <w:r w:rsidR="004479A1">
        <w:t>hygroscopic</w:t>
      </w:r>
      <w:r w:rsidR="00E80534">
        <w:t xml:space="preserve"> behaviour of biomass</w:t>
      </w:r>
      <w:r w:rsidR="004479A1">
        <w:t xml:space="preserve"> </w:t>
      </w:r>
      <w:r w:rsidR="00AE3893">
        <w:fldChar w:fldCharType="begin"/>
      </w:r>
      <w:r w:rsidR="00AE3893">
        <w:instrText xml:space="preserve"> ADDIN ZOTERO_ITEM CSL_CITATION {"citationID":"ZHrY8K1A","properties":{"formattedCitation":"(Nhuchhen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AE3893">
        <w:fldChar w:fldCharType="separate"/>
      </w:r>
      <w:r w:rsidR="00AE3893" w:rsidRPr="00AE3893">
        <w:rPr>
          <w:rFonts w:ascii="Calibri" w:hAnsi="Calibri" w:cs="Calibri"/>
        </w:rPr>
        <w:t>(Nhuchhen et al. 2014)</w:t>
      </w:r>
      <w:r w:rsidR="00AE3893">
        <w:fldChar w:fldCharType="end"/>
      </w:r>
      <w:r w:rsidR="004479A1">
        <w:t xml:space="preserve">. </w:t>
      </w:r>
      <w:r w:rsidR="00AE3893" w:rsidRPr="00B921F5">
        <w:rPr>
          <w:b/>
          <w:bCs/>
        </w:rPr>
        <w:t>Hemicellulose</w:t>
      </w:r>
      <w:r w:rsidR="00AE3893">
        <w:t xml:space="preserve"> (C</w:t>
      </w:r>
      <w:r w:rsidR="00AE3893" w:rsidRPr="00AE3893">
        <w:rPr>
          <w:vertAlign w:val="subscript"/>
        </w:rPr>
        <w:t>5</w:t>
      </w:r>
      <w:r w:rsidR="00AE3893">
        <w:t>H</w:t>
      </w:r>
      <w:r w:rsidR="00AE3893" w:rsidRPr="00AE3893">
        <w:rPr>
          <w:vertAlign w:val="subscript"/>
        </w:rPr>
        <w:t>8</w:t>
      </w:r>
      <w:r w:rsidR="00AE3893">
        <w:t>O</w:t>
      </w:r>
      <w:r w:rsidR="00AE3893" w:rsidRPr="00AE3893">
        <w:rPr>
          <w:vertAlign w:val="subscript"/>
        </w:rPr>
        <w:t>4</w:t>
      </w:r>
      <w:r w:rsidR="00AE3893">
        <w:t>)</w:t>
      </w:r>
      <w:r w:rsidR="00AE3893" w:rsidRPr="00AE3893">
        <w:rPr>
          <w:vertAlign w:val="subscript"/>
        </w:rPr>
        <w:t>n</w:t>
      </w:r>
      <w:r w:rsidR="00AE3893">
        <w:t xml:space="preserve"> is also a constituent of the biomass cell wall although unlike cellulose it has an amorphous structure with little strength. The composition and structure </w:t>
      </w:r>
      <w:r w:rsidR="00DD0385">
        <w:t>vary</w:t>
      </w:r>
      <w:r w:rsidR="00AE3893">
        <w:t xml:space="preserve"> significantly among different </w:t>
      </w:r>
      <w:r w:rsidR="00DD0385">
        <w:t>biomasses</w:t>
      </w:r>
      <w:r w:rsidR="00AE3893">
        <w:t>.</w:t>
      </w:r>
      <w:r w:rsidR="00DD0385">
        <w:t xml:space="preserve"> It constitutes approx. 20-30% of the dry weight of most wood </w:t>
      </w:r>
      <w:r w:rsidR="00DD0385">
        <w:fldChar w:fldCharType="begin"/>
      </w:r>
      <w:r w:rsidR="00DD0385">
        <w:instrText xml:space="preserve"> ADDIN ZOTERO_ITEM CSL_CITATION {"citationID":"ysylDbgV","properties":{"formattedCitation":"(Basu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DD0385">
        <w:fldChar w:fldCharType="separate"/>
      </w:r>
      <w:r w:rsidR="00DD0385" w:rsidRPr="00DD0385">
        <w:rPr>
          <w:rFonts w:ascii="Calibri" w:hAnsi="Calibri" w:cs="Calibri"/>
        </w:rPr>
        <w:t>(Basu 2013)</w:t>
      </w:r>
      <w:r w:rsidR="00DD0385">
        <w:fldChar w:fldCharType="end"/>
      </w:r>
      <w:r w:rsidR="00DD0385">
        <w:t>. Hemicellulose groups release CO</w:t>
      </w:r>
      <w:r w:rsidR="00DD0385" w:rsidRPr="00DD0385">
        <w:rPr>
          <w:vertAlign w:val="subscript"/>
        </w:rPr>
        <w:t>2</w:t>
      </w:r>
      <w:r w:rsidR="00DD0385">
        <w:rPr>
          <w:vertAlign w:val="subscript"/>
        </w:rPr>
        <w:t xml:space="preserve"> </w:t>
      </w:r>
      <w:r w:rsidR="00DD0385">
        <w:t xml:space="preserve">&amp; CO upon low temperature thermal treatment and has a significant effect on the mass yield in </w:t>
      </w:r>
      <w:r w:rsidR="00760428">
        <w:t>a thermal pre-treatment</w:t>
      </w:r>
      <w:r w:rsidR="00DD0385">
        <w:t xml:space="preserve"> process</w:t>
      </w:r>
      <w:r w:rsidR="00B921F5">
        <w:t xml:space="preserve"> </w:t>
      </w:r>
      <w:r w:rsidR="00B921F5">
        <w:fldChar w:fldCharType="begin"/>
      </w:r>
      <w:r w:rsidR="00B921F5">
        <w:instrText xml:space="preserve"> ADDIN ZOTERO_ITEM CSL_CITATION {"citationID":"tGe5M3m9","properties":{"formattedCitation":"(Nhuchhen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B921F5">
        <w:fldChar w:fldCharType="separate"/>
      </w:r>
      <w:r w:rsidR="00B921F5" w:rsidRPr="00B921F5">
        <w:rPr>
          <w:rFonts w:ascii="Calibri" w:hAnsi="Calibri" w:cs="Calibri"/>
        </w:rPr>
        <w:t>(Nhuchhen et al. 2014)</w:t>
      </w:r>
      <w:r w:rsidR="00B921F5">
        <w:fldChar w:fldCharType="end"/>
      </w:r>
      <w:r w:rsidR="00B921F5">
        <w:t xml:space="preserve">. </w:t>
      </w:r>
      <w:r w:rsidR="00B921F5" w:rsidRPr="00B921F5">
        <w:rPr>
          <w:b/>
          <w:bCs/>
        </w:rPr>
        <w:t>Lignin</w:t>
      </w:r>
      <w:r w:rsidR="00B921F5">
        <w:rPr>
          <w:b/>
          <w:bCs/>
        </w:rPr>
        <w:t xml:space="preserve"> </w:t>
      </w:r>
      <w:r w:rsidR="00B921F5">
        <w:t>is an integral part of the secondary cell wall of plants</w:t>
      </w:r>
      <w:r w:rsidR="00AE12D3">
        <w:t xml:space="preserve">, it acts as the cementing agent for cellulose fibres, holding adjacent cells together. It is one of the most abundant organic polymers on earth (exceeded only by cellulose). It accounts for between 18 – 35% of the dry weight of wood </w:t>
      </w:r>
      <w:r w:rsidR="00AE12D3">
        <w:fldChar w:fldCharType="begin"/>
      </w:r>
      <w:r w:rsidR="00AE12D3">
        <w:instrText xml:space="preserve"> ADDIN ZOTERO_ITEM CSL_CITATION {"citationID":"3e2WPN84","properties":{"formattedCitation":"(Basu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AE12D3">
        <w:fldChar w:fldCharType="separate"/>
      </w:r>
      <w:r w:rsidR="00AE12D3" w:rsidRPr="00AE12D3">
        <w:rPr>
          <w:rFonts w:ascii="Calibri" w:hAnsi="Calibri" w:cs="Calibri"/>
        </w:rPr>
        <w:t>(Basu 2013)</w:t>
      </w:r>
      <w:r w:rsidR="00AE12D3">
        <w:fldChar w:fldCharType="end"/>
      </w:r>
      <w:r w:rsidR="00AE12D3">
        <w:t>. Lig</w:t>
      </w:r>
      <w:r w:rsidR="008F4A0F">
        <w:t>n</w:t>
      </w:r>
      <w:r w:rsidR="00AE12D3">
        <w:t xml:space="preserve">in is thermally stable over a wide range of temperatures, thus in the </w:t>
      </w:r>
      <w:r w:rsidR="00760428">
        <w:t>thermal pre-treatment</w:t>
      </w:r>
      <w:r w:rsidR="00AE12D3">
        <w:t xml:space="preserve"> process, lig</w:t>
      </w:r>
      <w:r w:rsidR="008F4A0F">
        <w:t>n</w:t>
      </w:r>
      <w:r w:rsidR="00AE12D3">
        <w:t xml:space="preserve">in remains less modified and a biomass with </w:t>
      </w:r>
      <w:r w:rsidR="008F4A0F">
        <w:t>higher</w:t>
      </w:r>
      <w:r w:rsidR="00AE12D3">
        <w:t xml:space="preserve"> lig</w:t>
      </w:r>
      <w:r w:rsidR="008F4A0F">
        <w:t>n</w:t>
      </w:r>
      <w:r w:rsidR="00AE12D3">
        <w:t>in content yields</w:t>
      </w:r>
      <w:r w:rsidR="00550B57">
        <w:t xml:space="preserve"> a</w:t>
      </w:r>
      <w:r w:rsidR="00AE12D3">
        <w:t xml:space="preserve"> more solid product </w:t>
      </w:r>
      <w:r w:rsidR="00AE12D3">
        <w:fldChar w:fldCharType="begin"/>
      </w:r>
      <w:r w:rsidR="00AE12D3">
        <w:instrText xml:space="preserve"> ADDIN ZOTERO_ITEM CSL_CITATION {"citationID":"o4Trlzaj","properties":{"formattedCitation":"(Nhuchhen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AE12D3">
        <w:fldChar w:fldCharType="separate"/>
      </w:r>
      <w:r w:rsidR="00AE12D3" w:rsidRPr="00AE12D3">
        <w:rPr>
          <w:rFonts w:ascii="Calibri" w:hAnsi="Calibri" w:cs="Calibri"/>
        </w:rPr>
        <w:t>(Nhuchhen et al. 2014)</w:t>
      </w:r>
      <w:r w:rsidR="00AE12D3">
        <w:fldChar w:fldCharType="end"/>
      </w:r>
      <w:r w:rsidR="00AE12D3">
        <w:t>.</w:t>
      </w:r>
      <w:r w:rsidR="008D63B0">
        <w:t xml:space="preserve"> </w:t>
      </w:r>
      <w:r w:rsidR="003C5697">
        <w:t xml:space="preserve">Figure </w:t>
      </w:r>
      <w:r w:rsidR="00E433C7">
        <w:t>5</w:t>
      </w:r>
      <w:r w:rsidR="003C5697">
        <w:t xml:space="preserve"> illustrates these components in a typical plant cell wall.</w:t>
      </w:r>
    </w:p>
    <w:p w14:paraId="4AD20265" w14:textId="0A5DFC70" w:rsidR="008D63B0" w:rsidRPr="00B921F5" w:rsidRDefault="008D63B0" w:rsidP="00B95995">
      <w:pPr>
        <w:spacing w:line="360" w:lineRule="auto"/>
        <w:jc w:val="both"/>
      </w:pPr>
      <w:r w:rsidRPr="008D63B0">
        <w:rPr>
          <w:noProof/>
        </w:rPr>
        <w:drawing>
          <wp:inline distT="0" distB="0" distL="0" distR="0" wp14:anchorId="52AA0CBC" wp14:editId="70BEE3F7">
            <wp:extent cx="5238750" cy="2154803"/>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6"/>
                    <a:stretch>
                      <a:fillRect/>
                    </a:stretch>
                  </pic:blipFill>
                  <pic:spPr>
                    <a:xfrm>
                      <a:off x="0" y="0"/>
                      <a:ext cx="5240933" cy="2155701"/>
                    </a:xfrm>
                    <a:prstGeom prst="rect">
                      <a:avLst/>
                    </a:prstGeom>
                  </pic:spPr>
                </pic:pic>
              </a:graphicData>
            </a:graphic>
          </wp:inline>
        </w:drawing>
      </w:r>
    </w:p>
    <w:p w14:paraId="48093C85" w14:textId="380C9E4A" w:rsidR="00225BF7" w:rsidRDefault="008D63B0" w:rsidP="008D63B0">
      <w:pPr>
        <w:pStyle w:val="Caption"/>
      </w:pPr>
      <w:bookmarkStart w:id="16" w:name="_Toc127110899"/>
      <w:r>
        <w:t xml:space="preserve">Figure </w:t>
      </w:r>
      <w:fldSimple w:instr=" SEQ Figure \* ARABIC ">
        <w:r w:rsidR="00A0212F">
          <w:rPr>
            <w:noProof/>
          </w:rPr>
          <w:t>5</w:t>
        </w:r>
      </w:fldSimple>
      <w:r>
        <w:t xml:space="preserve"> Structure of primary cell wall of plant cell</w:t>
      </w:r>
      <w:r w:rsidR="00D71635">
        <w:t xml:space="preserve"> </w:t>
      </w:r>
      <w:r w:rsidR="00D71635">
        <w:fldChar w:fldCharType="begin"/>
      </w:r>
      <w:r w:rsidR="00D71635">
        <w:instrText xml:space="preserve"> ADDIN ZOTERO_ITEM CSL_CITATION {"citationID":"7oEscXsq","properties":{"formattedCitation":"(Nhuchhen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D71635">
        <w:fldChar w:fldCharType="separate"/>
      </w:r>
      <w:r w:rsidR="00D71635" w:rsidRPr="00D71635">
        <w:rPr>
          <w:rFonts w:ascii="Calibri" w:hAnsi="Calibri" w:cs="Calibri"/>
        </w:rPr>
        <w:t>(Nhuchhen et al. 2014)</w:t>
      </w:r>
      <w:r w:rsidR="00D71635">
        <w:fldChar w:fldCharType="end"/>
      </w:r>
      <w:r w:rsidR="003C5697">
        <w:t>.</w:t>
      </w:r>
      <w:bookmarkEnd w:id="16"/>
    </w:p>
    <w:p w14:paraId="3C57208F" w14:textId="4B83B826" w:rsidR="005D57D2" w:rsidRDefault="00F14B54" w:rsidP="00FE3EF8">
      <w:pPr>
        <w:spacing w:line="360" w:lineRule="auto"/>
        <w:jc w:val="both"/>
      </w:pPr>
      <w:r>
        <w:t>Biomass</w:t>
      </w:r>
      <w:r w:rsidR="006858FD">
        <w:t xml:space="preserve"> mainly</w:t>
      </w:r>
      <w:r>
        <w:t xml:space="preserve"> comprises of carbon (C), </w:t>
      </w:r>
      <w:r w:rsidR="00A00668">
        <w:t>hydrogen (H), oxygen(O), nitrogen (N) and sulphur</w:t>
      </w:r>
      <w:r w:rsidR="00205556">
        <w:t xml:space="preserve"> </w:t>
      </w:r>
      <w:r w:rsidR="00A00668">
        <w:t>(S)</w:t>
      </w:r>
      <w:r w:rsidR="00757963">
        <w:t xml:space="preserve">. </w:t>
      </w:r>
      <w:r w:rsidR="00BD3F7D">
        <w:t xml:space="preserve">The O:C and H:C ratios for various fuels are illustrated in the </w:t>
      </w:r>
      <w:r w:rsidR="00216726">
        <w:t xml:space="preserve">Van </w:t>
      </w:r>
      <w:proofErr w:type="spellStart"/>
      <w:r w:rsidR="00216726">
        <w:t>Krevelen</w:t>
      </w:r>
      <w:proofErr w:type="spellEnd"/>
      <w:r w:rsidR="00216726">
        <w:t xml:space="preserve"> diagram</w:t>
      </w:r>
      <w:r w:rsidR="001E5675">
        <w:t>, fig 6</w:t>
      </w:r>
      <w:r w:rsidR="0055115F">
        <w:t>.</w:t>
      </w:r>
      <w:r w:rsidR="00216726">
        <w:t xml:space="preserve"> Anthracite coal </w:t>
      </w:r>
      <w:r w:rsidR="00291A37">
        <w:t>has the lowest O:C and H:C ratios and is of the highest rank</w:t>
      </w:r>
      <w:r w:rsidR="003801AE">
        <w:t xml:space="preserve">. When compared to fossil fuels, biomass has the highest O:C and H:C </w:t>
      </w:r>
      <w:r w:rsidR="00661ACA">
        <w:t>ratios</w:t>
      </w:r>
      <w:r w:rsidR="003801AE">
        <w:t>.</w:t>
      </w:r>
      <w:r w:rsidR="00AD6121">
        <w:t xml:space="preserve"> </w:t>
      </w:r>
      <w:r w:rsidR="00ED1A00">
        <w:t xml:space="preserve">The calorific value (CV) </w:t>
      </w:r>
      <w:r w:rsidR="00CE302A">
        <w:t>of the fuel is reduced due to the high proportion of oxy</w:t>
      </w:r>
      <w:r w:rsidR="00320917">
        <w:t xml:space="preserve">gen and hydrogen in comparison with carbon, this is because </w:t>
      </w:r>
      <w:r w:rsidR="00E01217">
        <w:t>of the lower energy bonds between the C-O and C</w:t>
      </w:r>
      <w:r w:rsidR="003E6824">
        <w:t>-</w:t>
      </w:r>
      <w:r w:rsidR="00E01217">
        <w:t>H molecules</w:t>
      </w:r>
      <w:r w:rsidR="001C1D27">
        <w:t xml:space="preserve"> when compared with the C-C bond </w:t>
      </w:r>
      <w:r w:rsidR="009A2532">
        <w:fldChar w:fldCharType="begin"/>
      </w:r>
      <w:r w:rsidR="00D12917">
        <w:instrText xml:space="preserve"> ADDIN ZOTERO_ITEM CSL_CITATION {"citationID":"18MCCe7J","properties":{"formattedCitation":"(van der Stelt et al. 2011)","plainCitation":"(van der Stelt et al. 2011)","noteIndex":0},"citationItems":[{"id":1818,"uris":["http://zotero.org/users/local/AB2owHL2/items/FZBYTH42"],"itemData":{"id":1818,"type":"article-journal","abstract":"An overview of the research on biomass upgrading by torrefaction for the production of biofuels is presented. Torrefaction is a thermal conversion method of biomass in the low temperature range of 200–300°C. Biomass is pre-treated to produce a high quality solid biofuel that can be used for combustion and gasification. In this review the characteristics of torrefaction are described and a short history of torrefaction is given. Torrefaction is based on the removal of oxygen from biomass which aims to produce a fuel with increased energy density by decomposing the reactive hemicellulose fraction. Different reaction conditions (temperature, inert gas, reaction time) and biomass resources lead to various solid, liquid and gaseous products. A short overview of the different mass and energy balances is presented. Finally, the technology options and the most promising torrefaction applications and their economic potential are described.","container-title":"Biomass and Bioenergy","DOI":"10.1016/j.biombioe.2011.06.023","ISSN":"0961-9534","issue":"9","journalAbbreviation":"Biomass and Bioenergy","language":"en","page":"3748-3762","source":"ScienceDirect","title":"Biomass upgrading by torrefaction for the production of biofuels: A review","title-short":"Biomass upgrading by torrefaction for the production of biofuels","URL":"https://www.sciencedirect.com/science/article/pii/S0961953411003473","volume":"35","author":[{"family":"Stelt","given":"M. J. C.","non-dropping-particle":"van der"},{"family":"Gerhauser","given":"H."},{"family":"Kiel","given":"J. H. A."},{"family":"Ptasinski","given":"K. J."}],"accessed":{"date-parts":[["2022",7,23]]},"issued":{"date-parts":[["2011",10,1]]}}}],"schema":"https://github.com/citation-style-language/schema/raw/master/csl-citation.json"} </w:instrText>
      </w:r>
      <w:r w:rsidR="009A2532">
        <w:fldChar w:fldCharType="separate"/>
      </w:r>
      <w:r w:rsidR="00D12917" w:rsidRPr="00D12917">
        <w:rPr>
          <w:rFonts w:ascii="Calibri" w:hAnsi="Calibri" w:cs="Calibri"/>
        </w:rPr>
        <w:t>(van der Stelt et al. 2011)</w:t>
      </w:r>
      <w:r w:rsidR="009A2532">
        <w:fldChar w:fldCharType="end"/>
      </w:r>
      <w:r w:rsidR="001C1D27">
        <w:t>.</w:t>
      </w:r>
    </w:p>
    <w:p w14:paraId="0CE1C41C" w14:textId="77777777" w:rsidR="00373C34" w:rsidRPr="00CB6226" w:rsidRDefault="00373C34" w:rsidP="00373C34">
      <w:pPr>
        <w:spacing w:line="360" w:lineRule="auto"/>
        <w:jc w:val="both"/>
      </w:pPr>
      <w:r w:rsidRPr="00A174B4">
        <w:rPr>
          <w:noProof/>
        </w:rPr>
        <w:lastRenderedPageBreak/>
        <w:drawing>
          <wp:inline distT="0" distB="0" distL="0" distR="0" wp14:anchorId="7B432FB2" wp14:editId="7319EEF5">
            <wp:extent cx="4019549" cy="2631882"/>
            <wp:effectExtent l="0" t="0" r="635" b="0"/>
            <wp:docPr id="14" name="Picture 14"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diagram&#10;&#10;Description automatically generated with medium confidence"/>
                    <pic:cNvPicPr/>
                  </pic:nvPicPr>
                  <pic:blipFill>
                    <a:blip r:embed="rId17"/>
                    <a:stretch>
                      <a:fillRect/>
                    </a:stretch>
                  </pic:blipFill>
                  <pic:spPr>
                    <a:xfrm>
                      <a:off x="0" y="0"/>
                      <a:ext cx="4026084" cy="2636161"/>
                    </a:xfrm>
                    <a:prstGeom prst="rect">
                      <a:avLst/>
                    </a:prstGeom>
                  </pic:spPr>
                </pic:pic>
              </a:graphicData>
            </a:graphic>
          </wp:inline>
        </w:drawing>
      </w:r>
    </w:p>
    <w:p w14:paraId="21417929" w14:textId="5C4D1DF8" w:rsidR="00F01B47" w:rsidRDefault="00373C34" w:rsidP="00373C34">
      <w:pPr>
        <w:pStyle w:val="Caption"/>
      </w:pPr>
      <w:bookmarkStart w:id="17" w:name="_Toc127110900"/>
      <w:r>
        <w:t xml:space="preserve">Figure </w:t>
      </w:r>
      <w:fldSimple w:instr=" SEQ Figure \* ARABIC ">
        <w:r w:rsidR="00A0212F">
          <w:rPr>
            <w:noProof/>
          </w:rPr>
          <w:t>6</w:t>
        </w:r>
      </w:fldSimple>
      <w:r>
        <w:t xml:space="preserve"> </w:t>
      </w:r>
      <w:r w:rsidRPr="00D23B28">
        <w:t xml:space="preserve">Van </w:t>
      </w:r>
      <w:proofErr w:type="spellStart"/>
      <w:r w:rsidRPr="00D23B28">
        <w:t>Krevelen</w:t>
      </w:r>
      <w:proofErr w:type="spellEnd"/>
      <w:r w:rsidRPr="00D23B28">
        <w:t xml:space="preserve"> diagram </w:t>
      </w:r>
      <w:r w:rsidR="008359AF">
        <w:t xml:space="preserve">of </w:t>
      </w:r>
      <w:r w:rsidRPr="00D23B28">
        <w:t xml:space="preserve">products from woody biomass. </w:t>
      </w:r>
      <w:r w:rsidR="004A44EC">
        <w:t>R</w:t>
      </w:r>
      <w:r w:rsidRPr="00D23B28">
        <w:t xml:space="preserve">aw biomass (non-filled symbols), torrefied biomass (red symbols), HTC biomass (blue symbols), and charcoal (black symbols) </w:t>
      </w:r>
      <w:r w:rsidR="00EF1F17">
        <w:fldChar w:fldCharType="begin"/>
      </w:r>
      <w:r w:rsidR="00EF1F17">
        <w:instrText xml:space="preserve"> ADDIN ZOTERO_ITEM CSL_CITATION {"citationID":"BSbmLoYn","properties":{"formattedCitation":"(Suopaj\\uc0\\u228{}rvi and Fabritius 2013)","plainCitation":"(Suopajärvi and Fabritius 2013)","noteIndex":0},"citationItems":[{"id":1698,"uris":["http://zotero.org/users/local/AB2owHL2/items/GCVPYUYJ"],"itemData":{"id":1698,"type":"article-journal","abstract":"Replacement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schema":"https://github.com/citation-style-language/schema/raw/master/csl-citation.json"} </w:instrText>
      </w:r>
      <w:r w:rsidR="00EF1F17">
        <w:fldChar w:fldCharType="separate"/>
      </w:r>
      <w:r w:rsidR="00EF1F17" w:rsidRPr="00EF1F17">
        <w:rPr>
          <w:rFonts w:ascii="Calibri" w:hAnsi="Calibri" w:cs="Calibri"/>
          <w:szCs w:val="24"/>
        </w:rPr>
        <w:t>(Suopajärvi and Fabritius 2013)</w:t>
      </w:r>
      <w:r w:rsidR="00EF1F17">
        <w:fldChar w:fldCharType="end"/>
      </w:r>
      <w:r w:rsidR="00EF1F17">
        <w:t>.</w:t>
      </w:r>
      <w:bookmarkEnd w:id="17"/>
    </w:p>
    <w:p w14:paraId="658C49C2" w14:textId="3F5C113A" w:rsidR="00E547C0" w:rsidRPr="00E547C0" w:rsidRDefault="00D41137" w:rsidP="00F104D1">
      <w:pPr>
        <w:pStyle w:val="Heading3"/>
        <w:spacing w:line="360" w:lineRule="auto"/>
        <w:jc w:val="both"/>
      </w:pPr>
      <w:bookmarkStart w:id="18" w:name="_Toc127911434"/>
      <w:r>
        <w:t>The problem with</w:t>
      </w:r>
      <w:r w:rsidR="008B5F65">
        <w:t xml:space="preserve"> Raw Biomass</w:t>
      </w:r>
      <w:bookmarkEnd w:id="18"/>
    </w:p>
    <w:p w14:paraId="0CCCA2EA" w14:textId="30006672" w:rsidR="00D71635" w:rsidRDefault="00FE3EF8" w:rsidP="00F104D1">
      <w:pPr>
        <w:spacing w:line="360" w:lineRule="auto"/>
        <w:jc w:val="both"/>
      </w:pPr>
      <w:r>
        <w:t>Biomass in its raw form is not suitable for an energy source in industry as compared with fuels such a</w:t>
      </w:r>
      <w:r w:rsidR="001968C7">
        <w:t>s</w:t>
      </w:r>
      <w:r>
        <w:t xml:space="preserve"> coal</w:t>
      </w:r>
      <w:r w:rsidR="00130FBA">
        <w:t>.</w:t>
      </w:r>
      <w:r>
        <w:t xml:space="preserve"> </w:t>
      </w:r>
      <w:r w:rsidR="00130FBA">
        <w:t>B</w:t>
      </w:r>
      <w:r>
        <w:t xml:space="preserve">iomass </w:t>
      </w:r>
      <w:r w:rsidR="00486F38">
        <w:t>compared with coal</w:t>
      </w:r>
      <w:r w:rsidR="00B531A4">
        <w:t xml:space="preserve"> as a fuel</w:t>
      </w:r>
      <w:r w:rsidR="00486F38">
        <w:t>:</w:t>
      </w:r>
    </w:p>
    <w:p w14:paraId="6CD94E24" w14:textId="48B8CF76" w:rsidR="00FE3EF8" w:rsidRDefault="00FE3EF8" w:rsidP="00FE3EF8">
      <w:pPr>
        <w:pStyle w:val="ListParagraph"/>
        <w:numPr>
          <w:ilvl w:val="0"/>
          <w:numId w:val="4"/>
        </w:numPr>
        <w:spacing w:line="360" w:lineRule="auto"/>
        <w:jc w:val="both"/>
      </w:pPr>
      <w:r>
        <w:t>Higher oxygen content – reduces the heating value, results in a higher volume of flue gas during combustion</w:t>
      </w:r>
      <w:r w:rsidR="00B72529">
        <w:t>.</w:t>
      </w:r>
    </w:p>
    <w:p w14:paraId="3EDAD1F6" w14:textId="3020BA01" w:rsidR="00903670" w:rsidRDefault="00903670" w:rsidP="00FE3EF8">
      <w:pPr>
        <w:pStyle w:val="ListParagraph"/>
        <w:numPr>
          <w:ilvl w:val="0"/>
          <w:numId w:val="4"/>
        </w:numPr>
        <w:spacing w:line="360" w:lineRule="auto"/>
        <w:jc w:val="both"/>
      </w:pPr>
      <w:r>
        <w:t>Lower carbon content</w:t>
      </w:r>
      <w:r w:rsidR="00A366A7">
        <w:t xml:space="preserve"> – </w:t>
      </w:r>
      <w:r w:rsidR="008B5F65">
        <w:t>R</w:t>
      </w:r>
      <w:r w:rsidR="00A366A7">
        <w:t>equired</w:t>
      </w:r>
      <w:r w:rsidR="0032739C">
        <w:t xml:space="preserve"> as</w:t>
      </w:r>
      <w:r w:rsidR="00A366A7">
        <w:t xml:space="preserve"> a</w:t>
      </w:r>
      <w:r w:rsidR="008B5F65">
        <w:t xml:space="preserve"> fuel and</w:t>
      </w:r>
      <w:r w:rsidR="00A366A7">
        <w:t xml:space="preserve"> reducing agent</w:t>
      </w:r>
      <w:r w:rsidR="002F1B66">
        <w:t>.</w:t>
      </w:r>
    </w:p>
    <w:p w14:paraId="6E8E2C22" w14:textId="3658DB22" w:rsidR="00B3424C" w:rsidRDefault="00B3424C" w:rsidP="00FE3EF8">
      <w:pPr>
        <w:pStyle w:val="ListParagraph"/>
        <w:numPr>
          <w:ilvl w:val="0"/>
          <w:numId w:val="4"/>
        </w:numPr>
        <w:spacing w:line="360" w:lineRule="auto"/>
        <w:jc w:val="both"/>
      </w:pPr>
      <w:r>
        <w:t xml:space="preserve">Low bulk density – High transportation and storage costs, </w:t>
      </w:r>
      <w:r w:rsidR="004F1494">
        <w:t xml:space="preserve">also influences </w:t>
      </w:r>
      <w:r w:rsidR="003E1B9C">
        <w:t>process conversion efficiency.</w:t>
      </w:r>
    </w:p>
    <w:p w14:paraId="4E320368" w14:textId="4FF1893F" w:rsidR="00B72529" w:rsidRDefault="00B72529" w:rsidP="00FE3EF8">
      <w:pPr>
        <w:pStyle w:val="ListParagraph"/>
        <w:numPr>
          <w:ilvl w:val="0"/>
          <w:numId w:val="4"/>
        </w:numPr>
        <w:spacing w:line="360" w:lineRule="auto"/>
        <w:jc w:val="both"/>
      </w:pPr>
      <w:r>
        <w:t xml:space="preserve">Higher moisture content 45 – 60% - Higher thermal energy is required to combust, higher tar formation, </w:t>
      </w:r>
      <w:r w:rsidR="00A366A7">
        <w:t>l</w:t>
      </w:r>
      <w:r>
        <w:t>ower density, greater tendency to decompose.</w:t>
      </w:r>
    </w:p>
    <w:p w14:paraId="74FBB4F6" w14:textId="6C599925" w:rsidR="00B72529" w:rsidRDefault="00B72529" w:rsidP="00FE3EF8">
      <w:pPr>
        <w:pStyle w:val="ListParagraph"/>
        <w:numPr>
          <w:ilvl w:val="0"/>
          <w:numId w:val="4"/>
        </w:numPr>
        <w:spacing w:line="360" w:lineRule="auto"/>
        <w:jc w:val="both"/>
      </w:pPr>
      <w:r>
        <w:t xml:space="preserve">Low </w:t>
      </w:r>
      <w:r w:rsidR="00145855">
        <w:t>net c</w:t>
      </w:r>
      <w:r>
        <w:t>alorific value</w:t>
      </w:r>
      <w:r w:rsidR="00145855">
        <w:t xml:space="preserve"> (NCV)</w:t>
      </w:r>
      <w:r>
        <w:t xml:space="preserve"> – Low product yields, more biomass required to compensate. </w:t>
      </w:r>
    </w:p>
    <w:p w14:paraId="4E8479B4" w14:textId="037D6BC4" w:rsidR="00F3579D" w:rsidRDefault="00F3579D" w:rsidP="00FE3EF8">
      <w:pPr>
        <w:pStyle w:val="ListParagraph"/>
        <w:numPr>
          <w:ilvl w:val="0"/>
          <w:numId w:val="4"/>
        </w:numPr>
        <w:spacing w:line="360" w:lineRule="auto"/>
        <w:jc w:val="both"/>
      </w:pPr>
      <w:r>
        <w:t>Low heating value (LHV)</w:t>
      </w:r>
    </w:p>
    <w:p w14:paraId="074E9C38" w14:textId="5C03C3B3" w:rsidR="00B72529" w:rsidRDefault="00B72529" w:rsidP="00FE3EF8">
      <w:pPr>
        <w:pStyle w:val="ListParagraph"/>
        <w:numPr>
          <w:ilvl w:val="0"/>
          <w:numId w:val="4"/>
        </w:numPr>
        <w:spacing w:line="360" w:lineRule="auto"/>
        <w:jc w:val="both"/>
      </w:pPr>
      <w:r>
        <w:t>Hygroscopic – Can draw moisture in, even after drying</w:t>
      </w:r>
      <w:r w:rsidR="00FD3700">
        <w:t>.</w:t>
      </w:r>
    </w:p>
    <w:p w14:paraId="1777951A" w14:textId="710A3382" w:rsidR="00FD3700" w:rsidRDefault="00FD3700" w:rsidP="00FE3EF8">
      <w:pPr>
        <w:pStyle w:val="ListParagraph"/>
        <w:numPr>
          <w:ilvl w:val="0"/>
          <w:numId w:val="4"/>
        </w:numPr>
        <w:spacing w:line="360" w:lineRule="auto"/>
        <w:jc w:val="both"/>
      </w:pPr>
      <w:r>
        <w:t>Fibrous – The fibrous nature of biomass increases the difficult</w:t>
      </w:r>
      <w:r w:rsidR="00B531A4">
        <w:t>y</w:t>
      </w:r>
      <w:r>
        <w:t xml:space="preserve"> in pulverising it into a powder ready for processing. </w:t>
      </w:r>
      <w:r w:rsidR="003D2122">
        <w:t>Thus,</w:t>
      </w:r>
      <w:r>
        <w:t xml:space="preserve"> increase</w:t>
      </w:r>
      <w:r w:rsidR="00DE52FC">
        <w:t>d</w:t>
      </w:r>
      <w:r>
        <w:t xml:space="preserve"> processing costs.</w:t>
      </w:r>
    </w:p>
    <w:p w14:paraId="746A4E13" w14:textId="0A17F54D" w:rsidR="00D73DC8" w:rsidRDefault="00D73DC8" w:rsidP="00FE3EF8">
      <w:pPr>
        <w:pStyle w:val="ListParagraph"/>
        <w:numPr>
          <w:ilvl w:val="0"/>
          <w:numId w:val="4"/>
        </w:numPr>
        <w:spacing w:line="360" w:lineRule="auto"/>
        <w:jc w:val="both"/>
      </w:pPr>
      <w:r>
        <w:t xml:space="preserve">Higher organic volatile mater – </w:t>
      </w:r>
      <w:r w:rsidR="003D2122">
        <w:t>Bu</w:t>
      </w:r>
      <w:r w:rsidR="00C14070">
        <w:t>rnt off in BF processes, lower product yields</w:t>
      </w:r>
      <w:r w:rsidR="005E6BB7">
        <w:t>,</w:t>
      </w:r>
      <w:r w:rsidR="00010982">
        <w:t xml:space="preserve"> can interfere with processes</w:t>
      </w:r>
      <w:r>
        <w:t>.</w:t>
      </w:r>
    </w:p>
    <w:p w14:paraId="73990AA1" w14:textId="7F45084D" w:rsidR="00D73DC8" w:rsidRDefault="00D73DC8" w:rsidP="00FE3EF8">
      <w:pPr>
        <w:pStyle w:val="ListParagraph"/>
        <w:numPr>
          <w:ilvl w:val="0"/>
          <w:numId w:val="4"/>
        </w:numPr>
        <w:spacing w:line="360" w:lineRule="auto"/>
        <w:jc w:val="both"/>
      </w:pPr>
      <w:r>
        <w:t>Higher concentration of Alkali metals</w:t>
      </w:r>
      <w:r w:rsidR="00E56CCC">
        <w:t xml:space="preserve"> (Na, K</w:t>
      </w:r>
      <w:r w:rsidR="006B33EF">
        <w:t>, Zn)</w:t>
      </w:r>
      <w:r>
        <w:t xml:space="preserve"> – Can foul BF refractory</w:t>
      </w:r>
      <w:r w:rsidR="000F7B9E">
        <w:t xml:space="preserve">, increase coke </w:t>
      </w:r>
      <w:r w:rsidR="00E1061D">
        <w:t>consumption,</w:t>
      </w:r>
      <w:r>
        <w:t xml:space="preserve"> and can be released into atmosphere upon combustion</w:t>
      </w:r>
      <w:r w:rsidR="00CB6490">
        <w:t>.</w:t>
      </w:r>
    </w:p>
    <w:p w14:paraId="74C59EDA" w14:textId="7F48C4F6" w:rsidR="00B641FA" w:rsidRDefault="00CB6490" w:rsidP="008B5F65">
      <w:pPr>
        <w:spacing w:line="360" w:lineRule="auto"/>
        <w:ind w:left="360"/>
        <w:jc w:val="both"/>
      </w:pPr>
      <w:r>
        <w:fldChar w:fldCharType="begin"/>
      </w:r>
      <w:r w:rsidR="00B409D8">
        <w:instrText xml:space="preserve"> ADDIN ZOTERO_ITEM CSL_CITATION {"citationID":"l21IVHbz","properties":{"formattedCitation":"(Tumuluru et al. 2012; Suopaj\\uc0\\u228{}rvi et al. 2013)","plainCitation":"(Tumuluru et al. 2012; Suopajärvi et al. 2013)","noteIndex":0},"citationItems":[{"id":1804,"uris":["http://zotero.org/users/local/AB2owHL2/items/I7ANRBBB"],"itemData":{"id":1804,"type":"article-journal","abstract":"There is a growing interest internationally to use more biomass for power generation, given the potential for significant environmental benefits and long-term fuel sustainability. However, the use of biomass alone for power generation is subject to serious challenges, such as feedstock supply reliability, quality, and stability, as well as comparative cost, except in situations in which biomass is locally sourced. In most countries, only a limited biomass supply infrastructure exists. Alternatively, co-firing biomass along with coal offers several advantages; these include reducing challenges related to biomass quality, buffering the system against insufficient feedstock quantity, and mitigating the costs of adapting existing coal power plants to feed biomass exclusively. There are some technical constraints, such as low heating values, low bulk density, and grindability or size-reduction challenges, as well as higher moisture, volatiles, and ash content, which limit the co-firing ratios in direct and indirect co-firing. To achieve successful co-firing of biomass with coal, biomass feedstock specifications must be established to direct pretreatment options in order to modify biomass materials into a format that is more compatible with coal co-firing. The impacts on particle transport systems, flame stability, pollutant formation, and boiler-tube fouling/corrosion must also be minimized by setting feedstock specifications, which may include developing new feedstock composition by formulation or blending. Some of the issues, like feeding, co-milling, and fouling, can be overcome by pretreatment methods including washing/leaching, steam explosion, hydrothermal carbonization, and torrefaction, and densification methods such as pelletizing and briquetting. Integrating formulation, pretreatment, and densification will help to overcome issues related to physical and chemical composition, storage, and logistics to successfully co-fire higher percentages of biomass (&gt;40%) with coal.","container-title":"Industrial Biotechnology","DOI":"10.1089/ind.2012.0004","ISSN":"1550-9087","issue":"3","note":"publisher: Mary Ann Liebert, Inc., publishers","page":"113-132","source":"liebertpub.com (Atypon)","title":"Formulation, Pretreatment, and Densification Options to Improve Biomass Specifications for Co-Firing High Percentages with Coal","URL":"https://www.liebertpub.com/doi/10.1089/ind.2012.0004","volume":"8","author":[{"family":"Tumuluru","given":"Jaya Shankar"},{"family":"Hess","given":"J. Richard"},{"family":"Boardman","given":"Richard D."},{"family":"Wright","given":"Christopher T."},{"family":"Westover","given":"Tyler L."}],"accessed":{"date-parts":[["2022",7,19]]},"issued":{"date-parts":[["2012",6]]}},"label":"page"},{"id":1781,"uris":["http://zotero.org/users/local/AB2owHL2/items/MMTKXIYN"],"itemData":{"id":1781,"type":"article-journal","abstract":"Steel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act"}],"schema":"https://github.com/citation-style-language/schema/raw/master/csl-citation.json"} </w:instrText>
      </w:r>
      <w:r>
        <w:fldChar w:fldCharType="separate"/>
      </w:r>
      <w:r w:rsidR="00B409D8" w:rsidRPr="00B409D8">
        <w:rPr>
          <w:rFonts w:ascii="Calibri" w:hAnsi="Calibri" w:cs="Calibri"/>
          <w:szCs w:val="24"/>
        </w:rPr>
        <w:t>(Tumuluru et al. 2012; Suopajärvi et al. 2013)</w:t>
      </w:r>
      <w:r>
        <w:fldChar w:fldCharType="end"/>
      </w:r>
    </w:p>
    <w:p w14:paraId="30A88A6C" w14:textId="13858C8B" w:rsidR="00E6067A" w:rsidRPr="00E6067A" w:rsidRDefault="00E6067A" w:rsidP="00F104D1">
      <w:pPr>
        <w:pStyle w:val="Heading3"/>
        <w:spacing w:line="360" w:lineRule="auto"/>
        <w:jc w:val="both"/>
      </w:pPr>
      <w:bookmarkStart w:id="19" w:name="_Toc127911435"/>
      <w:r>
        <w:lastRenderedPageBreak/>
        <w:t>Biomass Pre-treatment</w:t>
      </w:r>
      <w:bookmarkEnd w:id="19"/>
    </w:p>
    <w:p w14:paraId="78A7AF28" w14:textId="4AB1F590" w:rsidR="00225BF7" w:rsidRDefault="00674BF0" w:rsidP="00F104D1">
      <w:pPr>
        <w:spacing w:line="360" w:lineRule="auto"/>
        <w:jc w:val="both"/>
      </w:pPr>
      <w:r>
        <w:t xml:space="preserve">Biomass </w:t>
      </w:r>
      <w:r w:rsidR="00851AB3">
        <w:t>pre-treatment</w:t>
      </w:r>
      <w:r>
        <w:t xml:space="preserve"> methods can be classified into five categories: </w:t>
      </w:r>
    </w:p>
    <w:p w14:paraId="49C479FF" w14:textId="191B89AF" w:rsidR="00674BF0" w:rsidRDefault="00674BF0" w:rsidP="00F104D1">
      <w:pPr>
        <w:pStyle w:val="ListParagraph"/>
        <w:numPr>
          <w:ilvl w:val="0"/>
          <w:numId w:val="5"/>
        </w:numPr>
        <w:spacing w:line="360" w:lineRule="auto"/>
        <w:jc w:val="both"/>
      </w:pPr>
      <w:r>
        <w:t>Chemical – Removes the lignin and hemicellulose improving biodegradability of cellulose. Includes Steam explosion, acid, alkaline, ammonia and freeze explosion treatments</w:t>
      </w:r>
      <w:r w:rsidR="00E956DB">
        <w:t>.</w:t>
      </w:r>
    </w:p>
    <w:p w14:paraId="507DB1AD" w14:textId="68E08982" w:rsidR="00E956DB" w:rsidRDefault="00E956DB" w:rsidP="00674BF0">
      <w:pPr>
        <w:pStyle w:val="ListParagraph"/>
        <w:numPr>
          <w:ilvl w:val="0"/>
          <w:numId w:val="5"/>
        </w:numPr>
        <w:spacing w:line="360" w:lineRule="auto"/>
        <w:jc w:val="both"/>
      </w:pPr>
      <w:r>
        <w:t>Mechanical – Only brings about a physical change</w:t>
      </w:r>
      <w:r w:rsidR="00183E00">
        <w:t xml:space="preserve">. The main methods are </w:t>
      </w:r>
      <w:r w:rsidR="00873961">
        <w:t>grinding, milling and extrusion.</w:t>
      </w:r>
    </w:p>
    <w:p w14:paraId="3F47D6E8" w14:textId="0A56145B" w:rsidR="00E956DB" w:rsidRDefault="00E956DB" w:rsidP="00674BF0">
      <w:pPr>
        <w:pStyle w:val="ListParagraph"/>
        <w:numPr>
          <w:ilvl w:val="0"/>
          <w:numId w:val="5"/>
        </w:numPr>
        <w:spacing w:line="360" w:lineRule="auto"/>
        <w:jc w:val="both"/>
      </w:pPr>
      <w:r>
        <w:t xml:space="preserve">Biological – </w:t>
      </w:r>
      <w:r w:rsidR="001B25D8">
        <w:t>Microorganisms modify</w:t>
      </w:r>
      <w:r>
        <w:t xml:space="preserve"> the chemical composition and structure of lignocellulose to make it suitable for enzymatic digestion. Environmentally friendly and consumes less energy than other treatments but requires </w:t>
      </w:r>
      <w:r w:rsidR="00851AB3">
        <w:t xml:space="preserve">a </w:t>
      </w:r>
      <w:r w:rsidR="00EA2334">
        <w:t>large, controlled</w:t>
      </w:r>
      <w:r w:rsidR="00851AB3">
        <w:t xml:space="preserve"> environment and is costly and slow.</w:t>
      </w:r>
    </w:p>
    <w:p w14:paraId="373772AA" w14:textId="144777B2" w:rsidR="00851AB3" w:rsidRDefault="00851AB3" w:rsidP="00674BF0">
      <w:pPr>
        <w:pStyle w:val="ListParagraph"/>
        <w:numPr>
          <w:ilvl w:val="0"/>
          <w:numId w:val="5"/>
        </w:numPr>
        <w:spacing w:line="360" w:lineRule="auto"/>
        <w:jc w:val="both"/>
      </w:pPr>
      <w:r>
        <w:t xml:space="preserve">Thermal – Modifies the physical, </w:t>
      </w:r>
      <w:r w:rsidR="008D6A48">
        <w:t>structural,</w:t>
      </w:r>
      <w:r>
        <w:t xml:space="preserve"> </w:t>
      </w:r>
      <w:r w:rsidR="008D6A48">
        <w:t>and chemical properties of biomass. Volatiles are driven off producing a more brittle and less fibrous product.</w:t>
      </w:r>
    </w:p>
    <w:p w14:paraId="4E2086D3" w14:textId="709B0414" w:rsidR="008D6A48" w:rsidRDefault="008D6A48" w:rsidP="008D6A48">
      <w:pPr>
        <w:pStyle w:val="ListParagraph"/>
        <w:numPr>
          <w:ilvl w:val="0"/>
          <w:numId w:val="5"/>
        </w:numPr>
        <w:spacing w:line="360" w:lineRule="auto"/>
        <w:jc w:val="both"/>
      </w:pPr>
      <w:r>
        <w:t xml:space="preserve">Hydrothermal – </w:t>
      </w:r>
      <w:r w:rsidR="000B38F1">
        <w:t xml:space="preserve">A thermochemical conversion process in which biomass and water is subjected to high pressure at moderate temperatures. Can be used for wet biomass such as animal manures, human </w:t>
      </w:r>
      <w:r w:rsidR="00EA2334">
        <w:t>waste,</w:t>
      </w:r>
      <w:r w:rsidR="000B38F1">
        <w:t xml:space="preserve"> and sewage. Produces a</w:t>
      </w:r>
      <w:r w:rsidR="00EA2334">
        <w:t>n</w:t>
      </w:r>
      <w:r w:rsidR="000B38F1">
        <w:t xml:space="preserve"> energy dense product.</w:t>
      </w:r>
    </w:p>
    <w:p w14:paraId="7727C21C" w14:textId="4E884368" w:rsidR="00895F08" w:rsidRDefault="00895F08" w:rsidP="00895F08">
      <w:pPr>
        <w:spacing w:line="360" w:lineRule="auto"/>
        <w:ind w:left="360"/>
        <w:jc w:val="both"/>
      </w:pPr>
      <w:r>
        <w:t>Figure 7 illustrates some of the available biomass upgrading technologies.</w:t>
      </w:r>
    </w:p>
    <w:p w14:paraId="23FA5C61" w14:textId="578E5D8A" w:rsidR="00EA2334" w:rsidRDefault="00EA2334">
      <w:r>
        <w:fldChar w:fldCharType="begin"/>
      </w:r>
      <w:r>
        <w:instrText xml:space="preserve"> ADDIN ZOTERO_ITEM CSL_CITATION {"citationID":"Bz7Y0yTU","properties":{"formattedCitation":"(Nhuchhen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fldChar w:fldCharType="separate"/>
      </w:r>
      <w:r w:rsidRPr="00EA2334">
        <w:rPr>
          <w:rFonts w:ascii="Calibri" w:hAnsi="Calibri" w:cs="Calibri"/>
        </w:rPr>
        <w:t>(Nhuchhen et al. 2014)</w:t>
      </w:r>
      <w:r>
        <w:fldChar w:fldCharType="end"/>
      </w:r>
    </w:p>
    <w:p w14:paraId="39C710F5" w14:textId="505AC0D7" w:rsidR="009220FA" w:rsidRDefault="00B15303" w:rsidP="009220FA">
      <w:pPr>
        <w:spacing w:line="360" w:lineRule="auto"/>
        <w:jc w:val="both"/>
      </w:pPr>
      <w:r w:rsidRPr="00B15303">
        <w:rPr>
          <w:noProof/>
        </w:rPr>
        <w:drawing>
          <wp:inline distT="0" distB="0" distL="0" distR="0" wp14:anchorId="44A4E786" wp14:editId="05F40F5D">
            <wp:extent cx="5491989" cy="24092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70428" cy="2443656"/>
                    </a:xfrm>
                    <a:prstGeom prst="rect">
                      <a:avLst/>
                    </a:prstGeom>
                  </pic:spPr>
                </pic:pic>
              </a:graphicData>
            </a:graphic>
          </wp:inline>
        </w:drawing>
      </w:r>
    </w:p>
    <w:p w14:paraId="24E25EAC" w14:textId="603DA90A" w:rsidR="009220FA" w:rsidRDefault="00373C34" w:rsidP="00373C34">
      <w:pPr>
        <w:pStyle w:val="Caption"/>
      </w:pPr>
      <w:bookmarkStart w:id="20" w:name="_Toc127110901"/>
      <w:r>
        <w:t xml:space="preserve">Figure </w:t>
      </w:r>
      <w:fldSimple w:instr=" SEQ Figure \* ARABIC ">
        <w:r w:rsidR="00A0212F">
          <w:rPr>
            <w:noProof/>
          </w:rPr>
          <w:t>7</w:t>
        </w:r>
      </w:fldSimple>
      <w:r>
        <w:t xml:space="preserve"> </w:t>
      </w:r>
      <w:r w:rsidRPr="008547C1">
        <w:t xml:space="preserve">Biomass upgrading technologies according to product type </w:t>
      </w:r>
      <w:r w:rsidR="000517A4">
        <w:fldChar w:fldCharType="begin"/>
      </w:r>
      <w:r w:rsidR="000517A4">
        <w:instrText xml:space="preserve"> ADDIN ZOTERO_ITEM CSL_CITATION {"citationID":"vqHKExx5","properties":{"formattedCitation":"(Mousa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rsidR="000517A4">
        <w:fldChar w:fldCharType="separate"/>
      </w:r>
      <w:r w:rsidR="000517A4" w:rsidRPr="000517A4">
        <w:rPr>
          <w:rFonts w:ascii="Calibri" w:hAnsi="Calibri" w:cs="Calibri"/>
        </w:rPr>
        <w:t>(Mousa et al. 2016)</w:t>
      </w:r>
      <w:r w:rsidR="000517A4">
        <w:fldChar w:fldCharType="end"/>
      </w:r>
      <w:r w:rsidR="000517A4">
        <w:t>.</w:t>
      </w:r>
      <w:bookmarkEnd w:id="20"/>
    </w:p>
    <w:p w14:paraId="25742DF1" w14:textId="165C67FD" w:rsidR="00FC7E7C" w:rsidRDefault="00EF125A" w:rsidP="00CE3862">
      <w:pPr>
        <w:spacing w:line="360" w:lineRule="auto"/>
        <w:jc w:val="both"/>
      </w:pPr>
      <w:r>
        <w:t>B</w:t>
      </w:r>
      <w:r w:rsidR="00FC7E7C">
        <w:t xml:space="preserve">iomass must be </w:t>
      </w:r>
      <w:r w:rsidR="003A3BFE">
        <w:t>d</w:t>
      </w:r>
      <w:r w:rsidR="006B33EF">
        <w:t>r</w:t>
      </w:r>
      <w:r w:rsidR="003A3BFE">
        <w:t>ied before any thermochemical</w:t>
      </w:r>
      <w:r w:rsidR="007E7CEF">
        <w:t xml:space="preserve"> conversion</w:t>
      </w:r>
      <w:r w:rsidR="003A3BFE">
        <w:t xml:space="preserve"> processes</w:t>
      </w:r>
      <w:r w:rsidR="007E7CEF">
        <w:t>. The moisture content needs to be reduced from 50 – 60% to 10%</w:t>
      </w:r>
      <w:r w:rsidR="001354C2">
        <w:t xml:space="preserve"> to avoid thermal ballast and </w:t>
      </w:r>
      <w:r w:rsidR="00F246CE">
        <w:t>affecting the yield of the charcoal.</w:t>
      </w:r>
      <w:r w:rsidR="00F76378">
        <w:t xml:space="preserve"> The most common technology used for biomass are rotary </w:t>
      </w:r>
      <w:r w:rsidR="001B4886">
        <w:t>dryers although there are several other technologies available.</w:t>
      </w:r>
    </w:p>
    <w:p w14:paraId="3045CDA5" w14:textId="440F76B1" w:rsidR="00980F74" w:rsidRDefault="001A3F2B" w:rsidP="00CE3862">
      <w:pPr>
        <w:spacing w:line="360" w:lineRule="auto"/>
        <w:jc w:val="both"/>
      </w:pPr>
      <w:r>
        <w:lastRenderedPageBreak/>
        <w:t>Thermal pre-treatments</w:t>
      </w:r>
      <w:r w:rsidR="00421C70">
        <w:t xml:space="preserve"> include torrefaction, carbonisation</w:t>
      </w:r>
      <w:r w:rsidR="00637D8E">
        <w:t xml:space="preserve">, fast </w:t>
      </w:r>
      <w:r w:rsidR="009A15CE">
        <w:t>pyrolysis,</w:t>
      </w:r>
      <w:r w:rsidR="00F813F6">
        <w:t xml:space="preserve"> hydrothermal </w:t>
      </w:r>
      <w:r w:rsidR="00134E9B">
        <w:t>carbonisation,</w:t>
      </w:r>
      <w:r w:rsidR="00637D8E">
        <w:t xml:space="preserve"> and gasification, they</w:t>
      </w:r>
      <w:r>
        <w:t xml:space="preserve"> are classified based on t</w:t>
      </w:r>
      <w:r w:rsidR="00A03C1E">
        <w:t>heir operating conditions</w:t>
      </w:r>
      <w:r w:rsidR="00161F67">
        <w:t>, mainly t</w:t>
      </w:r>
      <w:r w:rsidR="00151DDE">
        <w:t>emperature and reaction time</w:t>
      </w:r>
      <w:r w:rsidR="00421C70">
        <w:t xml:space="preserve"> and</w:t>
      </w:r>
      <w:r w:rsidR="00732C4E">
        <w:t xml:space="preserve"> they</w:t>
      </w:r>
      <w:r w:rsidR="002807EF">
        <w:t xml:space="preserve"> produce heat, syngas (H</w:t>
      </w:r>
      <w:r w:rsidR="002807EF" w:rsidRPr="00FB58A2">
        <w:rPr>
          <w:vertAlign w:val="subscript"/>
        </w:rPr>
        <w:t>2</w:t>
      </w:r>
      <w:r w:rsidR="002807EF">
        <w:t>+CO), or bio-oil and</w:t>
      </w:r>
      <w:r w:rsidR="00DA6848">
        <w:t xml:space="preserve"> char</w:t>
      </w:r>
      <w:r w:rsidR="00637D8E">
        <w:t>.</w:t>
      </w:r>
      <w:r w:rsidR="00145A76">
        <w:t xml:space="preserve"> </w:t>
      </w:r>
      <w:r w:rsidR="00A77BC9">
        <w:t>However,</w:t>
      </w:r>
      <w:r w:rsidR="00145A76">
        <w:t xml:space="preserve"> the solid product from</w:t>
      </w:r>
      <w:r w:rsidR="00453F9B">
        <w:t xml:space="preserve"> some of</w:t>
      </w:r>
      <w:r w:rsidR="00145A76">
        <w:t xml:space="preserve"> these</w:t>
      </w:r>
      <w:r w:rsidR="009A15CE">
        <w:t xml:space="preserve"> </w:t>
      </w:r>
      <w:r w:rsidR="00145A76">
        <w:t xml:space="preserve">processes is not </w:t>
      </w:r>
      <w:r w:rsidR="00314AFE">
        <w:t>regarded as suitable for use in the ISI.</w:t>
      </w:r>
      <w:r w:rsidR="00F656A6">
        <w:t xml:space="preserve"> </w:t>
      </w:r>
      <w:r w:rsidR="00F656A6">
        <w:fldChar w:fldCharType="begin"/>
      </w:r>
      <w:r w:rsidR="00F656A6">
        <w:instrText xml:space="preserve"> ADDIN ZOTERO_ITEM CSL_CITATION {"citationID":"pgkiu2vg","properties":{"formattedCitation":"(Suopaj\\uc0\\u228{}rvi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F656A6">
        <w:fldChar w:fldCharType="separate"/>
      </w:r>
      <w:r w:rsidR="00F656A6" w:rsidRPr="00F656A6">
        <w:rPr>
          <w:rFonts w:ascii="Calibri" w:hAnsi="Calibri" w:cs="Calibri"/>
          <w:szCs w:val="24"/>
        </w:rPr>
        <w:t>(Suopajärvi et al. 2018)</w:t>
      </w:r>
      <w:r w:rsidR="00F656A6">
        <w:fldChar w:fldCharType="end"/>
      </w:r>
      <w:r w:rsidR="00F656A6">
        <w:t xml:space="preserve"> provides a</w:t>
      </w:r>
      <w:r w:rsidR="00F22C5A">
        <w:t xml:space="preserve"> summary of the available pre-treatments as follows</w:t>
      </w:r>
      <w:r w:rsidR="00DD27E4">
        <w:t xml:space="preserve"> (product yields from</w:t>
      </w:r>
      <w:r w:rsidR="00CE1314">
        <w:t xml:space="preserve"> </w:t>
      </w:r>
      <w:r w:rsidR="00CE1314">
        <w:fldChar w:fldCharType="begin"/>
      </w:r>
      <w:r w:rsidR="00CE1314">
        <w:instrText xml:space="preserve"> ADDIN ZOTERO_ITEM CSL_CITATION {"citationID":"Txupc9FF","properties":{"formattedCitation":"(Kambo and Dutta 2015)","plainCitation":"(Kambo and Dutta 2015)","noteIndex":0},"citationItems":[{"id":1710,"uris":["http://zotero.org/users/local/AB2owHL2/items/D65U96DB"],"itemData":{"id":1710,"type":"article-journal","abstract":"Slow-pyrolysis of biomass for the production of biochar, a stable carbon-rich solid by-product, has gained considerable interest due to its proven role and application in the multidisciplinary areas of science and engineering. An alternative to slow-pyrolysis is a relatively new process called hydrothermal carbonization (HTC) of biomass, where the biomass is treated with hot compressed water instead of drying, has shown promising results. The HTC process offers several advantages over conventional dry-thermal pre-treatments like slow-pyrolysis in terms of improvements in the process performances and economic efficiency, especially its ability to process wet feedstock without pre-drying requirement. Char produced from both the processes exhibits significantly different physiochemical properties that affect their potential applications, which includes but is not limited to carbon sequestration, soil amelioration, bioenergy production, and wastewater pollution remediation. This paper provides an updated review on the fundamentals and reaction mechanisms of the slow-pyrolysis and HTC processes, identifies research gaps, and summarizes the physicochemical characteristics of chars for different applications in the industry. The literature reviewed in this study suggests that hydrochar (HTC char) is a valuable resource and is superior to biochar in certain ways. For example, it contains a reduced alkali and alkaline earth and heavy metal content, and an increased higher heating value compared to the biochar produced at the same operating process temperature. However, its effective utilization would require further experimental research and investigations in terms of feeding of biomass against pressure; effects and relationships among feedstocks compositions, hydrochar characteristics and process conditions; advancement in the production technique(s) for improvement in the physicochemical behavior of hydrochar; and development of a diverse range of processing options to produce hydrochar with characteristics required for various industry applications.","container-title":"Renewable and Sustainable Energy Reviews","DOI":"10.1016/j.rser.2015.01.050","ISSN":"1364-0321","journalAbbreviation":"Renewable and Sustainable Energy Reviews","language":"en","page":"359-378","source":"ScienceDirect","title":"A comparative review of biochar and hydrochar in terms of production, physico-chemical properties and applications","URL":"https://www.sciencedirect.com/science/article/pii/S136403211500060X","volume":"45","author":[{"family":"Kambo","given":"Harpreet Singh"},{"family":"Dutta","given":"Animesh"}],"accessed":{"date-parts":[["2022",6,28]]},"issued":{"date-parts":[["2015",5,1]]}}}],"schema":"https://github.com/citation-style-language/schema/raw/master/csl-citation.json"} </w:instrText>
      </w:r>
      <w:r w:rsidR="00CE1314">
        <w:fldChar w:fldCharType="separate"/>
      </w:r>
      <w:r w:rsidR="00CE1314" w:rsidRPr="00CE1314">
        <w:rPr>
          <w:rFonts w:ascii="Calibri" w:hAnsi="Calibri" w:cs="Calibri"/>
        </w:rPr>
        <w:t>(Kambo and Dutta 2015)</w:t>
      </w:r>
      <w:r w:rsidR="00CE1314">
        <w:fldChar w:fldCharType="end"/>
      </w:r>
      <w:r w:rsidR="00F22C5A">
        <w:t>:</w:t>
      </w:r>
    </w:p>
    <w:p w14:paraId="099D6573" w14:textId="41FF8C79" w:rsidR="00F5409C" w:rsidRDefault="00F5409C" w:rsidP="00CE3862">
      <w:pPr>
        <w:spacing w:line="360" w:lineRule="auto"/>
        <w:jc w:val="both"/>
        <w:rPr>
          <w:b/>
          <w:bCs/>
        </w:rPr>
      </w:pPr>
      <w:r w:rsidRPr="00B01F40">
        <w:rPr>
          <w:b/>
          <w:bCs/>
        </w:rPr>
        <w:t>Slow Pyrolysis</w:t>
      </w:r>
      <w:r w:rsidRPr="00B01F40">
        <w:t xml:space="preserve"> </w:t>
      </w:r>
      <w:r>
        <w:t>–</w:t>
      </w:r>
      <w:r>
        <w:rPr>
          <w:b/>
          <w:bCs/>
        </w:rPr>
        <w:t xml:space="preserve"> </w:t>
      </w:r>
      <w:r>
        <w:t>Slow heated to 300 - 600</w:t>
      </w:r>
      <w:r w:rsidRPr="00D75893">
        <w:rPr>
          <w:vertAlign w:val="superscript"/>
        </w:rPr>
        <w:t>0</w:t>
      </w:r>
      <w:r>
        <w:t>C without air, residence time can vary from 15 – 30 min to several hours. Produces a highly carbonated solid residue</w:t>
      </w:r>
      <w:r w:rsidR="00C06C22">
        <w:t xml:space="preserve"> (</w:t>
      </w:r>
      <w:r w:rsidR="00A5501B">
        <w:t>50 – 95% fixed carbon)</w:t>
      </w:r>
      <w:r>
        <w:t xml:space="preserve"> called charcoal or Biochar with a large particle size. Gas and bio-oil produced as by-products. </w:t>
      </w:r>
      <w:r w:rsidR="00B873F6">
        <w:t>The product yield</w:t>
      </w:r>
      <w:r w:rsidR="000A2649">
        <w:t>s</w:t>
      </w:r>
      <w:r w:rsidR="00B873F6">
        <w:t xml:space="preserve"> for carbonisation </w:t>
      </w:r>
      <w:r w:rsidR="000A2649">
        <w:t>are</w:t>
      </w:r>
      <w:r w:rsidR="00B873F6">
        <w:t xml:space="preserve"> </w:t>
      </w:r>
      <w:r w:rsidR="00A769ED">
        <w:t>20 -</w:t>
      </w:r>
      <w:r w:rsidR="00B873F6">
        <w:t xml:space="preserve">30% liquid, </w:t>
      </w:r>
      <w:r w:rsidR="00A769ED">
        <w:t xml:space="preserve">25 - </w:t>
      </w:r>
      <w:r w:rsidR="00B873F6">
        <w:t xml:space="preserve">35% char and </w:t>
      </w:r>
      <w:r w:rsidR="00A769ED">
        <w:t xml:space="preserve">25 - </w:t>
      </w:r>
      <w:r w:rsidR="000A2649">
        <w:t>35% gas.</w:t>
      </w:r>
    </w:p>
    <w:p w14:paraId="4725F448" w14:textId="0BDBDE08" w:rsidR="00B01F40" w:rsidRDefault="00F5409C" w:rsidP="00CE3862">
      <w:pPr>
        <w:spacing w:line="360" w:lineRule="auto"/>
        <w:jc w:val="both"/>
      </w:pPr>
      <w:r>
        <w:rPr>
          <w:b/>
          <w:bCs/>
        </w:rPr>
        <w:t>T</w:t>
      </w:r>
      <w:r w:rsidR="002D4714" w:rsidRPr="00F22C5A">
        <w:rPr>
          <w:b/>
          <w:bCs/>
        </w:rPr>
        <w:t>orrefaction</w:t>
      </w:r>
      <w:r w:rsidR="002D4714">
        <w:t xml:space="preserve"> </w:t>
      </w:r>
      <w:r w:rsidR="00D75893">
        <w:t>–</w:t>
      </w:r>
      <w:r w:rsidR="002D4714">
        <w:t xml:space="preserve"> </w:t>
      </w:r>
      <w:r w:rsidR="00D75893">
        <w:t>Temperature range is 200 - 300</w:t>
      </w:r>
      <w:r w:rsidR="00D75893" w:rsidRPr="00D75893">
        <w:rPr>
          <w:vertAlign w:val="superscript"/>
        </w:rPr>
        <w:t>0</w:t>
      </w:r>
      <w:r w:rsidR="00D75893">
        <w:t>C</w:t>
      </w:r>
      <w:r w:rsidR="00FC576D">
        <w:t xml:space="preserve"> in the absence of air</w:t>
      </w:r>
      <w:r w:rsidR="00D75893">
        <w:t xml:space="preserve"> </w:t>
      </w:r>
      <w:r w:rsidR="00FC576D">
        <w:t>with 15 – 30 min residence time. Produces</w:t>
      </w:r>
      <w:r w:rsidR="00780F49">
        <w:t xml:space="preserve"> carbonised solid residue</w:t>
      </w:r>
      <w:r w:rsidR="00A5501B">
        <w:t xml:space="preserve"> 14</w:t>
      </w:r>
      <w:r w:rsidR="00493872">
        <w:t xml:space="preserve"> – 48% fixed carbon</w:t>
      </w:r>
      <w:r w:rsidR="00F656A6">
        <w:t>.</w:t>
      </w:r>
      <w:r w:rsidR="009B5E0A">
        <w:t xml:space="preserve"> The product yield</w:t>
      </w:r>
      <w:r w:rsidR="000A2649">
        <w:t>s</w:t>
      </w:r>
      <w:r w:rsidR="009B5E0A">
        <w:t xml:space="preserve"> for torrefaction </w:t>
      </w:r>
      <w:r w:rsidR="00BC0E3F">
        <w:t>are</w:t>
      </w:r>
      <w:r w:rsidR="001F1434">
        <w:t xml:space="preserve"> </w:t>
      </w:r>
      <w:r w:rsidR="00CE04F8">
        <w:t xml:space="preserve">60 - </w:t>
      </w:r>
      <w:r w:rsidR="009B5E0A">
        <w:t xml:space="preserve">80% </w:t>
      </w:r>
      <w:r w:rsidR="003D1C23">
        <w:t>char</w:t>
      </w:r>
      <w:r w:rsidR="001F1434">
        <w:t xml:space="preserve"> and 20</w:t>
      </w:r>
      <w:r w:rsidR="00CE04F8">
        <w:t xml:space="preserve"> - 40</w:t>
      </w:r>
      <w:r w:rsidR="001F1434">
        <w:t>% gas</w:t>
      </w:r>
      <w:r w:rsidR="000A2649">
        <w:t>.</w:t>
      </w:r>
    </w:p>
    <w:p w14:paraId="473E1721" w14:textId="130BA468" w:rsidR="007B2F0C" w:rsidRDefault="007B2F0C" w:rsidP="00CE3862">
      <w:pPr>
        <w:spacing w:line="360" w:lineRule="auto"/>
        <w:jc w:val="both"/>
      </w:pPr>
      <w:r>
        <w:rPr>
          <w:b/>
          <w:bCs/>
        </w:rPr>
        <w:t>Hydrothermal Carbonisation</w:t>
      </w:r>
      <w:r w:rsidR="00CE04F8">
        <w:rPr>
          <w:b/>
          <w:bCs/>
        </w:rPr>
        <w:t xml:space="preserve"> (HTC)</w:t>
      </w:r>
      <w:r>
        <w:rPr>
          <w:b/>
          <w:bCs/>
        </w:rPr>
        <w:t xml:space="preserve"> </w:t>
      </w:r>
      <w:r w:rsidR="00045769">
        <w:t>–</w:t>
      </w:r>
      <w:r>
        <w:t xml:space="preserve"> </w:t>
      </w:r>
      <w:r w:rsidR="00045769">
        <w:t xml:space="preserve">Mixed with </w:t>
      </w:r>
      <w:r w:rsidR="00D26BDC">
        <w:t>saturated water-steam at 150 – 250</w:t>
      </w:r>
      <w:r w:rsidR="00D26BDC" w:rsidRPr="00D75893">
        <w:rPr>
          <w:vertAlign w:val="superscript"/>
        </w:rPr>
        <w:t>0</w:t>
      </w:r>
      <w:r w:rsidR="00D26BDC">
        <w:t>C</w:t>
      </w:r>
      <w:r w:rsidR="0093217A">
        <w:t xml:space="preserve"> form a few minutes to a few hours. Produces a slightly carbonated</w:t>
      </w:r>
      <w:r w:rsidR="006017DA">
        <w:t xml:space="preserve"> solid residue called HTC biomass</w:t>
      </w:r>
      <w:r w:rsidR="00487B13">
        <w:t xml:space="preserve"> with similar properties to torrefied biomass</w:t>
      </w:r>
      <w:r w:rsidR="006017DA">
        <w:t>. Suitable for wet biomass</w:t>
      </w:r>
      <w:r w:rsidR="00AB710F">
        <w:t>.</w:t>
      </w:r>
      <w:r w:rsidR="00B52FAA">
        <w:t xml:space="preserve"> Eliminates the need for pre</w:t>
      </w:r>
      <w:r w:rsidR="00677DAC">
        <w:t>-</w:t>
      </w:r>
      <w:r w:rsidR="00B52FAA">
        <w:t>drying.</w:t>
      </w:r>
      <w:r w:rsidR="00CE04F8">
        <w:t xml:space="preserve"> The product yield</w:t>
      </w:r>
      <w:r w:rsidR="00677DAC">
        <w:t>s</w:t>
      </w:r>
      <w:r w:rsidR="00CE04F8">
        <w:t xml:space="preserve"> for HTC are </w:t>
      </w:r>
      <w:r w:rsidR="005849D3">
        <w:t xml:space="preserve">45 – 70% </w:t>
      </w:r>
      <w:r w:rsidR="00F64CDC">
        <w:t>char</w:t>
      </w:r>
      <w:r w:rsidR="005849D3">
        <w:t>, 5 – 25% liquid</w:t>
      </w:r>
      <w:r w:rsidR="00CE1314">
        <w:t>, and 2 – 5% gas.</w:t>
      </w:r>
    </w:p>
    <w:p w14:paraId="615D18FF" w14:textId="13B73110" w:rsidR="00AB710F" w:rsidRDefault="006E10C6" w:rsidP="00CE3862">
      <w:pPr>
        <w:spacing w:line="360" w:lineRule="auto"/>
        <w:jc w:val="both"/>
      </w:pPr>
      <w:r>
        <w:rPr>
          <w:b/>
          <w:bCs/>
        </w:rPr>
        <w:t>Fast Pyroly</w:t>
      </w:r>
      <w:r w:rsidR="00151A13">
        <w:rPr>
          <w:b/>
          <w:bCs/>
        </w:rPr>
        <w:t>sis</w:t>
      </w:r>
      <w:r w:rsidR="00151A13">
        <w:t xml:space="preserve"> - Heated to 400 - 600</w:t>
      </w:r>
      <w:r w:rsidR="00151A13" w:rsidRPr="00D75893">
        <w:rPr>
          <w:vertAlign w:val="superscript"/>
        </w:rPr>
        <w:t>0</w:t>
      </w:r>
      <w:r w:rsidR="00151A13">
        <w:t xml:space="preserve">C </w:t>
      </w:r>
      <w:r w:rsidR="00A10551">
        <w:t xml:space="preserve">for a few seconds </w:t>
      </w:r>
      <w:r w:rsidR="00F44D09">
        <w:t>without the presence of air. Produces bio-oil</w:t>
      </w:r>
      <w:r w:rsidR="00F656A6">
        <w:t xml:space="preserve">. </w:t>
      </w:r>
      <w:r w:rsidR="004F074E">
        <w:t>The product y</w:t>
      </w:r>
      <w:r w:rsidR="00561018">
        <w:t xml:space="preserve">ields for fast pyrolysis are 75% liquid, 12% </w:t>
      </w:r>
      <w:r w:rsidR="00F64CDC">
        <w:t>char</w:t>
      </w:r>
      <w:r w:rsidR="00561018">
        <w:t xml:space="preserve"> and 13% gas.</w:t>
      </w:r>
    </w:p>
    <w:p w14:paraId="59F6ED69" w14:textId="2FA9C6E7" w:rsidR="00CB6226" w:rsidRDefault="00CB6226" w:rsidP="00CE3862">
      <w:pPr>
        <w:spacing w:line="360" w:lineRule="auto"/>
        <w:jc w:val="both"/>
      </w:pPr>
      <w:r>
        <w:rPr>
          <w:b/>
          <w:bCs/>
        </w:rPr>
        <w:t xml:space="preserve">Gasification </w:t>
      </w:r>
      <w:r w:rsidR="0026379F">
        <w:t>–</w:t>
      </w:r>
      <w:r>
        <w:t xml:space="preserve"> </w:t>
      </w:r>
      <w:r w:rsidR="0026379F">
        <w:t xml:space="preserve">Operating conditions are 600 – 1400 </w:t>
      </w:r>
      <w:r w:rsidR="0026379F" w:rsidRPr="00D75893">
        <w:rPr>
          <w:vertAlign w:val="superscript"/>
        </w:rPr>
        <w:t>0</w:t>
      </w:r>
      <w:r w:rsidR="0026379F">
        <w:t>C</w:t>
      </w:r>
      <w:r w:rsidR="009879BA">
        <w:t>, mixed with 30 – 50% oxygen or air</w:t>
      </w:r>
      <w:r w:rsidR="00500F92">
        <w:t>. Syngas is produced</w:t>
      </w:r>
      <w:r w:rsidR="00622D35">
        <w:t xml:space="preserve">. </w:t>
      </w:r>
      <w:r w:rsidR="009755D2">
        <w:t xml:space="preserve">The product yields of gasification are </w:t>
      </w:r>
      <w:r w:rsidR="003F37E0">
        <w:t xml:space="preserve">5% liquid, 10% </w:t>
      </w:r>
      <w:r w:rsidR="00F64CDC">
        <w:t>char</w:t>
      </w:r>
      <w:r w:rsidR="003F37E0">
        <w:t xml:space="preserve"> and 85% gas.</w:t>
      </w:r>
    </w:p>
    <w:p w14:paraId="4B951594" w14:textId="2E848953" w:rsidR="00F413CC" w:rsidRDefault="00F413CC" w:rsidP="00F413CC">
      <w:pPr>
        <w:spacing w:line="360" w:lineRule="auto"/>
        <w:jc w:val="both"/>
      </w:pPr>
      <w:r>
        <w:t>Some char is produced as a by-product in both fast pyrolysis and gasification but is not considered biochar does not have the required properties.</w:t>
      </w:r>
    </w:p>
    <w:p w14:paraId="66EABA29" w14:textId="77777777" w:rsidR="00D86D1D" w:rsidRDefault="00D92E5C" w:rsidP="00D86D1D">
      <w:pPr>
        <w:spacing w:line="360" w:lineRule="auto"/>
        <w:jc w:val="both"/>
      </w:pPr>
      <w:r>
        <w:t xml:space="preserve">The most suitable biomass state for use in industry as a source of energy is solid biomass, followed by biogas. The solid biofuels are represented by charcoal and torrefied wood pellets, and these are the most appropriate fuels for </w:t>
      </w:r>
      <w:r w:rsidR="009A6BA5">
        <w:t>industrial use as an energy source</w:t>
      </w:r>
      <w:r>
        <w:t xml:space="preserve">. </w:t>
      </w:r>
      <w:r w:rsidR="00EB454C">
        <w:t xml:space="preserve">Biochar </w:t>
      </w:r>
      <w:r>
        <w:t>has the highest fixed carbon and calorific value and the lowest volatile matter among the bio products</w:t>
      </w:r>
      <w:r w:rsidR="001D4320">
        <w:t xml:space="preserve"> </w:t>
      </w:r>
      <w:r w:rsidR="001D4320">
        <w:fldChar w:fldCharType="begin"/>
      </w:r>
      <w:r w:rsidR="001D4320">
        <w:instrText xml:space="preserve"> ADDIN ZOTERO_ITEM CSL_CITATION {"citationID":"OZZeEtBh","properties":{"formattedCitation":"(Suopaj\\uc0\\u228{}rvi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1D4320">
        <w:fldChar w:fldCharType="separate"/>
      </w:r>
      <w:r w:rsidR="001D4320" w:rsidRPr="002D72ED">
        <w:rPr>
          <w:rFonts w:ascii="Calibri" w:hAnsi="Calibri" w:cs="Calibri"/>
          <w:szCs w:val="24"/>
        </w:rPr>
        <w:t>(Suopajärvi et al. 2018)</w:t>
      </w:r>
      <w:r w:rsidR="001D4320">
        <w:fldChar w:fldCharType="end"/>
      </w:r>
      <w:r>
        <w:t xml:space="preserve">. </w:t>
      </w:r>
      <w:r w:rsidR="00D86D1D">
        <w:t xml:space="preserve">Figure 8 illustrates that during thermal pre-treatment the carbon mass increases relative to the oxygen and hydrogen content, as a result the heating value and CV increases by about 9 – 12%. </w:t>
      </w:r>
    </w:p>
    <w:p w14:paraId="48E484C2" w14:textId="55F4A2DD" w:rsidR="00D92E5C" w:rsidRPr="00FB58A2" w:rsidRDefault="00D92E5C" w:rsidP="00D92E5C">
      <w:pPr>
        <w:spacing w:line="360" w:lineRule="auto"/>
        <w:jc w:val="both"/>
      </w:pPr>
    </w:p>
    <w:p w14:paraId="06FF1011" w14:textId="1A3EA09E" w:rsidR="007965D9" w:rsidRDefault="00A81B07" w:rsidP="00F413CC">
      <w:pPr>
        <w:spacing w:line="360" w:lineRule="auto"/>
        <w:jc w:val="both"/>
      </w:pPr>
      <w:r w:rsidRPr="00A81B07">
        <w:rPr>
          <w:noProof/>
        </w:rPr>
        <w:lastRenderedPageBreak/>
        <w:drawing>
          <wp:inline distT="0" distB="0" distL="0" distR="0" wp14:anchorId="6FA49088" wp14:editId="2EF9B7D9">
            <wp:extent cx="3896139" cy="2393315"/>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9"/>
                    <a:stretch>
                      <a:fillRect/>
                    </a:stretch>
                  </pic:blipFill>
                  <pic:spPr>
                    <a:xfrm>
                      <a:off x="0" y="0"/>
                      <a:ext cx="3899410" cy="2395325"/>
                    </a:xfrm>
                    <a:prstGeom prst="rect">
                      <a:avLst/>
                    </a:prstGeom>
                  </pic:spPr>
                </pic:pic>
              </a:graphicData>
            </a:graphic>
          </wp:inline>
        </w:drawing>
      </w:r>
    </w:p>
    <w:p w14:paraId="73031A39" w14:textId="0E7E6480" w:rsidR="00A81B07" w:rsidRDefault="00373C34" w:rsidP="00373C34">
      <w:pPr>
        <w:pStyle w:val="Caption"/>
      </w:pPr>
      <w:bookmarkStart w:id="21" w:name="_Toc127110902"/>
      <w:r>
        <w:t xml:space="preserve">Figure </w:t>
      </w:r>
      <w:fldSimple w:instr=" SEQ Figure \* ARABIC ">
        <w:r w:rsidR="00A0212F">
          <w:rPr>
            <w:noProof/>
          </w:rPr>
          <w:t>8</w:t>
        </w:r>
      </w:fldSimple>
      <w:r>
        <w:t xml:space="preserve"> </w:t>
      </w:r>
      <w:r w:rsidRPr="00BB1C49">
        <w:t xml:space="preserve">Influence of pre-treatment temperature on key variables </w:t>
      </w:r>
      <w:r w:rsidR="00DC1502">
        <w:fldChar w:fldCharType="begin"/>
      </w:r>
      <w:r w:rsidR="00371188">
        <w:instrText xml:space="preserve"> ADDIN ZOTERO_ITEM CSL_CITATION {"citationID":"0wByCRI5","properties":{"formattedCitation":"(Liu and Shen 2021b)","plainCitation":"(Liu and Shen 2021b)","dontUpdate":true,"noteIndex":0},"citationItems":[{"id":2048,"uris":["http://zotero.org/users/local/AB2owHL2/items/JM8PE9PU"],"itemData":{"id":2048,"type":"article-journal","abstract":"Biomass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11,12]]},"issued":{"date-parts":[["2021",11,1]]}}}],"schema":"https://github.com/citation-style-language/schema/raw/master/csl-citation.json"} </w:instrText>
      </w:r>
      <w:r w:rsidR="00DC1502">
        <w:fldChar w:fldCharType="separate"/>
      </w:r>
      <w:r w:rsidR="00DC1502" w:rsidRPr="00DC1502">
        <w:rPr>
          <w:rFonts w:ascii="Calibri" w:hAnsi="Calibri" w:cs="Calibri"/>
        </w:rPr>
        <w:t>(Liu and Shen 2021)</w:t>
      </w:r>
      <w:bookmarkEnd w:id="21"/>
      <w:r w:rsidR="00DC1502">
        <w:fldChar w:fldCharType="end"/>
      </w:r>
    </w:p>
    <w:p w14:paraId="5C27CEC7" w14:textId="77777777" w:rsidR="009B7904" w:rsidRDefault="009B7904" w:rsidP="00CE3862">
      <w:pPr>
        <w:spacing w:line="360" w:lineRule="auto"/>
        <w:jc w:val="both"/>
      </w:pPr>
    </w:p>
    <w:p w14:paraId="418D8BB6" w14:textId="77777777" w:rsidR="009B7904" w:rsidRDefault="009B7904" w:rsidP="00CE3862">
      <w:pPr>
        <w:spacing w:line="360" w:lineRule="auto"/>
        <w:jc w:val="both"/>
      </w:pPr>
    </w:p>
    <w:p w14:paraId="0A5CE90B" w14:textId="77777777" w:rsidR="009B7904" w:rsidRDefault="009B7904" w:rsidP="00CE3862">
      <w:pPr>
        <w:spacing w:line="360" w:lineRule="auto"/>
        <w:jc w:val="both"/>
      </w:pPr>
    </w:p>
    <w:p w14:paraId="3A521850" w14:textId="77777777" w:rsidR="009B7904" w:rsidRDefault="009B7904" w:rsidP="00CE3862">
      <w:pPr>
        <w:spacing w:line="360" w:lineRule="auto"/>
        <w:jc w:val="both"/>
      </w:pPr>
    </w:p>
    <w:p w14:paraId="40263BCA" w14:textId="77777777" w:rsidR="009B7904" w:rsidRDefault="009B7904" w:rsidP="00CE3862">
      <w:pPr>
        <w:spacing w:line="360" w:lineRule="auto"/>
        <w:jc w:val="both"/>
      </w:pPr>
    </w:p>
    <w:p w14:paraId="4F3DA57F" w14:textId="77777777" w:rsidR="009B7904" w:rsidRDefault="009B7904" w:rsidP="00CE3862">
      <w:pPr>
        <w:spacing w:line="360" w:lineRule="auto"/>
        <w:jc w:val="both"/>
      </w:pPr>
    </w:p>
    <w:p w14:paraId="1B5AF5DC" w14:textId="77777777" w:rsidR="009B7904" w:rsidRDefault="009B7904" w:rsidP="00CE3862">
      <w:pPr>
        <w:spacing w:line="360" w:lineRule="auto"/>
        <w:jc w:val="both"/>
      </w:pPr>
    </w:p>
    <w:p w14:paraId="7AFBCEF7" w14:textId="77777777" w:rsidR="009B7904" w:rsidRDefault="009B7904" w:rsidP="00CE3862">
      <w:pPr>
        <w:spacing w:line="360" w:lineRule="auto"/>
        <w:jc w:val="both"/>
      </w:pPr>
    </w:p>
    <w:p w14:paraId="6E30BA9F" w14:textId="77777777" w:rsidR="009B7904" w:rsidRDefault="009B7904" w:rsidP="00CE3862">
      <w:pPr>
        <w:spacing w:line="360" w:lineRule="auto"/>
        <w:jc w:val="both"/>
      </w:pPr>
    </w:p>
    <w:p w14:paraId="6BDD12F0" w14:textId="77777777" w:rsidR="009B7904" w:rsidRDefault="009B7904" w:rsidP="00CE3862">
      <w:pPr>
        <w:spacing w:line="360" w:lineRule="auto"/>
        <w:jc w:val="both"/>
      </w:pPr>
    </w:p>
    <w:p w14:paraId="78441BF8" w14:textId="77777777" w:rsidR="009B7904" w:rsidRDefault="009B7904" w:rsidP="00CE3862">
      <w:pPr>
        <w:spacing w:line="360" w:lineRule="auto"/>
        <w:jc w:val="both"/>
      </w:pPr>
    </w:p>
    <w:p w14:paraId="535F3871" w14:textId="77777777" w:rsidR="009B7904" w:rsidRDefault="009B7904" w:rsidP="00CE3862">
      <w:pPr>
        <w:spacing w:line="360" w:lineRule="auto"/>
        <w:jc w:val="both"/>
      </w:pPr>
    </w:p>
    <w:p w14:paraId="5C64507B" w14:textId="77777777" w:rsidR="009B7904" w:rsidRDefault="009B7904" w:rsidP="00CE3862">
      <w:pPr>
        <w:spacing w:line="360" w:lineRule="auto"/>
        <w:jc w:val="both"/>
      </w:pPr>
    </w:p>
    <w:p w14:paraId="782D0B78" w14:textId="77777777" w:rsidR="009B7904" w:rsidRDefault="009B7904" w:rsidP="00CE3862">
      <w:pPr>
        <w:spacing w:line="360" w:lineRule="auto"/>
        <w:jc w:val="both"/>
      </w:pPr>
    </w:p>
    <w:p w14:paraId="54C9B120" w14:textId="77777777" w:rsidR="009B7904" w:rsidRDefault="009B7904" w:rsidP="00CE3862">
      <w:pPr>
        <w:spacing w:line="360" w:lineRule="auto"/>
        <w:jc w:val="both"/>
      </w:pPr>
    </w:p>
    <w:p w14:paraId="5F746CC7" w14:textId="440381C0" w:rsidR="00EF704A" w:rsidRPr="00EF704A" w:rsidRDefault="00637C96" w:rsidP="00F104D1">
      <w:pPr>
        <w:pStyle w:val="Heading2"/>
        <w:spacing w:line="360" w:lineRule="auto"/>
        <w:jc w:val="both"/>
      </w:pPr>
      <w:bookmarkStart w:id="22" w:name="_Toc127911436"/>
      <w:r>
        <w:lastRenderedPageBreak/>
        <w:t>Biomass utilisation in the iron and steel industry</w:t>
      </w:r>
      <w:bookmarkEnd w:id="22"/>
    </w:p>
    <w:p w14:paraId="3B922689" w14:textId="15D2A6CB" w:rsidR="00637C96" w:rsidRDefault="00EF704A" w:rsidP="00F104D1">
      <w:pPr>
        <w:spacing w:line="360" w:lineRule="auto"/>
        <w:jc w:val="both"/>
      </w:pPr>
      <w:r>
        <w:t xml:space="preserve">The BF – BOS steelmaking process accounts for </w:t>
      </w:r>
      <w:r w:rsidR="00455C94">
        <w:t>70% of global steel production</w:t>
      </w:r>
      <w:r w:rsidR="00985B7A">
        <w:t xml:space="preserve">. The BF process involves </w:t>
      </w:r>
      <w:r w:rsidR="00132B72">
        <w:t>charging agglomerated iron ore and /or sinter</w:t>
      </w:r>
      <w:r w:rsidR="0025792D">
        <w:t xml:space="preserve"> into the BF at 1600 -2000</w:t>
      </w:r>
      <w:r w:rsidR="0025792D" w:rsidRPr="0025792D">
        <w:rPr>
          <w:vertAlign w:val="superscript"/>
        </w:rPr>
        <w:t>0</w:t>
      </w:r>
      <w:r w:rsidR="0025792D">
        <w:t>C</w:t>
      </w:r>
      <w:r w:rsidR="00397357">
        <w:t>. Metallurgical coke is the primary source of energy and the reducing agent</w:t>
      </w:r>
      <w:r w:rsidR="00E245B3">
        <w:t>. Fluxes such as limestone and dolomite are added to remove impurities such as sulphur.</w:t>
      </w:r>
      <w:r w:rsidR="006D33F9">
        <w:t xml:space="preserve"> Pulverised coal injection (PCI) and oxygen </w:t>
      </w:r>
      <w:r w:rsidR="00585E21">
        <w:t>are injected into the furnace to increase productivity and reduce coke demand</w:t>
      </w:r>
      <w:r w:rsidR="007D44D0">
        <w:t xml:space="preserve"> </w:t>
      </w:r>
      <w:r w:rsidR="007D44D0">
        <w:fldChar w:fldCharType="begin"/>
      </w:r>
      <w:r w:rsidR="007D44D0">
        <w:instrText xml:space="preserve"> ADDIN ZOTERO_ITEM CSL_CITATION {"citationID":"xHCWDM6N","properties":{"formattedCitation":"(Geerdes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7D44D0">
        <w:fldChar w:fldCharType="separate"/>
      </w:r>
      <w:r w:rsidR="007D44D0" w:rsidRPr="007D44D0">
        <w:rPr>
          <w:rFonts w:ascii="Calibri" w:hAnsi="Calibri" w:cs="Calibri"/>
        </w:rPr>
        <w:t>(Geerdes et al. 2009)</w:t>
      </w:r>
      <w:r w:rsidR="007D44D0">
        <w:fldChar w:fldCharType="end"/>
      </w:r>
      <w:r w:rsidR="00585E21">
        <w:t>.</w:t>
      </w:r>
    </w:p>
    <w:p w14:paraId="54A0D317" w14:textId="4D852BCC" w:rsidR="005C7CC4" w:rsidRPr="003C3C07" w:rsidRDefault="00F74416" w:rsidP="005C7CC4">
      <w:pPr>
        <w:spacing w:line="360" w:lineRule="auto"/>
        <w:jc w:val="both"/>
      </w:pPr>
      <w:r>
        <w:t xml:space="preserve">The three </w:t>
      </w:r>
      <w:r w:rsidR="003C3C07">
        <w:t>processes with most potential for CO</w:t>
      </w:r>
      <w:r w:rsidR="003C3C07" w:rsidRPr="003C3C07">
        <w:rPr>
          <w:vertAlign w:val="subscript"/>
        </w:rPr>
        <w:t>2</w:t>
      </w:r>
      <w:r w:rsidR="003C3C07">
        <w:t xml:space="preserve"> savings</w:t>
      </w:r>
      <w:r w:rsidR="00373920">
        <w:t xml:space="preserve"> in the ISI</w:t>
      </w:r>
      <w:r w:rsidR="00792D9C">
        <w:t xml:space="preserve">, </w:t>
      </w:r>
      <w:r w:rsidR="001F479E">
        <w:t>displayed</w:t>
      </w:r>
      <w:r w:rsidR="00792D9C">
        <w:t xml:space="preserve"> in </w:t>
      </w:r>
      <w:r w:rsidR="001F479E">
        <w:t xml:space="preserve">figure </w:t>
      </w:r>
      <w:r w:rsidR="00D86D1D">
        <w:t>9</w:t>
      </w:r>
      <w:r w:rsidR="001F479E">
        <w:t>, are</w:t>
      </w:r>
      <w:r w:rsidR="003C3C07">
        <w:t>:</w:t>
      </w:r>
    </w:p>
    <w:p w14:paraId="38CF0853" w14:textId="35FF2E6A" w:rsidR="005C7CC4" w:rsidRDefault="005C7CC4" w:rsidP="005C7CC4">
      <w:pPr>
        <w:pStyle w:val="ListParagraph"/>
        <w:numPr>
          <w:ilvl w:val="0"/>
          <w:numId w:val="1"/>
        </w:numPr>
        <w:spacing w:line="360" w:lineRule="auto"/>
        <w:jc w:val="both"/>
      </w:pPr>
      <w:r>
        <w:t>As a replacement for coal in PCI at the BF tuyeres.</w:t>
      </w:r>
    </w:p>
    <w:p w14:paraId="797F325D" w14:textId="77777777" w:rsidR="005C7CC4" w:rsidRDefault="005C7CC4" w:rsidP="005C7CC4">
      <w:pPr>
        <w:pStyle w:val="ListParagraph"/>
        <w:numPr>
          <w:ilvl w:val="0"/>
          <w:numId w:val="1"/>
        </w:numPr>
        <w:spacing w:line="360" w:lineRule="auto"/>
        <w:jc w:val="both"/>
      </w:pPr>
      <w:r>
        <w:t>Partial replacement of coal in the coke making process for charging into the BF.</w:t>
      </w:r>
    </w:p>
    <w:p w14:paraId="56EB522E" w14:textId="02794B1B" w:rsidR="005A1A28" w:rsidRDefault="005C7CC4" w:rsidP="005A1A28">
      <w:pPr>
        <w:pStyle w:val="ListParagraph"/>
        <w:numPr>
          <w:ilvl w:val="0"/>
          <w:numId w:val="1"/>
        </w:numPr>
        <w:spacing w:line="360" w:lineRule="auto"/>
        <w:jc w:val="both"/>
      </w:pPr>
      <w:r>
        <w:t>Biomass in iron ore sintering for charging into BF.</w:t>
      </w:r>
    </w:p>
    <w:p w14:paraId="26C363E4" w14:textId="089F67D0" w:rsidR="005C7CC4" w:rsidRDefault="005C7CC4" w:rsidP="005C7CC4">
      <w:pPr>
        <w:spacing w:line="360" w:lineRule="auto"/>
        <w:jc w:val="both"/>
      </w:pPr>
      <w:r>
        <w:fldChar w:fldCharType="begin"/>
      </w:r>
      <w:r w:rsidR="00371188">
        <w:instrText xml:space="preserve"> ADDIN ZOTERO_ITEM CSL_CITATION {"citationID":"Q3q3O3ei","properties":{"formattedCitation":"(Liu and Shen 2021b)","plainCitation":"(Liu and Shen 2021b)","noteIndex":0},"citationItems":[{"id":1694,"uris":["http://zotero.org/users/local/AB2owHL2/items/V6GCR2UE"],"itemData":{"id":1694,"type":"article-journal","abstract":"Biomass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6,28]]},"issued":{"date-parts":[["2021",11,1]]}}}],"schema":"https://github.com/citation-style-language/schema/raw/master/csl-citation.json"} </w:instrText>
      </w:r>
      <w:r>
        <w:fldChar w:fldCharType="separate"/>
      </w:r>
      <w:r w:rsidR="00371188" w:rsidRPr="00371188">
        <w:rPr>
          <w:rFonts w:ascii="Calibri" w:hAnsi="Calibri" w:cs="Calibri"/>
        </w:rPr>
        <w:t>(Liu and Shen 2021b)</w:t>
      </w:r>
      <w:r>
        <w:fldChar w:fldCharType="end"/>
      </w:r>
    </w:p>
    <w:p w14:paraId="30DBE231" w14:textId="77777777" w:rsidR="005C7CC4" w:rsidRDefault="005C7CC4" w:rsidP="005C7CC4">
      <w:pPr>
        <w:spacing w:line="360" w:lineRule="auto"/>
        <w:jc w:val="both"/>
      </w:pPr>
      <w:r w:rsidRPr="00EC74AD">
        <w:rPr>
          <w:noProof/>
        </w:rPr>
        <w:drawing>
          <wp:inline distT="0" distB="0" distL="0" distR="0" wp14:anchorId="37AD3913" wp14:editId="19EBB805">
            <wp:extent cx="5467018" cy="2115047"/>
            <wp:effectExtent l="0" t="0" r="63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0"/>
                    <a:stretch>
                      <a:fillRect/>
                    </a:stretch>
                  </pic:blipFill>
                  <pic:spPr>
                    <a:xfrm>
                      <a:off x="0" y="0"/>
                      <a:ext cx="5479190" cy="2119756"/>
                    </a:xfrm>
                    <a:prstGeom prst="rect">
                      <a:avLst/>
                    </a:prstGeom>
                  </pic:spPr>
                </pic:pic>
              </a:graphicData>
            </a:graphic>
          </wp:inline>
        </w:drawing>
      </w:r>
    </w:p>
    <w:p w14:paraId="67C4359F" w14:textId="6601E007" w:rsidR="00C5153C" w:rsidRPr="00C5153C" w:rsidRDefault="00C5153C" w:rsidP="00C5153C">
      <w:pPr>
        <w:pStyle w:val="Caption"/>
      </w:pPr>
      <w:bookmarkStart w:id="23" w:name="_Toc127110903"/>
      <w:r>
        <w:t xml:space="preserve">Figure </w:t>
      </w:r>
      <w:fldSimple w:instr=" SEQ Figure \* ARABIC ">
        <w:r w:rsidR="00A0212F">
          <w:rPr>
            <w:noProof/>
          </w:rPr>
          <w:t>9</w:t>
        </w:r>
      </w:fldSimple>
      <w:r>
        <w:t xml:space="preserve"> </w:t>
      </w:r>
      <w:r w:rsidRPr="00260F91">
        <w:t>Opportunities for Biomass in iron &amp; steelmaking</w:t>
      </w:r>
      <w:r>
        <w:t xml:space="preserve"> </w:t>
      </w:r>
      <w:r w:rsidR="004F75B3">
        <w:fldChar w:fldCharType="begin"/>
      </w:r>
      <w:r w:rsidR="004F75B3">
        <w:instrText xml:space="preserve"> ADDIN ZOTERO_ITEM CSL_CITATION {"citationID":"8dEmMFun","properties":{"formattedCitation":"(Mandova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4F75B3">
        <w:fldChar w:fldCharType="separate"/>
      </w:r>
      <w:r w:rsidR="004F75B3" w:rsidRPr="004F75B3">
        <w:rPr>
          <w:rFonts w:ascii="Calibri" w:hAnsi="Calibri" w:cs="Calibri"/>
        </w:rPr>
        <w:t>(Mandova et al. 2018)</w:t>
      </w:r>
      <w:bookmarkEnd w:id="23"/>
      <w:r w:rsidR="004F75B3">
        <w:fldChar w:fldCharType="end"/>
      </w:r>
    </w:p>
    <w:p w14:paraId="4828F433" w14:textId="0BF4D198" w:rsidR="002D7D91" w:rsidRDefault="002D7D91" w:rsidP="002D7D91">
      <w:pPr>
        <w:spacing w:line="360" w:lineRule="auto"/>
        <w:jc w:val="both"/>
      </w:pPr>
      <w:r>
        <w:t xml:space="preserve">Other potential </w:t>
      </w:r>
      <w:r w:rsidR="00E5248E">
        <w:t>options for CO</w:t>
      </w:r>
      <w:r w:rsidR="00E5248E" w:rsidRPr="003C3C07">
        <w:rPr>
          <w:vertAlign w:val="subscript"/>
        </w:rPr>
        <w:t>2</w:t>
      </w:r>
      <w:r w:rsidR="00E5248E">
        <w:t xml:space="preserve"> savings in the ISI include:</w:t>
      </w:r>
    </w:p>
    <w:p w14:paraId="71A78445" w14:textId="51FBCB47" w:rsidR="002D7D91" w:rsidRDefault="002D7D91" w:rsidP="00BD34CE">
      <w:pPr>
        <w:pStyle w:val="ListParagraph"/>
        <w:numPr>
          <w:ilvl w:val="0"/>
          <w:numId w:val="1"/>
        </w:numPr>
        <w:spacing w:line="360" w:lineRule="auto"/>
        <w:jc w:val="both"/>
      </w:pPr>
      <w:r>
        <w:t>Biomass briquette charged directly into the BF (partial coke replacement).</w:t>
      </w:r>
    </w:p>
    <w:p w14:paraId="428A5097" w14:textId="0CC5B37C" w:rsidR="002D7D91" w:rsidRDefault="002D7D91" w:rsidP="00BD34CE">
      <w:pPr>
        <w:pStyle w:val="ListParagraph"/>
        <w:numPr>
          <w:ilvl w:val="0"/>
          <w:numId w:val="1"/>
        </w:numPr>
        <w:spacing w:line="360" w:lineRule="auto"/>
        <w:jc w:val="both"/>
      </w:pPr>
      <w:r>
        <w:t xml:space="preserve">Iron ore pellets produced using </w:t>
      </w:r>
      <w:r w:rsidR="00D86D1D">
        <w:t>biomass.</w:t>
      </w:r>
    </w:p>
    <w:p w14:paraId="7CB4A150" w14:textId="0A75FE94" w:rsidR="00E5248E" w:rsidRDefault="002D7D91" w:rsidP="00BD34CE">
      <w:pPr>
        <w:pStyle w:val="ListParagraph"/>
        <w:numPr>
          <w:ilvl w:val="0"/>
          <w:numId w:val="1"/>
        </w:numPr>
        <w:spacing w:line="360" w:lineRule="auto"/>
        <w:jc w:val="both"/>
      </w:pPr>
      <w:r>
        <w:t>BF nut coke replacement</w:t>
      </w:r>
      <w:r w:rsidR="0009115B">
        <w:t>.</w:t>
      </w:r>
    </w:p>
    <w:p w14:paraId="57B4113B" w14:textId="15EEDE4A" w:rsidR="00C42174" w:rsidRDefault="00B205A9" w:rsidP="00B205A9">
      <w:pPr>
        <w:spacing w:line="360" w:lineRule="auto"/>
        <w:jc w:val="both"/>
      </w:pPr>
      <w:r>
        <w:t>This report will focus on the first three options</w:t>
      </w:r>
      <w:r w:rsidR="00F17DB6">
        <w:t>.</w:t>
      </w:r>
    </w:p>
    <w:p w14:paraId="13B80482" w14:textId="18C43960" w:rsidR="007B52FA" w:rsidRDefault="001D30D9" w:rsidP="00F104D1">
      <w:pPr>
        <w:pStyle w:val="Heading3"/>
        <w:spacing w:line="360" w:lineRule="auto"/>
        <w:jc w:val="both"/>
      </w:pPr>
      <w:bookmarkStart w:id="24" w:name="_Toc127911437"/>
      <w:r>
        <w:t xml:space="preserve">Injection of </w:t>
      </w:r>
      <w:r w:rsidR="00C42174">
        <w:t>Bio</w:t>
      </w:r>
      <w:r w:rsidR="00813719">
        <w:t>mass</w:t>
      </w:r>
      <w:r>
        <w:t xml:space="preserve"> into blast furnaces</w:t>
      </w:r>
      <w:bookmarkEnd w:id="24"/>
    </w:p>
    <w:p w14:paraId="53D1006B" w14:textId="6C5E3227" w:rsidR="003F1C49" w:rsidRDefault="00E12AAB" w:rsidP="003F1C49">
      <w:pPr>
        <w:spacing w:line="360" w:lineRule="auto"/>
        <w:jc w:val="both"/>
      </w:pPr>
      <w:r>
        <w:t>The raw materials</w:t>
      </w:r>
      <w:r w:rsidR="00CD2A4F">
        <w:t xml:space="preserve"> are charged into the </w:t>
      </w:r>
      <w:r w:rsidR="00C264F1">
        <w:t>BF</w:t>
      </w:r>
      <w:r w:rsidR="00CD2A4F">
        <w:t xml:space="preserve"> through the top</w:t>
      </w:r>
      <w:r>
        <w:t xml:space="preserve"> of the furn</w:t>
      </w:r>
      <w:r w:rsidR="002A5A27">
        <w:t>ace</w:t>
      </w:r>
      <w:r w:rsidR="00475B4E">
        <w:t xml:space="preserve">. Iron bearing materials are charged </w:t>
      </w:r>
      <w:r w:rsidR="00747F72">
        <w:t>in alternating layers along with the coke. The BF is heated by injecting pre</w:t>
      </w:r>
      <w:r w:rsidR="00293F4B">
        <w:t>heated air (blast) and coal through tuyer</w:t>
      </w:r>
      <w:r w:rsidR="00BC3521">
        <w:t>es (water cooled pipes) at the bottom of the furnace.</w:t>
      </w:r>
      <w:r w:rsidR="0020700A">
        <w:t xml:space="preserve"> </w:t>
      </w:r>
      <w:r w:rsidR="006959B1">
        <w:t>The hot blast</w:t>
      </w:r>
      <w:r w:rsidR="003A3B5C">
        <w:t xml:space="preserve"> reacts with the material in the furnace creating a high temperature flame of </w:t>
      </w:r>
      <w:r w:rsidR="004F2D0A">
        <w:t>2100</w:t>
      </w:r>
      <w:r w:rsidR="004F2D0A" w:rsidRPr="004F2D0A">
        <w:rPr>
          <w:vertAlign w:val="superscript"/>
        </w:rPr>
        <w:t>0</w:t>
      </w:r>
      <w:r w:rsidR="004F2D0A">
        <w:t>C – 2300</w:t>
      </w:r>
      <w:r w:rsidR="004F2D0A" w:rsidRPr="004F2D0A">
        <w:rPr>
          <w:vertAlign w:val="superscript"/>
        </w:rPr>
        <w:t>0</w:t>
      </w:r>
      <w:r w:rsidR="004F2D0A">
        <w:t>C</w:t>
      </w:r>
      <w:r w:rsidR="009F0E73">
        <w:t xml:space="preserve">. The coke and coal </w:t>
      </w:r>
      <w:r w:rsidR="009F0E73">
        <w:lastRenderedPageBreak/>
        <w:t xml:space="preserve">are </w:t>
      </w:r>
      <w:proofErr w:type="spellStart"/>
      <w:r w:rsidR="009F0E73">
        <w:t>gasified</w:t>
      </w:r>
      <w:proofErr w:type="spellEnd"/>
      <w:r w:rsidR="00FC3D9C">
        <w:t xml:space="preserve"> and the hot gases ascend the furnace,</w:t>
      </w:r>
      <w:r w:rsidR="00C7713C">
        <w:t xml:space="preserve"> melting </w:t>
      </w:r>
      <w:r w:rsidR="008F2D05">
        <w:t xml:space="preserve">and reducing </w:t>
      </w:r>
      <w:r w:rsidR="00C7713C">
        <w:t>the iron ore.</w:t>
      </w:r>
      <w:r w:rsidR="00FC3D9C">
        <w:t xml:space="preserve"> </w:t>
      </w:r>
      <w:r w:rsidR="00311F30">
        <w:t xml:space="preserve">The voids created allow the burden </w:t>
      </w:r>
      <w:r w:rsidR="002567A8">
        <w:t>to descend through the furnace</w:t>
      </w:r>
      <w:r w:rsidR="00371188">
        <w:t xml:space="preserve"> </w:t>
      </w:r>
      <w:r w:rsidR="00371188">
        <w:fldChar w:fldCharType="begin"/>
      </w:r>
      <w:r w:rsidR="00371188">
        <w:instrText xml:space="preserve"> ADDIN ZOTERO_ITEM CSL_CITATION {"citationID":"s3dKaG2q","properties":{"formattedCitation":"(Geerdes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371188">
        <w:fldChar w:fldCharType="separate"/>
      </w:r>
      <w:r w:rsidR="00371188" w:rsidRPr="00371188">
        <w:rPr>
          <w:rFonts w:ascii="Calibri" w:hAnsi="Calibri" w:cs="Calibri"/>
        </w:rPr>
        <w:t>(Geerdes et al. 2009)</w:t>
      </w:r>
      <w:r w:rsidR="00371188">
        <w:fldChar w:fldCharType="end"/>
      </w:r>
      <w:r w:rsidR="002567A8">
        <w:t xml:space="preserve">. </w:t>
      </w:r>
    </w:p>
    <w:p w14:paraId="40182885" w14:textId="67A6DDDB" w:rsidR="00BB016B" w:rsidRPr="003F1C49" w:rsidRDefault="00180ECC" w:rsidP="003F1C49">
      <w:pPr>
        <w:spacing w:line="360" w:lineRule="auto"/>
        <w:jc w:val="both"/>
      </w:pPr>
      <w:r>
        <w:t>The blast furnace is illustrated in figure 10</w:t>
      </w:r>
      <w:r w:rsidR="00760635">
        <w:t xml:space="preserve">. </w:t>
      </w:r>
      <w:r w:rsidR="00630969">
        <w:t>As the temperature at the throat of the furnace reaches 500</w:t>
      </w:r>
      <w:r w:rsidR="00FD176D" w:rsidRPr="00FD176D">
        <w:rPr>
          <w:vertAlign w:val="superscript"/>
        </w:rPr>
        <w:t>0</w:t>
      </w:r>
      <w:r w:rsidR="00FD176D">
        <w:t>C</w:t>
      </w:r>
      <w:r w:rsidR="00630969">
        <w:t xml:space="preserve"> </w:t>
      </w:r>
      <w:r w:rsidR="00FD176D">
        <w:t>–</w:t>
      </w:r>
      <w:r w:rsidR="00630969">
        <w:t xml:space="preserve"> 600</w:t>
      </w:r>
      <w:r w:rsidR="00FD176D" w:rsidRPr="00FD176D">
        <w:rPr>
          <w:vertAlign w:val="superscript"/>
        </w:rPr>
        <w:t>0</w:t>
      </w:r>
      <w:r w:rsidR="00FD176D">
        <w:t xml:space="preserve">C </w:t>
      </w:r>
      <w:r w:rsidR="00D71A90">
        <w:t>the iron ore in the form of Hematite (Fe</w:t>
      </w:r>
      <w:r w:rsidR="00D71A90" w:rsidRPr="00D71A90">
        <w:rPr>
          <w:vertAlign w:val="subscript"/>
        </w:rPr>
        <w:t>2</w:t>
      </w:r>
      <w:r w:rsidR="00D71A90">
        <w:t>O</w:t>
      </w:r>
      <w:r w:rsidR="00D71A90" w:rsidRPr="00D71A90">
        <w:rPr>
          <w:vertAlign w:val="subscript"/>
        </w:rPr>
        <w:t>3</w:t>
      </w:r>
      <w:r w:rsidR="00D71A90">
        <w:t xml:space="preserve">) </w:t>
      </w:r>
      <w:r w:rsidR="00F554C9">
        <w:t>starts to reduce to Magnetite (Fe</w:t>
      </w:r>
      <w:r w:rsidR="00EF71F7" w:rsidRPr="00EF71F7">
        <w:rPr>
          <w:vertAlign w:val="subscript"/>
        </w:rPr>
        <w:t>3</w:t>
      </w:r>
      <w:r w:rsidR="00EF71F7">
        <w:t>O</w:t>
      </w:r>
      <w:r w:rsidR="00EF71F7" w:rsidRPr="00EF71F7">
        <w:rPr>
          <w:vertAlign w:val="subscript"/>
        </w:rPr>
        <w:t>4</w:t>
      </w:r>
      <w:r w:rsidR="00EF71F7">
        <w:t>)</w:t>
      </w:r>
      <w:r w:rsidR="00114680">
        <w:t>. Further down the furnace as temperatures raise to 700</w:t>
      </w:r>
      <w:r w:rsidR="00114680" w:rsidRPr="00114680">
        <w:rPr>
          <w:vertAlign w:val="superscript"/>
        </w:rPr>
        <w:t>0</w:t>
      </w:r>
      <w:r w:rsidR="00114680">
        <w:t>C – 900</w:t>
      </w:r>
      <w:r w:rsidR="00114680" w:rsidRPr="00114680">
        <w:rPr>
          <w:vertAlign w:val="superscript"/>
        </w:rPr>
        <w:t>0</w:t>
      </w:r>
      <w:r w:rsidR="00114680">
        <w:t xml:space="preserve">C </w:t>
      </w:r>
      <w:r w:rsidR="008E6161">
        <w:t xml:space="preserve">the Magnetite reduces to </w:t>
      </w:r>
      <w:proofErr w:type="spellStart"/>
      <w:r w:rsidR="008E6161">
        <w:t>Wustite</w:t>
      </w:r>
      <w:proofErr w:type="spellEnd"/>
      <w:r w:rsidR="008E6161">
        <w:t xml:space="preserve"> (</w:t>
      </w:r>
      <w:proofErr w:type="spellStart"/>
      <w:r w:rsidR="008E6161">
        <w:t>FeO</w:t>
      </w:r>
      <w:proofErr w:type="spellEnd"/>
      <w:r w:rsidR="008E6161">
        <w:t xml:space="preserve">). </w:t>
      </w:r>
      <w:r w:rsidR="00E42B1F">
        <w:t>Further down at an area called the cohesive zone</w:t>
      </w:r>
      <w:r w:rsidR="00DC173B">
        <w:t xml:space="preserve"> at</w:t>
      </w:r>
      <w:r w:rsidR="00E42B1F">
        <w:t xml:space="preserve"> 1100</w:t>
      </w:r>
      <w:r w:rsidR="00E42B1F" w:rsidRPr="00E42B1F">
        <w:rPr>
          <w:vertAlign w:val="superscript"/>
        </w:rPr>
        <w:t>0</w:t>
      </w:r>
      <w:r w:rsidR="00E42B1F">
        <w:t>C – 1400</w:t>
      </w:r>
      <w:r w:rsidR="00E42B1F" w:rsidRPr="00E42B1F">
        <w:rPr>
          <w:vertAlign w:val="superscript"/>
        </w:rPr>
        <w:t>0</w:t>
      </w:r>
      <w:r w:rsidR="00E42B1F">
        <w:t>C</w:t>
      </w:r>
      <w:r w:rsidR="00DC173B">
        <w:t xml:space="preserve"> the </w:t>
      </w:r>
      <w:proofErr w:type="spellStart"/>
      <w:r w:rsidR="00DC173B">
        <w:t>Wustite</w:t>
      </w:r>
      <w:proofErr w:type="spellEnd"/>
      <w:r w:rsidR="00DC173B">
        <w:t xml:space="preserve"> is reduced to metallic iron</w:t>
      </w:r>
      <w:r w:rsidR="00317FCD">
        <w:t>, here the iron starts to soften and melt.</w:t>
      </w:r>
      <w:r w:rsidR="00E3732E">
        <w:t xml:space="preserve"> </w:t>
      </w:r>
      <w:r w:rsidR="009862EF">
        <w:t>Below the cohesive zone temperatures reach 1500</w:t>
      </w:r>
      <w:r w:rsidR="009862EF" w:rsidRPr="009862EF">
        <w:rPr>
          <w:vertAlign w:val="superscript"/>
        </w:rPr>
        <w:t>0</w:t>
      </w:r>
      <w:r w:rsidR="009862EF">
        <w:t>C</w:t>
      </w:r>
      <w:r w:rsidR="00E42B1F">
        <w:t xml:space="preserve"> </w:t>
      </w:r>
      <w:r w:rsidR="003B4DC5">
        <w:t>and coke is now the only solid material.</w:t>
      </w:r>
      <w:r w:rsidR="005F79F2">
        <w:t xml:space="preserve"> The iron continues to descend the furnace</w:t>
      </w:r>
      <w:r w:rsidR="009B53B1">
        <w:t xml:space="preserve"> </w:t>
      </w:r>
      <w:r w:rsidR="005F79F2">
        <w:t>through the active zone</w:t>
      </w:r>
      <w:r w:rsidR="00DB273C">
        <w:t xml:space="preserve">, this is a semi fluidised region where liquid iron drips </w:t>
      </w:r>
      <w:r w:rsidR="00BA12C2">
        <w:t>through the coke voids.</w:t>
      </w:r>
      <w:r w:rsidR="001C4E64">
        <w:t xml:space="preserve"> The final stage of reduction is completed at the </w:t>
      </w:r>
      <w:r w:rsidR="003A5F80">
        <w:t>dead man</w:t>
      </w:r>
      <w:r w:rsidR="007A36DE">
        <w:t>, a stable region of coke</w:t>
      </w:r>
      <w:r w:rsidR="003F5EEC">
        <w:t xml:space="preserve"> in the middle of the raceway.</w:t>
      </w:r>
      <w:r w:rsidR="00D05170">
        <w:t xml:space="preserve"> The </w:t>
      </w:r>
      <w:r w:rsidR="008F5D67">
        <w:t xml:space="preserve">fully melted iron and slag collects at the hearth where it is cast via a tap hole </w:t>
      </w:r>
      <w:r w:rsidR="00360AE8">
        <w:fldChar w:fldCharType="begin"/>
      </w:r>
      <w:r w:rsidR="00360AE8">
        <w:instrText xml:space="preserve"> ADDIN ZOTERO_ITEM CSL_CITATION {"citationID":"Tg7jXk1r","properties":{"formattedCitation":"(Haapakangas 2016)","plainCitation":"(Haapakangas 2016)","noteIndex":0},"citationItems":[{"id":1886,"uris":["http://zotero.org/users/local/AB2owHL2/items/83HR8EAH"],"itemData":{"id":1886,"type":"thesis","event-place":"Finland","language":"en","publisher":"University of Oulu","publisher-place":"Finland","title":"Coke properties in simulated blast furnace conditions, investigation on hot strength, chemical reactivity and reaction mechanism","URL":"https://www.semanticscholar.org/paper/Juho-Haapakangas-COKE-PROPERTIES-IN-SIMULATED-BLAST-Palviainen-Vuolteenaho/da6a141d5618862fd311b259c4a2da39370752e7","author":[{"family":"Haapakangas","given":"Juho"}],"accessed":{"date-parts":[["2022",8,7]]},"issued":{"date-parts":[["2016"]]}}}],"schema":"https://github.com/citation-style-language/schema/raw/master/csl-citation.json"} </w:instrText>
      </w:r>
      <w:r w:rsidR="00360AE8">
        <w:fldChar w:fldCharType="separate"/>
      </w:r>
      <w:r w:rsidR="00360AE8" w:rsidRPr="00360AE8">
        <w:rPr>
          <w:rFonts w:ascii="Calibri" w:hAnsi="Calibri" w:cs="Calibri"/>
        </w:rPr>
        <w:t>(Haapakangas 2016)</w:t>
      </w:r>
      <w:r w:rsidR="00360AE8">
        <w:fldChar w:fldCharType="end"/>
      </w:r>
      <w:r w:rsidR="003806CC">
        <w:t xml:space="preserve">, </w:t>
      </w:r>
    </w:p>
    <w:p w14:paraId="7D6C0E9B" w14:textId="5AF2C7F4" w:rsidR="007B52FA" w:rsidRDefault="007B52FA" w:rsidP="007B52FA">
      <w:pPr>
        <w:spacing w:line="360" w:lineRule="auto"/>
        <w:jc w:val="both"/>
      </w:pPr>
      <w:r>
        <w:rPr>
          <w:noProof/>
        </w:rPr>
        <w:drawing>
          <wp:inline distT="0" distB="0" distL="0" distR="0" wp14:anchorId="0C378AB7" wp14:editId="6A973AB8">
            <wp:extent cx="4116809" cy="2337684"/>
            <wp:effectExtent l="0" t="0" r="0" b="571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1"/>
                    <a:stretch>
                      <a:fillRect/>
                    </a:stretch>
                  </pic:blipFill>
                  <pic:spPr>
                    <a:xfrm>
                      <a:off x="0" y="0"/>
                      <a:ext cx="4169560" cy="2367638"/>
                    </a:xfrm>
                    <a:prstGeom prst="rect">
                      <a:avLst/>
                    </a:prstGeom>
                  </pic:spPr>
                </pic:pic>
              </a:graphicData>
            </a:graphic>
          </wp:inline>
        </w:drawing>
      </w:r>
    </w:p>
    <w:p w14:paraId="4EAB3CBE" w14:textId="55D9C466" w:rsidR="006F62A8" w:rsidRDefault="006F62A8" w:rsidP="006F62A8">
      <w:pPr>
        <w:pStyle w:val="Caption"/>
      </w:pPr>
      <w:bookmarkStart w:id="25" w:name="_Toc127110904"/>
      <w:r>
        <w:t xml:space="preserve">Figure </w:t>
      </w:r>
      <w:fldSimple w:instr=" SEQ Figure \* ARABIC ">
        <w:r w:rsidR="00A0212F">
          <w:rPr>
            <w:noProof/>
          </w:rPr>
          <w:t>10</w:t>
        </w:r>
      </w:fldSimple>
      <w:r>
        <w:t xml:space="preserve"> An illustration of a blast furnace </w:t>
      </w:r>
      <w:r w:rsidR="00C4569E">
        <w:fldChar w:fldCharType="begin"/>
      </w:r>
      <w:r w:rsidR="00C4569E">
        <w:instrText xml:space="preserve"> ADDIN ZOTERO_ITEM CSL_CITATION {"citationID":"1BMWYroc","properties":{"formattedCitation":"(Geerdes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C4569E">
        <w:fldChar w:fldCharType="separate"/>
      </w:r>
      <w:r w:rsidR="00C4569E" w:rsidRPr="00C4569E">
        <w:rPr>
          <w:rFonts w:ascii="Calibri" w:hAnsi="Calibri" w:cs="Calibri"/>
        </w:rPr>
        <w:t>(Geerdes et al. 2009)</w:t>
      </w:r>
      <w:bookmarkEnd w:id="25"/>
      <w:r w:rsidR="00C4569E">
        <w:fldChar w:fldCharType="end"/>
      </w:r>
    </w:p>
    <w:p w14:paraId="3A667009" w14:textId="2ED73C69" w:rsidR="009C3C4E" w:rsidRDefault="001B68BA" w:rsidP="0091350E">
      <w:pPr>
        <w:spacing w:line="360" w:lineRule="auto"/>
        <w:jc w:val="both"/>
      </w:pPr>
      <w:r>
        <w:fldChar w:fldCharType="begin"/>
      </w:r>
      <w:r>
        <w:instrText xml:space="preserve"> ADDIN ZOTERO_ITEM CSL_CITATION {"citationID":"2LDP1uld","properties":{"formattedCitation":"(Mathieson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fldChar w:fldCharType="separate"/>
      </w:r>
      <w:r w:rsidRPr="001B68BA">
        <w:rPr>
          <w:rFonts w:ascii="Calibri" w:hAnsi="Calibri" w:cs="Calibri"/>
        </w:rPr>
        <w:t>(Mathieson et al. 2011)</w:t>
      </w:r>
      <w:r>
        <w:fldChar w:fldCharType="end"/>
      </w:r>
      <w:r>
        <w:t xml:space="preserve"> report</w:t>
      </w:r>
      <w:r w:rsidR="005E78C4">
        <w:t>s</w:t>
      </w:r>
      <w:r>
        <w:t xml:space="preserve"> that the use of biomass in the blast furnace could reduce 22</w:t>
      </w:r>
      <w:r w:rsidR="00EA4720">
        <w:t xml:space="preserve"> </w:t>
      </w:r>
      <w:r>
        <w:t>-</w:t>
      </w:r>
      <w:r w:rsidR="00DE5736">
        <w:t xml:space="preserve"> </w:t>
      </w:r>
      <w:r>
        <w:t>32% of CO</w:t>
      </w:r>
      <w:r w:rsidRPr="003C3C07">
        <w:rPr>
          <w:vertAlign w:val="subscript"/>
        </w:rPr>
        <w:t>2</w:t>
      </w:r>
      <w:r w:rsidR="0091350E">
        <w:t xml:space="preserve"> emissions. </w:t>
      </w:r>
      <w:r w:rsidR="00E367CB">
        <w:t>Biomass can be injected into the BF in three forms</w:t>
      </w:r>
      <w:r w:rsidR="00ED5E88">
        <w:t>; Biochar, bio-oils and bio syngas</w:t>
      </w:r>
      <w:r w:rsidR="006557BE">
        <w:t xml:space="preserve"> </w:t>
      </w:r>
      <w:r w:rsidR="0058592D">
        <w:fldChar w:fldCharType="begin"/>
      </w:r>
      <w:r w:rsidR="0058592D">
        <w:instrText xml:space="preserve"> ADDIN ZOTERO_ITEM CSL_CITATION {"citationID":"aR6WQvaV","properties":{"formattedCitation":"(Suopaj\\uc0\\u228{}rvi et al. 2013)","plainCitation":"(Suopajärvi et al. 2013)","noteIndex":0},"citationItems":[{"id":1781,"uris":["http://zotero.org/users/local/AB2owHL2/items/MMTKXIYN"],"itemData":{"id":1781,"type":"article-journal","abstract":"Steel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schema":"https://github.com/citation-style-language/schema/raw/master/csl-citation.json"} </w:instrText>
      </w:r>
      <w:r w:rsidR="0058592D">
        <w:fldChar w:fldCharType="separate"/>
      </w:r>
      <w:r w:rsidR="0058592D" w:rsidRPr="0058592D">
        <w:rPr>
          <w:rFonts w:ascii="Calibri" w:hAnsi="Calibri" w:cs="Calibri"/>
          <w:szCs w:val="24"/>
        </w:rPr>
        <w:t>(Suopajärvi et al. 2013)</w:t>
      </w:r>
      <w:r w:rsidR="0058592D">
        <w:fldChar w:fldCharType="end"/>
      </w:r>
      <w:r w:rsidR="006B5FE0">
        <w:t xml:space="preserve"> although </w:t>
      </w:r>
      <w:r w:rsidR="004528CE">
        <w:t xml:space="preserve">most studies have focused on </w:t>
      </w:r>
      <w:r w:rsidR="00721C29">
        <w:t>biochar</w:t>
      </w:r>
      <w:r w:rsidR="007332FC">
        <w:t>,</w:t>
      </w:r>
      <w:r w:rsidR="004528CE">
        <w:t xml:space="preserve"> as it </w:t>
      </w:r>
      <w:r w:rsidR="00DC5DCE">
        <w:t>has comparable properties to the coals used in PCI</w:t>
      </w:r>
      <w:r w:rsidR="009A743F">
        <w:t xml:space="preserve"> </w:t>
      </w:r>
      <w:r w:rsidR="009A743F">
        <w:fldChar w:fldCharType="begin"/>
      </w:r>
      <w:r w:rsidR="009A743F">
        <w:instrText xml:space="preserve"> ADDIN ZOTERO_ITEM CSL_CITATION {"citationID":"6MQwKb4Y","properties":{"formattedCitation":"(Matsumura et al. 2008; Babich et al. 2010; Mathieson et al. 2011; Suopaj\\uc0\\u228{}rvi et al. 2013; Bazaluk et al. 2022)","plainCitation":"(Matsumura et al. 2008; Babich et al. 2010; Mathieson et al. 2011; Suopajärvi et al. 2013; Bazaluk et al. 2022)","noteIndex":0},"citationItems":[{"id":1672,"uris":["http://zotero.org/users/local/AB2owHL2/items/GNLIMWYF"],"itemData":{"id":1672,"type":"article-journal","container-title":"ISIJ International","DOI":"10.2355/isijinternational.48.572","ISSN":"0915-1559, 1347-5460","issue":"5","journalAbbreviation":"ISIJ Int.","language":"en","page":"572-577","source":"DOI.org (Crossref)","title":"Carbonization Behaviour of Woody Biomass and Resulting Metallurgical Coke Properties","URL":"http://www.jstage.jst.go.jp/article/isijinternational/48/5/48_5_572/_article","volume":"48","author":[{"family":"Matsumura","given":"Takehiro"},{"family":"Ichida","given":"Morimasa"},{"family":"Nagasaka","given":"Tetsuya"},{"family":"Kato","given":"Kenji"}],"accessed":{"date-parts":[["2022",6,27]]},"issued":{"date-parts":[["2008"]]}},"label":"act"},{"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act"},{"id":1761,"uris":["http://zotero.org/users/local/AB2owHL2/items/CUKNATPU"],"itemData":{"id":1761,"type":"article-journal","abstract":"Biocoke has the potential to reduce the fossil-based materials in metallurgical processes, along with mitigating anthropogenic CO2- and greenhouse gas (GHG) emissions. Reducing those emissions is possible by using bio-based carbon, which is CO2-neutral, as a partial replacement of fossil carbon. In this paper, the effect of adding 5, 10, 15, 30, and 45 wt.% biomass pellets on the reactivity, the physicomechanical, and electrical properties of biocoke was established to assess the possibility of using it as a fuel and reducing agent for a blast furnace (BF) or as a carbon source in a submerged arc furnace (SAF). Biocoke was obtained under laboratory conditions at final coking temperatures of 950 or 1100 °C. Research results indicate that for BF purposes, 5 wt.% biomass additives are the maximum as the reactivity increases and the strength after reaction with CO2 decreases. On the other hand, biocoke’s physicomechanical and electrical properties, obtained at a carbonization temperature of 950 °C, can be considered a promising option for the SAF.","container-title":"Materials","DOI":"https://doi-org.ezproxy.uwtsd.ac.uk/10.3390/ma15031147","issue":"3","language":"English","license":"©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1147\npublisher-place: Basel, Switzerland\npublisher: MDPI AG","page":"1147","source":"ProQuest","title":"Metallurgical Coke Production with Biomass Additives: Study of Biocoke Properties for Blast Furnace and Submerged Arc Furnace Purposes","title-short":"Metallurgical Coke Production with Biomass Additives","URL":"http://www.proquest.com/docview/2627776116/abstract/3E057EB23B0F456CPQ/1","volume":"15","author":[{"family":"Bazaluk","given":"Oleg"},{"family":"Link to external site","given":"this","dropping-particle":"link will open in a new window"},{"family":"Kieush","given":"Lina"},{"family":"Link to external site","given":"this","dropping-particle":"link will open in a new window"},{"family":"Koveria","given":"Andrii"},{"family":"Link to external site","given":"this","dropping-particle":"link will open in a new window"},{"family":"Schenk","given":"Johannes"},{"family":"Link to external site","given":"this","dropping-particle":"link will open in a new window"},{"family":"Pfeiffer","given":"Andreas"},{"family":"Zheng","given":"Heng"},{"family":"Lozynskyi","given":"Vasyl"},{"family":"Link to external site","given":"this","dropping-particle":"link will open in a new window"}],"accessed":{"date-parts":[["2022",7,12]]},"issued":{"date-parts":[["2022"]]}},"label":"act"}],"schema":"https://github.com/citation-style-language/schema/raw/master/csl-citation.json"} </w:instrText>
      </w:r>
      <w:r w:rsidR="009A743F">
        <w:fldChar w:fldCharType="separate"/>
      </w:r>
      <w:r w:rsidR="009A743F" w:rsidRPr="009A743F">
        <w:rPr>
          <w:rFonts w:ascii="Calibri" w:hAnsi="Calibri" w:cs="Calibri"/>
          <w:szCs w:val="24"/>
        </w:rPr>
        <w:t>(Matsumura et al. 2008; Babich et al. 2010; Mathieson et al. 2011; Suopajärvi et al. 2013; Bazaluk et al. 2022)</w:t>
      </w:r>
      <w:r w:rsidR="009A743F">
        <w:fldChar w:fldCharType="end"/>
      </w:r>
      <w:r w:rsidR="00DC5DCE">
        <w:t>.</w:t>
      </w:r>
      <w:r w:rsidR="00721C29">
        <w:t xml:space="preserve"> </w:t>
      </w:r>
      <w:r w:rsidR="009A743F">
        <w:t xml:space="preserve"> </w:t>
      </w:r>
      <w:r w:rsidR="00B52B66">
        <w:t xml:space="preserve">Coke is irreplaceable as the </w:t>
      </w:r>
      <w:r w:rsidR="00D325D3">
        <w:t>fuel in the BF and cannot be</w:t>
      </w:r>
      <w:r w:rsidR="003F275E">
        <w:t xml:space="preserve"> direct</w:t>
      </w:r>
      <w:r w:rsidR="00871CFB">
        <w:t>ly</w:t>
      </w:r>
      <w:r w:rsidR="00D325D3">
        <w:t xml:space="preserve"> replaced by biochar due to its insufficient strength</w:t>
      </w:r>
      <w:r w:rsidR="00AE1E09">
        <w:t xml:space="preserve"> </w:t>
      </w:r>
      <w:r w:rsidR="00AE1E09">
        <w:fldChar w:fldCharType="begin"/>
      </w:r>
      <w:r w:rsidR="00AE1E09">
        <w:instrText xml:space="preserve"> ADDIN ZOTERO_ITEM CSL_CITATION {"citationID":"g1G51Ou8","properties":{"formattedCitation":"(Mathieson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AE1E09">
        <w:fldChar w:fldCharType="separate"/>
      </w:r>
      <w:r w:rsidR="00AE1E09" w:rsidRPr="00AE1E09">
        <w:rPr>
          <w:rFonts w:ascii="Calibri" w:hAnsi="Calibri" w:cs="Calibri"/>
        </w:rPr>
        <w:t>(Mathieson et al. 2011)</w:t>
      </w:r>
      <w:r w:rsidR="00AE1E09">
        <w:fldChar w:fldCharType="end"/>
      </w:r>
      <w:r w:rsidR="00D325D3">
        <w:t>.</w:t>
      </w:r>
      <w:r w:rsidR="00CE1151">
        <w:t xml:space="preserve"> </w:t>
      </w:r>
      <w:r w:rsidR="00356CEC">
        <w:t xml:space="preserve">PCI </w:t>
      </w:r>
      <w:r w:rsidR="00981813">
        <w:t>is used worldwide as a method to enhance BF profitability</w:t>
      </w:r>
      <w:r w:rsidR="008F04D7">
        <w:t xml:space="preserve"> and efficiency. </w:t>
      </w:r>
      <w:r w:rsidR="00A5505B">
        <w:t xml:space="preserve">The injection of coal into the BF </w:t>
      </w:r>
      <w:r w:rsidR="00194350">
        <w:t>(</w:t>
      </w:r>
      <w:r w:rsidR="00786355">
        <w:t xml:space="preserve">illustrated in figure </w:t>
      </w:r>
      <w:r w:rsidR="00F0066D">
        <w:t>1</w:t>
      </w:r>
      <w:r w:rsidR="00F04B97">
        <w:t>1</w:t>
      </w:r>
      <w:r w:rsidR="00786355">
        <w:t xml:space="preserve">) </w:t>
      </w:r>
      <w:r w:rsidR="00A5505B">
        <w:t xml:space="preserve">has various economic and </w:t>
      </w:r>
      <w:r w:rsidR="001F3FDA">
        <w:t xml:space="preserve">operation benefits </w:t>
      </w:r>
      <w:r w:rsidR="007D7855">
        <w:t>including</w:t>
      </w:r>
      <w:r w:rsidR="001F3FDA">
        <w:t xml:space="preserve"> a) lower consumption of </w:t>
      </w:r>
      <w:r w:rsidR="008E4122">
        <w:t>coke</w:t>
      </w:r>
      <w:r w:rsidR="00780165">
        <w:t xml:space="preserve"> (which is</w:t>
      </w:r>
      <w:r w:rsidR="00071C96">
        <w:t xml:space="preserve"> significantly</w:t>
      </w:r>
      <w:r w:rsidR="00780165">
        <w:t xml:space="preserve"> more expensive that</w:t>
      </w:r>
      <w:r w:rsidR="00B67DEB">
        <w:t xml:space="preserve"> coal)</w:t>
      </w:r>
      <w:r w:rsidR="008E4122">
        <w:t xml:space="preserve"> b) </w:t>
      </w:r>
      <w:r w:rsidR="00960D46">
        <w:t>Coke oven life extension</w:t>
      </w:r>
      <w:r w:rsidR="00F8055E">
        <w:t xml:space="preserve"> c) higher BF productivity d)</w:t>
      </w:r>
      <w:r w:rsidR="00B975A7">
        <w:t xml:space="preserve"> improved hot metal quality e) BF </w:t>
      </w:r>
      <w:r w:rsidR="007D7855">
        <w:t>operation flexibility f) lower CO</w:t>
      </w:r>
      <w:r w:rsidR="007D7855" w:rsidRPr="007D7855">
        <w:rPr>
          <w:vertAlign w:val="subscript"/>
        </w:rPr>
        <w:t>2</w:t>
      </w:r>
      <w:r w:rsidR="007D7855">
        <w:t xml:space="preserve"> emission</w:t>
      </w:r>
      <w:r w:rsidR="006A01C9">
        <w:t>.</w:t>
      </w:r>
      <w:r w:rsidR="00A553F9">
        <w:t xml:space="preserve"> </w:t>
      </w:r>
    </w:p>
    <w:p w14:paraId="2B6FC3D7" w14:textId="77777777" w:rsidR="004F75B3" w:rsidRDefault="0027226B" w:rsidP="004F75B3">
      <w:pPr>
        <w:keepNext/>
        <w:spacing w:line="360" w:lineRule="auto"/>
        <w:jc w:val="both"/>
      </w:pPr>
      <w:r w:rsidRPr="0027226B">
        <w:rPr>
          <w:noProof/>
        </w:rPr>
        <w:lastRenderedPageBreak/>
        <w:drawing>
          <wp:inline distT="0" distB="0" distL="0" distR="0" wp14:anchorId="20C73608" wp14:editId="6B2DC78A">
            <wp:extent cx="4093500" cy="1383526"/>
            <wp:effectExtent l="0" t="0" r="254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34973" cy="1397543"/>
                    </a:xfrm>
                    <a:prstGeom prst="rect">
                      <a:avLst/>
                    </a:prstGeom>
                  </pic:spPr>
                </pic:pic>
              </a:graphicData>
            </a:graphic>
          </wp:inline>
        </w:drawing>
      </w:r>
    </w:p>
    <w:p w14:paraId="50142423" w14:textId="0EDBDE17" w:rsidR="003806CC" w:rsidRDefault="00A0212F" w:rsidP="00A0212F">
      <w:pPr>
        <w:pStyle w:val="Caption"/>
      </w:pPr>
      <w:bookmarkStart w:id="26" w:name="_Toc127110905"/>
      <w:r>
        <w:t xml:space="preserve">Figure </w:t>
      </w:r>
      <w:fldSimple w:instr=" SEQ Figure \* ARABIC ">
        <w:r>
          <w:rPr>
            <w:noProof/>
          </w:rPr>
          <w:t>11</w:t>
        </w:r>
      </w:fldSimple>
      <w:r>
        <w:t xml:space="preserve"> </w:t>
      </w:r>
      <w:r w:rsidR="00B40893">
        <w:t xml:space="preserve">A blast furnace tuyere </w:t>
      </w:r>
      <w:r w:rsidR="00E00822">
        <w:t xml:space="preserve">diagram </w:t>
      </w:r>
      <w:r w:rsidR="00EB70ED">
        <w:fldChar w:fldCharType="begin"/>
      </w:r>
      <w:r w:rsidR="00EB70ED">
        <w:instrText xml:space="preserve"> ADDIN ZOTERO_ITEM CSL_CITATION {"citationID":"sBLChWET","properties":{"formattedCitation":"(Geerdes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EB70ED">
        <w:fldChar w:fldCharType="separate"/>
      </w:r>
      <w:r w:rsidR="00EB70ED" w:rsidRPr="00EB70ED">
        <w:rPr>
          <w:rFonts w:ascii="Calibri" w:hAnsi="Calibri" w:cs="Calibri"/>
        </w:rPr>
        <w:t>(Geerdes et al. 2009)</w:t>
      </w:r>
      <w:r w:rsidR="00EB70ED">
        <w:fldChar w:fldCharType="end"/>
      </w:r>
      <w:r w:rsidR="00B2494F">
        <w:t>.</w:t>
      </w:r>
      <w:r w:rsidR="00E00822">
        <w:t>.</w:t>
      </w:r>
      <w:bookmarkEnd w:id="26"/>
    </w:p>
    <w:p w14:paraId="16DDC09B" w14:textId="1AF6F27D" w:rsidR="00225BF7" w:rsidRPr="004E3C50" w:rsidRDefault="004F0C3D" w:rsidP="004F0C3D">
      <w:pPr>
        <w:spacing w:line="360" w:lineRule="auto"/>
        <w:jc w:val="both"/>
      </w:pPr>
      <w:r>
        <w:fldChar w:fldCharType="begin"/>
      </w:r>
      <w:r>
        <w:instrText xml:space="preserve"> ADDIN ZOTERO_ITEM CSL_CITATION {"citationID":"ktezArAA","properties":{"formattedCitation":"(Matsumura et al. 2008)","plainCitation":"(Matsumura et al. 2008)","noteIndex":0},"citationItems":[{"id":1672,"uris":["http://zotero.org/users/local/AB2owHL2/items/GNLIMWYF"],"itemData":{"id":1672,"type":"article-journal","container-title":"ISIJ International","DOI":"10.2355/isijinternational.48.572","ISSN":"0915-1559, 1347-5460","issue":"5","journalAbbreviation":"ISIJ Int.","language":"en","page":"572-577","source":"DOI.org (Crossref)","title":"Carbonization Behaviour of Woody Biomass and Resulting Metallurgical Coke Properties","URL":"http://www.jstage.jst.go.jp/article/isijinternational/48/5/48_5_572/_article","volume":"48","author":[{"family":"Matsumura","given":"Takehiro"},{"family":"Ichida","given":"Morimasa"},{"family":"Nagasaka","given":"Tetsuya"},{"family":"Kato","given":"Kenji"}],"accessed":{"date-parts":[["2022",6,27]]},"issued":{"date-parts":[["2008"]]}}}],"schema":"https://github.com/citation-style-language/schema/raw/master/csl-citation.json"} </w:instrText>
      </w:r>
      <w:r>
        <w:fldChar w:fldCharType="separate"/>
      </w:r>
      <w:r w:rsidRPr="004F0C3D">
        <w:rPr>
          <w:rFonts w:ascii="Calibri" w:hAnsi="Calibri" w:cs="Calibri"/>
        </w:rPr>
        <w:t>(Matsumura et al. 2008)</w:t>
      </w:r>
      <w:r>
        <w:fldChar w:fldCharType="end"/>
      </w:r>
      <w:r>
        <w:t xml:space="preserve"> state</w:t>
      </w:r>
      <w:r w:rsidR="00DE2262">
        <w:t xml:space="preserve"> </w:t>
      </w:r>
      <w:r w:rsidR="00434918">
        <w:t xml:space="preserve">that the most important characteristics for PCI are </w:t>
      </w:r>
      <w:r w:rsidR="00020F96">
        <w:t xml:space="preserve">combustion, </w:t>
      </w:r>
      <w:proofErr w:type="spellStart"/>
      <w:r w:rsidR="00020F96">
        <w:t>devolatisation</w:t>
      </w:r>
      <w:proofErr w:type="spellEnd"/>
      <w:r w:rsidR="00020F96">
        <w:t xml:space="preserve"> and gasification</w:t>
      </w:r>
      <w:r>
        <w:t xml:space="preserve">. </w:t>
      </w:r>
      <w:r w:rsidR="000C771B">
        <w:t>They demonstrated that</w:t>
      </w:r>
      <w:r w:rsidR="00C7311D">
        <w:t>,</w:t>
      </w:r>
      <w:r w:rsidR="000C771B">
        <w:t xml:space="preserve"> </w:t>
      </w:r>
      <w:r w:rsidR="00C7311D">
        <w:t>when</w:t>
      </w:r>
      <w:r w:rsidR="00020F96">
        <w:t xml:space="preserve"> compared to PC</w:t>
      </w:r>
      <w:r w:rsidR="00C7311D">
        <w:t xml:space="preserve">I, biomass has </w:t>
      </w:r>
      <w:r w:rsidR="00994CEB">
        <w:t>higher</w:t>
      </w:r>
      <w:r w:rsidR="00C7311D">
        <w:t xml:space="preserve"> reactivity and</w:t>
      </w:r>
      <w:r w:rsidR="00085C00">
        <w:t xml:space="preserve"> combustion levels</w:t>
      </w:r>
      <w:r w:rsidR="002D2989">
        <w:t xml:space="preserve">. </w:t>
      </w:r>
      <w:r w:rsidR="003C59CF">
        <w:fldChar w:fldCharType="begin"/>
      </w:r>
      <w:r w:rsidR="00E7142A">
        <w:instrText xml:space="preserve"> ADDIN ZOTERO_ITEM CSL_CITATION {"citationID":"luh0Ii09","properties":{"formattedCitation":"(Wang et al. 2014; Wang et al. 2015a)","plainCitation":"(Wang et al. 2014; Wang et al. 2015a)","noteIndex":0},"citationItems":[{"id":1794,"uris":["http://zotero.org/users/local/AB2owHL2/items/AY9JC3NX"],"itemData":{"id":1794,"type":"article-journal","abstract":"This study is to investigate different types of biomass products’ injection into the blast furnace (BF) to replace pulverized coal injection (PCI). The biomass products covered in the study are charcoal, torrefied material and wood pellets on the basis of Swedish forests. The modelling work has been performed in a specialized BF model. The modelling results show that charcoal has the significant effects on the BF operation. PCI can be replaced fully by charcoal, and only limited amount of torrefied material and wood pellets can be injected into BF. For the studied BF, the annual CO2 emission reduction potential from the replaced amount of PCI when injecting charcoal, torrefied material and wood pellets are about 1140 kton, 260 kton and 230 kton, respectively. In addition, a possible energy saving can be achieved for charcoal injection. A slightly higher P content in the hot metal may occur when injecting torrefied material.","container-title":"Energy Procedia","DOI":"10.1016/j.egypro.2014.12.105","ISSN":"18766102","journalAbbreviation":"Energy Procedia","language":"en","page":"2184-2187","source":"DOI.org (Crossref)","title":"Injection of Solid Biomass Products into the Blast Furnace and its Potential Effects on an Integrated Steel Plant","URL":"https://linkinghub.elsevier.com/retrieve/pii/S1876610214031348","volume":"61","author":[{"family":"Wang","given":"Chuan"},{"family":"Larsson","given":"Mikael"},{"family":"Lövgren","given":"Jonas"},{"family":"Nilsson","given":"Leif"},{"family":"Mellin","given":"Pelle"},{"family":"Yang","given":"Weihong"},{"family":"Salman","given":"Hassan"},{"family":"Hultgren","given":"Anders"}],"accessed":{"date-parts":[["2022",7,17]]},"issued":{"date-parts":[["2014"]]}},"label":"page"},{"id":1796,"uris":["http://zotero.org/users/local/AB2owHL2/items/8SZWXA7H"],"itemData":{"id":1796,"type":"article-journal","abstract":"We have investigated and modeled the injection of biomass into blast furnaces (BF), in place of pulverized coal (PC) from fossil sources. This is the easiest way to reduce CO2 emissions, beyond efﬁciencyimprovements. The considered biomass is either pelletized, torreﬁed or pyrolyzed. It gives us three cases where we have calculated the maximum replacement ratio for each. It was found that charcoal from pyrolysis can fully replace PC, while torreﬁed material and pelletized wood can replace 22.8% and 20.0% respectively, by weight.","container-title":"Energy Conversion and Management","DOI":"10.1016/j.enconman.2015.04.013","ISSN":"01968904","journalAbbreviation":"Energy Conversion and Management","language":"en","page":"217-226","source":"DOI.org (Crossref)","title":"Biomass as blast furnace injectant – Considering availability, pretreatment and deployment in the Swedish steel industry","URL":"https://linkinghub.elsevier.com/retrieve/pii/S0196890415003556","volume":"102","author":[{"family":"Wang","given":"Chuan"},{"family":"Mellin","given":"Pelle"},{"family":"Lövgren","given":"Jonas"},{"family":"Nilsson","given":"Leif"},{"family":"Yang","given":"Weihong"},{"family":"Salman","given":"Hassan"},{"family":"Hultgren","given":"Anders"},{"family":"Larsson","given":"Mikael"}],"accessed":{"date-parts":[["2022",7,17]]},"issued":{"date-parts":[["2015",9]]}},"label":"act"}],"schema":"https://github.com/citation-style-language/schema/raw/master/csl-citation.json"} </w:instrText>
      </w:r>
      <w:r w:rsidR="003C59CF">
        <w:fldChar w:fldCharType="separate"/>
      </w:r>
      <w:r w:rsidR="00E7142A" w:rsidRPr="00E7142A">
        <w:rPr>
          <w:rFonts w:ascii="Calibri" w:hAnsi="Calibri" w:cs="Calibri"/>
        </w:rPr>
        <w:t>(Wang et al. 2014; Wang et al. 2015a)</w:t>
      </w:r>
      <w:r w:rsidR="003C59CF">
        <w:fldChar w:fldCharType="end"/>
      </w:r>
      <w:r w:rsidR="003C59CF">
        <w:t xml:space="preserve"> </w:t>
      </w:r>
      <w:r w:rsidR="00FA3EFF">
        <w:t xml:space="preserve">investigated various types of </w:t>
      </w:r>
      <w:r w:rsidR="000601DB">
        <w:t>biomasses</w:t>
      </w:r>
      <w:r w:rsidR="00FA3EFF">
        <w:t xml:space="preserve"> for </w:t>
      </w:r>
      <w:r w:rsidR="00B254B9">
        <w:t xml:space="preserve">replacement of coal in PCI, they found that </w:t>
      </w:r>
      <w:r w:rsidR="00561052">
        <w:t xml:space="preserve">155 </w:t>
      </w:r>
      <w:r w:rsidR="00E57FEA">
        <w:t>k</w:t>
      </w:r>
      <w:r w:rsidR="00561052">
        <w:t>g/</w:t>
      </w:r>
      <w:proofErr w:type="spellStart"/>
      <w:r w:rsidR="00561052">
        <w:t>tHM</w:t>
      </w:r>
      <w:proofErr w:type="spellEnd"/>
      <w:r w:rsidR="00561052">
        <w:t xml:space="preserve"> (</w:t>
      </w:r>
      <w:r w:rsidR="006D1115">
        <w:t xml:space="preserve">Kg per </w:t>
      </w:r>
      <w:r w:rsidR="00561052">
        <w:t>tonne of hot metal)</w:t>
      </w:r>
      <w:r w:rsidR="007E48CE">
        <w:t xml:space="preserve"> of pulverised coal</w:t>
      </w:r>
      <w:r w:rsidR="00852B83">
        <w:t xml:space="preserve"> (PC)</w:t>
      </w:r>
      <w:r w:rsidR="007E48CE">
        <w:t xml:space="preserve"> could be replaced by</w:t>
      </w:r>
      <w:r w:rsidR="00E57FEA">
        <w:t xml:space="preserve"> 166.7 kg/</w:t>
      </w:r>
      <w:proofErr w:type="spellStart"/>
      <w:r w:rsidR="00E57FEA">
        <w:t>tHM</w:t>
      </w:r>
      <w:proofErr w:type="spellEnd"/>
      <w:r w:rsidR="00DF7514">
        <w:t xml:space="preserve"> of biochar</w:t>
      </w:r>
      <w:r w:rsidR="00A60EC1">
        <w:t xml:space="preserve">, </w:t>
      </w:r>
      <w:r w:rsidR="00782FCD">
        <w:t>This equates to an</w:t>
      </w:r>
      <w:r w:rsidR="00A60EC1">
        <w:t xml:space="preserve"> 22.8% </w:t>
      </w:r>
      <w:r w:rsidR="00B43BC9">
        <w:t>replacement</w:t>
      </w:r>
      <w:r w:rsidR="00782FCD">
        <w:t xml:space="preserve"> rate</w:t>
      </w:r>
      <w:r w:rsidR="00B43BC9">
        <w:t xml:space="preserve"> </w:t>
      </w:r>
      <w:r w:rsidR="00853DE4">
        <w:t xml:space="preserve">of </w:t>
      </w:r>
      <w:r w:rsidR="00852B83">
        <w:t>PC</w:t>
      </w:r>
      <w:r w:rsidR="00853DE4">
        <w:t xml:space="preserve"> with biochar, </w:t>
      </w:r>
      <w:r w:rsidR="008C2DBB">
        <w:t xml:space="preserve">they found that increasing the biochar injection rate any further </w:t>
      </w:r>
      <w:r w:rsidR="00EB155E">
        <w:t>required further oxygen enrichment</w:t>
      </w:r>
      <w:r w:rsidR="002964EE">
        <w:t xml:space="preserve"> and might lead to</w:t>
      </w:r>
      <w:r w:rsidR="00A55D6F">
        <w:t xml:space="preserve"> a decrease in the RAFT </w:t>
      </w:r>
      <w:r w:rsidR="00A8404C">
        <w:t>temperature and an increase in the top gas temperature</w:t>
      </w:r>
      <w:r w:rsidR="00B417BF">
        <w:t xml:space="preserve"> (TGT)</w:t>
      </w:r>
      <w:r w:rsidR="00290D1E">
        <w:t>,</w:t>
      </w:r>
      <w:r w:rsidR="005F3D1D">
        <w:t xml:space="preserve"> which is undesirable</w:t>
      </w:r>
      <w:r w:rsidR="00A8404C">
        <w:t>.</w:t>
      </w:r>
      <w:r w:rsidR="00510DBF">
        <w:t xml:space="preserve"> </w:t>
      </w:r>
      <w:r w:rsidR="00933D85">
        <w:fldChar w:fldCharType="begin"/>
      </w:r>
      <w:r w:rsidR="00933D85">
        <w:instrText xml:space="preserve"> ADDIN ZOTERO_ITEM CSL_CITATION {"citationID":"2uvN1WIn","properties":{"formattedCitation":"(Mousa et al. 2022)","plainCitation":"(Mousa et al. 2022)","noteIndex":0},"citationItems":[{"id":1684,"uris":["http://zotero.org/users/local/AB2owHL2/items/ZJTJ7UAV"],"itemData":{"id":1684,"type":"article-journal","abstract":"Most modern blast furnaces (BFs) operate with Pulverized Coal Injection (PCI), but renewable and carbon neutral biochar could be applied to reduce the fossil CO2 emission in the short term. In the present study, heat and mass balance-based model (MASMOD) is applied to evaluate the potential of biochar in partial and full replacement of injected pulverized coal (PC) in the ironmaking BF. The impact of biochar injection on the raceway adiabatic flame temperature (RAFT) and top gas temperature (TGT) is evaluated. Three grades of biochar, produced from the pyrolysis of sawdust, were evaluated in this study. The total carbon content was 79.2%, 93.4% and 89.2% in biochar 1, 2 and 3, respectively, while it was 81.6% in the reference PC. For each type of biochar, 6 cases were designed at different injection levels from 30 kg/tHM up to 143 kg/tHM, which represent 100% replacement of PC in the applied case, while the top charged coke is fixed in all cases as reference. The oxygen enrichment, RAFT, and TGT are fixed for certain cases, and have been calculated by MASMOD in other cases to identify the optimum level of biochar injection. The MASMOD calculation showed that as the injection rate of biochar 1 and biochar 2 increased, the RAFT increased by ~190 °C, while TGT decreased by ~45 °C at 100% replacement of PC with biochar. By optimizing the moisture content of biochar and the oxygen enrichment in the blast, it is possible to reach 100% replacement of PC without much affecting the RAFT and TGT. Biochar 3 was able to replace 100% of PC without deteriorating the RAFT or TGT.","container-title":"Sustainability","DOI":"https://doi.org/10.3390/su14042393","issue":"4","language":"English","license":"©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2393\npublisher-place: Basel, Switzerland\npublisher: MDPI AG","page":"2393","source":"ProQuest","title":"Modeling and Optimization of Biochar Injection into Blast Furnace to Mitigate the Fossil CO2 Emission","URL":"https://www.proquest.com/docview/2633333436/abstract/4342540731E94D4APQ/1","volume":"14","author":[{"family":"Mousa","given":"Elsayed"},{"family":"Link to external site","given":"this","dropping-particle":"link will open in a new window"},{"family":"Sjöblom","given":"Kurt"}],"accessed":{"date-parts":[["2022",6,28]]},"issued":{"date-parts":[["2022"]]}}}],"schema":"https://github.com/citation-style-language/schema/raw/master/csl-citation.json"} </w:instrText>
      </w:r>
      <w:r w:rsidR="00933D85">
        <w:fldChar w:fldCharType="separate"/>
      </w:r>
      <w:r w:rsidR="00933D85" w:rsidRPr="00933D85">
        <w:rPr>
          <w:rFonts w:ascii="Calibri" w:hAnsi="Calibri" w:cs="Calibri"/>
        </w:rPr>
        <w:t>(Mousa et al. 2022)</w:t>
      </w:r>
      <w:r w:rsidR="00933D85">
        <w:fldChar w:fldCharType="end"/>
      </w:r>
      <w:r w:rsidR="00933D85">
        <w:t xml:space="preserve"> </w:t>
      </w:r>
      <w:r w:rsidR="009C65A8">
        <w:t xml:space="preserve">observed that </w:t>
      </w:r>
      <w:r w:rsidR="004E3C50">
        <w:t>CO</w:t>
      </w:r>
      <w:r w:rsidR="004E3C50" w:rsidRPr="004E3C50">
        <w:rPr>
          <w:vertAlign w:val="subscript"/>
        </w:rPr>
        <w:t>2</w:t>
      </w:r>
      <w:r w:rsidR="004E3C50">
        <w:t xml:space="preserve"> emissions could be reduced by 34% by full replacement of PC</w:t>
      </w:r>
      <w:r w:rsidR="00852B83">
        <w:t xml:space="preserve"> </w:t>
      </w:r>
      <w:r w:rsidR="00B8229F">
        <w:t>with biochar in the BF</w:t>
      </w:r>
      <w:r w:rsidR="00B417BF">
        <w:t xml:space="preserve">. </w:t>
      </w:r>
      <w:r w:rsidR="00C507FA">
        <w:t>The</w:t>
      </w:r>
      <w:r w:rsidR="00596383">
        <w:t>y</w:t>
      </w:r>
      <w:r w:rsidR="00C507FA">
        <w:t xml:space="preserve"> state that 100% PC</w:t>
      </w:r>
      <w:r w:rsidR="00596383">
        <w:t xml:space="preserve"> - biochar replacement</w:t>
      </w:r>
      <w:r w:rsidR="00C507FA">
        <w:t xml:space="preserve"> is achievable without negatively affecting RAFT an</w:t>
      </w:r>
      <w:r w:rsidR="00091697">
        <w:t>d TGT.</w:t>
      </w:r>
      <w:r w:rsidR="009C4799">
        <w:t xml:space="preserve"> </w:t>
      </w:r>
      <w:r w:rsidR="005A5DD0">
        <w:fldChar w:fldCharType="begin"/>
      </w:r>
      <w:r w:rsidR="005A5DD0">
        <w:instrText xml:space="preserve"> ADDIN ZOTERO_ITEM CSL_CITATION {"citationID":"MMPpIqDc","properties":{"formattedCitation":"(Babich et al. 2010; Mathieson et al. 2011; Mousa et al. 2022)","plainCitation":"(Babich et al. 2010; Mathieson et al. 2011; Mousa et al. 2022)","noteIndex":0},"citationItems":[{"id":1828,"uris":["http://zotero.org/users/local/AB2owHL2/items/ERJ5VU9V"],"itemData":{"id":1828,"type":"article-journal","abstract":"Nowadays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id":1684,"uris":["http://zotero.org/users/local/AB2owHL2/items/ZJTJ7UAV"],"itemData":{"id":1684,"type":"article-journal","abstract":"Most modern blast furnaces (BFs) operate with Pulverized Coal Injection (PCI), but renewable and carbon neutral biochar could be applied to reduce the fossil CO2 emission in the short term. In the present study, heat and mass balance-based model (MASMOD) is applied to evaluate the potential of biochar in partial and full replacement of injected pulverized coal (PC) in the ironmaking BF. The impact of biochar injection on the raceway adiabatic flame temperature (RAFT) and top gas temperature (TGT) is evaluated. Three grades of biochar, produced from the pyrolysis of sawdust, were evaluated in this study. The total carbon content was 79.2%, 93.4% and 89.2% in biochar 1, 2 and 3, respectively, while it was 81.6% in the reference PC. For each type of biochar, 6 cases were designed at different injection levels from 30 kg/tHM up to 143 kg/tHM, which represent 100% replacement of PC in the applied case, while the top charged coke is fixed in all cases as reference. The oxygen enrichment, RAFT, and TGT are fixed for certain cases, and have been calculated by MASMOD in other cases to identify the optimum level of biochar injection. The MASMOD calculation showed that as the injection rate of biochar 1 and biochar 2 increased, the RAFT increased by ~190 °C, while TGT decreased by ~45 °C at 100% replacement of PC with biochar. By optimizing the moisture content of biochar and the oxygen enrichment in the blast, it is possible to reach 100% replacement of PC without much affecting the RAFT and TGT. Biochar 3 was able to replace 100% of PC without deteriorating the RAFT or TGT.","container-title":"Sustainability","DOI":"https://doi.org/10.3390/su14042393","issue":"4","language":"English","license":"©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2393\npublisher-place: Basel, Switzerland\npublisher: MDPI AG","page":"2393","source":"ProQuest","title":"Modeling and Optimization of Biochar Injection into Blast Furnace to Mitigate the Fossil CO2 Emission","URL":"https://www.proquest.com/docview/2633333436/abstract/4342540731E94D4APQ/1","volume":"14","author":[{"family":"Mousa","given":"Elsayed"},{"family":"Link to external site","given":"this","dropping-particle":"link will open in a new window"},{"family":"Sjöblom","given":"Kurt"}],"accessed":{"date-parts":[["2022",6,28]]},"issued":{"date-parts":[["2022"]]}},"label":"act"}],"schema":"https://github.com/citation-style-language/schema/raw/master/csl-citation.json"} </w:instrText>
      </w:r>
      <w:r w:rsidR="005A5DD0">
        <w:fldChar w:fldCharType="separate"/>
      </w:r>
      <w:r w:rsidR="005A5DD0" w:rsidRPr="005A5DD0">
        <w:rPr>
          <w:rFonts w:ascii="Calibri" w:hAnsi="Calibri" w:cs="Calibri"/>
        </w:rPr>
        <w:t>(Babich et al. 2010; Mathieson et al. 2011; Mousa et al. 2022)</w:t>
      </w:r>
      <w:r w:rsidR="005A5DD0">
        <w:fldChar w:fldCharType="end"/>
      </w:r>
      <w:r w:rsidR="005A5DD0">
        <w:t xml:space="preserve"> conclude that </w:t>
      </w:r>
      <w:r w:rsidR="00B05908">
        <w:t>a good quality charcoal out preforms PC, the low ash and high ba</w:t>
      </w:r>
      <w:r w:rsidR="003D4F09">
        <w:t>sicity (</w:t>
      </w:r>
      <w:proofErr w:type="spellStart"/>
      <w:r w:rsidR="003D4F09">
        <w:t>CaO</w:t>
      </w:r>
      <w:proofErr w:type="spellEnd"/>
      <w:r w:rsidR="003D4F09">
        <w:t xml:space="preserve"> content) of the charcoal</w:t>
      </w:r>
      <w:r w:rsidR="00DE706A">
        <w:t xml:space="preserve"> result</w:t>
      </w:r>
      <w:r w:rsidR="00E13E35">
        <w:t>s</w:t>
      </w:r>
      <w:r w:rsidR="00DE706A">
        <w:t xml:space="preserve"> in a decre</w:t>
      </w:r>
      <w:r w:rsidR="00CE71FC">
        <w:t xml:space="preserve">ase in slag volume and blast volume which results in a reduced coke rate and </w:t>
      </w:r>
      <w:r w:rsidR="008E5066">
        <w:t>improvement in BF productivity.</w:t>
      </w:r>
      <w:r w:rsidR="00980208">
        <w:t xml:space="preserve"> </w:t>
      </w:r>
      <w:r w:rsidR="007658DD">
        <w:t xml:space="preserve">The drawbacks of charcoals </w:t>
      </w:r>
      <w:r w:rsidR="00D93ED7">
        <w:t>include</w:t>
      </w:r>
      <w:r w:rsidR="00DE7D71">
        <w:t xml:space="preserve"> poor grindability</w:t>
      </w:r>
      <w:r w:rsidR="00820772">
        <w:t xml:space="preserve">, </w:t>
      </w:r>
      <w:r w:rsidR="00021638">
        <w:t>achieving the correct particle size may be problematic</w:t>
      </w:r>
      <w:r w:rsidR="00820772">
        <w:t>,</w:t>
      </w:r>
      <w:r w:rsidR="005E52E1">
        <w:t xml:space="preserve"> that and</w:t>
      </w:r>
      <w:r w:rsidR="00BD5C1B">
        <w:t xml:space="preserve"> the low density of charcoal means</w:t>
      </w:r>
      <w:r w:rsidR="005E52E1">
        <w:t xml:space="preserve"> </w:t>
      </w:r>
      <w:r w:rsidR="00D34647">
        <w:t>high injection rates may be difficult to realise without modifications to the PCI plant.</w:t>
      </w:r>
      <w:r w:rsidR="00BD5C1B">
        <w:t xml:space="preserve"> </w:t>
      </w:r>
      <w:r w:rsidR="00A204D4">
        <w:fldChar w:fldCharType="begin"/>
      </w:r>
      <w:r w:rsidR="00543D70">
        <w:instrText xml:space="preserve"> ADDIN ZOTERO_ITEM CSL_CITATION {"citationID":"zlEPGk2E","properties":{"formattedCitation":"(Ng et al. 2018)","plainCitation":"(Ng et al. 2018)","noteIndex":0},"citationItems":[{"id":1708,"uris":["http://zotero.org/users/local/AB2owHL2/items/A46DIRU7"],"itemData":{"id":1708,"type":"article-journal","container-title":"Ironmaking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Wing"},{"family":"Giroux","given":"Louis"},{"family":"Todoschuk","given":"Ted"}],"accessed":{"date-parts":[["2022",6,28]]},"issued":{"date-parts":[["2018"]]}}}],"schema":"https://github.com/citation-style-language/schema/raw/master/csl-citation.json"} </w:instrText>
      </w:r>
      <w:r w:rsidR="00A204D4">
        <w:fldChar w:fldCharType="separate"/>
      </w:r>
      <w:r w:rsidR="00376591" w:rsidRPr="00376591">
        <w:rPr>
          <w:rFonts w:ascii="Calibri" w:hAnsi="Calibri" w:cs="Calibri"/>
        </w:rPr>
        <w:t>(Ng et al. 2018)</w:t>
      </w:r>
      <w:r w:rsidR="00A204D4">
        <w:fldChar w:fldCharType="end"/>
      </w:r>
      <w:r w:rsidR="00376591">
        <w:t xml:space="preserve"> add</w:t>
      </w:r>
      <w:r w:rsidR="00297DC9">
        <w:t xml:space="preserve"> that </w:t>
      </w:r>
      <w:r w:rsidR="00845CD9">
        <w:t xml:space="preserve">the production of </w:t>
      </w:r>
      <w:r w:rsidR="00C12F81">
        <w:t>biochar’s</w:t>
      </w:r>
      <w:r w:rsidR="00845CD9">
        <w:t xml:space="preserve"> </w:t>
      </w:r>
      <w:r w:rsidR="000D1D62">
        <w:t xml:space="preserve">with low O/C ratios (high CV) </w:t>
      </w:r>
      <w:r w:rsidR="00D927D4">
        <w:t>may result in the increase of phosphorus and alkali metals</w:t>
      </w:r>
      <w:r w:rsidR="00FA00DC">
        <w:t xml:space="preserve"> which would </w:t>
      </w:r>
      <w:r w:rsidR="00093130">
        <w:t>lead to</w:t>
      </w:r>
      <w:r w:rsidR="00FA00DC">
        <w:t xml:space="preserve"> BF operational challenges.</w:t>
      </w:r>
    </w:p>
    <w:p w14:paraId="1EF6FB76" w14:textId="4646C487" w:rsidR="00C12F81" w:rsidRDefault="00CD7F65" w:rsidP="00CC5DD5">
      <w:pPr>
        <w:pStyle w:val="Heading3"/>
        <w:spacing w:line="360" w:lineRule="auto"/>
        <w:jc w:val="both"/>
      </w:pPr>
      <w:bookmarkStart w:id="27" w:name="_Toc127911438"/>
      <w:r>
        <w:t xml:space="preserve">Potential </w:t>
      </w:r>
      <w:r w:rsidR="00C12F81">
        <w:t xml:space="preserve">for biomass in metallurgical coke </w:t>
      </w:r>
      <w:r w:rsidR="00B347E0">
        <w:t>making.</w:t>
      </w:r>
      <w:bookmarkEnd w:id="27"/>
    </w:p>
    <w:p w14:paraId="19244A7A" w14:textId="20F5613E" w:rsidR="0026320E" w:rsidRDefault="00DC5050" w:rsidP="00CC5DD5">
      <w:pPr>
        <w:spacing w:line="360" w:lineRule="auto"/>
        <w:jc w:val="both"/>
      </w:pPr>
      <w:r>
        <w:t xml:space="preserve">Coke </w:t>
      </w:r>
      <w:r w:rsidR="00A9199A">
        <w:t xml:space="preserve">performs </w:t>
      </w:r>
      <w:r w:rsidR="00CF423D">
        <w:t>many</w:t>
      </w:r>
      <w:r w:rsidR="00A9199A">
        <w:t xml:space="preserve"> functions inside the blast furnace</w:t>
      </w:r>
      <w:r w:rsidR="0099230D">
        <w:t xml:space="preserve">: it </w:t>
      </w:r>
      <w:r w:rsidR="00BB5EBA">
        <w:t>supports the burden as it descends the furnace</w:t>
      </w:r>
      <w:r w:rsidR="00301850">
        <w:t xml:space="preserve">, provides gas </w:t>
      </w:r>
      <w:r w:rsidR="00EE7E8C">
        <w:t>permeability</w:t>
      </w:r>
      <w:r w:rsidR="009E3B86">
        <w:t xml:space="preserve">, </w:t>
      </w:r>
      <w:r w:rsidR="0000415D">
        <w:t>permits the decent of the liquid iron, acts as</w:t>
      </w:r>
      <w:r w:rsidR="00F33688">
        <w:t xml:space="preserve"> reducing agent, </w:t>
      </w:r>
      <w:r w:rsidR="00D4452F">
        <w:t xml:space="preserve">carburising of the hot metal and a fuel source. </w:t>
      </w:r>
      <w:r w:rsidR="00ED3DA2">
        <w:t>C</w:t>
      </w:r>
      <w:r w:rsidR="00E81D96">
        <w:t xml:space="preserve">oke </w:t>
      </w:r>
      <w:r w:rsidR="00ED3DA2">
        <w:t>is the only material capable of carrying out all these functions</w:t>
      </w:r>
      <w:r w:rsidR="00C55B59">
        <w:t xml:space="preserve"> making it irreplaceable for BF operation</w:t>
      </w:r>
      <w:r w:rsidR="00D4452F">
        <w:t xml:space="preserve">. </w:t>
      </w:r>
      <w:r w:rsidR="00896306">
        <w:t xml:space="preserve"> </w:t>
      </w:r>
      <w:r w:rsidR="004446B2">
        <w:t>Coke is made by heating a blend of coals of specific rank to 1000 - 1100</w:t>
      </w:r>
      <w:r w:rsidR="004446B2" w:rsidRPr="005E07E6">
        <w:rPr>
          <w:vertAlign w:val="superscript"/>
        </w:rPr>
        <w:t>0</w:t>
      </w:r>
      <w:r w:rsidR="004446B2">
        <w:t xml:space="preserve">C in the absence of air (pyrolysis) </w:t>
      </w:r>
      <w:r w:rsidR="004446B2">
        <w:fldChar w:fldCharType="begin"/>
      </w:r>
      <w:r w:rsidR="004446B2">
        <w:instrText xml:space="preserve"> ADDIN ZOTERO_ITEM CSL_CITATION {"citationID":"hBPUiVnB","properties":{"formattedCitation":"(D\\uc0\\u305{}\\uc0\\u769{}ez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4446B2">
        <w:fldChar w:fldCharType="separate"/>
      </w:r>
      <w:r w:rsidR="004446B2" w:rsidRPr="003A3431">
        <w:rPr>
          <w:rFonts w:ascii="Calibri" w:hAnsi="Calibri" w:cs="Calibri"/>
          <w:szCs w:val="24"/>
        </w:rPr>
        <w:t>(Dı́ez et al. 2002)</w:t>
      </w:r>
      <w:r w:rsidR="004446B2">
        <w:fldChar w:fldCharType="end"/>
      </w:r>
      <w:r w:rsidR="004446B2">
        <w:t>.</w:t>
      </w:r>
      <w:r w:rsidR="001C2A1C">
        <w:t xml:space="preserve"> An example of a typical by-product coke oven is shown in figure 1</w:t>
      </w:r>
      <w:r w:rsidR="004F75B3">
        <w:t>2</w:t>
      </w:r>
      <w:r w:rsidR="001C2A1C">
        <w:t>.</w:t>
      </w:r>
      <w:r w:rsidR="004446B2">
        <w:t xml:space="preserve"> </w:t>
      </w:r>
      <w:r w:rsidR="00F35600">
        <w:t xml:space="preserve">High quality coke </w:t>
      </w:r>
      <w:r w:rsidR="00F941AD">
        <w:t xml:space="preserve">allows the BF to </w:t>
      </w:r>
      <w:r w:rsidR="00113AE5">
        <w:t xml:space="preserve">achieve low coke consumption and high PCI </w:t>
      </w:r>
      <w:r w:rsidR="00BE3BEE">
        <w:t>rate and therefore high productivity</w:t>
      </w:r>
      <w:r w:rsidR="00CA6755">
        <w:t xml:space="preserve">. </w:t>
      </w:r>
      <w:r w:rsidR="00086EBD" w:rsidRPr="00086EBD">
        <w:t xml:space="preserve">Metallurgical coke needs to be </w:t>
      </w:r>
      <w:r w:rsidR="00360AE8">
        <w:t xml:space="preserve">of </w:t>
      </w:r>
      <w:r w:rsidR="00AB5FBF">
        <w:t xml:space="preserve">a </w:t>
      </w:r>
      <w:r w:rsidR="00AB5FBF">
        <w:lastRenderedPageBreak/>
        <w:t xml:space="preserve">certain size, </w:t>
      </w:r>
      <w:r w:rsidR="00086EBD" w:rsidRPr="00086EBD">
        <w:t xml:space="preserve">resistant to degradation, abrasion and chemical attack, have a </w:t>
      </w:r>
      <w:r w:rsidR="00AB5FBF">
        <w:t>certain</w:t>
      </w:r>
      <w:r w:rsidR="00086EBD" w:rsidRPr="00086EBD">
        <w:t xml:space="preserve"> chemical composition and mechanical strength</w:t>
      </w:r>
      <w:r w:rsidR="00086EBD">
        <w:t xml:space="preserve"> </w:t>
      </w:r>
      <w:r w:rsidR="00086EBD">
        <w:fldChar w:fldCharType="begin"/>
      </w:r>
      <w:r w:rsidR="00086EBD">
        <w:instrText xml:space="preserve"> ADDIN ZOTERO_ITEM CSL_CITATION {"citationID":"4cVUWQ1G","properties":{"formattedCitation":"(Geerdes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086EBD">
        <w:fldChar w:fldCharType="separate"/>
      </w:r>
      <w:r w:rsidR="00086EBD" w:rsidRPr="00543D70">
        <w:rPr>
          <w:rFonts w:ascii="Calibri" w:hAnsi="Calibri" w:cs="Calibri"/>
        </w:rPr>
        <w:t>(Geerdes et al. 2009)</w:t>
      </w:r>
      <w:r w:rsidR="00086EBD">
        <w:fldChar w:fldCharType="end"/>
      </w:r>
      <w:r w:rsidR="00086EBD" w:rsidRPr="00086EBD">
        <w:t>.</w:t>
      </w:r>
      <w:r w:rsidR="00086EBD">
        <w:t xml:space="preserve"> </w:t>
      </w:r>
    </w:p>
    <w:p w14:paraId="55D08A7A" w14:textId="2254A54D" w:rsidR="008D47A8" w:rsidRDefault="008D47A8" w:rsidP="00086EBD">
      <w:pPr>
        <w:spacing w:line="360" w:lineRule="auto"/>
        <w:jc w:val="both"/>
      </w:pPr>
      <w:r>
        <w:rPr>
          <w:noProof/>
        </w:rPr>
        <w:drawing>
          <wp:inline distT="0" distB="0" distL="0" distR="0" wp14:anchorId="1DBB297E" wp14:editId="3F8C3DCE">
            <wp:extent cx="4315460" cy="2568272"/>
            <wp:effectExtent l="0" t="0" r="8890" b="381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3"/>
                    <a:stretch>
                      <a:fillRect/>
                    </a:stretch>
                  </pic:blipFill>
                  <pic:spPr>
                    <a:xfrm>
                      <a:off x="0" y="0"/>
                      <a:ext cx="4352811" cy="2590501"/>
                    </a:xfrm>
                    <a:prstGeom prst="rect">
                      <a:avLst/>
                    </a:prstGeom>
                  </pic:spPr>
                </pic:pic>
              </a:graphicData>
            </a:graphic>
          </wp:inline>
        </w:drawing>
      </w:r>
    </w:p>
    <w:p w14:paraId="24563E8F" w14:textId="4665FE1C" w:rsidR="008D47A8" w:rsidRDefault="008D47A8" w:rsidP="008D47A8">
      <w:pPr>
        <w:pStyle w:val="Caption"/>
      </w:pPr>
      <w:bookmarkStart w:id="28" w:name="_Toc127110906"/>
      <w:r>
        <w:t xml:space="preserve">Figure </w:t>
      </w:r>
      <w:fldSimple w:instr=" SEQ Figure \* ARABIC ">
        <w:r w:rsidR="00A0212F">
          <w:rPr>
            <w:noProof/>
          </w:rPr>
          <w:t>12</w:t>
        </w:r>
      </w:fldSimple>
      <w:r>
        <w:t xml:space="preserve"> </w:t>
      </w:r>
      <w:r w:rsidRPr="001D6CA5">
        <w:rPr>
          <w:rFonts w:cs="Arial"/>
          <w:sz w:val="20"/>
          <w:szCs w:val="20"/>
        </w:rPr>
        <w:t xml:space="preserve">Diagram of a typical by-product </w:t>
      </w:r>
      <w:r w:rsidR="001C2A1C">
        <w:rPr>
          <w:rFonts w:cs="Arial"/>
          <w:sz w:val="20"/>
          <w:szCs w:val="20"/>
        </w:rPr>
        <w:t>coke plant</w:t>
      </w:r>
      <w:r w:rsidRPr="001D6CA5">
        <w:rPr>
          <w:rFonts w:cs="Arial"/>
          <w:sz w:val="20"/>
          <w:szCs w:val="20"/>
        </w:rPr>
        <w:t xml:space="preserve"> </w:t>
      </w:r>
      <w:r w:rsidR="001C2A1C">
        <w:rPr>
          <w:rFonts w:cs="Arial"/>
          <w:sz w:val="20"/>
          <w:szCs w:val="20"/>
        </w:rPr>
        <w:fldChar w:fldCharType="begin"/>
      </w:r>
      <w:r w:rsidR="00AF0750">
        <w:rPr>
          <w:rFonts w:cs="Arial"/>
          <w:sz w:val="20"/>
          <w:szCs w:val="20"/>
        </w:rPr>
        <w:instrText xml:space="preserve"> ADDIN ZOTERO_ITEM CSL_CITATION {"citationID":"wkbdGoNp","properties":{"formattedCitation":"(Hilding 2005)","plainCitation":"(Hilding 2005)","noteIndex":0},"citationItems":[{"id":1879,"uris":["http://zotero.org/users/local/AB2owHL2/items/DL2PRAIW"],"itemData":{"id":1879,"type":"thesis","event-place":"Sweden","genre":"Division of Process Metallurgy","language":"en","publisher":"Luleå University of Technology","publisher-place":"Sweden","source":"Zotero","title":"Evolution of Coke Properties while Descending through a Blast Furnace","author":[{"family":"Hilding","given":"Tobias"}],"accessed":{"date-parts":[["2022",8,7]]},"issued":{"date-parts":[["2005"]]}}}],"schema":"https://github.com/citation-style-language/schema/raw/master/csl-citation.json"} </w:instrText>
      </w:r>
      <w:r w:rsidR="001C2A1C">
        <w:rPr>
          <w:rFonts w:cs="Arial"/>
          <w:sz w:val="20"/>
          <w:szCs w:val="20"/>
        </w:rPr>
        <w:fldChar w:fldCharType="separate"/>
      </w:r>
      <w:r w:rsidR="001C2A1C" w:rsidRPr="001C2A1C">
        <w:rPr>
          <w:rFonts w:ascii="Calibri" w:hAnsi="Calibri" w:cs="Calibri"/>
          <w:sz w:val="20"/>
        </w:rPr>
        <w:t>(Hilding 2005)</w:t>
      </w:r>
      <w:bookmarkEnd w:id="28"/>
      <w:r w:rsidR="001C2A1C">
        <w:rPr>
          <w:rFonts w:cs="Arial"/>
          <w:sz w:val="20"/>
          <w:szCs w:val="20"/>
        </w:rPr>
        <w:fldChar w:fldCharType="end"/>
      </w:r>
    </w:p>
    <w:p w14:paraId="214484EE" w14:textId="77777777" w:rsidR="005D107A" w:rsidRDefault="00C45933" w:rsidP="00803A10">
      <w:pPr>
        <w:spacing w:line="360" w:lineRule="auto"/>
        <w:jc w:val="both"/>
      </w:pPr>
      <w:r>
        <w:t xml:space="preserve">Coking coal goes through several </w:t>
      </w:r>
      <w:r w:rsidR="00FB3E93">
        <w:t xml:space="preserve">chemical and physical changes during the coking process, </w:t>
      </w:r>
      <w:r w:rsidR="00AD35A7">
        <w:t>i</w:t>
      </w:r>
      <w:r w:rsidR="00E40832">
        <w:t>n order these are</w:t>
      </w:r>
      <w:r w:rsidR="00FB3E93">
        <w:t xml:space="preserve"> softening, swelling</w:t>
      </w:r>
      <w:r w:rsidR="00E40832">
        <w:t>, contraction</w:t>
      </w:r>
      <w:r w:rsidR="00E71D8B">
        <w:t>, evolution of volatile matter</w:t>
      </w:r>
      <w:r w:rsidR="00E40832">
        <w:t xml:space="preserve"> and then </w:t>
      </w:r>
      <w:r w:rsidR="00AD35A7">
        <w:t xml:space="preserve">re-solidification. </w:t>
      </w:r>
      <w:r w:rsidR="00E71D8B">
        <w:t>The thermoplastic properties</w:t>
      </w:r>
      <w:r w:rsidR="00C2280D">
        <w:t xml:space="preserve"> </w:t>
      </w:r>
      <w:r w:rsidR="00D1512F">
        <w:t>of the coals are critical to the quality of the final coke</w:t>
      </w:r>
      <w:r w:rsidR="00FF5238">
        <w:t xml:space="preserve"> </w:t>
      </w:r>
      <w:r w:rsidR="00F7689A">
        <w:fldChar w:fldCharType="begin"/>
      </w:r>
      <w:r w:rsidR="00F7689A">
        <w:instrText xml:space="preserve"> ADDIN ZOTERO_ITEM CSL_CITATION {"citationID":"y7XerwCT","properties":{"formattedCitation":"(Loison et al. 1989)","plainCitation":"(Loison et al. 1989)","noteIndex":0},"citationItems":[{"id":454,"uris":["http://zotero.org/users/local/AB2owHL2/items/6D266ISA"],"itemData":{"id":454,"type":"book","edition":"2nd","event-place":"Cambridge","publisher":"Butterworths","publisher-place":"Cambridge","title":"Coke : Quality and Production","author":[{"family":"Loison","given":"Roger"},{"family":"Foch","given":"Pierre"},{"family":"Boyer","given":"Andre"}],"issued":{"date-parts":[["1989"]]}}}],"schema":"https://github.com/citation-style-language/schema/raw/master/csl-citation.json"} </w:instrText>
      </w:r>
      <w:r w:rsidR="00F7689A">
        <w:fldChar w:fldCharType="separate"/>
      </w:r>
      <w:r w:rsidR="00F7689A" w:rsidRPr="00F7689A">
        <w:rPr>
          <w:rFonts w:ascii="Calibri" w:hAnsi="Calibri" w:cs="Calibri"/>
        </w:rPr>
        <w:t>(Loison et al. 1989)</w:t>
      </w:r>
      <w:r w:rsidR="00F7689A">
        <w:fldChar w:fldCharType="end"/>
      </w:r>
      <w:r w:rsidR="00D1512F">
        <w:t>.</w:t>
      </w:r>
      <w:r w:rsidR="00D60470">
        <w:t xml:space="preserve"> </w:t>
      </w:r>
    </w:p>
    <w:p w14:paraId="2292E999" w14:textId="4B3A93CA" w:rsidR="00225BF7" w:rsidRDefault="00084608" w:rsidP="00803A10">
      <w:pPr>
        <w:spacing w:line="360" w:lineRule="auto"/>
        <w:jc w:val="both"/>
      </w:pPr>
      <w:r>
        <w:t>Studies have shown that b</w:t>
      </w:r>
      <w:r w:rsidR="00F704C6">
        <w:t xml:space="preserve">iomass can be added </w:t>
      </w:r>
      <w:r w:rsidR="005140F8">
        <w:t xml:space="preserve">into the blend in </w:t>
      </w:r>
      <w:r w:rsidR="006900E0">
        <w:t>several</w:t>
      </w:r>
      <w:r w:rsidR="005140F8">
        <w:t xml:space="preserve"> forms, </w:t>
      </w:r>
      <w:r>
        <w:t xml:space="preserve">raw biomasses, torrefied biomasses and </w:t>
      </w:r>
      <w:r w:rsidR="00F120F2">
        <w:t>pyrolyzed</w:t>
      </w:r>
      <w:r>
        <w:t xml:space="preserve"> biomass</w:t>
      </w:r>
      <w:r w:rsidR="00F120F2">
        <w:t xml:space="preserve">. </w:t>
      </w:r>
      <w:r w:rsidR="0035664A">
        <w:t>The addition of any of these seems to have a</w:t>
      </w:r>
      <w:r w:rsidR="0010063C">
        <w:t xml:space="preserve"> negative effect on the fluidity of the coal blend </w:t>
      </w:r>
      <w:r w:rsidR="00451ADF">
        <w:fldChar w:fldCharType="begin"/>
      </w:r>
      <w:r w:rsidR="00451ADF">
        <w:instrText xml:space="preserve"> ADDIN ZOTERO_ITEM CSL_CITATION {"citationID":"Yc9ZZEpv","properties":{"formattedCitation":"(MacPhee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T."}],"accessed":{"date-parts":[["2021",2,8]]},"issued":{"date-parts":[["2009",1,1]]}},"label":"page"}],"schema":"https://github.com/citation-style-language/schema/raw/master/csl-citation.json"} </w:instrText>
      </w:r>
      <w:r w:rsidR="00451ADF">
        <w:fldChar w:fldCharType="separate"/>
      </w:r>
      <w:r w:rsidR="00451ADF" w:rsidRPr="00451ADF">
        <w:rPr>
          <w:rFonts w:ascii="Calibri" w:hAnsi="Calibri" w:cs="Calibri"/>
        </w:rPr>
        <w:t>(MacPhee et al. 2009)</w:t>
      </w:r>
      <w:r w:rsidR="00451ADF">
        <w:fldChar w:fldCharType="end"/>
      </w:r>
      <w:r w:rsidR="00AA078E">
        <w:t xml:space="preserve">. </w:t>
      </w:r>
      <w:r w:rsidR="002141EB">
        <w:fldChar w:fldCharType="begin"/>
      </w:r>
      <w:r w:rsidR="002141EB">
        <w:instrText xml:space="preserve"> ADDIN ZOTERO_ITEM CSL_CITATION {"citationID":"sr98StPR","properties":{"formattedCitation":"(Diez et al. 2012)","plainCitation":"(Diez et al. 2012)","noteIndex":0},"citationItems":[{"id":1859,"uris":["http://zotero.org/users/local/AB2owHL2/items/E97NHM52"],"itemData":{"id":1859,"type":"article-journal","abstract":"The modifications in the development of fluidity of a single coking coal caused by Eucalyptus wood, its carbonization products (charcoal and tars) and biomass model compounds (xylan, cellulose and lignin) were assessed by Gieseler plastometry. Eucalyptus sawdust and its carbonization products obtained at 415°C (tars and charcoal) inhibited the fluidity development of coking coals to different degrees. At a low addition rate, the following reducing effect on coal fluidity by biomass products and components was observed: xylan&lt;water-soluble tar&lt;charcoal&lt;lignin&lt;water-insoluble tar&lt;cellulose&lt;sawdust. As the amount of each biomass-derived carbonization product was increased in the blend, the overall effect resembled that of the biomass precursor (xylan, cellulose and lignin). In order to explain the different abilities of biomass-based additives to reduce the fluidity of coal, FTIR spectroscopy and GC–MS were used to identify the major components of the tars, while thermogravimetry was applied to follow the pyrolysis behavior of the biomass products and model compounds.","container-title":"Fuel","DOI":"10.1016/j.fuel.2011.12.065","ISSN":"0016-2361","journalAbbreviation":"Fuel","language":"en","page":"306-313","source":"ScienceDirect","title":"Biomass derived products as modifiers of the rheological properties of coking coals","URL":"https://www.sciencedirect.com/science/article/pii/S0016236111008465","volume":"96","author":[{"family":"Diez","given":"M. A."},{"family":"Alvarez","given":"R."},{"family":"Fernández","given":"M."}],"accessed":{"date-parts":[["2022",8,1]]},"issued":{"date-parts":[["2012",6,1]]}}}],"schema":"https://github.com/citation-style-language/schema/raw/master/csl-citation.json"} </w:instrText>
      </w:r>
      <w:r w:rsidR="002141EB">
        <w:fldChar w:fldCharType="separate"/>
      </w:r>
      <w:r w:rsidR="002141EB" w:rsidRPr="002141EB">
        <w:rPr>
          <w:rFonts w:ascii="Calibri" w:hAnsi="Calibri" w:cs="Calibri"/>
        </w:rPr>
        <w:t>(Diez et al. 2012)</w:t>
      </w:r>
      <w:r w:rsidR="002141EB">
        <w:fldChar w:fldCharType="end"/>
      </w:r>
      <w:r w:rsidR="000F734F">
        <w:t xml:space="preserve"> added untreated saw dust to the coal blend, they found that the inert </w:t>
      </w:r>
      <w:r w:rsidR="003D3D03">
        <w:t xml:space="preserve">nature of the sawdust </w:t>
      </w:r>
      <w:r w:rsidR="00435785">
        <w:t>negatively affected fluidity development</w:t>
      </w:r>
      <w:r w:rsidR="009A598F">
        <w:t>, it does not soften and melt and does not bind the components of the plasticised coal.</w:t>
      </w:r>
      <w:r w:rsidR="00317AF5">
        <w:t xml:space="preserve"> </w:t>
      </w:r>
      <w:r w:rsidR="00296BA3">
        <w:fldChar w:fldCharType="begin"/>
      </w:r>
      <w:r w:rsidR="00296BA3">
        <w:instrText xml:space="preserve"> ADDIN ZOTERO_ITEM CSL_CITATION {"citationID":"5F9xf2l0","properties":{"formattedCitation":"(Solar et al. 2021)","plainCitation":"(Solar et al. 2021)","noteIndex":0},"citationItems":[{"id":1650,"uris":["http://zotero.org/users/local/AB2owHL2/items/BNLFX3FU"],"itemData":{"id":1650,"type":"article-journal","abstract":"The suitability of the charcoal obtained from woody biomass pyrolysis in a continuous screw reactor at 573, 773, 973, 1173 K temperature profile as fuel and reducing agent in metallurgical applications has been evaluated, in order to reduce the CO2 emissions in these processes. On the one hand, a comparative study between charcoal and commercial reducers has been carried out. On the other hand, different proportions of this charcoal have been added to an industrial coking coal blend and carbonized together in a semi-pilot movable wall oven, to study the influence in the plastic and mechanical properties of the produced biocoke. The charcoal obtained fulfills the requirements to be used as fuel and reducer in non-ferrous processes where no mechanical strength is required, like rotary kilns, in substitution of fossil reducers. Its higher heating value (&gt;32 MJ kg−1) is in the range or over those of fossil coals, with the advantage of not containing polluting elements (S, N) and having less ash. The addition of up to 0.9 wt.% almost does not affect the quality of the biocoke; but the addition of ≥2 wt.% degrades the biocoke mechanical and plastic properties below the demanded requirements. Moreover, biocoke reactivity seems independent of the amount of charcoal added.","container-title":"Metals","DOI":"10.3390/met11040613","ISSN":"2075-4701","issue":"4","language":"en","license":"http://creativecommons.org/licenses/by/3.0/","note":"number: 4\npublisher: Multidisciplinary Digital Publishing Institute","page":"613","source":"www.mdpi.com","title":"Impact of the Addition of Pyrolysed Forestry Waste to the Coking Process on the Resulting Green Biocoke","URL":"https://www.mdpi.com/2075-4701/11/4/613","volume":"11","author":[{"family":"Solar","given":"Jon"},{"family":"Caballero","given":"Blanca María"},{"family":"Barriocanal","given":"Carmen"},{"family":"Lopez-Urionabarrenechea","given":"Alexander"},{"family":"Acha","given":"Esther"}],"accessed":{"date-parts":[["2022",6,25]]},"issued":{"date-parts":[["2021",4]]}}}],"schema":"https://github.com/citation-style-language/schema/raw/master/csl-citation.json"} </w:instrText>
      </w:r>
      <w:r w:rsidR="00296BA3">
        <w:fldChar w:fldCharType="separate"/>
      </w:r>
      <w:r w:rsidR="00296BA3" w:rsidRPr="00296BA3">
        <w:rPr>
          <w:rFonts w:ascii="Calibri" w:hAnsi="Calibri" w:cs="Calibri"/>
        </w:rPr>
        <w:t>(Solar et al. 2021)</w:t>
      </w:r>
      <w:r w:rsidR="00296BA3">
        <w:fldChar w:fldCharType="end"/>
      </w:r>
      <w:r w:rsidR="00E01A35">
        <w:t xml:space="preserve"> added charcoal to the coking blend and found that it </w:t>
      </w:r>
      <w:r w:rsidR="008957E5">
        <w:t xml:space="preserve">reduced </w:t>
      </w:r>
      <w:r w:rsidR="00803A10">
        <w:t xml:space="preserve">the thermoplastic properties, an effect which </w:t>
      </w:r>
      <w:r w:rsidR="00317AF5">
        <w:t>increased</w:t>
      </w:r>
      <w:r w:rsidR="00803A10">
        <w:t xml:space="preserve"> as more char was added.</w:t>
      </w:r>
    </w:p>
    <w:p w14:paraId="58520772" w14:textId="77777777" w:rsidR="00FF0242" w:rsidRDefault="00317AF5" w:rsidP="00803A10">
      <w:pPr>
        <w:spacing w:line="360" w:lineRule="auto"/>
        <w:jc w:val="both"/>
      </w:pPr>
      <w:r>
        <w:t xml:space="preserve">The mechanical strength and reactivity of coke are important parameters when measuring coke quality. </w:t>
      </w:r>
      <w:r w:rsidR="002E1677">
        <w:t xml:space="preserve">These can be measured using ISO standard 1889-4 : CSR (coke strength after reaction) / CRI (coke reactivity index), the CSR and CRI measures are inversely proportional, when the CSR </w:t>
      </w:r>
      <w:r w:rsidR="00FF0242">
        <w:t xml:space="preserve">measure </w:t>
      </w:r>
      <w:r w:rsidR="002E1677">
        <w:t xml:space="preserve">is </w:t>
      </w:r>
      <w:r w:rsidR="00FF0242">
        <w:t xml:space="preserve">high the CRI measure will be low </w:t>
      </w:r>
      <w:r w:rsidR="00FF0242">
        <w:fldChar w:fldCharType="begin"/>
      </w:r>
      <w:r w:rsidR="00FF0242">
        <w:instrText xml:space="preserve"> ADDIN ZOTERO_ITEM CSL_CITATION {"citationID":"4DnycdWQ","properties":{"formattedCitation":"(D\\uc0\\u305{}\\uc0\\u769{}ez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FF0242">
        <w:fldChar w:fldCharType="separate"/>
      </w:r>
      <w:r w:rsidR="00FF0242" w:rsidRPr="00FF0242">
        <w:rPr>
          <w:rFonts w:ascii="Calibri" w:hAnsi="Calibri" w:cs="Calibri"/>
          <w:szCs w:val="24"/>
        </w:rPr>
        <w:t>(Dı́ez et al. 2002)</w:t>
      </w:r>
      <w:r w:rsidR="00FF0242">
        <w:fldChar w:fldCharType="end"/>
      </w:r>
      <w:r w:rsidR="00FF0242">
        <w:t xml:space="preserve">. </w:t>
      </w:r>
    </w:p>
    <w:p w14:paraId="34BFEE0D" w14:textId="458F0BCC" w:rsidR="00225BF7" w:rsidRDefault="00C861F2" w:rsidP="0053410E">
      <w:pPr>
        <w:spacing w:line="360" w:lineRule="auto"/>
        <w:jc w:val="both"/>
      </w:pPr>
      <w:r>
        <w:t xml:space="preserve">The particle size of the biochar can have a significant effect on the CSR/CRI values </w:t>
      </w:r>
      <w:r>
        <w:fldChar w:fldCharType="begin"/>
      </w:r>
      <w:r w:rsidR="00543A69">
        <w:instrText xml:space="preserve"> ADDIN ZOTERO_ITEM CSL_CITATION {"citationID":"EIhOe64O","properties":{"formattedCitation":"(MacPhee et al. 2009; Ng et al. 2011; Suopaj\\uc0\\u228{}rvi et al. 2017; Ng et al. 2018)","plainCitation":"(MacPhee et al. 2009; Ng et al. 2011; Suopajärvi et al. 2017; Ng et al. 2018)","noteIndex":0},"citationItems":[{"id":425,"uris":["http://zotero.org/users/local/AB2owHL2/items/NQR2TCUN"],"itemData":{"id":425,"type":"article-journal","abstract":"Processes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T."}],"accessed":{"date-parts":[["2021",2,8]]},"issued":{"date-parts":[["2009",1,1]]}},"label":"act"},{"id":1831,"uris":["http://zotero.org/users/local/AB2owHL2/items/HNWUJS22"],"itemData":{"id":1831,"type":"article-journal","abstract":"Incorporation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act"},{"id":1848,"uris":["http://zotero.org/users/local/AB2owHL2/items/TJJS49C9"],"itemData":{"id":1848,"type":"article-journal","abstract":"The aim of this research was to investigate the effects of charcoal and Kraft-lignin additions on the structure, cold compression strength, and reactivity of bio-cokes produced at the laboratory scale. Bio-cokes were prepared by adding charcoal and Kraft-lignin (2.5, 5.0, 7.5, and 10.0 wt %) to medium-volatile coal and coking the mixture with controlled heating rate (3.5 °C/min) up to 1200 °C. In addition, four particle sizes of charcoal were added with a 5 wt % addition rate to investigate the effect of particle size on the compression strength and reactivity. Thermogravimetric analysis was used to evaluate the pyrolysis behavior of coal and biomasses. Optical microscopy was used to investigate the interaction of coal and biomass components. It was found that by controlling the amount of charcoal and Kraft-lignin in the coal blend, the compression strength of the bio-cokes remains at an acceptable level compared to the reference coke without biomass addition. The cold compression strength of the charcoal bio-cokes was higher compared to Kraft-lignin bio-cokes. The reactivity of the bio-cokes with charcoal addition was markedly higher compared to reference coke and Kraft-lignin bio-cokes, mainly due to the differences in the physical properties of the parental biomass. By increasing the bulk density of the coal/biomass charge, the cold compression strength of the bio-cokes can be improved substantially.","container-title":"Energies","DOI":"10.3390/en10111850","issue":"11","language":"English","license":"Copyright MDPI AG 2017","note":"number-of-pages: 1850\npublisher-place: Basel, Switzerland\npublisher: MDPI AG","page":"1850","source":"ProQuest","title":"Effect of Charcoal and Kraft-Lignin Addition on Coke Compression Strength and Reactivity","URL":"http://www.proquest.com/docview/1977961676/abstract/7A4027D57DB7482CPQ/1","volume":"10","author":[{"family":"Suopajärvi","given":"Hannu"},{"family":"Dahl","given":"Essi"},{"family":"Kemppainen","given":"Antti"},{"family":"Gornostayev","given":"Stanislav"},{"family":"Koskela","given":"Aki"},{"family":"Fabritius","given":"Timo"}],"accessed":{"date-parts":[["2022",7,31]]},"issued":{"date-parts":[["2017"]]}},"label":"act"},{"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Wing"},{"family":"Giroux","given":"Louis"},{"family":"Todoschuk","given":"Ted"}],"accessed":{"date-parts":[["2022",6,28]]},"issued":{"date-parts":[["2018"]]}},"label":"act"}],"schema":"https://github.com/citation-style-language/schema/raw/master/csl-citation.json"} </w:instrText>
      </w:r>
      <w:r>
        <w:fldChar w:fldCharType="separate"/>
      </w:r>
      <w:r w:rsidR="00543A69" w:rsidRPr="00543A69">
        <w:rPr>
          <w:rFonts w:ascii="Calibri" w:hAnsi="Calibri" w:cs="Calibri"/>
          <w:szCs w:val="24"/>
        </w:rPr>
        <w:t>(MacPhee et al. 2009; Ng et al. 2011; Suopajärvi et al. 2017; Ng et al. 2018)</w:t>
      </w:r>
      <w:r>
        <w:fldChar w:fldCharType="end"/>
      </w:r>
      <w:r w:rsidR="00FF0242">
        <w:t xml:space="preserve">  </w:t>
      </w:r>
      <w:r w:rsidR="00543A69">
        <w:t xml:space="preserve">biochar was introduced into the coal blend at 2 – 5% </w:t>
      </w:r>
      <w:r w:rsidR="00543A69">
        <w:fldChar w:fldCharType="begin"/>
      </w:r>
      <w:r w:rsidR="00543A69">
        <w:instrText xml:space="preserve"> ADDIN ZOTERO_ITEM CSL_CITATION {"citationID":"NHppwURG","properties":{"formattedCitation":"(Ng et al. 2011; Ng et al. 2018)","plainCitation":"(Ng et al. 2011; Ng et al. 2018)","noteIndex":0},"citationItems":[{"id":1831,"uris":["http://zotero.org/users/local/AB2owHL2/items/HNWUJS22"],"itemData":{"id":1831,"type":"article-journal","abstract":"Incorporation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Wing"},{"family":"Giroux","given":"Louis"},{"family":"Todoschuk","given":"Ted"}],"accessed":{"date-parts":[["2022",6,28]]},"issued":{"date-parts":[["2018"]]}},"label":"act"}],"schema":"https://github.com/citation-style-language/schema/raw/master/csl-citation.json"} </w:instrText>
      </w:r>
      <w:r w:rsidR="00543A69">
        <w:fldChar w:fldCharType="separate"/>
      </w:r>
      <w:r w:rsidR="00543A69" w:rsidRPr="00543A69">
        <w:rPr>
          <w:rFonts w:ascii="Calibri" w:hAnsi="Calibri" w:cs="Calibri"/>
        </w:rPr>
        <w:t>(Ng et al. 2011; Ng et al. 2018)</w:t>
      </w:r>
      <w:r w:rsidR="00543A69">
        <w:fldChar w:fldCharType="end"/>
      </w:r>
      <w:r w:rsidR="00A3347E">
        <w:t>,</w:t>
      </w:r>
      <w:r w:rsidR="00543A69">
        <w:t xml:space="preserve"> 2 – 10 </w:t>
      </w:r>
      <w:r w:rsidR="00543A69">
        <w:fldChar w:fldCharType="begin"/>
      </w:r>
      <w:r w:rsidR="00543A69">
        <w:instrText xml:space="preserve"> ADDIN ZOTERO_ITEM CSL_CITATION {"citationID":"xC77BVSw","properties":{"formattedCitation":"(MacPhee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T."}],"accessed":{"date-parts":[["2021",2,8]]},"issued":{"date-parts":[["2009",1,1]]}}}],"schema":"https://github.com/citation-style-language/schema/raw/master/csl-citation.json"} </w:instrText>
      </w:r>
      <w:r w:rsidR="00543A69">
        <w:fldChar w:fldCharType="separate"/>
      </w:r>
      <w:r w:rsidR="00543A69" w:rsidRPr="00543A69">
        <w:rPr>
          <w:rFonts w:ascii="Calibri" w:hAnsi="Calibri" w:cs="Calibri"/>
        </w:rPr>
        <w:t>(MacPhee et al. 2009)</w:t>
      </w:r>
      <w:r w:rsidR="00543A69">
        <w:fldChar w:fldCharType="end"/>
      </w:r>
      <w:r w:rsidR="00A3347E">
        <w:t>,</w:t>
      </w:r>
      <w:r w:rsidR="00543A69">
        <w:t xml:space="preserve"> </w:t>
      </w:r>
      <w:r w:rsidR="00A3347E">
        <w:t xml:space="preserve">3 - </w:t>
      </w:r>
      <w:r w:rsidR="00543A69">
        <w:t>8</w:t>
      </w:r>
      <w:r w:rsidR="00A3347E">
        <w:t xml:space="preserve">% </w:t>
      </w:r>
      <w:r w:rsidR="00A3347E">
        <w:fldChar w:fldCharType="begin"/>
      </w:r>
      <w:r w:rsidR="00A3347E">
        <w:instrText xml:space="preserve"> ADDIN ZOTERO_ITEM CSL_CITATION {"citationID":"Peh0zPkH","properties":{"formattedCitation":"(Flores et al. 2017)","plainCitation":"(Flores et al. 2017)","noteIndex":0},"citationItems":[{"id":1864,"uris":["http://zotero.org/users/local/AB2owHL2/items/DZLWAIGE"],"itemData":{"id":1864,"type":"article-journal","abstract":"The aim of this work was to investigate the effect that adding charcoal to a coking coal has upon the CO2 reactivity and structure of cokes produced at a laboratory scale. Charcoal was added to a vitrinite-rich medium volatile coking coal in three amounts (3, 5 and 8wt%) and in two different particle size ranges (below 1mm and between 3 and 4mm) and carbonization was conducted in a laboratorial scale coke oven. Thermogravimetric analyses were used to assess coke reactivity towards CO2 under isothermal and nonisothermal conditions. Morphological analyses via optical and scanning electron microscopies using samples from before and after gasification were also carried out. It was found that controlling the amount and the particle size of charcoal added, coke reactivity did not differ considerably from the reference coke, although the TGA indicated that the addition of charcoal has the tendency to increase coke reactivity. The main structural changes due charcoal addition were the increase of coke surface area and the decrease of its structural order, justifying the noticed increase of coke reactivity.","collection-title":"2015 International Conference on Coal Science and Technology and 2015 Australia-China Symposium on Energy","container-title":"Fuel Processing Technology","DOI":"10.1016/j.fuproc.2016.04.012","ISSN":"0378-3820","journalAbbreviation":"Fuel Processing Technology","language":"en","page":"97-105","source":"ScienceDirect","title":"Effect of charcoal blending with a vitrinite rich coking coal on coke reactivity","URL":"https://www.sciencedirect.com/science/article/pii/S0378382016301515","volume":"155","author":[{"family":"Flores","given":"Bruno D."},{"family":"Flores","given":"Ismael V."},{"family":"Guerrero","given":"Adrià"},{"family":"Orellana","given":"Daniel R."},{"family":"Pohlmann","given":"Juliana G."},{"family":"Diez","given":"Maria A."},{"family":"Borrego","given":"Angeles G."},{"family":"Osório","given":"Eduardo"},{"family":"Vilela","given":"Antônio C. F."}],"accessed":{"date-parts":[["2022",8,2]]},"issued":{"date-parts":[["2017",1,1]]}}}],"schema":"https://github.com/citation-style-language/schema/raw/master/csl-citation.json"} </w:instrText>
      </w:r>
      <w:r w:rsidR="00A3347E">
        <w:fldChar w:fldCharType="separate"/>
      </w:r>
      <w:r w:rsidR="00A3347E" w:rsidRPr="00A3347E">
        <w:rPr>
          <w:rFonts w:ascii="Calibri" w:hAnsi="Calibri" w:cs="Calibri"/>
        </w:rPr>
        <w:t>(Flores et al. 2017)</w:t>
      </w:r>
      <w:r w:rsidR="00A3347E">
        <w:fldChar w:fldCharType="end"/>
      </w:r>
      <w:r w:rsidR="00A3347E">
        <w:t xml:space="preserve">, and 5 – 25% </w:t>
      </w:r>
      <w:r w:rsidR="00A3347E">
        <w:fldChar w:fldCharType="begin"/>
      </w:r>
      <w:r w:rsidR="00A3347E">
        <w:instrText xml:space="preserve"> ADDIN ZOTERO_ITEM CSL_CITATION {"citationID":"A8EZb86X","properties":{"formattedCitation":"(Yustanti et al. 2021)","plainCitation":"(Yustanti et al. 2021)","noteIndex":0},"citationItems":[{"id":1682,"uris":["http://zotero.org/users/local/AB2owHL2/items/95PWV9NK"],"itemData":{"id":1682,"type":"article-journal","abstract":"The steelmaking industry requires coke as a reducing agent, as an energy source, and for its ability to hold slag in a blast furnace. Coking coal as raw coke material is very limited. Studying the use of biomass as a mixture of coking coal in the synthesis of biocoke is necessary to reduce greenhouse gas coal emissions. This research focuses on biomass and heating temperature through the coal blending method to produce biocoke with optimal mechanical properties for the blast-furnace standard. The heating temperature of biomass to biochar was evaluated at 400, 500, and 600 °C. The blending of coking coal with biochar was in the compositions of 95:5, 85:15, and 75:25 wt.%. A compacting force of 20 MPa was employed to produce biocoke that was 50 mm in diameter and 27 mm thick using a hot cylinder dye. The green sample was heated at 1100 °C for 4 h, followed by quenching with a water medium, resulting in dense samples. Increasing heating temperature is generally directly proportional to an increase in fixed carbon and calorific value. Biocoke that meets several blast-furnace criteria is a coal mixture with coconut-shell charcoal of 85:15 wt.%. Carbonization at 500 °C, yielding fixed carbon, calorific value, and compressive strength, was achieved at 89.02 ± 0.11%; 29.681 ± 0.46 MJ/kg, and 6.53 ± 0.4 MPa, respectively. This product meets several criteria for blast-furnace applications, with CRI 29.8 and CSR 55.1.","container-title":"Energies","DOI":"https://doi.org/10.3390/en14206570","issue":"20","language":"English","license":"©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6570\npublisher-place: Basel, Switzerland\npublisher: MDPI AG","page":"6570","source":"ProQuest","title":"Types and Composition of Biomass in Biocoke Synthesis with the Coal Blending Method","URL":"https://www.proquest.com/docview/2584396803/abstract/8B2D7BDE04974CBCPQ/1","volume":"14","author":[{"family":"Yustanti","given":"Erlina"},{"family":"Link to external site","given":"this","dropping-particle":"link will open in a new window"},{"family":"Wardhono","given":"Endarto Yudo"},{"family":"Anggoro","given":"Tri Mursito"},{"family":"Alhamidi","given":"Ali"}],"accessed":{"date-parts":[["2022",6,27]]},"issued":{"date-parts":[["2021"]]}}}],"schema":"https://github.com/citation-style-language/schema/raw/master/csl-citation.json"} </w:instrText>
      </w:r>
      <w:r w:rsidR="00A3347E">
        <w:fldChar w:fldCharType="separate"/>
      </w:r>
      <w:r w:rsidR="00A3347E" w:rsidRPr="00A3347E">
        <w:rPr>
          <w:rFonts w:ascii="Calibri" w:hAnsi="Calibri" w:cs="Calibri"/>
        </w:rPr>
        <w:t>(Yustanti et al. 2021)</w:t>
      </w:r>
      <w:r w:rsidR="00A3347E">
        <w:fldChar w:fldCharType="end"/>
      </w:r>
      <w:r w:rsidR="00A3347E">
        <w:t>. They found that coke reactivity (CRI) increased with the addition of biochar</w:t>
      </w:r>
      <w:r w:rsidR="00C42F48">
        <w:t>,</w:t>
      </w:r>
      <w:r w:rsidR="00A3347E">
        <w:t xml:space="preserve"> </w:t>
      </w:r>
      <w:r w:rsidR="00C42F48">
        <w:t>t</w:t>
      </w:r>
      <w:r w:rsidR="00A3347E">
        <w:t xml:space="preserve">he CRI increase </w:t>
      </w:r>
      <w:r w:rsidR="002831DC">
        <w:t>i</w:t>
      </w:r>
      <w:r w:rsidR="00A3347E">
        <w:t>s more pronounced when the charcoal is fine</w:t>
      </w:r>
      <w:r w:rsidR="0053410E">
        <w:t xml:space="preserve">, this is due to the dispersion </w:t>
      </w:r>
      <w:r w:rsidR="0053410E">
        <w:lastRenderedPageBreak/>
        <w:t>of calcium oxide (</w:t>
      </w:r>
      <w:proofErr w:type="spellStart"/>
      <w:r w:rsidR="0053410E">
        <w:t>CaO</w:t>
      </w:r>
      <w:proofErr w:type="spellEnd"/>
      <w:r w:rsidR="0053410E">
        <w:t>) within the blend, which acts as a catalyst, promoting the carbon and CO</w:t>
      </w:r>
      <w:r w:rsidR="0053410E" w:rsidRPr="0053410E">
        <w:rPr>
          <w:vertAlign w:val="subscript"/>
        </w:rPr>
        <w:t>2</w:t>
      </w:r>
      <w:r w:rsidR="0053410E">
        <w:t xml:space="preserve"> reaction. This reaction is less defined as the particle size of charcoal used increased</w:t>
      </w:r>
      <w:r w:rsidR="002831DC">
        <w:t xml:space="preserve">. </w:t>
      </w:r>
      <w:r w:rsidR="001A4D93">
        <w:t>R</w:t>
      </w:r>
      <w:r w:rsidR="002831DC">
        <w:t xml:space="preserve">eactive coke is favourable in the BF, as it improves the combustion process in the BF raceway and can equal or improve </w:t>
      </w:r>
      <w:r w:rsidR="00C42F48">
        <w:t xml:space="preserve">on the performance of coal </w:t>
      </w:r>
      <w:r w:rsidR="00C42F48">
        <w:fldChar w:fldCharType="begin"/>
      </w:r>
      <w:r w:rsidR="00C42F48">
        <w:instrText xml:space="preserve"> ADDIN ZOTERO_ITEM CSL_CITATION {"citationID":"4SsVOllS","properties":{"formattedCitation":"(Babich et al. 2010; Mathieson et al. 2011)","plainCitation":"(Babich et al. 2010; Mathieson et al. 2011)","noteIndex":0},"citationItems":[{"id":1828,"uris":["http://zotero.org/users/local/AB2owHL2/items/ERJ5VU9V"],"itemData":{"id":1828,"type":"article-journal","abstract":"Nowadays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schema":"https://github.com/citation-style-language/schema/raw/master/csl-citation.json"} </w:instrText>
      </w:r>
      <w:r w:rsidR="00C42F48">
        <w:fldChar w:fldCharType="separate"/>
      </w:r>
      <w:r w:rsidR="00C42F48" w:rsidRPr="00C42F48">
        <w:rPr>
          <w:rFonts w:ascii="Calibri" w:hAnsi="Calibri" w:cs="Calibri"/>
        </w:rPr>
        <w:t>(Babich et al. 2010; Mathieson et al. 2011)</w:t>
      </w:r>
      <w:r w:rsidR="00C42F48">
        <w:fldChar w:fldCharType="end"/>
      </w:r>
      <w:r w:rsidR="00C42F48">
        <w:t xml:space="preserve">, however, too high reactivity can mean a decrease in the CSR, this can lead to the generation of fines, which </w:t>
      </w:r>
      <w:r w:rsidR="001A4D93">
        <w:t>can result in BF permeability issues</w:t>
      </w:r>
      <w:r w:rsidR="00C42F48">
        <w:t xml:space="preserve">. The addition of course charcoal also </w:t>
      </w:r>
      <w:r w:rsidR="00117DA4">
        <w:t>led</w:t>
      </w:r>
      <w:r w:rsidR="00C42F48">
        <w:t xml:space="preserve"> to the </w:t>
      </w:r>
      <w:r w:rsidR="00117DA4">
        <w:t>impairment</w:t>
      </w:r>
      <w:r w:rsidR="00C42F48">
        <w:t xml:space="preserve"> </w:t>
      </w:r>
      <w:r w:rsidR="00117DA4">
        <w:t>of the</w:t>
      </w:r>
      <w:r w:rsidR="00E24369">
        <w:t xml:space="preserve"> biocoke’s</w:t>
      </w:r>
      <w:r w:rsidR="00117DA4">
        <w:t xml:space="preserve"> cold mechanical strength</w:t>
      </w:r>
      <w:r w:rsidR="00E24369">
        <w:t>, this measure relates to the behaviour of the coke during handling on its way to and during charging into the BF. Low cold strength could lead to fracture of the coke and the creation of fines. Course biochar affected the cold strength considerably</w:t>
      </w:r>
      <w:r w:rsidR="0086711E">
        <w:t>,</w:t>
      </w:r>
      <w:r w:rsidR="00E24369">
        <w:t xml:space="preserve"> while the effect was far less pronounced when fine biochar was added</w:t>
      </w:r>
      <w:r w:rsidR="00AE274C">
        <w:t xml:space="preserve"> </w:t>
      </w:r>
      <w:r w:rsidR="00AE274C">
        <w:fldChar w:fldCharType="begin"/>
      </w:r>
      <w:r w:rsidR="00AE274C">
        <w:instrText xml:space="preserve"> ADDIN ZOTERO_ITEM CSL_CITATION {"citationID":"TaKlfP6N","properties":{"formattedCitation":"(MacPhee et al. 2009; Ng et al. 2011; Flores et al. 2017; Suopaj\\uc0\\u228{}rvi et al. 2017)","plainCitation":"(MacPhee et al. 2009; Ng et al. 2011; Flores et al. 2017; Suopajärvi et al. 2017)","noteIndex":0},"citationItems":[{"id":425,"uris":["http://zotero.org/users/local/AB2owHL2/items/NQR2TCUN"],"itemData":{"id":425,"type":"article-journal","abstract":"Processes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T."}],"accessed":{"date-parts":[["2021",2,8]]},"issued":{"date-parts":[["2009",1,1]]}},"label":"act"},{"id":1831,"uris":["http://zotero.org/users/local/AB2owHL2/items/HNWUJS22"],"itemData":{"id":1831,"type":"article-journal","abstract":"Incorporation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id":1864,"uris":["http://zotero.org/users/local/AB2owHL2/items/DZLWAIGE"],"itemData":{"id":1864,"type":"article-journal","abstract":"The aim of this work was to investigate the effect that adding charcoal to a coking coal has upon the CO2 reactivity and structure of cokes produced at a laboratory scale. Charcoal was added to a vitrinite-rich medium volatile coking coal in three amounts (3, 5 and 8wt%) and in two different particle size ranges (below 1mm and between 3 and 4mm) and carbonization was conducted in a laboratorial scale coke oven. Thermogravimetric analyses were used to assess coke reactivity towards CO2 under isothermal and nonisothermal conditions. Morphological analyses via optical and scanning electron microscopies using samples from before and after gasification were also carried out. It was found that controlling the amount and the particle size of charcoal added, coke reactivity did not differ considerably from the reference coke, although the TGA indicated that the addition of charcoal has the tendency to increase coke reactivity. The main structural changes due charcoal addition were the increase of coke surface area and the decrease of its structural order, justifying the noticed increase of coke reactivity.","collection-title":"2015 International Conference on Coal Science and Technology and 2015 Australia-China Symposium on Energy","container-title":"Fuel Processing Technology","DOI":"10.1016/j.fuproc.2016.04.012","ISSN":"0378-3820","journalAbbreviation":"Fuel Processing Technology","language":"en","page":"97-105","source":"ScienceDirect","title":"Effect of charcoal blending with a vitrinite rich coking coal on coke reactivity","URL":"https://www.sciencedirect.com/science/article/pii/S0378382016301515","volume":"155","author":[{"family":"Flores","given":"Bruno D."},{"family":"Flores","given":"Ismael V."},{"family":"Guerrero","given":"Adrià"},{"family":"Orellana","given":"Daniel R."},{"family":"Pohlmann","given":"Juliana G."},{"family":"Diez","given":"Maria A."},{"family":"Borrego","given":"Angeles G."},{"family":"Osório","given":"Eduardo"},{"family":"Vilela","given":"Antônio C. F."}],"accessed":{"date-parts":[["2022",8,2]]},"issued":{"date-parts":[["2017",1,1]]}},"label":"act"},{"id":1848,"uris":["http://zotero.org/users/local/AB2owHL2/items/TJJS49C9"],"itemData":{"id":1848,"type":"article-journal","abstract":"The aim of this research was to investigate the effects of charcoal and Kraft-lignin additions on the structure, cold compression strength, and reactivity of bio-cokes produced at the laboratory scale. Bio-cokes were prepared by adding charcoal and Kraft-lignin (2.5, 5.0, 7.5, and 10.0 wt %) to medium-volatile coal and coking the mixture with controlled heating rate (3.5 °C/min) up to 1200 °C. In addition, four particle sizes of charcoal were added with a 5 wt % addition rate to investigate the effect of particle size on the compression strength and reactivity. Thermogravimetric analysis was used to evaluate the pyrolysis behavior of coal and biomasses. Optical microscopy was used to investigate the interaction of coal and biomass components. It was found that by controlling the amount of charcoal and Kraft-lignin in the coal blend, the compression strength of the bio-cokes remains at an acceptable level compared to the reference coke without biomass addition. The cold compression strength of the charcoal bio-cokes was higher compared to Kraft-lignin bio-cokes. The reactivity of the bio-cokes with charcoal addition was markedly higher compared to reference coke and Kraft-lignin bio-cokes, mainly due to the differences in the physical properties of the parental biomass. By increasing the bulk density of the coal/biomass charge, the cold compression strength of the bio-cokes can be improved substantially.","container-title":"Energies","DOI":"10.3390/en10111850","issue":"11","language":"English","license":"Copyright MDPI AG 2017","note":"number-of-pages: 1850\npublisher-place: Basel, Switzerland\npublisher: MDPI AG","page":"1850","source":"ProQuest","title":"Effect of Charcoal and Kraft-Lignin Addition on Coke Compression Strength and Reactivity","URL":"http://www.proquest.com/docview/1977961676/abstract/7A4027D57DB7482CPQ/1","volume":"10","author":[{"family":"Suopajärvi","given":"Hannu"},{"family":"Dahl","given":"Essi"},{"family":"Kemppainen","given":"Antti"},{"family":"Gornostayev","given":"Stanislav"},{"family":"Koskela","given":"Aki"},{"family":"Fabritius","given":"Timo"}],"accessed":{"date-parts":[["2022",7,31]]},"issued":{"date-parts":[["2017"]]}},"label":"act"}],"schema":"https://github.com/citation-style-language/schema/raw/master/csl-citation.json"} </w:instrText>
      </w:r>
      <w:r w:rsidR="00AE274C">
        <w:fldChar w:fldCharType="separate"/>
      </w:r>
      <w:r w:rsidR="00AE274C" w:rsidRPr="00AE274C">
        <w:rPr>
          <w:rFonts w:ascii="Calibri" w:hAnsi="Calibri" w:cs="Calibri"/>
          <w:szCs w:val="24"/>
        </w:rPr>
        <w:t>(MacPhee et al. 2009; Ng et al. 2011; Flores et al. 2017; Suopajärvi et al. 2017)</w:t>
      </w:r>
      <w:r w:rsidR="00AE274C">
        <w:fldChar w:fldCharType="end"/>
      </w:r>
      <w:r w:rsidR="00E24369">
        <w:t>.</w:t>
      </w:r>
      <w:r w:rsidR="001A4D93">
        <w:t xml:space="preserve"> </w:t>
      </w:r>
      <w:r w:rsidR="000540C3">
        <w:t xml:space="preserve"> </w:t>
      </w:r>
      <w:r w:rsidR="0070004F">
        <w:t xml:space="preserve">According to </w:t>
      </w:r>
      <w:r w:rsidR="0070004F">
        <w:fldChar w:fldCharType="begin"/>
      </w:r>
      <w:r w:rsidR="00C65F11">
        <w:instrText xml:space="preserve"> ADDIN ZOTERO_ITEM CSL_CITATION {"citationID":"hzy2nEAL","properties":{"formattedCitation":"(Nomura and Kato 2006)","plainCitation":"(Nomura and Kato 2006)","noteIndex":0},"citationItems":[{"id":1869,"uris":["http://zotero.org/users/local/AB2owHL2/items/4FIXYED3"],"itemData":{"id":1869,"type":"article-journal","abstract":"In the recycling process of waste plastics using coke ovens, coals and added plastics are carbonized and changed into coke, tar, oil and coke oven gas in a coke oven chamber. In this study, the effect of added plastic size on coke quality and the effect of plastic addition on coking pressure was investigated. In the case of a plastic addition rate of 2%, the coke strength (DI15150) reached a minimum at the particle size of 10mm for polyethylene (PE) and 3mm for polystyrene (PS). The mechanism was attributed to the weak coke structure formed on the interface between plastic and coal. The result indicates that large or small plastic particles are favorable in order to add waste plastics to blended coals for coke making without affecting coke strength (DI15150). Furthermore, it was also shown that a 1% addition of large size agglomerated waste plastics to blended coals did not increase coking pressure. Based on this fundamental study, and considering the ease of handling plastics, we have determined that the size of waste plastic used in a commercial-scale recycling process of waste plastics using coke ovens is about 25mm. Nippon Steel Corporation started to operate a waste plastic recycling process using coke ovens at Nagoya and Kimitsu works in 2000 and at Yawata and Muroran works in 2002. Now the total capacity is 120,000tons per year as of 2003 and this process is operating smoothly.","container-title":"Fuel","DOI":"10.1016/j.fuel.2005.05.019","ISSN":"0016-2361","issue":"1","journalAbbreviation":"Fuel","language":"en","page":"47-56","source":"ScienceDirect","title":"The effect of plastic size on coke quality and coking pressure in the co-carbonization of coal/plastic in coke oven","URL":"https://www.sciencedirect.com/science/article/pii/S0016236105001997","volume":"85","author":[{"family":"Nomura","given":"Seiji"},{"family":"Kato","given":"Kenji"}],"accessed":{"date-parts":[["2022",8,2]]},"issued":{"date-parts":[["2006",1,1]]}}}],"schema":"https://github.com/citation-style-language/schema/raw/master/csl-citation.json"} </w:instrText>
      </w:r>
      <w:r w:rsidR="0070004F">
        <w:fldChar w:fldCharType="separate"/>
      </w:r>
      <w:r w:rsidR="00C65F11" w:rsidRPr="00C65F11">
        <w:rPr>
          <w:rFonts w:ascii="Calibri" w:hAnsi="Calibri" w:cs="Calibri"/>
        </w:rPr>
        <w:t>(Nomura and Kato 2006)</w:t>
      </w:r>
      <w:r w:rsidR="0070004F">
        <w:fldChar w:fldCharType="end"/>
      </w:r>
      <w:r w:rsidR="0070004F">
        <w:t xml:space="preserve"> the lower limit of biomass size was found to be 3 – 10mm.</w:t>
      </w:r>
    </w:p>
    <w:p w14:paraId="0A0ACC38" w14:textId="70826085" w:rsidR="009323CA" w:rsidRDefault="000540C3" w:rsidP="00E84F9C">
      <w:pPr>
        <w:spacing w:line="360" w:lineRule="auto"/>
        <w:jc w:val="both"/>
      </w:pPr>
      <w:r>
        <w:t>Due to the negative effects of bio</w:t>
      </w:r>
      <w:r w:rsidR="00C20102">
        <w:t>mass addition</w:t>
      </w:r>
      <w:r w:rsidR="001D256A">
        <w:t xml:space="preserve"> into the coking coal blend,</w:t>
      </w:r>
      <w:r w:rsidR="00C20102">
        <w:t xml:space="preserve"> the amount that can be added is limited to 5%</w:t>
      </w:r>
      <w:r w:rsidR="005A5FEB">
        <w:t xml:space="preserve"> </w:t>
      </w:r>
      <w:r w:rsidR="00BB3C03">
        <w:t>wt.</w:t>
      </w:r>
      <w:r w:rsidR="001D256A">
        <w:t>,</w:t>
      </w:r>
      <w:r w:rsidR="00C20102">
        <w:t xml:space="preserve"> while still maintaining acceptable coke quality</w:t>
      </w:r>
      <w:r w:rsidR="0032113B">
        <w:t xml:space="preserve"> </w:t>
      </w:r>
      <w:r w:rsidR="0032113B">
        <w:fldChar w:fldCharType="begin"/>
      </w:r>
      <w:r w:rsidR="0032113B">
        <w:instrText xml:space="preserve"> ADDIN ZOTERO_ITEM CSL_CITATION {"citationID":"IV7S7OSw","properties":{"formattedCitation":"(MacPhee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T."}],"accessed":{"date-parts":[["2021",2,8]]},"issued":{"date-parts":[["2009",1,1]]}}}],"schema":"https://github.com/citation-style-language/schema/raw/master/csl-citation.json"} </w:instrText>
      </w:r>
      <w:r w:rsidR="0032113B">
        <w:fldChar w:fldCharType="separate"/>
      </w:r>
      <w:r w:rsidR="0032113B" w:rsidRPr="0032113B">
        <w:rPr>
          <w:rFonts w:ascii="Calibri" w:hAnsi="Calibri" w:cs="Calibri"/>
        </w:rPr>
        <w:t>(MacPhee et al. 2009)</w:t>
      </w:r>
      <w:r w:rsidR="0032113B">
        <w:fldChar w:fldCharType="end"/>
      </w:r>
      <w:r w:rsidR="00C20102">
        <w:t>.</w:t>
      </w:r>
      <w:r w:rsidR="00E84F9C">
        <w:t xml:space="preserve"> </w:t>
      </w:r>
      <w:r w:rsidR="00E84F9C">
        <w:fldChar w:fldCharType="begin"/>
      </w:r>
      <w:r w:rsidR="00E84F9C">
        <w:instrText xml:space="preserve"> ADDIN ZOTERO_ITEM CSL_CITATION {"citationID":"MGcwuLam","properties":{"formattedCitation":"(Montiano et al. 2014a)","plainCitation":"(Montiano et al. 2014a)","noteIndex":0},"citationItems":[{"id":1677,"uris":["http://zotero.org/users/local/AB2owHL2/items/FFIS7JYQ"],"itemData":{"id":1677,"type":"article-journal","abstract":"In this work partial briquetting is employed as a means of biomass densification to allow for biomass inclusion in coking coal blends. The effect of increasing the bulk density was evaluated by comparison with direct addition. Two briquettes of different composition were studied. The influence of the briquettes on the Gieseler plasticity of the coals was determined. It was found that the effect of the binder was not enough to compensate for the decrease in plasticity produced by the inert components of the briquettes. Carbonizations were carried out in a movable wall oven of 17kg capacity and the quality of the cokes produced was tested by evaluating their mechanical strength, coke reactivity to CO2 and post-reaction strength. In addition, the porosity and ash chemistry of the cokes was determined and an attempt was made to establish a relation between these results and the quality of the cokes. Coke quality results suggest that 10–15wt.% of briquettes containing biomass can be included in coking blends.","container-title":"Fuel","DOI":"10.1016/j.fuel.2014.08.012","ISSN":"0016-2361","journalAbbreviation":"Fuel","language":"en","page":"313-320","source":"ScienceDirect","title":"Partial briquetting vs direct addition of biomass in coking blends","URL":"https://www.sciencedirect.com/science/article/pii/S0016236114007819","volume":"137","author":[{"family":"Montiano","given":"M. G."},{"family":"Díaz-Faes","given":"E."},{"family":"Barriocanal","given":"C."}],"accessed":{"date-parts":[["2022",6,27]]},"issued":{"date-parts":[["2014",12,1]]}}}],"schema":"https://github.com/citation-style-language/schema/raw/master/csl-citation.json"} </w:instrText>
      </w:r>
      <w:r w:rsidR="00E84F9C">
        <w:fldChar w:fldCharType="separate"/>
      </w:r>
      <w:r w:rsidR="00E84F9C" w:rsidRPr="00E84F9C">
        <w:rPr>
          <w:rFonts w:ascii="Calibri" w:hAnsi="Calibri" w:cs="Calibri"/>
        </w:rPr>
        <w:t>(Montiano et al. 2014a)</w:t>
      </w:r>
      <w:r w:rsidR="00E84F9C">
        <w:fldChar w:fldCharType="end"/>
      </w:r>
      <w:r w:rsidR="00E84F9C">
        <w:t xml:space="preserve"> found that </w:t>
      </w:r>
      <w:r w:rsidR="00431F86">
        <w:t xml:space="preserve">by briquetting biomass that additions of 10 – 15% can be included in coking blends. </w:t>
      </w:r>
    </w:p>
    <w:p w14:paraId="3B83DCCB" w14:textId="7C9852F9" w:rsidR="001C2A1C" w:rsidRPr="001C2A1C" w:rsidRDefault="00813719" w:rsidP="00F104D1">
      <w:pPr>
        <w:pStyle w:val="Heading3"/>
        <w:spacing w:line="360" w:lineRule="auto"/>
        <w:jc w:val="both"/>
      </w:pPr>
      <w:bookmarkStart w:id="29" w:name="_Toc127911439"/>
      <w:r>
        <w:t>Potential for biomass in the sintering process</w:t>
      </w:r>
      <w:bookmarkEnd w:id="29"/>
    </w:p>
    <w:p w14:paraId="30EB3AAD" w14:textId="0AEAD619" w:rsidR="00225BF7" w:rsidRDefault="00977CAD" w:rsidP="002E34AE">
      <w:pPr>
        <w:spacing w:line="360" w:lineRule="auto"/>
        <w:jc w:val="both"/>
      </w:pPr>
      <w:r>
        <w:t xml:space="preserve">The </w:t>
      </w:r>
      <w:r w:rsidR="00994E13">
        <w:t xml:space="preserve">materials available for the ferrous input into a blast furnace </w:t>
      </w:r>
      <w:r w:rsidR="000D282F">
        <w:t>are</w:t>
      </w:r>
      <w:r w:rsidR="00994E13">
        <w:t xml:space="preserve"> pelletised iron ore, iron ore lump</w:t>
      </w:r>
      <w:r w:rsidR="002E34AE">
        <w:t xml:space="preserve"> or sinter. Iron ore pellets are</w:t>
      </w:r>
      <w:r w:rsidR="004F09D7">
        <w:t xml:space="preserve"> formed by</w:t>
      </w:r>
      <w:r w:rsidR="00171B2F">
        <w:t xml:space="preserve"> agglomerating iron ore fines, that are not suitable for direct charge into the BF. A good blast furnace burden consists of sinter and/or pellets. Lump ores are becoming increasingly scarce and their properties are generally poorer than the alternatives, and so are mainly only used as a cheap replacement for pellets </w:t>
      </w:r>
      <w:r w:rsidR="00171B2F">
        <w:fldChar w:fldCharType="begin"/>
      </w:r>
      <w:r w:rsidR="00171B2F">
        <w:instrText xml:space="preserve"> ADDIN ZOTERO_ITEM CSL_CITATION {"citationID":"G1vAQ2Vf","properties":{"formattedCitation":"(Geerdes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171B2F">
        <w:fldChar w:fldCharType="separate"/>
      </w:r>
      <w:r w:rsidR="00171B2F" w:rsidRPr="00171B2F">
        <w:rPr>
          <w:rFonts w:ascii="Calibri" w:hAnsi="Calibri" w:cs="Calibri"/>
        </w:rPr>
        <w:t>(Geerdes et al. 2009)</w:t>
      </w:r>
      <w:r w:rsidR="00171B2F">
        <w:fldChar w:fldCharType="end"/>
      </w:r>
      <w:r w:rsidR="00171B2F">
        <w:t>.</w:t>
      </w:r>
    </w:p>
    <w:p w14:paraId="7016859B" w14:textId="02A2B4AF" w:rsidR="00171B2F" w:rsidRDefault="000C1C4E" w:rsidP="002E34AE">
      <w:pPr>
        <w:spacing w:line="360" w:lineRule="auto"/>
        <w:jc w:val="both"/>
      </w:pPr>
      <w:r>
        <w:t xml:space="preserve">Iron ore sintering is the process of heating iron ore fines, coke fines and other materials to produce a semi molten mass that solidifies into a porous piece of sinter. Sinter </w:t>
      </w:r>
      <w:r w:rsidR="001C2A1C">
        <w:t>must</w:t>
      </w:r>
      <w:r>
        <w:t xml:space="preserve"> be of a certain size and strength to be suitable for use in the BF.</w:t>
      </w:r>
      <w:r w:rsidR="001C2A1C">
        <w:t xml:space="preserve"> The main steps in the sintering process are proportioning, mixing and sintering. </w:t>
      </w:r>
      <w:r w:rsidR="002D7488">
        <w:t>Raw materials such as iron ore fines, re</w:t>
      </w:r>
      <w:r w:rsidR="004117CA">
        <w:t>v</w:t>
      </w:r>
      <w:r w:rsidR="002D7488">
        <w:t>erts - iron and steelmaking by-products that contain iron and fluxes are added together to form what is called a raw mix. The raw mix is mixed with water to form granules</w:t>
      </w:r>
      <w:r w:rsidR="00791B28">
        <w:t xml:space="preserve">. The granules are then fed onto a moving grate to form the sintering bed. The bed is ignited by </w:t>
      </w:r>
      <w:r w:rsidR="005B0C79">
        <w:t>gas burners</w:t>
      </w:r>
      <w:r w:rsidR="00791B28">
        <w:t xml:space="preserve"> </w:t>
      </w:r>
      <w:r w:rsidR="009823F6">
        <w:t xml:space="preserve">near the </w:t>
      </w:r>
      <w:r w:rsidR="00791B28">
        <w:t>ignition hood at the face of the bed. As the coke in the bed burns it creates a high temperature combustion zone</w:t>
      </w:r>
      <w:r w:rsidR="00D15AD4">
        <w:t xml:space="preserve"> at temperatures 1200</w:t>
      </w:r>
      <w:r w:rsidR="00DB0781" w:rsidRPr="00DB0781">
        <w:rPr>
          <w:vertAlign w:val="superscript"/>
        </w:rPr>
        <w:t>0</w:t>
      </w:r>
      <w:r w:rsidR="00DB0781">
        <w:t xml:space="preserve"> – 1400</w:t>
      </w:r>
      <w:r w:rsidR="00DB0781" w:rsidRPr="00DB0781">
        <w:rPr>
          <w:vertAlign w:val="superscript"/>
        </w:rPr>
        <w:t>0</w:t>
      </w:r>
      <w:r w:rsidR="00DB0781">
        <w:t>C</w:t>
      </w:r>
      <w:r w:rsidR="00791B28">
        <w:t>. Air is drawn through the bed</w:t>
      </w:r>
      <w:r w:rsidR="004B7B17">
        <w:t xml:space="preserve"> creating a narrow</w:t>
      </w:r>
      <w:r w:rsidR="00EB416E">
        <w:t xml:space="preserve"> </w:t>
      </w:r>
      <w:r w:rsidR="00D374EC">
        <w:t>self-propagating</w:t>
      </w:r>
      <w:r w:rsidR="004B7B17">
        <w:t xml:space="preserve"> flame front,</w:t>
      </w:r>
      <w:r w:rsidR="00791B28">
        <w:t xml:space="preserve"> further promoting combustion.</w:t>
      </w:r>
      <w:r w:rsidR="008F65D4">
        <w:t xml:space="preserve"> Some of the materials melt</w:t>
      </w:r>
      <w:r w:rsidR="00C50286">
        <w:t xml:space="preserve"> and as the flam</w:t>
      </w:r>
      <w:r w:rsidR="00880DB2">
        <w:t>e</w:t>
      </w:r>
      <w:r w:rsidR="00C50286">
        <w:t xml:space="preserve"> front moves</w:t>
      </w:r>
      <w:r w:rsidR="00880DB2">
        <w:t xml:space="preserve"> the material</w:t>
      </w:r>
      <w:r w:rsidR="00A97876">
        <w:t xml:space="preserve"> cools and</w:t>
      </w:r>
      <w:r w:rsidR="00B023BA">
        <w:t xml:space="preserve"> resolidifies. Th</w:t>
      </w:r>
      <w:r w:rsidR="00BA0493">
        <w:t>is partial melting and diffusion within the materials</w:t>
      </w:r>
      <w:r w:rsidR="00C11068">
        <w:t xml:space="preserve"> </w:t>
      </w:r>
      <w:r w:rsidR="00736F10">
        <w:t>forms an agglomerated porous sinter cake</w:t>
      </w:r>
      <w:r w:rsidR="002B4F4F">
        <w:t>, this</w:t>
      </w:r>
      <w:r w:rsidR="00D96312">
        <w:t xml:space="preserve"> is illustrated </w:t>
      </w:r>
      <w:r w:rsidR="00D96312">
        <w:lastRenderedPageBreak/>
        <w:t>in figure 13.</w:t>
      </w:r>
      <w:r w:rsidR="002B4F4F">
        <w:t xml:space="preserve"> </w:t>
      </w:r>
      <w:r w:rsidR="00791B28">
        <w:t xml:space="preserve">The process produces sinter with </w:t>
      </w:r>
      <w:r w:rsidR="00880DB2">
        <w:t>the required</w:t>
      </w:r>
      <w:r w:rsidR="00791B28">
        <w:t xml:space="preserve"> chemical composition, permeability and strength</w:t>
      </w:r>
      <w:r w:rsidR="00A97876">
        <w:t xml:space="preserve"> for use in the BF</w:t>
      </w:r>
      <w:r w:rsidR="00791B28">
        <w:t xml:space="preserve"> </w:t>
      </w:r>
      <w:r w:rsidR="0094129C">
        <w:fldChar w:fldCharType="begin"/>
      </w:r>
      <w:r w:rsidR="0094129C">
        <w:instrText xml:space="preserve"> ADDIN ZOTERO_ITEM CSL_CITATION {"citationID":"TDJlyoP8","properties":{"formattedCitation":"(Chen et al. 2016)","plainCitation":"(Chen et al. 2016)","noteIndex":0},"citationItems":[{"id":1880,"uris":["http://zotero.org/users/local/AB2owHL2/items/75SU2UKH"],"itemData":{"id":1880,"type":"article-journal","abstract":"Iron ore sintering is one of the most energy-consuming processes in steelmaking. Since its main source of energy is the combustion of carbon, it is important to improve the carbon efficiency to save energy and to reduce undesired emissions. A modeling and optimization method based on the characteristics of the sintering process has been developed to do that. It features multiple operating modes and employs the comprehensive carbon ratio (CCR) as a measure of carbon efficiency. The method has two parts. The first part is the modeling of multiple operating modes of the sintering process. K-means clustering is used to identify the operating modes; and for each mode, a predictive model is built that contains two submodels, one for predicting the state parameters and one for predicting the CCR. The submodels are built using back-propagation neural networks (BPNNs). An analysis of material and energy flow, and correlation analyses of process data and the CCR, are used to determine the most appropriate inputs for the submodels. The second part of the method is optimization based on a determination of the optimal operating mode. The problem of how to reduce the CCR is formulated as a two-step optimization problem, and particle swarm optimization is used to solve it. Finally, verification of the modeling and optimization method based on actual process data shows that it improves the carbon efficiency of iron ore sintering.","container-title":"Control Engineering Practice","DOI":"10.1016/j.conengprac.2016.05.007","ISSN":"0967-0661","journalAbbreviation":"Control Engineering Practice","language":"en","page":"117-128","source":"ScienceDirect","title":"Modeling and optimization method featuring multiple operating modes for improving carbon efficiency of iron ore sintering process","URL":"https://www.sciencedirect.com/science/article/pii/S0967066116301010","volume":"54","author":[{"family":"Chen","given":"Xin"},{"family":"Chen","given":"Xiaoxia"},{"family":"Wu","given":"Min"},{"family":"She","given":"Jinhua"}],"accessed":{"date-parts":[["2022",8,7]]},"issued":{"date-parts":[["2016",9,1]]}}}],"schema":"https://github.com/citation-style-language/schema/raw/master/csl-citation.json"} </w:instrText>
      </w:r>
      <w:r w:rsidR="0094129C">
        <w:fldChar w:fldCharType="separate"/>
      </w:r>
      <w:r w:rsidR="0094129C" w:rsidRPr="0094129C">
        <w:rPr>
          <w:rFonts w:ascii="Calibri" w:hAnsi="Calibri" w:cs="Calibri"/>
        </w:rPr>
        <w:t>(Chen et al. 2016)</w:t>
      </w:r>
      <w:r w:rsidR="0094129C">
        <w:fldChar w:fldCharType="end"/>
      </w:r>
      <w:r w:rsidR="00791B28">
        <w:t>.</w:t>
      </w:r>
    </w:p>
    <w:p w14:paraId="10468919" w14:textId="56C3570D" w:rsidR="0094129C" w:rsidRDefault="0094129C" w:rsidP="002E34AE">
      <w:pPr>
        <w:spacing w:line="360" w:lineRule="auto"/>
        <w:jc w:val="both"/>
      </w:pPr>
      <w:r w:rsidRPr="0094129C">
        <w:rPr>
          <w:noProof/>
        </w:rPr>
        <w:drawing>
          <wp:inline distT="0" distB="0" distL="0" distR="0" wp14:anchorId="1EEF635E" wp14:editId="27DB7974">
            <wp:extent cx="5303100" cy="1796995"/>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4"/>
                    <a:stretch>
                      <a:fillRect/>
                    </a:stretch>
                  </pic:blipFill>
                  <pic:spPr>
                    <a:xfrm>
                      <a:off x="0" y="0"/>
                      <a:ext cx="5314070" cy="1800712"/>
                    </a:xfrm>
                    <a:prstGeom prst="rect">
                      <a:avLst/>
                    </a:prstGeom>
                  </pic:spPr>
                </pic:pic>
              </a:graphicData>
            </a:graphic>
          </wp:inline>
        </w:drawing>
      </w:r>
    </w:p>
    <w:p w14:paraId="52FF8DC6" w14:textId="6532FB7B" w:rsidR="000C1C4E" w:rsidRDefault="0094129C" w:rsidP="0094129C">
      <w:pPr>
        <w:pStyle w:val="Caption"/>
      </w:pPr>
      <w:bookmarkStart w:id="30" w:name="_Toc127110907"/>
      <w:r>
        <w:t xml:space="preserve">Figure </w:t>
      </w:r>
      <w:fldSimple w:instr=" SEQ Figure \* ARABIC ">
        <w:r w:rsidR="00A0212F">
          <w:rPr>
            <w:noProof/>
          </w:rPr>
          <w:t>13</w:t>
        </w:r>
      </w:fldSimple>
      <w:r>
        <w:t xml:space="preserve"> Diagram of a s</w:t>
      </w:r>
      <w:r w:rsidRPr="00EA7CEF">
        <w:t>intering machine</w:t>
      </w:r>
      <w:r>
        <w:t xml:space="preserve"> </w:t>
      </w:r>
      <w:r>
        <w:fldChar w:fldCharType="begin"/>
      </w:r>
      <w:r>
        <w:instrText xml:space="preserve"> ADDIN ZOTERO_ITEM CSL_CITATION {"citationID":"RAoGWIZt","properties":{"formattedCitation":"(Chen et al. 2016)","plainCitation":"(Chen et al. 2016)","noteIndex":0},"citationItems":[{"id":1880,"uris":["http://zotero.org/users/local/AB2owHL2/items/75SU2UKH"],"itemData":{"id":1880,"type":"article-journal","abstract":"Iron ore sintering is one of the most energy-consuming processes in steelmaking. Since its main source of energy is the combustion of carbon, it is important to improve the carbon efficiency to save energy and to reduce undesired emissions. A modeling and optimization method based on the characteristics of the sintering process has been developed to do that. It features multiple operating modes and employs the comprehensive carbon ratio (CCR) as a measure of carbon efficiency. The method has two parts. The first part is the modeling of multiple operating modes of the sintering process. K-means clustering is used to identify the operating modes; and for each mode, a predictive model is built that contains two submodels, one for predicting the state parameters and one for predicting the CCR. The submodels are built using back-propagation neural networks (BPNNs). An analysis of material and energy flow, and correlation analyses of process data and the CCR, are used to determine the most appropriate inputs for the submodels. The second part of the method is optimization based on a determination of the optimal operating mode. The problem of how to reduce the CCR is formulated as a two-step optimization problem, and particle swarm optimization is used to solve it. Finally, verification of the modeling and optimization method based on actual process data shows that it improves the carbon efficiency of iron ore sintering.","container-title":"Control Engineering Practice","DOI":"10.1016/j.conengprac.2016.05.007","ISSN":"0967-0661","journalAbbreviation":"Control Engineering Practice","language":"en","page":"117-128","source":"ScienceDirect","title":"Modeling and optimization method featuring multiple operating modes for improving carbon efficiency of iron ore sintering process","URL":"https://www.sciencedirect.com/science/article/pii/S0967066116301010","volume":"54","author":[{"family":"Chen","given":"Xin"},{"family":"Chen","given":"Xiaoxia"},{"family":"Wu","given":"Min"},{"family":"She","given":"Jinhua"}],"accessed":{"date-parts":[["2022",8,7]]},"issued":{"date-parts":[["2016",9,1]]}}}],"schema":"https://github.com/citation-style-language/schema/raw/master/csl-citation.json"} </w:instrText>
      </w:r>
      <w:r>
        <w:fldChar w:fldCharType="separate"/>
      </w:r>
      <w:r w:rsidRPr="0094129C">
        <w:rPr>
          <w:rFonts w:ascii="Calibri" w:hAnsi="Calibri" w:cs="Calibri"/>
        </w:rPr>
        <w:t>(Chen et al. 2016)</w:t>
      </w:r>
      <w:r>
        <w:fldChar w:fldCharType="end"/>
      </w:r>
      <w:r>
        <w:t>.</w:t>
      </w:r>
      <w:bookmarkEnd w:id="30"/>
    </w:p>
    <w:p w14:paraId="5AFC2293" w14:textId="233EB1E9" w:rsidR="00BD38E2" w:rsidRDefault="006C32A9" w:rsidP="00D12E0B">
      <w:pPr>
        <w:spacing w:line="360" w:lineRule="auto"/>
        <w:jc w:val="both"/>
      </w:pPr>
      <w:r>
        <w:t xml:space="preserve">The </w:t>
      </w:r>
      <w:r w:rsidR="00C54E19">
        <w:t>best</w:t>
      </w:r>
      <w:r>
        <w:t xml:space="preserve"> fuel</w:t>
      </w:r>
      <w:r w:rsidR="00592CFA">
        <w:t xml:space="preserve"> for</w:t>
      </w:r>
      <w:r>
        <w:t xml:space="preserve"> use in the sintering process is coke breeze</w:t>
      </w:r>
      <w:r w:rsidR="00110CEA">
        <w:t xml:space="preserve">, undersized </w:t>
      </w:r>
      <w:r w:rsidR="00CA5437">
        <w:t>coke screened from the coke produced at the coke ovens.</w:t>
      </w:r>
      <w:r w:rsidR="00D12E0B">
        <w:t xml:space="preserve"> The sinter</w:t>
      </w:r>
      <w:r w:rsidR="00D459CC">
        <w:t>ing process contributes up to 1</w:t>
      </w:r>
      <w:r w:rsidR="004D4AD7">
        <w:t>2</w:t>
      </w:r>
      <w:r w:rsidR="00D459CC">
        <w:t>% of the CO</w:t>
      </w:r>
      <w:r w:rsidR="00D459CC" w:rsidRPr="00D459CC">
        <w:rPr>
          <w:vertAlign w:val="subscript"/>
        </w:rPr>
        <w:t>2</w:t>
      </w:r>
      <w:r w:rsidR="003E3440">
        <w:rPr>
          <w:vertAlign w:val="subscript"/>
        </w:rPr>
        <w:t xml:space="preserve"> </w:t>
      </w:r>
      <w:r w:rsidR="003E3440">
        <w:t xml:space="preserve">emissions produced at </w:t>
      </w:r>
      <w:r w:rsidR="00241C2D">
        <w:t>a</w:t>
      </w:r>
      <w:r w:rsidR="003E3440">
        <w:t xml:space="preserve"> </w:t>
      </w:r>
      <w:r w:rsidR="00B525ED">
        <w:t xml:space="preserve">typical integrated steel plant. </w:t>
      </w:r>
      <w:r w:rsidR="008B4491">
        <w:t>The CO</w:t>
      </w:r>
      <w:r w:rsidR="008B4491" w:rsidRPr="00D459CC">
        <w:rPr>
          <w:vertAlign w:val="subscript"/>
        </w:rPr>
        <w:t>2</w:t>
      </w:r>
      <w:r w:rsidR="008B4491">
        <w:rPr>
          <w:vertAlign w:val="subscript"/>
        </w:rPr>
        <w:t xml:space="preserve"> </w:t>
      </w:r>
      <w:r w:rsidR="008B4491">
        <w:t xml:space="preserve">in this case is </w:t>
      </w:r>
      <w:r w:rsidR="00E65811">
        <w:t xml:space="preserve">mainly </w:t>
      </w:r>
      <w:r w:rsidR="008B4491">
        <w:t>generated from the combustion of the coke breeze</w:t>
      </w:r>
      <w:r w:rsidR="00E65811">
        <w:t xml:space="preserve"> and </w:t>
      </w:r>
      <w:r w:rsidR="00784CE8">
        <w:t>decomposition of flux additives</w:t>
      </w:r>
      <w:r w:rsidR="00CC05DF">
        <w:t xml:space="preserve">. </w:t>
      </w:r>
      <w:r w:rsidR="00D903F9">
        <w:t xml:space="preserve">The combustion of coke breeze in the sintering process is also responsible for the emission of </w:t>
      </w:r>
      <w:r w:rsidR="00664DE8">
        <w:t>various types of GH</w:t>
      </w:r>
      <w:r w:rsidR="000B4629">
        <w:t>G</w:t>
      </w:r>
      <w:r w:rsidR="00664DE8">
        <w:t xml:space="preserve"> such as</w:t>
      </w:r>
      <w:r w:rsidR="001629FC">
        <w:t xml:space="preserve"> sulphur dioxide (SO</w:t>
      </w:r>
      <w:r w:rsidR="001629FC" w:rsidRPr="001629FC">
        <w:rPr>
          <w:vertAlign w:val="subscript"/>
        </w:rPr>
        <w:t>2</w:t>
      </w:r>
      <w:r w:rsidR="001629FC">
        <w:t xml:space="preserve">), </w:t>
      </w:r>
      <w:r w:rsidR="0085621F">
        <w:t>nitrogen oxides (NO</w:t>
      </w:r>
      <w:r w:rsidR="0085621F" w:rsidRPr="0085621F">
        <w:rPr>
          <w:vertAlign w:val="subscript"/>
        </w:rPr>
        <w:t>x</w:t>
      </w:r>
      <w:r w:rsidR="0085621F">
        <w:t>), carbon monoxide</w:t>
      </w:r>
      <w:r w:rsidR="00496B89">
        <w:t xml:space="preserve"> (CO), methane (</w:t>
      </w:r>
      <w:r w:rsidR="008C2D34">
        <w:t>CH</w:t>
      </w:r>
      <w:r w:rsidR="008C2D34" w:rsidRPr="008C2D34">
        <w:rPr>
          <w:vertAlign w:val="subscript"/>
        </w:rPr>
        <w:t>4</w:t>
      </w:r>
      <w:r w:rsidR="008C2D34">
        <w:t>)</w:t>
      </w:r>
      <w:r w:rsidR="00F43E69">
        <w:t>,</w:t>
      </w:r>
      <w:r w:rsidR="008C2D34">
        <w:t xml:space="preserve"> dioxins</w:t>
      </w:r>
      <w:r w:rsidR="00F43E69">
        <w:t xml:space="preserve"> and fine dust</w:t>
      </w:r>
      <w:r w:rsidR="009C2C64">
        <w:t xml:space="preserve">. </w:t>
      </w:r>
      <w:r w:rsidR="00913DAF">
        <w:t xml:space="preserve">The concentration of these emissions is correlated </w:t>
      </w:r>
      <w:r w:rsidR="00716668">
        <w:t xml:space="preserve">with operational conditions, quality of the fuel and </w:t>
      </w:r>
      <w:r w:rsidR="009C78A8">
        <w:t xml:space="preserve">raw materials used </w:t>
      </w:r>
      <w:r w:rsidR="008D685D">
        <w:fldChar w:fldCharType="begin"/>
      </w:r>
      <w:r w:rsidR="008D685D">
        <w:instrText xml:space="preserve"> ADDIN ZOTERO_ITEM CSL_CITATION {"citationID":"hEcafHhk","properties":{"formattedCitation":"(Abreu et al. 2015)","plainCitation":"(Abreu et al. 2015)","noteIndex":0},"citationItems":[{"id":1903,"uris":["http://zotero.org/users/local/AB2owHL2/items/RDREJET5"],"itemData":{"id":1903,"type":"article-journal","abstract":"A study was carried out into the use of charcoal as a supplementary fuel in the iron-ore sintering process. The primary fuel was coke breeze and anthracite with 0, 10, 25, 50 and 100% replacement of the energy input with charcoal to produce sinter. This was achieved by considering the carbon content of each fuel and its corresponding participation on fuel blending, in order to have the same carbon input in each test run. An extensive analysis of the environmental impact was carried out regarding the atmospheric pollutants characterization (dust, sulphur dioxide, nitrogen oxides, carbon monoxide, carbon dioxide, methane, total hydrocarbons, and dioxins and furans). Experimental results indicate that fuel blending where 50% of the heat input was provided by charcoal may be comparable with those using 100% coke, under normal sintering conditions, and may result in a 50% reduction on greenhouse gas emission. It was also observed that while dust, methane and hydrocarbons emissions increased, the total dioxins and furans, expressed as polychlorinated dibenzodioxins/furans, decreased approximately 50% when compared with operation with 100% coke.","container-title":"Journal of Cleaner Production","DOI":"10.1016/j.jclepro.2015.04.015","ISSN":"0959-6526","journalAbbreviation":"Journal of Cleaner Production","language":"en","page":"387-394","source":"ScienceDirect","title":"Operational and environmental assessment on the use of charcoal in iron ore sinter production","URL":"https://www.sciencedirect.com/science/article/pii/S0959652615003583","volume":"101","author":[{"family":"Abreu","given":"Guilherme Correa"},{"family":"Carvalho","given":"João Andrade","dropping-particle":"de"},{"family":"Silva","given":"Bernardo Enne Correa","dropping-particle":"da"},{"family":"Pedrini","given":"Rinaldo Henrique"}],"accessed":{"date-parts":[["2022",8,22]]},"issued":{"date-parts":[["2015",8,15]]}}}],"schema":"https://github.com/citation-style-language/schema/raw/master/csl-citation.json"} </w:instrText>
      </w:r>
      <w:r w:rsidR="008D685D">
        <w:fldChar w:fldCharType="separate"/>
      </w:r>
      <w:r w:rsidR="008D685D" w:rsidRPr="008D685D">
        <w:rPr>
          <w:rFonts w:ascii="Calibri" w:hAnsi="Calibri" w:cs="Calibri"/>
        </w:rPr>
        <w:t>(Abreu et al. 2015)</w:t>
      </w:r>
      <w:r w:rsidR="008D685D">
        <w:fldChar w:fldCharType="end"/>
      </w:r>
      <w:r w:rsidR="00241C2D">
        <w:t xml:space="preserve">. </w:t>
      </w:r>
      <w:r w:rsidR="00DE66D9">
        <w:t xml:space="preserve"> </w:t>
      </w:r>
    </w:p>
    <w:p w14:paraId="117A113E" w14:textId="1ED51F57" w:rsidR="00225BF7" w:rsidRDefault="009332F6" w:rsidP="00D12E0B">
      <w:pPr>
        <w:spacing w:line="360" w:lineRule="auto"/>
        <w:jc w:val="both"/>
      </w:pPr>
      <w:r>
        <w:t>Bio</w:t>
      </w:r>
      <w:r w:rsidR="00F528F6">
        <w:t>char</w:t>
      </w:r>
      <w:r>
        <w:t xml:space="preserve"> can be used as an</w:t>
      </w:r>
      <w:r w:rsidR="00E47AC0">
        <w:t xml:space="preserve"> alternative fuel </w:t>
      </w:r>
      <w:r>
        <w:t>instead of coke breeze</w:t>
      </w:r>
      <w:r w:rsidR="000F2F6F">
        <w:t xml:space="preserve">, </w:t>
      </w:r>
      <w:r w:rsidR="00F21587">
        <w:t xml:space="preserve">the primary differences between </w:t>
      </w:r>
      <w:r w:rsidR="00C922C4">
        <w:t xml:space="preserve">coke breeze and biochar that affect the sintering process and sinter quality </w:t>
      </w:r>
      <w:r w:rsidR="007121C9">
        <w:t>is higher reactivity</w:t>
      </w:r>
      <w:r w:rsidR="0046094F">
        <w:t xml:space="preserve"> </w:t>
      </w:r>
      <w:r w:rsidR="00C34085">
        <w:fldChar w:fldCharType="begin"/>
      </w:r>
      <w:r w:rsidR="00C34085">
        <w:instrText xml:space="preserve"> ADDIN ZOTERO_ITEM CSL_CITATION {"citationID":"t47pGQ7m","properties":{"formattedCitation":"(Gan et al. 2015)","plainCitation":"(Gan et al. 2015)","noteIndex":0},"citationItems":[{"id":1872,"uris":["http://zotero.org/users/local/AB2owHL2/items/IVHVF59L"],"itemData":{"id":1872,"type":"article-journal","abstract":"The influence of biomass fuel replacing coke breeze on flame front and combustion efficiency were studied. The results show that when coke breeze is replaced, the flame front is accelerated since biomass has superior combustion characteristics. Combustion efficiency is decreased, however, as biomass is of excessively high reactivity, which can both lower the maximum temperature and reduce the time at high temperature of the sinter bed. The proportion of biomass fuel replacing coke breeze should, therefore, not exceed 40%, otherwise, the mineralisation of sinter material is insufficient and the yield and tumbler index of sinter significantly deteriorate. By increasing the size of biomass fuel, sinter indices are improved since the burning velocity of biomass fuel is optimised. When the proportion of biomass fuels is 40%, the emissions of SO2 and NO can be decreased by 40 and 28% respectively.","container-title":"Ironmaking &amp; Steelmaking","DOI":"10.1179/1743281214Y.0000000194","ISSN":"03019233","issue":"1","note":"publisher: Taylor &amp; Francis Ltd","page":"27-33","source":"EBSCOhost","title":"Application of biomass fuel in iron ore sintering: influencing mechanism and emission reduction","title-short":"Application of biomass fuel in iron ore sintering","URL":"https://ezproxy.uwtsd.ac.uk/login?url=https://search.ebscohost.com/login.aspx?direct=true&amp;db=aph&amp;AN=99542566&amp;site=ehost-live","volume":"42","author":[{"family":"Gan","given":"M."},{"family":"Fan","given":"X."},{"family":"Ji","given":"Z."},{"family":"Jiang","given":"T."},{"family":"Chen","given":"X."},{"family":"Yu","given":"Z."},{"family":"Li","given":"G."},{"family":"Yin","given":"L."}],"accessed":{"date-parts":[["2022",8,3]]},"issued":{"date-parts":[["2015",1]]}}}],"schema":"https://github.com/citation-style-language/schema/raw/master/csl-citation.json"} </w:instrText>
      </w:r>
      <w:r w:rsidR="00C34085">
        <w:fldChar w:fldCharType="separate"/>
      </w:r>
      <w:r w:rsidR="00C34085" w:rsidRPr="00C34085">
        <w:rPr>
          <w:rFonts w:ascii="Calibri" w:hAnsi="Calibri" w:cs="Calibri"/>
        </w:rPr>
        <w:t>(Gan et al. 2015)</w:t>
      </w:r>
      <w:r w:rsidR="00C34085">
        <w:fldChar w:fldCharType="end"/>
      </w:r>
      <w:r w:rsidR="007121C9">
        <w:t xml:space="preserve"> </w:t>
      </w:r>
      <w:r w:rsidR="00C8604B">
        <w:t xml:space="preserve">due to higher surface area and porosity </w:t>
      </w:r>
      <w:r w:rsidR="00C8604B">
        <w:fldChar w:fldCharType="begin"/>
      </w:r>
      <w:r w:rsidR="00C8604B">
        <w:instrText xml:space="preserve"> ADDIN ZOTERO_ITEM CSL_CITATION {"citationID":"yHwkeCag","properties":{"formattedCitation":"(Lovel et al. 2009)","plainCitation":"(Lovel et al. 2009)","noteIndex":0},"citationItems":[{"id":1891,"uris":["http://zotero.org/users/local/AB2owHL2/items/FS9T3BMI"],"itemData":{"id":1891,"type":"article-journal","container-title":"ISIJ International","DOI":"10.2355/isijinternational.49.195","ISSN":"0915-1559, 1347-5460","issue":"2","journalAbbreviation":"ISIJ Int.","language":"en","page":"195-202","source":"DOI.org (Crossref)","title":"The Influence of Fuel Reactivity on Iron Ore Sintering","URL":"http://www.jstage.jst.go.jp/article/isijinternational/49/2/49_2_195/_article","volume":"49","author":[{"family":"Lovel","given":"Roy R."},{"family":"Vining","given":"Keith R."},{"family":"Dell 'amico","given":"Mark"}],"accessed":{"date-parts":[["2022",8,18]]},"issued":{"date-parts":[["2009"]]}},"label":"page"}],"schema":"https://github.com/citation-style-language/schema/raw/master/csl-citation.json"} </w:instrText>
      </w:r>
      <w:r w:rsidR="00C8604B">
        <w:fldChar w:fldCharType="separate"/>
      </w:r>
      <w:r w:rsidR="00C8604B" w:rsidRPr="00C8604B">
        <w:rPr>
          <w:rFonts w:ascii="Calibri" w:hAnsi="Calibri" w:cs="Calibri"/>
        </w:rPr>
        <w:t>(Lovel et al. 2009)</w:t>
      </w:r>
      <w:r w:rsidR="00C8604B">
        <w:fldChar w:fldCharType="end"/>
      </w:r>
      <w:r w:rsidR="00813DDB">
        <w:t>.</w:t>
      </w:r>
      <w:r w:rsidR="0020019E" w:rsidRPr="0020019E">
        <w:t xml:space="preserve"> </w:t>
      </w:r>
      <w:r w:rsidR="0020019E">
        <w:fldChar w:fldCharType="begin"/>
      </w:r>
      <w:r w:rsidR="0020019E">
        <w:instrText xml:space="preserve"> ADDIN ZOTERO_ITEM CSL_CITATION {"citationID":"McQGMsNQ","properties":{"formattedCitation":"(Lu et al. 2013)","plainCitation":"(Lu et al. 2013)","noteIndex":0},"citationItems":[{"id":1788,"uris":["http://zotero.org/users/local/AB2owHL2/items/B69CWL6R"],"itemData":{"id":1788,"type":"article-journal","container-title":"ISIJ International","DOI":"10.2355/isijinternational.53.1607","ISSN":"0915-1559, 1347-5460","issue":"9","journalAbbreviation":"ISIJ Int.","language":"en","page":"1607-1616","source":"DOI.org (Crossref)","title":"Substitution of Charcoal for Coke Breeze in Iron Ore Sintering","URL":"https://www.jstage.jst.go.jp/article/isijinternational/53/9/53_1607/_article","volume":"53","author":[{"family":"Lu","given":"Liming"},{"family":"Adam","given":"Matt"},{"family":"Kilburn","given":"Matt"},{"family":"Hapugoda","given":"Sarath"},{"family":"Somerville","given":"Michael"},{"family":"Jahanshahi","given":"Sharif"},{"family":"Mathieson","given":"John Gordon"}],"accessed":{"date-parts":[["2022",7,17]]},"issued":{"date-parts":[["2013"]]}}}],"schema":"https://github.com/citation-style-language/schema/raw/master/csl-citation.json"} </w:instrText>
      </w:r>
      <w:r w:rsidR="0020019E">
        <w:fldChar w:fldCharType="separate"/>
      </w:r>
      <w:r w:rsidR="0020019E" w:rsidRPr="00870E7C">
        <w:rPr>
          <w:rFonts w:ascii="Calibri" w:hAnsi="Calibri" w:cs="Calibri"/>
        </w:rPr>
        <w:t>(Lu et al. 2013)</w:t>
      </w:r>
      <w:r w:rsidR="0020019E">
        <w:fldChar w:fldCharType="end"/>
      </w:r>
      <w:r w:rsidR="0020019E">
        <w:t xml:space="preserve"> found that partial replacement of coke breeze with biochar resulted in higher concentration of </w:t>
      </w:r>
      <w:proofErr w:type="spellStart"/>
      <w:r w:rsidR="0020019E">
        <w:t>CO</w:t>
      </w:r>
      <w:r w:rsidR="0020019E" w:rsidRPr="00BC4AB6">
        <w:rPr>
          <w:vertAlign w:val="subscript"/>
        </w:rPr>
        <w:t>x</w:t>
      </w:r>
      <w:proofErr w:type="spellEnd"/>
      <w:r w:rsidR="0020019E">
        <w:t xml:space="preserve"> but lower concentrations of </w:t>
      </w:r>
      <w:proofErr w:type="spellStart"/>
      <w:r w:rsidR="0020019E">
        <w:t>SO</w:t>
      </w:r>
      <w:r w:rsidR="0020019E" w:rsidRPr="00974588">
        <w:rPr>
          <w:vertAlign w:val="subscript"/>
        </w:rPr>
        <w:t>x</w:t>
      </w:r>
      <w:proofErr w:type="spellEnd"/>
      <w:r w:rsidR="0020019E">
        <w:t xml:space="preserve"> and NO</w:t>
      </w:r>
      <w:r w:rsidR="0020019E" w:rsidRPr="00974588">
        <w:rPr>
          <w:vertAlign w:val="subscript"/>
        </w:rPr>
        <w:t>x</w:t>
      </w:r>
      <w:r w:rsidR="0020019E">
        <w:t xml:space="preserve"> in the off gas.</w:t>
      </w:r>
      <w:r w:rsidR="00063E6F">
        <w:t xml:space="preserve"> </w:t>
      </w:r>
      <w:r w:rsidR="00063E6F">
        <w:fldChar w:fldCharType="begin"/>
      </w:r>
      <w:r w:rsidR="00063E6F">
        <w:instrText xml:space="preserve"> ADDIN ZOTERO_ITEM CSL_CITATION {"citationID":"MdUxSYu6","properties":{"formattedCitation":"(Abreu et al. 2015)","plainCitation":"(Abreu et al. 2015)","noteIndex":0},"citationItems":[{"id":1903,"uris":["http://zotero.org/users/local/AB2owHL2/items/RDREJET5"],"itemData":{"id":1903,"type":"article-journal","abstract":"A study was carried out into the use of charcoal as a supplementary fuel in the iron-ore sintering process. The primary fuel was coke breeze and anthracite with 0, 10, 25, 50 and 100% replacement of the energy input with charcoal to produce sinter. This was achieved by considering the carbon content of each fuel and its corresponding participation on fuel blending, in order to have the same carbon input in each test run. An extensive analysis of the environmental impact was carried out regarding the atmospheric pollutants characterization (dust, sulphur dioxide, nitrogen oxides, carbon monoxide, carbon dioxide, methane, total hydrocarbons, and dioxins and furans). Experimental results indicate that fuel blending where 50% of the heat input was provided by charcoal may be comparable with those using 100% coke, under normal sintering conditions, and may result in a 50% reduction on greenhouse gas emission. It was also observed that while dust, methane and hydrocarbons emissions increased, the total dioxins and furans, expressed as polychlorinated dibenzodioxins/furans, decreased approximately 50% when compared with operation with 100% coke.","container-title":"Journal of Cleaner Production","DOI":"10.1016/j.jclepro.2015.04.015","ISSN":"0959-6526","journalAbbreviation":"Journal of Cleaner Production","language":"en","page":"387-394","source":"ScienceDirect","title":"Operational and environmental assessment on the use of charcoal in iron ore sinter production","URL":"https://www.sciencedirect.com/science/article/pii/S0959652615003583","volume":"101","author":[{"family":"Abreu","given":"Guilherme Correa"},{"family":"Carvalho","given":"João Andrade","dropping-particle":"de"},{"family":"Silva","given":"Bernardo Enne Correa","dropping-particle":"da"},{"family":"Pedrini","given":"Rinaldo Henrique"}],"accessed":{"date-parts":[["2022",8,22]]},"issued":{"date-parts":[["2015",8,15]]}}}],"schema":"https://github.com/citation-style-language/schema/raw/master/csl-citation.json"} </w:instrText>
      </w:r>
      <w:r w:rsidR="00063E6F">
        <w:fldChar w:fldCharType="separate"/>
      </w:r>
      <w:r w:rsidR="00063E6F" w:rsidRPr="00063E6F">
        <w:rPr>
          <w:rFonts w:ascii="Calibri" w:hAnsi="Calibri" w:cs="Calibri"/>
        </w:rPr>
        <w:t>(Abreu et al. 2015)</w:t>
      </w:r>
      <w:r w:rsidR="00063E6F">
        <w:fldChar w:fldCharType="end"/>
      </w:r>
      <w:r w:rsidR="00063E6F">
        <w:t xml:space="preserve"> conclude that a 50</w:t>
      </w:r>
      <w:r w:rsidR="007F703B">
        <w:t>%</w:t>
      </w:r>
      <w:r w:rsidR="00ED2598">
        <w:t xml:space="preserve"> </w:t>
      </w:r>
      <w:r w:rsidR="00822024">
        <w:t>biochar/coke breeze blend</w:t>
      </w:r>
      <w:r w:rsidR="00314D2D">
        <w:t xml:space="preserve"> fuel mix was operationally feasible and that a 50% reduction in </w:t>
      </w:r>
      <w:r w:rsidR="00683A40">
        <w:t xml:space="preserve">GHG emissions was observed, </w:t>
      </w:r>
      <w:r w:rsidR="00432D9B">
        <w:t xml:space="preserve">however, </w:t>
      </w:r>
      <w:r w:rsidR="00683A40">
        <w:t xml:space="preserve">dust concentration </w:t>
      </w:r>
      <w:r w:rsidR="005D39FB">
        <w:t>and methane concentrations</w:t>
      </w:r>
      <w:r w:rsidR="00432D9B">
        <w:t xml:space="preserve"> (although low</w:t>
      </w:r>
      <w:r w:rsidR="00491C34">
        <w:t>er</w:t>
      </w:r>
      <w:r w:rsidR="00432D9B">
        <w:t xml:space="preserve"> in comparison)</w:t>
      </w:r>
      <w:r w:rsidR="005D39FB">
        <w:t xml:space="preserve"> rose significantly.</w:t>
      </w:r>
      <w:r w:rsidR="00413D40">
        <w:t xml:space="preserve"> </w:t>
      </w:r>
      <w:r w:rsidR="00F06AB2">
        <w:fldChar w:fldCharType="begin"/>
      </w:r>
      <w:r w:rsidR="00F06AB2">
        <w:instrText xml:space="preserve"> ADDIN ZOTERO_ITEM CSL_CITATION {"citationID":"Aqf7xorJ","properties":{"formattedCitation":"(Mathieson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F06AB2">
        <w:fldChar w:fldCharType="separate"/>
      </w:r>
      <w:r w:rsidR="00F06AB2" w:rsidRPr="00F06AB2">
        <w:rPr>
          <w:rFonts w:ascii="Calibri" w:hAnsi="Calibri" w:cs="Calibri"/>
        </w:rPr>
        <w:t>(Mathieson et al. 2011)</w:t>
      </w:r>
      <w:r w:rsidR="00F06AB2">
        <w:fldChar w:fldCharType="end"/>
      </w:r>
      <w:r w:rsidR="00F06AB2">
        <w:t xml:space="preserve"> states that </w:t>
      </w:r>
      <w:r w:rsidR="00152510">
        <w:t xml:space="preserve">partially replacing coke breeze with biochar can reduce </w:t>
      </w:r>
      <w:r w:rsidR="008340B1">
        <w:t>net CO</w:t>
      </w:r>
      <w:r w:rsidR="008340B1" w:rsidRPr="008340B1">
        <w:rPr>
          <w:vertAlign w:val="subscript"/>
        </w:rPr>
        <w:t>2</w:t>
      </w:r>
      <w:r w:rsidR="008340B1">
        <w:rPr>
          <w:vertAlign w:val="subscript"/>
        </w:rPr>
        <w:t xml:space="preserve"> </w:t>
      </w:r>
      <w:r w:rsidR="008340B1">
        <w:t>emission by 5 – 15%</w:t>
      </w:r>
      <w:r w:rsidR="00EC1772">
        <w:t xml:space="preserve">. They also found that </w:t>
      </w:r>
      <w:r w:rsidR="00CB7190">
        <w:t>as charcoal is highly porous</w:t>
      </w:r>
      <w:r w:rsidR="00304862">
        <w:t>, sinter granulation is negatively affected</w:t>
      </w:r>
      <w:r w:rsidR="003F450B">
        <w:t xml:space="preserve">. The moisture saturation of charcoal is 48% </w:t>
      </w:r>
      <w:r w:rsidR="0060043A">
        <w:t xml:space="preserve">compared to 25% for coke breeze. Therefore a higher percentage of water </w:t>
      </w:r>
      <w:r w:rsidR="00C21C52">
        <w:t xml:space="preserve">needs to be added to the sinter mixture (~8.5%) while coke breeze requires </w:t>
      </w:r>
      <w:r w:rsidR="00506703">
        <w:t xml:space="preserve">(~7.1%). </w:t>
      </w:r>
      <w:r w:rsidR="006279E6">
        <w:fldChar w:fldCharType="begin"/>
      </w:r>
      <w:r w:rsidR="006279E6">
        <w:instrText xml:space="preserve"> ADDIN ZOTERO_ITEM CSL_CITATION {"citationID":"mG0imPFi","properties":{"formattedCitation":"(Mousa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6279E6">
        <w:fldChar w:fldCharType="separate"/>
      </w:r>
      <w:r w:rsidR="006279E6" w:rsidRPr="006279E6">
        <w:rPr>
          <w:rFonts w:ascii="Calibri" w:hAnsi="Calibri" w:cs="Calibri"/>
        </w:rPr>
        <w:t>(Mousa et al. 2015)</w:t>
      </w:r>
      <w:r w:rsidR="006279E6">
        <w:fldChar w:fldCharType="end"/>
      </w:r>
      <w:r w:rsidR="00777B4B">
        <w:t xml:space="preserve"> </w:t>
      </w:r>
      <w:r w:rsidR="00652466">
        <w:t>studied</w:t>
      </w:r>
      <w:r w:rsidR="00777B4B">
        <w:t xml:space="preserve"> biochar</w:t>
      </w:r>
      <w:r w:rsidR="00652466">
        <w:t xml:space="preserve"> substitution</w:t>
      </w:r>
      <w:r w:rsidR="00777B4B">
        <w:t xml:space="preserve"> for coke breeze at 0 -</w:t>
      </w:r>
      <w:r w:rsidR="00652466">
        <w:t xml:space="preserve"> 100%</w:t>
      </w:r>
      <w:r w:rsidR="00944E8A">
        <w:t xml:space="preserve">, they found that that </w:t>
      </w:r>
      <w:r w:rsidR="00E13926">
        <w:t xml:space="preserve">the lower crushing strength of biochar </w:t>
      </w:r>
      <w:r w:rsidR="00F91BDC">
        <w:t>when compared to coke breeze resulted in its destruction during mixing</w:t>
      </w:r>
      <w:r w:rsidR="009B46F4">
        <w:t xml:space="preserve">, </w:t>
      </w:r>
      <w:r w:rsidR="004A5647">
        <w:t xml:space="preserve">as a result the bed </w:t>
      </w:r>
      <w:r w:rsidR="003B5C56">
        <w:t>permeability</w:t>
      </w:r>
      <w:r w:rsidR="004A5647">
        <w:t xml:space="preserve"> is negatively </w:t>
      </w:r>
      <w:r w:rsidR="00983B8F">
        <w:t>affected,</w:t>
      </w:r>
      <w:r w:rsidR="004A5647">
        <w:t xml:space="preserve"> </w:t>
      </w:r>
      <w:r w:rsidR="006C18D7">
        <w:t xml:space="preserve">and the vertical sintering speed is decreased. </w:t>
      </w:r>
      <w:r w:rsidR="00A2051C">
        <w:t xml:space="preserve">Sinter yield was </w:t>
      </w:r>
      <w:r w:rsidR="008D5E0E">
        <w:t>unaffected,</w:t>
      </w:r>
      <w:r w:rsidR="00A2051C">
        <w:t xml:space="preserve"> but sinter quality</w:t>
      </w:r>
      <w:r w:rsidR="00FF02BC">
        <w:t xml:space="preserve"> (measured </w:t>
      </w:r>
      <w:r w:rsidR="0098505F">
        <w:lastRenderedPageBreak/>
        <w:t>by the tumbler index) and product yield</w:t>
      </w:r>
      <w:r w:rsidR="00A2051C">
        <w:t xml:space="preserve"> </w:t>
      </w:r>
      <w:r w:rsidR="00FA079F">
        <w:t xml:space="preserve">sharply decreased </w:t>
      </w:r>
      <w:r w:rsidR="004146B1">
        <w:t>when the bi</w:t>
      </w:r>
      <w:r w:rsidR="003D6188">
        <w:t>o</w:t>
      </w:r>
      <w:r w:rsidR="004146B1">
        <w:t>char substitution</w:t>
      </w:r>
      <w:r w:rsidR="008940F4">
        <w:t xml:space="preserve"> for coke breeze</w:t>
      </w:r>
      <w:r w:rsidR="004146B1">
        <w:t xml:space="preserve"> surpassed 25%.</w:t>
      </w:r>
      <w:r w:rsidR="00D63F91">
        <w:t xml:space="preserve"> </w:t>
      </w:r>
      <w:r w:rsidR="005A3C04">
        <w:fldChar w:fldCharType="begin"/>
      </w:r>
      <w:r w:rsidR="005A3C04">
        <w:instrText xml:space="preserve"> ADDIN ZOTERO_ITEM CSL_CITATION {"citationID":"figpPbWl","properties":{"formattedCitation":"(Lovel et al. 2007; Kawaguchi and Hara 2013; Wei et al. 2017)","plainCitation":"(Lovel et al. 2007; Kawaguchi and Hara 2013; Wei et al. 2017)","noteIndex":0},"citationItems":[{"id":1729,"uris":["http://zotero.org/users/local/AB2owHL2/items/8INR4H8N"],"itemData":{"id":1729,"type":"article-journal","abstract":"The iron blast furnace is the most widely used and efficient producer of liquid iron; however, emissions from sintering and coking cause environmental pressure for the integrated steel works. The combustion of coke fines (breeze) during sintering contributes to greenhouse gases (e.g. carbon dioxide) and is a source of SOx and NOx emissions. Coking capacity is also constrained by environmental concerns and economic factors, such as increased coke consumption and short supply is leading to high prices. Improved coking practices, which result in reduced production of fines, are also contributing to the tight availability of breeze for sintering. This combination of factors presents an opportunity to consider alternatives to coke as a fuel for sintering. CSIRO Minerals has been investigating the use of wood biomass/char as a substitute for coke during sintering. Wood biomass, or char produced from it, is an attractive carbon source as carbon dioxide liberated during combustion can be sequestered back into growing biomass. It has great potential to reduce the emissions from integrated steelworks and improve their environmental acceptability. Harvested biomass/char is also a renewable and sustainable resource and can be integrated with good land management practices such as remediation of salinity affected land. Weeds, especially woody weeds, can also be used as a source of biomass for charcoal and integrating char production with weed management can help address a pressing environmental issue in Australia. Previous reported preliminary testwork indicated that the use of Red Gum char as a replacement for coke resulted in a product sinter of comparable quality, improvements in productivity and significant reductions in SOx and NOx emissions. In the latest testwork, CSIRO has examined the properties of a range of potential charcoals and has conducted a further series of granulation and small scale sintering trials with them in simulated Japanese Steel Mill iron ore blends. Sinter fuels characterised and evaluated include industry sourced coke breeze, commercially available wood char and a charcoal from prickly acacia (acacia nilotica). Prickly acacia has been declared a noxious weed, is widespread in Australia and is classified as a 'weed of national significance'. The results presented in this paper support the notion that charcoal outperforms coke in many aspects of iron ore sintering and factoring in environmental considerations makes the switch to charcoal even more favourable.","container-title":"Mineral Processing &amp; Extractive Metallurgy: Transactions of the Institution of Mining &amp; Metallurgy, Section C","DOI":"10.1179/174328507X163887","ISSN":"03719553","issue":"2","note":"publisher: Taylor &amp; Francis Ltd","page":"85-92","source":"EBSCOhost","title":"Iron ore sintering with charcoal","URL":"https://ezproxy.uwtsd.ac.uk/login?url=https://search.ebscohost.com/login.aspx?direct=true&amp;db=aph&amp;AN=25638249&amp;site=ehost-live","volume":"116","author":[{"family":"Lovel","given":"R."},{"family":"Vining","given":"K."},{"family":"Dell'Amico","given":"M."}],"accessed":{"date-parts":[["2022",6,30]]},"issued":{"date-parts":[["2007",6]]}},"label":"page"},{"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label":"page"},{"id":393,"uris":["http://zotero.org/users/local/AB2owHL2/items/2BX9TDVQ"],"itemData":{"id":393,"type":"article-journal","abstract":"This paper provides a critical review on the current status and potential of biomass utilization in ferrous metallurgical processes, i.e., the blast furnace (BF) – basic oxygen furnace (BOF) route, the direct reduction (DR) – electric arc furnace (EAF) route, the scrap – EAF route and the other routes. In the BF-BOF route, biomass can be used as a fuel for iron ore sintering, or as a raw material for the production of bio-coke, and utilized for blast furnace injection. In the DR-EAF route, direct reduction iron can be produced form iron ore and biomass pellet. In the scrap – EAF route, biomass can be utilized in EAF through a cogeneration system. In addition, biomass can be utilized in magnetic separation of refractory low-grade iron ore, in reuse of iron and steel slag, or as an adsorbent for pollutant control, etc. The challenges and outlook of biomass utilization in metallurgical industry are also discussed in this paper.","container-title":"Renewable and Sustainable Energy Reviews","DOI":"10.1016/j.rser.2016.10.013","ISSN":"1364-0321","journalAbbreviation":"Renewable and Sustainable Energy Reviews","language":"en","page":"511-524","source":"ScienceDirect","title":"Current status and potential of biomass utilization in ferrous metallurgical industry","URL":"https://www.sciencedirect.com/science/article/pii/S1364032116306657","volume":"68","author":[{"family":"Wei","given":"Rufei"},{"family":"Zhang","given":"Lingling"},{"family":"Cang","given":"Daqiang"},{"family":"Li","given":"Jiaxin"},{"family":"Li","given":"Xianwei"},{"family":"Xu","given":"Chunbao Charles"}],"accessed":{"date-parts":[["2021",2,6]]},"issued":{"date-parts":[["2017",2,1]]}},"label":"page"}],"schema":"https://github.com/citation-style-language/schema/raw/master/csl-citation.json"} </w:instrText>
      </w:r>
      <w:r w:rsidR="005A3C04">
        <w:fldChar w:fldCharType="separate"/>
      </w:r>
      <w:r w:rsidR="005A3C04" w:rsidRPr="005A3C04">
        <w:rPr>
          <w:rFonts w:ascii="Calibri" w:hAnsi="Calibri" w:cs="Calibri"/>
        </w:rPr>
        <w:t>(Lovel et al. 2007; Kawaguchi and Hara 2013; Wei et al. 2017)</w:t>
      </w:r>
      <w:r w:rsidR="005A3C04">
        <w:fldChar w:fldCharType="end"/>
      </w:r>
      <w:r w:rsidR="006B2020">
        <w:t xml:space="preserve"> demonstrated that biomass addition to sinter making has a negative </w:t>
      </w:r>
      <w:r w:rsidR="008575CB">
        <w:t>effect</w:t>
      </w:r>
      <w:r w:rsidR="006B2020">
        <w:t xml:space="preserve"> on</w:t>
      </w:r>
      <w:r w:rsidR="00D571E8">
        <w:t xml:space="preserve"> the sinters</w:t>
      </w:r>
      <w:r w:rsidR="00E27CF8">
        <w:t xml:space="preserve"> yield and</w:t>
      </w:r>
      <w:r w:rsidR="00D571E8">
        <w:t xml:space="preserve"> ability to resist impact and friction</w:t>
      </w:r>
      <w:r w:rsidR="006C1370">
        <w:t xml:space="preserve"> (measured by </w:t>
      </w:r>
      <w:r w:rsidR="00E27CF8">
        <w:t xml:space="preserve">the </w:t>
      </w:r>
      <w:r w:rsidR="006C1370">
        <w:t>tumble index)</w:t>
      </w:r>
      <w:r w:rsidR="00E27CF8">
        <w:t xml:space="preserve"> </w:t>
      </w:r>
      <w:r w:rsidR="000B734C">
        <w:t>w</w:t>
      </w:r>
      <w:r w:rsidR="00351D51">
        <w:t>hile at this point fuel consumption increase</w:t>
      </w:r>
      <w:r w:rsidR="00BA606A">
        <w:t>s</w:t>
      </w:r>
      <w:r w:rsidR="004C7052">
        <w:t xml:space="preserve"> </w:t>
      </w:r>
      <w:r w:rsidR="00715441">
        <w:t>a</w:t>
      </w:r>
      <w:r w:rsidR="0036056A">
        <w:t xml:space="preserve">s </w:t>
      </w:r>
      <w:r w:rsidR="00B34E3C">
        <w:t>illustrated in</w:t>
      </w:r>
      <w:r w:rsidR="00B1768A">
        <w:t xml:space="preserve"> </w:t>
      </w:r>
      <w:r w:rsidR="0036056A">
        <w:t>figure 1</w:t>
      </w:r>
      <w:r w:rsidR="004D4C4D">
        <w:t>4</w:t>
      </w:r>
      <w:r w:rsidR="0036056A">
        <w:t>.</w:t>
      </w:r>
      <w:r w:rsidR="00D600CC">
        <w:t xml:space="preserve"> </w:t>
      </w:r>
      <w:r w:rsidR="004B5296">
        <w:t>Although</w:t>
      </w:r>
      <w:r w:rsidR="00D600CC">
        <w:t xml:space="preserve"> </w:t>
      </w:r>
      <w:r w:rsidR="00D600CC">
        <w:fldChar w:fldCharType="begin"/>
      </w:r>
      <w:r w:rsidR="00D600CC">
        <w:instrText xml:space="preserve"> ADDIN ZOTERO_ITEM CSL_CITATION {"citationID":"2NKOaIWl","properties":{"formattedCitation":"(Kawaguchi and Hara 2013)","plainCitation":"(Kawaguchi and Hara 2013)","noteIndex":0},"citationItems":[{"id":1917,"uris":["http://zotero.org/users/local/AB2owHL2/items/TDKN9GFN"],"itemData":{"id":1917,"type":"article-journal","container-title":"ISIJ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schema":"https://github.com/citation-style-language/schema/raw/master/csl-citation.json"} </w:instrText>
      </w:r>
      <w:r w:rsidR="00D600CC">
        <w:fldChar w:fldCharType="separate"/>
      </w:r>
      <w:r w:rsidR="00D600CC" w:rsidRPr="00D600CC">
        <w:rPr>
          <w:rFonts w:ascii="Calibri" w:hAnsi="Calibri" w:cs="Calibri"/>
        </w:rPr>
        <w:t>(Kawaguchi and Hara 2013)</w:t>
      </w:r>
      <w:r w:rsidR="00D600CC">
        <w:fldChar w:fldCharType="end"/>
      </w:r>
      <w:r w:rsidR="00D600CC">
        <w:t xml:space="preserve"> found that </w:t>
      </w:r>
      <w:r w:rsidR="00603322">
        <w:t>by using biochar with high fixed carbon (&gt;90%) and larger particle size (1-5mm)</w:t>
      </w:r>
      <w:r w:rsidR="004E2A61">
        <w:t xml:space="preserve">, the sinter yield and product yield </w:t>
      </w:r>
      <w:r w:rsidR="00AA2D13">
        <w:t>was comparable to that of coke breeze</w:t>
      </w:r>
      <w:r w:rsidR="008B0E9B">
        <w:t xml:space="preserve"> and by adjusting the sintering process</w:t>
      </w:r>
      <w:r w:rsidR="000C65DA">
        <w:t xml:space="preserve">, sinter produced from biomass can meet BF </w:t>
      </w:r>
      <w:r w:rsidR="006E4BAD">
        <w:t>requirements</w:t>
      </w:r>
      <w:r w:rsidR="00AA2D13">
        <w:t>.</w:t>
      </w:r>
    </w:p>
    <w:p w14:paraId="6E38F097" w14:textId="3794C2CD" w:rsidR="006C7611" w:rsidRPr="008340B1" w:rsidRDefault="00BD3BA2" w:rsidP="00D12E0B">
      <w:pPr>
        <w:spacing w:line="360" w:lineRule="auto"/>
        <w:jc w:val="both"/>
      </w:pPr>
      <w:r w:rsidRPr="00BD3BA2">
        <w:rPr>
          <w:noProof/>
        </w:rPr>
        <w:drawing>
          <wp:inline distT="0" distB="0" distL="0" distR="0" wp14:anchorId="6101F322" wp14:editId="64CE4475">
            <wp:extent cx="3518535" cy="2266122"/>
            <wp:effectExtent l="0" t="0" r="5715" b="1270"/>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5"/>
                    <a:stretch>
                      <a:fillRect/>
                    </a:stretch>
                  </pic:blipFill>
                  <pic:spPr>
                    <a:xfrm>
                      <a:off x="0" y="0"/>
                      <a:ext cx="3531936" cy="2274753"/>
                    </a:xfrm>
                    <a:prstGeom prst="rect">
                      <a:avLst/>
                    </a:prstGeom>
                  </pic:spPr>
                </pic:pic>
              </a:graphicData>
            </a:graphic>
          </wp:inline>
        </w:drawing>
      </w:r>
    </w:p>
    <w:p w14:paraId="3E027B13" w14:textId="3E74DD7F" w:rsidR="00225BF7" w:rsidRDefault="008D5E0E" w:rsidP="008D5E0E">
      <w:pPr>
        <w:pStyle w:val="Caption"/>
      </w:pPr>
      <w:bookmarkStart w:id="31" w:name="_Toc127110908"/>
      <w:r>
        <w:t xml:space="preserve">Figure </w:t>
      </w:r>
      <w:fldSimple w:instr=" SEQ Figure \* ARABIC ">
        <w:r w:rsidR="00A0212F">
          <w:rPr>
            <w:noProof/>
          </w:rPr>
          <w:t>14</w:t>
        </w:r>
      </w:fldSimple>
      <w:r w:rsidR="0036056A">
        <w:t xml:space="preserve"> </w:t>
      </w:r>
      <w:r w:rsidR="00954848">
        <w:t>Sinter quality indices</w:t>
      </w:r>
      <w:r w:rsidR="00216EDF">
        <w:t xml:space="preserve"> after biochar addition</w:t>
      </w:r>
      <w:r w:rsidR="005662F8">
        <w:t xml:space="preserve"> </w:t>
      </w:r>
      <w:r w:rsidR="005662F8">
        <w:fldChar w:fldCharType="begin"/>
      </w:r>
      <w:r w:rsidR="005662F8">
        <w:instrText xml:space="preserve"> ADDIN ZOTERO_ITEM CSL_CITATION {"citationID":"o6JKjwOP","properties":{"formattedCitation":"(Mousa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5662F8">
        <w:fldChar w:fldCharType="separate"/>
      </w:r>
      <w:r w:rsidR="005662F8" w:rsidRPr="005662F8">
        <w:rPr>
          <w:rFonts w:ascii="Calibri" w:hAnsi="Calibri" w:cs="Calibri"/>
        </w:rPr>
        <w:t>(Mousa et al. 2015)</w:t>
      </w:r>
      <w:r w:rsidR="005662F8">
        <w:fldChar w:fldCharType="end"/>
      </w:r>
      <w:r w:rsidR="005662F8">
        <w:t>.</w:t>
      </w:r>
      <w:bookmarkEnd w:id="31"/>
    </w:p>
    <w:p w14:paraId="0E526477" w14:textId="300EC433" w:rsidR="00225BF7" w:rsidRDefault="00FE0BB2" w:rsidP="00B616B5">
      <w:pPr>
        <w:spacing w:line="360" w:lineRule="auto"/>
        <w:jc w:val="both"/>
      </w:pPr>
      <w:r>
        <w:fldChar w:fldCharType="begin"/>
      </w:r>
      <w:r>
        <w:instrText xml:space="preserve"> ADDIN ZOTERO_ITEM CSL_CITATION {"citationID":"aSXfTESY","properties":{"formattedCitation":"(Ooi et al. 2011)","plainCitation":"(Ooi et al. 2011)","noteIndex":0},"citationItems":[{"id":1810,"uris":["http://zotero.org/users/local/AB2owHL2/items/REBK9MRP"],"itemData":{"id":1810,"type":"article-journal","abstract":"A study was carried out into the use of hardwood charcoal as a supplementary fuel in the iron-ore sintering process. The primary fuel was coke breeze with 0%, 20%, 50% and 100% replacement of the energy input with charcoal to produce raw blends with the same heat output as 4.0wt.% coke breeze. Experimental results indicate that fuel blends where 20% of the heat input was provided by charcoal may improve both the sinter yield and sintering productivity by up to 8%, under normal sintering conditions. In addition, the 20% replacement of coke energy with charcoal would mean that part of the carbon dioxide emitted from the process would be from a renewable source and could be used to offset carbon dioxide emissions from non-renewable fossil fuels. At higher rates of coke breeze energy substitution with charcoal, the lower sintering performance observed was mainly attributed to the lower fixed carbon content and higher volatile matter content of the fuel mix. At the optimum rate of 20% substitution of coke breeze energy input with charcoal, the emission of dioxins were similar to those observed with coke breeze alone as the fuel. However, sintering with 20% energy input from charcoal resulted in a slight increase in middle molecular weight and lower molecular weight PAHs, contributing to a minor increase in B[a]P-eq from 0.15μg/m3 to 0.17μg/m3. Overall the results from the laboratory scale tests suggest that it is feasible to substitute 20% of the coke breeze energy input with an equivalent amount of energy from charcoal in the iron-ore sintering process.","container-title":"Combustion and Flame","DOI":"10.1016/j.combustflame.2011.01.020","ISSN":"0010-2180","issue":"5","journalAbbreviation":"Combustion and Flame","language":"en","page":"979-987","source":"ScienceDirect","title":"The effect of charcoal combustion on iron-ore sintering performance and emission of persistent organic pollutants","URL":"https://www.sciencedirect.com/science/article/pii/S0010218011000356","volume":"158","author":[{"family":"Ooi","given":"Tze Chean"},{"family":"Thompson","given":"Dennis"},{"family":"Anderson","given":"David R."},{"family":"Fisher","given":"Ray"},{"family":"Fray","given":"Trevor"},{"family":"Zandi","given":"Mohammad"}],"accessed":{"date-parts":[["2022",7,21]]},"issued":{"date-parts":[["2011",5,1]]}}}],"schema":"https://github.com/citation-style-language/schema/raw/master/csl-citation.json"} </w:instrText>
      </w:r>
      <w:r>
        <w:fldChar w:fldCharType="separate"/>
      </w:r>
      <w:r w:rsidRPr="00FE0BB2">
        <w:rPr>
          <w:rFonts w:ascii="Calibri" w:hAnsi="Calibri" w:cs="Calibri"/>
        </w:rPr>
        <w:t>(Ooi et al. 2011)</w:t>
      </w:r>
      <w:r>
        <w:fldChar w:fldCharType="end"/>
      </w:r>
      <w:r>
        <w:t xml:space="preserve"> </w:t>
      </w:r>
      <w:r w:rsidR="002A5837">
        <w:t>suggest that up to 20% of coke breeze can be replaced with charcoal</w:t>
      </w:r>
      <w:r w:rsidR="001D79F7">
        <w:t xml:space="preserve">, they </w:t>
      </w:r>
      <w:r w:rsidR="00623C1D">
        <w:t>discovered that both sinter yield and productivity was improved</w:t>
      </w:r>
      <w:r w:rsidR="00524DF8">
        <w:t xml:space="preserve">. </w:t>
      </w:r>
      <w:r w:rsidR="00B33FF2">
        <w:fldChar w:fldCharType="begin"/>
      </w:r>
      <w:r w:rsidR="00B33FF2">
        <w:instrText xml:space="preserve"> ADDIN ZOTERO_ITEM CSL_CITATION {"citationID":"J2kHirYs","properties":{"formattedCitation":"(Gan et al. 2014; Gan et al. 2015)","plainCitation":"(Gan et al. 2014; Gan et al. 2015)","noteIndex":0},"citationItems":[{"id":1701,"uris":["http://zotero.org/users/local/AB2owHL2/items/YS66955K"],"itemData":{"id":1701,"type":"article-journal","abstract":"It is of great significance for cleaner production to substitute bio-energy for fossil fuels in iron ore sintering. However, with the replacement ratio increasing, the consistency of heat front and flame front is broken, and the thermal utilizing efficiency of fuel is reduced, which results in the decrease of yield and tumble index of sinter. Circulating flue gas to sintering bed as biochar replacing 40% coke, CO in flue gas can be reused so as to increase the thermal utilizing efficiency of fuels, and the consistency of two fronts is recovered for the circulating flue gas containing certain CO2, H2O and lower O2, which contributes to increasing the maximum temperature, extending the high temperature duration time of sintering bed, and results in improving the output and quality of sinter. In the condition of circulating 40% flue gas, the sintering with biomass fuels is strengthened, and the sintering indexes with biomass fuel replacing 40% coke breeze are comparative to those of using coke breeze completely.","container-title":"Journal of Central South University","DOI":"10.1007/s11771-014-2405-6","ISSN":"2095-2899, 2227-5223","issue":"11","journalAbbreviation":"J. Cent. South Univ.","language":"en","page":"4109-4114","source":"DOI.org (Crossref)","title":"Fundamental study on iron ore sintering new process of flue gas recirculation together with using biochar as fuel","URL":"http://link.springer.com/10.1007/s11771-014-2405-6","volume":"21","author":[{"family":"Gan","given":"Min"},{"family":"Fan","given":"Xiao-hui"},{"family":"Jiang","given":"Tao"},{"family":"Chen","given":"Xu-ling"},{"family":"Yu","given":"Zhi-yuan"},{"family":"Ji","given":"Zhi-yun"}],"accessed":{"date-parts":[["2022",6,28]]},"issued":{"date-parts":[["2014",11]]}},"label":"page"},{"id":1872,"uris":["http://zotero.org/users/local/AB2owHL2/items/IVHVF59L"],"itemData":{"id":1872,"type":"article-journal","abstract":"The influence of biomass fuel replacing coke breeze on flame front and combustion efficiency were studied. The results show that when coke breeze is replaced, the flame front is accelerated since biomass has superior combustion characteristics. Combustion efficiency is decreased, however, as biomass is of excessively high reactivity, which can both lower the maximum temperature and reduce the time at high temperature of the sinter bed. The proportion of biomass fuel replacing coke breeze should, therefore, not exceed 40%, otherwise, the mineralisation of sinter material is insufficient and the yield and tumbler index of sinter significantly deteriorate. By increasing the size of biomass fuel, sinter indices are improved since the burning velocity of biomass fuel is optimised. When the proportion of biomass fuels is 40%, the emissions of SO2 and NO can be decreased by 40 and 28% respectively.","container-title":"Ironmaking &amp; Steelmaking","DOI":"10.1179/1743281214Y.0000000194","ISSN":"03019233","issue":"1","note":"publisher: Taylor &amp; Francis Ltd","page":"27-33","source":"EBSCOhost","title":"Application of biomass fuel in iron ore sintering: influencing mechanism and emission reduction","title-short":"Application of biomass fuel in iron ore sintering","URL":"https://ezproxy.uwtsd.ac.uk/login?url=https://search.ebscohost.com/login.aspx?direct=true&amp;db=aph&amp;AN=99542566&amp;site=ehost-live","volume":"42","author":[{"family":"Gan","given":"M."},{"family":"Fan","given":"X."},{"family":"Ji","given":"Z."},{"family":"Jiang","given":"T."},{"family":"Chen","given":"X."},{"family":"Yu","given":"Z."},{"family":"Li","given":"G."},{"family":"Yin","given":"L."}],"accessed":{"date-parts":[["2022",8,3]]},"issued":{"date-parts":[["2015",1]]}},"label":"page"}],"schema":"https://github.com/citation-style-language/schema/raw/master/csl-citation.json"} </w:instrText>
      </w:r>
      <w:r w:rsidR="00B33FF2">
        <w:fldChar w:fldCharType="separate"/>
      </w:r>
      <w:r w:rsidR="00B33FF2" w:rsidRPr="00B33FF2">
        <w:rPr>
          <w:rFonts w:ascii="Calibri" w:hAnsi="Calibri" w:cs="Calibri"/>
        </w:rPr>
        <w:t>(Gan et al. 2014; Gan et al. 2015)</w:t>
      </w:r>
      <w:r w:rsidR="00B33FF2">
        <w:fldChar w:fldCharType="end"/>
      </w:r>
      <w:r w:rsidR="00B33FF2">
        <w:t xml:space="preserve"> </w:t>
      </w:r>
      <w:r w:rsidR="007D7856">
        <w:t xml:space="preserve">report that </w:t>
      </w:r>
      <w:r w:rsidR="0015479E">
        <w:t xml:space="preserve">up to </w:t>
      </w:r>
      <w:r w:rsidR="00B616B5">
        <w:t>40% biochar replacement could be reached.</w:t>
      </w:r>
      <w:r w:rsidR="00B41E3A">
        <w:t xml:space="preserve"> </w:t>
      </w:r>
      <w:r w:rsidR="00B616B5">
        <w:t xml:space="preserve"> As the substitution rate increased</w:t>
      </w:r>
      <w:r w:rsidR="00577DC0">
        <w:t xml:space="preserve">, the combustion efficiency deteriorated </w:t>
      </w:r>
      <w:r w:rsidR="001E2CCD">
        <w:t xml:space="preserve">due to </w:t>
      </w:r>
      <w:r w:rsidR="00FB6211">
        <w:t xml:space="preserve">variation in the </w:t>
      </w:r>
      <w:r w:rsidR="00EE2B00">
        <w:t>flame front speed and heat front speed.</w:t>
      </w:r>
      <w:r w:rsidR="00A800BF">
        <w:t xml:space="preserve"> They found </w:t>
      </w:r>
      <w:r w:rsidR="007A4B15">
        <w:t>if the</w:t>
      </w:r>
      <w:r w:rsidR="001F71E0">
        <w:t xml:space="preserve"> </w:t>
      </w:r>
      <w:r w:rsidR="007A4B15">
        <w:t xml:space="preserve">PSD </w:t>
      </w:r>
      <w:r w:rsidR="001F71E0">
        <w:t xml:space="preserve">in the 1 - 5mm range </w:t>
      </w:r>
      <w:r w:rsidR="006E58AE">
        <w:t>is increased</w:t>
      </w:r>
      <w:r w:rsidR="001F71E0">
        <w:t xml:space="preserve"> </w:t>
      </w:r>
      <w:r w:rsidR="006E58AE">
        <w:t xml:space="preserve">the sinter quality indices improved. </w:t>
      </w:r>
      <w:r w:rsidR="00514A04">
        <w:t>The parameters that</w:t>
      </w:r>
      <w:r w:rsidR="00AC6B13">
        <w:t xml:space="preserve"> need to be considered and controlled when</w:t>
      </w:r>
      <w:r w:rsidR="007436EA">
        <w:t xml:space="preserve"> </w:t>
      </w:r>
      <w:r w:rsidR="007F2092">
        <w:t>optimising the substitution rate of biochar</w:t>
      </w:r>
      <w:r w:rsidR="00AD7603">
        <w:t xml:space="preserve">, include </w:t>
      </w:r>
      <w:r w:rsidR="006E7420">
        <w:t>chemical composition, reactivity, particle size,</w:t>
      </w:r>
      <w:r w:rsidR="00FE6EC9">
        <w:t xml:space="preserve"> and</w:t>
      </w:r>
      <w:r w:rsidR="006E7420">
        <w:t xml:space="preserve"> strength</w:t>
      </w:r>
      <w:r w:rsidR="00FE6EC9">
        <w:t xml:space="preserve"> of the biomass</w:t>
      </w:r>
      <w:r w:rsidR="00130AA1">
        <w:t xml:space="preserve"> products.</w:t>
      </w:r>
    </w:p>
    <w:p w14:paraId="5EF0A0D7" w14:textId="57611C67" w:rsidR="005F4F16" w:rsidRDefault="006220C6" w:rsidP="005F4F16">
      <w:pPr>
        <w:pStyle w:val="Heading3"/>
        <w:spacing w:line="360" w:lineRule="auto"/>
        <w:jc w:val="both"/>
      </w:pPr>
      <w:bookmarkStart w:id="32" w:name="_Toc127911440"/>
      <w:r>
        <w:t>Bio</w:t>
      </w:r>
      <w:r w:rsidR="00C56203">
        <w:t>mass</w:t>
      </w:r>
      <w:r>
        <w:t xml:space="preserve"> supply </w:t>
      </w:r>
      <w:r w:rsidR="008B3133">
        <w:t>and availability</w:t>
      </w:r>
      <w:bookmarkEnd w:id="32"/>
      <w:r w:rsidR="008B3133">
        <w:t xml:space="preserve">  </w:t>
      </w:r>
    </w:p>
    <w:p w14:paraId="6A68D84D" w14:textId="65EEC96C" w:rsidR="00771155" w:rsidRDefault="00EE0F9B" w:rsidP="004744FC">
      <w:pPr>
        <w:spacing w:line="360" w:lineRule="auto"/>
        <w:jc w:val="both"/>
      </w:pPr>
      <w:r>
        <w:t xml:space="preserve">There are </w:t>
      </w:r>
      <w:r w:rsidR="00442080">
        <w:t xml:space="preserve">barriers to implementing biochar in the ISI. </w:t>
      </w:r>
      <w:r w:rsidR="00631910">
        <w:t>At present there are no supply chains</w:t>
      </w:r>
      <w:r w:rsidR="00472D78">
        <w:t xml:space="preserve"> in place</w:t>
      </w:r>
      <w:r w:rsidR="00631910">
        <w:t xml:space="preserve"> </w:t>
      </w:r>
      <w:r w:rsidR="002D79BA">
        <w:t>for the supply of biochar to the ISI</w:t>
      </w:r>
      <w:r w:rsidR="00710BD2">
        <w:t xml:space="preserve"> </w:t>
      </w:r>
      <w:r w:rsidR="00710BD2">
        <w:fldChar w:fldCharType="begin"/>
      </w:r>
      <w:r w:rsidR="00710BD2">
        <w:instrText xml:space="preserve"> ADDIN ZOTERO_ITEM CSL_CITATION {"citationID":"ZXPEfOvR","properties":{"formattedCitation":"(Suopaj\\uc0\\u228{}rvi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710BD2">
        <w:fldChar w:fldCharType="separate"/>
      </w:r>
      <w:r w:rsidR="00710BD2" w:rsidRPr="00710BD2">
        <w:rPr>
          <w:rFonts w:ascii="Calibri" w:hAnsi="Calibri" w:cs="Calibri"/>
          <w:szCs w:val="24"/>
        </w:rPr>
        <w:t>(Suopajärvi et al. 2018)</w:t>
      </w:r>
      <w:r w:rsidR="00710BD2">
        <w:fldChar w:fldCharType="end"/>
      </w:r>
      <w:r w:rsidR="003D342E">
        <w:t>.</w:t>
      </w:r>
      <w:r w:rsidR="00540DEE">
        <w:t xml:space="preserve"> </w:t>
      </w:r>
      <w:r w:rsidR="00B6409A">
        <w:t>Th</w:t>
      </w:r>
      <w:r w:rsidR="00B16473">
        <w:t>e UK also</w:t>
      </w:r>
      <w:r w:rsidR="00442080">
        <w:t xml:space="preserve"> currently</w:t>
      </w:r>
      <w:r w:rsidR="00B16473">
        <w:t xml:space="preserve"> lacks the facilities to produce the amount of biochar that would be required </w:t>
      </w:r>
      <w:r w:rsidR="006829F5">
        <w:t>for</w:t>
      </w:r>
      <w:r w:rsidR="00B16473">
        <w:t xml:space="preserve"> the ISI</w:t>
      </w:r>
      <w:r w:rsidR="00CF3CFA">
        <w:t xml:space="preserve"> </w:t>
      </w:r>
      <w:r w:rsidR="00B4717D">
        <w:fldChar w:fldCharType="begin"/>
      </w:r>
      <w:r w:rsidR="00B4717D">
        <w:instrText xml:space="preserve"> ADDIN ZOTERO_ITEM CSL_CITATION {"citationID":"lt0PE2bm","properties":{"formattedCitation":"(Lamers et al. 2016)","plainCitation":"(Lamers et al. 2016)","noteIndex":0},"citationItems":[{"id":1924,"uris":["http://zotero.org/users/local/AB2owHL2/items/YQGMD9JV"],"itemData":{"id":1924,"type":"book","event-place":"London","publisher":"Elsevier","publisher-place":"London","title":"Developing the bioeconomy - Technical, market, and environmental lessons from bioenergy","author":[{"family":"Lamers","given":"Patrick"},{"family":"Searcy","given":"Erin"},{"family":"Hess","given":"J. Richard"},{"family":"Stitchnothe","given":"Heinz"}],"issued":{"date-parts":[["2016"]]}}}],"schema":"https://github.com/citation-style-language/schema/raw/master/csl-citation.json"} </w:instrText>
      </w:r>
      <w:r w:rsidR="00B4717D">
        <w:fldChar w:fldCharType="separate"/>
      </w:r>
      <w:r w:rsidR="00B4717D" w:rsidRPr="00B4717D">
        <w:rPr>
          <w:rFonts w:ascii="Calibri" w:hAnsi="Calibri" w:cs="Calibri"/>
        </w:rPr>
        <w:t>(Lamers et al. 2016)</w:t>
      </w:r>
      <w:r w:rsidR="00B4717D">
        <w:fldChar w:fldCharType="end"/>
      </w:r>
      <w:r w:rsidR="00B16473">
        <w:t>.</w:t>
      </w:r>
      <w:r w:rsidR="00E02BB2">
        <w:t xml:space="preserve"> </w:t>
      </w:r>
      <w:r w:rsidR="00A136D4">
        <w:t>F</w:t>
      </w:r>
      <w:r w:rsidR="002F35E2">
        <w:t xml:space="preserve">or biochar to be sustainable as a green technology </w:t>
      </w:r>
      <w:r w:rsidR="00C24CA4">
        <w:t xml:space="preserve">there is a need </w:t>
      </w:r>
      <w:r w:rsidR="00024818">
        <w:t>to ensure that the feedstocks are sourced from sustainably managed lands</w:t>
      </w:r>
      <w:r w:rsidR="00452084">
        <w:t xml:space="preserve">. </w:t>
      </w:r>
      <w:r w:rsidR="00DE58CA">
        <w:t>Biochar needs to be both environmentally and economically viable</w:t>
      </w:r>
      <w:r w:rsidR="00E90D2E">
        <w:t xml:space="preserve"> </w:t>
      </w:r>
      <w:r w:rsidR="00E90D2E">
        <w:fldChar w:fldCharType="begin"/>
      </w:r>
      <w:r w:rsidR="00E90D2E">
        <w:instrText xml:space="preserve"> ADDIN ZOTERO_ITEM CSL_CITATION {"citationID":"JPogji6j","properties":{"formattedCitation":"(Jahanshahi et al. 2014)","plainCitation":"(Jahanshahi et al. 2014)","noteIndex":0},"citationItems":[{"id":472,"uris":["http://zotero.org/users/local/AB2owHL2/items/M3PJURXG"],"itemData":{"id":472,"type":"paper-conference","abstract":"The use of biomass derived fuels and reductants in the iron and steel making industry provides a sustainable option for reducing net CO 2 emissions at a lower capital cost and technological risk than other breakthrough technologies under development. In 2006 Arrium, BlueScope and CSIRO initiated a R&amp;D program with the aim to develop and evaluate technologies to reduce the industry's net greenhouse emissions by at least 50%. Given that most of the CO 2 emissions in steel production occur during the reduction of iron ore to hot metal through use of coal and coke, a key focus of this program has been to partially substitute these with renewable carbon (charcoal) from sustainable sources such as plantations of biomass species or forest wastes. Raw biomass is unsuitable for applications in iron and steel making and it has to be converted into charcoals (chars) through a pyrolysis process before use. The biomass derived chars and hydrocarbon fuels have great potential in lowering the net CO 2 emissions of integrated (blast furnace-BOS route) steel plants. Life cycle assessment has quantified the potential reduction in net CO 2 emissions and covers the whole life cycle, including plantation, harvesting, transport, pyrolysis and use of chars and bio-oil products. The properties of chars produced by pyrolysis of biomass can be tailored to each of the several applications proposed (coke breeze for sintering, coal blend for cokemaking, coal injectant for the blast furnace, recarburising in steelmaking, etc), thus resulting in optimal performance and greater value-in-use of the char. Our economic analysis has made allowance for such value-in-use in applications, particularly as a replacement of pulverised coal injection with charcoal. This analysis shows that key factors influencing the economics are the net cost of producing charcoal from biomass, selection of pyrolysis technology, and value of by-products as well as the value-in-use for the charcoal. This paper provides a summary of the progress made over the eight years of the R&amp;D program. These activities have been focused on the development of know-how and processes for substantial replacement of coal-based materials across the areas of biomass supply and wood properties and selection, pyrolysis technologies, handling and densification, and application. The current status of each of the application areas is also provided.","event-place":"Japan","event-title":"Innovation of Ironmaking Technologies and Future International Collaboration  - to Overcome Energy &amp; Resource Restrictions in Accordance with Environment","publisher-place":"Japan","source":"ResearchGate","title":"Recent Progress in R&amp;D on Assessment of the Use of Biomass/Designer Chars for Steel Production","author":[{"family":"Jahanshahi","given":"Sharif"},{"family":"Deev","given":"Alex"},{"family":"Haque","given":"Nawshad"},{"family":"Lu","given":"Liming"},{"family":"Mathieson","given":"John"},{"family":"Norgate","given":"Terry"},{"family":"Ridgeway","given":"Phillip"},{"family":"Rogers","given":"Harold"},{"family":"Somerville","given":"Michael"},{"family":"Zughbi","given":"Habib"},{"family":"Zulli","given":"Paul"}],"issued":{"date-parts":[["2014",11]]}}}],"schema":"https://github.com/citation-style-language/schema/raw/master/csl-citation.json"} </w:instrText>
      </w:r>
      <w:r w:rsidR="00E90D2E">
        <w:fldChar w:fldCharType="separate"/>
      </w:r>
      <w:r w:rsidR="00E90D2E" w:rsidRPr="00E90D2E">
        <w:rPr>
          <w:rFonts w:ascii="Calibri" w:hAnsi="Calibri" w:cs="Calibri"/>
        </w:rPr>
        <w:t>(Jahanshahi et al. 2014)</w:t>
      </w:r>
      <w:r w:rsidR="00E90D2E">
        <w:fldChar w:fldCharType="end"/>
      </w:r>
      <w:r w:rsidR="00DE58CA">
        <w:t>.</w:t>
      </w:r>
      <w:r w:rsidR="006A4104">
        <w:t xml:space="preserve"> </w:t>
      </w:r>
      <w:r w:rsidR="00FA7463">
        <w:t xml:space="preserve">Charcoal production technology needs to be developed </w:t>
      </w:r>
      <w:r w:rsidR="00FA6C9A">
        <w:t xml:space="preserve">that can produce charcoal at a significantly lower cost </w:t>
      </w:r>
      <w:r w:rsidR="00FA6C9A">
        <w:fldChar w:fldCharType="begin"/>
      </w:r>
      <w:r w:rsidR="00FA6C9A">
        <w:instrText xml:space="preserve"> ADDIN ZOTERO_ITEM CSL_CITATION {"citationID":"d5DAQcNG","properties":{"formattedCitation":"(Norgate et al. 2012)","plainCitation":"(Norgate et al. 2012)","noteIndex":0},"citationItems":[{"id":1926,"uris":["http://zotero.org/users/local/AB2owHL2/items/VVZKCBDB"],"itemData":{"id":1926,"type":"article-journal","abstract":"Fossil fuel-based carbon is widely used in iron and steelmaking in a number of forms, and the replacement of these materials with renewable carbon derived from biomass is seen as offering the greatest potential to reduce the greenhouse gas footprint of steel production. Life cycle assessment methodology has been used to estimate the greenhouse gas footprint of charcoal production from biomass, as well as the potential reductions in greenhouse gas emissions from the use of charcoal from biomass in the integrated, mini-mill/EAF and direct smelting steelmaking routes. The results indicated that the use of charcoal in the integrated steelmaking route in likely applications and substitution rates has the potential to reduce the greenhouse gas footprint of steel by 0.69–1.21 t CO2e/t steel (or 31–57%) without any charcoal production by-product (bio-oil and electricity) credits, and by 0.91–1.61 t CO2e/t steel (42–74%) with these by-product credits included. The corresponding reductions for the mini-mill/EAF and direct smelting routes were 0.028–0.056 t CO2e/t steel (5.5–11%) and 0.34–1.70 t CO2e/t steel (16–80%) without by-product credits, and 0.037–0.075 t CO2e/t steel (7.3–14.7%) and 0.45–2.25 t CO2e/t steel (21–106%) with by-product credits respectively. However, the magnitude of the by-product credits depends on the by-product yields in the charcoal retort, which in turn are dependent on a number of factors, in particular, the nature of the pyrolysis process (fast or slow) and the biomass feed composition. Estimates of the potential plantation areas available to grow the biomass required to produce charcoal for steelmaking purposes in a sustainable manner, together with estimates of sources of biomass residues suggest that it is possible that an appreciable amount of the world's steel production can utilise charcoal in place of coal or coke over the coming decades. However, transportation is expected to be a significant issue affecting the cost of charcoal delivered to steel plants in all biomass source scenarios. Other issues such as technical aspects of charcoal use in steelmaking and economics will also play a significant role in the uptake of charcoal from biomass as a source of renewable carbon for iron and steelmaking.","container-title":"ISIJ International","DOI":"10.2355/isijinternational.52.1472","issue":"8","page":"1472-1481","source":"J-Stage","title":"Biomass as a Source of Renewable Carbon for Iron and Steelmaking","volume":"52","author":[{"family":"Norgate","given":"Terry"},{"family":"Haque","given":"Nawshad"},{"family":"Somerville","given":"Michael"},{"family":"Jahanshahi","given":"Sharif"}],"issued":{"date-parts":[["2012"]]}}}],"schema":"https://github.com/citation-style-language/schema/raw/master/csl-citation.json"} </w:instrText>
      </w:r>
      <w:r w:rsidR="00FA6C9A">
        <w:fldChar w:fldCharType="separate"/>
      </w:r>
      <w:r w:rsidR="00FA6C9A" w:rsidRPr="00FA6C9A">
        <w:rPr>
          <w:rFonts w:ascii="Calibri" w:hAnsi="Calibri" w:cs="Calibri"/>
        </w:rPr>
        <w:t>(Norgate et al. 2012)</w:t>
      </w:r>
      <w:r w:rsidR="00FA6C9A">
        <w:fldChar w:fldCharType="end"/>
      </w:r>
    </w:p>
    <w:p w14:paraId="31F436C4" w14:textId="566C72D7" w:rsidR="00270648" w:rsidRDefault="00270648" w:rsidP="00241E9D">
      <w:pPr>
        <w:spacing w:line="360" w:lineRule="auto"/>
        <w:jc w:val="both"/>
      </w:pPr>
      <w:r>
        <w:lastRenderedPageBreak/>
        <w:t>Life cycle assessments</w:t>
      </w:r>
      <w:r w:rsidR="00A35EE0">
        <w:t xml:space="preserve"> (LCA)</w:t>
      </w:r>
      <w:r w:rsidR="00322DEB">
        <w:t xml:space="preserve"> assess the potential environmental impacts</w:t>
      </w:r>
      <w:r w:rsidR="00D718C9">
        <w:t xml:space="preserve"> associated with a product, </w:t>
      </w:r>
      <w:r w:rsidR="00B12A6B">
        <w:t>or process during its entire life cycle,</w:t>
      </w:r>
      <w:r w:rsidR="008A3D2D">
        <w:t xml:space="preserve"> from extraction of raw materials through to</w:t>
      </w:r>
      <w:r w:rsidR="009D0985">
        <w:t xml:space="preserve"> the production and use of the </w:t>
      </w:r>
      <w:proofErr w:type="gramStart"/>
      <w:r w:rsidR="009D0985">
        <w:t>end product</w:t>
      </w:r>
      <w:proofErr w:type="gramEnd"/>
      <w:r w:rsidR="00820F79">
        <w:t>.</w:t>
      </w:r>
      <w:r w:rsidR="00B12A6B">
        <w:t xml:space="preserve"> </w:t>
      </w:r>
      <w:r w:rsidR="00D718C9">
        <w:t>LCA’s</w:t>
      </w:r>
      <w:r w:rsidR="00820F79">
        <w:t xml:space="preserve"> on biochar</w:t>
      </w:r>
      <w:r>
        <w:t xml:space="preserve"> carried out </w:t>
      </w:r>
      <w:r w:rsidR="00E07A7A">
        <w:t xml:space="preserve">by </w:t>
      </w:r>
      <w:r w:rsidR="00745957">
        <w:fldChar w:fldCharType="begin"/>
      </w:r>
      <w:r w:rsidR="00745957">
        <w:instrText xml:space="preserve"> ADDIN ZOTERO_ITEM CSL_CITATION {"citationID":"jtcYgo2s","properties":{"formattedCitation":"(Norgate and Langberg 2009; Norgate et al. 2012; Feliciano-Bruzual and Mathews 2013; Suopaj\\uc0\\u228{}rvi and Fabritius 2013; Fick et al. 2014)","plainCitation":"(Norgate and Langberg 2009; Norgate et al. 2012; Feliciano-Bruzual and Mathews 2013; Suopajärvi and Fabritius 2013; Fick et al. 2014)","noteIndex":0},"citationItems":[{"id":1720,"uris":["http://zotero.org/users/local/AB2owHL2/items/IFZYK7Q8"],"itemData":{"id":1720,"type":"article-journal","container-title":"ISIJ International","DOI":"10.2355/isijinternational.49.587","ISSN":"0915-1559, 1347-5460","issue":"4","journalAbbreviation":"ISIJ International","language":"en","page":"587-595","source":"DOI.org (Crossref)","title":"Environmental and Economic Aspects of Charcoal Use in Steelmaking","URL":"https://www.jstage.jst.go.jp/article/isijinternational/49/4/49_4_587/_article","volume":"49","author":[{"family":"Norgate","given":"Terry"},{"family":"Langberg","given":"David"}],"accessed":{"date-parts":[["2022",6,30]]},"issued":{"date-parts":[["2009"]]}},"label":"page"},{"id":1926,"uris":["http://zotero.org/users/local/AB2owHL2/items/VVZKCBDB"],"itemData":{"id":1926,"type":"article-journal","abstract":"Fossil fuel-based carbon is widely used in iron and steelmaking in a number of forms, and the replacement of these materials with renewable carbon derived from biomass is seen as offering the greatest potential to reduce the greenhouse gas footprint of steel production. Life cycle assessment methodology has been used to estimate the greenhouse gas footprint of charcoal production from biomass, as well as the potential reductions in greenhouse gas emissions from the use of charcoal from biomass in the integrated, mini-mill/EAF and direct smelting steelmaking routes. The results indicated that the use of charcoal in the integrated steelmaking route in likely applications and substitution rates has the potential to reduce the greenhouse gas footprint of steel by 0.69–1.21 t CO2e/t steel (or 31–57%) without any charcoal production by-product (bio-oil and electricity) credits, and by 0.91–1.61 t CO2e/t steel (42–74%) with these by-product credits included. The corresponding reductions for the mini-mill/EAF and direct smelting routes were 0.028–0.056 t CO2e/t steel (5.5–11%) and 0.34–1.70 t CO2e/t steel (16–80%) without by-product credits, and 0.037–0.075 t CO2e/t steel (7.3–14.7%) and 0.45–2.25 t CO2e/t steel (21–106%) with by-product credits respectively. However, the magnitude of the by-product credits depends on the by-product yields in the charcoal retort, which in turn are dependent on a number of factors, in particular, the nature of the pyrolysis process (fast or slow) and the biomass feed composition. Estimates of the potential plantation areas available to grow the biomass required to produce charcoal for steelmaking purposes in a sustainable manner, together with estimates of sources of biomass residues suggest that it is possible that an appreciable amount of the world's steel production can utilise charcoal in place of coal or coke over the coming decades. However, transportation is expected to be a significant issue affecting the cost of charcoal delivered to steel plants in all biomass source scenarios. Other issues such as technical aspects of charcoal use in steelmaking and economics will also play a significant role in the uptake of charcoal from biomass as a source of renewable carbon for iron and steelmaking.","container-title":"ISIJ International","DOI":"10.2355/isijinternational.52.1472","issue":"8","page":"1472-1481","source":"J-Stage","title":"Biomass as a Source of Renewable Carbon for Iron and Steelmaking","volume":"52","author":[{"family":"Norgate","given":"Terry"},{"family":"Haque","given":"Nawshad"},{"family":"Somerville","given":"Michael"},{"family":"Jahanshahi","given":"Sharif"}],"issued":{"date-parts":[["2012"]]}},"label":"page"},{"id":1920,"uris":["http://zotero.org/users/local/AB2owHL2/items/KGAELLAX"],"itemData":{"id":1920,"type":"article-journal","abstract":"The injection of grinded particles of charcoal through the tuyeres in Blast Furnaces, here coined Bio-PCI, presents as an attractive and plausible alternative to significantly reduce the CO2 emissions generated during hot metal production. In this contribution a summary of the technological fundaments, benefits and limitations of the incorporation of Bio-PCI is presented. Additionally the principal economic challenges of renewables fuel in ironmaking are exposed, with especial interest in the main productions costs of charcoal making. In this sense, a strategic question arises: can the residual biomass drive the emergence of Bio-PCI?, our analysis leads to conclude that the use of residual biomass (e.g. agricultural and forestry residues) may significantly reduce the production cost in 120-180 USD/t in comparison to primary woods sources, this naturally increment the economical attractiveness of Bio-PCI substitution.","container-title":"Revista de Metalurgia","DOI":"10.3989/revmetalm.1331","ISSN":"1988-4222","issue":"6","language":"es","license":"Copyright (c) 2013 Consejo Superior de Investigaciones Científicas (CSIC)","note":"number: 6","page":"458-468","source":"revistademetalurgia.revistas.csic.es","title":"BIO-PCI, Inyección de carbón vegetal en Altos Hornos: Estado del arte y perspectivas económicas","title-short":"BIO-PCI, Inyección de carbón vegetal en Altos Hornos","URL":"https://revistademetalurgia.revistas.csic.es/index.php/revistademetalurgia/article/view/1299","volume":"49","author":[{"family":"Feliciano-Bruzual","given":"C."},{"family":"Mathews","given":"J. A."}],"accessed":{"date-parts":[["2022",9,4]]},"issued":{"date-parts":[["2013",12,30]]}},"label":"page"},{"id":1698,"uris":["http://zotero.org/users/local/AB2owHL2/items/GCVPYUYJ"],"itemData":{"id":1698,"type":"article-journal","abstract":"Replacement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label":"page"},{"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label":"page"}],"schema":"https://github.com/citation-style-language/schema/raw/master/csl-citation.json"} </w:instrText>
      </w:r>
      <w:r w:rsidR="00745957">
        <w:fldChar w:fldCharType="separate"/>
      </w:r>
      <w:r w:rsidR="00745957" w:rsidRPr="00745957">
        <w:rPr>
          <w:rFonts w:ascii="Calibri" w:hAnsi="Calibri" w:cs="Calibri"/>
          <w:szCs w:val="24"/>
        </w:rPr>
        <w:t>(Norgate and Langberg 2009; Norgate et al. 2012; Feliciano-Bruzual and Mathews 2013; Suopajärvi and Fabritius 2013; Fick et al. 2014)</w:t>
      </w:r>
      <w:r w:rsidR="00745957">
        <w:fldChar w:fldCharType="end"/>
      </w:r>
      <w:r w:rsidR="00DF1D24">
        <w:t xml:space="preserve"> found that</w:t>
      </w:r>
      <w:r w:rsidR="00820F79">
        <w:t xml:space="preserve"> net</w:t>
      </w:r>
      <w:r w:rsidR="000E3DD5">
        <w:t xml:space="preserve"> CO</w:t>
      </w:r>
      <w:r w:rsidR="000E3DD5" w:rsidRPr="000E3DD5">
        <w:rPr>
          <w:vertAlign w:val="subscript"/>
        </w:rPr>
        <w:t>2</w:t>
      </w:r>
      <w:r w:rsidR="000E3DD5">
        <w:t xml:space="preserve"> </w:t>
      </w:r>
      <w:r w:rsidR="00136E84">
        <w:t xml:space="preserve">and GHG levels were </w:t>
      </w:r>
      <w:r w:rsidR="00DB6BA0">
        <w:t>reduced</w:t>
      </w:r>
      <w:r w:rsidR="001C6B95">
        <w:t xml:space="preserve"> </w:t>
      </w:r>
      <w:r w:rsidR="0010052A">
        <w:t>between</w:t>
      </w:r>
      <w:r w:rsidR="006A5038">
        <w:t xml:space="preserve"> </w:t>
      </w:r>
      <w:r w:rsidR="008B1E61">
        <w:t xml:space="preserve">3.4 to </w:t>
      </w:r>
      <w:r w:rsidR="00437998">
        <w:t>12.9 CO</w:t>
      </w:r>
      <w:r w:rsidR="00437998" w:rsidRPr="00437998">
        <w:rPr>
          <w:vertAlign w:val="subscript"/>
        </w:rPr>
        <w:t>2</w:t>
      </w:r>
      <w:r w:rsidR="00437998">
        <w:t xml:space="preserve">/MJ or </w:t>
      </w:r>
      <w:r w:rsidR="009246D3">
        <w:t>31 – 57% CO</w:t>
      </w:r>
      <w:r w:rsidR="009246D3" w:rsidRPr="00882D17">
        <w:rPr>
          <w:vertAlign w:val="subscript"/>
        </w:rPr>
        <w:t>2</w:t>
      </w:r>
      <w:r w:rsidR="00882D17">
        <w:t xml:space="preserve"> emission reduction</w:t>
      </w:r>
      <w:r w:rsidR="00B1100E">
        <w:t xml:space="preserve"> </w:t>
      </w:r>
      <w:r w:rsidR="009952C8">
        <w:t xml:space="preserve">when </w:t>
      </w:r>
      <w:r w:rsidR="00C0775A">
        <w:t>assessing</w:t>
      </w:r>
      <w:r w:rsidR="009952C8">
        <w:t xml:space="preserve"> biochar</w:t>
      </w:r>
      <w:r w:rsidR="00C0775A">
        <w:t xml:space="preserve"> usage</w:t>
      </w:r>
      <w:r w:rsidR="00882D17">
        <w:t xml:space="preserve">. </w:t>
      </w:r>
    </w:p>
    <w:p w14:paraId="346CDEB8" w14:textId="64FE198A" w:rsidR="00213561" w:rsidRDefault="00AC554C" w:rsidP="00241E9D">
      <w:pPr>
        <w:spacing w:line="360" w:lineRule="auto"/>
        <w:jc w:val="both"/>
      </w:pPr>
      <w:r>
        <w:t xml:space="preserve">Approximately </w:t>
      </w:r>
      <w:r w:rsidR="00DC1A1A">
        <w:t>800Kt of charcoal is consumed yearly in Europe, mostly by the barbecue market</w:t>
      </w:r>
      <w:r w:rsidR="00334227">
        <w:t xml:space="preserve">, 70% of which is imported from Africa. </w:t>
      </w:r>
      <w:r w:rsidR="00044722">
        <w:t>Substituting</w:t>
      </w:r>
      <w:r w:rsidR="00334227">
        <w:t xml:space="preserve"> 5% of the fossil fuels </w:t>
      </w:r>
      <w:r w:rsidR="00044722">
        <w:t xml:space="preserve">used by a small European </w:t>
      </w:r>
      <w:r w:rsidR="004429EB">
        <w:t xml:space="preserve">size steelmaking plant BOS – BF with a production output of 3 million tonnes </w:t>
      </w:r>
      <w:r w:rsidR="00654600">
        <w:t xml:space="preserve">of crude steel per annum would require roughly 120kt of charcoal. </w:t>
      </w:r>
      <w:r w:rsidR="00211CE9">
        <w:t xml:space="preserve">The question needs to be asked whether </w:t>
      </w:r>
      <w:r w:rsidR="008F064E">
        <w:t>the countries</w:t>
      </w:r>
      <w:r w:rsidR="00346975">
        <w:t xml:space="preserve"> such as</w:t>
      </w:r>
      <w:r w:rsidR="008F064E">
        <w:t xml:space="preserve"> the UK has the </w:t>
      </w:r>
      <w:r w:rsidR="00E0453E">
        <w:t>resources to meet the demand</w:t>
      </w:r>
      <w:r w:rsidR="0044506A">
        <w:t>.</w:t>
      </w:r>
      <w:r w:rsidR="00346975">
        <w:t xml:space="preserve"> </w:t>
      </w:r>
      <w:r w:rsidR="009E027C">
        <w:fldChar w:fldCharType="begin"/>
      </w:r>
      <w:r w:rsidR="009E027C">
        <w:instrText xml:space="preserve"> ADDIN ZOTERO_ITEM CSL_CITATION {"citationID":"N9b7K1s3","properties":{"formattedCitation":"(Mandova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9E027C">
        <w:fldChar w:fldCharType="separate"/>
      </w:r>
      <w:r w:rsidR="009E027C" w:rsidRPr="009E027C">
        <w:rPr>
          <w:rFonts w:ascii="Calibri" w:hAnsi="Calibri" w:cs="Calibri"/>
        </w:rPr>
        <w:t>(Mandova et al. 2018)</w:t>
      </w:r>
      <w:r w:rsidR="009E027C">
        <w:fldChar w:fldCharType="end"/>
      </w:r>
      <w:r w:rsidR="009E027C">
        <w:t xml:space="preserve"> </w:t>
      </w:r>
      <w:r w:rsidR="00B236EE">
        <w:t xml:space="preserve">demonstrated that </w:t>
      </w:r>
      <w:r w:rsidR="008B5516">
        <w:t>forestry growth in the EU is 36% bigger than EU sourced wood consumption (see figure 1</w:t>
      </w:r>
      <w:r w:rsidR="00CE33CF">
        <w:t>5</w:t>
      </w:r>
      <w:r w:rsidR="003F5D02">
        <w:t xml:space="preserve"> b) and</w:t>
      </w:r>
      <w:r w:rsidR="008B5516">
        <w:t xml:space="preserve"> </w:t>
      </w:r>
      <w:r w:rsidR="00B236EE">
        <w:t xml:space="preserve">sufficient </w:t>
      </w:r>
      <w:r w:rsidR="009625B5">
        <w:t xml:space="preserve">biomass resources exist to meet demand by all steel plants in Europe, however </w:t>
      </w:r>
      <w:r w:rsidR="00F97F63">
        <w:t xml:space="preserve">counties such as Great Britain, Germany, Italy, Spain, </w:t>
      </w:r>
      <w:r w:rsidR="0047645D">
        <w:t>Belgium,</w:t>
      </w:r>
      <w:r w:rsidR="00F97F63">
        <w:t xml:space="preserve"> and the Netherlands would be highly reliant on cross border trading</w:t>
      </w:r>
      <w:r w:rsidR="003F5D02">
        <w:t>, as</w:t>
      </w:r>
      <w:r w:rsidR="00107705">
        <w:t xml:space="preserve"> shown in figure 1</w:t>
      </w:r>
      <w:r w:rsidR="00CE33CF">
        <w:t>5</w:t>
      </w:r>
      <w:r w:rsidR="00107705">
        <w:t xml:space="preserve"> a)</w:t>
      </w:r>
      <w:r w:rsidR="00F97F63">
        <w:t>.</w:t>
      </w:r>
      <w:r w:rsidR="007A0C14">
        <w:t xml:space="preserve"> S</w:t>
      </w:r>
      <w:r w:rsidR="006F2E5C">
        <w:t xml:space="preserve">imilar </w:t>
      </w:r>
      <w:r w:rsidR="003E0587">
        <w:t xml:space="preserve">resource </w:t>
      </w:r>
      <w:r w:rsidR="006F2E5C">
        <w:t xml:space="preserve">studies were also carried out </w:t>
      </w:r>
      <w:r w:rsidR="003E0587">
        <w:t>for</w:t>
      </w:r>
      <w:r w:rsidR="006F2E5C">
        <w:t xml:space="preserve"> Finland </w:t>
      </w:r>
      <w:r w:rsidR="003E0587">
        <w:fldChar w:fldCharType="begin"/>
      </w:r>
      <w:r w:rsidR="003E0587">
        <w:instrText xml:space="preserve"> ADDIN ZOTERO_ITEM CSL_CITATION {"citationID":"GxWOndaN","properties":{"formattedCitation":"(Suopaj\\uc0\\u228{}rvi and Fabritius 2013)","plainCitation":"(Suopajärvi and Fabritius 2013)","noteIndex":0},"citationItems":[{"id":1698,"uris":["http://zotero.org/users/local/AB2owHL2/items/GCVPYUYJ"],"itemData":{"id":1698,"type":"article-journal","abstract":"Replacement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schema":"https://github.com/citation-style-language/schema/raw/master/csl-citation.json"} </w:instrText>
      </w:r>
      <w:r w:rsidR="003E0587">
        <w:fldChar w:fldCharType="separate"/>
      </w:r>
      <w:r w:rsidR="003E0587" w:rsidRPr="003E0587">
        <w:rPr>
          <w:rFonts w:ascii="Calibri" w:hAnsi="Calibri" w:cs="Calibri"/>
          <w:szCs w:val="24"/>
        </w:rPr>
        <w:t>(Suopajärvi and Fabritius 2013)</w:t>
      </w:r>
      <w:r w:rsidR="003E0587">
        <w:fldChar w:fldCharType="end"/>
      </w:r>
      <w:r w:rsidR="003E0587">
        <w:t xml:space="preserve">, </w:t>
      </w:r>
      <w:r w:rsidR="00E96F35">
        <w:t xml:space="preserve">Sweden </w:t>
      </w:r>
      <w:r w:rsidR="00E96F35">
        <w:fldChar w:fldCharType="begin"/>
      </w:r>
      <w:r w:rsidR="00E7142A">
        <w:instrText xml:space="preserve"> ADDIN ZOTERO_ITEM CSL_CITATION {"citationID":"3GPEemq8","properties":{"formattedCitation":"(Wang et al. 2015a)","plainCitation":"(Wang et al. 2015a)","noteIndex":0},"citationItems":[{"id":1796,"uris":["http://zotero.org/users/local/AB2owHL2/items/8SZWXA7H"],"itemData":{"id":1796,"type":"article-journal","abstract":"We have investigated and modeled the injection of biomass into blast furnaces (BF), in place of pulverized coal (PC) from fossil sources. This is the easiest way to reduce CO2 emissions, beyond efﬁciencyimprovements. The considered biomass is either pelletized, torreﬁed or pyrolyzed. It gives us three cases where we have calculated the maximum replacement ratio for each. It was found that charcoal from pyrolysis can fully replace PC, while torreﬁed material and pelletized wood can replace 22.8% and 20.0% respectively, by weight.","container-title":"Energy Conversion and Management","DOI":"10.1016/j.enconman.2015.04.013","ISSN":"01968904","journalAbbreviation":"Energy Conversion and Management","language":"en","page":"217-226","source":"DOI.org (Crossref)","title":"Biomass as blast furnace injectant – Considering availability, pretreatment and deployment in the Swedish steel industry","URL":"https://linkinghub.elsevier.com/retrieve/pii/S0196890415003556","volume":"102","author":[{"family":"Wang","given":"Chuan"},{"family":"Mellin","given":"Pelle"},{"family":"Lövgren","given":"Jonas"},{"family":"Nilsson","given":"Leif"},{"family":"Yang","given":"Weihong"},{"family":"Salman","given":"Hassan"},{"family":"Hultgren","given":"Anders"},{"family":"Larsson","given":"Mikael"}],"accessed":{"date-parts":[["2022",7,17]]},"issued":{"date-parts":[["2015",9]]}}}],"schema":"https://github.com/citation-style-language/schema/raw/master/csl-citation.json"} </w:instrText>
      </w:r>
      <w:r w:rsidR="00E96F35">
        <w:fldChar w:fldCharType="separate"/>
      </w:r>
      <w:r w:rsidR="00E7142A" w:rsidRPr="00E7142A">
        <w:rPr>
          <w:rFonts w:ascii="Calibri" w:hAnsi="Calibri" w:cs="Calibri"/>
        </w:rPr>
        <w:t>(Wang et al. 2015a)</w:t>
      </w:r>
      <w:r w:rsidR="00E96F35">
        <w:fldChar w:fldCharType="end"/>
      </w:r>
      <w:r w:rsidR="00E96F35">
        <w:t xml:space="preserve"> and France </w:t>
      </w:r>
      <w:r w:rsidR="005C1419">
        <w:fldChar w:fldCharType="begin"/>
      </w:r>
      <w:r w:rsidR="005C1419">
        <w:instrText xml:space="preserve"> ADDIN ZOTERO_ITEM CSL_CITATION {"citationID":"7V17iXAg","properties":{"formattedCitation":"(Fick et al. 2014)","plainCitation":"(Fick et al. 2014)","noteIndex":0},"citationItems":[{"id":1731,"uris":["http://zotero.org/users/local/AB2owHL2/items/RGBXIN8E"],"itemData":{"id":1731,"type":"article-journal","abstract":"The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schema":"https://github.com/citation-style-language/schema/raw/master/csl-citation.json"} </w:instrText>
      </w:r>
      <w:r w:rsidR="005C1419">
        <w:fldChar w:fldCharType="separate"/>
      </w:r>
      <w:r w:rsidR="005C1419" w:rsidRPr="005C1419">
        <w:rPr>
          <w:rFonts w:ascii="Calibri" w:hAnsi="Calibri" w:cs="Calibri"/>
        </w:rPr>
        <w:t>(Fick et al. 2014)</w:t>
      </w:r>
      <w:r w:rsidR="005C1419">
        <w:fldChar w:fldCharType="end"/>
      </w:r>
      <w:r w:rsidR="005C1419">
        <w:t xml:space="preserve"> indicating that these </w:t>
      </w:r>
      <w:r w:rsidR="00DB2CE3">
        <w:t>nations natur</w:t>
      </w:r>
      <w:r w:rsidR="00C64482">
        <w:t>a</w:t>
      </w:r>
      <w:r w:rsidR="00DB2CE3">
        <w:t xml:space="preserve">l resources are capable of supplying biomass </w:t>
      </w:r>
      <w:r w:rsidR="00C64482">
        <w:t>to their iron and steel plants.</w:t>
      </w:r>
    </w:p>
    <w:p w14:paraId="1A217720" w14:textId="412F6111" w:rsidR="00BF72CE" w:rsidRPr="00882D17" w:rsidRDefault="00B164FD" w:rsidP="00241E9D">
      <w:pPr>
        <w:spacing w:line="360" w:lineRule="auto"/>
        <w:jc w:val="both"/>
      </w:pPr>
      <w:r w:rsidRPr="00B164FD">
        <w:rPr>
          <w:b/>
          <w:bCs/>
        </w:rPr>
        <w:t>a)</w:t>
      </w:r>
      <w:r w:rsidRPr="00B164FD">
        <w:rPr>
          <w:noProof/>
        </w:rPr>
        <w:drawing>
          <wp:inline distT="0" distB="0" distL="0" distR="0" wp14:anchorId="69267678" wp14:editId="604C0D23">
            <wp:extent cx="2696331" cy="2592125"/>
            <wp:effectExtent l="0" t="0" r="8890" b="0"/>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a:blip r:embed="rId26"/>
                    <a:stretch>
                      <a:fillRect/>
                    </a:stretch>
                  </pic:blipFill>
                  <pic:spPr>
                    <a:xfrm>
                      <a:off x="0" y="0"/>
                      <a:ext cx="2726098" cy="2620742"/>
                    </a:xfrm>
                    <a:prstGeom prst="rect">
                      <a:avLst/>
                    </a:prstGeom>
                  </pic:spPr>
                </pic:pic>
              </a:graphicData>
            </a:graphic>
          </wp:inline>
        </w:drawing>
      </w:r>
      <w:r w:rsidR="00CE2EEC">
        <w:t xml:space="preserve">  </w:t>
      </w:r>
      <w:r w:rsidR="00CE2EEC" w:rsidRPr="00CE2EEC">
        <w:rPr>
          <w:b/>
          <w:bCs/>
        </w:rPr>
        <w:t>b)</w:t>
      </w:r>
      <w:r w:rsidR="009264A3" w:rsidRPr="00BF72CE">
        <w:rPr>
          <w:noProof/>
        </w:rPr>
        <w:drawing>
          <wp:inline distT="0" distB="0" distL="0" distR="0" wp14:anchorId="7ED17082" wp14:editId="1604324D">
            <wp:extent cx="2726008" cy="2615979"/>
            <wp:effectExtent l="0" t="0" r="0" b="0"/>
            <wp:docPr id="18" name="Picture 1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timeline, bar chart&#10;&#10;Description automatically generated"/>
                    <pic:cNvPicPr/>
                  </pic:nvPicPr>
                  <pic:blipFill>
                    <a:blip r:embed="rId27"/>
                    <a:stretch>
                      <a:fillRect/>
                    </a:stretch>
                  </pic:blipFill>
                  <pic:spPr>
                    <a:xfrm>
                      <a:off x="0" y="0"/>
                      <a:ext cx="2762396" cy="2650898"/>
                    </a:xfrm>
                    <a:prstGeom prst="rect">
                      <a:avLst/>
                    </a:prstGeom>
                  </pic:spPr>
                </pic:pic>
              </a:graphicData>
            </a:graphic>
          </wp:inline>
        </w:drawing>
      </w:r>
    </w:p>
    <w:p w14:paraId="2210A4E6" w14:textId="2B13B784" w:rsidR="005F4F16" w:rsidRDefault="003C590C" w:rsidP="003C590C">
      <w:pPr>
        <w:pStyle w:val="Caption"/>
      </w:pPr>
      <w:bookmarkStart w:id="33" w:name="_Toc127110909"/>
      <w:r>
        <w:t xml:space="preserve">Figure </w:t>
      </w:r>
      <w:fldSimple w:instr=" SEQ Figure \* ARABIC ">
        <w:r w:rsidR="00A0212F">
          <w:rPr>
            <w:noProof/>
          </w:rPr>
          <w:t>15</w:t>
        </w:r>
      </w:fldSimple>
      <w:r>
        <w:t xml:space="preserve"> a) </w:t>
      </w:r>
      <w:r w:rsidR="009264A3" w:rsidRPr="00017A7E">
        <w:t xml:space="preserve">The distribution of woody biomass and waste in </w:t>
      </w:r>
      <w:r w:rsidR="009264A3">
        <w:t xml:space="preserve">the </w:t>
      </w:r>
      <w:r w:rsidR="009264A3" w:rsidRPr="00017A7E">
        <w:t>EU</w:t>
      </w:r>
      <w:r w:rsidR="009264A3">
        <w:t xml:space="preserve"> b)</w:t>
      </w:r>
      <w:r w:rsidR="00CE2EEC">
        <w:t xml:space="preserve"> </w:t>
      </w:r>
      <w:r w:rsidR="00AC036F">
        <w:t>C</w:t>
      </w:r>
      <w:r w:rsidRPr="00017A7E">
        <w:t>omparison of the woody-biomass supply and the existing woody-biomass demand, per country</w:t>
      </w:r>
      <w:r>
        <w:t>)</w:t>
      </w:r>
      <w:r w:rsidR="007F2F21">
        <w:t xml:space="preserve"> </w:t>
      </w:r>
      <w:r w:rsidR="007F2F21">
        <w:fldChar w:fldCharType="begin"/>
      </w:r>
      <w:r w:rsidR="007F2F21">
        <w:instrText xml:space="preserve"> ADDIN ZOTERO_ITEM CSL_CITATION {"citationID":"0VPariyX","properties":{"formattedCitation":"(Mandova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7F2F21">
        <w:fldChar w:fldCharType="separate"/>
      </w:r>
      <w:r w:rsidR="007F2F21" w:rsidRPr="007F2F21">
        <w:rPr>
          <w:rFonts w:ascii="Calibri" w:hAnsi="Calibri" w:cs="Calibri"/>
        </w:rPr>
        <w:t>(Mandova et al. 2018)</w:t>
      </w:r>
      <w:r w:rsidR="007F2F21">
        <w:fldChar w:fldCharType="end"/>
      </w:r>
      <w:r w:rsidR="007F2F21">
        <w:t>.</w:t>
      </w:r>
      <w:bookmarkEnd w:id="33"/>
    </w:p>
    <w:p w14:paraId="2C0F7F3F" w14:textId="09D4CD94" w:rsidR="004744FC" w:rsidRDefault="004744FC" w:rsidP="004744FC">
      <w:pPr>
        <w:spacing w:line="360" w:lineRule="auto"/>
        <w:jc w:val="both"/>
      </w:pPr>
      <w:r>
        <w:t xml:space="preserve">Biomass raw materials are low in energy density and require treatment </w:t>
      </w:r>
      <w:proofErr w:type="gramStart"/>
      <w:r>
        <w:t>in order to</w:t>
      </w:r>
      <w:proofErr w:type="gramEnd"/>
      <w:r>
        <w:t xml:space="preserve"> make them suitable for use in iron making processes.  A significant amount of energy costs are associated with cultivating, transporting and pre-treating and handing them, as illustrated in figure 1</w:t>
      </w:r>
      <w:r w:rsidR="00CE33CF">
        <w:t>6</w:t>
      </w:r>
      <w:r>
        <w:t>. As such biochar productions costs are significantly in excess of the fossil fuels</w:t>
      </w:r>
      <w:r w:rsidR="00255D0E">
        <w:t xml:space="preserve"> they are meant to replace</w:t>
      </w:r>
      <w:r w:rsidR="00DB5BE8">
        <w:t xml:space="preserve">. Charcoal </w:t>
      </w:r>
      <w:r w:rsidR="00DB5BE8">
        <w:lastRenderedPageBreak/>
        <w:t xml:space="preserve">cannot compete with fossil fuels on price without the </w:t>
      </w:r>
      <w:r w:rsidR="00071EE3">
        <w:t xml:space="preserve">introduction </w:t>
      </w:r>
      <w:r w:rsidR="008238C8">
        <w:t xml:space="preserve">of </w:t>
      </w:r>
      <w:r w:rsidR="00CE35DD">
        <w:t xml:space="preserve">high </w:t>
      </w:r>
      <w:r w:rsidR="008238C8">
        <w:t xml:space="preserve">carbon taxes </w:t>
      </w:r>
      <w:r w:rsidR="008238C8">
        <w:fldChar w:fldCharType="begin"/>
      </w:r>
      <w:r w:rsidR="008238C8">
        <w:instrText xml:space="preserve"> ADDIN ZOTERO_ITEM CSL_CITATION {"citationID":"P9N6FDsL","properties":{"formattedCitation":"(Mousa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rsidR="008238C8">
        <w:fldChar w:fldCharType="separate"/>
      </w:r>
      <w:r w:rsidR="008238C8" w:rsidRPr="008238C8">
        <w:rPr>
          <w:rFonts w:ascii="Calibri" w:hAnsi="Calibri" w:cs="Calibri"/>
        </w:rPr>
        <w:t>(Mousa et al. 2016)</w:t>
      </w:r>
      <w:r w:rsidR="008238C8">
        <w:fldChar w:fldCharType="end"/>
      </w:r>
      <w:r w:rsidR="008238C8">
        <w:t>.</w:t>
      </w:r>
    </w:p>
    <w:p w14:paraId="0ADFAE85" w14:textId="1295AD95" w:rsidR="00225BF7" w:rsidRDefault="003B5E92" w:rsidP="005F4F16">
      <w:pPr>
        <w:spacing w:line="360" w:lineRule="auto"/>
        <w:jc w:val="both"/>
      </w:pPr>
      <w:r w:rsidRPr="003B5E92">
        <w:rPr>
          <w:noProof/>
        </w:rPr>
        <w:drawing>
          <wp:inline distT="0" distB="0" distL="0" distR="0" wp14:anchorId="1330F3F0" wp14:editId="7A938D3D">
            <wp:extent cx="4152900" cy="2234316"/>
            <wp:effectExtent l="0" t="0" r="0" b="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a:blip r:embed="rId28"/>
                    <a:stretch>
                      <a:fillRect/>
                    </a:stretch>
                  </pic:blipFill>
                  <pic:spPr>
                    <a:xfrm>
                      <a:off x="0" y="0"/>
                      <a:ext cx="4162030" cy="2239228"/>
                    </a:xfrm>
                    <a:prstGeom prst="rect">
                      <a:avLst/>
                    </a:prstGeom>
                  </pic:spPr>
                </pic:pic>
              </a:graphicData>
            </a:graphic>
          </wp:inline>
        </w:drawing>
      </w:r>
    </w:p>
    <w:p w14:paraId="3813F598" w14:textId="291C0325" w:rsidR="00D33078" w:rsidRDefault="00D33078" w:rsidP="00D33078">
      <w:pPr>
        <w:pStyle w:val="Caption"/>
      </w:pPr>
      <w:bookmarkStart w:id="34" w:name="_Toc127110910"/>
      <w:r>
        <w:t xml:space="preserve">Figure </w:t>
      </w:r>
      <w:fldSimple w:instr=" SEQ Figure \* ARABIC ">
        <w:r w:rsidR="00A0212F">
          <w:rPr>
            <w:noProof/>
          </w:rPr>
          <w:t>16</w:t>
        </w:r>
      </w:fldSimple>
      <w:r>
        <w:t xml:space="preserve"> The cost of charcoal production </w:t>
      </w:r>
      <w:r w:rsidR="000D7227">
        <w:fldChar w:fldCharType="begin"/>
      </w:r>
      <w:r w:rsidR="000D7227">
        <w:instrText xml:space="preserve"> ADDIN ZOTERO_ITEM CSL_CITATION {"citationID":"T5H8swyD","properties":{"formattedCitation":"(Suopaj\\uc0\\u228{}rvi and Fabritius 2013)","plainCitation":"(Suopajärvi and Fabritius 2013)","noteIndex":0},"citationItems":[{"id":1698,"uris":["http://zotero.org/users/local/AB2owHL2/items/GCVPYUYJ"],"itemData":{"id":1698,"type":"article-journal","abstract":"Replacement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schema":"https://github.com/citation-style-language/schema/raw/master/csl-citation.json"} </w:instrText>
      </w:r>
      <w:r w:rsidR="000D7227">
        <w:fldChar w:fldCharType="separate"/>
      </w:r>
      <w:r w:rsidR="000D7227" w:rsidRPr="000D7227">
        <w:rPr>
          <w:rFonts w:ascii="Calibri" w:hAnsi="Calibri" w:cs="Calibri"/>
          <w:szCs w:val="24"/>
        </w:rPr>
        <w:t>(Suopajärvi and Fabritius 2013)</w:t>
      </w:r>
      <w:bookmarkEnd w:id="34"/>
      <w:r w:rsidR="000D7227">
        <w:fldChar w:fldCharType="end"/>
      </w:r>
    </w:p>
    <w:p w14:paraId="00CE8F3C" w14:textId="58625E84" w:rsidR="00D84085" w:rsidRPr="009A29D7" w:rsidRDefault="000E288B" w:rsidP="007710EA">
      <w:pPr>
        <w:spacing w:line="360" w:lineRule="auto"/>
        <w:jc w:val="both"/>
      </w:pPr>
      <w:r>
        <w:t xml:space="preserve">Charcoal production costs range </w:t>
      </w:r>
      <w:r w:rsidR="004F266D">
        <w:t xml:space="preserve">from </w:t>
      </w:r>
      <w:r w:rsidR="00B62E3E">
        <w:rPr>
          <w:rFonts w:cstheme="minorHAnsi"/>
        </w:rPr>
        <w:t>€</w:t>
      </w:r>
      <w:r w:rsidR="00B62E3E">
        <w:t xml:space="preserve">268/t to </w:t>
      </w:r>
      <w:r w:rsidR="00B62E3E">
        <w:rPr>
          <w:rFonts w:cstheme="minorHAnsi"/>
        </w:rPr>
        <w:t>€</w:t>
      </w:r>
      <w:r w:rsidR="00610E34">
        <w:t xml:space="preserve">478/t, for logging residues. </w:t>
      </w:r>
      <w:r w:rsidR="002037EA">
        <w:t>Raw material costs account for</w:t>
      </w:r>
      <w:r w:rsidR="00E1406A">
        <w:t xml:space="preserve"> between 54% - 65.4% and transport</w:t>
      </w:r>
      <w:r w:rsidR="00682B58">
        <w:t>ation</w:t>
      </w:r>
      <w:r w:rsidR="00E1406A">
        <w:t xml:space="preserve"> costs </w:t>
      </w:r>
      <w:r w:rsidR="00682B58">
        <w:t>make up 21% - 34%</w:t>
      </w:r>
      <w:r w:rsidR="007710EA">
        <w:t xml:space="preserve">. Investment in </w:t>
      </w:r>
      <w:r w:rsidR="00157AEE">
        <w:t xml:space="preserve">Charcoal </w:t>
      </w:r>
      <w:r w:rsidR="007710EA">
        <w:t>production plants near to the steel plants would help to reduce costs significantly</w:t>
      </w:r>
      <w:r w:rsidR="00EB4EEF">
        <w:t xml:space="preserve"> </w:t>
      </w:r>
      <w:r w:rsidR="00C77A84">
        <w:fldChar w:fldCharType="begin"/>
      </w:r>
      <w:r w:rsidR="00C77A84">
        <w:instrText xml:space="preserve"> ADDIN ZOTERO_ITEM CSL_CITATION {"citationID":"H1Q2LYAs","properties":{"formattedCitation":"(Suopaj\\uc0\\u228{}rvi 2014)","plainCitation":"(Suopajärvi 2014)","noteIndex":0},"citationItems":[{"id":757,"uris":["http://zotero.org/users/local/AB2owHL2/items/9NTAJJT4"],"itemData":{"id":757,"type":"article-journal","abstract":"Most of the steel produced in the world is based on the integrated blast furnace-converter route, which is based on the use of virgin raw materials. Large amounts of fossil-based, carbon containing reductants are used in blast furnaces, which results in carbon dioxide emissions into the atmosphere. Fossil carbon dioxide emissions from steel production can be reduced by new technologies or moving from non-renewable to renewable energy sources. Biomass-based reductants could be one way to reduce the specific emissions from blast furnace-based steel production.","language":"en","page":"100","source":"Zotero","title":"Bioreducer use in blast furnace ironmaking in Finland : techno-economic assessment and CO2 emission reduction potential","author":[{"family":"Suopajärvi","given":"Hannu"}],"issued":{"date-parts":[["2014"]]}}}],"schema":"https://github.com/citation-style-language/schema/raw/master/csl-citation.json"} </w:instrText>
      </w:r>
      <w:r w:rsidR="00C77A84">
        <w:fldChar w:fldCharType="separate"/>
      </w:r>
      <w:r w:rsidR="00C77A84" w:rsidRPr="00C77A84">
        <w:rPr>
          <w:rFonts w:ascii="Calibri" w:hAnsi="Calibri" w:cs="Calibri"/>
          <w:szCs w:val="24"/>
        </w:rPr>
        <w:t>(Suopajärvi 2014)</w:t>
      </w:r>
      <w:r w:rsidR="00C77A84">
        <w:fldChar w:fldCharType="end"/>
      </w:r>
      <w:r w:rsidR="007710EA">
        <w:t>.</w:t>
      </w:r>
      <w:r w:rsidR="005C42FA">
        <w:t xml:space="preserve"> </w:t>
      </w:r>
      <w:r w:rsidR="005C42FA">
        <w:fldChar w:fldCharType="begin"/>
      </w:r>
      <w:r w:rsidR="005C42FA">
        <w:instrText xml:space="preserve"> ADDIN ZOTERO_ITEM CSL_CITATION {"citationID":"Es4vDOUE","properties":{"formattedCitation":"(Mandova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5C42FA">
        <w:fldChar w:fldCharType="separate"/>
      </w:r>
      <w:r w:rsidR="005C42FA" w:rsidRPr="005C42FA">
        <w:rPr>
          <w:rFonts w:ascii="Calibri" w:hAnsi="Calibri" w:cs="Calibri"/>
        </w:rPr>
        <w:t>(Mandova et al. 2018)</w:t>
      </w:r>
      <w:r w:rsidR="005C42FA">
        <w:fldChar w:fldCharType="end"/>
      </w:r>
      <w:r w:rsidR="005C42FA">
        <w:t xml:space="preserve"> </w:t>
      </w:r>
      <w:r w:rsidR="009A29D7">
        <w:t>found that maximising CO</w:t>
      </w:r>
      <w:r w:rsidR="009A29D7" w:rsidRPr="009A29D7">
        <w:rPr>
          <w:vertAlign w:val="subscript"/>
        </w:rPr>
        <w:t>2</w:t>
      </w:r>
      <w:r w:rsidR="009A29D7">
        <w:t xml:space="preserve"> reduction </w:t>
      </w:r>
      <w:r w:rsidR="00F23F49">
        <w:t>using</w:t>
      </w:r>
      <w:r w:rsidR="009A29D7">
        <w:t xml:space="preserve"> biomass</w:t>
      </w:r>
      <w:r w:rsidR="00810CC5">
        <w:t xml:space="preserve"> would increase steel production costs by 50%</w:t>
      </w:r>
      <w:r w:rsidR="00C10C56">
        <w:t xml:space="preserve">. </w:t>
      </w:r>
      <w:r w:rsidR="00F0671F">
        <w:t>This would therefore require that the EUETS CO</w:t>
      </w:r>
      <w:r w:rsidR="00F0671F" w:rsidRPr="00F266D7">
        <w:rPr>
          <w:vertAlign w:val="subscript"/>
        </w:rPr>
        <w:t>2</w:t>
      </w:r>
      <w:r w:rsidR="00F0671F">
        <w:t xml:space="preserve"> price should be set at </w:t>
      </w:r>
      <w:r w:rsidR="0027281A">
        <w:t>124</w:t>
      </w:r>
      <w:r w:rsidR="00941132">
        <w:t xml:space="preserve"> £/t</w:t>
      </w:r>
      <w:r w:rsidR="008C5F3E">
        <w:t xml:space="preserve"> to encourage the use of biomass. They found that the carbon tax would </w:t>
      </w:r>
      <w:r w:rsidR="00922CF9">
        <w:t>severely impact upon</w:t>
      </w:r>
      <w:r w:rsidR="008C5F3E">
        <w:t xml:space="preserve"> cost of steelmaking </w:t>
      </w:r>
      <w:r w:rsidR="00922CF9">
        <w:t>in Europe and that other measures such as subsid</w:t>
      </w:r>
      <w:r w:rsidR="00F23F49">
        <w:t>i</w:t>
      </w:r>
      <w:r w:rsidR="00922CF9">
        <w:t>es or tax relief should be considered.</w:t>
      </w:r>
      <w:r w:rsidR="008C5F3E">
        <w:t xml:space="preserve"> </w:t>
      </w:r>
    </w:p>
    <w:p w14:paraId="0BBC3F0A" w14:textId="172FE8FB" w:rsidR="00133213" w:rsidRDefault="000B651A" w:rsidP="007710EA">
      <w:pPr>
        <w:spacing w:line="360" w:lineRule="auto"/>
        <w:jc w:val="both"/>
      </w:pPr>
      <w:r>
        <w:fldChar w:fldCharType="begin"/>
      </w:r>
      <w:r>
        <w:instrText xml:space="preserve"> ADDIN ZOTERO_ITEM CSL_CITATION {"citationID":"PpRey49h","properties":{"formattedCitation":"(Mathieson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fldChar w:fldCharType="separate"/>
      </w:r>
      <w:r w:rsidRPr="000B651A">
        <w:rPr>
          <w:rFonts w:ascii="Calibri" w:hAnsi="Calibri" w:cs="Calibri"/>
        </w:rPr>
        <w:t>(Mathieson et al. 2011)</w:t>
      </w:r>
      <w:r>
        <w:fldChar w:fldCharType="end"/>
      </w:r>
      <w:r w:rsidR="00CE768B">
        <w:t xml:space="preserve"> </w:t>
      </w:r>
      <w:r w:rsidR="00170628">
        <w:t>showed</w:t>
      </w:r>
      <w:r w:rsidR="00CE768B">
        <w:t xml:space="preserve"> the value in us</w:t>
      </w:r>
      <w:r w:rsidR="007F5C5E">
        <w:t>e</w:t>
      </w:r>
      <w:r w:rsidR="00CE768B">
        <w:t xml:space="preserve"> (VUI</w:t>
      </w:r>
      <w:r w:rsidR="007F5C5E">
        <w:t xml:space="preserve">) of various charcoal </w:t>
      </w:r>
      <w:r w:rsidR="00A33EA2">
        <w:t>examples</w:t>
      </w:r>
      <w:r w:rsidR="007F5C5E">
        <w:t xml:space="preserve"> compared with</w:t>
      </w:r>
      <w:r w:rsidR="00A33EA2">
        <w:t xml:space="preserve"> diffe</w:t>
      </w:r>
      <w:r w:rsidR="00AD224F">
        <w:t>rent</w:t>
      </w:r>
      <w:r w:rsidR="007F5C5E">
        <w:t xml:space="preserve"> coal</w:t>
      </w:r>
      <w:r w:rsidR="00A33EA2">
        <w:t>s</w:t>
      </w:r>
      <w:r w:rsidR="007F5C5E">
        <w:t xml:space="preserve"> for BF t</w:t>
      </w:r>
      <w:r w:rsidR="00B406D8">
        <w:t>uyere injection at 140kg/t-HM shown in figure</w:t>
      </w:r>
      <w:r w:rsidR="00F77978">
        <w:t xml:space="preserve"> </w:t>
      </w:r>
      <w:r w:rsidR="00B406D8">
        <w:t>1</w:t>
      </w:r>
      <w:r w:rsidR="00F96C05">
        <w:t>7</w:t>
      </w:r>
      <w:r w:rsidR="00C32434">
        <w:t>.</w:t>
      </w:r>
      <w:r w:rsidR="0089298A">
        <w:t xml:space="preserve"> </w:t>
      </w:r>
      <w:r w:rsidR="00776BF5">
        <w:t>Three charcoal samples had calculated</w:t>
      </w:r>
      <w:r w:rsidR="007933C1">
        <w:t xml:space="preserve"> values</w:t>
      </w:r>
      <w:r w:rsidR="00776BF5">
        <w:t xml:space="preserve"> 50% greater than the reference bituminous coal</w:t>
      </w:r>
      <w:r w:rsidR="00AF0D09">
        <w:t>.</w:t>
      </w:r>
      <w:r w:rsidR="00780E7F">
        <w:t xml:space="preserve"> </w:t>
      </w:r>
      <w:r w:rsidR="001678C3">
        <w:t>The reason for this is the predicted lower BF coke rates and improved hot metal composition</w:t>
      </w:r>
      <w:r w:rsidR="00731326">
        <w:t>.</w:t>
      </w:r>
    </w:p>
    <w:p w14:paraId="4140A917" w14:textId="23EAE02D" w:rsidR="00AF0D09" w:rsidRDefault="00AF0D09" w:rsidP="007710EA">
      <w:pPr>
        <w:spacing w:line="360" w:lineRule="auto"/>
        <w:jc w:val="both"/>
      </w:pPr>
      <w:r w:rsidRPr="00AF0D09">
        <w:rPr>
          <w:noProof/>
        </w:rPr>
        <w:drawing>
          <wp:inline distT="0" distB="0" distL="0" distR="0" wp14:anchorId="04A6D8F2" wp14:editId="28BC25BD">
            <wp:extent cx="4702138" cy="2162755"/>
            <wp:effectExtent l="0" t="0" r="3810" b="9525"/>
            <wp:docPr id="27" name="Picture 2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29"/>
                    <a:stretch>
                      <a:fillRect/>
                    </a:stretch>
                  </pic:blipFill>
                  <pic:spPr>
                    <a:xfrm>
                      <a:off x="0" y="0"/>
                      <a:ext cx="4835888" cy="2224273"/>
                    </a:xfrm>
                    <a:prstGeom prst="rect">
                      <a:avLst/>
                    </a:prstGeom>
                  </pic:spPr>
                </pic:pic>
              </a:graphicData>
            </a:graphic>
          </wp:inline>
        </w:drawing>
      </w:r>
    </w:p>
    <w:p w14:paraId="2CB194E5" w14:textId="26E3784A" w:rsidR="009E56D4" w:rsidRDefault="00AF0D09" w:rsidP="0099718A">
      <w:pPr>
        <w:pStyle w:val="Caption"/>
      </w:pPr>
      <w:bookmarkStart w:id="35" w:name="_Toc127110911"/>
      <w:r>
        <w:t xml:space="preserve">Figure </w:t>
      </w:r>
      <w:fldSimple w:instr=" SEQ Figure \* ARABIC ">
        <w:r w:rsidR="00A0212F">
          <w:rPr>
            <w:noProof/>
          </w:rPr>
          <w:t>17</w:t>
        </w:r>
      </w:fldSimple>
      <w:r>
        <w:t xml:space="preserve"> Calculated VUI's for BF </w:t>
      </w:r>
      <w:r w:rsidR="00AD224F">
        <w:t xml:space="preserve">fuels </w:t>
      </w:r>
      <w:r>
        <w:t xml:space="preserve">and </w:t>
      </w:r>
      <w:r w:rsidR="00B6584F">
        <w:t xml:space="preserve">subsequent </w:t>
      </w:r>
      <w:r>
        <w:t>CO2 emissions from the BF</w:t>
      </w:r>
      <w:r w:rsidR="00853BE5">
        <w:t xml:space="preserve"> </w:t>
      </w:r>
      <w:r w:rsidR="00853BE5">
        <w:fldChar w:fldCharType="begin"/>
      </w:r>
      <w:r w:rsidR="00853BE5">
        <w:instrText xml:space="preserve"> ADDIN ZOTERO_ITEM CSL_CITATION {"citationID":"E9TyAMfY","properties":{"formattedCitation":"(Mathieson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853BE5">
        <w:fldChar w:fldCharType="separate"/>
      </w:r>
      <w:r w:rsidR="00853BE5" w:rsidRPr="00853BE5">
        <w:rPr>
          <w:rFonts w:ascii="Calibri" w:hAnsi="Calibri" w:cs="Calibri"/>
        </w:rPr>
        <w:t>(Mathieson et al. 2011)</w:t>
      </w:r>
      <w:bookmarkEnd w:id="35"/>
      <w:r w:rsidR="00853BE5">
        <w:fldChar w:fldCharType="end"/>
      </w:r>
    </w:p>
    <w:p w14:paraId="5F1FD60E" w14:textId="6D246F30" w:rsidR="00BF1844" w:rsidRDefault="002C76A9" w:rsidP="00ED14A2">
      <w:pPr>
        <w:pStyle w:val="Heading1"/>
        <w:spacing w:line="360" w:lineRule="auto"/>
        <w:jc w:val="both"/>
      </w:pPr>
      <w:bookmarkStart w:id="36" w:name="_Toc127911441"/>
      <w:r>
        <w:lastRenderedPageBreak/>
        <w:t>Analysis</w:t>
      </w:r>
      <w:bookmarkEnd w:id="36"/>
    </w:p>
    <w:p w14:paraId="0AFB4F57" w14:textId="123517E8" w:rsidR="00276302" w:rsidRDefault="00276302" w:rsidP="00ED14A2">
      <w:pPr>
        <w:spacing w:line="360" w:lineRule="auto"/>
        <w:jc w:val="both"/>
      </w:pPr>
      <w:r>
        <w:t xml:space="preserve">Two biochar samples </w:t>
      </w:r>
      <w:r w:rsidR="00ED14A2">
        <w:t>were considered for assessment. The first sample</w:t>
      </w:r>
      <w:r w:rsidR="00CA4EE7">
        <w:t xml:space="preserve"> (biochar 1)</w:t>
      </w:r>
      <w:r w:rsidR="00ED14A2">
        <w:t xml:space="preserve"> is a </w:t>
      </w:r>
      <w:r w:rsidR="004E2ED0">
        <w:t xml:space="preserve">softwood pellet biochar that has been </w:t>
      </w:r>
      <w:proofErr w:type="spellStart"/>
      <w:r w:rsidR="004E2ED0">
        <w:t>pyrolysed</w:t>
      </w:r>
      <w:proofErr w:type="spellEnd"/>
      <w:r w:rsidR="004E2ED0">
        <w:t xml:space="preserve"> at 650</w:t>
      </w:r>
      <w:r w:rsidR="004E2ED0" w:rsidRPr="004E2ED0">
        <w:rPr>
          <w:vertAlign w:val="superscript"/>
        </w:rPr>
        <w:t>0</w:t>
      </w:r>
      <w:r w:rsidR="004E2ED0">
        <w:t>c</w:t>
      </w:r>
      <w:r w:rsidR="009663B3">
        <w:t xml:space="preserve"> </w:t>
      </w:r>
      <w:r w:rsidR="00970AA6">
        <w:t>in a rotary kiln</w:t>
      </w:r>
      <w:r w:rsidR="00242F56">
        <w:t xml:space="preserve"> </w:t>
      </w:r>
      <w:r w:rsidR="00242F56">
        <w:fldChar w:fldCharType="begin"/>
      </w:r>
      <w:r w:rsidR="00242F56">
        <w:instrText xml:space="preserve"> ADDIN ZOTERO_ITEM CSL_CITATION {"citationID":"x2N6WC5c","properties":{"formattedCitation":"(Ma\\uc0\\u353{}ek et al. 2018)","plainCitation":"(Mašek et al. 2018)","noteIndex":0},"citationItems":[{"id":1896,"uris":["http://zotero.org/users/local/AB2owHL2/items/2KNFXK2A"],"itemData":{"id":1896,"type":"article-journal","abstract":"Users of biochar in the field require this product to reliably meet its declared specifications. For the first time, this work investigated, whether these specifications could be reproducibly obtained as a sole function of the thermal history of the biomass feedstock during slow pyrolysis, irrespective of the type and scale of the production unit. Using volatile matter content as a proxy for a wider set of biochar quality parameters, biochar from units at scales from grams to hundreds of kilograms, representing three main types of slow pyrolysis units (fixed bed, screw reactor and rotary kiln) were investigated. For the first time we showed that comparable biochar could be produced by these very different pyrolysis units, with good reproducibility within individual as well as among separate production runs.","container-title":"Journal of Analytical and Applied Pyrolysis","DOI":"10.1016/j.jaap.2018.02.020","ISSN":"0165-2370","journalAbbreviation":"Journal of Analytical and Applied Pyrolysis","language":"en","page":"200-210","source":"ScienceDirect","title":"Consistency of biochar properties over time and production scales: A characterisation of standard materials","title-short":"Consistency of biochar properties over time and production scales","URL":"https://www.sciencedirect.com/science/article/pii/S0165237017311178","volume":"132","author":[{"family":"Mašek","given":"Ondřej"},{"family":"Buss","given":"Wolfram"},{"family":"Roy-Poirier","given":"Audrey"},{"family":"Lowe","given":"Walter"},{"family":"Peters","given":"Clare"},{"family":"Brownsort","given":"Peter"},{"family":"Mignard","given":"Dimitri"},{"family":"Pritchard","given":"Colin"},{"family":"Sohi","given":"Saran"}],"accessed":{"date-parts":[["2022",8,22]]},"issued":{"date-parts":[["2018",6,1]]}}}],"schema":"https://github.com/citation-style-language/schema/raw/master/csl-citation.json"} </w:instrText>
      </w:r>
      <w:r w:rsidR="00242F56">
        <w:fldChar w:fldCharType="separate"/>
      </w:r>
      <w:r w:rsidR="00242F56" w:rsidRPr="00242F56">
        <w:rPr>
          <w:rFonts w:ascii="Calibri" w:hAnsi="Calibri" w:cs="Calibri"/>
          <w:szCs w:val="24"/>
        </w:rPr>
        <w:t>(Mašek et al. 2018)</w:t>
      </w:r>
      <w:r w:rsidR="00242F56">
        <w:fldChar w:fldCharType="end"/>
      </w:r>
      <w:r w:rsidR="0010636B">
        <w:t xml:space="preserve"> shown below in figure</w:t>
      </w:r>
      <w:r w:rsidR="00CC1C9B">
        <w:t xml:space="preserve"> </w:t>
      </w:r>
      <w:r w:rsidR="00F96C05">
        <w:t>18</w:t>
      </w:r>
      <w:r w:rsidR="00CC1C9B">
        <w:t>.</w:t>
      </w:r>
    </w:p>
    <w:p w14:paraId="54E7BECE" w14:textId="204F755F" w:rsidR="0010636B" w:rsidRPr="00276302" w:rsidRDefault="0010636B" w:rsidP="00CB3040">
      <w:pPr>
        <w:spacing w:line="360" w:lineRule="auto"/>
        <w:jc w:val="both"/>
      </w:pPr>
      <w:r w:rsidRPr="0010636B">
        <w:rPr>
          <w:noProof/>
        </w:rPr>
        <w:drawing>
          <wp:inline distT="0" distB="0" distL="0" distR="0" wp14:anchorId="13A17E4A" wp14:editId="3D196BDB">
            <wp:extent cx="4881880" cy="2425148"/>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0"/>
                    <a:stretch>
                      <a:fillRect/>
                    </a:stretch>
                  </pic:blipFill>
                  <pic:spPr>
                    <a:xfrm>
                      <a:off x="0" y="0"/>
                      <a:ext cx="4895692" cy="2432009"/>
                    </a:xfrm>
                    <a:prstGeom prst="rect">
                      <a:avLst/>
                    </a:prstGeom>
                  </pic:spPr>
                </pic:pic>
              </a:graphicData>
            </a:graphic>
          </wp:inline>
        </w:drawing>
      </w:r>
    </w:p>
    <w:p w14:paraId="509A7D4B" w14:textId="17A742F1" w:rsidR="00CB3040" w:rsidRDefault="00CB3040" w:rsidP="00CB3040">
      <w:pPr>
        <w:pStyle w:val="Caption"/>
        <w:jc w:val="both"/>
      </w:pPr>
      <w:bookmarkStart w:id="37" w:name="_Toc127110912"/>
      <w:r>
        <w:t xml:space="preserve">Figure </w:t>
      </w:r>
      <w:fldSimple w:instr=" SEQ Figure \* ARABIC ">
        <w:r w:rsidR="00A0212F">
          <w:rPr>
            <w:noProof/>
          </w:rPr>
          <w:t>18</w:t>
        </w:r>
      </w:fldSimple>
      <w:r>
        <w:t xml:space="preserve"> </w:t>
      </w:r>
      <w:r w:rsidRPr="00CB3040">
        <w:t>Rotary kiln pilot-scale pyrolysis unit</w:t>
      </w:r>
      <w:r>
        <w:t xml:space="preserve"> used to make </w:t>
      </w:r>
      <w:r w:rsidR="00C808CD">
        <w:t xml:space="preserve">biochar 1 </w:t>
      </w:r>
      <w:r w:rsidR="00C808CD">
        <w:fldChar w:fldCharType="begin"/>
      </w:r>
      <w:r w:rsidR="00C808CD">
        <w:instrText xml:space="preserve"> ADDIN ZOTERO_ITEM CSL_CITATION {"citationID":"DNS9lTMQ","properties":{"formattedCitation":"(Ma\\uc0\\u353{}ek et al. 2018)","plainCitation":"(Mašek et al. 2018)","noteIndex":0},"citationItems":[{"id":1896,"uris":["http://zotero.org/users/local/AB2owHL2/items/2KNFXK2A"],"itemData":{"id":1896,"type":"article-journal","abstract":"Users of biochar in the field require this product to reliably meet its declared specifications. For the first time, this work investigated, whether these specifications could be reproducibly obtained as a sole function of the thermal history of the biomass feedstock during slow pyrolysis, irrespective of the type and scale of the production unit. Using volatile matter content as a proxy for a wider set of biochar quality parameters, biochar from units at scales from grams to hundreds of kilograms, representing three main types of slow pyrolysis units (fixed bed, screw reactor and rotary kiln) were investigated. For the first time we showed that comparable biochar could be produced by these very different pyrolysis units, with good reproducibility within individual as well as among separate production runs.","container-title":"Journal of Analytical and Applied Pyrolysis","DOI":"10.1016/j.jaap.2018.02.020","ISSN":"0165-2370","journalAbbreviation":"Journal of Analytical and Applied Pyrolysis","language":"en","page":"200-210","source":"ScienceDirect","title":"Consistency of biochar properties over time and production scales: A characterisation of standard materials","title-short":"Consistency of biochar properties over time and production scales","URL":"https://www.sciencedirect.com/science/article/pii/S0165237017311178","volume":"132","author":[{"family":"Mašek","given":"Ondřej"},{"family":"Buss","given":"Wolfram"},{"family":"Roy-Poirier","given":"Audrey"},{"family":"Lowe","given":"Walter"},{"family":"Peters","given":"Clare"},{"family":"Brownsort","given":"Peter"},{"family":"Mignard","given":"Dimitri"},{"family":"Pritchard","given":"Colin"},{"family":"Sohi","given":"Saran"}],"accessed":{"date-parts":[["2022",8,22]]},"issued":{"date-parts":[["2018",6,1]]}}}],"schema":"https://github.com/citation-style-language/schema/raw/master/csl-citation.json"} </w:instrText>
      </w:r>
      <w:r w:rsidR="00C808CD">
        <w:fldChar w:fldCharType="separate"/>
      </w:r>
      <w:r w:rsidR="00C808CD" w:rsidRPr="00C808CD">
        <w:rPr>
          <w:rFonts w:ascii="Calibri" w:hAnsi="Calibri" w:cs="Calibri"/>
          <w:szCs w:val="24"/>
        </w:rPr>
        <w:t>(Mašek et al. 2018)</w:t>
      </w:r>
      <w:bookmarkEnd w:id="37"/>
      <w:r w:rsidR="00C808CD">
        <w:fldChar w:fldCharType="end"/>
      </w:r>
    </w:p>
    <w:p w14:paraId="4BAD1CBE" w14:textId="1F3FB978" w:rsidR="00807323" w:rsidRDefault="00CA4EE7" w:rsidP="00B42EC1">
      <w:pPr>
        <w:spacing w:line="360" w:lineRule="auto"/>
        <w:jc w:val="both"/>
      </w:pPr>
      <w:r>
        <w:t>The second sample (biochar 2) is a mixed hardwood sample</w:t>
      </w:r>
      <w:r w:rsidR="00721BCC">
        <w:t xml:space="preserve"> sourced from industry waste.</w:t>
      </w:r>
      <w:r w:rsidR="00B00637">
        <w:t xml:space="preserve"> </w:t>
      </w:r>
      <w:r w:rsidR="004C1247">
        <w:t>For which the process parameters and specifications were unavailable.</w:t>
      </w:r>
    </w:p>
    <w:p w14:paraId="726E172F" w14:textId="148D4DF2" w:rsidR="00721BCC" w:rsidRPr="00807323" w:rsidRDefault="0073714B" w:rsidP="00B42EC1">
      <w:pPr>
        <w:spacing w:line="360" w:lineRule="auto"/>
        <w:jc w:val="both"/>
      </w:pPr>
      <w:r>
        <w:t xml:space="preserve">Before </w:t>
      </w:r>
      <w:r w:rsidR="005B5BC5">
        <w:t xml:space="preserve">these materials can be assessed for use in the iron making processes it is necessary to fully understand their </w:t>
      </w:r>
      <w:r w:rsidR="00B42EC1">
        <w:t>chemi</w:t>
      </w:r>
      <w:r w:rsidR="00E95FB8">
        <w:t>cal</w:t>
      </w:r>
      <w:r w:rsidR="00B42EC1">
        <w:t xml:space="preserve"> and physical properties</w:t>
      </w:r>
      <w:r w:rsidR="00D943C6">
        <w:t xml:space="preserve"> to ensure they are suitable for the </w:t>
      </w:r>
      <w:r w:rsidR="00E95FB8">
        <w:t>processes they are being assessed in</w:t>
      </w:r>
      <w:r w:rsidR="00B42EC1">
        <w:t xml:space="preserve">. These can then be compared </w:t>
      </w:r>
      <w:r w:rsidR="00E95FB8">
        <w:t>with</w:t>
      </w:r>
      <w:r w:rsidR="00B42EC1">
        <w:t xml:space="preserve"> the fossil fuels they are replacing</w:t>
      </w:r>
      <w:r w:rsidR="00C13ED5">
        <w:t>.</w:t>
      </w:r>
      <w:r w:rsidR="00D943C6">
        <w:t xml:space="preserve"> </w:t>
      </w:r>
    </w:p>
    <w:p w14:paraId="0D0954A6" w14:textId="1CC0BB01" w:rsidR="00EA610D" w:rsidRDefault="00EA610D" w:rsidP="00B9022B">
      <w:pPr>
        <w:pStyle w:val="Heading2"/>
        <w:spacing w:line="360" w:lineRule="auto"/>
        <w:jc w:val="both"/>
      </w:pPr>
      <w:bookmarkStart w:id="38" w:name="_Toc127911442"/>
      <w:r>
        <w:t>Biochar characterisation</w:t>
      </w:r>
      <w:bookmarkEnd w:id="38"/>
    </w:p>
    <w:p w14:paraId="139AA4CE" w14:textId="77777777" w:rsidR="00EA610D" w:rsidRDefault="00EA610D" w:rsidP="00F22780">
      <w:pPr>
        <w:pStyle w:val="Heading3"/>
        <w:spacing w:line="360" w:lineRule="auto"/>
        <w:jc w:val="both"/>
      </w:pPr>
      <w:bookmarkStart w:id="39" w:name="_Toc127911443"/>
      <w:r>
        <w:t>Proximate analysis</w:t>
      </w:r>
      <w:bookmarkEnd w:id="39"/>
    </w:p>
    <w:p w14:paraId="2DE96BF2" w14:textId="3131FDDF" w:rsidR="008764B9" w:rsidRDefault="00BC32FC" w:rsidP="00F22780">
      <w:pPr>
        <w:spacing w:line="360" w:lineRule="auto"/>
        <w:jc w:val="both"/>
      </w:pPr>
      <w:r>
        <w:t>Proximate analysis</w:t>
      </w:r>
      <w:r w:rsidR="00437106">
        <w:t xml:space="preserve"> </w:t>
      </w:r>
      <w:r w:rsidR="009C3EFF">
        <w:t>is widely accepted as the basis for coal characterisation</w:t>
      </w:r>
      <w:r w:rsidR="00D606D4">
        <w:t xml:space="preserve"> in connection with the </w:t>
      </w:r>
      <w:r w:rsidR="00F22780">
        <w:t xml:space="preserve">utilisation of coal. </w:t>
      </w:r>
      <w:r w:rsidR="00281028">
        <w:t xml:space="preserve">Proximate analysis </w:t>
      </w:r>
      <w:r w:rsidR="00D5699A">
        <w:t xml:space="preserve">is a means of determining the products </w:t>
      </w:r>
      <w:r w:rsidR="00C30809">
        <w:t>obtained when a coal sample is heated under specific conditions.</w:t>
      </w:r>
      <w:r w:rsidR="00BA0CC1">
        <w:t xml:space="preserve"> The proximate analysis of coal </w:t>
      </w:r>
      <w:r w:rsidR="005C12B9">
        <w:t>separates these products into four groups</w:t>
      </w:r>
      <w:r w:rsidR="00F11D87">
        <w:t xml:space="preserve"> </w:t>
      </w:r>
      <w:r w:rsidR="00F11D87">
        <w:fldChar w:fldCharType="begin"/>
      </w:r>
      <w:r w:rsidR="00F11D87">
        <w:instrText xml:space="preserve"> ADDIN ZOTERO_ITEM CSL_CITATION {"citationID":"lopniFiW","properties":{"formattedCitation":"(Speight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F11D87">
        <w:fldChar w:fldCharType="separate"/>
      </w:r>
      <w:r w:rsidR="00F11D87" w:rsidRPr="00F10B28">
        <w:rPr>
          <w:rFonts w:ascii="Calibri" w:hAnsi="Calibri" w:cs="Calibri"/>
        </w:rPr>
        <w:t>(Speight 2015)</w:t>
      </w:r>
      <w:r w:rsidR="00F11D87">
        <w:fldChar w:fldCharType="end"/>
      </w:r>
      <w:r w:rsidR="00A14EB3">
        <w:t xml:space="preserve">, see figure </w:t>
      </w:r>
      <w:r w:rsidR="00F96C05">
        <w:t>19</w:t>
      </w:r>
      <w:r w:rsidR="000C48D3">
        <w:t>.</w:t>
      </w:r>
      <w:r w:rsidR="0083035C">
        <w:t xml:space="preserve"> </w:t>
      </w:r>
    </w:p>
    <w:p w14:paraId="59F09EC7" w14:textId="207F3F83" w:rsidR="005D5436" w:rsidRDefault="008F045F" w:rsidP="005D5436">
      <w:pPr>
        <w:pStyle w:val="ListParagraph"/>
        <w:numPr>
          <w:ilvl w:val="0"/>
          <w:numId w:val="11"/>
        </w:numPr>
        <w:spacing w:line="360" w:lineRule="auto"/>
        <w:jc w:val="both"/>
      </w:pPr>
      <w:r>
        <w:t>Moisture -</w:t>
      </w:r>
      <w:r w:rsidR="00744D1A">
        <w:t xml:space="preserve"> Water content</w:t>
      </w:r>
      <w:r w:rsidR="003A5F80">
        <w:t>.</w:t>
      </w:r>
    </w:p>
    <w:p w14:paraId="5F1F2EDC" w14:textId="1D4A3466" w:rsidR="005D5436" w:rsidRDefault="005D5436" w:rsidP="005D5436">
      <w:pPr>
        <w:pStyle w:val="ListParagraph"/>
        <w:numPr>
          <w:ilvl w:val="0"/>
          <w:numId w:val="11"/>
        </w:numPr>
        <w:spacing w:line="360" w:lineRule="auto"/>
        <w:jc w:val="both"/>
      </w:pPr>
      <w:r>
        <w:t xml:space="preserve">Volatile matter </w:t>
      </w:r>
      <w:r w:rsidR="00744D1A">
        <w:t xml:space="preserve">– the gases and vapours driven off during </w:t>
      </w:r>
      <w:r w:rsidR="003A5F80">
        <w:t>pyrolysis.</w:t>
      </w:r>
      <w:r w:rsidR="00744D1A">
        <w:t xml:space="preserve"> </w:t>
      </w:r>
    </w:p>
    <w:p w14:paraId="54D727ED" w14:textId="4CB44E3E" w:rsidR="00833A21" w:rsidRDefault="00B17EED" w:rsidP="005D5436">
      <w:pPr>
        <w:pStyle w:val="ListParagraph"/>
        <w:numPr>
          <w:ilvl w:val="0"/>
          <w:numId w:val="11"/>
        </w:numPr>
        <w:spacing w:line="360" w:lineRule="auto"/>
        <w:jc w:val="both"/>
      </w:pPr>
      <w:r>
        <w:t>Ash – The inorganic residue remaining after combustion</w:t>
      </w:r>
      <w:r w:rsidR="003A5F80">
        <w:t>.</w:t>
      </w:r>
    </w:p>
    <w:p w14:paraId="32584E10" w14:textId="3C2A8F91" w:rsidR="007A4F75" w:rsidRDefault="007A4F75" w:rsidP="007A4F75">
      <w:pPr>
        <w:pStyle w:val="ListParagraph"/>
        <w:numPr>
          <w:ilvl w:val="0"/>
          <w:numId w:val="11"/>
        </w:numPr>
        <w:spacing w:line="360" w:lineRule="auto"/>
        <w:jc w:val="both"/>
      </w:pPr>
      <w:r>
        <w:t>Fixed carbon – The non-volatile fraction of coal</w:t>
      </w:r>
      <w:r w:rsidR="003A5F80">
        <w:t>.</w:t>
      </w:r>
    </w:p>
    <w:p w14:paraId="2995F7B3" w14:textId="47D28EDC" w:rsidR="00B17EED" w:rsidRDefault="00B17EED" w:rsidP="005D5436">
      <w:pPr>
        <w:pStyle w:val="ListParagraph"/>
        <w:numPr>
          <w:ilvl w:val="0"/>
          <w:numId w:val="11"/>
        </w:numPr>
        <w:spacing w:line="360" w:lineRule="auto"/>
        <w:jc w:val="both"/>
      </w:pPr>
      <w:r>
        <w:t>Free swell index – The swelling properties of the coal</w:t>
      </w:r>
      <w:r w:rsidR="003A5F80">
        <w:t>.</w:t>
      </w:r>
    </w:p>
    <w:p w14:paraId="6E3170BE" w14:textId="4EF0DE13" w:rsidR="001C6466" w:rsidRDefault="001C6466" w:rsidP="008F045F">
      <w:pPr>
        <w:spacing w:line="360" w:lineRule="auto"/>
        <w:jc w:val="both"/>
      </w:pPr>
      <w:r w:rsidRPr="001C6466">
        <w:rPr>
          <w:noProof/>
        </w:rPr>
        <w:lastRenderedPageBreak/>
        <w:drawing>
          <wp:inline distT="0" distB="0" distL="0" distR="0" wp14:anchorId="09845DEA" wp14:editId="1A2F67CE">
            <wp:extent cx="3450866" cy="2415607"/>
            <wp:effectExtent l="0" t="0" r="0" b="0"/>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able&#10;&#10;Description automatically generated"/>
                    <pic:cNvPicPr/>
                  </pic:nvPicPr>
                  <pic:blipFill>
                    <a:blip r:embed="rId31"/>
                    <a:stretch>
                      <a:fillRect/>
                    </a:stretch>
                  </pic:blipFill>
                  <pic:spPr>
                    <a:xfrm>
                      <a:off x="0" y="0"/>
                      <a:ext cx="3469566" cy="2428697"/>
                    </a:xfrm>
                    <a:prstGeom prst="rect">
                      <a:avLst/>
                    </a:prstGeom>
                  </pic:spPr>
                </pic:pic>
              </a:graphicData>
            </a:graphic>
          </wp:inline>
        </w:drawing>
      </w:r>
    </w:p>
    <w:p w14:paraId="772D0B4C" w14:textId="4B2247E6" w:rsidR="00A14EB3" w:rsidRDefault="00A14EB3" w:rsidP="00A14EB3">
      <w:pPr>
        <w:pStyle w:val="Caption"/>
      </w:pPr>
      <w:bookmarkStart w:id="40" w:name="_Toc127110913"/>
      <w:r>
        <w:t xml:space="preserve">Figure </w:t>
      </w:r>
      <w:fldSimple w:instr=" SEQ Figure \* ARABIC ">
        <w:r w:rsidR="00A0212F">
          <w:rPr>
            <w:noProof/>
          </w:rPr>
          <w:t>19</w:t>
        </w:r>
      </w:fldSimple>
      <w:r>
        <w:t xml:space="preserve"> The components of coal</w:t>
      </w:r>
      <w:r w:rsidR="004C4D87">
        <w:t xml:space="preserve"> </w:t>
      </w:r>
      <w:r w:rsidR="004C4D87">
        <w:fldChar w:fldCharType="begin"/>
      </w:r>
      <w:r w:rsidR="004C4D87">
        <w:instrText xml:space="preserve"> ADDIN ZOTERO_ITEM CSL_CITATION {"citationID":"H0qgB1PR","properties":{"formattedCitation":"(Backus 2022)","plainCitation":"(Backus 2022)","noteIndex":0},"citationItems":[{"id":1943,"uris":["http://zotero.org/users/local/AB2owHL2/items/JUGPZ4Z3"],"itemData":{"id":1943,"type":"webpage","container-title":", Kentucky Geological Survey, University of Kentucky","genre":"University","title":"​​Volatile Matter (Part of Proximate Analysis), Coal Analysis","URL":"http://www.uky.edu/KGS/coal/coal-analyses-volatile-matter.php","author":[{"family":"Backus","given":"Jason"}],"accessed":{"date-parts":[["2022",9,14]]},"issued":{"date-parts":[["2022"]]}}}],"schema":"https://github.com/citation-style-language/schema/raw/master/csl-citation.json"} </w:instrText>
      </w:r>
      <w:r w:rsidR="004C4D87">
        <w:fldChar w:fldCharType="separate"/>
      </w:r>
      <w:r w:rsidR="004C4D87" w:rsidRPr="004C4D87">
        <w:rPr>
          <w:rFonts w:ascii="Calibri" w:hAnsi="Calibri" w:cs="Calibri"/>
        </w:rPr>
        <w:t>(Backus 2022)</w:t>
      </w:r>
      <w:bookmarkEnd w:id="40"/>
      <w:r w:rsidR="004C4D87">
        <w:fldChar w:fldCharType="end"/>
      </w:r>
    </w:p>
    <w:p w14:paraId="2EB127E3" w14:textId="77777777" w:rsidR="00EA610D" w:rsidRDefault="00EA610D" w:rsidP="00F65225">
      <w:pPr>
        <w:pStyle w:val="Heading4"/>
        <w:spacing w:line="360" w:lineRule="auto"/>
        <w:jc w:val="both"/>
      </w:pPr>
      <w:r>
        <w:t>Moisture</w:t>
      </w:r>
    </w:p>
    <w:p w14:paraId="36348D43" w14:textId="283833DE" w:rsidR="00AB6090" w:rsidRDefault="009007F8" w:rsidP="00F65225">
      <w:pPr>
        <w:spacing w:line="360" w:lineRule="auto"/>
        <w:jc w:val="both"/>
      </w:pPr>
      <w:r>
        <w:t xml:space="preserve">There are several types of moisture values </w:t>
      </w:r>
      <w:r w:rsidR="00266712">
        <w:t>reported for coal. The surface moisture is water</w:t>
      </w:r>
      <w:r w:rsidR="00970F40">
        <w:t xml:space="preserve"> adhering to the outside of the coal sample or particle, </w:t>
      </w:r>
      <w:r w:rsidR="00F65225">
        <w:t xml:space="preserve">inherent moisture </w:t>
      </w:r>
      <w:r w:rsidR="00BA672E">
        <w:t xml:space="preserve">is </w:t>
      </w:r>
      <w:r w:rsidR="005531DC">
        <w:t>held by capillary action in the</w:t>
      </w:r>
      <w:r w:rsidR="00F65225">
        <w:t xml:space="preserve"> microscopic structure of the coal</w:t>
      </w:r>
      <w:r w:rsidR="004B5CBF">
        <w:t xml:space="preserve">, residual moisture </w:t>
      </w:r>
      <w:r w:rsidR="004B04C3">
        <w:t xml:space="preserve">is water that remains in the coal after </w:t>
      </w:r>
      <w:r w:rsidR="00B6753A">
        <w:t xml:space="preserve">air drying and/or minor heating to 10 </w:t>
      </w:r>
      <w:r w:rsidR="00B43128">
        <w:t>-15</w:t>
      </w:r>
      <w:r w:rsidR="00B43128" w:rsidRPr="00B43128">
        <w:rPr>
          <w:vertAlign w:val="superscript"/>
        </w:rPr>
        <w:t>0</w:t>
      </w:r>
      <w:r w:rsidR="00B43128">
        <w:t xml:space="preserve">C. The moisture value that will be used in this report is </w:t>
      </w:r>
      <w:r w:rsidR="00E343E3">
        <w:t xml:space="preserve">the </w:t>
      </w:r>
      <w:r w:rsidR="00B43128">
        <w:t>total moisture</w:t>
      </w:r>
      <w:r w:rsidR="000E2953">
        <w:t xml:space="preserve"> – All moisture in and on a coal sample that can be removed through heating</w:t>
      </w:r>
      <w:r w:rsidR="00555DB3">
        <w:t xml:space="preserve"> </w:t>
      </w:r>
      <w:r w:rsidR="00387E7C">
        <w:fldChar w:fldCharType="begin"/>
      </w:r>
      <w:r w:rsidR="001E2C4A">
        <w:instrText xml:space="preserve"> ADDIN ZOTERO_ITEM CSL_CITATION {"citationID":"0z6tkDdt","properties":{"formattedCitation":"(Backus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387E7C">
        <w:fldChar w:fldCharType="separate"/>
      </w:r>
      <w:r w:rsidR="00387E7C" w:rsidRPr="00387E7C">
        <w:rPr>
          <w:rFonts w:ascii="Calibri" w:hAnsi="Calibri" w:cs="Calibri"/>
        </w:rPr>
        <w:t>(Backus 2015)</w:t>
      </w:r>
      <w:r w:rsidR="00387E7C">
        <w:fldChar w:fldCharType="end"/>
      </w:r>
      <w:r w:rsidR="000E2953">
        <w:t>.</w:t>
      </w:r>
    </w:p>
    <w:p w14:paraId="59ECF10B" w14:textId="2C62ECE6" w:rsidR="006058F3" w:rsidRDefault="008B19BA" w:rsidP="00F65225">
      <w:pPr>
        <w:spacing w:line="360" w:lineRule="auto"/>
        <w:jc w:val="both"/>
      </w:pPr>
      <w:r>
        <w:t xml:space="preserve">The method used to determine moisture is taken from the British standard </w:t>
      </w:r>
      <w:r w:rsidR="007C568D">
        <w:t xml:space="preserve">BS 1016-1: 1973, </w:t>
      </w:r>
      <w:r w:rsidR="00BF6B87">
        <w:t>1</w:t>
      </w:r>
      <w:r w:rsidR="007C568D">
        <w:t xml:space="preserve"> Kg of </w:t>
      </w:r>
      <w:r w:rsidR="001D059C">
        <w:t>sa</w:t>
      </w:r>
      <w:r w:rsidR="00DF7E76">
        <w:t>mple</w:t>
      </w:r>
      <w:r w:rsidR="007C568D">
        <w:t xml:space="preserve"> </w:t>
      </w:r>
      <w:r w:rsidR="00A568DE">
        <w:t>is heated in an air oven at 105</w:t>
      </w:r>
      <w:r w:rsidR="00A568DE" w:rsidRPr="00A568DE">
        <w:rPr>
          <w:vertAlign w:val="superscript"/>
        </w:rPr>
        <w:t>0</w:t>
      </w:r>
      <w:r w:rsidR="00A568DE">
        <w:t>to 100</w:t>
      </w:r>
      <w:r w:rsidR="00A568DE" w:rsidRPr="00A568DE">
        <w:rPr>
          <w:vertAlign w:val="superscript"/>
        </w:rPr>
        <w:t>0</w:t>
      </w:r>
      <w:r w:rsidR="00A568DE">
        <w:t xml:space="preserve">C </w:t>
      </w:r>
      <w:r w:rsidR="00715B4D">
        <w:t xml:space="preserve">for </w:t>
      </w:r>
      <w:r w:rsidR="00FE166F">
        <w:t>approx. 4 – 5 hours</w:t>
      </w:r>
      <w:r w:rsidR="00BF6B87">
        <w:t xml:space="preserve">, the </w:t>
      </w:r>
      <w:r w:rsidR="00575990">
        <w:t>sample and container is then weighed and returned to the oven. T</w:t>
      </w:r>
      <w:r w:rsidR="00DB7DDF">
        <w:t>his is repeated until a constant mass is achieved. The Moisture is calculated from the loss in mass of the sample.</w:t>
      </w:r>
    </w:p>
    <w:p w14:paraId="0A80A049" w14:textId="6FFEED5C" w:rsidR="004A509C" w:rsidRDefault="004A509C" w:rsidP="00F65225">
      <w:pPr>
        <w:spacing w:line="360" w:lineRule="auto"/>
        <w:jc w:val="both"/>
      </w:pPr>
      <w:r>
        <w:t xml:space="preserve">If </w:t>
      </w:r>
      <w:r w:rsidR="00DA0B2C">
        <w:tab/>
      </w:r>
      <w:r>
        <w:t xml:space="preserve">m1 = Mass of container plus sample as received (g), </w:t>
      </w:r>
    </w:p>
    <w:p w14:paraId="0C8E62FD" w14:textId="77777777" w:rsidR="004A509C" w:rsidRDefault="004A509C" w:rsidP="000D4166">
      <w:pPr>
        <w:spacing w:line="360" w:lineRule="auto"/>
        <w:ind w:firstLine="720"/>
        <w:jc w:val="both"/>
      </w:pPr>
      <w:r>
        <w:t xml:space="preserve">m2 = Mass of empty tray (g), </w:t>
      </w:r>
    </w:p>
    <w:p w14:paraId="1A9AE3FD" w14:textId="77777777" w:rsidR="004A509C" w:rsidRDefault="004A509C" w:rsidP="000D4166">
      <w:pPr>
        <w:spacing w:line="360" w:lineRule="auto"/>
        <w:ind w:firstLine="720"/>
        <w:jc w:val="both"/>
      </w:pPr>
      <w:r>
        <w:t xml:space="preserve">m3 = Mass of tray plus sample after heating (g), </w:t>
      </w:r>
    </w:p>
    <w:p w14:paraId="1D0AE898" w14:textId="77777777" w:rsidR="004A509C" w:rsidRDefault="004A509C" w:rsidP="000D4166">
      <w:pPr>
        <w:spacing w:line="360" w:lineRule="auto"/>
        <w:ind w:firstLine="720"/>
        <w:jc w:val="both"/>
      </w:pPr>
      <w:r>
        <w:t xml:space="preserve">m4 = Mass of dry empty container (g), </w:t>
      </w:r>
    </w:p>
    <w:p w14:paraId="3E171FE8" w14:textId="77777777" w:rsidR="003C2443" w:rsidRDefault="004A509C" w:rsidP="000D4166">
      <w:pPr>
        <w:spacing w:line="360" w:lineRule="auto"/>
        <w:ind w:firstLine="720"/>
        <w:jc w:val="both"/>
      </w:pPr>
      <w:r>
        <w:t xml:space="preserve">M = Percentage of moisture in the sample analysed, </w:t>
      </w:r>
    </w:p>
    <w:p w14:paraId="597B726D" w14:textId="44870361" w:rsidR="007B3542" w:rsidRDefault="004A509C" w:rsidP="000D4166">
      <w:pPr>
        <w:spacing w:line="360" w:lineRule="auto"/>
        <w:ind w:firstLine="720"/>
        <w:jc w:val="both"/>
        <w:rPr>
          <w:rFonts w:eastAsiaTheme="minorEastAsia"/>
        </w:rPr>
      </w:pPr>
      <w:r>
        <w:t xml:space="preserve">then </w:t>
      </w:r>
      <m:oMath>
        <m:r>
          <w:rPr>
            <w:rFonts w:ascii="Cambria Math" w:hAnsi="Cambria Math"/>
          </w:rPr>
          <m:t>M=</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4</m:t>
                    </m:r>
                  </m:sub>
                </m:sSub>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num>
          <m:den>
            <m:d>
              <m:dPr>
                <m:ctrlPr>
                  <w:rPr>
                    <w:rFonts w:ascii="Cambria Math" w:hAnsi="Cambria Math"/>
                    <w:i/>
                  </w:rPr>
                </m:ctrlPr>
              </m:dPr>
              <m:e>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4</m:t>
                    </m:r>
                  </m:sub>
                </m:sSub>
              </m:e>
            </m:d>
          </m:den>
        </m:f>
        <m:r>
          <w:rPr>
            <w:rFonts w:ascii="Cambria Math" w:hAnsi="Cambria Math"/>
          </w:rPr>
          <m:t>*100</m:t>
        </m:r>
      </m:oMath>
    </w:p>
    <w:p w14:paraId="3E4C72E8" w14:textId="54A22063" w:rsidR="00576F0A" w:rsidRDefault="006C3A48" w:rsidP="00F65225">
      <w:pPr>
        <w:spacing w:line="360" w:lineRule="auto"/>
        <w:jc w:val="both"/>
        <w:rPr>
          <w:rFonts w:eastAsiaTheme="minorEastAsia"/>
        </w:rPr>
      </w:pPr>
      <w:r>
        <w:rPr>
          <w:rFonts w:eastAsiaTheme="minorEastAsia"/>
        </w:rPr>
        <w:fldChar w:fldCharType="begin"/>
      </w:r>
      <w:r w:rsidR="00430AAA">
        <w:rPr>
          <w:rFonts w:eastAsiaTheme="minorEastAsia"/>
        </w:rPr>
        <w:instrText xml:space="preserve"> ADDIN ZOTERO_ITEM CSL_CITATION {"citationID":"j71AF7HD","properties":{"formattedCitation":"(British Standards Institute 1999)","plainCitation":"(British Standards Institute 1999)","dontUpdate":true,"noteIndex":0},"citationItems":[{"id":1947,"uris":["http://zotero.org/users/local/AB2owHL2/items/89I2X8SS"],"itemData":{"id":1947,"type":"document","publisher":"British Standards Institution","title":"BS 1016-1: 1973, The analysis and  testing of coal and  coke — Part 1: Total moisture of coal","author":[{"family":"British Standards Institute","given":""}],"issued":{"date-parts":[["1999"]]}}}],"schema":"https://github.com/citation-style-language/schema/raw/master/csl-citation.json"} </w:instrText>
      </w:r>
      <w:r>
        <w:rPr>
          <w:rFonts w:eastAsiaTheme="minorEastAsia"/>
        </w:rPr>
        <w:fldChar w:fldCharType="separate"/>
      </w:r>
      <w:r w:rsidR="00CD38AF" w:rsidRPr="00CD38AF">
        <w:t xml:space="preserve"> </w:t>
      </w:r>
      <w:r w:rsidR="00CD38AF">
        <w:t>(</w:t>
      </w:r>
      <w:r w:rsidR="00CD38AF" w:rsidRPr="00CD38AF">
        <w:rPr>
          <w:rFonts w:ascii="Calibri" w:hAnsi="Calibri" w:cs="Calibri"/>
        </w:rPr>
        <w:t>BS 1016-1: 1973</w:t>
      </w:r>
      <w:r w:rsidRPr="006C3A48">
        <w:rPr>
          <w:rFonts w:ascii="Calibri" w:hAnsi="Calibri" w:cs="Calibri"/>
        </w:rPr>
        <w:t>)</w:t>
      </w:r>
      <w:r>
        <w:rPr>
          <w:rFonts w:eastAsiaTheme="minorEastAsia"/>
        </w:rPr>
        <w:fldChar w:fldCharType="end"/>
      </w:r>
    </w:p>
    <w:p w14:paraId="5657A100" w14:textId="320C3E40" w:rsidR="00EE4244" w:rsidRPr="00EE4244" w:rsidRDefault="00EE4244" w:rsidP="00EE4244">
      <w:pPr>
        <w:pStyle w:val="Heading4"/>
        <w:spacing w:line="360" w:lineRule="auto"/>
        <w:jc w:val="both"/>
      </w:pPr>
      <w:r>
        <w:lastRenderedPageBreak/>
        <w:t>Volatile</w:t>
      </w:r>
      <w:r w:rsidR="00A07DC2">
        <w:t xml:space="preserve"> matter</w:t>
      </w:r>
    </w:p>
    <w:p w14:paraId="734DC10D" w14:textId="74EE5D82" w:rsidR="00EE4244" w:rsidRDefault="002C4A2C" w:rsidP="00F65225">
      <w:pPr>
        <w:spacing w:line="360" w:lineRule="auto"/>
        <w:jc w:val="both"/>
        <w:rPr>
          <w:rFonts w:eastAsiaTheme="minorEastAsia"/>
        </w:rPr>
      </w:pPr>
      <w:r>
        <w:rPr>
          <w:rFonts w:eastAsiaTheme="minorEastAsia"/>
        </w:rPr>
        <w:t>Vol</w:t>
      </w:r>
      <w:r w:rsidR="0039221C">
        <w:rPr>
          <w:rFonts w:eastAsiaTheme="minorEastAsia"/>
        </w:rPr>
        <w:t>atile matter</w:t>
      </w:r>
      <w:r w:rsidR="00F117F9">
        <w:rPr>
          <w:rFonts w:eastAsiaTheme="minorEastAsia"/>
        </w:rPr>
        <w:t xml:space="preserve"> (VM) </w:t>
      </w:r>
      <w:r w:rsidR="0039221C">
        <w:rPr>
          <w:rFonts w:eastAsiaTheme="minorEastAsia"/>
        </w:rPr>
        <w:t>refers to the components of coal</w:t>
      </w:r>
      <w:r w:rsidR="000B16CD">
        <w:rPr>
          <w:rFonts w:eastAsiaTheme="minorEastAsia"/>
        </w:rPr>
        <w:t xml:space="preserve">, excluding moisture, that are </w:t>
      </w:r>
      <w:r w:rsidR="009C7D09">
        <w:rPr>
          <w:rFonts w:eastAsiaTheme="minorEastAsia"/>
        </w:rPr>
        <w:t>released</w:t>
      </w:r>
      <w:r w:rsidR="000B16CD">
        <w:rPr>
          <w:rFonts w:eastAsiaTheme="minorEastAsia"/>
        </w:rPr>
        <w:t xml:space="preserve"> at high temperature in the absence of air. </w:t>
      </w:r>
      <w:r w:rsidR="00B65C7C">
        <w:rPr>
          <w:rFonts w:eastAsiaTheme="minorEastAsia"/>
        </w:rPr>
        <w:t xml:space="preserve">Coals are ranked by the amount of carbon </w:t>
      </w:r>
      <w:r w:rsidR="00A07DC2">
        <w:rPr>
          <w:rFonts w:eastAsiaTheme="minorEastAsia"/>
        </w:rPr>
        <w:t>present in them</w:t>
      </w:r>
      <w:r w:rsidR="00B65C7C">
        <w:rPr>
          <w:rFonts w:eastAsiaTheme="minorEastAsia"/>
        </w:rPr>
        <w:t xml:space="preserve"> and </w:t>
      </w:r>
      <w:r w:rsidR="001A7E34">
        <w:rPr>
          <w:rFonts w:eastAsiaTheme="minorEastAsia"/>
        </w:rPr>
        <w:t>therefore</w:t>
      </w:r>
      <w:r w:rsidR="00B65C7C">
        <w:rPr>
          <w:rFonts w:eastAsiaTheme="minorEastAsia"/>
        </w:rPr>
        <w:t xml:space="preserve"> their energy content</w:t>
      </w:r>
      <w:r w:rsidR="001A7E34">
        <w:rPr>
          <w:rFonts w:eastAsiaTheme="minorEastAsia"/>
        </w:rPr>
        <w:t>.</w:t>
      </w:r>
      <w:r w:rsidR="00A07DC2">
        <w:rPr>
          <w:rFonts w:eastAsiaTheme="minorEastAsia"/>
        </w:rPr>
        <w:t xml:space="preserve"> </w:t>
      </w:r>
      <w:r w:rsidR="003B37D9">
        <w:rPr>
          <w:rFonts w:eastAsiaTheme="minorEastAsia"/>
        </w:rPr>
        <w:t xml:space="preserve">Measuring </w:t>
      </w:r>
      <w:r w:rsidR="00F117F9">
        <w:rPr>
          <w:rFonts w:eastAsiaTheme="minorEastAsia"/>
        </w:rPr>
        <w:t>VM</w:t>
      </w:r>
      <w:r w:rsidR="003B37D9">
        <w:rPr>
          <w:rFonts w:eastAsiaTheme="minorEastAsia"/>
        </w:rPr>
        <w:t xml:space="preserve"> is </w:t>
      </w:r>
      <w:r w:rsidR="00EC5642">
        <w:rPr>
          <w:rFonts w:eastAsiaTheme="minorEastAsia"/>
        </w:rPr>
        <w:t xml:space="preserve">an important parameter used to help identify a coals rank. </w:t>
      </w:r>
      <w:r w:rsidR="0089351C">
        <w:rPr>
          <w:rFonts w:eastAsiaTheme="minorEastAsia"/>
        </w:rPr>
        <w:t>VM decrea</w:t>
      </w:r>
      <w:r w:rsidR="00D76A86">
        <w:rPr>
          <w:rFonts w:eastAsiaTheme="minorEastAsia"/>
        </w:rPr>
        <w:t xml:space="preserve">ses </w:t>
      </w:r>
      <w:r w:rsidR="00C16B5C">
        <w:rPr>
          <w:rFonts w:eastAsiaTheme="minorEastAsia"/>
        </w:rPr>
        <w:t xml:space="preserve">as </w:t>
      </w:r>
      <w:r w:rsidR="00D76A86">
        <w:rPr>
          <w:rFonts w:eastAsiaTheme="minorEastAsia"/>
        </w:rPr>
        <w:t>the coal rank increases</w:t>
      </w:r>
      <w:r w:rsidR="003333A0">
        <w:rPr>
          <w:rFonts w:eastAsiaTheme="minorEastAsia"/>
        </w:rPr>
        <w:t xml:space="preserve"> see table 1 </w:t>
      </w:r>
      <w:r w:rsidR="003333A0">
        <w:rPr>
          <w:rFonts w:eastAsiaTheme="minorEastAsia"/>
        </w:rPr>
        <w:fldChar w:fldCharType="begin"/>
      </w:r>
      <w:r w:rsidR="003333A0">
        <w:rPr>
          <w:rFonts w:eastAsiaTheme="minorEastAsia"/>
        </w:rPr>
        <w:instrText xml:space="preserve"> ADDIN ZOTERO_ITEM CSL_CITATION {"citationID":"jN3SgpVO","properties":{"formattedCitation":"(Speight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3333A0">
        <w:rPr>
          <w:rFonts w:eastAsiaTheme="minorEastAsia"/>
        </w:rPr>
        <w:fldChar w:fldCharType="separate"/>
      </w:r>
      <w:r w:rsidR="003333A0" w:rsidRPr="003333A0">
        <w:rPr>
          <w:rFonts w:ascii="Calibri" w:hAnsi="Calibri" w:cs="Calibri"/>
        </w:rPr>
        <w:t>(Speight 2015)</w:t>
      </w:r>
      <w:r w:rsidR="003333A0">
        <w:rPr>
          <w:rFonts w:eastAsiaTheme="minorEastAsia"/>
        </w:rPr>
        <w:fldChar w:fldCharType="end"/>
      </w:r>
      <w:r w:rsidR="00D76A86">
        <w:rPr>
          <w:rFonts w:eastAsiaTheme="minorEastAsia"/>
        </w:rPr>
        <w:t>.</w:t>
      </w:r>
      <w:r w:rsidR="00FA34BD">
        <w:rPr>
          <w:rFonts w:eastAsiaTheme="minorEastAsia"/>
        </w:rPr>
        <w:t xml:space="preserve"> </w:t>
      </w:r>
      <w:r w:rsidR="00FA34BD" w:rsidRPr="00FA34BD">
        <w:rPr>
          <w:rFonts w:eastAsiaTheme="minorEastAsia"/>
        </w:rPr>
        <w:t xml:space="preserve">Most </w:t>
      </w:r>
      <w:r w:rsidR="00F117F9">
        <w:rPr>
          <w:rFonts w:eastAsiaTheme="minorEastAsia"/>
        </w:rPr>
        <w:t>VM</w:t>
      </w:r>
      <w:r w:rsidR="00FA34BD" w:rsidRPr="00FA34BD">
        <w:rPr>
          <w:rFonts w:eastAsiaTheme="minorEastAsia"/>
        </w:rPr>
        <w:t xml:space="preserve"> comes from the organic components in coal, but some elements from minerals combine to form volatile oxides. The most common </w:t>
      </w:r>
      <w:r w:rsidR="00F117F9">
        <w:rPr>
          <w:rFonts w:eastAsiaTheme="minorEastAsia"/>
        </w:rPr>
        <w:t>VM</w:t>
      </w:r>
      <w:r w:rsidR="00FA34BD" w:rsidRPr="00FA34BD">
        <w:rPr>
          <w:rFonts w:eastAsiaTheme="minorEastAsia"/>
        </w:rPr>
        <w:t xml:space="preserve"> in coal is water, carbon dioxide, and </w:t>
      </w:r>
      <w:r w:rsidR="005B702F" w:rsidRPr="00FA34BD">
        <w:rPr>
          <w:rFonts w:eastAsiaTheme="minorEastAsia"/>
        </w:rPr>
        <w:t>sulphur</w:t>
      </w:r>
      <w:r w:rsidR="00FA34BD" w:rsidRPr="00FA34BD">
        <w:rPr>
          <w:rFonts w:eastAsiaTheme="minorEastAsia"/>
        </w:rPr>
        <w:t xml:space="preserve"> dioxide</w:t>
      </w:r>
      <w:r w:rsidR="00A831DD">
        <w:rPr>
          <w:rFonts w:eastAsiaTheme="minorEastAsia"/>
        </w:rPr>
        <w:t xml:space="preserve"> </w:t>
      </w:r>
      <w:r w:rsidR="00A831DD">
        <w:rPr>
          <w:rFonts w:eastAsiaTheme="minorEastAsia"/>
        </w:rPr>
        <w:fldChar w:fldCharType="begin"/>
      </w:r>
      <w:r w:rsidR="00A831DD">
        <w:rPr>
          <w:rFonts w:eastAsiaTheme="minorEastAsia"/>
        </w:rPr>
        <w:instrText xml:space="preserve"> ADDIN ZOTERO_ITEM CSL_CITATION {"citationID":"Zbe9XYhi","properties":{"formattedCitation":"(Backus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A831DD">
        <w:rPr>
          <w:rFonts w:eastAsiaTheme="minorEastAsia"/>
        </w:rPr>
        <w:fldChar w:fldCharType="separate"/>
      </w:r>
      <w:r w:rsidR="00A831DD" w:rsidRPr="00A831DD">
        <w:rPr>
          <w:rFonts w:ascii="Calibri" w:hAnsi="Calibri" w:cs="Calibri"/>
        </w:rPr>
        <w:t>(Backus 2015)</w:t>
      </w:r>
      <w:r w:rsidR="00A831DD">
        <w:rPr>
          <w:rFonts w:eastAsiaTheme="minorEastAsia"/>
        </w:rPr>
        <w:fldChar w:fldCharType="end"/>
      </w:r>
      <w:r w:rsidR="00FA34BD" w:rsidRPr="00FA34BD">
        <w:rPr>
          <w:rFonts w:eastAsiaTheme="minorEastAsia"/>
        </w:rPr>
        <w:t>.</w:t>
      </w:r>
    </w:p>
    <w:p w14:paraId="260CD6B6" w14:textId="77CE3181" w:rsidR="00317A26" w:rsidRDefault="00317A26" w:rsidP="00317A26">
      <w:pPr>
        <w:pStyle w:val="Caption"/>
        <w:rPr>
          <w:rFonts w:eastAsiaTheme="minorEastAsia"/>
        </w:rPr>
      </w:pPr>
      <w:r>
        <w:t xml:space="preserve">Table </w:t>
      </w:r>
      <w:fldSimple w:instr=" SEQ Table \* ARABIC ">
        <w:r w:rsidR="00DA2639">
          <w:rPr>
            <w:noProof/>
          </w:rPr>
          <w:t>1</w:t>
        </w:r>
      </w:fldSimple>
      <w:r>
        <w:t xml:space="preserve"> Decrease of VM in bituminous coals in response</w:t>
      </w:r>
      <w:r w:rsidR="00E015A3">
        <w:t xml:space="preserve"> to increasing coal rank </w:t>
      </w:r>
      <w:r w:rsidR="005D2C82">
        <w:fldChar w:fldCharType="begin"/>
      </w:r>
      <w:r w:rsidR="005D2C82">
        <w:instrText xml:space="preserve"> ADDIN ZOTERO_ITEM CSL_CITATION {"citationID":"iGKScnJ7","properties":{"formattedCitation":"(Osbourne 2013)","plainCitation":"(Osbourne 2013)","noteIndex":0},"citationItems":[{"id":442,"uris":["http://zotero.org/users/local/AB2owHL2/items/I728WGK6"],"itemData":{"id":442,"type":"book","event-place":"Cambridge","publisher":"Woodhead Publishing Limited","publisher-place":"Cambridge","title":"The Coal Handbook :Towards Cleaner Production","volume":"1 - Coal Production","author":[{"family":"Osbourne","given":"Dave"}],"issued":{"date-parts":[["2013"]]}}}],"schema":"https://github.com/citation-style-language/schema/raw/master/csl-citation.json"} </w:instrText>
      </w:r>
      <w:r w:rsidR="005D2C82">
        <w:fldChar w:fldCharType="separate"/>
      </w:r>
      <w:r w:rsidR="005D2C82" w:rsidRPr="005D2C82">
        <w:rPr>
          <w:rFonts w:ascii="Calibri" w:hAnsi="Calibri" w:cs="Calibri"/>
        </w:rPr>
        <w:t>(Osbourne 2013)</w:t>
      </w:r>
      <w:r w:rsidR="005D2C82">
        <w:fldChar w:fldCharType="end"/>
      </w:r>
    </w:p>
    <w:p w14:paraId="475304F8" w14:textId="461DFD45" w:rsidR="00317A26" w:rsidRDefault="00317A26" w:rsidP="00F65225">
      <w:pPr>
        <w:spacing w:line="360" w:lineRule="auto"/>
        <w:jc w:val="both"/>
        <w:rPr>
          <w:rFonts w:eastAsiaTheme="minorEastAsia"/>
        </w:rPr>
      </w:pPr>
      <w:r w:rsidRPr="00317A26">
        <w:rPr>
          <w:rFonts w:eastAsiaTheme="minorEastAsia"/>
          <w:noProof/>
        </w:rPr>
        <w:drawing>
          <wp:inline distT="0" distB="0" distL="0" distR="0" wp14:anchorId="078A12F1" wp14:editId="57056DFB">
            <wp:extent cx="3134162" cy="1619476"/>
            <wp:effectExtent l="0" t="0" r="952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2"/>
                    <a:stretch>
                      <a:fillRect/>
                    </a:stretch>
                  </pic:blipFill>
                  <pic:spPr>
                    <a:xfrm>
                      <a:off x="0" y="0"/>
                      <a:ext cx="3134162" cy="1619476"/>
                    </a:xfrm>
                    <a:prstGeom prst="rect">
                      <a:avLst/>
                    </a:prstGeom>
                  </pic:spPr>
                </pic:pic>
              </a:graphicData>
            </a:graphic>
          </wp:inline>
        </w:drawing>
      </w:r>
    </w:p>
    <w:p w14:paraId="1DFE2059" w14:textId="331417DE" w:rsidR="00BC142C" w:rsidRDefault="00F117F9" w:rsidP="0079300D">
      <w:pPr>
        <w:spacing w:line="360" w:lineRule="auto"/>
        <w:jc w:val="both"/>
        <w:rPr>
          <w:rFonts w:eastAsiaTheme="minorEastAsia"/>
        </w:rPr>
      </w:pPr>
      <w:r>
        <w:rPr>
          <w:rFonts w:eastAsiaTheme="minorEastAsia"/>
        </w:rPr>
        <w:t>VM</w:t>
      </w:r>
      <w:r w:rsidR="00CE229D">
        <w:rPr>
          <w:rFonts w:eastAsiaTheme="minorEastAsia"/>
        </w:rPr>
        <w:t xml:space="preserve"> is determined by measuring 1</w:t>
      </w:r>
      <w:r w:rsidR="00545FAE">
        <w:rPr>
          <w:rFonts w:eastAsiaTheme="minorEastAsia"/>
        </w:rPr>
        <w:t>g of sample into a lidded silica crucible</w:t>
      </w:r>
      <w:r w:rsidR="00B646CC">
        <w:rPr>
          <w:rFonts w:eastAsiaTheme="minorEastAsia"/>
        </w:rPr>
        <w:t xml:space="preserve"> (prevent</w:t>
      </w:r>
      <w:r w:rsidR="00542208">
        <w:rPr>
          <w:rFonts w:eastAsiaTheme="minorEastAsia"/>
        </w:rPr>
        <w:t>ing</w:t>
      </w:r>
      <w:r w:rsidR="00B646CC">
        <w:rPr>
          <w:rFonts w:eastAsiaTheme="minorEastAsia"/>
        </w:rPr>
        <w:t xml:space="preserve"> air ingress), the crucible is placed in a furnace at 900</w:t>
      </w:r>
      <w:r w:rsidR="00B646CC" w:rsidRPr="00B646CC">
        <w:rPr>
          <w:rFonts w:eastAsiaTheme="minorEastAsia"/>
          <w:vertAlign w:val="superscript"/>
        </w:rPr>
        <w:t>0</w:t>
      </w:r>
      <w:r w:rsidR="00B646CC">
        <w:rPr>
          <w:rFonts w:eastAsiaTheme="minorEastAsia"/>
        </w:rPr>
        <w:t>C for 7 minutes</w:t>
      </w:r>
      <w:r w:rsidR="00E51C82">
        <w:rPr>
          <w:rFonts w:eastAsiaTheme="minorEastAsia"/>
        </w:rPr>
        <w:t xml:space="preserve">. VM is calculated from the loss in mass of the sample after </w:t>
      </w:r>
      <w:r w:rsidR="00586630">
        <w:rPr>
          <w:rFonts w:eastAsiaTheme="minorEastAsia"/>
        </w:rPr>
        <w:t>adjusting for moisture.</w:t>
      </w:r>
      <w:r w:rsidR="004C6815">
        <w:rPr>
          <w:rFonts w:eastAsiaTheme="minorEastAsia"/>
        </w:rPr>
        <w:t xml:space="preserve"> </w:t>
      </w:r>
    </w:p>
    <w:p w14:paraId="18556EE9" w14:textId="49EB8932" w:rsidR="00E47E8B" w:rsidRDefault="00E47E8B" w:rsidP="0079300D">
      <w:pPr>
        <w:spacing w:line="360" w:lineRule="auto"/>
        <w:jc w:val="both"/>
        <w:rPr>
          <w:rFonts w:eastAsiaTheme="minorEastAsia"/>
        </w:rPr>
      </w:pPr>
      <w:r>
        <w:rPr>
          <w:rFonts w:eastAsiaTheme="minorEastAsia"/>
        </w:rPr>
        <w:t xml:space="preserve">VM is given by </w:t>
      </w:r>
      <m:oMath>
        <m:r>
          <m:rPr>
            <m:sty m:val="p"/>
          </m:rPr>
          <w:rPr>
            <w:rFonts w:ascii="Cambria Math" w:hAnsi="Cambria Math"/>
          </w:rPr>
          <m:t>V</m:t>
        </m:r>
        <m:r>
          <m:rPr>
            <m:sty m:val="p"/>
          </m:rPr>
          <w:rPr>
            <w:rFonts w:ascii="Cambria Math" w:eastAsiaTheme="minorEastAsia" w:hAnsi="Cambria Math" w:cs="Cambria Math"/>
          </w:rPr>
          <m:t>=</m:t>
        </m:r>
        <m:f>
          <m:fPr>
            <m:ctrlPr>
              <w:rPr>
                <w:rFonts w:ascii="Cambria Math" w:eastAsiaTheme="minorEastAsia" w:hAnsi="Cambria Math"/>
              </w:rPr>
            </m:ctrlPr>
          </m:fPr>
          <m:num>
            <m:r>
              <w:rPr>
                <w:rFonts w:ascii="Cambria Math" w:eastAsiaTheme="minorEastAsia" w:hAnsi="Cambria Math" w:cs="Cambria Math"/>
              </w:rPr>
              <m:t>100</m:t>
            </m:r>
            <m:d>
              <m:dPr>
                <m:ctrlPr>
                  <w:rPr>
                    <w:rFonts w:ascii="Cambria Math" w:eastAsiaTheme="minorEastAsia" w:hAnsi="Cambria Math" w:cs="Cambria Math"/>
                    <w:i/>
                  </w:rPr>
                </m:ctrlPr>
              </m:dPr>
              <m:e>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2</m:t>
                    </m:r>
                  </m:sub>
                </m:sSub>
                <m: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3</m:t>
                    </m:r>
                  </m:sub>
                </m:sSub>
              </m:e>
            </m:d>
          </m:num>
          <m:den>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2</m:t>
                </m:r>
              </m:sub>
            </m:sSub>
            <m: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hAnsi="Cambria Math"/>
              </w:rPr>
              <m:t>ω</m:t>
            </m:r>
          </m:e>
          <m: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ub>
        </m:sSub>
      </m:oMath>
    </w:p>
    <w:p w14:paraId="6C331E5A" w14:textId="75C2A51A" w:rsidR="000D4166" w:rsidRDefault="000D4166" w:rsidP="00522785">
      <w:pPr>
        <w:spacing w:line="360" w:lineRule="auto"/>
        <w:jc w:val="both"/>
      </w:pPr>
      <w:r>
        <w:rPr>
          <w:rFonts w:eastAsiaTheme="minorEastAsia"/>
        </w:rPr>
        <w:t>Where</w:t>
      </w:r>
      <w:r w:rsidR="00141552">
        <w:rPr>
          <w:rFonts w:eastAsiaTheme="minorEastAsia"/>
        </w:rPr>
        <w:t>:</w:t>
      </w:r>
      <w:r>
        <w:rPr>
          <w:rFonts w:eastAsiaTheme="minorEastAsia"/>
        </w:rPr>
        <w:t xml:space="preserve"> </w:t>
      </w:r>
      <w:r>
        <w:rPr>
          <w:rFonts w:eastAsiaTheme="minorEastAsia"/>
        </w:rPr>
        <w:tab/>
      </w:r>
      <w:r>
        <w:t>m1 is the mass</w:t>
      </w:r>
      <w:r w:rsidR="009F7EC6">
        <w:t xml:space="preserve"> (g) </w:t>
      </w:r>
      <w:r>
        <w:t xml:space="preserve">of the empty crucible and </w:t>
      </w:r>
      <w:r w:rsidR="005E4510">
        <w:t>lid.</w:t>
      </w:r>
    </w:p>
    <w:p w14:paraId="2B5088B9" w14:textId="6D61D656" w:rsidR="00933092" w:rsidRDefault="000D4166" w:rsidP="00522785">
      <w:pPr>
        <w:spacing w:line="360" w:lineRule="auto"/>
        <w:ind w:left="720"/>
        <w:jc w:val="both"/>
      </w:pPr>
      <w:r>
        <w:t>m2 is the mass</w:t>
      </w:r>
      <w:r w:rsidR="009F7EC6">
        <w:t xml:space="preserve"> (g)</w:t>
      </w:r>
      <w:r>
        <w:t xml:space="preserve"> of the crucible and lid and test portion before </w:t>
      </w:r>
      <w:r w:rsidR="001D33EC">
        <w:t>heating.</w:t>
      </w:r>
      <w:r>
        <w:t xml:space="preserve"> </w:t>
      </w:r>
    </w:p>
    <w:p w14:paraId="5D72741E" w14:textId="4C4E92D5" w:rsidR="0079300D" w:rsidRDefault="000D4166" w:rsidP="00522785">
      <w:pPr>
        <w:spacing w:line="360" w:lineRule="auto"/>
        <w:ind w:left="720"/>
        <w:jc w:val="both"/>
      </w:pPr>
      <w:r>
        <w:t>m3 is the mass</w:t>
      </w:r>
      <w:r w:rsidR="009F7EC6">
        <w:t xml:space="preserve"> (g)</w:t>
      </w:r>
      <w:r w:rsidR="00933092">
        <w:t xml:space="preserve"> </w:t>
      </w:r>
      <w:r>
        <w:t xml:space="preserve">of the crucible and lid and contents after </w:t>
      </w:r>
      <w:r w:rsidR="005E4510">
        <w:t>heating.</w:t>
      </w:r>
      <w:r>
        <w:t xml:space="preserve"> </w:t>
      </w:r>
    </w:p>
    <w:p w14:paraId="5449574F" w14:textId="2AF50066" w:rsidR="00323B6D" w:rsidRDefault="000D4166" w:rsidP="00323B6D">
      <w:pPr>
        <w:spacing w:line="360" w:lineRule="auto"/>
        <w:ind w:left="720"/>
        <w:jc w:val="both"/>
      </w:pPr>
      <w:r w:rsidRPr="00522785">
        <w:rPr>
          <w:vertAlign w:val="superscript"/>
        </w:rPr>
        <w:t>ω</w:t>
      </w:r>
      <w:r>
        <w:t>H</w:t>
      </w:r>
      <w:r w:rsidRPr="00522785">
        <w:rPr>
          <w:vertAlign w:val="subscript"/>
        </w:rPr>
        <w:t>2</w:t>
      </w:r>
      <w:r>
        <w:t>O</w:t>
      </w:r>
      <w:r w:rsidR="009F7EC6">
        <w:t xml:space="preserve"> (%)</w:t>
      </w:r>
      <w:r>
        <w:t xml:space="preserve"> is the </w:t>
      </w:r>
      <w:proofErr w:type="gramStart"/>
      <w:r>
        <w:t>moisture</w:t>
      </w:r>
      <w:proofErr w:type="gramEnd"/>
    </w:p>
    <w:p w14:paraId="5DF1F505" w14:textId="7B3BDE37" w:rsidR="00063AD2" w:rsidRDefault="00F734FD" w:rsidP="00063AD2">
      <w:pPr>
        <w:spacing w:line="360" w:lineRule="auto"/>
        <w:jc w:val="both"/>
      </w:pPr>
      <w:r>
        <w:fldChar w:fldCharType="begin"/>
      </w:r>
      <w:r w:rsidR="00430AAA">
        <w:instrText xml:space="preserve"> ADDIN ZOTERO_ITEM CSL_CITATION {"citationID":"jiWZuSi1","properties":{"formattedCitation":"(British Standards Institute 2010a)","plainCitation":"(British Standards Institute 2010a)","dontUpdate":true,"noteIndex":0},"citationItems":[{"id":1950,"uris":["http://zotero.org/users/local/AB2owHL2/items/P9SBBLZH"],"itemData":{"id":1950,"type":"document","publisher":"BSI Standards Institution","title":"BS ISO 562: 2010, Hard coal and coke — Determination of volatile matter","author":[{"family":"British Standards Institute","given":""}],"issued":{"date-parts":[["2010"]]}}}],"schema":"https://github.com/citation-style-language/schema/raw/master/csl-citation.json"} </w:instrText>
      </w:r>
      <w:r>
        <w:fldChar w:fldCharType="separate"/>
      </w:r>
      <w:r w:rsidR="003460E3" w:rsidRPr="003460E3">
        <w:rPr>
          <w:rFonts w:ascii="Calibri" w:hAnsi="Calibri" w:cs="Calibri"/>
        </w:rPr>
        <w:t>(</w:t>
      </w:r>
      <w:r w:rsidR="00620964" w:rsidRPr="00620964">
        <w:rPr>
          <w:rFonts w:ascii="Calibri" w:hAnsi="Calibri" w:cs="Calibri"/>
        </w:rPr>
        <w:t>B</w:t>
      </w:r>
      <w:r w:rsidR="00786A9D">
        <w:rPr>
          <w:rFonts w:ascii="Calibri" w:hAnsi="Calibri" w:cs="Calibri"/>
        </w:rPr>
        <w:t>S</w:t>
      </w:r>
      <w:r w:rsidR="00620964" w:rsidRPr="00620964">
        <w:rPr>
          <w:rFonts w:ascii="Calibri" w:hAnsi="Calibri" w:cs="Calibri"/>
        </w:rPr>
        <w:t xml:space="preserve"> ISO 562: 2010</w:t>
      </w:r>
      <w:r w:rsidR="003460E3" w:rsidRPr="003460E3">
        <w:rPr>
          <w:rFonts w:ascii="Calibri" w:hAnsi="Calibri" w:cs="Calibri"/>
        </w:rPr>
        <w:t>)</w:t>
      </w:r>
      <w:r>
        <w:fldChar w:fldCharType="end"/>
      </w:r>
    </w:p>
    <w:p w14:paraId="4EB3F687" w14:textId="77777777" w:rsidR="007A4F75" w:rsidRPr="004B7BF8" w:rsidRDefault="007A4F75" w:rsidP="007A4F75">
      <w:pPr>
        <w:pStyle w:val="Heading4"/>
        <w:spacing w:line="360" w:lineRule="auto"/>
        <w:jc w:val="both"/>
      </w:pPr>
      <w:r>
        <w:t>Ash</w:t>
      </w:r>
    </w:p>
    <w:p w14:paraId="36891D0C" w14:textId="77777777" w:rsidR="00A43EE7" w:rsidRDefault="007A4F75" w:rsidP="007A4F75">
      <w:pPr>
        <w:spacing w:line="360" w:lineRule="auto"/>
        <w:jc w:val="both"/>
      </w:pPr>
      <w:r>
        <w:t xml:space="preserve">Ash </w:t>
      </w:r>
      <w:r w:rsidR="00D8455A">
        <w:t xml:space="preserve">is the </w:t>
      </w:r>
      <w:r w:rsidR="008F081B">
        <w:t xml:space="preserve">non-combustible </w:t>
      </w:r>
      <w:r w:rsidR="00D8455A">
        <w:t xml:space="preserve">residue </w:t>
      </w:r>
      <w:r w:rsidR="008F081B">
        <w:t>left after coal is burned</w:t>
      </w:r>
      <w:r w:rsidR="008A3161">
        <w:t xml:space="preserve"> a</w:t>
      </w:r>
      <w:r w:rsidR="008F081B">
        <w:t>nd represents the bulk mineral matter after carbon, sulphur and water</w:t>
      </w:r>
      <w:r w:rsidR="008A3161">
        <w:t xml:space="preserve"> has been driven off during combustion.</w:t>
      </w:r>
      <w:r w:rsidR="00BA5DFC">
        <w:t xml:space="preserve"> The ash is composed primarily of oxides and sulphides</w:t>
      </w:r>
      <w:r w:rsidR="006A50F8">
        <w:t xml:space="preserve"> and </w:t>
      </w:r>
      <w:r w:rsidR="00904F8C">
        <w:t>can be</w:t>
      </w:r>
      <w:r w:rsidR="006A50F8">
        <w:t xml:space="preserve"> </w:t>
      </w:r>
      <w:r w:rsidR="00E076CC">
        <w:t xml:space="preserve">considered </w:t>
      </w:r>
      <w:r w:rsidR="00904F8C">
        <w:t xml:space="preserve">to be </w:t>
      </w:r>
      <w:r w:rsidR="00144670">
        <w:t>an approximation for the mineral content</w:t>
      </w:r>
      <w:r w:rsidR="004C38A7">
        <w:t xml:space="preserve"> but does not equal the original mineral content as some of the mineral phases are</w:t>
      </w:r>
      <w:r w:rsidR="002D04C5">
        <w:t xml:space="preserve"> altered when the coal is combusted </w:t>
      </w:r>
      <w:r w:rsidR="002F41B3">
        <w:t>e.g.,</w:t>
      </w:r>
      <w:r w:rsidR="002D04C5">
        <w:t xml:space="preserve"> </w:t>
      </w:r>
      <w:r w:rsidR="00CB3E4A">
        <w:t>CO</w:t>
      </w:r>
      <w:r w:rsidR="00CB3E4A" w:rsidRPr="00CB3E4A">
        <w:rPr>
          <w:vertAlign w:val="subscript"/>
        </w:rPr>
        <w:t>2</w:t>
      </w:r>
      <w:r w:rsidR="00CB3E4A">
        <w:t xml:space="preserve"> is removed from carbonates and SO</w:t>
      </w:r>
      <w:r w:rsidR="00CB3E4A" w:rsidRPr="00CB3E4A">
        <w:rPr>
          <w:vertAlign w:val="subscript"/>
        </w:rPr>
        <w:t>3</w:t>
      </w:r>
      <w:r w:rsidR="00CB3E4A">
        <w:t xml:space="preserve"> is removed from the sulphides </w:t>
      </w:r>
      <w:r w:rsidR="00B10A39">
        <w:fldChar w:fldCharType="begin"/>
      </w:r>
      <w:r w:rsidR="00B10A39">
        <w:instrText xml:space="preserve"> ADDIN ZOTERO_ITEM CSL_CITATION {"citationID":"EloZj0bR","properties":{"formattedCitation":"(Speight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B10A39">
        <w:fldChar w:fldCharType="separate"/>
      </w:r>
      <w:r w:rsidR="00B10A39" w:rsidRPr="00B10A39">
        <w:rPr>
          <w:rFonts w:ascii="Calibri" w:hAnsi="Calibri" w:cs="Calibri"/>
        </w:rPr>
        <w:t>(Speight 2015)</w:t>
      </w:r>
      <w:r w:rsidR="00B10A39">
        <w:fldChar w:fldCharType="end"/>
      </w:r>
      <w:r w:rsidR="00CB3E4A">
        <w:t>.</w:t>
      </w:r>
      <w:r w:rsidR="00501612">
        <w:t xml:space="preserve"> </w:t>
      </w:r>
      <w:r w:rsidR="00E80A21">
        <w:t xml:space="preserve">Ash is determined by </w:t>
      </w:r>
      <w:r w:rsidR="00473F41">
        <w:t xml:space="preserve">measuring </w:t>
      </w:r>
      <w:r w:rsidR="00E80A21">
        <w:t xml:space="preserve">1g of </w:t>
      </w:r>
      <w:r w:rsidR="00473F41">
        <w:t>sample</w:t>
      </w:r>
      <w:r w:rsidR="00E80A21">
        <w:t xml:space="preserve"> in</w:t>
      </w:r>
      <w:r w:rsidR="00473F41">
        <w:t>to</w:t>
      </w:r>
      <w:r w:rsidR="00E80A21">
        <w:t xml:space="preserve"> a silica dish</w:t>
      </w:r>
      <w:r w:rsidR="00831B69">
        <w:t xml:space="preserve">, the dish is placed into a furnace </w:t>
      </w:r>
      <w:r w:rsidR="00831B69">
        <w:lastRenderedPageBreak/>
        <w:t>at 815</w:t>
      </w:r>
      <w:r w:rsidR="00831B69" w:rsidRPr="00831B69">
        <w:rPr>
          <w:vertAlign w:val="superscript"/>
        </w:rPr>
        <w:t>0</w:t>
      </w:r>
      <w:r w:rsidR="00831B69">
        <w:t xml:space="preserve">C </w:t>
      </w:r>
      <w:r w:rsidR="000C6374">
        <w:t>for 60 minutes</w:t>
      </w:r>
      <w:r w:rsidR="00B009E4">
        <w:t xml:space="preserve">. </w:t>
      </w:r>
      <w:r w:rsidR="00E76D17">
        <w:t xml:space="preserve">The ash is calculated as the mass remaining </w:t>
      </w:r>
      <w:r w:rsidR="00836DBD">
        <w:t>in the dish</w:t>
      </w:r>
      <w:r w:rsidR="009757CE">
        <w:t xml:space="preserve"> as a fraction of the original sample weight. </w:t>
      </w:r>
    </w:p>
    <w:p w14:paraId="2FDFE700" w14:textId="4950A9A6" w:rsidR="007A4F75" w:rsidRDefault="00383358" w:rsidP="007A4F75">
      <w:pPr>
        <w:spacing w:line="360" w:lineRule="auto"/>
        <w:jc w:val="both"/>
      </w:pPr>
      <w:r>
        <w:t>The ash is expressed as a percentage mass fraction</w:t>
      </w:r>
      <w:r w:rsidR="00AE042D">
        <w:t>:</w:t>
      </w:r>
    </w:p>
    <w:p w14:paraId="5FD67031" w14:textId="1414058E" w:rsidR="00AE042D" w:rsidRPr="00FB6910" w:rsidRDefault="00AE042D" w:rsidP="007A4F75">
      <w:pPr>
        <w:spacing w:line="360" w:lineRule="auto"/>
        <w:jc w:val="both"/>
        <w:rPr>
          <w:rFonts w:eastAsiaTheme="minorEastAsia"/>
        </w:rPr>
      </w:pPr>
      <m:oMathPara>
        <m:oMath>
          <m:r>
            <w:rPr>
              <w:rFonts w:ascii="Cambria Math" w:hAnsi="Cambria Math" w:cs="Cambria Math"/>
            </w:rPr>
            <m:t>A</m:t>
          </m:r>
          <m:r>
            <m:rPr>
              <m:sty m:val="p"/>
            </m:rPr>
            <w:rPr>
              <w:rFonts w:ascii="Cambria Math" w:hAnsi="Cambria Math" w:cs="Cambria Math"/>
            </w:rPr>
            <m:t>=</m:t>
          </m:r>
          <m:f>
            <m:fPr>
              <m:ctrlPr>
                <w:rPr>
                  <w:rFonts w:ascii="Cambria Math" w:hAnsi="Cambria Math"/>
                </w:rPr>
              </m:ctrlPr>
            </m:fPr>
            <m:num>
              <m:sSub>
                <m:sSubPr>
                  <m:ctrlPr>
                    <w:rPr>
                      <w:rFonts w:ascii="Cambria Math" w:hAnsi="Cambria Math"/>
                      <w:i/>
                    </w:rPr>
                  </m:ctrlPr>
                </m:sSubPr>
                <m:e>
                  <m:r>
                    <w:rPr>
                      <w:rFonts w:ascii="Cambria Math" w:hAnsi="Cambria Math"/>
                    </w:rPr>
                    <m:t>m</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1</m:t>
                  </m:r>
                </m:sub>
              </m:sSub>
            </m:num>
            <m:den>
              <m:sSub>
                <m:sSubPr>
                  <m:ctrlPr>
                    <w:rPr>
                      <w:rFonts w:ascii="Cambria Math" w:hAnsi="Cambria Math" w:cs="Cambria Math"/>
                    </w:rPr>
                  </m:ctrlPr>
                </m:sSubPr>
                <m:e>
                  <m:r>
                    <w:rPr>
                      <w:rFonts w:ascii="Cambria Math" w:hAnsi="Cambria Math" w:cs="Cambria Math"/>
                    </w:rPr>
                    <m:t>m</m:t>
                  </m:r>
                </m:e>
                <m:sub>
                  <m:r>
                    <w:rPr>
                      <w:rFonts w:ascii="Cambria Math" w:hAnsi="Cambria Math" w:cs="Cambria Math"/>
                    </w:rPr>
                    <m:t>2</m:t>
                  </m:r>
                </m:sub>
              </m:sSub>
              <m:r>
                <w:rPr>
                  <w:rFonts w:ascii="Cambria Math" w:hAnsi="Cambria Math" w:cs="Cambria Math"/>
                </w:rPr>
                <m:t xml:space="preserve">- </m:t>
              </m:r>
              <m:sSub>
                <m:sSubPr>
                  <m:ctrlPr>
                    <w:rPr>
                      <w:rFonts w:ascii="Cambria Math" w:hAnsi="Cambria Math" w:cs="Cambria Math"/>
                      <w:i/>
                    </w:rPr>
                  </m:ctrlPr>
                </m:sSubPr>
                <m:e>
                  <m:r>
                    <w:rPr>
                      <w:rFonts w:ascii="Cambria Math" w:hAnsi="Cambria Math" w:cs="Cambria Math"/>
                    </w:rPr>
                    <m:t>m</m:t>
                  </m:r>
                </m:e>
                <m:sub>
                  <m:r>
                    <w:rPr>
                      <w:rFonts w:ascii="Cambria Math" w:hAnsi="Cambria Math" w:cs="Cambria Math"/>
                    </w:rPr>
                    <m:t>1</m:t>
                  </m:r>
                </m:sub>
              </m:sSub>
              <m:r>
                <w:rPr>
                  <w:rFonts w:ascii="Cambria Math" w:hAnsi="Cambria Math" w:cs="Cambria Math"/>
                </w:rPr>
                <m:t xml:space="preserve"> </m:t>
              </m:r>
            </m:den>
          </m:f>
          <m:r>
            <w:rPr>
              <w:rFonts w:ascii="Cambria Math" w:hAnsi="Cambria Math"/>
            </w:rPr>
            <m:t xml:space="preserve"> ×100</m:t>
          </m:r>
        </m:oMath>
      </m:oMathPara>
    </w:p>
    <w:p w14:paraId="2B07C4CE" w14:textId="692A1D9C" w:rsidR="00FB6910" w:rsidRDefault="00055329" w:rsidP="00856990">
      <w:pPr>
        <w:spacing w:line="360" w:lineRule="auto"/>
        <w:jc w:val="both"/>
      </w:pPr>
      <w:r>
        <w:t>where:</w:t>
      </w:r>
      <w:r w:rsidR="00856990">
        <w:t xml:space="preserve"> </w:t>
      </w:r>
      <w:r w:rsidR="00FB6910">
        <w:t>m1 is the mass</w:t>
      </w:r>
      <w:r w:rsidR="009F7EC6">
        <w:t xml:space="preserve"> (g) </w:t>
      </w:r>
      <w:r w:rsidR="00FB6910">
        <w:t xml:space="preserve">of the empty </w:t>
      </w:r>
      <w:r w:rsidR="005E4510">
        <w:t>dish.</w:t>
      </w:r>
      <w:r w:rsidR="00FB6910">
        <w:t xml:space="preserve"> </w:t>
      </w:r>
    </w:p>
    <w:p w14:paraId="34E6BFE5" w14:textId="1E44D300" w:rsidR="00FB6910" w:rsidRDefault="00FB6910" w:rsidP="00FB6910">
      <w:pPr>
        <w:spacing w:line="360" w:lineRule="auto"/>
        <w:ind w:left="720"/>
        <w:jc w:val="both"/>
      </w:pPr>
      <w:r>
        <w:t>m2 is the mass</w:t>
      </w:r>
      <w:r w:rsidR="009F7EC6">
        <w:t xml:space="preserve"> (g) </w:t>
      </w:r>
      <w:r>
        <w:t xml:space="preserve">of dish plus test </w:t>
      </w:r>
      <w:r w:rsidR="005E4510">
        <w:t>portion.</w:t>
      </w:r>
      <w:r>
        <w:t xml:space="preserve"> </w:t>
      </w:r>
    </w:p>
    <w:p w14:paraId="2C2D8AB1" w14:textId="0D6B3D95" w:rsidR="00FB6910" w:rsidRDefault="00FB6910" w:rsidP="00FB6910">
      <w:pPr>
        <w:spacing w:line="360" w:lineRule="auto"/>
        <w:ind w:left="720"/>
        <w:jc w:val="both"/>
      </w:pPr>
      <w:r>
        <w:t>m3 is the mass</w:t>
      </w:r>
      <w:r w:rsidR="009F7EC6">
        <w:t xml:space="preserve"> (g) </w:t>
      </w:r>
      <w:r>
        <w:t>of dish plus ash.</w:t>
      </w:r>
    </w:p>
    <w:p w14:paraId="145AAF4A" w14:textId="576BFAEC" w:rsidR="0095262A" w:rsidRDefault="003460E3" w:rsidP="0095262A">
      <w:pPr>
        <w:spacing w:line="360" w:lineRule="auto"/>
        <w:jc w:val="both"/>
      </w:pPr>
      <w:r>
        <w:fldChar w:fldCharType="begin"/>
      </w:r>
      <w:r w:rsidR="00430AAA">
        <w:instrText xml:space="preserve"> ADDIN ZOTERO_ITEM CSL_CITATION {"citationID":"fmgPfKbO","properties":{"formattedCitation":"(British Standards Institute 2010b)","plainCitation":"(British Standards Institute 2010b)","dontUpdate":true,"noteIndex":0},"citationItems":[{"id":1951,"uris":["http://zotero.org/users/local/AB2owHL2/items/QA2BWHY3"],"itemData":{"id":1951,"type":"document","publisher":"British Standards Institution","title":"BS ISO 1171: 2010,  Solid mineral fuels — Determination of ash","author":[{"family":"British Standards Institute","given":""}],"issued":{"date-parts":[["2010"]]}}}],"schema":"https://github.com/citation-style-language/schema/raw/master/csl-citation.json"} </w:instrText>
      </w:r>
      <w:r>
        <w:fldChar w:fldCharType="separate"/>
      </w:r>
      <w:r w:rsidRPr="003460E3">
        <w:rPr>
          <w:rFonts w:ascii="Calibri" w:hAnsi="Calibri" w:cs="Calibri"/>
        </w:rPr>
        <w:t>(</w:t>
      </w:r>
      <w:r w:rsidR="00A41961" w:rsidRPr="00A41961">
        <w:rPr>
          <w:rFonts w:ascii="Calibri" w:hAnsi="Calibri" w:cs="Calibri"/>
        </w:rPr>
        <w:t>BS ISO 1171: 2010</w:t>
      </w:r>
      <w:r w:rsidRPr="003460E3">
        <w:rPr>
          <w:rFonts w:ascii="Calibri" w:hAnsi="Calibri" w:cs="Calibri"/>
        </w:rPr>
        <w:t>)</w:t>
      </w:r>
      <w:r>
        <w:fldChar w:fldCharType="end"/>
      </w:r>
    </w:p>
    <w:p w14:paraId="3EC40F6C" w14:textId="1E08D7BE" w:rsidR="00EA610D" w:rsidRDefault="00EA610D" w:rsidP="00A01C12">
      <w:pPr>
        <w:pStyle w:val="Heading4"/>
        <w:spacing w:line="360" w:lineRule="auto"/>
        <w:jc w:val="both"/>
      </w:pPr>
      <w:r>
        <w:t>Fixed carbon</w:t>
      </w:r>
    </w:p>
    <w:p w14:paraId="364F3A3E" w14:textId="0AC314E3" w:rsidR="00323B6D" w:rsidRDefault="007A4F75" w:rsidP="00A01C12">
      <w:pPr>
        <w:spacing w:line="360" w:lineRule="auto"/>
        <w:jc w:val="both"/>
      </w:pPr>
      <w:r>
        <w:t xml:space="preserve">Fixed carbon is the solid combustible residue remaining after removal </w:t>
      </w:r>
      <w:r w:rsidR="004F1F39">
        <w:t xml:space="preserve">of moisture, </w:t>
      </w:r>
      <w:proofErr w:type="gramStart"/>
      <w:r w:rsidR="004F1F39">
        <w:t>ash</w:t>
      </w:r>
      <w:proofErr w:type="gramEnd"/>
      <w:r w:rsidR="004F1F39">
        <w:t xml:space="preserve"> and volatile materials</w:t>
      </w:r>
      <w:r w:rsidR="004E43D7">
        <w:t>. Fixed carbon is calculated by subtracting the percentage moisture, ash and VM from 100%</w:t>
      </w:r>
      <w:r w:rsidR="00432D60">
        <w:t xml:space="preserve">. </w:t>
      </w:r>
    </w:p>
    <w:p w14:paraId="15A67A15" w14:textId="563A7CED" w:rsidR="002D449C" w:rsidRPr="00055329" w:rsidRDefault="002D449C" w:rsidP="00A01C12">
      <w:pPr>
        <w:spacing w:line="360" w:lineRule="auto"/>
        <w:jc w:val="both"/>
        <w:rPr>
          <w:rFonts w:eastAsiaTheme="minorEastAsia"/>
        </w:rPr>
      </w:pPr>
      <m:oMathPara>
        <m:oMath>
          <m:r>
            <w:rPr>
              <w:rFonts w:ascii="Cambria Math" w:hAnsi="Cambria Math"/>
            </w:rPr>
            <m:t>FC=100-</m:t>
          </m:r>
          <m:d>
            <m:dPr>
              <m:ctrlPr>
                <w:rPr>
                  <w:rFonts w:ascii="Cambria Math" w:hAnsi="Cambria Math"/>
                  <w:i/>
                </w:rPr>
              </m:ctrlPr>
            </m:dPr>
            <m:e>
              <m:r>
                <w:rPr>
                  <w:rFonts w:ascii="Cambria Math" w:hAnsi="Cambria Math"/>
                </w:rPr>
                <m:t>M+A+V</m:t>
              </m:r>
            </m:e>
          </m:d>
        </m:oMath>
      </m:oMathPara>
    </w:p>
    <w:p w14:paraId="74ED2C54" w14:textId="2D0EBB4F" w:rsidR="00055329" w:rsidRDefault="00055329" w:rsidP="00A01C12">
      <w:pPr>
        <w:spacing w:line="360" w:lineRule="auto"/>
        <w:jc w:val="both"/>
        <w:rPr>
          <w:rFonts w:eastAsiaTheme="minorEastAsia"/>
        </w:rPr>
      </w:pPr>
      <w:r>
        <w:rPr>
          <w:rFonts w:eastAsiaTheme="minorEastAsia"/>
        </w:rPr>
        <w:t>where:</w:t>
      </w:r>
      <w:r w:rsidR="00856990">
        <w:rPr>
          <w:rFonts w:eastAsiaTheme="minorEastAsia"/>
        </w:rPr>
        <w:t xml:space="preserve"> </w:t>
      </w:r>
      <w:r>
        <w:rPr>
          <w:rFonts w:eastAsiaTheme="minorEastAsia"/>
        </w:rPr>
        <w:t>M</w:t>
      </w:r>
      <w:r w:rsidR="00B46B59">
        <w:rPr>
          <w:rFonts w:eastAsiaTheme="minorEastAsia"/>
        </w:rPr>
        <w:t xml:space="preserve"> = Moisture</w:t>
      </w:r>
      <w:r w:rsidR="004A6DDB">
        <w:rPr>
          <w:rFonts w:eastAsiaTheme="minorEastAsia"/>
        </w:rPr>
        <w:t xml:space="preserve"> content </w:t>
      </w:r>
      <w:r w:rsidR="006832C5">
        <w:rPr>
          <w:rFonts w:eastAsiaTheme="minorEastAsia"/>
        </w:rPr>
        <w:t>(%)</w:t>
      </w:r>
    </w:p>
    <w:p w14:paraId="137A4BED" w14:textId="65F2D1DE" w:rsidR="004A6DDB" w:rsidRDefault="00B46B59" w:rsidP="00A01C12">
      <w:pPr>
        <w:spacing w:line="360" w:lineRule="auto"/>
        <w:jc w:val="both"/>
        <w:rPr>
          <w:rFonts w:eastAsiaTheme="minorEastAsia"/>
        </w:rPr>
      </w:pPr>
      <w:r>
        <w:rPr>
          <w:rFonts w:eastAsiaTheme="minorEastAsia"/>
        </w:rPr>
        <w:tab/>
        <w:t xml:space="preserve">A = Ash </w:t>
      </w:r>
      <w:r w:rsidR="004A6DDB">
        <w:rPr>
          <w:rFonts w:eastAsiaTheme="minorEastAsia"/>
        </w:rPr>
        <w:t xml:space="preserve">content </w:t>
      </w:r>
      <w:r w:rsidR="006832C5">
        <w:rPr>
          <w:rFonts w:eastAsiaTheme="minorEastAsia"/>
        </w:rPr>
        <w:t>(%)</w:t>
      </w:r>
    </w:p>
    <w:p w14:paraId="2064874C" w14:textId="04AA362C" w:rsidR="00A4439D" w:rsidRDefault="004A6DDB" w:rsidP="00A01C12">
      <w:pPr>
        <w:spacing w:line="360" w:lineRule="auto"/>
        <w:jc w:val="both"/>
        <w:rPr>
          <w:rFonts w:eastAsiaTheme="minorEastAsia"/>
        </w:rPr>
      </w:pPr>
      <w:r>
        <w:rPr>
          <w:rFonts w:eastAsiaTheme="minorEastAsia"/>
        </w:rPr>
        <w:tab/>
        <w:t xml:space="preserve">V= Volatile matter content </w:t>
      </w:r>
      <w:r w:rsidR="006832C5">
        <w:rPr>
          <w:rFonts w:eastAsiaTheme="minorEastAsia"/>
        </w:rPr>
        <w:t>(%)</w:t>
      </w:r>
    </w:p>
    <w:p w14:paraId="6122B556" w14:textId="77777777" w:rsidR="00CE0797" w:rsidRDefault="00A4439D" w:rsidP="00CE0797">
      <w:pPr>
        <w:spacing w:line="360" w:lineRule="auto"/>
        <w:jc w:val="both"/>
        <w:rPr>
          <w:rFonts w:eastAsiaTheme="minorEastAsia"/>
        </w:rPr>
      </w:pPr>
      <w:r>
        <w:rPr>
          <w:rFonts w:eastAsiaTheme="minorEastAsia"/>
        </w:rPr>
        <w:fldChar w:fldCharType="begin"/>
      </w:r>
      <w:r>
        <w:rPr>
          <w:rFonts w:eastAsiaTheme="minorEastAsia"/>
        </w:rPr>
        <w:instrText xml:space="preserve"> ADDIN ZOTERO_ITEM CSL_CITATION {"citationID":"bGHYBkZ2","properties":{"formattedCitation":"(Loison et al. 1989)","plainCitation":"(Loison et al. 1989)","noteIndex":0},"citationItems":[{"id":454,"uris":["http://zotero.org/users/local/AB2owHL2/items/6D266ISA"],"itemData":{"id":454,"type":"book","edition":"2nd","event-place":"Cambridge","publisher":"Butterworths","publisher-place":"Cambridge","title":"Coke : Quality and Production","author":[{"family":"Loison","given":"Roger"},{"family":"Foch","given":"Pierre"},{"family":"Boyer","given":"Andre"}],"issued":{"date-parts":[["1989"]]}}}],"schema":"https://github.com/citation-style-language/schema/raw/master/csl-citation.json"} </w:instrText>
      </w:r>
      <w:r>
        <w:rPr>
          <w:rFonts w:eastAsiaTheme="minorEastAsia"/>
        </w:rPr>
        <w:fldChar w:fldCharType="separate"/>
      </w:r>
      <w:r w:rsidRPr="00A4439D">
        <w:rPr>
          <w:rFonts w:ascii="Calibri" w:hAnsi="Calibri" w:cs="Calibri"/>
        </w:rPr>
        <w:t>(Loison et al. 1989)</w:t>
      </w:r>
      <w:r>
        <w:rPr>
          <w:rFonts w:eastAsiaTheme="minorEastAsia"/>
        </w:rPr>
        <w:fldChar w:fldCharType="end"/>
      </w:r>
      <w:r w:rsidR="00B46B59">
        <w:rPr>
          <w:rFonts w:eastAsiaTheme="minorEastAsia"/>
        </w:rPr>
        <w:t xml:space="preserve"> </w:t>
      </w:r>
    </w:p>
    <w:p w14:paraId="63D40E45" w14:textId="23828485" w:rsidR="009D7182" w:rsidRDefault="009D7182" w:rsidP="007B475A">
      <w:pPr>
        <w:pStyle w:val="Heading3"/>
      </w:pPr>
      <w:bookmarkStart w:id="41" w:name="_Toc127911444"/>
      <w:r w:rsidRPr="009A5A9C">
        <w:t>Ultimate analysis</w:t>
      </w:r>
      <w:bookmarkEnd w:id="41"/>
      <w:r w:rsidR="009A5A9C" w:rsidRPr="009A5A9C">
        <w:t xml:space="preserve"> </w:t>
      </w:r>
    </w:p>
    <w:p w14:paraId="3BF36341" w14:textId="0D4938E1" w:rsidR="009B3A9B" w:rsidRDefault="00112CBA" w:rsidP="00E268A3">
      <w:pPr>
        <w:spacing w:line="360" w:lineRule="auto"/>
        <w:jc w:val="both"/>
      </w:pPr>
      <w:r>
        <w:t>The organic compon</w:t>
      </w:r>
      <w:r w:rsidR="00CB3EFE">
        <w:t xml:space="preserve">ents of coal are composed of carbon, hydrogen, </w:t>
      </w:r>
      <w:r w:rsidR="00197469">
        <w:t>nitrogen</w:t>
      </w:r>
      <w:r w:rsidR="009B3A9B">
        <w:t xml:space="preserve">, </w:t>
      </w:r>
      <w:r w:rsidR="00197469">
        <w:t>oxygen and sulphur</w:t>
      </w:r>
      <w:r w:rsidR="005B30D7">
        <w:t>, these components make up 99% of the organic portion of coal</w:t>
      </w:r>
      <w:r w:rsidR="001A53A1">
        <w:t>.</w:t>
      </w:r>
      <w:r w:rsidR="00C43695">
        <w:t xml:space="preserve"> </w:t>
      </w:r>
      <w:r w:rsidR="00565314">
        <w:t>Analysis</w:t>
      </w:r>
      <w:r w:rsidR="0073757A">
        <w:t xml:space="preserve"> performed using an instrument called an ultimate analyser</w:t>
      </w:r>
      <w:r w:rsidR="00B0787B">
        <w:t>, carbo</w:t>
      </w:r>
      <w:r w:rsidR="00913BA1">
        <w:t xml:space="preserve">n, </w:t>
      </w:r>
      <w:r w:rsidR="001B25D8">
        <w:t>hydrogen,</w:t>
      </w:r>
      <w:r w:rsidR="00913BA1">
        <w:t xml:space="preserve"> and nitrogen </w:t>
      </w:r>
      <w:r w:rsidR="009B3A9B">
        <w:t>are</w:t>
      </w:r>
      <w:r w:rsidR="00913BA1">
        <w:t xml:space="preserve"> </w:t>
      </w:r>
      <w:r w:rsidR="007D4A84">
        <w:t xml:space="preserve">determined by combusting </w:t>
      </w:r>
      <w:r w:rsidR="009B3A9B">
        <w:t>the</w:t>
      </w:r>
      <w:r w:rsidR="007D4A84">
        <w:t xml:space="preserve"> sample</w:t>
      </w:r>
      <w:r w:rsidR="005F1519">
        <w:t>, the element</w:t>
      </w:r>
      <w:r w:rsidR="009B3A9B">
        <w:t>s</w:t>
      </w:r>
      <w:r w:rsidR="005F1519">
        <w:t xml:space="preserve"> carbon, </w:t>
      </w:r>
      <w:proofErr w:type="gramStart"/>
      <w:r w:rsidR="005F1519">
        <w:t>hydrogen</w:t>
      </w:r>
      <w:proofErr w:type="gramEnd"/>
      <w:r w:rsidR="005F1519">
        <w:t xml:space="preserve"> and nitrogen are converted into CO</w:t>
      </w:r>
      <w:r w:rsidR="005F1519" w:rsidRPr="005F1519">
        <w:rPr>
          <w:vertAlign w:val="subscript"/>
        </w:rPr>
        <w:t>2</w:t>
      </w:r>
      <w:r w:rsidR="005F1519">
        <w:t>, H</w:t>
      </w:r>
      <w:r w:rsidR="005F1519" w:rsidRPr="005F1519">
        <w:rPr>
          <w:vertAlign w:val="subscript"/>
        </w:rPr>
        <w:t>2</w:t>
      </w:r>
      <w:r w:rsidR="005F1519">
        <w:t>0, N</w:t>
      </w:r>
      <w:r w:rsidR="005F1519" w:rsidRPr="005F1519">
        <w:rPr>
          <w:vertAlign w:val="subscript"/>
        </w:rPr>
        <w:t>2</w:t>
      </w:r>
      <w:r w:rsidR="005F1519">
        <w:t xml:space="preserve"> and NO</w:t>
      </w:r>
      <w:r w:rsidR="005F1519" w:rsidRPr="005F1519">
        <w:rPr>
          <w:vertAlign w:val="subscript"/>
        </w:rPr>
        <w:t>X</w:t>
      </w:r>
      <w:r w:rsidR="00FA440F">
        <w:t xml:space="preserve">. </w:t>
      </w:r>
      <w:r w:rsidR="003D29ED">
        <w:t>C</w:t>
      </w:r>
      <w:r w:rsidR="00646A57">
        <w:t>arbon and hydrogen content</w:t>
      </w:r>
      <w:r w:rsidR="008A0523">
        <w:t xml:space="preserve"> are determined by passing the gasses through an infrared cell</w:t>
      </w:r>
      <w:r w:rsidR="00646A57">
        <w:t xml:space="preserve">, a thermal conductivity </w:t>
      </w:r>
      <w:r w:rsidR="001B25D8">
        <w:t>cell is</w:t>
      </w:r>
      <w:r w:rsidR="008A0523">
        <w:t xml:space="preserve"> used </w:t>
      </w:r>
      <w:r w:rsidR="00646A57">
        <w:t xml:space="preserve">to determine </w:t>
      </w:r>
      <w:r w:rsidR="00877FFA">
        <w:t>nitrogen. The raw hydrogen analysis result is moisture corrected.</w:t>
      </w:r>
      <w:r w:rsidR="00824705">
        <w:t xml:space="preserve"> The total oxygen is calculated from the other values</w:t>
      </w:r>
      <w:r w:rsidR="006623BC">
        <w:t xml:space="preserve"> </w:t>
      </w:r>
      <w:r w:rsidR="004B6475">
        <w:fldChar w:fldCharType="begin"/>
      </w:r>
      <w:r w:rsidR="004B6475">
        <w:instrText xml:space="preserve"> ADDIN ZOTERO_ITEM CSL_CITATION {"citationID":"o4L666OA","properties":{"formattedCitation":"(Osbourne 2013)","plainCitation":"(Osbourne 2013)","noteIndex":0},"citationItems":[{"id":442,"uris":["http://zotero.org/users/local/AB2owHL2/items/I728WGK6"],"itemData":{"id":442,"type":"book","event-place":"Cambridge","publisher":"Woodhead Publishing Limited","publisher-place":"Cambridge","title":"The Coal Handbook :Towards Cleaner Production","volume":"1 - Coal Production","author":[{"family":"Osbourne","given":"Dave"}],"issued":{"date-parts":[["2013"]]}}}],"schema":"https://github.com/citation-style-language/schema/raw/master/csl-citation.json"} </w:instrText>
      </w:r>
      <w:r w:rsidR="004B6475">
        <w:fldChar w:fldCharType="separate"/>
      </w:r>
      <w:r w:rsidR="004B6475" w:rsidRPr="004B6475">
        <w:rPr>
          <w:rFonts w:ascii="Calibri" w:hAnsi="Calibri" w:cs="Calibri"/>
        </w:rPr>
        <w:t>(Osbourne 2013)</w:t>
      </w:r>
      <w:r w:rsidR="004B6475">
        <w:fldChar w:fldCharType="end"/>
      </w:r>
      <w:r w:rsidR="00824705">
        <w:t>.</w:t>
      </w:r>
      <w:r w:rsidR="00C64462">
        <w:t xml:space="preserve"> </w:t>
      </w:r>
    </w:p>
    <w:p w14:paraId="6CE9BE6E" w14:textId="77777777" w:rsidR="009B3A9B" w:rsidRDefault="00C64462" w:rsidP="00E268A3">
      <w:pPr>
        <w:spacing w:line="360" w:lineRule="auto"/>
        <w:jc w:val="both"/>
      </w:pPr>
      <w:r w:rsidRPr="00C64462">
        <w:t>Total oxygen weight % = 100 – (total carbon weight % + total hydrogen weight % + total nitrogen weight % + total sul</w:t>
      </w:r>
      <w:r w:rsidR="00C16023">
        <w:t>ph</w:t>
      </w:r>
      <w:r w:rsidRPr="00C64462">
        <w:t>ur weight % + total ash weight%)</w:t>
      </w:r>
      <w:r w:rsidR="004F738D">
        <w:t xml:space="preserve">. </w:t>
      </w:r>
    </w:p>
    <w:p w14:paraId="69D2179D" w14:textId="70FBA1FF" w:rsidR="00CE0797" w:rsidRDefault="004F738D" w:rsidP="00E268A3">
      <w:pPr>
        <w:spacing w:line="360" w:lineRule="auto"/>
        <w:jc w:val="both"/>
      </w:pPr>
      <w:r>
        <w:t xml:space="preserve">Sulphur can be determined using a </w:t>
      </w:r>
      <w:r w:rsidR="00484887">
        <w:t>combustion analyser</w:t>
      </w:r>
      <w:r w:rsidR="00756598">
        <w:t>,</w:t>
      </w:r>
      <w:r w:rsidR="00484887">
        <w:t xml:space="preserve"> </w:t>
      </w:r>
      <w:r w:rsidR="00756598">
        <w:t>a sample is</w:t>
      </w:r>
      <w:r w:rsidR="00484887" w:rsidRPr="00484887">
        <w:t xml:space="preserve"> placed in </w:t>
      </w:r>
      <w:r w:rsidR="00756598">
        <w:t>the</w:t>
      </w:r>
      <w:r w:rsidR="00484887" w:rsidRPr="00484887">
        <w:t xml:space="preserve"> sul</w:t>
      </w:r>
      <w:r w:rsidR="00756598">
        <w:t>ph</w:t>
      </w:r>
      <w:r w:rsidR="00484887" w:rsidRPr="00484887">
        <w:t>ur analy</w:t>
      </w:r>
      <w:r w:rsidR="00484887">
        <w:t>s</w:t>
      </w:r>
      <w:r w:rsidR="00484887" w:rsidRPr="00484887">
        <w:t xml:space="preserve">er. </w:t>
      </w:r>
      <w:r w:rsidR="006623BC">
        <w:t>The</w:t>
      </w:r>
      <w:r w:rsidR="00484887" w:rsidRPr="00484887">
        <w:t xml:space="preserve"> sample is combusted at a temperature of 1,370°C in an oxygen atmosphere. The oxygen reacts </w:t>
      </w:r>
      <w:r w:rsidR="00484887" w:rsidRPr="00484887">
        <w:lastRenderedPageBreak/>
        <w:t>with sul</w:t>
      </w:r>
      <w:r w:rsidR="00484887">
        <w:t>ph</w:t>
      </w:r>
      <w:r w:rsidR="00484887" w:rsidRPr="00484887">
        <w:t>ur to form sul</w:t>
      </w:r>
      <w:r w:rsidR="00484887">
        <w:t>ph</w:t>
      </w:r>
      <w:r w:rsidR="00484887" w:rsidRPr="00484887">
        <w:t xml:space="preserve">ur dioxide gas. </w:t>
      </w:r>
      <w:r w:rsidR="000003CA">
        <w:t xml:space="preserve">An infrared detector then measures the sulphur concentration </w:t>
      </w:r>
      <w:r w:rsidR="001E2C4A">
        <w:fldChar w:fldCharType="begin"/>
      </w:r>
      <w:r w:rsidR="001E2C4A">
        <w:instrText xml:space="preserve"> ADDIN ZOTERO_ITEM CSL_CITATION {"citationID":"Qr9aYI30","properties":{"formattedCitation":"(Backus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1E2C4A">
        <w:fldChar w:fldCharType="separate"/>
      </w:r>
      <w:r w:rsidR="001E2C4A" w:rsidRPr="001E2C4A">
        <w:rPr>
          <w:rFonts w:ascii="Calibri" w:hAnsi="Calibri" w:cs="Calibri"/>
        </w:rPr>
        <w:t>(Backus 2015)</w:t>
      </w:r>
      <w:r w:rsidR="001E2C4A">
        <w:fldChar w:fldCharType="end"/>
      </w:r>
      <w:r w:rsidR="00484887" w:rsidRPr="00484887">
        <w:t>.</w:t>
      </w:r>
    </w:p>
    <w:p w14:paraId="4276D4F2" w14:textId="0B0CAEFB" w:rsidR="009D7182" w:rsidRDefault="009D7182" w:rsidP="007C0900">
      <w:pPr>
        <w:pStyle w:val="Heading3"/>
        <w:spacing w:line="360" w:lineRule="auto"/>
        <w:jc w:val="both"/>
      </w:pPr>
      <w:bookmarkStart w:id="42" w:name="_Toc127911445"/>
      <w:r>
        <w:t>Calorific value</w:t>
      </w:r>
      <w:bookmarkEnd w:id="42"/>
      <w:r w:rsidR="008A0BB8">
        <w:t xml:space="preserve"> </w:t>
      </w:r>
    </w:p>
    <w:p w14:paraId="327A88EC" w14:textId="14067BAF" w:rsidR="006623BC" w:rsidRPr="006623BC" w:rsidRDefault="00370B80" w:rsidP="007C0900">
      <w:pPr>
        <w:spacing w:line="360" w:lineRule="auto"/>
        <w:jc w:val="both"/>
      </w:pPr>
      <w:r>
        <w:t xml:space="preserve">The calorific value </w:t>
      </w:r>
      <w:r w:rsidR="00562F64">
        <w:t xml:space="preserve">is a measure </w:t>
      </w:r>
      <w:r w:rsidR="00D3745F">
        <w:t xml:space="preserve">of the energy content of the coal. It </w:t>
      </w:r>
      <w:r w:rsidR="008174FD">
        <w:t>is the amount of energy produced when a known quantity</w:t>
      </w:r>
      <w:r w:rsidR="009100F1">
        <w:t xml:space="preserve"> of sample</w:t>
      </w:r>
      <w:r w:rsidR="008174FD">
        <w:t xml:space="preserve"> is </w:t>
      </w:r>
      <w:r w:rsidR="007C0900">
        <w:t>combusted in oxygen</w:t>
      </w:r>
      <w:r w:rsidR="001A5C33">
        <w:t>. The instrument used to measure this is called a bomb cal</w:t>
      </w:r>
      <w:r w:rsidR="000C4CFC">
        <w:t>o</w:t>
      </w:r>
      <w:r w:rsidR="001A5C33">
        <w:t>r</w:t>
      </w:r>
      <w:r w:rsidR="000C4CFC">
        <w:t>i</w:t>
      </w:r>
      <w:r w:rsidR="001A5C33">
        <w:t>meter</w:t>
      </w:r>
      <w:r w:rsidR="006E0BBC">
        <w:t xml:space="preserve">. </w:t>
      </w:r>
      <w:r w:rsidR="003E256E">
        <w:t>The sample is combusted in a steel container placed in water. The change in water temperature is used to determine the calorific value of the sample.</w:t>
      </w:r>
      <w:r w:rsidR="00C16023">
        <w:t xml:space="preserve"> </w:t>
      </w:r>
      <w:r w:rsidR="00E14654">
        <w:t xml:space="preserve">Calorific value is measured in </w:t>
      </w:r>
      <w:r w:rsidR="00C472B1">
        <w:t>kilojoules/</w:t>
      </w:r>
      <w:r w:rsidR="00AE6726">
        <w:t>k</w:t>
      </w:r>
      <w:r w:rsidR="00C472B1">
        <w:t>g or megajoules/</w:t>
      </w:r>
      <w:r w:rsidR="00AE6726">
        <w:t>kg</w:t>
      </w:r>
      <w:r w:rsidR="00CC4C86">
        <w:t xml:space="preserve"> </w:t>
      </w:r>
      <w:r w:rsidR="009C11C3">
        <w:fldChar w:fldCharType="begin"/>
      </w:r>
      <w:r w:rsidR="009C11C3">
        <w:instrText xml:space="preserve"> ADDIN ZOTERO_ITEM CSL_CITATION {"citationID":"Oderh7nD","properties":{"formattedCitation":"(Backus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9C11C3">
        <w:fldChar w:fldCharType="separate"/>
      </w:r>
      <w:r w:rsidR="009C11C3" w:rsidRPr="009C11C3">
        <w:rPr>
          <w:rFonts w:ascii="Calibri" w:hAnsi="Calibri" w:cs="Calibri"/>
        </w:rPr>
        <w:t>(Backus 2015)</w:t>
      </w:r>
      <w:r w:rsidR="009C11C3">
        <w:fldChar w:fldCharType="end"/>
      </w:r>
      <w:r w:rsidR="00AE6726">
        <w:t>.</w:t>
      </w:r>
    </w:p>
    <w:p w14:paraId="42272468" w14:textId="7D70D84B" w:rsidR="00224D8A" w:rsidRDefault="00C027A6" w:rsidP="008A2E3A">
      <w:pPr>
        <w:pStyle w:val="Heading3"/>
        <w:spacing w:line="360" w:lineRule="auto"/>
        <w:jc w:val="both"/>
      </w:pPr>
      <w:bookmarkStart w:id="43" w:name="_Toc127911446"/>
      <w:r>
        <w:t xml:space="preserve">Major </w:t>
      </w:r>
      <w:r w:rsidR="005F5D6C">
        <w:t>Elemental Analysis</w:t>
      </w:r>
      <w:bookmarkEnd w:id="43"/>
    </w:p>
    <w:p w14:paraId="4BF7F867" w14:textId="7C6A7AE1" w:rsidR="001D1A4B" w:rsidRDefault="00CC6CBD" w:rsidP="008A2E3A">
      <w:pPr>
        <w:spacing w:line="360" w:lineRule="auto"/>
        <w:jc w:val="both"/>
      </w:pPr>
      <w:r>
        <w:t>Coals can contain a vari</w:t>
      </w:r>
      <w:r w:rsidR="00D21B7D">
        <w:t>ety of elements,</w:t>
      </w:r>
      <w:r w:rsidR="00126F9E">
        <w:t xml:space="preserve"> major elements make up more than 1%, they</w:t>
      </w:r>
      <w:r w:rsidR="00D21B7D">
        <w:t xml:space="preserve"> are determined </w:t>
      </w:r>
      <w:r w:rsidR="0040268F">
        <w:t xml:space="preserve">by X-ray </w:t>
      </w:r>
      <w:r w:rsidR="00333015">
        <w:t>fluorescence</w:t>
      </w:r>
      <w:r w:rsidR="008A2E3A">
        <w:t xml:space="preserve"> (XRF)</w:t>
      </w:r>
      <w:r w:rsidR="00213324">
        <w:t xml:space="preserve">, the coal is </w:t>
      </w:r>
      <w:r w:rsidR="008A2E3A">
        <w:t>combusted,</w:t>
      </w:r>
      <w:r w:rsidR="00213324">
        <w:t xml:space="preserve"> and the </w:t>
      </w:r>
      <w:r w:rsidR="00221EB3">
        <w:t xml:space="preserve">remaining </w:t>
      </w:r>
      <w:r w:rsidR="00213324">
        <w:t xml:space="preserve">ash </w:t>
      </w:r>
      <w:r w:rsidR="00221EB3">
        <w:t xml:space="preserve">is fused with a flux material before </w:t>
      </w:r>
      <w:r w:rsidR="008A2E3A">
        <w:t>being analysed on the</w:t>
      </w:r>
      <w:r w:rsidR="000B2D04">
        <w:t xml:space="preserve"> XRF</w:t>
      </w:r>
      <w:r w:rsidR="00077B95">
        <w:t xml:space="preserve">. </w:t>
      </w:r>
      <w:r w:rsidR="00B92925">
        <w:t>The XRF works as follow</w:t>
      </w:r>
      <w:r w:rsidR="00532342">
        <w:t>s</w:t>
      </w:r>
      <w:r w:rsidR="00B92925">
        <w:t xml:space="preserve">: Photons from the x-ray tube </w:t>
      </w:r>
      <w:r w:rsidR="004F245C">
        <w:t xml:space="preserve">strike the sample with enough energy to expel the </w:t>
      </w:r>
      <w:r w:rsidR="002E0D91">
        <w:t xml:space="preserve">electrons out of the </w:t>
      </w:r>
      <w:r w:rsidR="00576DD3">
        <w:t>element’s</w:t>
      </w:r>
      <w:r w:rsidR="002E0D91">
        <w:t xml:space="preserve"> innermost orbital</w:t>
      </w:r>
      <w:r w:rsidR="00576DD3">
        <w:t xml:space="preserve">, the atoms become unstable. To regain stability </w:t>
      </w:r>
      <w:r w:rsidR="009A77AA">
        <w:t>electrons in</w:t>
      </w:r>
      <w:r w:rsidR="00576DD3">
        <w:t xml:space="preserve"> </w:t>
      </w:r>
      <w:r w:rsidR="009A77AA">
        <w:t xml:space="preserve">the </w:t>
      </w:r>
      <w:r w:rsidR="00576DD3">
        <w:t xml:space="preserve">outer </w:t>
      </w:r>
      <w:r w:rsidR="001B25D8">
        <w:t>orbitals,</w:t>
      </w:r>
      <w:r w:rsidR="00576DD3">
        <w:t xml:space="preserve"> </w:t>
      </w:r>
      <w:r w:rsidR="009A77AA">
        <w:t xml:space="preserve">move into the newly vacant </w:t>
      </w:r>
      <w:r w:rsidR="00A00469">
        <w:t xml:space="preserve">inner orbitals. When an electron transitions </w:t>
      </w:r>
      <w:r w:rsidR="009751D4">
        <w:t xml:space="preserve">from an outer orbital to an inner orbital it </w:t>
      </w:r>
      <w:r w:rsidR="000B26F1">
        <w:t>emits</w:t>
      </w:r>
      <w:r w:rsidR="009751D4">
        <w:t xml:space="preserve"> energy known as x-</w:t>
      </w:r>
      <w:r w:rsidR="000B26F1">
        <w:t>ray</w:t>
      </w:r>
      <w:r w:rsidR="009751D4">
        <w:t xml:space="preserve"> </w:t>
      </w:r>
      <w:r w:rsidR="000B26F1">
        <w:t>fluorescence</w:t>
      </w:r>
      <w:r w:rsidR="00697E9D">
        <w:t xml:space="preserve">, each element has a </w:t>
      </w:r>
      <w:r w:rsidR="005558B0">
        <w:t>specific energy signature</w:t>
      </w:r>
      <w:r w:rsidR="00984468">
        <w:t xml:space="preserve"> which is picked up by the detector</w:t>
      </w:r>
      <w:r w:rsidR="005558B0">
        <w:t>,</w:t>
      </w:r>
      <w:r w:rsidR="000B26F1">
        <w:t xml:space="preserve"> see figure</w:t>
      </w:r>
      <w:r w:rsidR="00F15821">
        <w:t xml:space="preserve"> 20</w:t>
      </w:r>
      <w:r w:rsidR="000B26F1">
        <w:t xml:space="preserve"> below</w:t>
      </w:r>
      <w:r w:rsidR="00CA64F0">
        <w:t xml:space="preserve"> </w:t>
      </w:r>
      <w:r w:rsidR="00CA64F0">
        <w:fldChar w:fldCharType="begin"/>
      </w:r>
      <w:r w:rsidR="00CA64F0">
        <w:instrText xml:space="preserve"> ADDIN ZOTERO_ITEM CSL_CITATION {"citationID":"7583DD4T","properties":{"formattedCitation":"(Blondel 2020)","plainCitation":"(Blondel 2020)","noteIndex":0},"citationItems":[{"id":1956,"uris":["http://zotero.org/users/local/AB2owHL2/items/TINTIWFS"],"itemData":{"id":1956,"type":"webpage","abstract":"Handheld analyzers like our popular Vanta™ series use energy dispersive X-ray fluorescence to determine a material’s elemental composition in seconds. Learn all about the science behind XRF and how it works in handheld analyzers.","language":"en-US","title":"Understanding X-Ray Fluorescence: How Does XRF Work?","title-short":"Understanding X-Ray Fluorescence","URL":"https://www.olympus-ims.com/en/insight/understanding-x-ray-fluorescence-how-does-xrf-work/","author":[{"family":"Blondel","given":"Damien"}],"accessed":{"date-parts":[["2022",9,20]]},"issued":{"date-parts":[["2020"]]}}}],"schema":"https://github.com/citation-style-language/schema/raw/master/csl-citation.json"} </w:instrText>
      </w:r>
      <w:r w:rsidR="00CA64F0">
        <w:fldChar w:fldCharType="separate"/>
      </w:r>
      <w:r w:rsidR="00CA64F0" w:rsidRPr="00CA64F0">
        <w:rPr>
          <w:rFonts w:ascii="Calibri" w:hAnsi="Calibri" w:cs="Calibri"/>
        </w:rPr>
        <w:t>(Blondel 2020)</w:t>
      </w:r>
      <w:r w:rsidR="00CA64F0">
        <w:fldChar w:fldCharType="end"/>
      </w:r>
      <w:r w:rsidR="000B26F1">
        <w:t>.</w:t>
      </w:r>
    </w:p>
    <w:p w14:paraId="0526FA01" w14:textId="03ED9CE0" w:rsidR="00097B87" w:rsidRPr="001D1A4B" w:rsidRDefault="00097B87" w:rsidP="008A2E3A">
      <w:pPr>
        <w:spacing w:line="360" w:lineRule="auto"/>
        <w:jc w:val="both"/>
      </w:pPr>
      <w:r w:rsidRPr="00097B87">
        <w:rPr>
          <w:noProof/>
        </w:rPr>
        <w:drawing>
          <wp:inline distT="0" distB="0" distL="0" distR="0" wp14:anchorId="4DA7F20D" wp14:editId="5CFF8623">
            <wp:extent cx="4977130" cy="3005593"/>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3"/>
                    <a:stretch>
                      <a:fillRect/>
                    </a:stretch>
                  </pic:blipFill>
                  <pic:spPr>
                    <a:xfrm>
                      <a:off x="0" y="0"/>
                      <a:ext cx="5071582" cy="3062631"/>
                    </a:xfrm>
                    <a:prstGeom prst="rect">
                      <a:avLst/>
                    </a:prstGeom>
                  </pic:spPr>
                </pic:pic>
              </a:graphicData>
            </a:graphic>
          </wp:inline>
        </w:drawing>
      </w:r>
    </w:p>
    <w:p w14:paraId="2B2D0670" w14:textId="1EF7890F" w:rsidR="00097B87" w:rsidRDefault="00097B87" w:rsidP="00097B87">
      <w:pPr>
        <w:pStyle w:val="Caption"/>
      </w:pPr>
      <w:bookmarkStart w:id="44" w:name="_Toc127110914"/>
      <w:r>
        <w:t xml:space="preserve">Figure </w:t>
      </w:r>
      <w:fldSimple w:instr=" SEQ Figure \* ARABIC ">
        <w:r w:rsidR="00A0212F">
          <w:rPr>
            <w:noProof/>
          </w:rPr>
          <w:t>20</w:t>
        </w:r>
      </w:fldSimple>
      <w:r>
        <w:t xml:space="preserve"> Illustrating x-ray </w:t>
      </w:r>
      <w:r w:rsidR="00C17A81">
        <w:t xml:space="preserve">fluorescence </w:t>
      </w:r>
      <w:r w:rsidR="00C17A81">
        <w:fldChar w:fldCharType="begin"/>
      </w:r>
      <w:r w:rsidR="00CA64F0">
        <w:instrText xml:space="preserve"> ADDIN ZOTERO_ITEM CSL_CITATION {"citationID":"0AXRSDEr","properties":{"formattedCitation":"(Blondel 2020)","plainCitation":"(Blondel 2020)","noteIndex":0},"citationItems":[{"id":1956,"uris":["http://zotero.org/users/local/AB2owHL2/items/TINTIWFS"],"itemData":{"id":1956,"type":"webpage","abstract":"Handheld analyzers like our popular Vanta™ series use energy dispersive X-ray fluorescence to determine a material’s elemental composition in seconds. Learn all about the science behind XRF and how it works in handheld analyzers.","language":"en-US","title":"Understanding X-Ray Fluorescence: How Does XRF Work?","title-short":"Understanding X-Ray Fluorescence","URL":"https://www.olympus-ims.com/en/insight/understanding-x-ray-fluorescence-how-does-xrf-work/","author":[{"family":"Blondel","given":"Damien"}],"accessed":{"date-parts":[["2022",9,20]]},"issued":{"date-parts":[["2020"]]}}}],"schema":"https://github.com/citation-style-language/schema/raw/master/csl-citation.json"} </w:instrText>
      </w:r>
      <w:r w:rsidR="00C17A81">
        <w:fldChar w:fldCharType="separate"/>
      </w:r>
      <w:r w:rsidR="00CA64F0" w:rsidRPr="00CA64F0">
        <w:rPr>
          <w:rFonts w:ascii="Calibri" w:hAnsi="Calibri" w:cs="Calibri"/>
        </w:rPr>
        <w:t>(Blondel 2020)</w:t>
      </w:r>
      <w:bookmarkEnd w:id="44"/>
      <w:r w:rsidR="00C17A81">
        <w:fldChar w:fldCharType="end"/>
      </w:r>
    </w:p>
    <w:p w14:paraId="4CA5E331" w14:textId="57B3DBE1" w:rsidR="00483B39" w:rsidRPr="00483B39" w:rsidRDefault="00DF6D71" w:rsidP="009662DE">
      <w:pPr>
        <w:spacing w:line="360" w:lineRule="auto"/>
        <w:jc w:val="both"/>
      </w:pPr>
      <w:r>
        <w:t>Results are presented on an oxides basis</w:t>
      </w:r>
      <w:r w:rsidR="0060465D">
        <w:t>, such as SiO</w:t>
      </w:r>
      <w:r w:rsidR="0060465D" w:rsidRPr="0060465D">
        <w:rPr>
          <w:vertAlign w:val="subscript"/>
        </w:rPr>
        <w:t>2</w:t>
      </w:r>
      <w:r w:rsidR="0060465D">
        <w:t>, Al</w:t>
      </w:r>
      <w:r w:rsidR="0060465D" w:rsidRPr="007654D0">
        <w:rPr>
          <w:vertAlign w:val="subscript"/>
        </w:rPr>
        <w:t>2</w:t>
      </w:r>
      <w:r w:rsidR="0060465D">
        <w:t>O</w:t>
      </w:r>
      <w:r w:rsidR="0060465D" w:rsidRPr="007654D0">
        <w:rPr>
          <w:vertAlign w:val="subscript"/>
        </w:rPr>
        <w:t>3</w:t>
      </w:r>
      <w:r w:rsidR="0060465D">
        <w:t>, Fe</w:t>
      </w:r>
      <w:r w:rsidR="0060465D" w:rsidRPr="007654D0">
        <w:rPr>
          <w:vertAlign w:val="subscript"/>
        </w:rPr>
        <w:t>2</w:t>
      </w:r>
      <w:r w:rsidR="0060465D">
        <w:t>O</w:t>
      </w:r>
      <w:r w:rsidR="0060465D" w:rsidRPr="007654D0">
        <w:rPr>
          <w:vertAlign w:val="subscript"/>
        </w:rPr>
        <w:t>3</w:t>
      </w:r>
      <w:r w:rsidR="0060465D">
        <w:t xml:space="preserve">, </w:t>
      </w:r>
      <w:proofErr w:type="spellStart"/>
      <w:r w:rsidR="0060465D">
        <w:t>CaO</w:t>
      </w:r>
      <w:proofErr w:type="spellEnd"/>
      <w:r w:rsidR="0060465D">
        <w:t>, MgO, Na</w:t>
      </w:r>
      <w:r w:rsidR="0060465D" w:rsidRPr="007654D0">
        <w:rPr>
          <w:vertAlign w:val="subscript"/>
        </w:rPr>
        <w:t>2</w:t>
      </w:r>
      <w:r w:rsidR="0060465D">
        <w:t>O, K</w:t>
      </w:r>
      <w:r w:rsidR="0060465D" w:rsidRPr="007654D0">
        <w:rPr>
          <w:vertAlign w:val="subscript"/>
        </w:rPr>
        <w:t>2</w:t>
      </w:r>
      <w:r w:rsidR="0060465D">
        <w:t>O, TiO</w:t>
      </w:r>
      <w:r w:rsidR="0060465D" w:rsidRPr="007654D0">
        <w:rPr>
          <w:vertAlign w:val="subscript"/>
        </w:rPr>
        <w:t>2</w:t>
      </w:r>
      <w:r w:rsidR="0060465D">
        <w:t>,</w:t>
      </w:r>
      <w:r w:rsidR="009662DE">
        <w:t xml:space="preserve"> </w:t>
      </w:r>
      <w:r w:rsidR="0060465D">
        <w:t>Mn</w:t>
      </w:r>
      <w:r w:rsidR="0060465D" w:rsidRPr="007654D0">
        <w:rPr>
          <w:vertAlign w:val="subscript"/>
        </w:rPr>
        <w:t>3</w:t>
      </w:r>
      <w:r w:rsidR="0060465D">
        <w:t>O</w:t>
      </w:r>
      <w:r w:rsidR="0060465D" w:rsidRPr="007654D0">
        <w:rPr>
          <w:vertAlign w:val="subscript"/>
        </w:rPr>
        <w:t>4</w:t>
      </w:r>
      <w:r w:rsidR="0060465D">
        <w:t>, SO</w:t>
      </w:r>
      <w:r w:rsidR="0060465D" w:rsidRPr="007654D0">
        <w:rPr>
          <w:vertAlign w:val="subscript"/>
        </w:rPr>
        <w:t>3</w:t>
      </w:r>
      <w:r w:rsidR="0060465D">
        <w:t>, P</w:t>
      </w:r>
      <w:r w:rsidR="0060465D" w:rsidRPr="007654D0">
        <w:rPr>
          <w:vertAlign w:val="subscript"/>
        </w:rPr>
        <w:t>2</w:t>
      </w:r>
      <w:r w:rsidR="0060465D">
        <w:t>O</w:t>
      </w:r>
      <w:r w:rsidR="0060465D" w:rsidRPr="007654D0">
        <w:rPr>
          <w:vertAlign w:val="subscript"/>
        </w:rPr>
        <w:t>5</w:t>
      </w:r>
      <w:r w:rsidR="007654D0" w:rsidRPr="00856990">
        <w:t>.</w:t>
      </w:r>
    </w:p>
    <w:p w14:paraId="3C5AA80A" w14:textId="615E4B4E" w:rsidR="00B9022B" w:rsidRDefault="002C393E" w:rsidP="00F104D1">
      <w:pPr>
        <w:pStyle w:val="Heading3"/>
        <w:spacing w:line="360" w:lineRule="auto"/>
        <w:jc w:val="both"/>
      </w:pPr>
      <w:bookmarkStart w:id="45" w:name="_Toc127911447"/>
      <w:r>
        <w:lastRenderedPageBreak/>
        <w:t>Minor</w:t>
      </w:r>
      <w:r w:rsidR="00C027A6">
        <w:t xml:space="preserve"> </w:t>
      </w:r>
      <w:r w:rsidR="00627C40">
        <w:t>elemental analysis</w:t>
      </w:r>
      <w:bookmarkEnd w:id="45"/>
    </w:p>
    <w:p w14:paraId="5ADC38CE" w14:textId="3DDB988F" w:rsidR="00A74466" w:rsidRDefault="002C393E" w:rsidP="00F104D1">
      <w:pPr>
        <w:spacing w:line="360" w:lineRule="auto"/>
        <w:jc w:val="both"/>
      </w:pPr>
      <w:r>
        <w:t>Minor</w:t>
      </w:r>
      <w:r w:rsidR="00A05769">
        <w:t xml:space="preserve"> elements make up less than 1%</w:t>
      </w:r>
      <w:r w:rsidR="008D09CA">
        <w:t xml:space="preserve"> of the sample </w:t>
      </w:r>
      <w:r w:rsidR="00BD5A32">
        <w:t>by weight</w:t>
      </w:r>
      <w:r w:rsidR="008D09CA">
        <w:t xml:space="preserve">. They are determined by </w:t>
      </w:r>
      <w:r w:rsidR="00C06A29">
        <w:t xml:space="preserve">using </w:t>
      </w:r>
      <w:r w:rsidR="00937D26">
        <w:t>an</w:t>
      </w:r>
      <w:r w:rsidR="00C06A29">
        <w:t xml:space="preserve"> inductively coupled plasma</w:t>
      </w:r>
      <w:r w:rsidR="00913250">
        <w:t xml:space="preserve"> optical emission spectrometer (ICP-OES).</w:t>
      </w:r>
      <w:r w:rsidR="00A5145C">
        <w:t xml:space="preserve"> </w:t>
      </w:r>
      <w:r w:rsidR="00DB2EB5">
        <w:t>A plasma is formed by</w:t>
      </w:r>
      <w:r w:rsidR="00721D6E">
        <w:t xml:space="preserve"> </w:t>
      </w:r>
      <w:r w:rsidR="003E5FDE">
        <w:t xml:space="preserve">applying a high frequency electric current </w:t>
      </w:r>
      <w:r w:rsidR="00893BDE">
        <w:t xml:space="preserve">to argon gas. The electromagnetic field created by the current ionises </w:t>
      </w:r>
      <w:r w:rsidR="00532C54">
        <w:t xml:space="preserve">the argon gas and a plasma is created. </w:t>
      </w:r>
      <w:r w:rsidR="00545C63">
        <w:t xml:space="preserve">The analyte </w:t>
      </w:r>
      <w:r w:rsidR="00575D8E">
        <w:t xml:space="preserve">in the form of atoms is introduced to the plasma </w:t>
      </w:r>
      <w:r w:rsidR="00C51BD6">
        <w:t xml:space="preserve">which then becomes ionised. When an atom or ion is </w:t>
      </w:r>
      <w:r w:rsidR="006A5410">
        <w:t>excited within the plasma, its electrons move from a lower energy level to a higher energy level</w:t>
      </w:r>
      <w:r w:rsidR="00D305FB">
        <w:t xml:space="preserve"> (see figure</w:t>
      </w:r>
      <w:r w:rsidR="001767F7">
        <w:t xml:space="preserve"> 2</w:t>
      </w:r>
      <w:r w:rsidR="00F15821">
        <w:t>1</w:t>
      </w:r>
      <w:r w:rsidR="00D305FB">
        <w:t xml:space="preserve">). When the </w:t>
      </w:r>
      <w:r w:rsidR="00C55896">
        <w:t>electrons then return to their initial state, energy is emitted in the form of photons</w:t>
      </w:r>
      <w:r w:rsidR="00F03522">
        <w:t xml:space="preserve"> which a picked up by a detector</w:t>
      </w:r>
      <w:r w:rsidR="002F613C">
        <w:t xml:space="preserve">. These photons possess wavelengths that are </w:t>
      </w:r>
      <w:r w:rsidR="005C631F">
        <w:t>unique</w:t>
      </w:r>
      <w:r w:rsidR="002F613C">
        <w:t xml:space="preserve"> </w:t>
      </w:r>
      <w:r w:rsidR="005C631F">
        <w:t>to</w:t>
      </w:r>
      <w:r w:rsidR="002F613C">
        <w:t xml:space="preserve"> their respective elements</w:t>
      </w:r>
      <w:r w:rsidR="00A950D6">
        <w:t xml:space="preserve"> </w:t>
      </w:r>
      <w:r w:rsidR="00A950D6">
        <w:fldChar w:fldCharType="begin"/>
      </w:r>
      <w:r w:rsidR="00A950D6">
        <w:instrText xml:space="preserve"> ADDIN ZOTERO_ITEM CSL_CITATION {"citationID":"hFCXQyMa","properties":{"formattedCitation":"(Thermo Fisher Scientific 2022)","plainCitation":"(Thermo Fisher Scientific 2022)","noteIndex":0},"citationItems":[{"id":1958,"uris":["http://zotero.org/users/local/AB2owHL2/items/ABNWMQHC"],"itemData":{"id":1958,"type":"webpage","abstract":"Learn how inductively coupled plasma optical emission spectroscopy (ICP-OES) extracts data from a variety of sample types in the environmental, metallurgical, geological, petrochemical, pharmaceutical, materials, and food safety arenas via their light emission spectra.","container-title":"Thermo Fisher Scientific","language":"en","title":"Inductively Coupled Plasma Optical Emission Spectroscopy (ICP-OES) Information - UK","URL":"https://www.thermofisher.com/uk/en/home/industrial/spectroscopy-elemental-isotope-analysis/spectroscopy-elemental-isotope-analysis-learning-center/trace-elemental-analysis-tea-information/icp-oes-information.html","author":[{"family":"Thermo Fisher Scientific","given":""}],"accessed":{"date-parts":[["2022",9,23]]},"issued":{"date-parts":[["2022"]]}}}],"schema":"https://github.com/citation-style-language/schema/raw/master/csl-citation.json"} </w:instrText>
      </w:r>
      <w:r w:rsidR="00A950D6">
        <w:fldChar w:fldCharType="separate"/>
      </w:r>
      <w:r w:rsidR="00A950D6" w:rsidRPr="00A950D6">
        <w:rPr>
          <w:rFonts w:ascii="Calibri" w:hAnsi="Calibri" w:cs="Calibri"/>
        </w:rPr>
        <w:t>(Thermo Fisher Scientific 2022)</w:t>
      </w:r>
      <w:r w:rsidR="00A950D6">
        <w:fldChar w:fldCharType="end"/>
      </w:r>
      <w:r w:rsidR="002F613C">
        <w:t xml:space="preserve">. </w:t>
      </w:r>
    </w:p>
    <w:p w14:paraId="56862F60" w14:textId="6B1F3543" w:rsidR="005C631F" w:rsidRDefault="009F6D49" w:rsidP="00913250">
      <w:pPr>
        <w:spacing w:line="360" w:lineRule="auto"/>
        <w:jc w:val="both"/>
      </w:pPr>
      <w:r w:rsidRPr="009F6D49">
        <w:rPr>
          <w:noProof/>
        </w:rPr>
        <w:drawing>
          <wp:inline distT="0" distB="0" distL="0" distR="0" wp14:anchorId="274B2D93" wp14:editId="5911E619">
            <wp:extent cx="4079019" cy="2043279"/>
            <wp:effectExtent l="0" t="0" r="0" b="0"/>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chematic&#10;&#10;Description automatically generated"/>
                    <pic:cNvPicPr/>
                  </pic:nvPicPr>
                  <pic:blipFill>
                    <a:blip r:embed="rId34"/>
                    <a:stretch>
                      <a:fillRect/>
                    </a:stretch>
                  </pic:blipFill>
                  <pic:spPr>
                    <a:xfrm>
                      <a:off x="0" y="0"/>
                      <a:ext cx="4087028" cy="2047291"/>
                    </a:xfrm>
                    <a:prstGeom prst="rect">
                      <a:avLst/>
                    </a:prstGeom>
                  </pic:spPr>
                </pic:pic>
              </a:graphicData>
            </a:graphic>
          </wp:inline>
        </w:drawing>
      </w:r>
    </w:p>
    <w:p w14:paraId="290D019A" w14:textId="1FECEE67" w:rsidR="009F6D49" w:rsidRPr="00A74466" w:rsidRDefault="009F6D49" w:rsidP="009F6D49">
      <w:pPr>
        <w:pStyle w:val="Caption"/>
      </w:pPr>
      <w:bookmarkStart w:id="46" w:name="_Toc127110915"/>
      <w:r>
        <w:t xml:space="preserve">Figure </w:t>
      </w:r>
      <w:fldSimple w:instr=" SEQ Figure \* ARABIC ">
        <w:r w:rsidR="00A0212F">
          <w:rPr>
            <w:noProof/>
          </w:rPr>
          <w:t>21</w:t>
        </w:r>
      </w:fldSimple>
      <w:r w:rsidR="001767F7">
        <w:t xml:space="preserve"> </w:t>
      </w:r>
      <w:r>
        <w:t>Excitation of an atom by a plasma</w:t>
      </w:r>
      <w:r w:rsidR="001767F7">
        <w:t xml:space="preserve"> </w:t>
      </w:r>
      <w:r w:rsidR="00B96D46">
        <w:fldChar w:fldCharType="begin"/>
      </w:r>
      <w:r w:rsidR="00B96D46">
        <w:instrText xml:space="preserve"> ADDIN ZOTERO_ITEM CSL_CITATION {"citationID":"MmBwKMbj","properties":{"formattedCitation":"(Thermo Fisher Scientific 2022)","plainCitation":"(Thermo Fisher Scientific 2022)","noteIndex":0},"citationItems":[{"id":1958,"uris":["http://zotero.org/users/local/AB2owHL2/items/ABNWMQHC"],"itemData":{"id":1958,"type":"webpage","abstract":"Learn how inductively coupled plasma optical emission spectroscopy (ICP-OES) extracts data from a variety of sample types in the environmental, metallurgical, geological, petrochemical, pharmaceutical, materials, and food safety arenas via their light emission spectra.","container-title":"Thermo Fisher Scientific","language":"en","title":"Inductively Coupled Plasma Optical Emission Spectroscopy (ICP-OES) Information - UK","URL":"https://www.thermofisher.com/uk/en/home/industrial/spectroscopy-elemental-isotope-analysis/spectroscopy-elemental-isotope-analysis-learning-center/trace-elemental-analysis-tea-information/icp-oes-information.html","author":[{"family":"Thermo Fisher Scientific","given":""}],"accessed":{"date-parts":[["2022",9,23]]},"issued":{"date-parts":[["2022"]]}}}],"schema":"https://github.com/citation-style-language/schema/raw/master/csl-citation.json"} </w:instrText>
      </w:r>
      <w:r w:rsidR="00B96D46">
        <w:fldChar w:fldCharType="separate"/>
      </w:r>
      <w:r w:rsidR="00B96D46" w:rsidRPr="00B96D46">
        <w:rPr>
          <w:rFonts w:ascii="Calibri" w:hAnsi="Calibri" w:cs="Calibri"/>
        </w:rPr>
        <w:t>(Thermo Fisher Scientific 2022)</w:t>
      </w:r>
      <w:bookmarkEnd w:id="46"/>
      <w:r w:rsidR="00B96D46">
        <w:fldChar w:fldCharType="end"/>
      </w:r>
    </w:p>
    <w:p w14:paraId="4E85CA6C" w14:textId="7C16AF7E" w:rsidR="002550B9" w:rsidRDefault="002550B9" w:rsidP="00FA48D3">
      <w:pPr>
        <w:pStyle w:val="Heading3"/>
        <w:spacing w:line="360" w:lineRule="auto"/>
        <w:jc w:val="both"/>
      </w:pPr>
      <w:bookmarkStart w:id="47" w:name="_Toc127911448"/>
      <w:r>
        <w:t>Particle size distribution</w:t>
      </w:r>
      <w:bookmarkEnd w:id="47"/>
    </w:p>
    <w:p w14:paraId="2FB7BE80" w14:textId="268331C8" w:rsidR="00FA48D3" w:rsidRDefault="009376C1" w:rsidP="00FA48D3">
      <w:pPr>
        <w:spacing w:line="360" w:lineRule="auto"/>
        <w:jc w:val="both"/>
      </w:pPr>
      <w:r>
        <w:t>The particle size distribution</w:t>
      </w:r>
      <w:r w:rsidR="002F73BE">
        <w:t xml:space="preserve"> (PSD)</w:t>
      </w:r>
      <w:r>
        <w:t xml:space="preserve"> of a material </w:t>
      </w:r>
      <w:r w:rsidR="00BA08AD">
        <w:t xml:space="preserve">can be of critical importance </w:t>
      </w:r>
      <w:r w:rsidR="00F97945">
        <w:t xml:space="preserve">to the performance of the material in </w:t>
      </w:r>
      <w:r w:rsidR="00C30D8F">
        <w:t xml:space="preserve">its use. </w:t>
      </w:r>
      <w:r w:rsidR="009C2ED6">
        <w:t xml:space="preserve">A </w:t>
      </w:r>
      <w:r w:rsidR="002F73BE">
        <w:t>PSD</w:t>
      </w:r>
      <w:r w:rsidR="0052761D">
        <w:t xml:space="preserve"> indicates the percentages of particles of</w:t>
      </w:r>
      <w:r w:rsidR="00414580">
        <w:t xml:space="preserve"> </w:t>
      </w:r>
      <w:r w:rsidR="0052761D">
        <w:t>certain size fractio</w:t>
      </w:r>
      <w:r w:rsidR="005031CC">
        <w:t>n</w:t>
      </w:r>
      <w:r w:rsidR="00414580">
        <w:t xml:space="preserve">s </w:t>
      </w:r>
      <w:r w:rsidR="001239C9">
        <w:t xml:space="preserve">of a granular material. It is determined by allowing </w:t>
      </w:r>
      <w:r w:rsidR="00DE3B3F">
        <w:t>a representative sample o</w:t>
      </w:r>
      <w:r w:rsidR="009A05C6">
        <w:t>f the material to pass through</w:t>
      </w:r>
      <w:r w:rsidR="005A1444">
        <w:t xml:space="preserve"> a series of sieves</w:t>
      </w:r>
      <w:r w:rsidR="003977E2">
        <w:t xml:space="preserve"> (typically woven wire or </w:t>
      </w:r>
      <w:r w:rsidR="000E1E67">
        <w:t>punched plate for larger particle sizes)</w:t>
      </w:r>
      <w:r w:rsidR="00D7627C">
        <w:t xml:space="preserve"> of de</w:t>
      </w:r>
      <w:r w:rsidR="004952AC">
        <w:t xml:space="preserve">creasing </w:t>
      </w:r>
      <w:r w:rsidR="00CA058D">
        <w:t xml:space="preserve">opening </w:t>
      </w:r>
      <w:r w:rsidR="004952AC">
        <w:t>size</w:t>
      </w:r>
      <w:r w:rsidR="00EC4FF6">
        <w:t xml:space="preserve"> (see figure 2</w:t>
      </w:r>
      <w:r w:rsidR="00F15821">
        <w:t>2</w:t>
      </w:r>
      <w:r w:rsidR="00EC4FF6">
        <w:t>)</w:t>
      </w:r>
      <w:r w:rsidR="00CA058D">
        <w:t>.</w:t>
      </w:r>
      <w:r w:rsidR="004510DA">
        <w:t xml:space="preserve"> The </w:t>
      </w:r>
      <w:r w:rsidR="00A4711F">
        <w:t xml:space="preserve">sieves are placed on a mechanical </w:t>
      </w:r>
      <w:r w:rsidR="00ED6768">
        <w:t>shaker</w:t>
      </w:r>
      <w:r w:rsidR="00A4711F">
        <w:t xml:space="preserve"> which shakes them for a set </w:t>
      </w:r>
      <w:r w:rsidR="00ED6768">
        <w:t xml:space="preserve">period to allow </w:t>
      </w:r>
      <w:r w:rsidR="009E03E9">
        <w:t xml:space="preserve">the material to fall through the </w:t>
      </w:r>
      <w:r w:rsidR="005460A6">
        <w:t xml:space="preserve">sieve </w:t>
      </w:r>
      <w:r w:rsidR="009E03E9">
        <w:t>openings</w:t>
      </w:r>
      <w:r w:rsidR="005460A6">
        <w:t>.</w:t>
      </w:r>
      <w:r w:rsidR="00F72682">
        <w:t xml:space="preserve"> </w:t>
      </w:r>
      <w:r w:rsidR="002F73BE">
        <w:t xml:space="preserve"> PSD results are reported as the </w:t>
      </w:r>
      <w:r w:rsidR="001338CA">
        <w:t>weight percent retained on each sieve as well as the cumulative weight percent less than the sieve size.</w:t>
      </w:r>
    </w:p>
    <w:p w14:paraId="65CBF6D7" w14:textId="7990ED6F" w:rsidR="001D3235" w:rsidRPr="00FA48D3" w:rsidRDefault="001D3235" w:rsidP="00FA48D3">
      <w:pPr>
        <w:spacing w:line="360" w:lineRule="auto"/>
        <w:jc w:val="both"/>
      </w:pPr>
      <w:r w:rsidRPr="001D3235">
        <w:rPr>
          <w:noProof/>
        </w:rPr>
        <w:lastRenderedPageBreak/>
        <w:drawing>
          <wp:inline distT="0" distB="0" distL="0" distR="0" wp14:anchorId="47F1BD53" wp14:editId="5B5559BD">
            <wp:extent cx="5247861" cy="3378835"/>
            <wp:effectExtent l="0" t="0" r="0" b="0"/>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a:blip r:embed="rId35"/>
                    <a:stretch>
                      <a:fillRect/>
                    </a:stretch>
                  </pic:blipFill>
                  <pic:spPr>
                    <a:xfrm>
                      <a:off x="0" y="0"/>
                      <a:ext cx="5260824" cy="3387181"/>
                    </a:xfrm>
                    <a:prstGeom prst="rect">
                      <a:avLst/>
                    </a:prstGeom>
                  </pic:spPr>
                </pic:pic>
              </a:graphicData>
            </a:graphic>
          </wp:inline>
        </w:drawing>
      </w:r>
    </w:p>
    <w:p w14:paraId="2F334502" w14:textId="7E41C70A" w:rsidR="00A74466" w:rsidRPr="00A74466" w:rsidRDefault="00655BAC" w:rsidP="00655BAC">
      <w:pPr>
        <w:pStyle w:val="Caption"/>
      </w:pPr>
      <w:bookmarkStart w:id="48" w:name="_Toc127110916"/>
      <w:r>
        <w:t xml:space="preserve">Figure </w:t>
      </w:r>
      <w:fldSimple w:instr=" SEQ Figure \* ARABIC ">
        <w:r w:rsidR="00A0212F">
          <w:rPr>
            <w:noProof/>
          </w:rPr>
          <w:t>22</w:t>
        </w:r>
      </w:fldSimple>
      <w:r>
        <w:t xml:space="preserve"> Particle size distribution by sieves </w:t>
      </w:r>
      <w:r>
        <w:fldChar w:fldCharType="begin"/>
      </w:r>
      <w:r>
        <w:instrText xml:space="preserve"> ADDIN ZOTERO_ITEM CSL_CITATION {"citationID":"nKxi6Aod","properties":{"formattedCitation":"(Particle Technology Labs 2022)","plainCitation":"(Particle Technology Labs 2022)","noteIndex":0},"citationItems":[{"id":1960,"uris":["http://zotero.org/users/local/AB2owHL2/items/WQ3ZT5I6"],"itemData":{"id":1960,"type":"webpage","abstract":"A sieve analysis consists of using a single or set of screens (typically woven wire mesh), decreasing in opening size, to separate or classify a sample. Sieve results are reported as the differential weight percent retained on each sieve as well as the Si","container-title":"Particle Technology Labs","language":"en-gb","title":"Sieve Analysis","URL":"https://www.particletechlabs.com/analytical-testing/particle-size-distribution-analyses/sieve-analysis","author":[{"family":"Particle Technology Labs","given":""}],"accessed":{"date-parts":[["2022",9,25]]},"issued":{"date-parts":[["2022"]]}}}],"schema":"https://github.com/citation-style-language/schema/raw/master/csl-citation.json"} </w:instrText>
      </w:r>
      <w:r>
        <w:fldChar w:fldCharType="separate"/>
      </w:r>
      <w:r w:rsidRPr="00655BAC">
        <w:rPr>
          <w:rFonts w:ascii="Calibri" w:hAnsi="Calibri" w:cs="Calibri"/>
        </w:rPr>
        <w:t>(Particle Technology Labs 2022)</w:t>
      </w:r>
      <w:bookmarkEnd w:id="48"/>
      <w:r>
        <w:fldChar w:fldCharType="end"/>
      </w:r>
    </w:p>
    <w:p w14:paraId="36DB0845" w14:textId="77777777" w:rsidR="00422F67" w:rsidRDefault="00422F67" w:rsidP="00B9022B">
      <w:pPr>
        <w:pStyle w:val="Heading2"/>
        <w:spacing w:line="360" w:lineRule="auto"/>
        <w:jc w:val="both"/>
      </w:pPr>
      <w:bookmarkStart w:id="49" w:name="_Toc127911449"/>
      <w:r>
        <w:t>Assessing biochar substitution in pulverised coal injection (PCI)</w:t>
      </w:r>
      <w:bookmarkEnd w:id="49"/>
    </w:p>
    <w:p w14:paraId="0BD90CEC" w14:textId="7259F770" w:rsidR="00422F67" w:rsidRDefault="00422F67" w:rsidP="00B9022B">
      <w:pPr>
        <w:pStyle w:val="Heading3"/>
        <w:spacing w:line="360" w:lineRule="auto"/>
        <w:jc w:val="both"/>
      </w:pPr>
      <w:bookmarkStart w:id="50" w:name="_Toc127911450"/>
      <w:r>
        <w:t xml:space="preserve">Drop tube </w:t>
      </w:r>
      <w:r w:rsidR="0069618B">
        <w:t>furnace.</w:t>
      </w:r>
      <w:bookmarkEnd w:id="50"/>
    </w:p>
    <w:p w14:paraId="7C5A2F34" w14:textId="2B6BDA99" w:rsidR="005926E3" w:rsidRDefault="00D762DF" w:rsidP="000079F1">
      <w:pPr>
        <w:spacing w:line="360" w:lineRule="auto"/>
        <w:jc w:val="both"/>
      </w:pPr>
      <w:r>
        <w:t>A drop tube furnace</w:t>
      </w:r>
      <w:r w:rsidR="005926E3">
        <w:t xml:space="preserve"> (DTF)</w:t>
      </w:r>
      <w:r>
        <w:t xml:space="preserve"> is designed to study </w:t>
      </w:r>
      <w:r w:rsidR="000079F1">
        <w:t>the</w:t>
      </w:r>
      <w:r w:rsidR="00DC5000">
        <w:t xml:space="preserve"> high temperature combustion and </w:t>
      </w:r>
      <w:proofErr w:type="spellStart"/>
      <w:r w:rsidR="00DC5000">
        <w:t>devolatil</w:t>
      </w:r>
      <w:r w:rsidR="0058196D">
        <w:t>asation</w:t>
      </w:r>
      <w:proofErr w:type="spellEnd"/>
      <w:r w:rsidR="0058196D">
        <w:t xml:space="preserve"> of materials such as pulverised coal.</w:t>
      </w:r>
      <w:r w:rsidR="00973441">
        <w:t xml:space="preserve"> The </w:t>
      </w:r>
      <w:r w:rsidR="005926E3">
        <w:t>DTF</w:t>
      </w:r>
      <w:r w:rsidR="00973441">
        <w:t xml:space="preserve"> is designed to achieve rapid particle heating rates </w:t>
      </w:r>
      <w:r w:rsidR="00761FE4">
        <w:t>(up to 14</w:t>
      </w:r>
      <w:r w:rsidR="00E30262">
        <w:t>5</w:t>
      </w:r>
      <w:r w:rsidR="00761FE4">
        <w:t>0</w:t>
      </w:r>
      <w:r w:rsidR="00761FE4" w:rsidRPr="00761FE4">
        <w:rPr>
          <w:vertAlign w:val="superscript"/>
        </w:rPr>
        <w:t>0</w:t>
      </w:r>
      <w:r w:rsidR="00761FE4">
        <w:t xml:space="preserve">C) using </w:t>
      </w:r>
      <w:r w:rsidR="005E4F40">
        <w:t xml:space="preserve">different gas compositions (inert or oxidising) and residence times ranging from 30ms to </w:t>
      </w:r>
      <w:r w:rsidR="000079F1">
        <w:t>700ms.</w:t>
      </w:r>
      <w:r w:rsidR="003D205C">
        <w:t xml:space="preserve"> </w:t>
      </w:r>
      <w:r w:rsidR="00501445">
        <w:t>The DTF can replicate conditions similar to those found in the BF raceway.</w:t>
      </w:r>
      <w:r w:rsidR="005D5F7C">
        <w:t xml:space="preserve"> </w:t>
      </w:r>
    </w:p>
    <w:p w14:paraId="194FFB3B" w14:textId="76EF9785" w:rsidR="00C950BD" w:rsidRDefault="005D5F7C" w:rsidP="000079F1">
      <w:pPr>
        <w:spacing w:line="360" w:lineRule="auto"/>
        <w:jc w:val="both"/>
      </w:pPr>
      <w:r>
        <w:t xml:space="preserve">The </w:t>
      </w:r>
      <w:r w:rsidR="005926E3">
        <w:t>DTF</w:t>
      </w:r>
      <w:r>
        <w:t xml:space="preserve"> </w:t>
      </w:r>
      <w:r w:rsidR="00FF3E66">
        <w:t>(shown in figure 2</w:t>
      </w:r>
      <w:r w:rsidR="00F15821">
        <w:t>3</w:t>
      </w:r>
      <w:r w:rsidR="00FF3E66">
        <w:t>)</w:t>
      </w:r>
      <w:r w:rsidR="00D546D5">
        <w:t xml:space="preserve"> </w:t>
      </w:r>
      <w:r>
        <w:t>consists of</w:t>
      </w:r>
      <w:r w:rsidR="00E94D74">
        <w:t xml:space="preserve"> a vertically mounted alumina work tube which is heated by</w:t>
      </w:r>
      <w:r w:rsidR="009E569D">
        <w:t xml:space="preserve"> four main and two trim silicon carbide heating elements. The temperature is monitored </w:t>
      </w:r>
      <w:r w:rsidR="00EC6237">
        <w:t xml:space="preserve">by three thermocouples spaced evenly along the length of the tube. </w:t>
      </w:r>
      <w:r w:rsidR="004E47E7">
        <w:t>The gas has a lamina</w:t>
      </w:r>
      <w:r w:rsidR="00275887">
        <w:t xml:space="preserve">r flow, </w:t>
      </w:r>
      <w:r w:rsidR="007039F3">
        <w:t xml:space="preserve">such that particles delivered into </w:t>
      </w:r>
      <w:r w:rsidR="00B04F3E">
        <w:t>the DTF drop at a constant velocity</w:t>
      </w:r>
      <w:r w:rsidR="00FD4D81">
        <w:t>, enabling accurate residence times.</w:t>
      </w:r>
      <w:r w:rsidR="007224CD">
        <w:t xml:space="preserve"> Samples are fed through a </w:t>
      </w:r>
      <w:r w:rsidR="00E06D50">
        <w:t>water-cooled stainless-steel tube at the top of the DTF. A</w:t>
      </w:r>
      <w:r w:rsidR="009F3114">
        <w:t xml:space="preserve"> </w:t>
      </w:r>
      <w:r w:rsidR="00D546D5">
        <w:t>water-cooled</w:t>
      </w:r>
      <w:r w:rsidR="008037D7">
        <w:t xml:space="preserve"> stainless steel collection probe</w:t>
      </w:r>
      <w:r w:rsidR="006833D2">
        <w:t xml:space="preserve"> is positioned within the lower half of the work tube. The residence time is varied </w:t>
      </w:r>
      <w:r w:rsidR="00FC24B6">
        <w:t>by adjusting the length of the probe inside the tube.</w:t>
      </w:r>
    </w:p>
    <w:p w14:paraId="4942284C" w14:textId="4130850B" w:rsidR="00C74DEF" w:rsidRDefault="00C950BD" w:rsidP="000079F1">
      <w:pPr>
        <w:spacing w:line="360" w:lineRule="auto"/>
        <w:jc w:val="both"/>
      </w:pPr>
      <w:r>
        <w:t xml:space="preserve">The biochar samples were dried to a constant mass and then crushed in a hammermill. </w:t>
      </w:r>
      <w:r w:rsidR="00233523">
        <w:t>15g of</w:t>
      </w:r>
      <w:r>
        <w:t xml:space="preserve"> each</w:t>
      </w:r>
      <w:r w:rsidR="00FE5F23">
        <w:t xml:space="preserve"> sample</w:t>
      </w:r>
      <w:r w:rsidR="00326E85">
        <w:t>,</w:t>
      </w:r>
      <w:r w:rsidR="00FE5F23">
        <w:t xml:space="preserve"> sieved</w:t>
      </w:r>
      <w:r w:rsidR="00DE06D3">
        <w:t xml:space="preserve"> to 100% </w:t>
      </w:r>
      <w:r w:rsidR="001641C8">
        <w:t>&lt;</w:t>
      </w:r>
      <w:r w:rsidR="00DE06D3">
        <w:t xml:space="preserve"> 1mm and 50%</w:t>
      </w:r>
      <w:r w:rsidR="007807CF">
        <w:t xml:space="preserve"> </w:t>
      </w:r>
      <w:r w:rsidR="00DE06D3">
        <w:t>&lt;</w:t>
      </w:r>
      <w:r w:rsidR="00B1373C">
        <w:t xml:space="preserve"> </w:t>
      </w:r>
      <w:r w:rsidR="007807CF">
        <w:t>200μm</w:t>
      </w:r>
      <w:r w:rsidR="00326E85">
        <w:t>,</w:t>
      </w:r>
      <w:r w:rsidR="00B1373C">
        <w:t xml:space="preserve"> </w:t>
      </w:r>
      <w:r>
        <w:t>were</w:t>
      </w:r>
      <w:r w:rsidR="00B1373C">
        <w:t xml:space="preserve"> fed via a vibrating hopper</w:t>
      </w:r>
      <w:r w:rsidR="004875DD">
        <w:t xml:space="preserve"> at a rate of 15</w:t>
      </w:r>
      <w:r w:rsidR="001A2BEE">
        <w:t>g/hour</w:t>
      </w:r>
      <w:r w:rsidR="00D5748F">
        <w:t xml:space="preserve"> into the DTF</w:t>
      </w:r>
      <w:r w:rsidR="00416EB8">
        <w:t>, th</w:t>
      </w:r>
      <w:r>
        <w:t>is</w:t>
      </w:r>
      <w:r w:rsidR="00416EB8">
        <w:t xml:space="preserve"> sample particle size is representative of the </w:t>
      </w:r>
      <w:r w:rsidR="00AB441A">
        <w:t xml:space="preserve">coal that would be injected into the BF after being crushed and processed through the PCI plant </w:t>
      </w:r>
      <w:r w:rsidR="003176A2">
        <w:t>at</w:t>
      </w:r>
      <w:r w:rsidR="00AB441A">
        <w:t xml:space="preserve"> Port Talb</w:t>
      </w:r>
      <w:r w:rsidR="006F2A5E">
        <w:t>ot</w:t>
      </w:r>
      <w:r w:rsidR="00D5748F">
        <w:t xml:space="preserve">. </w:t>
      </w:r>
      <w:r w:rsidR="00FB29B4">
        <w:t xml:space="preserve"> </w:t>
      </w:r>
      <w:r w:rsidR="00977A12">
        <w:t xml:space="preserve">The sample travels through the work tube </w:t>
      </w:r>
      <w:r w:rsidR="00FF3E66">
        <w:t>in the main gas stream and the residue is collected in a cyclone trap.</w:t>
      </w:r>
      <w:r w:rsidR="003176A2">
        <w:t xml:space="preserve"> The residence time </w:t>
      </w:r>
      <w:r w:rsidR="003176A2">
        <w:lastRenderedPageBreak/>
        <w:t xml:space="preserve">of the samples </w:t>
      </w:r>
      <w:r w:rsidR="00A16FB4">
        <w:t xml:space="preserve">can be controlled by adjusting the length of the </w:t>
      </w:r>
      <w:r w:rsidR="00A0110F">
        <w:t xml:space="preserve">collection probe. </w:t>
      </w:r>
      <w:r w:rsidR="005968AB">
        <w:t>Coals injected into the furn</w:t>
      </w:r>
      <w:r w:rsidR="00DE7474">
        <w:t xml:space="preserve">ace have residency times of approx. 35ms, therefore the </w:t>
      </w:r>
      <w:r w:rsidR="0046400F">
        <w:t>biochar</w:t>
      </w:r>
      <w:r w:rsidR="00DE7474">
        <w:t xml:space="preserve"> </w:t>
      </w:r>
      <w:r w:rsidR="0046400F">
        <w:t xml:space="preserve">samples </w:t>
      </w:r>
      <w:r>
        <w:t>were</w:t>
      </w:r>
      <w:r w:rsidR="00DE7474">
        <w:t xml:space="preserve"> tested at this residency time to assess burnout characteristics, as the DTF has a lower temperature</w:t>
      </w:r>
      <w:r w:rsidR="0046400F">
        <w:t>,</w:t>
      </w:r>
      <w:r w:rsidR="00DE7474">
        <w:t xml:space="preserve"> a longer residency time</w:t>
      </w:r>
      <w:r w:rsidR="0046400F">
        <w:t xml:space="preserve"> of 700ms</w:t>
      </w:r>
      <w:r w:rsidR="00DE7474">
        <w:t xml:space="preserve"> </w:t>
      </w:r>
      <w:r>
        <w:t>was also</w:t>
      </w:r>
      <w:r w:rsidR="00DE7474">
        <w:t xml:space="preserve"> assessed</w:t>
      </w:r>
      <w:r w:rsidR="0046400F">
        <w:t>.</w:t>
      </w:r>
    </w:p>
    <w:p w14:paraId="725F8F48" w14:textId="360377FD" w:rsidR="00E71E33" w:rsidRDefault="0026676A" w:rsidP="00E71E33">
      <w:r w:rsidRPr="0026676A">
        <w:rPr>
          <w:noProof/>
        </w:rPr>
        <w:drawing>
          <wp:inline distT="0" distB="0" distL="0" distR="0" wp14:anchorId="0F2583F2" wp14:editId="649F0F9A">
            <wp:extent cx="2774945" cy="3642970"/>
            <wp:effectExtent l="0" t="0" r="0" b="0"/>
            <wp:docPr id="45" name="Picture 45" descr="A picture containing indoor, floor, area,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indoor, floor, area, cluttered&#10;&#10;Description automatically generated"/>
                    <pic:cNvPicPr/>
                  </pic:nvPicPr>
                  <pic:blipFill>
                    <a:blip r:embed="rId36"/>
                    <a:stretch>
                      <a:fillRect/>
                    </a:stretch>
                  </pic:blipFill>
                  <pic:spPr>
                    <a:xfrm>
                      <a:off x="0" y="0"/>
                      <a:ext cx="2780525" cy="3650296"/>
                    </a:xfrm>
                    <a:prstGeom prst="rect">
                      <a:avLst/>
                    </a:prstGeom>
                  </pic:spPr>
                </pic:pic>
              </a:graphicData>
            </a:graphic>
          </wp:inline>
        </w:drawing>
      </w:r>
      <w:r w:rsidR="00BA6A37">
        <w:t xml:space="preserve">   </w:t>
      </w:r>
      <w:r w:rsidR="00B72108" w:rsidRPr="00B72108">
        <w:rPr>
          <w:noProof/>
        </w:rPr>
        <w:drawing>
          <wp:inline distT="0" distB="0" distL="0" distR="0" wp14:anchorId="291684F1" wp14:editId="78FB7C55">
            <wp:extent cx="2713889" cy="3637849"/>
            <wp:effectExtent l="0" t="0" r="0" b="0"/>
            <wp:docPr id="44" name="Picture 4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diagram&#10;&#10;Description automatically generated"/>
                    <pic:cNvPicPr/>
                  </pic:nvPicPr>
                  <pic:blipFill>
                    <a:blip r:embed="rId37"/>
                    <a:stretch>
                      <a:fillRect/>
                    </a:stretch>
                  </pic:blipFill>
                  <pic:spPr>
                    <a:xfrm>
                      <a:off x="0" y="0"/>
                      <a:ext cx="2725033" cy="3652787"/>
                    </a:xfrm>
                    <a:prstGeom prst="rect">
                      <a:avLst/>
                    </a:prstGeom>
                  </pic:spPr>
                </pic:pic>
              </a:graphicData>
            </a:graphic>
          </wp:inline>
        </w:drawing>
      </w:r>
    </w:p>
    <w:p w14:paraId="19021404" w14:textId="2A0A382B" w:rsidR="00B72108" w:rsidRDefault="00B72108" w:rsidP="00B72108">
      <w:pPr>
        <w:pStyle w:val="Caption"/>
      </w:pPr>
      <w:bookmarkStart w:id="51" w:name="_Toc127110917"/>
      <w:r>
        <w:t xml:space="preserve">Figure </w:t>
      </w:r>
      <w:fldSimple w:instr=" SEQ Figure \* ARABIC ">
        <w:r w:rsidR="00A0212F">
          <w:rPr>
            <w:noProof/>
          </w:rPr>
          <w:t>23</w:t>
        </w:r>
      </w:fldSimple>
      <w:r>
        <w:t xml:space="preserve"> </w:t>
      </w:r>
      <w:r w:rsidR="00040EFA">
        <w:t>A picture and</w:t>
      </w:r>
      <w:r>
        <w:t xml:space="preserve"> schematic</w:t>
      </w:r>
      <w:r w:rsidR="003768AA">
        <w:t xml:space="preserve"> </w:t>
      </w:r>
      <w:r w:rsidR="003768AA">
        <w:fldChar w:fldCharType="begin"/>
      </w:r>
      <w:r w:rsidR="003768AA">
        <w:instrText xml:space="preserve"> ADDIN ZOTERO_ITEM CSL_CITATION {"citationID":"DeD7GbBe","properties":{"formattedCitation":"(Steer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3768AA">
        <w:fldChar w:fldCharType="separate"/>
      </w:r>
      <w:r w:rsidR="003768AA" w:rsidRPr="003768AA">
        <w:rPr>
          <w:rFonts w:ascii="Calibri" w:hAnsi="Calibri" w:cs="Calibri"/>
        </w:rPr>
        <w:t>(Steer et al. 2021)</w:t>
      </w:r>
      <w:r w:rsidR="003768AA">
        <w:fldChar w:fldCharType="end"/>
      </w:r>
      <w:r>
        <w:t xml:space="preserve"> of the drop tube furnace</w:t>
      </w:r>
      <w:r w:rsidR="00512908">
        <w:t>.</w:t>
      </w:r>
      <w:bookmarkEnd w:id="51"/>
    </w:p>
    <w:p w14:paraId="2613B075" w14:textId="77777777" w:rsidR="00FF3E66" w:rsidRPr="00FF3E66" w:rsidRDefault="00FF3E66" w:rsidP="00FF3E66"/>
    <w:p w14:paraId="43F82AF0" w14:textId="5729C086" w:rsidR="00FF3E66" w:rsidRDefault="00FF3E66" w:rsidP="00FF3E66">
      <w:pPr>
        <w:spacing w:line="360" w:lineRule="auto"/>
        <w:jc w:val="both"/>
      </w:pPr>
      <w:r w:rsidRPr="00FF3E66">
        <w:t xml:space="preserve">The ash tracer method </w:t>
      </w:r>
      <w:r w:rsidR="00C950BD">
        <w:t>was</w:t>
      </w:r>
      <w:r w:rsidRPr="00FF3E66">
        <w:t xml:space="preserve"> used to calculate the burnout of the coals, </w:t>
      </w:r>
      <w:r w:rsidR="00DF4E4C">
        <w:t>also</w:t>
      </w:r>
      <w:r w:rsidRPr="00FF3E66">
        <w:t xml:space="preserve"> referred to as the </w:t>
      </w:r>
      <w:r>
        <w:t xml:space="preserve">combustion efficiency. </w:t>
      </w:r>
      <w:r w:rsidR="008B1168">
        <w:t xml:space="preserve">The burnout (%) is calculated </w:t>
      </w:r>
      <w:r w:rsidR="00D947F9">
        <w:t>using</w:t>
      </w:r>
      <w:r w:rsidR="00624F51">
        <w:t xml:space="preserve"> the initial weight of the ash (A</w:t>
      </w:r>
      <w:r w:rsidR="00624F51" w:rsidRPr="00624F51">
        <w:rPr>
          <w:vertAlign w:val="subscript"/>
        </w:rPr>
        <w:t>0</w:t>
      </w:r>
      <w:r w:rsidR="00624F51">
        <w:t>)</w:t>
      </w:r>
      <w:r w:rsidR="00D947F9">
        <w:t xml:space="preserve"> and its final weight</w:t>
      </w:r>
      <w:r w:rsidR="000B03D3">
        <w:t xml:space="preserve"> (A</w:t>
      </w:r>
      <w:r w:rsidR="000B03D3" w:rsidRPr="000B03D3">
        <w:rPr>
          <w:vertAlign w:val="subscript"/>
        </w:rPr>
        <w:t>1</w:t>
      </w:r>
      <w:r w:rsidR="000B03D3">
        <w:t>) after leaving the DTF.</w:t>
      </w:r>
    </w:p>
    <w:p w14:paraId="35F24D32" w14:textId="0F44D6F9" w:rsidR="00FF3E66" w:rsidRPr="00313332" w:rsidRDefault="00FF3E66" w:rsidP="00313332">
      <w:pPr>
        <w:spacing w:line="360" w:lineRule="auto"/>
        <w:jc w:val="both"/>
        <w:rPr>
          <w:rFonts w:cstheme="minorHAnsi"/>
        </w:rPr>
      </w:pPr>
      <m:oMathPara>
        <m:oMath>
          <m:r>
            <w:rPr>
              <w:rFonts w:ascii="Cambria Math" w:hAnsi="Cambria Math" w:cstheme="minorHAnsi"/>
            </w:rPr>
            <m:t xml:space="preserve">Burnout %= </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1</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0</m:t>
                  </m:r>
                </m:sub>
              </m:sSub>
              <m:r>
                <w:rPr>
                  <w:rFonts w:ascii="Cambria Math" w:hAnsi="Cambria Math" w:cstheme="minorHAnsi"/>
                </w:rPr>
                <m:t>)</m:t>
              </m:r>
            </m:num>
            <m:den>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1</m:t>
                  </m:r>
                </m:sub>
              </m:sSub>
              <m:r>
                <w:rPr>
                  <w:rFonts w:ascii="Cambria Math" w:hAnsi="Cambria Math" w:cstheme="minorHAnsi"/>
                </w:rPr>
                <m:t xml:space="preserve">(100- </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0</m:t>
                  </m:r>
                </m:sub>
              </m:sSub>
              <m:r>
                <w:rPr>
                  <w:rFonts w:ascii="Cambria Math" w:hAnsi="Cambria Math" w:cstheme="minorHAnsi"/>
                </w:rPr>
                <m:t>)</m:t>
              </m:r>
            </m:den>
          </m:f>
        </m:oMath>
      </m:oMathPara>
    </w:p>
    <w:p w14:paraId="16E0AA76" w14:textId="316A1F1E" w:rsidR="00FF3E66" w:rsidRPr="009B3A9B" w:rsidRDefault="00313332" w:rsidP="00313332">
      <w:pPr>
        <w:jc w:val="both"/>
        <w:rPr>
          <w:rFonts w:cstheme="minorHAnsi"/>
        </w:rPr>
      </w:pPr>
      <w:r w:rsidRPr="009B3A9B">
        <w:rPr>
          <w:rFonts w:cstheme="minorHAnsi"/>
        </w:rPr>
        <w:fldChar w:fldCharType="begin"/>
      </w:r>
      <w:r w:rsidRPr="009B3A9B">
        <w:rPr>
          <w:rFonts w:cstheme="minorHAnsi"/>
        </w:rPr>
        <w:instrText xml:space="preserve"> ADDIN ZOTERO_ITEM CSL_CITATION {"citationID":"uGbVQMCX","properties":{"formattedCitation":"(Steer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Pr="009B3A9B">
        <w:rPr>
          <w:rFonts w:cstheme="minorHAnsi"/>
        </w:rPr>
        <w:fldChar w:fldCharType="separate"/>
      </w:r>
      <w:r w:rsidRPr="009B3A9B">
        <w:rPr>
          <w:rFonts w:cstheme="minorHAnsi"/>
        </w:rPr>
        <w:t>(Steer et al. 2021)</w:t>
      </w:r>
      <w:r w:rsidRPr="009B3A9B">
        <w:rPr>
          <w:rFonts w:cstheme="minorHAnsi"/>
        </w:rPr>
        <w:fldChar w:fldCharType="end"/>
      </w:r>
    </w:p>
    <w:p w14:paraId="762FBA2B" w14:textId="392A7A56" w:rsidR="004A6531" w:rsidRDefault="008B50A3" w:rsidP="004A6531">
      <w:r>
        <w:t>The biochar samples will be compared with a coal often used at Port Talbot for PCI called T-coal.</w:t>
      </w:r>
    </w:p>
    <w:p w14:paraId="06A96684" w14:textId="77777777" w:rsidR="004A6531" w:rsidRDefault="004A6531" w:rsidP="004A6531"/>
    <w:p w14:paraId="2FCE4E91" w14:textId="77777777" w:rsidR="004A6531" w:rsidRDefault="004A6531" w:rsidP="004A6531"/>
    <w:p w14:paraId="41C7811E" w14:textId="77777777" w:rsidR="004A6531" w:rsidRDefault="004A6531" w:rsidP="004A6531"/>
    <w:p w14:paraId="396B635A" w14:textId="77777777" w:rsidR="004A6531" w:rsidRDefault="004A6531" w:rsidP="004A6531"/>
    <w:p w14:paraId="7640E39B" w14:textId="77777777" w:rsidR="004A6531" w:rsidRPr="004A6531" w:rsidRDefault="004A6531" w:rsidP="004A6531"/>
    <w:p w14:paraId="0E88A707" w14:textId="6F315D0E" w:rsidR="004E0841" w:rsidRDefault="00D06C79" w:rsidP="00B9022B">
      <w:pPr>
        <w:pStyle w:val="Heading2"/>
        <w:spacing w:line="360" w:lineRule="auto"/>
        <w:jc w:val="both"/>
      </w:pPr>
      <w:bookmarkStart w:id="52" w:name="_Toc127911451"/>
      <w:r>
        <w:lastRenderedPageBreak/>
        <w:t>Assessing b</w:t>
      </w:r>
      <w:r w:rsidR="00627371">
        <w:t>iochar substitution in coke making</w:t>
      </w:r>
      <w:bookmarkEnd w:id="52"/>
    </w:p>
    <w:p w14:paraId="0BACD09F" w14:textId="768C2A6A" w:rsidR="00F472DC" w:rsidRDefault="0072037B" w:rsidP="00F472DC">
      <w:pPr>
        <w:pStyle w:val="Heading3"/>
        <w:spacing w:line="360" w:lineRule="auto"/>
        <w:jc w:val="both"/>
      </w:pPr>
      <w:bookmarkStart w:id="53" w:name="_Toc127911452"/>
      <w:r>
        <w:t>Pilot</w:t>
      </w:r>
      <w:r w:rsidR="00755D6D">
        <w:t xml:space="preserve"> scale</w:t>
      </w:r>
      <w:r>
        <w:t xml:space="preserve"> </w:t>
      </w:r>
      <w:r w:rsidR="00510FEA">
        <w:t xml:space="preserve">coke </w:t>
      </w:r>
      <w:r>
        <w:t>oven</w:t>
      </w:r>
      <w:bookmarkEnd w:id="53"/>
    </w:p>
    <w:p w14:paraId="56C08D02" w14:textId="65FE66D6" w:rsidR="00F472DC" w:rsidRDefault="00F472DC" w:rsidP="00F472DC">
      <w:r>
        <w:rPr>
          <w:noProof/>
        </w:rPr>
        <w:drawing>
          <wp:inline distT="0" distB="0" distL="0" distR="0" wp14:anchorId="6BBC11C8" wp14:editId="7EAD495D">
            <wp:extent cx="5366437" cy="2472856"/>
            <wp:effectExtent l="0" t="0" r="0" b="0"/>
            <wp:docPr id="30" name="Picture 30" descr="A picture containing furniture, trash&#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A picture containing furniture, trash&#10;&#10;Description automatically generated"/>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5412788" cy="2494214"/>
                    </a:xfrm>
                    <a:prstGeom prst="rect">
                      <a:avLst/>
                    </a:prstGeom>
                    <a:noFill/>
                    <a:ln>
                      <a:noFill/>
                    </a:ln>
                  </pic:spPr>
                </pic:pic>
              </a:graphicData>
            </a:graphic>
          </wp:inline>
        </w:drawing>
      </w:r>
    </w:p>
    <w:p w14:paraId="34B64704" w14:textId="546108A5" w:rsidR="00F472DC" w:rsidRPr="00F472DC" w:rsidRDefault="00F472DC" w:rsidP="00E8513E">
      <w:pPr>
        <w:pStyle w:val="Caption"/>
      </w:pPr>
      <w:bookmarkStart w:id="54" w:name="_Toc127110918"/>
      <w:r>
        <w:t xml:space="preserve">Figure </w:t>
      </w:r>
      <w:fldSimple w:instr=" SEQ Figure \* ARABIC ">
        <w:r w:rsidR="00A0212F">
          <w:rPr>
            <w:noProof/>
          </w:rPr>
          <w:t>24</w:t>
        </w:r>
      </w:fldSimple>
      <w:r>
        <w:t xml:space="preserve"> The Pilot scale coke oven at </w:t>
      </w:r>
      <w:proofErr w:type="spellStart"/>
      <w:r>
        <w:t>Tatasteel</w:t>
      </w:r>
      <w:bookmarkEnd w:id="54"/>
      <w:proofErr w:type="spellEnd"/>
      <w:r w:rsidR="002B0BCE">
        <w:t xml:space="preserve"> </w:t>
      </w:r>
    </w:p>
    <w:p w14:paraId="29BACA7F" w14:textId="5136130A" w:rsidR="001240A7" w:rsidRDefault="00C840A8" w:rsidP="001240A7">
      <w:pPr>
        <w:spacing w:line="360" w:lineRule="auto"/>
        <w:jc w:val="both"/>
      </w:pPr>
      <w:r>
        <w:t>Pilot scale coke ovens (PSCO</w:t>
      </w:r>
      <w:r w:rsidR="003513EF">
        <w:t>’s</w:t>
      </w:r>
      <w:r>
        <w:t>)</w:t>
      </w:r>
      <w:r w:rsidR="005831C5">
        <w:t xml:space="preserve"> are widely used to produce coke samples for characterisation and to assess the coking behaviour of coal blend. This allows the </w:t>
      </w:r>
      <w:r w:rsidR="000929F4">
        <w:t>business</w:t>
      </w:r>
      <w:r w:rsidR="005831C5">
        <w:t xml:space="preserve"> </w:t>
      </w:r>
      <w:r w:rsidR="00A85417">
        <w:t xml:space="preserve">to optimise the value in use of </w:t>
      </w:r>
      <w:r w:rsidR="000765AC">
        <w:t xml:space="preserve">the </w:t>
      </w:r>
      <w:r w:rsidR="00A85417">
        <w:t>coal</w:t>
      </w:r>
      <w:r w:rsidR="00DE2D85">
        <w:t>s</w:t>
      </w:r>
      <w:r w:rsidR="000765AC">
        <w:t xml:space="preserve"> available to them</w:t>
      </w:r>
      <w:r w:rsidR="00DE2D85">
        <w:t xml:space="preserve">. </w:t>
      </w:r>
      <w:r w:rsidR="00C9371E">
        <w:t>The purpose</w:t>
      </w:r>
      <w:r w:rsidR="003F07BF">
        <w:t xml:space="preserve"> of pilot scale testing is to determine the </w:t>
      </w:r>
      <w:r w:rsidR="00872743">
        <w:t xml:space="preserve">suitability of the produced coke </w:t>
      </w:r>
      <w:r w:rsidR="00D42A7C">
        <w:t>for use in the blast furnace and to assess the pressure generated</w:t>
      </w:r>
      <w:r w:rsidR="008A28DF">
        <w:t xml:space="preserve"> at the oven walls during </w:t>
      </w:r>
      <w:proofErr w:type="spellStart"/>
      <w:r w:rsidR="008A28DF">
        <w:t>coking</w:t>
      </w:r>
      <w:proofErr w:type="spellEnd"/>
      <w:r w:rsidR="008A28DF">
        <w:t>.</w:t>
      </w:r>
      <w:r w:rsidR="00E8513E">
        <w:t xml:space="preserve"> </w:t>
      </w:r>
      <w:r w:rsidR="002F571F">
        <w:t>T</w:t>
      </w:r>
      <w:r w:rsidR="006D3814">
        <w:t>he 25Kg</w:t>
      </w:r>
      <w:r w:rsidR="002F571F">
        <w:t xml:space="preserve"> PSCO at </w:t>
      </w:r>
      <w:r w:rsidR="00EE682E">
        <w:t>Tata</w:t>
      </w:r>
      <w:r w:rsidR="00CA6DB4">
        <w:t xml:space="preserve"> </w:t>
      </w:r>
      <w:r w:rsidR="00EE682E">
        <w:t>steel is pictured above in figure 2</w:t>
      </w:r>
      <w:r w:rsidR="003A4C09">
        <w:t>4</w:t>
      </w:r>
      <w:r w:rsidR="00EE682E">
        <w:t xml:space="preserve">. </w:t>
      </w:r>
    </w:p>
    <w:p w14:paraId="1DBF4C20" w14:textId="70BEA8D2" w:rsidR="00CA6DB4" w:rsidRDefault="00CA6DB4" w:rsidP="001240A7">
      <w:pPr>
        <w:spacing w:line="360" w:lineRule="auto"/>
        <w:jc w:val="both"/>
      </w:pPr>
      <w:r>
        <w:t>The oven uses</w:t>
      </w:r>
      <w:r w:rsidR="008C4298">
        <w:t xml:space="preserve"> a</w:t>
      </w:r>
      <w:r>
        <w:t xml:space="preserve"> </w:t>
      </w:r>
      <w:r w:rsidR="008C4298">
        <w:t xml:space="preserve">silicon carbide plate </w:t>
      </w:r>
      <w:r w:rsidR="00D86601">
        <w:t>in the refractory walls</w:t>
      </w:r>
      <w:r w:rsidR="00E9415D">
        <w:t xml:space="preserve"> to heat the oven. The</w:t>
      </w:r>
      <w:r w:rsidR="008D5A59">
        <w:t xml:space="preserve"> electrical heating elements are </w:t>
      </w:r>
      <w:r w:rsidR="00B53131">
        <w:t xml:space="preserve">situated inside the refractory wall and behind the </w:t>
      </w:r>
      <w:r w:rsidR="00AB6829">
        <w:t>silicon</w:t>
      </w:r>
      <w:r w:rsidR="00B53131">
        <w:t xml:space="preserve"> carbide plate</w:t>
      </w:r>
      <w:r w:rsidR="00AB6829">
        <w:t>. The walls of the oven can both move</w:t>
      </w:r>
      <w:r w:rsidR="00F06FB8">
        <w:t xml:space="preserve"> horizontally</w:t>
      </w:r>
      <w:r w:rsidR="00452787">
        <w:t>. A ref</w:t>
      </w:r>
      <w:r w:rsidR="00C5520B">
        <w:t>r</w:t>
      </w:r>
      <w:r w:rsidR="00452787">
        <w:t>actory</w:t>
      </w:r>
      <w:r w:rsidR="00C5520B">
        <w:t xml:space="preserve"> C-section sits in the middle. </w:t>
      </w:r>
      <w:r w:rsidR="00CD27CB">
        <w:t>An illustration of the PSCO is shown in figure 2</w:t>
      </w:r>
      <w:r w:rsidR="003A4C09">
        <w:t>5</w:t>
      </w:r>
      <w:r w:rsidR="00CD27CB">
        <w:t xml:space="preserve">. </w:t>
      </w:r>
      <w:r w:rsidR="00C5520B">
        <w:t xml:space="preserve">The </w:t>
      </w:r>
      <w:r w:rsidR="00CD27CB">
        <w:t xml:space="preserve">25 Kg </w:t>
      </w:r>
      <w:r w:rsidR="00C5520B">
        <w:t xml:space="preserve">packed coal </w:t>
      </w:r>
      <w:r w:rsidR="00914552">
        <w:t>bed is charged into the furnace in a rectangular cardboard box which sits inside a refractory cassette.</w:t>
      </w:r>
      <w:r w:rsidR="005F387B">
        <w:t xml:space="preserve"> The cassette is charged</w:t>
      </w:r>
      <w:r w:rsidR="002F07CD">
        <w:t xml:space="preserve"> through the front of the furnace</w:t>
      </w:r>
      <w:r w:rsidR="005F387B">
        <w:t xml:space="preserve"> </w:t>
      </w:r>
      <w:r w:rsidR="002F07CD">
        <w:t>via</w:t>
      </w:r>
      <w:r w:rsidR="00B21756">
        <w:t xml:space="preserve"> movable cooling </w:t>
      </w:r>
      <w:r w:rsidR="00706694">
        <w:t>jackets</w:t>
      </w:r>
      <w:r w:rsidR="006B0227">
        <w:t>. The walls are then close</w:t>
      </w:r>
      <w:r w:rsidR="009A13B4">
        <w:t xml:space="preserve">d, a </w:t>
      </w:r>
      <w:r w:rsidR="00A74548">
        <w:t>stainless-steel</w:t>
      </w:r>
      <w:r w:rsidR="009A13B4">
        <w:t xml:space="preserve"> gasket keeps the oven sealed</w:t>
      </w:r>
      <w:r w:rsidR="00174BC2">
        <w:t xml:space="preserve">. The furnace is charged at </w:t>
      </w:r>
      <w:r w:rsidR="00810B3E">
        <w:t>9</w:t>
      </w:r>
      <w:r w:rsidR="00174BC2">
        <w:t>00</w:t>
      </w:r>
      <w:r w:rsidR="00174BC2" w:rsidRPr="00174BC2">
        <w:rPr>
          <w:vertAlign w:val="superscript"/>
        </w:rPr>
        <w:t>0</w:t>
      </w:r>
      <w:r w:rsidR="00174BC2">
        <w:t>C</w:t>
      </w:r>
      <w:r w:rsidR="00425863">
        <w:t xml:space="preserve"> and </w:t>
      </w:r>
      <w:r w:rsidR="00C92EC7">
        <w:t>left for 3 hours to allow the furnace to stabilise</w:t>
      </w:r>
      <w:r w:rsidR="0049720C">
        <w:t>, the temperature is then ramped up to 1000</w:t>
      </w:r>
      <w:r w:rsidR="0049720C" w:rsidRPr="0049720C">
        <w:rPr>
          <w:vertAlign w:val="superscript"/>
        </w:rPr>
        <w:t>0</w:t>
      </w:r>
      <w:r w:rsidR="0049720C">
        <w:t xml:space="preserve">C </w:t>
      </w:r>
      <w:r w:rsidR="00767E04">
        <w:t>and held at temperature for 5 hours before ramping back down</w:t>
      </w:r>
      <w:r w:rsidR="009930DE">
        <w:t>. The ramp ensures full carbon</w:t>
      </w:r>
      <w:r w:rsidR="00721A34">
        <w:t>isation of the coke by driving off any excess volatiles.</w:t>
      </w:r>
      <w:r w:rsidR="00A74548">
        <w:t xml:space="preserve"> All exhaust gases are vented into</w:t>
      </w:r>
      <w:r w:rsidR="007B2853">
        <w:t xml:space="preserve"> a </w:t>
      </w:r>
      <w:r w:rsidR="00F15FCC">
        <w:t>local exhaust ventilation system.</w:t>
      </w:r>
      <w:r w:rsidR="00A74548">
        <w:t xml:space="preserve"> </w:t>
      </w:r>
      <w:r w:rsidR="001D334A">
        <w:t xml:space="preserve">The charge stays in the furnace for </w:t>
      </w:r>
      <w:r w:rsidR="00530CCA">
        <w:t>18</w:t>
      </w:r>
      <w:r w:rsidR="001D334A">
        <w:t xml:space="preserve"> hours</w:t>
      </w:r>
      <w:r w:rsidR="00A005FF">
        <w:t>,</w:t>
      </w:r>
      <w:r w:rsidR="001D334A">
        <w:t xml:space="preserve"> </w:t>
      </w:r>
      <w:r w:rsidR="00A005FF">
        <w:t xml:space="preserve">once the coal is fully </w:t>
      </w:r>
      <w:proofErr w:type="spellStart"/>
      <w:r w:rsidR="00A005FF">
        <w:t>coked</w:t>
      </w:r>
      <w:proofErr w:type="spellEnd"/>
      <w:r w:rsidR="00A005FF">
        <w:t>, the</w:t>
      </w:r>
      <w:r w:rsidR="001D334A">
        <w:t xml:space="preserve"> </w:t>
      </w:r>
      <w:r w:rsidR="00C82DCF">
        <w:t>cassette</w:t>
      </w:r>
      <w:r w:rsidR="001D334A">
        <w:t xml:space="preserve"> is placed into a </w:t>
      </w:r>
      <w:r w:rsidR="00706694">
        <w:t>water-cooled</w:t>
      </w:r>
      <w:r w:rsidR="001D334A">
        <w:t xml:space="preserve"> </w:t>
      </w:r>
      <w:r w:rsidR="00706694">
        <w:t>jacket</w:t>
      </w:r>
      <w:r w:rsidR="001D334A">
        <w:t xml:space="preserve"> and left to cool.</w:t>
      </w:r>
    </w:p>
    <w:p w14:paraId="5FCB8212" w14:textId="5BFADC32" w:rsidR="003513EF" w:rsidRPr="001240A7" w:rsidRDefault="00281276" w:rsidP="001240A7">
      <w:pPr>
        <w:spacing w:line="360" w:lineRule="auto"/>
        <w:jc w:val="both"/>
      </w:pPr>
      <w:r w:rsidRPr="00281276">
        <w:rPr>
          <w:noProof/>
        </w:rPr>
        <w:lastRenderedPageBreak/>
        <w:drawing>
          <wp:inline distT="0" distB="0" distL="0" distR="0" wp14:anchorId="41DE5E27" wp14:editId="19699730">
            <wp:extent cx="4184015" cy="3145536"/>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40"/>
                    <a:stretch>
                      <a:fillRect/>
                    </a:stretch>
                  </pic:blipFill>
                  <pic:spPr>
                    <a:xfrm>
                      <a:off x="0" y="0"/>
                      <a:ext cx="4197315" cy="3155535"/>
                    </a:xfrm>
                    <a:prstGeom prst="rect">
                      <a:avLst/>
                    </a:prstGeom>
                  </pic:spPr>
                </pic:pic>
              </a:graphicData>
            </a:graphic>
          </wp:inline>
        </w:drawing>
      </w:r>
    </w:p>
    <w:p w14:paraId="3483D374" w14:textId="4FD40C0B" w:rsidR="000820C5" w:rsidRDefault="00CD27CB" w:rsidP="00CD27CB">
      <w:pPr>
        <w:pStyle w:val="Caption"/>
      </w:pPr>
      <w:bookmarkStart w:id="55" w:name="_Toc127110919"/>
      <w:r>
        <w:t xml:space="preserve">Figure </w:t>
      </w:r>
      <w:fldSimple w:instr=" SEQ Figure \* ARABIC ">
        <w:r w:rsidR="00A0212F">
          <w:rPr>
            <w:noProof/>
          </w:rPr>
          <w:t>25</w:t>
        </w:r>
      </w:fldSimple>
      <w:r>
        <w:t xml:space="preserve"> An illustration of the 25Kg pilot scale coke oven at Port Talbot</w:t>
      </w:r>
      <w:r w:rsidR="00CA3481">
        <w:t>,</w:t>
      </w:r>
      <w:r w:rsidR="00B45A47">
        <w:t xml:space="preserve"> </w:t>
      </w:r>
      <w:r w:rsidR="00CA3481">
        <w:t>made by the author</w:t>
      </w:r>
      <w:r w:rsidR="006A730B">
        <w:t>.</w:t>
      </w:r>
      <w:bookmarkEnd w:id="55"/>
    </w:p>
    <w:p w14:paraId="7DAF8FE4" w14:textId="77777777" w:rsidR="00C20227" w:rsidRDefault="00330784" w:rsidP="00BB64E0">
      <w:pPr>
        <w:spacing w:line="360" w:lineRule="auto"/>
        <w:jc w:val="both"/>
      </w:pPr>
      <w:r>
        <w:t xml:space="preserve">The biochar will be assessed against a </w:t>
      </w:r>
      <w:r w:rsidR="004D66C0">
        <w:t xml:space="preserve">coal used </w:t>
      </w:r>
      <w:r w:rsidR="008379A6">
        <w:t>at Port Talbot steelworks called Riverside</w:t>
      </w:r>
      <w:r w:rsidR="00A83A68">
        <w:t>. Riverside is a high-quality Australian coking coal.</w:t>
      </w:r>
      <w:r>
        <w:t xml:space="preserve"> </w:t>
      </w:r>
      <w:r w:rsidR="00A83A68">
        <w:t>E</w:t>
      </w:r>
      <w:r w:rsidR="001C75D3">
        <w:t xml:space="preserve">ach biochar will be </w:t>
      </w:r>
      <w:r w:rsidR="00A32808">
        <w:t>blended</w:t>
      </w:r>
      <w:r w:rsidR="001C75D3">
        <w:t xml:space="preserve"> </w:t>
      </w:r>
      <w:r w:rsidR="00A32808">
        <w:t>with</w:t>
      </w:r>
      <w:r w:rsidR="001C75D3">
        <w:t xml:space="preserve"> </w:t>
      </w:r>
      <w:r w:rsidR="00A83A68">
        <w:t xml:space="preserve">Riverside </w:t>
      </w:r>
      <w:r w:rsidR="001C75D3">
        <w:t>in increments of 3%, 5% and 7</w:t>
      </w:r>
      <w:r w:rsidR="00C20227">
        <w:t>.5</w:t>
      </w:r>
      <w:r w:rsidR="001C75D3">
        <w:t>% addi</w:t>
      </w:r>
      <w:r w:rsidR="002204F2">
        <w:t>tion.</w:t>
      </w:r>
      <w:r w:rsidR="00BF49D1">
        <w:t xml:space="preserve"> </w:t>
      </w:r>
    </w:p>
    <w:p w14:paraId="5366CD6C" w14:textId="5C2BB51F" w:rsidR="00143238" w:rsidRDefault="00143238" w:rsidP="00143238">
      <w:pPr>
        <w:spacing w:line="360" w:lineRule="auto"/>
        <w:jc w:val="both"/>
      </w:pPr>
      <w:r>
        <w:t>Riverside coal was sampled from a stockpile, 50 shovel loads of material were collected from around the stockpile at evenly spaced points</w:t>
      </w:r>
      <w:r w:rsidR="009D141E">
        <w:t xml:space="preserve"> </w:t>
      </w:r>
      <w:r w:rsidR="00A53452">
        <w:t>(5 meters)</w:t>
      </w:r>
      <w:r>
        <w:t xml:space="preserve">. The heights of the sample points were varied to avoid material size bias. </w:t>
      </w:r>
      <w:r w:rsidR="005C77FA">
        <w:t>Auto sampling</w:t>
      </w:r>
      <w:r>
        <w:t xml:space="preserve"> is </w:t>
      </w:r>
      <w:r w:rsidR="005C77FA">
        <w:t>preferred</w:t>
      </w:r>
      <w:r>
        <w:t xml:space="preserve"> by the ISO standard however there are no coal autosamplers or belt sampling points onsite. </w:t>
      </w:r>
      <w:r w:rsidR="00FC6F4C">
        <w:t>Manual</w:t>
      </w:r>
      <w:r w:rsidR="005C77FA">
        <w:t xml:space="preserve"> sampling is </w:t>
      </w:r>
      <w:r w:rsidR="003A5F80">
        <w:t>permitted,</w:t>
      </w:r>
      <w:r w:rsidR="005C77FA">
        <w:t xml:space="preserve"> however.</w:t>
      </w:r>
    </w:p>
    <w:p w14:paraId="4515C311" w14:textId="388F978B" w:rsidR="00C20227" w:rsidRDefault="00C20227" w:rsidP="00BB64E0">
      <w:pPr>
        <w:spacing w:line="360" w:lineRule="auto"/>
        <w:jc w:val="both"/>
      </w:pPr>
      <w:r>
        <w:t>To mimic the coal charged into the Morfa coke ovens at Port Talbot, t</w:t>
      </w:r>
      <w:r w:rsidR="00BF49D1">
        <w:t>h</w:t>
      </w:r>
      <w:r w:rsidR="00FF2C41">
        <w:t xml:space="preserve">e </w:t>
      </w:r>
      <w:r>
        <w:t>Riverside coal and the biochar samples will be passed through a hammer mill, set to crush the materials to 80% &gt; 3.175mm and 40% &gt; 0.5mm and the</w:t>
      </w:r>
      <w:r w:rsidR="009E0339">
        <w:t xml:space="preserve"> bulk density will be </w:t>
      </w:r>
      <w:r w:rsidR="00ED4FA9">
        <w:t>750</w:t>
      </w:r>
      <w:r w:rsidR="002943E7">
        <w:t xml:space="preserve"> </w:t>
      </w:r>
      <w:r w:rsidR="00ED4FA9">
        <w:t>Kg/m</w:t>
      </w:r>
      <w:r w:rsidR="00ED4FA9" w:rsidRPr="008E4C8B">
        <w:rPr>
          <w:vertAlign w:val="superscript"/>
        </w:rPr>
        <w:t>3</w:t>
      </w:r>
      <w:r w:rsidR="00ED4FA9">
        <w:t xml:space="preserve"> dry</w:t>
      </w:r>
      <w:r>
        <w:t xml:space="preserve">. </w:t>
      </w:r>
    </w:p>
    <w:p w14:paraId="0561F67E" w14:textId="38B1A9A6" w:rsidR="00143238" w:rsidRDefault="00143238" w:rsidP="00BB64E0">
      <w:pPr>
        <w:spacing w:line="360" w:lineRule="auto"/>
        <w:jc w:val="both"/>
      </w:pPr>
      <w:r>
        <w:t>The Riverside coal and Biochar blends were tested in duplicate 2x 25Kg charges, to calculate the biochar additions the total blend weight the following calculation was applied.</w:t>
      </w:r>
    </w:p>
    <w:p w14:paraId="7A1F814D" w14:textId="7A2D4107" w:rsidR="00143238" w:rsidRPr="00CA0347" w:rsidRDefault="00143238" w:rsidP="00BB64E0">
      <w:pPr>
        <w:spacing w:line="360" w:lineRule="auto"/>
        <w:jc w:val="both"/>
        <w:rPr>
          <w:rFonts w:eastAsiaTheme="minorEastAsia"/>
        </w:rPr>
      </w:pPr>
      <m:oMathPara>
        <m:oMath>
          <m:r>
            <w:rPr>
              <w:rFonts w:ascii="Cambria Math" w:hAnsi="Cambria Math"/>
            </w:rPr>
            <m:t>Biochar addition=Tw*(</m:t>
          </m:r>
          <m:f>
            <m:fPr>
              <m:ctrlPr>
                <w:rPr>
                  <w:rFonts w:ascii="Cambria Math" w:hAnsi="Cambria Math"/>
                  <w:i/>
                </w:rPr>
              </m:ctrlPr>
            </m:fPr>
            <m:num>
              <m:r>
                <w:rPr>
                  <w:rFonts w:ascii="Cambria Math" w:hAnsi="Cambria Math"/>
                </w:rPr>
                <m:t>B%</m:t>
              </m:r>
            </m:num>
            <m:den>
              <m:r>
                <w:rPr>
                  <w:rFonts w:ascii="Cambria Math" w:hAnsi="Cambria Math"/>
                </w:rPr>
                <m:t>100</m:t>
              </m:r>
            </m:den>
          </m:f>
          <m:r>
            <w:rPr>
              <w:rFonts w:ascii="Cambria Math" w:hAnsi="Cambria Math"/>
            </w:rPr>
            <m:t>)</m:t>
          </m:r>
        </m:oMath>
      </m:oMathPara>
    </w:p>
    <w:p w14:paraId="3524912C" w14:textId="50FA661E" w:rsidR="00CA0347" w:rsidRDefault="00CA0347" w:rsidP="00BB64E0">
      <w:pPr>
        <w:spacing w:line="360" w:lineRule="auto"/>
        <w:jc w:val="both"/>
        <w:rPr>
          <w:rFonts w:eastAsiaTheme="minorEastAsia"/>
        </w:rPr>
      </w:pPr>
      <w:r>
        <w:rPr>
          <w:rFonts w:eastAsiaTheme="minorEastAsia"/>
        </w:rPr>
        <w:t>Where: Tw is the total weight of the duplicate charge = 50Kg</w:t>
      </w:r>
    </w:p>
    <w:p w14:paraId="312C60D2" w14:textId="119E6C28" w:rsidR="00CA0347" w:rsidRDefault="00CA0347" w:rsidP="00BB64E0">
      <w:pPr>
        <w:spacing w:line="360" w:lineRule="auto"/>
        <w:jc w:val="both"/>
        <w:rPr>
          <w:rFonts w:eastAsiaTheme="minorEastAsia"/>
        </w:rPr>
      </w:pPr>
      <w:r>
        <w:rPr>
          <w:rFonts w:eastAsiaTheme="minorEastAsia"/>
        </w:rPr>
        <w:tab/>
        <w:t>B% is the biochar addition</w:t>
      </w:r>
      <w:r w:rsidR="00BF620B">
        <w:rPr>
          <w:rFonts w:eastAsiaTheme="minorEastAsia"/>
        </w:rPr>
        <w:t xml:space="preserve"> in Kg</w:t>
      </w:r>
      <w:r>
        <w:rPr>
          <w:rFonts w:eastAsiaTheme="minorEastAsia"/>
        </w:rPr>
        <w:t>.</w:t>
      </w:r>
    </w:p>
    <w:p w14:paraId="233B95DD" w14:textId="16A1D18E" w:rsidR="00CA0347" w:rsidRDefault="00CA0347" w:rsidP="00BB64E0">
      <w:pPr>
        <w:spacing w:line="360" w:lineRule="auto"/>
        <w:jc w:val="both"/>
        <w:rPr>
          <w:rFonts w:eastAsiaTheme="minorEastAsia"/>
        </w:rPr>
      </w:pPr>
      <w:r>
        <w:rPr>
          <w:rFonts w:eastAsiaTheme="minorEastAsia"/>
        </w:rPr>
        <w:t xml:space="preserve">An example would be for a biochar addition of </w:t>
      </w:r>
      <m:oMath>
        <m:r>
          <w:rPr>
            <w:rFonts w:ascii="Cambria Math" w:eastAsiaTheme="minorEastAsia" w:hAnsi="Cambria Math"/>
          </w:rPr>
          <m:t>x= 50*(</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100</m:t>
            </m:r>
          </m:den>
        </m:f>
        <m:r>
          <w:rPr>
            <w:rFonts w:ascii="Cambria Math" w:eastAsiaTheme="minorEastAsia" w:hAnsi="Cambria Math"/>
          </w:rPr>
          <m:t>)</m:t>
        </m:r>
      </m:oMath>
      <w:r>
        <w:rPr>
          <w:rFonts w:eastAsiaTheme="minorEastAsia"/>
        </w:rPr>
        <w:t xml:space="preserve"> which equals 1.5Kg of Biochar. The blend would consist of 48.5</w:t>
      </w:r>
      <w:r w:rsidR="00BF620B">
        <w:rPr>
          <w:rFonts w:eastAsiaTheme="minorEastAsia"/>
        </w:rPr>
        <w:t xml:space="preserve"> </w:t>
      </w:r>
      <w:r>
        <w:rPr>
          <w:rFonts w:eastAsiaTheme="minorEastAsia"/>
        </w:rPr>
        <w:t>Kg of Riverside coal and 1.5</w:t>
      </w:r>
      <w:r w:rsidR="00BF620B">
        <w:rPr>
          <w:rFonts w:eastAsiaTheme="minorEastAsia"/>
        </w:rPr>
        <w:t xml:space="preserve"> </w:t>
      </w:r>
      <w:r>
        <w:rPr>
          <w:rFonts w:eastAsiaTheme="minorEastAsia"/>
        </w:rPr>
        <w:t>Kg of biochar.</w:t>
      </w:r>
    </w:p>
    <w:p w14:paraId="1FB2762B" w14:textId="384AAF0A" w:rsidR="00330784" w:rsidRDefault="00C20227" w:rsidP="00BB64E0">
      <w:pPr>
        <w:spacing w:line="360" w:lineRule="auto"/>
        <w:jc w:val="both"/>
      </w:pPr>
      <w:r>
        <w:lastRenderedPageBreak/>
        <w:t>T</w:t>
      </w:r>
      <w:r w:rsidR="00ED4FA9">
        <w:t xml:space="preserve">he </w:t>
      </w:r>
      <w:r>
        <w:t>moisture of the charges will be set at</w:t>
      </w:r>
      <w:r w:rsidR="00ED4FA9">
        <w:t xml:space="preserve"> 9.5%</w:t>
      </w:r>
      <w:r w:rsidR="0056207E">
        <w:t>, this is to reduce variation across tests</w:t>
      </w:r>
      <w:r w:rsidR="00ED4FA9">
        <w:t>.</w:t>
      </w:r>
      <w:r w:rsidR="004000CB">
        <w:t xml:space="preserve"> </w:t>
      </w:r>
      <w:r w:rsidR="00C954AD">
        <w:t>Adding water to the coal to increase moisture content is a lot less labour intensive than drying the coal to reduce</w:t>
      </w:r>
      <w:r w:rsidR="00CE65CA">
        <w:t xml:space="preserve"> moisture content. The figure 9.5%</w:t>
      </w:r>
      <w:r w:rsidR="0009107F">
        <w:t xml:space="preserve"> was c</w:t>
      </w:r>
      <w:r w:rsidR="00867FA6">
        <w:t>hosen as the majority of coal sampled is less than 9.5%.</w:t>
      </w:r>
      <w:r w:rsidR="009E0339">
        <w:t xml:space="preserve"> </w:t>
      </w:r>
      <w:r w:rsidR="00CA0347">
        <w:t>In all cases for this project the moisture was measured &gt;9.5 %, meaning water needed to be added to the charge. The calculation used to assess the required water addition was:</w:t>
      </w:r>
    </w:p>
    <w:p w14:paraId="4F4D4647" w14:textId="688A4B8E" w:rsidR="00CA0347" w:rsidRPr="00CA0347" w:rsidRDefault="00CA0347" w:rsidP="00BB64E0">
      <w:pPr>
        <w:spacing w:line="360" w:lineRule="auto"/>
        <w:jc w:val="both"/>
        <w:rPr>
          <w:rFonts w:eastAsiaTheme="minorEastAsia"/>
        </w:rPr>
      </w:pPr>
      <m:oMathPara>
        <m:oMath>
          <m:r>
            <w:rPr>
              <w:rFonts w:ascii="Cambria Math" w:hAnsi="Cambria Math"/>
            </w:rPr>
            <m:t>Wa=</m:t>
          </m:r>
          <m:d>
            <m:dPr>
              <m:ctrlPr>
                <w:rPr>
                  <w:rFonts w:ascii="Cambria Math" w:hAnsi="Cambria Math"/>
                  <w:i/>
                </w:rPr>
              </m:ctrlPr>
            </m:dPr>
            <m:e>
              <m:f>
                <m:fPr>
                  <m:ctrlPr>
                    <w:rPr>
                      <w:rFonts w:ascii="Cambria Math" w:hAnsi="Cambria Math"/>
                      <w:i/>
                    </w:rPr>
                  </m:ctrlPr>
                </m:fPr>
                <m:num>
                  <m:r>
                    <w:rPr>
                      <w:rFonts w:ascii="Cambria Math" w:hAnsi="Cambria Math"/>
                    </w:rPr>
                    <m:t>9.5-M%</m:t>
                  </m:r>
                </m:num>
                <m:den>
                  <m:r>
                    <w:rPr>
                      <w:rFonts w:ascii="Cambria Math" w:hAnsi="Cambria Math"/>
                    </w:rPr>
                    <m:t>100</m:t>
                  </m:r>
                </m:den>
              </m:f>
            </m:e>
          </m:d>
          <m:r>
            <w:rPr>
              <w:rFonts w:ascii="Cambria Math" w:hAnsi="Cambria Math"/>
            </w:rPr>
            <m:t>*Tw</m:t>
          </m:r>
        </m:oMath>
      </m:oMathPara>
    </w:p>
    <w:p w14:paraId="20C985BF" w14:textId="34E5D89D" w:rsidR="00CA0347" w:rsidRDefault="00CA0347" w:rsidP="00BB64E0">
      <w:pPr>
        <w:spacing w:line="360" w:lineRule="auto"/>
        <w:jc w:val="both"/>
        <w:rPr>
          <w:rFonts w:eastAsiaTheme="minorEastAsia"/>
        </w:rPr>
      </w:pPr>
      <w:r>
        <w:rPr>
          <w:rFonts w:eastAsiaTheme="minorEastAsia"/>
        </w:rPr>
        <w:t>Where</w:t>
      </w:r>
      <w:r w:rsidR="000E59FA">
        <w:rPr>
          <w:rFonts w:eastAsiaTheme="minorEastAsia"/>
        </w:rPr>
        <w:t>:</w:t>
      </w:r>
      <w:r>
        <w:rPr>
          <w:rFonts w:eastAsiaTheme="minorEastAsia"/>
        </w:rPr>
        <w:t xml:space="preserve"> </w:t>
      </w:r>
      <w:proofErr w:type="spellStart"/>
      <w:r>
        <w:rPr>
          <w:rFonts w:eastAsiaTheme="minorEastAsia"/>
        </w:rPr>
        <w:t>Wa</w:t>
      </w:r>
      <w:proofErr w:type="spellEnd"/>
      <w:r>
        <w:rPr>
          <w:rFonts w:eastAsiaTheme="minorEastAsia"/>
        </w:rPr>
        <w:t xml:space="preserve"> is the water addition required</w:t>
      </w:r>
      <w:r w:rsidR="00BF620B">
        <w:rPr>
          <w:rFonts w:eastAsiaTheme="minorEastAsia"/>
        </w:rPr>
        <w:t xml:space="preserve"> in Litres</w:t>
      </w:r>
    </w:p>
    <w:p w14:paraId="271E91BF" w14:textId="559FF1C0" w:rsidR="00CA0347" w:rsidRDefault="00CA0347" w:rsidP="00BB64E0">
      <w:pPr>
        <w:spacing w:line="360" w:lineRule="auto"/>
        <w:jc w:val="both"/>
        <w:rPr>
          <w:rFonts w:eastAsiaTheme="minorEastAsia"/>
        </w:rPr>
      </w:pPr>
      <w:r>
        <w:rPr>
          <w:rFonts w:eastAsiaTheme="minorEastAsia"/>
        </w:rPr>
        <w:tab/>
        <w:t xml:space="preserve">M5 is the measured moisture </w:t>
      </w:r>
      <w:r w:rsidR="006A730B">
        <w:rPr>
          <w:rFonts w:eastAsiaTheme="minorEastAsia"/>
        </w:rPr>
        <w:t>percentage.</w:t>
      </w:r>
    </w:p>
    <w:p w14:paraId="6EE15F08" w14:textId="2AE9A39E" w:rsidR="00CA0347" w:rsidRDefault="00CA0347" w:rsidP="00BB64E0">
      <w:pPr>
        <w:spacing w:line="360" w:lineRule="auto"/>
        <w:jc w:val="both"/>
        <w:rPr>
          <w:rFonts w:eastAsiaTheme="minorEastAsia"/>
        </w:rPr>
      </w:pPr>
      <w:r>
        <w:rPr>
          <w:rFonts w:eastAsiaTheme="minorEastAsia"/>
        </w:rPr>
        <w:tab/>
        <w:t>Tw is the total charge weight</w:t>
      </w:r>
      <w:r w:rsidR="00BF620B">
        <w:rPr>
          <w:rFonts w:eastAsiaTheme="minorEastAsia"/>
        </w:rPr>
        <w:t xml:space="preserve"> in </w:t>
      </w:r>
      <w:proofErr w:type="gramStart"/>
      <w:r w:rsidR="00BF620B">
        <w:rPr>
          <w:rFonts w:eastAsiaTheme="minorEastAsia"/>
        </w:rPr>
        <w:t>Kg</w:t>
      </w:r>
      <w:proofErr w:type="gramEnd"/>
    </w:p>
    <w:p w14:paraId="2D6C67DD" w14:textId="3FFD7530" w:rsidR="00CA0347" w:rsidRDefault="00CA0347" w:rsidP="00BB64E0">
      <w:pPr>
        <w:spacing w:line="360" w:lineRule="auto"/>
        <w:jc w:val="both"/>
        <w:rPr>
          <w:rFonts w:eastAsiaTheme="minorEastAsia"/>
        </w:rPr>
      </w:pPr>
      <w:r>
        <w:rPr>
          <w:rFonts w:eastAsiaTheme="minorEastAsia"/>
        </w:rPr>
        <w:t>An example would be</w:t>
      </w:r>
      <w:r w:rsidR="00BF620B">
        <w:rPr>
          <w:rFonts w:eastAsiaTheme="minorEastAsia"/>
        </w:rPr>
        <w:t xml:space="preserve"> for a charge measuring 8.4% moisture =</w:t>
      </w:r>
      <w:r>
        <w:rPr>
          <w:rFonts w:eastAsiaTheme="minorEastAsia"/>
        </w:rPr>
        <w:t xml:space="preserve"> </w:t>
      </w:r>
      <m:oMath>
        <m:r>
          <w:rPr>
            <w:rFonts w:ascii="Cambria Math" w:eastAsiaTheme="minorEastAsia" w:hAnsi="Cambria Math"/>
          </w:rPr>
          <m:t>Wa=</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9.5-8.4</m:t>
                </m:r>
              </m:num>
              <m:den>
                <m:r>
                  <w:rPr>
                    <w:rFonts w:ascii="Cambria Math" w:eastAsiaTheme="minorEastAsia" w:hAnsi="Cambria Math"/>
                  </w:rPr>
                  <m:t>100</m:t>
                </m:r>
              </m:den>
            </m:f>
          </m:e>
        </m:d>
        <m:r>
          <w:rPr>
            <w:rFonts w:ascii="Cambria Math" w:eastAsiaTheme="minorEastAsia" w:hAnsi="Cambria Math"/>
          </w:rPr>
          <m:t>*50 Kg</m:t>
        </m:r>
      </m:oMath>
      <w:r w:rsidR="00BF620B">
        <w:rPr>
          <w:rFonts w:eastAsiaTheme="minorEastAsia"/>
        </w:rPr>
        <w:t xml:space="preserve"> which equals 0.55 L of water addition to the charge. </w:t>
      </w:r>
    </w:p>
    <w:p w14:paraId="798598F0" w14:textId="71B4051B" w:rsidR="00BF620B" w:rsidRDefault="00BF620B" w:rsidP="00BB64E0">
      <w:pPr>
        <w:spacing w:line="360" w:lineRule="auto"/>
        <w:jc w:val="both"/>
        <w:rPr>
          <w:rFonts w:eastAsiaTheme="minorEastAsia"/>
        </w:rPr>
      </w:pPr>
      <w:r>
        <w:rPr>
          <w:rFonts w:eastAsiaTheme="minorEastAsia"/>
        </w:rPr>
        <w:t>The riverside coal is weighed out and charged into a cement mixer, the biochar is then weighed out and added, while the materials are mixing the water is sprayed onto the material in the cement mixer.</w:t>
      </w:r>
    </w:p>
    <w:p w14:paraId="65A79577" w14:textId="767F77F4" w:rsidR="00AA31F2" w:rsidRDefault="000E59FA" w:rsidP="00BB64E0">
      <w:pPr>
        <w:spacing w:line="360" w:lineRule="auto"/>
        <w:jc w:val="both"/>
        <w:rPr>
          <w:rFonts w:eastAsiaTheme="minorEastAsia"/>
        </w:rPr>
      </w:pPr>
      <w:r>
        <w:rPr>
          <w:rFonts w:eastAsiaTheme="minorEastAsia"/>
        </w:rPr>
        <w:t>A</w:t>
      </w:r>
      <w:r w:rsidR="00AA31F2">
        <w:rPr>
          <w:rFonts w:eastAsiaTheme="minorEastAsia"/>
        </w:rPr>
        <w:t xml:space="preserve"> cardboard box placed inside the refractory cassette to</w:t>
      </w:r>
      <w:r>
        <w:rPr>
          <w:rFonts w:eastAsiaTheme="minorEastAsia"/>
        </w:rPr>
        <w:t xml:space="preserve"> contain the coal</w:t>
      </w:r>
      <w:r w:rsidR="00AA31F2">
        <w:rPr>
          <w:rFonts w:eastAsiaTheme="minorEastAsia"/>
        </w:rPr>
        <w:t>. Lines are drawn inside the cardboard box using a template</w:t>
      </w:r>
      <w:r w:rsidR="007C00B4">
        <w:rPr>
          <w:rFonts w:eastAsiaTheme="minorEastAsia"/>
        </w:rPr>
        <w:t>, see figure 26</w:t>
      </w:r>
      <w:r w:rsidR="00AA31F2">
        <w:rPr>
          <w:rFonts w:eastAsiaTheme="minorEastAsia"/>
        </w:rPr>
        <w:t>. A known mass of coal is then compacted into the known volume of space inside the box which results in the required coal density</w:t>
      </w:r>
      <w:r w:rsidR="007C00B4">
        <w:rPr>
          <w:rFonts w:eastAsiaTheme="minorEastAsia"/>
        </w:rPr>
        <w:t xml:space="preserve"> (figure 27)</w:t>
      </w:r>
      <w:r w:rsidR="00AA31F2">
        <w:rPr>
          <w:rFonts w:eastAsiaTheme="minorEastAsia"/>
        </w:rPr>
        <w:t>.</w:t>
      </w:r>
    </w:p>
    <w:p w14:paraId="653F79B2" w14:textId="73818405" w:rsidR="00AA31F2" w:rsidRDefault="00AA31F2" w:rsidP="00BB64E0">
      <w:pPr>
        <w:spacing w:line="360" w:lineRule="auto"/>
        <w:jc w:val="both"/>
        <w:rPr>
          <w:rFonts w:eastAsiaTheme="minorEastAsia"/>
        </w:rPr>
      </w:pPr>
      <w:r w:rsidRPr="00AA31F2">
        <w:rPr>
          <w:rFonts w:eastAsiaTheme="minorEastAsia"/>
          <w:noProof/>
        </w:rPr>
        <w:drawing>
          <wp:inline distT="0" distB="0" distL="0" distR="0" wp14:anchorId="1F13730F" wp14:editId="0368277A">
            <wp:extent cx="2867024" cy="202758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74338" cy="2032755"/>
                    </a:xfrm>
                    <a:prstGeom prst="rect">
                      <a:avLst/>
                    </a:prstGeom>
                  </pic:spPr>
                </pic:pic>
              </a:graphicData>
            </a:graphic>
          </wp:inline>
        </w:drawing>
      </w:r>
      <w:r>
        <w:rPr>
          <w:rFonts w:eastAsiaTheme="minorEastAsia"/>
        </w:rPr>
        <w:t xml:space="preserve">         </w:t>
      </w:r>
      <w:r w:rsidRPr="00AA31F2">
        <w:rPr>
          <w:rFonts w:eastAsiaTheme="minorEastAsia"/>
          <w:noProof/>
        </w:rPr>
        <w:drawing>
          <wp:inline distT="0" distB="0" distL="0" distR="0" wp14:anchorId="57174BA1" wp14:editId="1B23464D">
            <wp:extent cx="1653871" cy="2010901"/>
            <wp:effectExtent l="0" t="0" r="381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rot="10800000" flipV="1">
                      <a:off x="0" y="0"/>
                      <a:ext cx="1708171" cy="2076923"/>
                    </a:xfrm>
                    <a:prstGeom prst="rect">
                      <a:avLst/>
                    </a:prstGeom>
                  </pic:spPr>
                </pic:pic>
              </a:graphicData>
            </a:graphic>
          </wp:inline>
        </w:drawing>
      </w:r>
    </w:p>
    <w:p w14:paraId="4AB2B6CA" w14:textId="76F8E9BD" w:rsidR="00AA31F2" w:rsidRDefault="00AA31F2" w:rsidP="00AA31F2">
      <w:pPr>
        <w:pStyle w:val="Caption"/>
        <w:rPr>
          <w:rFonts w:eastAsiaTheme="minorEastAsia"/>
        </w:rPr>
      </w:pPr>
      <w:bookmarkStart w:id="56" w:name="_Toc127110920"/>
      <w:r>
        <w:t xml:space="preserve">Figure </w:t>
      </w:r>
      <w:fldSimple w:instr=" SEQ Figure \* ARABIC ">
        <w:r w:rsidR="00A0212F">
          <w:rPr>
            <w:noProof/>
          </w:rPr>
          <w:t>26</w:t>
        </w:r>
      </w:fldSimple>
      <w:r>
        <w:t xml:space="preserve"> Preparing the coal charge</w:t>
      </w:r>
      <w:bookmarkEnd w:id="56"/>
    </w:p>
    <w:p w14:paraId="5930A418" w14:textId="691DF1A3" w:rsidR="00C044F0" w:rsidRDefault="00AA31F2" w:rsidP="00BB64E0">
      <w:pPr>
        <w:spacing w:line="360" w:lineRule="auto"/>
        <w:jc w:val="both"/>
        <w:rPr>
          <w:rFonts w:eastAsiaTheme="minorEastAsia"/>
        </w:rPr>
      </w:pPr>
      <w:r w:rsidRPr="00AA31F2">
        <w:rPr>
          <w:rFonts w:eastAsiaTheme="minorEastAsia"/>
          <w:noProof/>
        </w:rPr>
        <w:lastRenderedPageBreak/>
        <w:drawing>
          <wp:inline distT="0" distB="0" distL="0" distR="0" wp14:anchorId="4E6DBABE" wp14:editId="46B67033">
            <wp:extent cx="3928262" cy="186794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942944" cy="1874930"/>
                    </a:xfrm>
                    <a:prstGeom prst="rect">
                      <a:avLst/>
                    </a:prstGeom>
                  </pic:spPr>
                </pic:pic>
              </a:graphicData>
            </a:graphic>
          </wp:inline>
        </w:drawing>
      </w:r>
    </w:p>
    <w:p w14:paraId="3CCBDA46" w14:textId="7C8BCD17" w:rsidR="00AA31F2" w:rsidRDefault="00AA31F2" w:rsidP="00AA31F2">
      <w:pPr>
        <w:pStyle w:val="Caption"/>
      </w:pPr>
      <w:bookmarkStart w:id="57" w:name="_Toc127110921"/>
      <w:r>
        <w:t xml:space="preserve">Figure </w:t>
      </w:r>
      <w:fldSimple w:instr=" SEQ Figure \* ARABIC ">
        <w:r w:rsidR="00A0212F">
          <w:rPr>
            <w:noProof/>
          </w:rPr>
          <w:t>27</w:t>
        </w:r>
      </w:fldSimple>
      <w:r>
        <w:t xml:space="preserve"> The coal density calculation</w:t>
      </w:r>
      <w:bookmarkEnd w:id="57"/>
      <w:r>
        <w:t xml:space="preserve"> </w:t>
      </w:r>
    </w:p>
    <w:p w14:paraId="66538F2C" w14:textId="580825EE" w:rsidR="000E59FA" w:rsidRPr="000E59FA" w:rsidRDefault="000E59FA" w:rsidP="00287016">
      <w:pPr>
        <w:spacing w:line="360" w:lineRule="auto"/>
        <w:jc w:val="both"/>
      </w:pPr>
      <w:r>
        <w:t xml:space="preserve">The cassette is then charged into the PO and left for </w:t>
      </w:r>
      <w:r w:rsidR="00287016">
        <w:t xml:space="preserve">18 </w:t>
      </w:r>
      <w:r>
        <w:t>hours</w:t>
      </w:r>
      <w:r w:rsidR="00287016">
        <w:t>. After which the cassette is discharged into a steel water-cooled jacket</w:t>
      </w:r>
      <w:r w:rsidR="006F7BEA">
        <w:t xml:space="preserve"> and left to cool</w:t>
      </w:r>
      <w:r w:rsidR="00287016">
        <w:t>.</w:t>
      </w:r>
    </w:p>
    <w:p w14:paraId="727845C4" w14:textId="7BFA3573" w:rsidR="00015D27" w:rsidRPr="00D91A52" w:rsidRDefault="00015D27" w:rsidP="00BB64E0">
      <w:pPr>
        <w:spacing w:line="360" w:lineRule="auto"/>
        <w:jc w:val="both"/>
      </w:pPr>
      <w:r>
        <w:t xml:space="preserve">The coke produced in the </w:t>
      </w:r>
      <w:r w:rsidR="00B9483C">
        <w:t xml:space="preserve">PSCO </w:t>
      </w:r>
      <w:r w:rsidR="00287016">
        <w:t>was then</w:t>
      </w:r>
      <w:r w:rsidR="00824312">
        <w:t xml:space="preserve"> assessed for its quality using the tests described below.</w:t>
      </w:r>
    </w:p>
    <w:p w14:paraId="335E8BC8" w14:textId="4E605EBD" w:rsidR="0072037B" w:rsidRDefault="0072037B" w:rsidP="00465187">
      <w:pPr>
        <w:pStyle w:val="Heading3"/>
        <w:spacing w:line="360" w:lineRule="auto"/>
        <w:jc w:val="both"/>
      </w:pPr>
      <w:bookmarkStart w:id="58" w:name="_Toc127911453"/>
      <w:r w:rsidRPr="00342228">
        <w:t xml:space="preserve">1/5th </w:t>
      </w:r>
      <w:proofErr w:type="spellStart"/>
      <w:r w:rsidR="00C23DB2">
        <w:t>M</w:t>
      </w:r>
      <w:r w:rsidRPr="00342228">
        <w:t>icum</w:t>
      </w:r>
      <w:proofErr w:type="spellEnd"/>
      <w:r w:rsidR="004C7CFB">
        <w:t xml:space="preserve"> – </w:t>
      </w:r>
      <w:r w:rsidR="00D1197D">
        <w:t>Mechanical</w:t>
      </w:r>
      <w:r w:rsidR="004C7CFB">
        <w:t xml:space="preserve"> Strength</w:t>
      </w:r>
      <w:bookmarkEnd w:id="58"/>
    </w:p>
    <w:p w14:paraId="6641921C" w14:textId="77777777" w:rsidR="00F8741B" w:rsidRDefault="002A0479" w:rsidP="00465187">
      <w:pPr>
        <w:spacing w:line="360" w:lineRule="auto"/>
        <w:jc w:val="both"/>
      </w:pPr>
      <w:r>
        <w:t xml:space="preserve">During its transportation from the coke ovens to the </w:t>
      </w:r>
      <w:r w:rsidR="004A40B9">
        <w:t>BF</w:t>
      </w:r>
      <w:r>
        <w:t>, the coke will be handled several times</w:t>
      </w:r>
      <w:r w:rsidR="009567C6">
        <w:t xml:space="preserve">, through conveyors, </w:t>
      </w:r>
      <w:proofErr w:type="gramStart"/>
      <w:r w:rsidR="009567C6">
        <w:t>stockpiles</w:t>
      </w:r>
      <w:proofErr w:type="gramEnd"/>
      <w:r w:rsidR="009567C6">
        <w:t xml:space="preserve"> and bunkers before finally being charged through the top of the BF</w:t>
      </w:r>
      <w:r w:rsidR="004A40B9">
        <w:t>. This handling will result in some degradation</w:t>
      </w:r>
      <w:r w:rsidR="002F1C31">
        <w:t xml:space="preserve"> due to abrasion and shock. The resistance to this degradation is measured </w:t>
      </w:r>
      <w:r w:rsidR="00152293">
        <w:t xml:space="preserve">using a test called the </w:t>
      </w:r>
      <w:proofErr w:type="spellStart"/>
      <w:r w:rsidR="00152293">
        <w:t>micum</w:t>
      </w:r>
      <w:proofErr w:type="spellEnd"/>
      <w:r w:rsidR="00152293">
        <w:t xml:space="preserve"> test</w:t>
      </w:r>
      <w:r w:rsidR="006A13B0">
        <w:t>.</w:t>
      </w:r>
      <w:r w:rsidR="00152293">
        <w:t xml:space="preserve"> </w:t>
      </w:r>
    </w:p>
    <w:p w14:paraId="640AAF8E" w14:textId="073104B1" w:rsidR="00EB6D3A" w:rsidRDefault="006F7BEA" w:rsidP="00465187">
      <w:pPr>
        <w:spacing w:line="360" w:lineRule="auto"/>
        <w:jc w:val="both"/>
      </w:pPr>
      <w:r>
        <w:t>The coke</w:t>
      </w:r>
      <w:r w:rsidR="001A6D3E">
        <w:t xml:space="preserve"> sample is </w:t>
      </w:r>
      <w:r w:rsidR="00390745">
        <w:t>screened,</w:t>
      </w:r>
      <w:r w:rsidR="001A6D3E">
        <w:t xml:space="preserve"> </w:t>
      </w:r>
      <w:r w:rsidR="008C45B0">
        <w:t xml:space="preserve">and a composite sample is made up </w:t>
      </w:r>
      <w:r w:rsidR="00390745">
        <w:t xml:space="preserve">of </w:t>
      </w:r>
      <w:r w:rsidR="00335444">
        <w:t>the</w:t>
      </w:r>
      <w:r w:rsidR="00390745">
        <w:t xml:space="preserve"> </w:t>
      </w:r>
      <w:r w:rsidR="00335444">
        <w:t xml:space="preserve">representative size </w:t>
      </w:r>
      <w:r w:rsidR="0081306F">
        <w:t>distribution of coke +40 mm.</w:t>
      </w:r>
      <w:r w:rsidR="00AF0599">
        <w:t xml:space="preserve"> This composite sample is the</w:t>
      </w:r>
      <w:r w:rsidR="00F8741B">
        <w:t>n</w:t>
      </w:r>
      <w:r w:rsidR="00AF0599">
        <w:t xml:space="preserve"> subjected to 100 revolutions</w:t>
      </w:r>
      <w:r w:rsidR="00335444">
        <w:t xml:space="preserve"> </w:t>
      </w:r>
      <w:r w:rsidR="00AF0599">
        <w:t>inside a</w:t>
      </w:r>
      <w:r w:rsidR="00BD4E59">
        <w:t xml:space="preserve"> </w:t>
      </w:r>
      <w:r w:rsidR="00AF0599">
        <w:t>drum</w:t>
      </w:r>
      <w:r w:rsidR="00BD4E59">
        <w:t xml:space="preserve"> </w:t>
      </w:r>
      <w:r w:rsidR="00CF00C2">
        <w:t xml:space="preserve">at 25 rpm, </w:t>
      </w:r>
      <w:r w:rsidR="00BD4E59">
        <w:t>containing paddle lifters</w:t>
      </w:r>
      <w:r w:rsidR="007C00B4">
        <w:t>, as shown in figure 28</w:t>
      </w:r>
      <w:r w:rsidR="00BD4E59">
        <w:t xml:space="preserve">. The coke </w:t>
      </w:r>
      <w:r w:rsidR="009261DE">
        <w:t>is essentially subjected to a 100</w:t>
      </w:r>
      <w:r w:rsidR="00352688">
        <w:t xml:space="preserve"> </w:t>
      </w:r>
      <w:r w:rsidR="009261DE">
        <w:t>m drop.</w:t>
      </w:r>
      <w:r w:rsidR="00CF00C2">
        <w:t xml:space="preserve"> The coke is then rescreened</w:t>
      </w:r>
      <w:r w:rsidR="006965E6">
        <w:t xml:space="preserve"> and</w:t>
      </w:r>
      <w:r w:rsidR="0027475E">
        <w:t xml:space="preserve"> the percentage of coke</w:t>
      </w:r>
      <w:r w:rsidR="002524A7">
        <w:t xml:space="preserve"> left</w:t>
      </w:r>
      <w:r w:rsidR="0027475E">
        <w:t xml:space="preserve"> over 40</w:t>
      </w:r>
      <w:r w:rsidR="00E25935">
        <w:t xml:space="preserve"> </w:t>
      </w:r>
      <w:r w:rsidR="0027475E">
        <w:t>mm</w:t>
      </w:r>
      <w:r w:rsidR="006965E6">
        <w:t xml:space="preserve"> </w:t>
      </w:r>
      <w:r w:rsidR="00553BC4">
        <w:t>is called</w:t>
      </w:r>
      <w:r w:rsidR="006965E6">
        <w:t xml:space="preserve"> </w:t>
      </w:r>
      <w:r w:rsidR="00553BC4">
        <w:t xml:space="preserve">the </w:t>
      </w:r>
      <w:r w:rsidR="00D7169C">
        <w:t>M</w:t>
      </w:r>
      <w:r w:rsidR="00D7169C" w:rsidRPr="00421F3B">
        <w:rPr>
          <w:vertAlign w:val="subscript"/>
        </w:rPr>
        <w:t>40</w:t>
      </w:r>
      <w:r w:rsidR="00D7169C">
        <w:t xml:space="preserve"> </w:t>
      </w:r>
      <w:r w:rsidR="006965E6">
        <w:t>fracture index and</w:t>
      </w:r>
      <w:r w:rsidR="00421F3B">
        <w:t xml:space="preserve"> the percentage of coke under 10 mm</w:t>
      </w:r>
      <w:r w:rsidR="00E25935">
        <w:t xml:space="preserve"> is called the M</w:t>
      </w:r>
      <w:r w:rsidR="00E25935" w:rsidRPr="00E25935">
        <w:rPr>
          <w:vertAlign w:val="subscript"/>
        </w:rPr>
        <w:t>10</w:t>
      </w:r>
      <w:r w:rsidR="006965E6">
        <w:t xml:space="preserve"> abrasion index</w:t>
      </w:r>
      <w:r w:rsidR="006A13B0">
        <w:t xml:space="preserve"> </w:t>
      </w:r>
      <w:r w:rsidR="006A13B0">
        <w:fldChar w:fldCharType="begin"/>
      </w:r>
      <w:r w:rsidR="006A13B0">
        <w:instrText xml:space="preserve"> ADDIN ZOTERO_ITEM CSL_CITATION {"citationID":"034raWwM","properties":{"formattedCitation":"(Geerdes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6A13B0">
        <w:fldChar w:fldCharType="separate"/>
      </w:r>
      <w:r w:rsidR="006A13B0" w:rsidRPr="006A13B0">
        <w:rPr>
          <w:rFonts w:ascii="Calibri" w:hAnsi="Calibri" w:cs="Calibri"/>
        </w:rPr>
        <w:t>(Geerdes et al. 2009)</w:t>
      </w:r>
      <w:r w:rsidR="006A13B0">
        <w:fldChar w:fldCharType="end"/>
      </w:r>
      <w:r w:rsidR="006965E6">
        <w:t>.</w:t>
      </w:r>
      <w:r w:rsidR="00C86D01">
        <w:t xml:space="preserve"> </w:t>
      </w:r>
    </w:p>
    <w:p w14:paraId="0D4577D7" w14:textId="561EDFFF" w:rsidR="003503E7" w:rsidRDefault="007F0120" w:rsidP="00465187">
      <w:pPr>
        <w:spacing w:line="360" w:lineRule="auto"/>
        <w:jc w:val="both"/>
      </w:pPr>
      <w:r>
        <w:t xml:space="preserve">As the coke produced in a PSCO weighs only </w:t>
      </w:r>
      <w:r w:rsidR="00067E0D">
        <w:t xml:space="preserve">~15Kg the </w:t>
      </w:r>
      <w:r w:rsidR="00CB17EF" w:rsidRPr="00CB17EF">
        <w:rPr>
          <w:rFonts w:hint="eastAsia"/>
        </w:rPr>
        <w:t>ISO 556-2020</w:t>
      </w:r>
      <w:r w:rsidR="000C56D1">
        <w:t xml:space="preserve"> standard does not apply, the standard states a full </w:t>
      </w:r>
      <w:proofErr w:type="spellStart"/>
      <w:r w:rsidR="000C56D1">
        <w:t>micum</w:t>
      </w:r>
      <w:proofErr w:type="spellEnd"/>
      <w:r w:rsidR="000C56D1">
        <w:t xml:space="preserve"> sample weight of 50 Kg or a half </w:t>
      </w:r>
      <w:proofErr w:type="spellStart"/>
      <w:r w:rsidR="000C56D1">
        <w:t>micum</w:t>
      </w:r>
      <w:proofErr w:type="spellEnd"/>
      <w:r w:rsidR="000C56D1">
        <w:t xml:space="preserve"> weight of </w:t>
      </w:r>
      <w:r w:rsidR="00BC473C">
        <w:t xml:space="preserve">25Kg. For the purposes of the PSCO, a 1/5 </w:t>
      </w:r>
      <w:proofErr w:type="spellStart"/>
      <w:r w:rsidR="00BC473C">
        <w:t>micum</w:t>
      </w:r>
      <w:proofErr w:type="spellEnd"/>
      <w:r w:rsidR="00BC473C">
        <w:t xml:space="preserve"> has </w:t>
      </w:r>
      <w:r w:rsidR="00184F4C">
        <w:t xml:space="preserve">been adapted from the standard. </w:t>
      </w:r>
      <w:r w:rsidR="0026393C">
        <w:t>For this</w:t>
      </w:r>
      <w:r w:rsidR="001D1846">
        <w:t xml:space="preserve"> test,</w:t>
      </w:r>
      <w:r w:rsidR="0026393C">
        <w:t xml:space="preserve"> </w:t>
      </w:r>
      <w:r w:rsidR="00CD0348">
        <w:t xml:space="preserve">the sample weight is ratioed at 10Kg and the drum width </w:t>
      </w:r>
      <w:r w:rsidR="00340408">
        <w:t>is</w:t>
      </w:r>
      <w:r w:rsidR="00D10A48">
        <w:t xml:space="preserve"> 1</w:t>
      </w:r>
      <w:r w:rsidR="000768C3">
        <w:t>m x</w:t>
      </w:r>
      <w:r w:rsidR="00CD0348">
        <w:t xml:space="preserve"> 1m to </w:t>
      </w:r>
      <w:r w:rsidR="000768C3">
        <w:t>1m x 0.</w:t>
      </w:r>
      <w:r w:rsidR="00CD0348">
        <w:t>2m. All other specification</w:t>
      </w:r>
      <w:r w:rsidR="00F028FF">
        <w:t>s</w:t>
      </w:r>
      <w:r w:rsidR="00CD0348">
        <w:t xml:space="preserve"> remain the same in both tests.</w:t>
      </w:r>
    </w:p>
    <w:p w14:paraId="4D0C3F47" w14:textId="29139710" w:rsidR="00C86D01" w:rsidRDefault="00C86D01" w:rsidP="00465187">
      <w:pPr>
        <w:spacing w:line="360" w:lineRule="auto"/>
        <w:jc w:val="both"/>
      </w:pPr>
      <w:r w:rsidRPr="00C86D01">
        <w:rPr>
          <w:noProof/>
        </w:rPr>
        <w:lastRenderedPageBreak/>
        <w:drawing>
          <wp:inline distT="0" distB="0" distL="0" distR="0" wp14:anchorId="6F9718C7" wp14:editId="129E6D93">
            <wp:extent cx="1952898" cy="1857634"/>
            <wp:effectExtent l="0" t="0" r="9525" b="0"/>
            <wp:docPr id="34" name="Picture 34"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Shape, circle&#10;&#10;Description automatically generated"/>
                    <pic:cNvPicPr/>
                  </pic:nvPicPr>
                  <pic:blipFill>
                    <a:blip r:embed="rId44"/>
                    <a:stretch>
                      <a:fillRect/>
                    </a:stretch>
                  </pic:blipFill>
                  <pic:spPr>
                    <a:xfrm>
                      <a:off x="0" y="0"/>
                      <a:ext cx="1952898" cy="1857634"/>
                    </a:xfrm>
                    <a:prstGeom prst="rect">
                      <a:avLst/>
                    </a:prstGeom>
                  </pic:spPr>
                </pic:pic>
              </a:graphicData>
            </a:graphic>
          </wp:inline>
        </w:drawing>
      </w:r>
    </w:p>
    <w:p w14:paraId="766A25B0" w14:textId="480B2B62" w:rsidR="00E33924" w:rsidRDefault="00E33924" w:rsidP="00E33924">
      <w:pPr>
        <w:pStyle w:val="Caption"/>
      </w:pPr>
      <w:bookmarkStart w:id="59" w:name="_Toc127110922"/>
      <w:r>
        <w:t xml:space="preserve">Figure </w:t>
      </w:r>
      <w:fldSimple w:instr=" SEQ Figure \* ARABIC ">
        <w:r w:rsidR="00A0212F">
          <w:rPr>
            <w:noProof/>
          </w:rPr>
          <w:t>28</w:t>
        </w:r>
      </w:fldSimple>
      <w:r>
        <w:t xml:space="preserve"> The motion of coke in a </w:t>
      </w:r>
      <w:proofErr w:type="spellStart"/>
      <w:r>
        <w:t>micum</w:t>
      </w:r>
      <w:proofErr w:type="spellEnd"/>
      <w:r>
        <w:t xml:space="preserve"> test </w:t>
      </w:r>
      <w:r>
        <w:fldChar w:fldCharType="begin"/>
      </w:r>
      <w:r>
        <w:instrText xml:space="preserve"> ADDIN ZOTERO_ITEM CSL_CITATION {"citationID":"Oq5jocr5","properties":{"formattedCitation":"(Geerdes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fldChar w:fldCharType="separate"/>
      </w:r>
      <w:r w:rsidRPr="00E33924">
        <w:rPr>
          <w:rFonts w:ascii="Calibri" w:hAnsi="Calibri" w:cs="Calibri"/>
        </w:rPr>
        <w:t>(</w:t>
      </w:r>
      <w:proofErr w:type="spellStart"/>
      <w:r w:rsidRPr="00E33924">
        <w:rPr>
          <w:rFonts w:ascii="Calibri" w:hAnsi="Calibri" w:cs="Calibri"/>
        </w:rPr>
        <w:t>Geerdes</w:t>
      </w:r>
      <w:proofErr w:type="spellEnd"/>
      <w:r w:rsidRPr="00E33924">
        <w:rPr>
          <w:rFonts w:ascii="Calibri" w:hAnsi="Calibri" w:cs="Calibri"/>
        </w:rPr>
        <w:t xml:space="preserve"> et al. 2009)</w:t>
      </w:r>
      <w:r>
        <w:fldChar w:fldCharType="end"/>
      </w:r>
      <w:r>
        <w:t>.</w:t>
      </w:r>
      <w:bookmarkEnd w:id="59"/>
    </w:p>
    <w:p w14:paraId="0BDB546A" w14:textId="62E57B19" w:rsidR="00B04BCF" w:rsidRPr="00B04BCF" w:rsidRDefault="00B04BCF" w:rsidP="00B04BCF">
      <w:r w:rsidRPr="001D3043">
        <w:t xml:space="preserve">The </w:t>
      </w:r>
      <w:r w:rsidRPr="001D3043">
        <w:rPr>
          <w:i/>
        </w:rPr>
        <w:t>M</w:t>
      </w:r>
      <w:r w:rsidRPr="001D3043">
        <w:t xml:space="preserve">₁₀ </w:t>
      </w:r>
      <w:r>
        <w:t>is</w:t>
      </w:r>
      <w:r w:rsidRPr="001D3043">
        <w:t xml:space="preserve"> calculated as follows:</w:t>
      </w:r>
    </w:p>
    <w:p w14:paraId="413DAA57" w14:textId="5857D99A" w:rsidR="00B04BCF" w:rsidRPr="00B04BCF" w:rsidRDefault="00000000" w:rsidP="00B04BCF">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2</m:t>
                      </m:r>
                    </m:sub>
                  </m:sSub>
                </m:e>
              </m:d>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3</m:t>
                  </m:r>
                </m:sub>
              </m:sSub>
            </m:den>
          </m:f>
          <m:r>
            <w:rPr>
              <w:rFonts w:ascii="Cambria Math" w:eastAsiaTheme="minorEastAsia" w:hAnsi="Cambria Math"/>
            </w:rPr>
            <m:t xml:space="preserve">x100 </m:t>
          </m:r>
        </m:oMath>
      </m:oMathPara>
    </w:p>
    <w:p w14:paraId="5E947592" w14:textId="3E2EC9B4" w:rsidR="00B04BCF" w:rsidRPr="00B04BCF" w:rsidRDefault="00B04BCF" w:rsidP="00B04BCF">
      <w:r w:rsidRPr="00B04BCF">
        <w:t xml:space="preserve">Where: </w:t>
      </w:r>
      <w:r w:rsidR="00856990">
        <w:t xml:space="preserve"> </w:t>
      </w:r>
      <w:r w:rsidRPr="00B04BCF">
        <w:rPr>
          <w:i/>
        </w:rPr>
        <w:t>m₁=</w:t>
      </w:r>
      <w:r w:rsidRPr="00B04BCF">
        <w:t xml:space="preserve"> is the mass of coke </w:t>
      </w:r>
      <w:r w:rsidR="0093716A">
        <w:t>(</w:t>
      </w:r>
      <w:r w:rsidR="00DB6E85">
        <w:t>-10mm</w:t>
      </w:r>
      <w:r w:rsidR="0093716A">
        <w:t>) after 100 drum rotations</w:t>
      </w:r>
    </w:p>
    <w:p w14:paraId="006F4E77" w14:textId="77777777" w:rsidR="00B04BCF" w:rsidRPr="00B04BCF" w:rsidRDefault="00B04BCF" w:rsidP="00856990">
      <w:pPr>
        <w:ind w:firstLine="720"/>
      </w:pPr>
      <w:r w:rsidRPr="00B04BCF">
        <w:rPr>
          <w:i/>
        </w:rPr>
        <w:t>m₂</w:t>
      </w:r>
      <w:r w:rsidRPr="00B04BCF">
        <w:t>= is the mass of material lost during determination</w:t>
      </w:r>
    </w:p>
    <w:p w14:paraId="15397136" w14:textId="25406CC4" w:rsidR="00B04BCF" w:rsidRDefault="00B04BCF" w:rsidP="00856990">
      <w:pPr>
        <w:ind w:firstLine="720"/>
      </w:pPr>
      <w:r w:rsidRPr="00B04BCF">
        <w:rPr>
          <w:i/>
        </w:rPr>
        <w:t>m₃</w:t>
      </w:r>
      <w:r w:rsidRPr="00B04BCF">
        <w:t xml:space="preserve">= is the mass of the test portion </w:t>
      </w:r>
    </w:p>
    <w:p w14:paraId="46ED276F" w14:textId="765D543D" w:rsidR="001D3043" w:rsidRPr="001D3043" w:rsidRDefault="001D3043" w:rsidP="001D3043">
      <w:r w:rsidRPr="001D3043">
        <w:t xml:space="preserve">The </w:t>
      </w:r>
      <w:bookmarkStart w:id="60" w:name="_Hlk527812395"/>
      <w:r w:rsidRPr="001D3043">
        <w:rPr>
          <w:i/>
        </w:rPr>
        <w:t>M</w:t>
      </w:r>
      <w:r w:rsidRPr="001D3043">
        <w:t xml:space="preserve">₄₀ </w:t>
      </w:r>
      <w:bookmarkEnd w:id="60"/>
      <w:r w:rsidR="00B04BCF">
        <w:t xml:space="preserve">is </w:t>
      </w:r>
      <w:r w:rsidRPr="001D3043">
        <w:t>calculated as follows:</w:t>
      </w:r>
    </w:p>
    <w:p w14:paraId="130EA9CA" w14:textId="03B9DC4D" w:rsidR="001D3043" w:rsidRPr="001D3043" w:rsidRDefault="00000000" w:rsidP="001D3043">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40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4</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3</m:t>
                  </m:r>
                </m:sub>
              </m:sSub>
            </m:den>
          </m:f>
          <m:r>
            <w:rPr>
              <w:rFonts w:ascii="Cambria Math" w:eastAsiaTheme="minorEastAsia" w:hAnsi="Cambria Math"/>
            </w:rPr>
            <m:t xml:space="preserve"> x 100    </m:t>
          </m:r>
        </m:oMath>
      </m:oMathPara>
    </w:p>
    <w:p w14:paraId="1FE7BB37" w14:textId="0FAFC416" w:rsidR="00B04BCF" w:rsidRPr="001D3043" w:rsidRDefault="001D3043" w:rsidP="001D3043">
      <w:r w:rsidRPr="001D3043">
        <w:t>Where</w:t>
      </w:r>
      <w:r w:rsidR="00856990">
        <w:t xml:space="preserve">: </w:t>
      </w:r>
      <w:r w:rsidR="00B04BCF" w:rsidRPr="00B04BCF">
        <w:rPr>
          <w:i/>
        </w:rPr>
        <w:t>m₃</w:t>
      </w:r>
      <w:r w:rsidR="00B04BCF" w:rsidRPr="00B04BCF">
        <w:t xml:space="preserve">= is the mass of the test portion </w:t>
      </w:r>
    </w:p>
    <w:p w14:paraId="0619C364" w14:textId="053151B2" w:rsidR="0011049D" w:rsidRDefault="001D3043" w:rsidP="00856990">
      <w:pPr>
        <w:ind w:firstLine="720"/>
      </w:pPr>
      <w:r w:rsidRPr="001D3043">
        <w:rPr>
          <w:i/>
        </w:rPr>
        <w:t>m</w:t>
      </w:r>
      <w:r w:rsidRPr="001D3043">
        <w:t xml:space="preserve">₄= Is the cumulative mass of coke </w:t>
      </w:r>
      <w:r w:rsidR="00CF6408">
        <w:t>(=/&gt; 40mm)</w:t>
      </w:r>
      <w:r w:rsidR="004912A3">
        <w:t xml:space="preserve"> after 100 drum rotations</w:t>
      </w:r>
    </w:p>
    <w:p w14:paraId="724BE937" w14:textId="22916EAE" w:rsidR="00B35EB3" w:rsidRPr="006C4F36" w:rsidRDefault="00E64B18" w:rsidP="006C4F36">
      <w:r>
        <w:fldChar w:fldCharType="begin"/>
      </w:r>
      <w:r w:rsidR="00430AAA">
        <w:instrText xml:space="preserve"> ADDIN ZOTERO_ITEM CSL_CITATION {"citationID":"oPHQsL18","properties":{"formattedCitation":"(International Standards Association 2020)","plainCitation":"(International Standards Association 2020)","dontUpdate":true,"noteIndex":0},"citationItems":[{"id":1978,"uris":["http://zotero.org/users/local/AB2owHL2/items/CRCMNNLK"],"itemData":{"id":1978,"type":"document","publisher":"ISO","title":"ISO 556-2020","author":[{"family":"International Standards Association","given":""}],"issued":{"date-parts":[["2020"]]}}}],"schema":"https://github.com/citation-style-language/schema/raw/master/csl-citation.json"} </w:instrText>
      </w:r>
      <w:r>
        <w:fldChar w:fldCharType="separate"/>
      </w:r>
      <w:r w:rsidRPr="00E64B18">
        <w:rPr>
          <w:rFonts w:ascii="Calibri" w:hAnsi="Calibri" w:cs="Calibri"/>
        </w:rPr>
        <w:t>(</w:t>
      </w:r>
      <w:r w:rsidR="000C1CC8" w:rsidRPr="000C1CC8">
        <w:rPr>
          <w:rFonts w:ascii="Calibri" w:hAnsi="Calibri" w:cs="Calibri"/>
        </w:rPr>
        <w:t>ISO 556</w:t>
      </w:r>
      <w:r w:rsidR="000C1CC8">
        <w:rPr>
          <w:rFonts w:ascii="Calibri" w:hAnsi="Calibri" w:cs="Calibri"/>
        </w:rPr>
        <w:t xml:space="preserve"> </w:t>
      </w:r>
      <w:r w:rsidR="000C1CC8" w:rsidRPr="000C1CC8">
        <w:rPr>
          <w:rFonts w:ascii="Calibri" w:hAnsi="Calibri" w:cs="Calibri"/>
        </w:rPr>
        <w:t>-</w:t>
      </w:r>
      <w:r w:rsidR="000C1CC8">
        <w:rPr>
          <w:rFonts w:ascii="Calibri" w:hAnsi="Calibri" w:cs="Calibri"/>
        </w:rPr>
        <w:t xml:space="preserve"> </w:t>
      </w:r>
      <w:r w:rsidR="000C1CC8" w:rsidRPr="000C1CC8">
        <w:rPr>
          <w:rFonts w:ascii="Calibri" w:hAnsi="Calibri" w:cs="Calibri"/>
        </w:rPr>
        <w:t>2020</w:t>
      </w:r>
      <w:r w:rsidRPr="00E64B18">
        <w:rPr>
          <w:rFonts w:ascii="Calibri" w:hAnsi="Calibri" w:cs="Calibri"/>
        </w:rPr>
        <w:t>)</w:t>
      </w:r>
      <w:r>
        <w:fldChar w:fldCharType="end"/>
      </w:r>
    </w:p>
    <w:p w14:paraId="4AB90FF2" w14:textId="35891D93" w:rsidR="00827ACD" w:rsidRDefault="00FC1C5D" w:rsidP="00204E67">
      <w:pPr>
        <w:pStyle w:val="Heading3"/>
        <w:spacing w:line="360" w:lineRule="auto"/>
        <w:jc w:val="both"/>
      </w:pPr>
      <w:bookmarkStart w:id="61" w:name="_Toc7375861"/>
      <w:bookmarkStart w:id="62" w:name="_Toc127911454"/>
      <w:r>
        <w:t>Coke strength after reaction and Coke reactivity index (CSR/CRI)</w:t>
      </w:r>
      <w:bookmarkEnd w:id="61"/>
      <w:bookmarkEnd w:id="62"/>
    </w:p>
    <w:p w14:paraId="05152F1B" w14:textId="3292B9F5" w:rsidR="003F31D3" w:rsidRPr="004F5E8B" w:rsidRDefault="00E30B02" w:rsidP="00204E67">
      <w:pPr>
        <w:spacing w:line="360" w:lineRule="auto"/>
        <w:jc w:val="both"/>
      </w:pPr>
      <w:r>
        <w:t xml:space="preserve">The CSR/CRI test </w:t>
      </w:r>
      <w:r w:rsidR="00FD2213">
        <w:t>replicates some of the</w:t>
      </w:r>
      <w:r w:rsidR="00711C73">
        <w:t xml:space="preserve"> conditions </w:t>
      </w:r>
      <w:r w:rsidR="008345A5">
        <w:t xml:space="preserve">metallurgical </w:t>
      </w:r>
      <w:r w:rsidR="00711C73">
        <w:t>coke is exposed to in a blast furnace</w:t>
      </w:r>
      <w:r w:rsidR="00204E67">
        <w:t xml:space="preserve">. A high CSR is believed to indicate that the coke </w:t>
      </w:r>
      <w:r w:rsidR="006D3C10">
        <w:t xml:space="preserve">will resist breaking down, improve the </w:t>
      </w:r>
      <w:r w:rsidR="00AA0B10">
        <w:t>permeability</w:t>
      </w:r>
      <w:r w:rsidR="006D3C10">
        <w:t xml:space="preserve"> of gas and liquid</w:t>
      </w:r>
      <w:r w:rsidR="006633EF">
        <w:t xml:space="preserve"> iron</w:t>
      </w:r>
      <w:r w:rsidR="00AA0B10">
        <w:t>,</w:t>
      </w:r>
      <w:r w:rsidR="006D3C10">
        <w:t xml:space="preserve"> increase </w:t>
      </w:r>
      <w:r w:rsidR="00AA0B10">
        <w:t>productivity and reduce coke consumption in the BF</w:t>
      </w:r>
      <w:r w:rsidR="000640EC">
        <w:t xml:space="preserve"> </w:t>
      </w:r>
      <w:r w:rsidR="000640EC">
        <w:fldChar w:fldCharType="begin"/>
      </w:r>
      <w:r w:rsidR="000640EC">
        <w:instrText xml:space="preserve"> ADDIN ZOTERO_ITEM CSL_CITATION {"citationID":"4omTV7Tk","properties":{"formattedCitation":"(Li et al. 2014)","plainCitation":"(Li et al. 2014)","noteIndex":0},"citationItems":[{"id":1972,"uris":["http://zotero.org/users/local/AB2owHL2/items/FVU39SNY"],"itemData":{"id":1972,"type":"article-journal","abstract":"The implementation of pulverized coal injection technology has resulted in the reduction in the amounts of coke being used in the blast furnace, which has led to increased demands for high quality cokes to provide enhanced performance. Under the twin pressures of resource shortage of coking coals and continuous requirements for improved coke quality, an in-depth understanding of coke behavior in blast furnace has become very important and pertinent. This review article is focused on a comprehensive investigation on the evolution of structural order, microstructure and mineral matter of metallurgical coke in a blast furnace and presents various mechanisms of coke degradation during its descent in a blast furnace toward establishing reference standards for coke quality and performance. Coke structure, microstructure and reactivity were investigated as a function of temperature, its location in the blast furnace and under the influence of alkalis above the tuyere level. The transformation of coke in the blast furnace hearth and its dissolution into hot metal were also reviewed. The current indices for evaluating coke quality were examined based on the modifications of coke structure, and several unresolved issues in the field requiring further research were identified. This literature survey has shown that while crystalline order and microstructure had a strong influence on carburization, gasification reactions and the strength of coke, factors such as mineral matter, alkalis, temperature were among some of the important factors that affected the degradation of coke in a blast furnace.","container-title":"Fuel","DOI":"10.1016/j.fuel.2014.05.014","ISSN":"0016-2361","journalAbbreviation":"Fuel","language":"en","page":"194-215","source":"ScienceDirect","title":"The evolution of structural order, microstructure and mineral matter of metallurgical coke in a blast furnace: A review","title-short":"The evolution of structural order, microstructure and mineral matter of metallurgical coke in a blast furnace","URL":"https://www.sciencedirect.com/science/article/pii/S001623611400461X","volume":"133","author":[{"family":"Li","given":"Kejiang"},{"family":"Khanna","given":"Rita"},{"family":"Zhang","given":"Jianliang"},{"family":"Liu","given":"Zhengjian"},{"family":"Sahajwalla","given":"Veena"},{"family":"Yang","given":"Tianjun"},{"family":"Kong","given":"Dewen"}],"accessed":{"date-parts":[["2022",9,28]]},"issued":{"date-parts":[["2014",10,1]]}}}],"schema":"https://github.com/citation-style-language/schema/raw/master/csl-citation.json"} </w:instrText>
      </w:r>
      <w:r w:rsidR="000640EC">
        <w:fldChar w:fldCharType="separate"/>
      </w:r>
      <w:r w:rsidR="000640EC" w:rsidRPr="000640EC">
        <w:rPr>
          <w:rFonts w:ascii="Calibri" w:hAnsi="Calibri" w:cs="Calibri"/>
        </w:rPr>
        <w:t>(Li et al. 2014)</w:t>
      </w:r>
      <w:r w:rsidR="000640EC">
        <w:fldChar w:fldCharType="end"/>
      </w:r>
      <w:r w:rsidR="00AA0B10">
        <w:t>.</w:t>
      </w:r>
      <w:r w:rsidR="00191FA9">
        <w:t xml:space="preserve"> </w:t>
      </w:r>
      <w:r w:rsidR="008B1B18">
        <w:t xml:space="preserve">A good quality coke </w:t>
      </w:r>
      <w:r w:rsidR="000A1ADB">
        <w:t>should have a low CRI and high CSR</w:t>
      </w:r>
      <w:r w:rsidR="000178D7">
        <w:t xml:space="preserve">. </w:t>
      </w:r>
      <w:r w:rsidR="00DB0CDF">
        <w:t xml:space="preserve"> The CRI measures the solution loss reaction of coke</w:t>
      </w:r>
      <w:r w:rsidR="004F5E8B">
        <w:t xml:space="preserve"> by CO</w:t>
      </w:r>
      <w:r w:rsidR="004F5E8B" w:rsidRPr="004F5E8B">
        <w:rPr>
          <w:vertAlign w:val="subscript"/>
        </w:rPr>
        <w:t>2</w:t>
      </w:r>
      <w:r w:rsidR="004F5E8B">
        <w:t xml:space="preserve"> at 1100</w:t>
      </w:r>
      <w:r w:rsidR="004F5E8B" w:rsidRPr="004F5E8B">
        <w:rPr>
          <w:vertAlign w:val="superscript"/>
        </w:rPr>
        <w:t>0</w:t>
      </w:r>
      <w:r w:rsidR="004F5E8B">
        <w:t xml:space="preserve">C for 2 hours under </w:t>
      </w:r>
      <w:r w:rsidR="009C621F">
        <w:t>standardised</w:t>
      </w:r>
      <w:r w:rsidR="004F5E8B">
        <w:t xml:space="preserve"> gas flow rate conditions</w:t>
      </w:r>
      <w:r w:rsidR="009C621F">
        <w:t xml:space="preserve">. </w:t>
      </w:r>
      <w:r w:rsidR="005D6DD5">
        <w:t>For the CSR</w:t>
      </w:r>
      <w:r w:rsidR="006633EF">
        <w:t>,</w:t>
      </w:r>
      <w:r w:rsidR="005D6DD5">
        <w:t xml:space="preserve"> the coke is tumbled post reaction and re-screened </w:t>
      </w:r>
      <w:r w:rsidR="00840953">
        <w:t>to calculate the strength index</w:t>
      </w:r>
      <w:r w:rsidR="00784093">
        <w:t>,</w:t>
      </w:r>
      <w:r w:rsidR="00784093" w:rsidRPr="00784093">
        <w:t xml:space="preserve"> </w:t>
      </w:r>
      <w:r w:rsidR="00784093">
        <w:t>see figure 29</w:t>
      </w:r>
      <w:r w:rsidR="00F725B1">
        <w:t xml:space="preserve"> </w:t>
      </w:r>
      <w:r w:rsidR="00B166BC">
        <w:fldChar w:fldCharType="begin"/>
      </w:r>
      <w:r w:rsidR="00B166BC">
        <w:instrText xml:space="preserve"> ADDIN ZOTERO_ITEM CSL_CITATION {"citationID":"KwPgthwb","properties":{"formattedCitation":"(D\\uc0\\u305{}\\uc0\\u769{}ez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B166BC">
        <w:fldChar w:fldCharType="separate"/>
      </w:r>
      <w:r w:rsidR="00B166BC" w:rsidRPr="00B166BC">
        <w:rPr>
          <w:rFonts w:ascii="Calibri" w:hAnsi="Calibri" w:cs="Calibri"/>
          <w:szCs w:val="24"/>
        </w:rPr>
        <w:t>(Dı́ez et al. 2002)</w:t>
      </w:r>
      <w:r w:rsidR="00B166BC">
        <w:fldChar w:fldCharType="end"/>
      </w:r>
      <w:r w:rsidR="00840953">
        <w:t>.</w:t>
      </w:r>
    </w:p>
    <w:p w14:paraId="55CC4D6C" w14:textId="77777777" w:rsidR="003F31D3" w:rsidRDefault="003F31D3" w:rsidP="00204E67">
      <w:pPr>
        <w:spacing w:line="360" w:lineRule="auto"/>
        <w:jc w:val="both"/>
      </w:pPr>
      <w:r w:rsidRPr="003F31D3">
        <w:rPr>
          <w:noProof/>
        </w:rPr>
        <w:lastRenderedPageBreak/>
        <w:drawing>
          <wp:inline distT="0" distB="0" distL="0" distR="0" wp14:anchorId="52CA1CE7" wp14:editId="2EC39AB1">
            <wp:extent cx="4744112" cy="1962424"/>
            <wp:effectExtent l="0" t="0" r="0" b="0"/>
            <wp:docPr id="31" name="Picture 3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 engineering drawing&#10;&#10;Description automatically generated"/>
                    <pic:cNvPicPr/>
                  </pic:nvPicPr>
                  <pic:blipFill>
                    <a:blip r:embed="rId45"/>
                    <a:stretch>
                      <a:fillRect/>
                    </a:stretch>
                  </pic:blipFill>
                  <pic:spPr>
                    <a:xfrm>
                      <a:off x="0" y="0"/>
                      <a:ext cx="4744112" cy="1962424"/>
                    </a:xfrm>
                    <a:prstGeom prst="rect">
                      <a:avLst/>
                    </a:prstGeom>
                  </pic:spPr>
                </pic:pic>
              </a:graphicData>
            </a:graphic>
          </wp:inline>
        </w:drawing>
      </w:r>
    </w:p>
    <w:p w14:paraId="39DD7569" w14:textId="1D441CC7" w:rsidR="00B451A8" w:rsidRDefault="003F31D3" w:rsidP="003F31D3">
      <w:pPr>
        <w:pStyle w:val="Caption"/>
      </w:pPr>
      <w:bookmarkStart w:id="63" w:name="_Toc127110923"/>
      <w:r>
        <w:t xml:space="preserve">Figure </w:t>
      </w:r>
      <w:fldSimple w:instr=" SEQ Figure \* ARABIC ">
        <w:r w:rsidR="00A0212F">
          <w:rPr>
            <w:noProof/>
          </w:rPr>
          <w:t>29</w:t>
        </w:r>
      </w:fldSimple>
      <w:r>
        <w:t xml:space="preserve"> Diagram of the CSR/CRI test</w:t>
      </w:r>
      <w:bookmarkEnd w:id="63"/>
      <w:r w:rsidR="008B1B18">
        <w:t xml:space="preserve"> </w:t>
      </w:r>
    </w:p>
    <w:p w14:paraId="31A33B84" w14:textId="503738F9" w:rsidR="000C2F06" w:rsidRPr="00825896" w:rsidRDefault="000C2F06" w:rsidP="000C2F06">
      <w:pPr>
        <w:rPr>
          <w:rFonts w:cstheme="minorHAnsi"/>
        </w:rPr>
      </w:pPr>
      <w:r w:rsidRPr="00825896">
        <w:rPr>
          <w:rFonts w:cstheme="minorHAnsi"/>
        </w:rPr>
        <w:t xml:space="preserve">The CRI is given by the </w:t>
      </w:r>
      <w:r w:rsidR="0069618B" w:rsidRPr="00825896">
        <w:rPr>
          <w:rFonts w:cstheme="minorHAnsi"/>
        </w:rPr>
        <w:t>formula.</w:t>
      </w:r>
      <w:r w:rsidRPr="00825896">
        <w:rPr>
          <w:rFonts w:cstheme="minorHAnsi"/>
        </w:rPr>
        <w:t xml:space="preserve"> </w:t>
      </w:r>
    </w:p>
    <w:p w14:paraId="5E2EF5D1" w14:textId="77777777" w:rsidR="000C2F06" w:rsidRPr="00825896" w:rsidRDefault="000C2F06" w:rsidP="000C2F06">
      <w:pPr>
        <w:rPr>
          <w:rFonts w:eastAsiaTheme="minorEastAsia" w:cstheme="minorHAnsi"/>
        </w:rPr>
      </w:pPr>
      <m:oMathPara>
        <m:oMath>
          <m:r>
            <w:rPr>
              <w:rFonts w:ascii="Cambria Math" w:hAnsi="Cambria Math" w:cstheme="minorHAnsi"/>
            </w:rPr>
            <m:t xml:space="preserve">CRI=100× </m:t>
          </m:r>
          <m:f>
            <m:fPr>
              <m:ctrlPr>
                <w:rPr>
                  <w:rFonts w:ascii="Cambria Math" w:hAnsi="Cambria Math" w:cstheme="minorHAnsi"/>
                  <w:i/>
                </w:rPr>
              </m:ctrlPr>
            </m:fPr>
            <m:num>
              <m:r>
                <w:rPr>
                  <w:rFonts w:ascii="Cambria Math" w:hAnsi="Cambria Math" w:cstheme="minorHAnsi"/>
                </w:rPr>
                <m:t>m₀-m₁</m:t>
              </m:r>
            </m:num>
            <m:den>
              <m:r>
                <w:rPr>
                  <w:rFonts w:ascii="Cambria Math" w:hAnsi="Cambria Math" w:cstheme="minorHAnsi"/>
                </w:rPr>
                <m:t>m₀</m:t>
              </m:r>
            </m:den>
          </m:f>
        </m:oMath>
      </m:oMathPara>
    </w:p>
    <w:p w14:paraId="4A993BFA" w14:textId="7BF5E249" w:rsidR="000C2F06" w:rsidRPr="00825896" w:rsidRDefault="000C2F06" w:rsidP="00784093">
      <w:pPr>
        <w:rPr>
          <w:rFonts w:eastAsiaTheme="minorEastAsia" w:cstheme="minorHAnsi"/>
        </w:rPr>
      </w:pPr>
      <w:r w:rsidRPr="00825896">
        <w:rPr>
          <w:rFonts w:eastAsiaTheme="minorEastAsia" w:cstheme="minorHAnsi"/>
        </w:rPr>
        <w:t>Where</w:t>
      </w:r>
      <w:r w:rsidR="00825896" w:rsidRPr="00825896">
        <w:rPr>
          <w:rFonts w:eastAsiaTheme="minorEastAsia" w:cstheme="minorHAnsi"/>
        </w:rPr>
        <w:t>:</w:t>
      </w:r>
      <w:r w:rsidR="00784093">
        <w:rPr>
          <w:rFonts w:eastAsiaTheme="minorEastAsia" w:cstheme="minorHAnsi"/>
        </w:rPr>
        <w:t xml:space="preserve"> </w:t>
      </w:r>
      <w:r w:rsidRPr="00825896">
        <w:rPr>
          <w:rFonts w:eastAsiaTheme="minorEastAsia" w:cstheme="minorHAnsi"/>
        </w:rPr>
        <w:t xml:space="preserve">m₀ is the mass </w:t>
      </w:r>
      <w:r w:rsidR="006D697D">
        <w:rPr>
          <w:rFonts w:eastAsiaTheme="minorEastAsia" w:cstheme="minorHAnsi"/>
        </w:rPr>
        <w:t xml:space="preserve">(g) </w:t>
      </w:r>
      <w:r w:rsidRPr="00825896">
        <w:rPr>
          <w:rFonts w:eastAsiaTheme="minorEastAsia" w:cstheme="minorHAnsi"/>
        </w:rPr>
        <w:t>of the sample before reaction</w:t>
      </w:r>
    </w:p>
    <w:p w14:paraId="739EB29E" w14:textId="2CA18925" w:rsidR="000C2F06" w:rsidRPr="00825896" w:rsidRDefault="000C2F06" w:rsidP="00784093">
      <w:pPr>
        <w:spacing w:line="360" w:lineRule="auto"/>
        <w:ind w:firstLine="720"/>
        <w:jc w:val="both"/>
        <w:rPr>
          <w:rFonts w:eastAsiaTheme="minorEastAsia" w:cstheme="minorHAnsi"/>
        </w:rPr>
      </w:pPr>
      <w:r w:rsidRPr="00825896">
        <w:rPr>
          <w:rFonts w:eastAsiaTheme="minorEastAsia" w:cstheme="minorHAnsi"/>
        </w:rPr>
        <w:t>m₁ is the mass</w:t>
      </w:r>
      <w:r w:rsidR="006D697D">
        <w:rPr>
          <w:rFonts w:eastAsiaTheme="minorEastAsia" w:cstheme="minorHAnsi"/>
        </w:rPr>
        <w:t xml:space="preserve"> (g)</w:t>
      </w:r>
      <w:r w:rsidRPr="00825896">
        <w:rPr>
          <w:rFonts w:eastAsiaTheme="minorEastAsia" w:cstheme="minorHAnsi"/>
        </w:rPr>
        <w:t xml:space="preserve"> of the sample after </w:t>
      </w:r>
      <w:r w:rsidR="0069618B" w:rsidRPr="00825896">
        <w:rPr>
          <w:rFonts w:eastAsiaTheme="minorEastAsia" w:cstheme="minorHAnsi"/>
        </w:rPr>
        <w:t>reaction.</w:t>
      </w:r>
    </w:p>
    <w:p w14:paraId="2A375E92" w14:textId="790A4935" w:rsidR="000C2F06" w:rsidRPr="00825896" w:rsidRDefault="000C2F06" w:rsidP="00A04A92">
      <w:pPr>
        <w:spacing w:line="360" w:lineRule="auto"/>
        <w:jc w:val="both"/>
        <w:rPr>
          <w:rFonts w:eastAsiaTheme="minorEastAsia" w:cstheme="minorHAnsi"/>
        </w:rPr>
      </w:pPr>
      <w:r w:rsidRPr="00825896">
        <w:rPr>
          <w:rFonts w:eastAsiaTheme="minorEastAsia" w:cstheme="minorHAnsi"/>
        </w:rPr>
        <w:t xml:space="preserve">The CSR is given by the </w:t>
      </w:r>
      <w:r w:rsidR="0069618B" w:rsidRPr="00825896">
        <w:rPr>
          <w:rFonts w:eastAsiaTheme="minorEastAsia" w:cstheme="minorHAnsi"/>
        </w:rPr>
        <w:t>formula.</w:t>
      </w:r>
    </w:p>
    <w:p w14:paraId="2933D497" w14:textId="77777777" w:rsidR="000C2F06" w:rsidRPr="00825896" w:rsidRDefault="000C2F06" w:rsidP="00A04A92">
      <w:pPr>
        <w:spacing w:line="360" w:lineRule="auto"/>
        <w:jc w:val="both"/>
        <w:rPr>
          <w:rFonts w:eastAsiaTheme="minorEastAsia" w:cstheme="minorHAnsi"/>
        </w:rPr>
      </w:pPr>
      <m:oMathPara>
        <m:oMath>
          <m:r>
            <w:rPr>
              <w:rFonts w:ascii="Cambria Math" w:eastAsiaTheme="minorEastAsia" w:hAnsi="Cambria Math" w:cstheme="minorHAnsi"/>
            </w:rPr>
            <m:t>CSR=100×</m:t>
          </m:r>
          <m:f>
            <m:fPr>
              <m:ctrlPr>
                <w:rPr>
                  <w:rFonts w:ascii="Cambria Math" w:eastAsiaTheme="minorEastAsia" w:hAnsi="Cambria Math" w:cstheme="minorHAnsi"/>
                  <w:i/>
                </w:rPr>
              </m:ctrlPr>
            </m:fPr>
            <m:num>
              <m:r>
                <w:rPr>
                  <w:rFonts w:ascii="Cambria Math" w:eastAsiaTheme="minorEastAsia" w:hAnsi="Cambria Math" w:cstheme="minorHAnsi"/>
                </w:rPr>
                <m:t>m₂</m:t>
              </m:r>
            </m:num>
            <m:den>
              <m:r>
                <w:rPr>
                  <w:rFonts w:ascii="Cambria Math" w:eastAsiaTheme="minorEastAsia" w:hAnsi="Cambria Math" w:cstheme="minorHAnsi"/>
                </w:rPr>
                <m:t>m₁</m:t>
              </m:r>
            </m:den>
          </m:f>
        </m:oMath>
      </m:oMathPara>
    </w:p>
    <w:p w14:paraId="428CA101" w14:textId="4C0DC130" w:rsidR="00A04A92" w:rsidRPr="00825896" w:rsidRDefault="000C2F06" w:rsidP="00A04A92">
      <w:pPr>
        <w:spacing w:line="360" w:lineRule="auto"/>
        <w:jc w:val="both"/>
        <w:rPr>
          <w:rFonts w:eastAsiaTheme="minorEastAsia" w:cstheme="minorHAnsi"/>
        </w:rPr>
      </w:pPr>
      <w:r w:rsidRPr="00825896">
        <w:rPr>
          <w:rFonts w:eastAsiaTheme="minorEastAsia" w:cstheme="minorHAnsi"/>
        </w:rPr>
        <w:t>Where</w:t>
      </w:r>
      <w:r w:rsidR="00825896">
        <w:rPr>
          <w:rFonts w:eastAsiaTheme="minorEastAsia" w:cstheme="minorHAnsi"/>
        </w:rPr>
        <w:t>:</w:t>
      </w:r>
      <w:r w:rsidR="00784093">
        <w:rPr>
          <w:rFonts w:eastAsiaTheme="minorEastAsia" w:cstheme="minorHAnsi"/>
        </w:rPr>
        <w:t xml:space="preserve"> </w:t>
      </w:r>
      <w:r w:rsidR="00A04A92" w:rsidRPr="00825896">
        <w:rPr>
          <w:rFonts w:eastAsiaTheme="minorEastAsia" w:cstheme="minorHAnsi"/>
        </w:rPr>
        <w:t>m₁ is the mass</w:t>
      </w:r>
      <w:r w:rsidR="006D697D">
        <w:rPr>
          <w:rFonts w:eastAsiaTheme="minorEastAsia" w:cstheme="minorHAnsi"/>
        </w:rPr>
        <w:t xml:space="preserve"> (g) </w:t>
      </w:r>
      <w:r w:rsidR="00A04A92" w:rsidRPr="00825896">
        <w:rPr>
          <w:rFonts w:eastAsiaTheme="minorEastAsia" w:cstheme="minorHAnsi"/>
        </w:rPr>
        <w:t>of the sample after reaction</w:t>
      </w:r>
    </w:p>
    <w:p w14:paraId="446F7E9F" w14:textId="18854BBE" w:rsidR="000C2F06" w:rsidRPr="00825896" w:rsidRDefault="000C2F06" w:rsidP="00784093">
      <w:pPr>
        <w:spacing w:line="360" w:lineRule="auto"/>
        <w:ind w:firstLine="720"/>
        <w:jc w:val="both"/>
        <w:rPr>
          <w:rFonts w:eastAsiaTheme="minorEastAsia" w:cstheme="minorHAnsi"/>
        </w:rPr>
      </w:pPr>
      <w:r w:rsidRPr="00825896">
        <w:rPr>
          <w:rFonts w:eastAsiaTheme="minorEastAsia" w:cstheme="minorHAnsi"/>
        </w:rPr>
        <w:t>m₂ is the mass</w:t>
      </w:r>
      <w:r w:rsidR="006D697D">
        <w:rPr>
          <w:rFonts w:eastAsiaTheme="minorEastAsia" w:cstheme="minorHAnsi"/>
        </w:rPr>
        <w:t xml:space="preserve"> (g) </w:t>
      </w:r>
      <w:r w:rsidRPr="00825896">
        <w:rPr>
          <w:rFonts w:eastAsiaTheme="minorEastAsia" w:cstheme="minorHAnsi"/>
        </w:rPr>
        <w:t xml:space="preserve">of the fraction of the sample &gt;9,5 mm after </w:t>
      </w:r>
      <w:r w:rsidR="0069618B" w:rsidRPr="00825896">
        <w:rPr>
          <w:rFonts w:eastAsiaTheme="minorEastAsia" w:cstheme="minorHAnsi"/>
        </w:rPr>
        <w:t>tumbling.</w:t>
      </w:r>
    </w:p>
    <w:p w14:paraId="0F31A88D" w14:textId="7DB30F0E" w:rsidR="00824312" w:rsidRPr="000C2F06" w:rsidRDefault="00EF0510" w:rsidP="00A04A92">
      <w:pPr>
        <w:spacing w:line="360" w:lineRule="auto"/>
        <w:jc w:val="both"/>
      </w:pPr>
      <w:r>
        <w:fldChar w:fldCharType="begin"/>
      </w:r>
      <w:r w:rsidR="00763D00">
        <w:instrText xml:space="preserve"> ADDIN ZOTERO_ITEM CSL_CITATION {"citationID":"xiRV7OGk","properties":{"formattedCitation":"(British Standards Institute 2018)","plainCitation":"(British Standards Institute 2018)","noteIndex":0},"citationItems":[{"id":1979,"uris":["http://zotero.org/users/local/AB2owHL2/items/86HGBFVW"],"itemData":{"id":1979,"type":"document","publisher":"British Standards Institution","title":"BS ISO 18894: 2018, Coke — Determination of coke reactivity index  (CRI) and coke strength after reaction (CSR)","author":[{"family":"British Standards Institute","given":""}],"issued":{"date-parts":[["2018"]]}}}],"schema":"https://github.com/citation-style-language/schema/raw/master/csl-citation.json"} </w:instrText>
      </w:r>
      <w:r>
        <w:fldChar w:fldCharType="separate"/>
      </w:r>
      <w:r w:rsidRPr="00EF0510">
        <w:rPr>
          <w:rFonts w:ascii="Calibri" w:hAnsi="Calibri" w:cs="Calibri"/>
        </w:rPr>
        <w:t>(</w:t>
      </w:r>
      <w:r w:rsidR="00023A15" w:rsidRPr="00023A15">
        <w:rPr>
          <w:rFonts w:ascii="Calibri" w:hAnsi="Calibri" w:cs="Calibri"/>
        </w:rPr>
        <w:t>BS ISO 18894: 2018</w:t>
      </w:r>
      <w:r w:rsidRPr="00EF0510">
        <w:rPr>
          <w:rFonts w:ascii="Calibri" w:hAnsi="Calibri" w:cs="Calibri"/>
        </w:rPr>
        <w:t>)</w:t>
      </w:r>
      <w:r>
        <w:fldChar w:fldCharType="end"/>
      </w:r>
    </w:p>
    <w:p w14:paraId="4117CF7F" w14:textId="4DBB2188" w:rsidR="00BC6312" w:rsidRPr="00BC6312" w:rsidRDefault="00586176" w:rsidP="00B9022B">
      <w:pPr>
        <w:pStyle w:val="Heading2"/>
        <w:spacing w:line="360" w:lineRule="auto"/>
        <w:jc w:val="both"/>
      </w:pPr>
      <w:bookmarkStart w:id="64" w:name="_Toc127911455"/>
      <w:r>
        <w:lastRenderedPageBreak/>
        <w:t>Assessing biochar substitution in sinter making</w:t>
      </w:r>
      <w:bookmarkEnd w:id="64"/>
    </w:p>
    <w:p w14:paraId="365D7A11" w14:textId="584E2248" w:rsidR="00225BF7" w:rsidRDefault="00BC6312" w:rsidP="00B9022B">
      <w:pPr>
        <w:pStyle w:val="Heading3"/>
        <w:spacing w:line="360" w:lineRule="auto"/>
        <w:jc w:val="both"/>
      </w:pPr>
      <w:bookmarkStart w:id="65" w:name="_Toc127911456"/>
      <w:r>
        <w:t>Sinter pot</w:t>
      </w:r>
      <w:bookmarkEnd w:id="65"/>
    </w:p>
    <w:p w14:paraId="0EB98ED9" w14:textId="1CCA6AE5" w:rsidR="00ED35A8" w:rsidRDefault="005954B6" w:rsidP="00ED35A8">
      <w:r w:rsidRPr="00532F31">
        <w:rPr>
          <w:noProof/>
          <w:lang w:eastAsia="en-GB"/>
        </w:rPr>
        <w:drawing>
          <wp:anchor distT="0" distB="0" distL="114300" distR="114300" simplePos="0" relativeHeight="251658240" behindDoc="0" locked="0" layoutInCell="1" allowOverlap="1" wp14:anchorId="787868B0" wp14:editId="12927F96">
            <wp:simplePos x="0" y="0"/>
            <wp:positionH relativeFrom="margin">
              <wp:posOffset>-249224</wp:posOffset>
            </wp:positionH>
            <wp:positionV relativeFrom="paragraph">
              <wp:posOffset>255867</wp:posOffset>
            </wp:positionV>
            <wp:extent cx="3261995" cy="2750820"/>
            <wp:effectExtent l="0" t="247650" r="0" b="240030"/>
            <wp:wrapThrough wrapText="bothSides">
              <wp:wrapPolygon edited="0">
                <wp:start x="53" y="21662"/>
                <wp:lineTo x="21497" y="21662"/>
                <wp:lineTo x="21497" y="122"/>
                <wp:lineTo x="53" y="122"/>
                <wp:lineTo x="53" y="21662"/>
              </wp:wrapPolygon>
            </wp:wrapThrough>
            <wp:docPr id="36" name="Picture 36" descr="C:\Users\Tariq\AppData\Local\Temp\IMG_5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riq\AppData\Local\Temp\IMG_5800.JPG"/>
                    <pic:cNvPicPr>
                      <a:picLocks noChangeAspect="1" noChangeArrowheads="1"/>
                    </pic:cNvPicPr>
                  </pic:nvPicPr>
                  <pic:blipFill rotWithShape="1">
                    <a:blip r:embed="rId46">
                      <a:extLst>
                        <a:ext uri="{28A0092B-C50C-407E-A947-70E740481C1C}">
                          <a14:useLocalDpi xmlns:a14="http://schemas.microsoft.com/office/drawing/2010/main" val="0"/>
                        </a:ext>
                      </a:extLst>
                    </a:blip>
                    <a:srcRect l="23538" r="4449"/>
                    <a:stretch/>
                  </pic:blipFill>
                  <pic:spPr bwMode="auto">
                    <a:xfrm rot="5400000">
                      <a:off x="0" y="0"/>
                      <a:ext cx="3261995" cy="2750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492B" w:rsidRPr="0049492B">
        <w:rPr>
          <w:noProof/>
        </w:rPr>
        <w:drawing>
          <wp:inline distT="0" distB="0" distL="0" distR="0" wp14:anchorId="4A1B3C19" wp14:editId="70DF3868">
            <wp:extent cx="2852013" cy="3381375"/>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47"/>
                    <a:stretch>
                      <a:fillRect/>
                    </a:stretch>
                  </pic:blipFill>
                  <pic:spPr>
                    <a:xfrm>
                      <a:off x="0" y="0"/>
                      <a:ext cx="2862761" cy="3394118"/>
                    </a:xfrm>
                    <a:prstGeom prst="rect">
                      <a:avLst/>
                    </a:prstGeom>
                  </pic:spPr>
                </pic:pic>
              </a:graphicData>
            </a:graphic>
          </wp:inline>
        </w:drawing>
      </w:r>
    </w:p>
    <w:p w14:paraId="1C73A551" w14:textId="3DCFD130" w:rsidR="00ED35A8" w:rsidRDefault="00ED35A8" w:rsidP="00ED35A8">
      <w:pPr>
        <w:pStyle w:val="Caption"/>
      </w:pPr>
      <w:bookmarkStart w:id="66" w:name="_Toc127110924"/>
      <w:r>
        <w:t xml:space="preserve">Figure </w:t>
      </w:r>
      <w:fldSimple w:instr=" SEQ Figure \* ARABIC ">
        <w:r w:rsidR="00A0212F">
          <w:rPr>
            <w:noProof/>
          </w:rPr>
          <w:t>30</w:t>
        </w:r>
      </w:fldSimple>
      <w:r>
        <w:t xml:space="preserve"> </w:t>
      </w:r>
      <w:r w:rsidRPr="00FA4DF5">
        <w:t>A photograph</w:t>
      </w:r>
      <w:r w:rsidR="007C00B4">
        <w:t xml:space="preserve"> (author)</w:t>
      </w:r>
      <w:r w:rsidRPr="00FA4DF5">
        <w:t xml:space="preserve"> and a schematic diagram of the sinter pot (</w:t>
      </w:r>
      <w:proofErr w:type="spellStart"/>
      <w:r w:rsidRPr="00FA4DF5">
        <w:t>Zandi</w:t>
      </w:r>
      <w:proofErr w:type="spellEnd"/>
      <w:r w:rsidRPr="00FA4DF5">
        <w:t xml:space="preserve"> et al. 2010)</w:t>
      </w:r>
      <w:bookmarkEnd w:id="66"/>
    </w:p>
    <w:p w14:paraId="67AC725B" w14:textId="24DD834A" w:rsidR="006B24A8" w:rsidRDefault="00E154BA" w:rsidP="00ED35A8">
      <w:pPr>
        <w:spacing w:line="360" w:lineRule="auto"/>
        <w:jc w:val="both"/>
      </w:pPr>
      <w:r w:rsidRPr="00E154BA">
        <w:t xml:space="preserve">The sinter pot is a laboratory scale sintering furnace. It </w:t>
      </w:r>
      <w:proofErr w:type="gramStart"/>
      <w:r w:rsidRPr="00E154BA">
        <w:t>is capable of producing</w:t>
      </w:r>
      <w:proofErr w:type="gramEnd"/>
      <w:r w:rsidRPr="00E154BA">
        <w:t xml:space="preserve"> iron ore sinter in 10kg batches. The furnace is filled iron ores, coke breeze and limestone. The top is </w:t>
      </w:r>
      <w:r w:rsidR="0079369E" w:rsidRPr="00E154BA">
        <w:t>ignited,</w:t>
      </w:r>
      <w:r w:rsidRPr="00E154BA">
        <w:t xml:space="preserve"> and air is then drawn through the bottom of the furnace, drawing the flame front downwards. This allows combustion to occur throughout the mixture, finishing the agglomeration process. The sinter pot is connected to a computer system, where the process parameters can be monitored via flowmeters, </w:t>
      </w:r>
      <w:r w:rsidR="0079369E" w:rsidRPr="00E154BA">
        <w:t>thermocouples,</w:t>
      </w:r>
      <w:r w:rsidRPr="00E154BA">
        <w:t xml:space="preserve"> and pressure gauges. The </w:t>
      </w:r>
      <w:r w:rsidR="0079369E">
        <w:t xml:space="preserve">sinter </w:t>
      </w:r>
      <w:r w:rsidRPr="00E154BA">
        <w:t>pot and computer system are connected to a butterfly valve where the user can adjust the pressure drop accordingly. Overall, th</w:t>
      </w:r>
      <w:r w:rsidR="008D6D16">
        <w:t>e sinter</w:t>
      </w:r>
      <w:r w:rsidRPr="00E154BA">
        <w:t xml:space="preserve"> pot essentially mimics the process conditions of the sinter plant at a laboratory scale in order to investigate and optimize the process</w:t>
      </w:r>
      <w:r w:rsidR="003B06F1">
        <w:t xml:space="preserve"> </w:t>
      </w:r>
      <w:r w:rsidR="003B06F1">
        <w:fldChar w:fldCharType="begin"/>
      </w:r>
      <w:r w:rsidR="003B06F1">
        <w:instrText xml:space="preserve"> ADDIN ZOTERO_ITEM CSL_CITATION {"citationID":"3RmIu6oj","properties":{"formattedCitation":"(Mousa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3B06F1">
        <w:fldChar w:fldCharType="separate"/>
      </w:r>
      <w:r w:rsidR="003B06F1" w:rsidRPr="003B06F1">
        <w:rPr>
          <w:rFonts w:ascii="Calibri" w:hAnsi="Calibri" w:cs="Calibri"/>
        </w:rPr>
        <w:t>(Mousa et al. 2015)</w:t>
      </w:r>
      <w:r w:rsidR="003B06F1">
        <w:fldChar w:fldCharType="end"/>
      </w:r>
      <w:r w:rsidR="00CB7DBA">
        <w:t>.</w:t>
      </w:r>
      <w:r w:rsidR="007C00B4">
        <w:t xml:space="preserve"> The sinter pot is demonstrated in figure 30.</w:t>
      </w:r>
    </w:p>
    <w:p w14:paraId="6663238B" w14:textId="4D4113CE" w:rsidR="00C81CCC" w:rsidRDefault="00203343" w:rsidP="00E154BA">
      <w:pPr>
        <w:spacing w:line="360" w:lineRule="auto"/>
        <w:jc w:val="both"/>
      </w:pPr>
      <w:r>
        <w:t>The</w:t>
      </w:r>
      <w:r w:rsidR="00812FE8">
        <w:t xml:space="preserve"> Biochar will be assessed against a base sinter blend, made up of </w:t>
      </w:r>
      <w:r w:rsidR="000A0B29">
        <w:t>a blend of</w:t>
      </w:r>
      <w:r w:rsidR="004924E2">
        <w:t xml:space="preserve"> </w:t>
      </w:r>
      <w:r w:rsidR="00D81BE2">
        <w:t>iron o</w:t>
      </w:r>
      <w:r w:rsidR="00783231">
        <w:t>res</w:t>
      </w:r>
      <w:r w:rsidR="0034217D">
        <w:t xml:space="preserve"> fluxes and fuel</w:t>
      </w:r>
      <w:r w:rsidR="00783231">
        <w:t>,</w:t>
      </w:r>
      <w:r w:rsidR="00D81BE2">
        <w:t xml:space="preserve"> </w:t>
      </w:r>
      <w:r w:rsidR="004924E2">
        <w:t xml:space="preserve">similar to that used </w:t>
      </w:r>
      <w:r w:rsidR="002B08E2">
        <w:t xml:space="preserve">at the Port Talbot steelworks sinter plant. </w:t>
      </w:r>
      <w:r w:rsidR="00B12B2C">
        <w:t xml:space="preserve">A blend model excel sheet was used to calculate </w:t>
      </w:r>
      <w:r w:rsidR="003D0970">
        <w:t xml:space="preserve">a </w:t>
      </w:r>
      <w:r w:rsidR="00EA3197">
        <w:t xml:space="preserve">base </w:t>
      </w:r>
      <w:r w:rsidR="003D0970">
        <w:t>blend with the required chemistry to give</w:t>
      </w:r>
      <w:r w:rsidR="00783231">
        <w:t xml:space="preserve"> a strong sinter</w:t>
      </w:r>
      <w:r w:rsidR="00EA3197">
        <w:t xml:space="preserve"> with </w:t>
      </w:r>
      <w:r w:rsidR="000111FF">
        <w:t>high quality characteristics</w:t>
      </w:r>
      <w:r w:rsidR="00A262A4">
        <w:t xml:space="preserve">, see table </w:t>
      </w:r>
      <w:r w:rsidR="00EA1BB7">
        <w:t>2.</w:t>
      </w:r>
      <w:r w:rsidR="000111FF">
        <w:t xml:space="preserve"> The base blend can then be used to assess the impact of biochar addition </w:t>
      </w:r>
      <w:r w:rsidR="008845FB">
        <w:t>on sinter quality.</w:t>
      </w:r>
      <w:r w:rsidR="0034217D">
        <w:t xml:space="preserve"> </w:t>
      </w:r>
    </w:p>
    <w:p w14:paraId="6F8D6E0A" w14:textId="77777777" w:rsidR="00EF43B1" w:rsidRDefault="00EF43B1" w:rsidP="00E154BA">
      <w:pPr>
        <w:spacing w:line="360" w:lineRule="auto"/>
        <w:jc w:val="both"/>
      </w:pPr>
    </w:p>
    <w:p w14:paraId="25A1061E" w14:textId="77777777" w:rsidR="00EF43B1" w:rsidRDefault="00EF43B1" w:rsidP="00E154BA">
      <w:pPr>
        <w:spacing w:line="360" w:lineRule="auto"/>
        <w:jc w:val="both"/>
      </w:pPr>
    </w:p>
    <w:p w14:paraId="6534ADF3" w14:textId="070A15F0" w:rsidR="00EF43B1" w:rsidRDefault="00EF43B1" w:rsidP="00EF43B1">
      <w:pPr>
        <w:pStyle w:val="Caption"/>
      </w:pPr>
      <w:r>
        <w:lastRenderedPageBreak/>
        <w:t xml:space="preserve">Table </w:t>
      </w:r>
      <w:fldSimple w:instr=" SEQ Table \* ARABIC ">
        <w:r w:rsidR="00DA2639">
          <w:rPr>
            <w:noProof/>
          </w:rPr>
          <w:t>2</w:t>
        </w:r>
      </w:fldSimple>
      <w:r>
        <w:t xml:space="preserve"> Sinter blend components</w:t>
      </w:r>
    </w:p>
    <w:p w14:paraId="3FC7D38E" w14:textId="2D746432" w:rsidR="0094546C" w:rsidRDefault="00EF43B1" w:rsidP="00E154BA">
      <w:pPr>
        <w:spacing w:line="360" w:lineRule="auto"/>
        <w:jc w:val="both"/>
      </w:pPr>
      <w:r w:rsidRPr="00EF43B1">
        <w:rPr>
          <w:noProof/>
        </w:rPr>
        <w:drawing>
          <wp:inline distT="0" distB="0" distL="0" distR="0" wp14:anchorId="5E5FDB62" wp14:editId="31B7F0E8">
            <wp:extent cx="5731510" cy="1838325"/>
            <wp:effectExtent l="0" t="0" r="2540" b="952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8"/>
                    <a:stretch>
                      <a:fillRect/>
                    </a:stretch>
                  </pic:blipFill>
                  <pic:spPr>
                    <a:xfrm>
                      <a:off x="0" y="0"/>
                      <a:ext cx="5731510" cy="1838325"/>
                    </a:xfrm>
                    <a:prstGeom prst="rect">
                      <a:avLst/>
                    </a:prstGeom>
                  </pic:spPr>
                </pic:pic>
              </a:graphicData>
            </a:graphic>
          </wp:inline>
        </w:drawing>
      </w:r>
      <w:r w:rsidR="006446CC">
        <w:t xml:space="preserve"> </w:t>
      </w:r>
    </w:p>
    <w:p w14:paraId="09E83E4A" w14:textId="03F117B1" w:rsidR="00535340" w:rsidRDefault="004F32FF" w:rsidP="00E154BA">
      <w:pPr>
        <w:spacing w:line="360" w:lineRule="auto"/>
        <w:jc w:val="both"/>
      </w:pPr>
      <w:r>
        <w:t xml:space="preserve">The calculated fuel percentage in this blend was </w:t>
      </w:r>
      <w:r w:rsidR="00F517B0">
        <w:t>5</w:t>
      </w:r>
      <w:r w:rsidR="005C64C2">
        <w:t xml:space="preserve">% coke breeze. </w:t>
      </w:r>
      <w:r w:rsidR="00535340">
        <w:t xml:space="preserve">The coke breeze will be replaced by biochar </w:t>
      </w:r>
      <w:r w:rsidR="006F17EE">
        <w:t xml:space="preserve">in increments of 25%, 50% and 75%. The resulting sinter will be assessed </w:t>
      </w:r>
      <w:r w:rsidR="00836FB8">
        <w:t>using the quality measures</w:t>
      </w:r>
      <w:r w:rsidR="00B01890">
        <w:t xml:space="preserve"> discussed below</w:t>
      </w:r>
      <w:r w:rsidR="00836FB8">
        <w:t xml:space="preserve">. The emissions </w:t>
      </w:r>
      <w:r w:rsidR="00B4279C">
        <w:t xml:space="preserve">during these tests will also be monitored for their GHG </w:t>
      </w:r>
      <w:r w:rsidR="001E76EA">
        <w:t>concentration</w:t>
      </w:r>
      <w:r w:rsidR="00B4279C">
        <w:t>.</w:t>
      </w:r>
    </w:p>
    <w:p w14:paraId="50BC96C4" w14:textId="77777777" w:rsidR="00507AEA" w:rsidRDefault="007B4671" w:rsidP="00507AEA">
      <w:pPr>
        <w:spacing w:line="360" w:lineRule="auto"/>
        <w:jc w:val="both"/>
      </w:pPr>
      <w:r>
        <w:t xml:space="preserve">The </w:t>
      </w:r>
      <w:r w:rsidR="005F7ADF">
        <w:t xml:space="preserve">iron ore samples are collected during discharge of the vessel, </w:t>
      </w:r>
      <w:r w:rsidR="00DB2F47">
        <w:t>the ore is loaded onto a conveyor belt and transported to the stockyard. A</w:t>
      </w:r>
      <w:r w:rsidR="000C088B">
        <w:t xml:space="preserve">n iron ore stacker discharges the iron ore from the conveyor belt into large stockpiles. Every </w:t>
      </w:r>
      <w:r w:rsidR="00583931">
        <w:t>5000</w:t>
      </w:r>
      <w:r w:rsidR="00C64837">
        <w:t xml:space="preserve"> Kt the stacker, diverts the material away from the main stockpile and creates a small pile for sampling. The practice of sampling from the main stockpile has been discontinued at Port Talbot for safety reasons, large stockpiles of iron ore fines have been known to slip, rainfall can cause the fines to </w:t>
      </w:r>
      <w:r w:rsidR="00C00922">
        <w:t>liquefy,</w:t>
      </w:r>
      <w:r w:rsidR="00C64837">
        <w:t xml:space="preserve"> large amounts of the ore can slip away from the stockpile. The ISO recommended sampling method is to use an autosampler, which is not available at Port Talbot, the next best recommendation is to stop the conveyor belt and take cuts from across the belt. This practice has also been stopped as it caused operational issues when discharging iron ore</w:t>
      </w:r>
      <w:r w:rsidR="00C00922">
        <w:t xml:space="preserve">, the weight of the ore on the belt can strain the conveyor belt when it has been stopped, discharging of the vessel is slowed down which incurs a cost, and discharge chutes can become blocked. The small sample stockpiles method was developed at Port Talbot laboratories to try obtain as representative sample as possible given the constraints put in place.  50 increments are taken from around the small pile and bagged up to create 25Kg samples for every 5000Kt. These samples are mixed and spilt down into more manageable sample sizes. A composite was then created to obtain a representative sample of the vessel cargo. As it is not to ISO standard some bias may exist in this sampling method. </w:t>
      </w:r>
      <w:r w:rsidR="00AF6491">
        <w:t>The fluxes and coke breeze were sampled from conveyor belts as they discharge into the process. They are sampled using ISO standard methods.</w:t>
      </w:r>
      <w:r w:rsidR="00507AEA">
        <w:t xml:space="preserve"> </w:t>
      </w:r>
    </w:p>
    <w:p w14:paraId="487F7D96" w14:textId="58817841" w:rsidR="00507AEA" w:rsidRDefault="00507AEA" w:rsidP="00507AEA">
      <w:pPr>
        <w:spacing w:line="360" w:lineRule="auto"/>
        <w:jc w:val="both"/>
      </w:pPr>
      <w:r w:rsidRPr="00507AEA">
        <w:t>The materials were</w:t>
      </w:r>
      <w:r>
        <w:t xml:space="preserve"> </w:t>
      </w:r>
      <w:r w:rsidR="0042106B">
        <w:t>then</w:t>
      </w:r>
      <w:r w:rsidRPr="00507AEA">
        <w:t xml:space="preserve"> dried in an oven at 105</w:t>
      </w:r>
      <w:r w:rsidRPr="00507AEA">
        <w:rPr>
          <w:vertAlign w:val="superscript"/>
        </w:rPr>
        <w:t>0</w:t>
      </w:r>
      <w:r w:rsidRPr="00507AEA">
        <w:t xml:space="preserve">C until constant mass was achieved. The ores were screened through a 5mm sieve, any oversize was discarded. This was done to mimic plant conditions, a uniform particle size ensures air flow uniformity </w:t>
      </w:r>
      <w:r w:rsidRPr="00507AEA">
        <w:fldChar w:fldCharType="begin"/>
      </w:r>
      <w:r w:rsidRPr="00507AEA">
        <w:instrText xml:space="preserve"> ADDIN ZOTERO_ITEM CSL_CITATION {"citationID":"CvzfFFX1","properties":{"formattedCitation":"(Cheng et al. 2016)","plainCitation":"(Cheng et al. 2016)","noteIndex":0},"citationItems":[{"id":1906,"uris":["http://zotero.org/users/local/AB2owHL2/items/9H8FADEK"],"itemData":{"id":1906,"type":"article-journal","abstract":"Using biomass for partial or complete replacement of coke breeze in iron ore sintering process is an attractive technique for reducing emissions of greenhouse gas and gaseous pollutants. But one drawback of this technique is that low or medium grade charcoal may lead to the failure in achieving proper sintering performance. In this paper, the behaviors of coke combustion versus charcoal combustion in sintering bed were compared. The results of thermal profile and exhaust gas composition indicated that the sinters quality was deteriorated at high charcoal proportion. Lacking heat release in melting zone and the excessively high combustion rate were the reasons to weak sinters. In order to ensure the sintering performance when using medium grade charcoal in sintering bed, the effects of three improving measures (proposing the equivalent fixed carbon substitution approach, increasing charcoal particle size and adopting coated charcoal combustion) were experimentally tested. The results showed that equivalent fixed carbon substitution approach was more effective to produce sufficient heat in melting zone at medium grade charcoal combustion. Additionally, it was also found that increasing charcoal particles size and applying coated charcoal combustion method could reduce combustion rate to achieve a proper matching condition between flame front speed and heat transfer front speed. Consequently, with the help of equivalent fixed carbon substitution approach, coarse charcoal and coated charcoal particles, the peak temperature, holding time above 1100°C, melting quantity index and combustion efficiency were increased in the charcoal sintering process.","container-title":"Applied Energy","DOI":"10.1016/j.apenergy.2015.09.095","ISSN":"0306-2619","journalAbbreviation":"Applied Energy","language":"en","page":"364-374","source":"ScienceDirect","title":"Characteristics of charcoal combustion and its effects on iron-ore sintering performance","URL":"https://www.sciencedirect.com/science/article/pii/S0306261915012210","volume":"161","author":[{"family":"Cheng","given":"Zhilong"},{"family":"Yang","given":"Jian"},{"family":"Zhou","given":"Lang"},{"family":"Liu","given":"Yan"},{"family":"Wang","given":"Qiuwang"}],"accessed":{"date-parts":[["2022",8,22]]},"issued":{"date-parts":[["2016",1,1]]}}}],"schema":"https://github.com/citation-style-language/schema/raw/master/csl-citation.json"} </w:instrText>
      </w:r>
      <w:r w:rsidRPr="00507AEA">
        <w:fldChar w:fldCharType="separate"/>
      </w:r>
      <w:r w:rsidRPr="00507AEA">
        <w:t>(Cheng et al. 2016)</w:t>
      </w:r>
      <w:r w:rsidRPr="00507AEA">
        <w:fldChar w:fldCharType="end"/>
      </w:r>
      <w:r w:rsidRPr="00507AEA">
        <w:t xml:space="preserve">.  </w:t>
      </w:r>
      <w:r w:rsidR="0042106B">
        <w:t>Fuels are sieved to &lt;3mm.</w:t>
      </w:r>
    </w:p>
    <w:p w14:paraId="7533F6B7" w14:textId="7EFA822F" w:rsidR="00A373B5" w:rsidRDefault="00507AEA" w:rsidP="00507AEA">
      <w:pPr>
        <w:spacing w:line="360" w:lineRule="auto"/>
        <w:jc w:val="both"/>
      </w:pPr>
      <w:r w:rsidRPr="00507AEA">
        <w:lastRenderedPageBreak/>
        <w:t>The Materials</w:t>
      </w:r>
      <w:r>
        <w:t xml:space="preserve"> were weighed out according to the weights shown in table 2. </w:t>
      </w:r>
      <w:r w:rsidR="0042106B">
        <w:t>The blend</w:t>
      </w:r>
      <w:r>
        <w:t xml:space="preserve"> </w:t>
      </w:r>
      <w:r w:rsidR="0042106B">
        <w:t>was</w:t>
      </w:r>
      <w:r>
        <w:t xml:space="preserve"> thoroughly mixed together in a cement mixer before being charged into a granulation drum and mixed with </w:t>
      </w:r>
      <w:r w:rsidR="0042106B">
        <w:t xml:space="preserve">6.5% </w:t>
      </w:r>
      <w:r>
        <w:t>water to form micro pellets</w:t>
      </w:r>
      <w:r w:rsidR="0042106B">
        <w:t>, granulation helps create a porous and permeable mixture and the moisture helps the particles adhere to one another</w:t>
      </w:r>
      <w:r>
        <w:t>.</w:t>
      </w:r>
      <w:r w:rsidR="0042106B">
        <w:t xml:space="preserve"> Next the furnace is filled with a layer of </w:t>
      </w:r>
      <w:r w:rsidR="00F41397">
        <w:t>sinter 10</w:t>
      </w:r>
      <w:r w:rsidR="00A373B5">
        <w:t xml:space="preserve">-15mm </w:t>
      </w:r>
      <w:r w:rsidR="0042106B">
        <w:t xml:space="preserve">called the hearth layer, this layer </w:t>
      </w:r>
      <w:r w:rsidR="00A373B5">
        <w:t>ensures</w:t>
      </w:r>
      <w:r w:rsidR="0042106B">
        <w:t xml:space="preserve"> good permeability and protects the base from thermal attack. The granulated raw mix is now added to the furnace and thermocouples</w:t>
      </w:r>
      <w:r w:rsidR="00F41397">
        <w:t xml:space="preserve"> fixed into</w:t>
      </w:r>
      <w:r w:rsidR="0042106B">
        <w:t xml:space="preserve"> place. </w:t>
      </w:r>
    </w:p>
    <w:p w14:paraId="7396A7B6" w14:textId="4A20C588" w:rsidR="00507AEA" w:rsidRDefault="0042106B" w:rsidP="00A373B5">
      <w:pPr>
        <w:spacing w:line="360" w:lineRule="auto"/>
        <w:jc w:val="both"/>
      </w:pPr>
      <w:r>
        <w:t xml:space="preserve">A flowmeter is </w:t>
      </w:r>
      <w:r w:rsidR="00A373B5">
        <w:t>fixed</w:t>
      </w:r>
      <w:r>
        <w:t xml:space="preserve"> above the furnace</w:t>
      </w:r>
      <w:r w:rsidR="00A373B5">
        <w:t>,</w:t>
      </w:r>
      <w:r>
        <w:t xml:space="preserve"> air is drawn through the </w:t>
      </w:r>
      <w:r w:rsidR="00A373B5">
        <w:t>furnace</w:t>
      </w:r>
      <w:r>
        <w:t xml:space="preserve"> to measure </w:t>
      </w:r>
      <w:r w:rsidR="00A373B5">
        <w:t xml:space="preserve">the raw mixture permeability. To ignite the mixture a burner is placed above the furnace and left for 1 minute, the flow meter is returned to the top of the furnace and the furnace is left to sinter.  </w:t>
      </w:r>
    </w:p>
    <w:p w14:paraId="7F2DBF27" w14:textId="23E58976" w:rsidR="004C7CFB" w:rsidRDefault="00631885" w:rsidP="0039433E">
      <w:pPr>
        <w:pStyle w:val="Heading3"/>
        <w:spacing w:line="360" w:lineRule="auto"/>
        <w:jc w:val="both"/>
      </w:pPr>
      <w:bookmarkStart w:id="67" w:name="_Toc127911457"/>
      <w:r w:rsidRPr="00631885">
        <w:t>Determination of low-temperature reduction</w:t>
      </w:r>
      <w:r w:rsidR="00932E61">
        <w:t xml:space="preserve"> </w:t>
      </w:r>
      <w:r w:rsidRPr="00631885">
        <w:t>disintegration indices</w:t>
      </w:r>
      <w:bookmarkEnd w:id="67"/>
    </w:p>
    <w:p w14:paraId="6CCF6E58" w14:textId="1A192F47" w:rsidR="003C4372" w:rsidRPr="003C4372" w:rsidRDefault="004E6827" w:rsidP="0039433E">
      <w:pPr>
        <w:spacing w:line="360" w:lineRule="auto"/>
        <w:jc w:val="both"/>
      </w:pPr>
      <w:r>
        <w:t>Inside the BF, sinter material is degraded due to mechanical wear and reduction</w:t>
      </w:r>
      <w:r w:rsidR="00590646">
        <w:t xml:space="preserve">. The reduction wear mechanism </w:t>
      </w:r>
      <w:r w:rsidR="00522C1F">
        <w:t>results from the crystal structure change</w:t>
      </w:r>
      <w:r w:rsidR="001E1E80">
        <w:t xml:space="preserve"> from hematite (Fe</w:t>
      </w:r>
      <w:r w:rsidR="001E1E80" w:rsidRPr="00FC65EC">
        <w:rPr>
          <w:vertAlign w:val="subscript"/>
        </w:rPr>
        <w:t>2</w:t>
      </w:r>
      <w:r w:rsidR="001E1E80">
        <w:t>O</w:t>
      </w:r>
      <w:r w:rsidR="001E1E80" w:rsidRPr="00FC65EC">
        <w:rPr>
          <w:vertAlign w:val="subscript"/>
        </w:rPr>
        <w:t>3</w:t>
      </w:r>
      <w:r w:rsidR="001E1E80">
        <w:t>) to magnetite (Fe</w:t>
      </w:r>
      <w:r w:rsidR="001E1E80" w:rsidRPr="00FC65EC">
        <w:rPr>
          <w:vertAlign w:val="subscript"/>
        </w:rPr>
        <w:t>3</w:t>
      </w:r>
      <w:r w:rsidR="001E1E80">
        <w:t>O</w:t>
      </w:r>
      <w:r w:rsidR="001E1E80" w:rsidRPr="00FC65EC">
        <w:rPr>
          <w:vertAlign w:val="subscript"/>
        </w:rPr>
        <w:t>4</w:t>
      </w:r>
      <w:r w:rsidR="001E1E80">
        <w:t>)</w:t>
      </w:r>
      <w:r w:rsidR="00FC65EC">
        <w:t>.</w:t>
      </w:r>
      <w:r>
        <w:t xml:space="preserve"> </w:t>
      </w:r>
      <w:r w:rsidR="00FC65EC">
        <w:t xml:space="preserve">This structural change occurs </w:t>
      </w:r>
      <w:r w:rsidR="00A13B9E">
        <w:t>in the low temperature r</w:t>
      </w:r>
      <w:r w:rsidR="006C775D">
        <w:t>egion</w:t>
      </w:r>
      <w:r w:rsidR="00A13B9E">
        <w:t xml:space="preserve"> of the furnace</w:t>
      </w:r>
      <w:r w:rsidR="006C775D">
        <w:t xml:space="preserve"> and therefore is known as </w:t>
      </w:r>
      <w:r w:rsidR="003514A6">
        <w:t xml:space="preserve">low temperature degradation. </w:t>
      </w:r>
      <w:r w:rsidR="00AE1AB2">
        <w:t>This degradation is measured by</w:t>
      </w:r>
      <w:r w:rsidR="00932E61">
        <w:t xml:space="preserve"> the reduction disintegration index (RDI)</w:t>
      </w:r>
      <w:r w:rsidR="002F43AB">
        <w:t xml:space="preserve"> </w:t>
      </w:r>
      <w:r w:rsidR="00497B74">
        <w:fldChar w:fldCharType="begin"/>
      </w:r>
      <w:r w:rsidR="00497B74">
        <w:instrText xml:space="preserve"> ADDIN ZOTERO_ITEM CSL_CITATION {"citationID":"fGjpkS3C","properties":{"formattedCitation":"(Jiao et al. 2021)","plainCitation":"(Jiao et al. 2021)","noteIndex":0},"citationItems":[{"id":1992,"uris":["http://zotero.org/users/local/AB2owHL2/items/Q3BULI25"],"itemData":{"id":1992,"type":"article-journal","abstract":"Explore millions of resources from scholarly journals, books, newspapers, videos and more, on the ProQuest Platform.","container-title":"Metallurgical and Materials Transactions: Process Metallurgy and Materials Processing Science","issue":"1","language":"en","page":"138-155","title":"​ ​CFD Modeling and Analysis of Particle Size Reduction and Its Effect on Blast Furnace Ironmaking","URL":"http://www.proquest.com/docview/2483426060?pq-origsite=primo&amp;accountid=130472","volume":"52","author":[{"family":"Jiao","given":"Lulu"},{"family":"Kuang","given":"Shibo"},{"family":"Liu","given":"Lingling"},{"family":"Yu","given":"Aibing"},{"family":"Li","given":"Yuntao"},{"family":"Mao","given":"Xiaoming"},{"family":"Xu","given":"Hui"}],"accessed":{"date-parts":[["2022",10,4]]},"issued":{"date-parts":[["2021"]]}}}],"schema":"https://github.com/citation-style-language/schema/raw/master/csl-citation.json"} </w:instrText>
      </w:r>
      <w:r w:rsidR="00497B74">
        <w:fldChar w:fldCharType="separate"/>
      </w:r>
      <w:r w:rsidR="00497B74" w:rsidRPr="00497B74">
        <w:rPr>
          <w:rFonts w:ascii="Calibri" w:hAnsi="Calibri" w:cs="Calibri"/>
        </w:rPr>
        <w:t>(Jiao et al. 2021)</w:t>
      </w:r>
      <w:r w:rsidR="00497B74">
        <w:fldChar w:fldCharType="end"/>
      </w:r>
      <w:r w:rsidR="00164B14">
        <w:t>.</w:t>
      </w:r>
      <w:r w:rsidR="007C00B4">
        <w:t xml:space="preserve"> Figure 31 illustrates the RDI equipment requirements.</w:t>
      </w:r>
    </w:p>
    <w:p w14:paraId="72BD7E10" w14:textId="67ACD831" w:rsidR="0071657D" w:rsidRDefault="00DA7928" w:rsidP="00ED35A8">
      <w:r w:rsidRPr="00DA7928">
        <w:rPr>
          <w:noProof/>
        </w:rPr>
        <w:drawing>
          <wp:inline distT="0" distB="0" distL="0" distR="0" wp14:anchorId="636E34E0" wp14:editId="188BF4FA">
            <wp:extent cx="3290609" cy="2326233"/>
            <wp:effectExtent l="0" t="0" r="0" b="0"/>
            <wp:docPr id="33" name="Picture 3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 engineering drawing&#10;&#10;Description automatically generated"/>
                    <pic:cNvPicPr/>
                  </pic:nvPicPr>
                  <pic:blipFill>
                    <a:blip r:embed="rId49"/>
                    <a:stretch>
                      <a:fillRect/>
                    </a:stretch>
                  </pic:blipFill>
                  <pic:spPr>
                    <a:xfrm>
                      <a:off x="0" y="0"/>
                      <a:ext cx="3305615" cy="2336841"/>
                    </a:xfrm>
                    <a:prstGeom prst="rect">
                      <a:avLst/>
                    </a:prstGeom>
                  </pic:spPr>
                </pic:pic>
              </a:graphicData>
            </a:graphic>
          </wp:inline>
        </w:drawing>
      </w:r>
      <w:r w:rsidR="0071657D" w:rsidRPr="0071657D">
        <w:rPr>
          <w:noProof/>
        </w:rPr>
        <w:drawing>
          <wp:inline distT="0" distB="0" distL="0" distR="0" wp14:anchorId="2771FE0D" wp14:editId="30891CAD">
            <wp:extent cx="2320508" cy="2106778"/>
            <wp:effectExtent l="0" t="0" r="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50"/>
                    <a:stretch>
                      <a:fillRect/>
                    </a:stretch>
                  </pic:blipFill>
                  <pic:spPr>
                    <a:xfrm>
                      <a:off x="0" y="0"/>
                      <a:ext cx="2339399" cy="2123929"/>
                    </a:xfrm>
                    <a:prstGeom prst="rect">
                      <a:avLst/>
                    </a:prstGeom>
                  </pic:spPr>
                </pic:pic>
              </a:graphicData>
            </a:graphic>
          </wp:inline>
        </w:drawing>
      </w:r>
    </w:p>
    <w:p w14:paraId="6CEEBB52" w14:textId="246C8A80" w:rsidR="00ED35A8" w:rsidRDefault="00ED35A8" w:rsidP="00ED35A8">
      <w:pPr>
        <w:pStyle w:val="Caption"/>
      </w:pPr>
      <w:bookmarkStart w:id="68" w:name="_Toc127110925"/>
      <w:r>
        <w:t xml:space="preserve">Figure </w:t>
      </w:r>
      <w:fldSimple w:instr=" SEQ Figure \* ARABIC ">
        <w:r w:rsidR="00A0212F">
          <w:rPr>
            <w:noProof/>
          </w:rPr>
          <w:t>31</w:t>
        </w:r>
      </w:fldSimple>
      <w:r>
        <w:t xml:space="preserve"> </w:t>
      </w:r>
      <w:r w:rsidRPr="002009B9">
        <w:t>RDI test equipment apparatus (British Standards Institute 2015b)</w:t>
      </w:r>
      <w:bookmarkEnd w:id="68"/>
    </w:p>
    <w:p w14:paraId="26B081A3" w14:textId="72C27273" w:rsidR="005105E4" w:rsidRDefault="005042B3" w:rsidP="00DA1A37">
      <w:pPr>
        <w:spacing w:line="360" w:lineRule="auto"/>
        <w:jc w:val="both"/>
      </w:pPr>
      <w:r>
        <w:t xml:space="preserve">The test </w:t>
      </w:r>
      <w:r w:rsidR="0006201C">
        <w:t>portion</w:t>
      </w:r>
      <w:r w:rsidR="00731071">
        <w:t xml:space="preserve"> (500</w:t>
      </w:r>
      <w:r w:rsidR="0095101B">
        <w:t xml:space="preserve">g </w:t>
      </w:r>
      <w:r w:rsidR="00BB0DD5">
        <w:t>of sinter</w:t>
      </w:r>
      <w:r w:rsidR="0095101B">
        <w:t xml:space="preserve"> 16 mm - 20 mm) </w:t>
      </w:r>
      <w:r w:rsidR="0006201C">
        <w:t>is</w:t>
      </w:r>
      <w:r w:rsidR="009F78AE">
        <w:t xml:space="preserve"> reduced by</w:t>
      </w:r>
      <w:r w:rsidR="0006201C">
        <w:t xml:space="preserve"> heated to 550</w:t>
      </w:r>
      <w:r w:rsidR="0006201C" w:rsidRPr="0006201C">
        <w:rPr>
          <w:vertAlign w:val="superscript"/>
        </w:rPr>
        <w:t>0</w:t>
      </w:r>
      <w:r w:rsidR="0006201C">
        <w:t xml:space="preserve">C </w:t>
      </w:r>
      <w:r w:rsidR="00BC5BDE">
        <w:t>and</w:t>
      </w:r>
      <w:r w:rsidR="009F78AE">
        <w:t xml:space="preserve"> a reducing gas consisting of </w:t>
      </w:r>
      <w:r w:rsidR="00961560">
        <w:t>a 70/30 % mix of N</w:t>
      </w:r>
      <w:r w:rsidR="00961560" w:rsidRPr="00961560">
        <w:rPr>
          <w:vertAlign w:val="subscript"/>
        </w:rPr>
        <w:t>2</w:t>
      </w:r>
      <w:r w:rsidR="00961560">
        <w:t xml:space="preserve"> and CO</w:t>
      </w:r>
      <w:r w:rsidR="0006201C">
        <w:t xml:space="preserve"> </w:t>
      </w:r>
      <w:r w:rsidR="00BC5BDE">
        <w:t>is passed through the sample for 30 minutes</w:t>
      </w:r>
      <w:r w:rsidR="00D55A11">
        <w:t xml:space="preserve">. The reduced sample portion is then tumbled in a </w:t>
      </w:r>
      <w:r w:rsidR="009F73F1">
        <w:t xml:space="preserve">small </w:t>
      </w:r>
      <w:r w:rsidR="00B5683D">
        <w:t>drum for 900 revolutions before being sieved through a 2.8mm sieve</w:t>
      </w:r>
      <w:r w:rsidR="00DA1A37">
        <w:t>. The RDI is calculated as the mass percentage of material less than 2.8mm.</w:t>
      </w:r>
    </w:p>
    <w:p w14:paraId="1B416D07" w14:textId="25D923E9" w:rsidR="009F73F1" w:rsidRDefault="009F73F1" w:rsidP="00DA1A37">
      <w:pPr>
        <w:spacing w:line="360" w:lineRule="auto"/>
        <w:jc w:val="both"/>
      </w:pPr>
      <m:oMathPara>
        <m:oMath>
          <m:r>
            <w:rPr>
              <w:rFonts w:ascii="Cambria Math" w:hAnsi="Cambria Math"/>
            </w:rPr>
            <m:t xml:space="preserve"> </m:t>
          </m:r>
          <m:sSub>
            <m:sSubPr>
              <m:ctrlPr>
                <w:rPr>
                  <w:rFonts w:ascii="Cambria Math" w:hAnsi="Cambria Math"/>
                  <w:i/>
                </w:rPr>
              </m:ctrlPr>
            </m:sSubPr>
            <m:e>
              <m:r>
                <w:rPr>
                  <w:rFonts w:ascii="Cambria Math" w:hAnsi="Cambria Math"/>
                </w:rPr>
                <m:t>RDI</m:t>
              </m:r>
            </m:e>
            <m:sub>
              <m:r>
                <w:rPr>
                  <w:rFonts w:ascii="Cambria Math" w:hAnsi="Cambria Math"/>
                </w:rPr>
                <m:t>-2.8mm</m:t>
              </m:r>
            </m:sub>
          </m:sSub>
          <m:r>
            <w:rPr>
              <w:rFonts w:ascii="Cambria Math" w:hAnsi="Cambria Math"/>
            </w:rPr>
            <m:t xml:space="preserve"> = 100- </m:t>
          </m:r>
          <m:f>
            <m:fPr>
              <m:ctrlPr>
                <w:rPr>
                  <w:rFonts w:ascii="Cambria Math" w:hAnsi="Cambria Math"/>
                </w:rPr>
              </m:ctrlPr>
            </m:fPr>
            <m:num>
              <m:sSub>
                <m:sSubPr>
                  <m:ctrlPr>
                    <w:rPr>
                      <w:rFonts w:ascii="Cambria Math" w:hAnsi="Cambria Math"/>
                      <w:i/>
                    </w:rPr>
                  </m:ctrlPr>
                </m:sSubPr>
                <m:e>
                  <m:r>
                    <w:rPr>
                      <w:rFonts w:ascii="Cambria Math" w:hAnsi="Cambria Math"/>
                    </w:rPr>
                    <m:t>m</m:t>
                  </m:r>
                </m:e>
                <m:sub>
                  <m:r>
                    <w:rPr>
                      <w:rFonts w:ascii="Cambria Math" w:hAnsi="Cambria Math"/>
                    </w:rPr>
                    <m:t>1</m:t>
                  </m:r>
                </m:sub>
              </m:sSub>
            </m:num>
            <m:den>
              <m:sSub>
                <m:sSubPr>
                  <m:ctrlPr>
                    <w:rPr>
                      <w:rFonts w:ascii="Cambria Math" w:hAnsi="Cambria Math" w:cs="Cambria Math"/>
                    </w:rPr>
                  </m:ctrlPr>
                </m:sSubPr>
                <m:e>
                  <m:r>
                    <w:rPr>
                      <w:rFonts w:ascii="Cambria Math" w:hAnsi="Cambria Math" w:cs="Cambria Math"/>
                    </w:rPr>
                    <m:t>m</m:t>
                  </m:r>
                </m:e>
                <m:sub>
                  <m:r>
                    <w:rPr>
                      <w:rFonts w:ascii="Cambria Math" w:hAnsi="Cambria Math" w:cs="Cambria Math"/>
                    </w:rPr>
                    <m:t>0</m:t>
                  </m:r>
                </m:sub>
              </m:sSub>
            </m:den>
          </m:f>
          <m:r>
            <w:rPr>
              <w:rFonts w:ascii="Cambria Math" w:hAnsi="Cambria Math"/>
            </w:rPr>
            <m:t xml:space="preserve">* 100 </m:t>
          </m:r>
        </m:oMath>
      </m:oMathPara>
    </w:p>
    <w:p w14:paraId="04605895" w14:textId="33977191" w:rsidR="009F73F1" w:rsidRDefault="00146439" w:rsidP="00856990">
      <w:pPr>
        <w:spacing w:line="360" w:lineRule="auto"/>
        <w:jc w:val="both"/>
      </w:pPr>
      <w:r w:rsidRPr="009F73F1">
        <w:lastRenderedPageBreak/>
        <w:t>W</w:t>
      </w:r>
      <w:r w:rsidR="009F73F1" w:rsidRPr="009F73F1">
        <w:t>here</w:t>
      </w:r>
      <w:r w:rsidR="00856990">
        <w:t xml:space="preserve">: </w:t>
      </w:r>
      <w:r w:rsidR="009F73F1" w:rsidRPr="009F73F1">
        <w:t>m</w:t>
      </w:r>
      <w:r w:rsidR="009F73F1" w:rsidRPr="002E0115">
        <w:rPr>
          <w:vertAlign w:val="subscript"/>
        </w:rPr>
        <w:t xml:space="preserve">0 </w:t>
      </w:r>
      <w:r w:rsidR="009F73F1" w:rsidRPr="009F73F1">
        <w:t>is the mass</w:t>
      </w:r>
      <w:r w:rsidR="00155B89">
        <w:t xml:space="preserve"> (g)</w:t>
      </w:r>
      <w:r w:rsidR="009F73F1" w:rsidRPr="009F73F1">
        <w:t xml:space="preserve"> of the test portion after reduction and before tumbling. </w:t>
      </w:r>
    </w:p>
    <w:p w14:paraId="0A73BDBE" w14:textId="1DE422BC" w:rsidR="009F73F1" w:rsidRDefault="009F73F1" w:rsidP="002E0115">
      <w:pPr>
        <w:spacing w:line="360" w:lineRule="auto"/>
        <w:ind w:firstLine="720"/>
        <w:jc w:val="both"/>
      </w:pPr>
      <w:r w:rsidRPr="009F73F1">
        <w:t>m</w:t>
      </w:r>
      <w:r w:rsidRPr="002E0115">
        <w:rPr>
          <w:vertAlign w:val="subscript"/>
        </w:rPr>
        <w:t xml:space="preserve">1 </w:t>
      </w:r>
      <w:r w:rsidRPr="009F73F1">
        <w:t>is the mass</w:t>
      </w:r>
      <w:r w:rsidR="00155B89">
        <w:t xml:space="preserve"> (g)</w:t>
      </w:r>
      <w:r w:rsidRPr="009F73F1">
        <w:t xml:space="preserve"> retained on the 2,8 mm sieve.</w:t>
      </w:r>
    </w:p>
    <w:p w14:paraId="693532C5" w14:textId="081E936A" w:rsidR="006626CC" w:rsidRDefault="006626CC" w:rsidP="006626CC">
      <w:pPr>
        <w:spacing w:line="360" w:lineRule="auto"/>
        <w:jc w:val="both"/>
      </w:pPr>
      <w:r>
        <w:fldChar w:fldCharType="begin"/>
      </w:r>
      <w:r w:rsidR="00763D00">
        <w:instrText xml:space="preserve"> ADDIN ZOTERO_ITEM CSL_CITATION {"citationID":"PUe6B5Oz","properties":{"formattedCitation":"(British Standards Institute 2015b)","plainCitation":"(British Standards Institute 2015b)","noteIndex":0},"citationItems":[{"id":1991,"uris":["http://zotero.org/users/local/AB2owHL2/items/Z3ADE2BG"],"itemData":{"id":1991,"type":"document","publisher":"British Standards Institution","title":"BS ISO 4696-2: 2015 Iron ores for blast furnace feedstocks — Determination of low-temperature reduction disintegration indices by static method Part 2: Reduction with CO and N2","author":[{"family":"British Standards Institute","given":""}],"issued":{"date-parts":[["2015"]]}}}],"schema":"https://github.com/citation-style-language/schema/raw/master/csl-citation.json"} </w:instrText>
      </w:r>
      <w:r>
        <w:fldChar w:fldCharType="separate"/>
      </w:r>
      <w:r w:rsidR="00763D00" w:rsidRPr="00763D00">
        <w:rPr>
          <w:rFonts w:ascii="Calibri" w:hAnsi="Calibri" w:cs="Calibri"/>
        </w:rPr>
        <w:t>(</w:t>
      </w:r>
      <w:r w:rsidR="00F310DF" w:rsidRPr="00F310DF">
        <w:rPr>
          <w:rFonts w:ascii="Calibri" w:hAnsi="Calibri" w:cs="Calibri"/>
        </w:rPr>
        <w:t>BS ISO 4696-2: 2015</w:t>
      </w:r>
      <w:r w:rsidR="00763D00" w:rsidRPr="00763D00">
        <w:rPr>
          <w:rFonts w:ascii="Calibri" w:hAnsi="Calibri" w:cs="Calibri"/>
        </w:rPr>
        <w:t>)</w:t>
      </w:r>
      <w:r>
        <w:fldChar w:fldCharType="end"/>
      </w:r>
    </w:p>
    <w:p w14:paraId="5E89AE98" w14:textId="0769231C" w:rsidR="006641FD" w:rsidRPr="005105E4" w:rsidRDefault="00D8243D" w:rsidP="006626CC">
      <w:pPr>
        <w:spacing w:line="360" w:lineRule="auto"/>
        <w:jc w:val="both"/>
      </w:pPr>
      <w:r>
        <w:t>The sinter pot produces approx. 1</w:t>
      </w:r>
      <w:r w:rsidR="0029607C">
        <w:t>0</w:t>
      </w:r>
      <w:r>
        <w:t xml:space="preserve"> Kg of sinter</w:t>
      </w:r>
      <w:r w:rsidR="005927BA">
        <w:t xml:space="preserve"> and </w:t>
      </w:r>
      <w:r w:rsidR="00C92F9A">
        <w:t>each</w:t>
      </w:r>
      <w:r w:rsidR="005927BA">
        <w:t xml:space="preserve"> </w:t>
      </w:r>
      <w:r w:rsidR="009F7A51">
        <w:t xml:space="preserve">biochar addition was carried out in duplicate. </w:t>
      </w:r>
      <w:r w:rsidR="00624011">
        <w:t xml:space="preserve">A PSD was carried out on the </w:t>
      </w:r>
      <w:r w:rsidR="000F3DD4">
        <w:t xml:space="preserve">sinter and the material between </w:t>
      </w:r>
      <w:r w:rsidR="00BB54AB">
        <w:t>16mm – 20 mm kept from one of the tests for RDI</w:t>
      </w:r>
      <w:r w:rsidR="000E4158">
        <w:t xml:space="preserve"> </w:t>
      </w:r>
      <w:r w:rsidR="005721DD">
        <w:t>testing the other was used for the tumble and abrasion testing</w:t>
      </w:r>
      <w:r w:rsidR="000E4158">
        <w:t>. The weight of this material would not be enough to meet the ISO std of 500g</w:t>
      </w:r>
      <w:r w:rsidR="00AF08D6">
        <w:t xml:space="preserve"> and so the RDI test was carried out </w:t>
      </w:r>
      <w:r w:rsidR="005721DD">
        <w:t>using whatever material was left of the required size fraction.</w:t>
      </w:r>
    </w:p>
    <w:p w14:paraId="75A59E8F" w14:textId="2C953063" w:rsidR="00225BF7" w:rsidRDefault="00E10504" w:rsidP="006626CC">
      <w:pPr>
        <w:pStyle w:val="Heading3"/>
        <w:spacing w:line="360" w:lineRule="auto"/>
        <w:jc w:val="both"/>
      </w:pPr>
      <w:bookmarkStart w:id="69" w:name="_Toc127911458"/>
      <w:r>
        <w:t>Tumble and Abrasion ind</w:t>
      </w:r>
      <w:r w:rsidR="009202E7">
        <w:t>ices</w:t>
      </w:r>
      <w:bookmarkEnd w:id="69"/>
    </w:p>
    <w:p w14:paraId="25DE0520" w14:textId="0197B286" w:rsidR="0025471C" w:rsidRDefault="000D30A1" w:rsidP="00ED35A8">
      <w:r w:rsidRPr="000D30A1">
        <w:rPr>
          <w:noProof/>
        </w:rPr>
        <w:drawing>
          <wp:inline distT="0" distB="0" distL="0" distR="0" wp14:anchorId="3D8CE796" wp14:editId="7FC48A53">
            <wp:extent cx="3643630" cy="2816352"/>
            <wp:effectExtent l="0" t="0" r="0" b="0"/>
            <wp:docPr id="41" name="Picture 4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 engineering drawing&#10;&#10;Description automatically generated"/>
                    <pic:cNvPicPr/>
                  </pic:nvPicPr>
                  <pic:blipFill>
                    <a:blip r:embed="rId51"/>
                    <a:stretch>
                      <a:fillRect/>
                    </a:stretch>
                  </pic:blipFill>
                  <pic:spPr>
                    <a:xfrm>
                      <a:off x="0" y="0"/>
                      <a:ext cx="3663837" cy="2831971"/>
                    </a:xfrm>
                    <a:prstGeom prst="rect">
                      <a:avLst/>
                    </a:prstGeom>
                  </pic:spPr>
                </pic:pic>
              </a:graphicData>
            </a:graphic>
          </wp:inline>
        </w:drawing>
      </w:r>
    </w:p>
    <w:p w14:paraId="33A861BF" w14:textId="235E2240" w:rsidR="00ED35A8" w:rsidRDefault="00ED35A8" w:rsidP="00ED35A8">
      <w:pPr>
        <w:pStyle w:val="Caption"/>
      </w:pPr>
      <w:bookmarkStart w:id="70" w:name="_Toc127110926"/>
      <w:r>
        <w:t xml:space="preserve">Figure </w:t>
      </w:r>
      <w:fldSimple w:instr=" SEQ Figure \* ARABIC ">
        <w:r w:rsidR="00A0212F">
          <w:rPr>
            <w:noProof/>
          </w:rPr>
          <w:t>32</w:t>
        </w:r>
      </w:fldSimple>
      <w:r>
        <w:t xml:space="preserve"> </w:t>
      </w:r>
      <w:r w:rsidRPr="00D5201D">
        <w:t>The drum specifications for the tumble and abrasion test (British Standards Institute 2015a)</w:t>
      </w:r>
      <w:bookmarkEnd w:id="70"/>
    </w:p>
    <w:p w14:paraId="49D72385" w14:textId="473FBCD9" w:rsidR="0088005A" w:rsidRPr="0088005A" w:rsidRDefault="00712399" w:rsidP="00137758">
      <w:pPr>
        <w:spacing w:line="360" w:lineRule="auto"/>
        <w:jc w:val="both"/>
      </w:pPr>
      <w:r>
        <w:t xml:space="preserve">It is very important for the BF to reduce the quantity of fines </w:t>
      </w:r>
      <w:r w:rsidR="00323E7D">
        <w:t>within it as much as possible.</w:t>
      </w:r>
      <w:r w:rsidR="00137758">
        <w:t xml:space="preserve"> </w:t>
      </w:r>
      <w:r w:rsidR="00E21343">
        <w:t>Fines produced d</w:t>
      </w:r>
      <w:r w:rsidR="00137758">
        <w:t xml:space="preserve">uring charging </w:t>
      </w:r>
      <w:r w:rsidR="00AD1EF7">
        <w:t>of the burden</w:t>
      </w:r>
      <w:r w:rsidR="00E21343">
        <w:t xml:space="preserve"> can </w:t>
      </w:r>
      <w:r w:rsidR="00D954AC">
        <w:t>accumulate at the point of impact on the burden surface</w:t>
      </w:r>
      <w:r w:rsidR="00B7657A">
        <w:t>. A high concentration of fines will impede gas flow</w:t>
      </w:r>
      <w:r w:rsidR="00A67191">
        <w:t xml:space="preserve"> and </w:t>
      </w:r>
      <w:r w:rsidR="00CB4AB6">
        <w:t xml:space="preserve">result in operational </w:t>
      </w:r>
      <w:r w:rsidR="008757D5">
        <w:t>instability</w:t>
      </w:r>
      <w:r w:rsidR="00CB4AB6">
        <w:t>.</w:t>
      </w:r>
      <w:r w:rsidR="00B65761">
        <w:t xml:space="preserve"> Cold</w:t>
      </w:r>
      <w:r w:rsidR="008757D5">
        <w:t xml:space="preserve"> strength is characterised</w:t>
      </w:r>
      <w:r w:rsidR="00581B09">
        <w:t xml:space="preserve"> by the tumbler test</w:t>
      </w:r>
      <w:r w:rsidR="009A3018">
        <w:t xml:space="preserve"> </w:t>
      </w:r>
      <w:r w:rsidR="009A3018">
        <w:fldChar w:fldCharType="begin"/>
      </w:r>
      <w:r w:rsidR="009A3018">
        <w:instrText xml:space="preserve"> ADDIN ZOTERO_ITEM CSL_CITATION {"citationID":"ibQcRg9s","properties":{"formattedCitation":"(Geerdes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9A3018">
        <w:fldChar w:fldCharType="separate"/>
      </w:r>
      <w:r w:rsidR="009A3018" w:rsidRPr="009A3018">
        <w:rPr>
          <w:rFonts w:ascii="Calibri" w:hAnsi="Calibri" w:cs="Calibri"/>
        </w:rPr>
        <w:t>(Geerdes et al. 2009)</w:t>
      </w:r>
      <w:r w:rsidR="009A3018">
        <w:fldChar w:fldCharType="end"/>
      </w:r>
      <w:r w:rsidR="00581B09">
        <w:t>.</w:t>
      </w:r>
    </w:p>
    <w:p w14:paraId="49767C9E" w14:textId="6E0B8307" w:rsidR="00CE6EC8" w:rsidRDefault="0031663D" w:rsidP="008B2A8C">
      <w:pPr>
        <w:spacing w:line="360" w:lineRule="auto"/>
        <w:jc w:val="both"/>
      </w:pPr>
      <w:r>
        <w:t>The sinter sample is sieved</w:t>
      </w:r>
      <w:r w:rsidR="00A57057">
        <w:t xml:space="preserve"> through 25mm, 16mm and 10mm sieves</w:t>
      </w:r>
      <w:r w:rsidR="00750F35">
        <w:t>,</w:t>
      </w:r>
      <w:r>
        <w:t xml:space="preserve"> </w:t>
      </w:r>
      <w:r w:rsidR="00CE6EC8">
        <w:t>normally</w:t>
      </w:r>
      <w:r>
        <w:t xml:space="preserve"> a 15Kg sample is made up from proporti</w:t>
      </w:r>
      <w:r w:rsidR="00F329CB">
        <w:t>onate amount of material from each of the</w:t>
      </w:r>
      <w:r w:rsidR="00CE6EC8">
        <w:t>se</w:t>
      </w:r>
      <w:r w:rsidR="00F329CB">
        <w:t xml:space="preserve"> size</w:t>
      </w:r>
      <w:r w:rsidR="00A57057">
        <w:t xml:space="preserve"> fractions</w:t>
      </w:r>
      <w:r w:rsidR="00750F35">
        <w:t>.</w:t>
      </w:r>
      <w:r w:rsidR="00CE6EC8">
        <w:t xml:space="preserve"> As the sinter pot only produces a 10 Kg sample, a modified version of this test will be carried out using 5Kg of the sinter pot produced sinter, sieved to 10mm, 16mm, 25mm.</w:t>
      </w:r>
    </w:p>
    <w:p w14:paraId="3CB81051" w14:textId="73F2B236" w:rsidR="005E4053" w:rsidRDefault="00750F35" w:rsidP="008B2A8C">
      <w:pPr>
        <w:spacing w:line="360" w:lineRule="auto"/>
        <w:jc w:val="both"/>
        <w:rPr>
          <w:rFonts w:cstheme="minorHAnsi"/>
        </w:rPr>
      </w:pPr>
      <w:r>
        <w:t>The</w:t>
      </w:r>
      <w:r w:rsidR="0029607C">
        <w:t xml:space="preserve"> ISO std states that</w:t>
      </w:r>
      <w:r w:rsidR="001C0C82">
        <w:t xml:space="preserve"> the sample should</w:t>
      </w:r>
      <w:r>
        <w:t xml:space="preserve"> </w:t>
      </w:r>
      <w:r w:rsidR="001C0C82">
        <w:t>be</w:t>
      </w:r>
      <w:r>
        <w:t xml:space="preserve"> </w:t>
      </w:r>
      <w:r w:rsidR="008B2A8C">
        <w:t xml:space="preserve">tumbled in </w:t>
      </w:r>
      <w:r w:rsidR="007C00B4">
        <w:t>a</w:t>
      </w:r>
      <w:r w:rsidR="008B2A8C">
        <w:t xml:space="preserve"> drum for 200 revolutions at 25 rpm</w:t>
      </w:r>
      <w:r w:rsidR="009830B6">
        <w:t xml:space="preserve"> and then sieved again over </w:t>
      </w:r>
      <w:r w:rsidR="00D1057E">
        <w:t>6.3mm and 500</w:t>
      </w:r>
      <w:r w:rsidR="009D43EC">
        <w:rPr>
          <w:rFonts w:cstheme="minorHAnsi"/>
        </w:rPr>
        <w:t>μm</w:t>
      </w:r>
      <w:r w:rsidR="00375039">
        <w:rPr>
          <w:rFonts w:cstheme="minorHAnsi"/>
        </w:rPr>
        <w:t xml:space="preserve"> sieve</w:t>
      </w:r>
      <w:r w:rsidR="00D3117C">
        <w:rPr>
          <w:rFonts w:cstheme="minorHAnsi"/>
        </w:rPr>
        <w:t>s</w:t>
      </w:r>
      <w:r w:rsidR="00482973">
        <w:rPr>
          <w:rFonts w:cstheme="minorHAnsi"/>
        </w:rPr>
        <w:t>.</w:t>
      </w:r>
      <w:r w:rsidR="001C0C82">
        <w:rPr>
          <w:rFonts w:cstheme="minorHAnsi"/>
        </w:rPr>
        <w:t xml:space="preserve"> Due to the smaller sample size only 50</w:t>
      </w:r>
      <w:r w:rsidR="00B667A3">
        <w:rPr>
          <w:rFonts w:cstheme="minorHAnsi"/>
        </w:rPr>
        <w:t xml:space="preserve"> revolutions were carried out.</w:t>
      </w:r>
      <w:r w:rsidR="007C00B4">
        <w:rPr>
          <w:rFonts w:cstheme="minorHAnsi"/>
        </w:rPr>
        <w:t xml:space="preserve"> The drum requirements are displayed in figure 32.</w:t>
      </w:r>
      <w:r w:rsidR="00A522D0">
        <w:rPr>
          <w:rFonts w:cstheme="minorHAnsi"/>
        </w:rPr>
        <w:t xml:space="preserve"> </w:t>
      </w:r>
    </w:p>
    <w:p w14:paraId="5F6AFECA" w14:textId="29B0F44E" w:rsidR="00F60A50" w:rsidRDefault="008821D8" w:rsidP="008B2A8C">
      <w:pPr>
        <w:spacing w:line="360" w:lineRule="auto"/>
        <w:jc w:val="both"/>
        <w:rPr>
          <w:rFonts w:cstheme="minorHAnsi"/>
        </w:rPr>
      </w:pPr>
      <w:r>
        <w:rPr>
          <w:rFonts w:cstheme="minorHAnsi"/>
        </w:rPr>
        <w:lastRenderedPageBreak/>
        <w:t>The tumble index</w:t>
      </w:r>
      <w:r w:rsidR="00FA7FB2">
        <w:rPr>
          <w:rFonts w:cstheme="minorHAnsi"/>
        </w:rPr>
        <w:t xml:space="preserve"> (TI)</w:t>
      </w:r>
      <w:r>
        <w:rPr>
          <w:rFonts w:cstheme="minorHAnsi"/>
        </w:rPr>
        <w:t xml:space="preserve"> </w:t>
      </w:r>
      <w:r w:rsidR="005E4053">
        <w:rPr>
          <w:rFonts w:cstheme="minorHAnsi"/>
        </w:rPr>
        <w:t>is calculated by</w:t>
      </w:r>
      <w:r w:rsidR="00F60A50">
        <w:rPr>
          <w:rFonts w:cstheme="minorHAnsi"/>
        </w:rPr>
        <w:t>:</w:t>
      </w:r>
    </w:p>
    <w:p w14:paraId="15E0D0B2" w14:textId="4BFCC4BD" w:rsidR="00334616" w:rsidRPr="00604972" w:rsidRDefault="00334616" w:rsidP="008B2A8C">
      <w:pPr>
        <w:spacing w:line="360" w:lineRule="auto"/>
        <w:jc w:val="both"/>
        <w:rPr>
          <w:rFonts w:eastAsiaTheme="minorEastAsia" w:cstheme="minorHAnsi"/>
        </w:rPr>
      </w:pPr>
      <m:oMathPara>
        <m:oMath>
          <m:r>
            <w:rPr>
              <w:rFonts w:ascii="Cambria Math" w:hAnsi="Cambria Math" w:cstheme="minorHAnsi"/>
            </w:rPr>
            <m:t xml:space="preserve">Ti=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1</m:t>
                  </m:r>
                </m:sub>
              </m:sSub>
            </m:num>
            <m:den>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0</m:t>
                  </m:r>
                </m:sub>
              </m:sSub>
            </m:den>
          </m:f>
          <m:r>
            <w:rPr>
              <w:rFonts w:ascii="Cambria Math" w:hAnsi="Cambria Math" w:cstheme="minorHAnsi"/>
            </w:rPr>
            <m:t>*100</m:t>
          </m:r>
        </m:oMath>
      </m:oMathPara>
    </w:p>
    <w:p w14:paraId="74A08D84" w14:textId="2854DE22" w:rsidR="00604972" w:rsidRDefault="00604972" w:rsidP="008B2A8C">
      <w:pPr>
        <w:spacing w:line="360" w:lineRule="auto"/>
        <w:jc w:val="both"/>
        <w:rPr>
          <w:rFonts w:eastAsiaTheme="minorEastAsia" w:cstheme="minorHAnsi"/>
        </w:rPr>
      </w:pPr>
      <w:r>
        <w:rPr>
          <w:rFonts w:eastAsiaTheme="minorEastAsia" w:cstheme="minorHAnsi"/>
        </w:rPr>
        <w:t>The abrasion index</w:t>
      </w:r>
      <w:r w:rsidR="00FA7FB2">
        <w:rPr>
          <w:rFonts w:eastAsiaTheme="minorEastAsia" w:cstheme="minorHAnsi"/>
        </w:rPr>
        <w:t xml:space="preserve"> (AI)</w:t>
      </w:r>
      <w:r>
        <w:rPr>
          <w:rFonts w:eastAsiaTheme="minorEastAsia" w:cstheme="minorHAnsi"/>
        </w:rPr>
        <w:t xml:space="preserve"> is calculated by:</w:t>
      </w:r>
    </w:p>
    <w:p w14:paraId="2F159194" w14:textId="780D03CC" w:rsidR="00604972" w:rsidRPr="009B2321" w:rsidRDefault="00604972" w:rsidP="008B2A8C">
      <w:pPr>
        <w:spacing w:line="360" w:lineRule="auto"/>
        <w:jc w:val="both"/>
        <w:rPr>
          <w:rFonts w:eastAsiaTheme="minorEastAsia" w:cstheme="minorHAnsi"/>
        </w:rPr>
      </w:pPr>
      <m:oMathPara>
        <m:oMath>
          <m:r>
            <w:rPr>
              <w:rFonts w:ascii="Cambria Math" w:eastAsiaTheme="minorEastAsia" w:hAnsi="Cambria Math" w:cstheme="minorHAnsi"/>
              <w:sz w:val="24"/>
            </w:rPr>
            <m:t xml:space="preserve">Ai= </m:t>
          </m:r>
          <m:f>
            <m:fPr>
              <m:ctrlPr>
                <w:rPr>
                  <w:rFonts w:ascii="Cambria Math" w:eastAsiaTheme="minorEastAsia" w:hAnsi="Cambria Math" w:cstheme="minorHAnsi"/>
                  <w:i/>
                  <w:sz w:val="24"/>
                </w:rPr>
              </m:ctrlPr>
            </m:fPr>
            <m:num>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 xml:space="preserve">0-( </m:t>
                  </m:r>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1</m:t>
                      </m:r>
                    </m:sub>
                  </m:sSub>
                  <m:r>
                    <w:rPr>
                      <w:rFonts w:ascii="Cambria Math" w:eastAsiaTheme="minorEastAsia" w:hAnsi="Cambria Math" w:cstheme="minorHAnsi"/>
                      <w:sz w:val="24"/>
                    </w:rPr>
                    <m:t xml:space="preserve">* </m:t>
                  </m:r>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2</m:t>
                      </m:r>
                    </m:sub>
                  </m:sSub>
                  <m:r>
                    <w:rPr>
                      <w:rFonts w:ascii="Cambria Math" w:eastAsiaTheme="minorEastAsia" w:hAnsi="Cambria Math" w:cstheme="minorHAnsi"/>
                      <w:sz w:val="24"/>
                    </w:rPr>
                    <m:t>)</m:t>
                  </m:r>
                </m:sub>
              </m:sSub>
            </m:num>
            <m:den>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0</m:t>
                  </m:r>
                </m:sub>
              </m:sSub>
            </m:den>
          </m:f>
          <m:r>
            <w:rPr>
              <w:rFonts w:ascii="Cambria Math" w:eastAsiaTheme="minorEastAsia" w:hAnsi="Cambria Math" w:cstheme="minorHAnsi"/>
              <w:sz w:val="24"/>
            </w:rPr>
            <m:t>*100</m:t>
          </m:r>
        </m:oMath>
      </m:oMathPara>
    </w:p>
    <w:p w14:paraId="736703BB" w14:textId="0863424C" w:rsidR="00813B30" w:rsidRDefault="00813B30" w:rsidP="008B2A8C">
      <w:pPr>
        <w:spacing w:line="360" w:lineRule="auto"/>
        <w:jc w:val="both"/>
      </w:pPr>
      <w:r>
        <w:t>Where:</w:t>
      </w:r>
      <w:r w:rsidR="00856990">
        <w:t xml:space="preserve"> </w:t>
      </w:r>
      <w:r>
        <w:t>m</w:t>
      </w:r>
      <w:r w:rsidRPr="00813B30">
        <w:rPr>
          <w:vertAlign w:val="subscript"/>
        </w:rPr>
        <w:t>0</w:t>
      </w:r>
      <w:r>
        <w:t xml:space="preserve"> is the mass</w:t>
      </w:r>
      <w:r w:rsidR="00470EA4">
        <w:t xml:space="preserve"> (Kg) </w:t>
      </w:r>
      <w:r>
        <w:t xml:space="preserve">of the test portion placed in the tumble </w:t>
      </w:r>
      <w:r w:rsidR="00AD7204">
        <w:t>drum.</w:t>
      </w:r>
      <w:r>
        <w:t xml:space="preserve"> </w:t>
      </w:r>
    </w:p>
    <w:p w14:paraId="74604BC5" w14:textId="3E3F7184" w:rsidR="00813B30" w:rsidRDefault="00813B30" w:rsidP="00856990">
      <w:pPr>
        <w:spacing w:line="360" w:lineRule="auto"/>
        <w:ind w:firstLine="720"/>
        <w:jc w:val="both"/>
      </w:pPr>
      <w:r>
        <w:t>m</w:t>
      </w:r>
      <w:r w:rsidRPr="00813B30">
        <w:rPr>
          <w:vertAlign w:val="subscript"/>
        </w:rPr>
        <w:t>1</w:t>
      </w:r>
      <w:r>
        <w:t xml:space="preserve"> is the mass</w:t>
      </w:r>
      <w:r w:rsidR="00470EA4">
        <w:t xml:space="preserve"> (Kg)</w:t>
      </w:r>
      <w:r>
        <w:t xml:space="preserve"> of the tumbled test </w:t>
      </w:r>
      <w:r w:rsidR="00BB0DD5">
        <w:t>portion (+</w:t>
      </w:r>
      <w:r w:rsidR="00ED6E12">
        <w:t>6.3mm)</w:t>
      </w:r>
      <w:r>
        <w:t xml:space="preserve">; </w:t>
      </w:r>
    </w:p>
    <w:p w14:paraId="1E3CE196" w14:textId="490F4422" w:rsidR="009B2321" w:rsidRDefault="00813B30" w:rsidP="00856990">
      <w:pPr>
        <w:spacing w:line="360" w:lineRule="auto"/>
        <w:ind w:firstLine="720"/>
        <w:jc w:val="both"/>
      </w:pPr>
      <w:r>
        <w:t>m</w:t>
      </w:r>
      <w:r w:rsidRPr="00813B30">
        <w:rPr>
          <w:vertAlign w:val="subscript"/>
        </w:rPr>
        <w:t>2</w:t>
      </w:r>
      <w:r>
        <w:t xml:space="preserve"> is the mass</w:t>
      </w:r>
      <w:r w:rsidR="00B2416D">
        <w:t xml:space="preserve"> (Kg) </w:t>
      </w:r>
      <w:r>
        <w:t>of the tumbled test portion</w:t>
      </w:r>
      <w:r w:rsidR="00B2416D">
        <w:t xml:space="preserve"> (-6.3mm - 500</w:t>
      </w:r>
      <w:r w:rsidR="00B2416D" w:rsidRPr="00B2416D">
        <w:t xml:space="preserve"> </w:t>
      </w:r>
      <w:proofErr w:type="spellStart"/>
      <w:r w:rsidR="00B2416D">
        <w:t>μm</w:t>
      </w:r>
      <w:proofErr w:type="spellEnd"/>
      <w:r w:rsidR="00B2416D">
        <w:t>)</w:t>
      </w:r>
      <w:r>
        <w:t>.</w:t>
      </w:r>
    </w:p>
    <w:p w14:paraId="78562B3E" w14:textId="69A330F1" w:rsidR="00763D00" w:rsidRPr="00604972" w:rsidRDefault="00763D00" w:rsidP="008B2A8C">
      <w:pPr>
        <w:spacing w:line="360" w:lineRule="auto"/>
        <w:jc w:val="both"/>
        <w:rPr>
          <w:rFonts w:eastAsiaTheme="minorEastAsia" w:cstheme="minorHAnsi"/>
        </w:rPr>
      </w:pPr>
      <w:r>
        <w:rPr>
          <w:rFonts w:eastAsiaTheme="minorEastAsia" w:cstheme="minorHAnsi"/>
        </w:rPr>
        <w:fldChar w:fldCharType="begin"/>
      </w:r>
      <w:r>
        <w:rPr>
          <w:rFonts w:eastAsiaTheme="minorEastAsia" w:cstheme="minorHAnsi"/>
        </w:rPr>
        <w:instrText xml:space="preserve"> ADDIN ZOTERO_ITEM CSL_CITATION {"citationID":"3AsUAcff","properties":{"formattedCitation":"(British Standards Institute 2015a)","plainCitation":"(British Standards Institute 2015a)","noteIndex":0},"citationItems":[{"id":1994,"uris":["http://zotero.org/users/local/AB2owHL2/items/G32KHBV2"],"itemData":{"id":1994,"type":"document","publisher":"British Standards Institution","title":"BS ISO 3271: 2015 Iron ores for blast furnace and direct reduction feedstocks — Determination of the tumble and abrasion indices","author":[{"family":"British Standards Institute","given":""}],"issued":{"date-parts":[["2015"]]}}}],"schema":"https://github.com/citation-style-language/schema/raw/master/csl-citation.json"} </w:instrText>
      </w:r>
      <w:r>
        <w:rPr>
          <w:rFonts w:eastAsiaTheme="minorEastAsia" w:cstheme="minorHAnsi"/>
        </w:rPr>
        <w:fldChar w:fldCharType="separate"/>
      </w:r>
      <w:r w:rsidRPr="00763D00">
        <w:rPr>
          <w:rFonts w:ascii="Calibri" w:hAnsi="Calibri" w:cs="Calibri"/>
        </w:rPr>
        <w:t>(</w:t>
      </w:r>
      <w:r w:rsidR="0054067A" w:rsidRPr="0054067A">
        <w:rPr>
          <w:rFonts w:ascii="Calibri" w:hAnsi="Calibri" w:cs="Calibri"/>
        </w:rPr>
        <w:t>ISO 556-2020</w:t>
      </w:r>
      <w:r w:rsidRPr="00763D00">
        <w:rPr>
          <w:rFonts w:ascii="Calibri" w:hAnsi="Calibri" w:cs="Calibri"/>
        </w:rPr>
        <w:t>)</w:t>
      </w:r>
      <w:r>
        <w:rPr>
          <w:rFonts w:eastAsiaTheme="minorEastAsia" w:cstheme="minorHAnsi"/>
        </w:rPr>
        <w:fldChar w:fldCharType="end"/>
      </w:r>
    </w:p>
    <w:p w14:paraId="49CA1895" w14:textId="304EE0D7" w:rsidR="00225BF7" w:rsidRDefault="007C6BC0" w:rsidP="0004601A">
      <w:pPr>
        <w:pStyle w:val="Heading3"/>
        <w:spacing w:line="360" w:lineRule="auto"/>
        <w:jc w:val="both"/>
      </w:pPr>
      <w:bookmarkStart w:id="71" w:name="_Toc127911459"/>
      <w:r>
        <w:t>Quality Control</w:t>
      </w:r>
      <w:bookmarkEnd w:id="71"/>
    </w:p>
    <w:p w14:paraId="57B45762" w14:textId="24C91095" w:rsidR="0004601A" w:rsidRDefault="0004601A" w:rsidP="0004601A">
      <w:pPr>
        <w:spacing w:line="360" w:lineRule="auto"/>
        <w:jc w:val="both"/>
      </w:pPr>
      <w:r>
        <w:t xml:space="preserve">All the </w:t>
      </w:r>
      <w:r w:rsidR="00FF46CA">
        <w:t>analysis</w:t>
      </w:r>
      <w:r>
        <w:t xml:space="preserve"> in the report was</w:t>
      </w:r>
      <w:r w:rsidR="00423C8C">
        <w:t xml:space="preserve"> carried out at the Port Talbot steelworks laboratories</w:t>
      </w:r>
      <w:r w:rsidR="001F3C75">
        <w:t xml:space="preserve"> apart from the CV</w:t>
      </w:r>
      <w:r w:rsidR="00FF46CA">
        <w:t xml:space="preserve">, </w:t>
      </w:r>
      <w:r w:rsidR="00B302D0">
        <w:t>u</w:t>
      </w:r>
      <w:r w:rsidR="00FF46CA">
        <w:t>ltimate</w:t>
      </w:r>
      <w:r w:rsidR="001F3C75">
        <w:t xml:space="preserve"> and drop tube t</w:t>
      </w:r>
      <w:r w:rsidR="00FF46CA">
        <w:t>esting</w:t>
      </w:r>
      <w:r w:rsidR="006844C6">
        <w:t>,</w:t>
      </w:r>
      <w:r w:rsidR="00FF46CA">
        <w:t xml:space="preserve"> </w:t>
      </w:r>
      <w:r w:rsidR="002963E4">
        <w:t>a</w:t>
      </w:r>
      <w:r w:rsidR="00FF46CA">
        <w:t>s the</w:t>
      </w:r>
      <w:r w:rsidR="00717A5D">
        <w:t xml:space="preserve"> laboratories lacked the facilities to provide </w:t>
      </w:r>
      <w:r w:rsidR="0036151B">
        <w:t>this analysis</w:t>
      </w:r>
      <w:r w:rsidR="00717A5D">
        <w:t>.</w:t>
      </w:r>
      <w:r w:rsidR="00B302D0">
        <w:t xml:space="preserve"> </w:t>
      </w:r>
      <w:r w:rsidR="00D12776">
        <w:t>For</w:t>
      </w:r>
      <w:r w:rsidR="00B302D0">
        <w:t xml:space="preserve"> CV and ultimate analysis</w:t>
      </w:r>
      <w:r w:rsidR="00D12776">
        <w:t xml:space="preserve">, the samples were sent to </w:t>
      </w:r>
      <w:proofErr w:type="spellStart"/>
      <w:r w:rsidR="00D12776">
        <w:t>Socotec</w:t>
      </w:r>
      <w:proofErr w:type="spellEnd"/>
      <w:r w:rsidR="009B7CEB">
        <w:t xml:space="preserve"> lab</w:t>
      </w:r>
      <w:r w:rsidR="00A10E86">
        <w:t>orat</w:t>
      </w:r>
      <w:r w:rsidR="00672B11">
        <w:t>ories</w:t>
      </w:r>
      <w:r w:rsidR="00D12776">
        <w:t xml:space="preserve"> </w:t>
      </w:r>
      <w:r w:rsidR="00672B11">
        <w:t>which has</w:t>
      </w:r>
      <w:r w:rsidR="00A10E86">
        <w:t xml:space="preserve"> </w:t>
      </w:r>
      <w:r w:rsidR="00672B11">
        <w:t>United Kingdom</w:t>
      </w:r>
      <w:r w:rsidR="00A10E86">
        <w:t xml:space="preserve"> accredited services (UKAS) </w:t>
      </w:r>
      <w:r w:rsidR="00672B11">
        <w:t xml:space="preserve">accreditation </w:t>
      </w:r>
      <w:r w:rsidR="00672B11">
        <w:fldChar w:fldCharType="begin"/>
      </w:r>
      <w:r w:rsidR="00672B11">
        <w:instrText xml:space="preserve"> ADDIN ZOTERO_ITEM CSL_CITATION {"citationID":"0Qqc5IQZ","properties":{"formattedCitation":"(Solid Biofuels. [no date])","plainCitation":"(Solid Biofuels. [no date])","noteIndex":0},"citationItems":[{"id":2018,"uris":["http://zotero.org/users/local/AB2owHL2/items/FTT82NDS"],"itemData":{"id":2018,"type":"webpage","abstract":"Solid Biofuels","container-title":"SOCOTEC UK","language":"en-gb","title":"Solid Biofuels","URL":"https://www.socotec.co.uk/our-services/energy-supply-generation-and-regulation/solid-biofuels","accessed":{"date-parts":[["2022",10,13]]}}}],"schema":"https://github.com/citation-style-language/schema/raw/master/csl-citation.json"} </w:instrText>
      </w:r>
      <w:r w:rsidR="00672B11">
        <w:fldChar w:fldCharType="separate"/>
      </w:r>
      <w:r w:rsidR="00672B11" w:rsidRPr="00D12776">
        <w:rPr>
          <w:rFonts w:ascii="Calibri" w:hAnsi="Calibri" w:cs="Calibri"/>
        </w:rPr>
        <w:t>(Solid Biofuels. [no date])</w:t>
      </w:r>
      <w:r w:rsidR="00672B11">
        <w:fldChar w:fldCharType="end"/>
      </w:r>
      <w:r w:rsidR="00672B11">
        <w:t>.</w:t>
      </w:r>
      <w:r w:rsidR="00840164">
        <w:t xml:space="preserve"> The drop tube tests were carried out by the author at Cardiff university engineering department under the supervision of Dr J. Steer.</w:t>
      </w:r>
    </w:p>
    <w:p w14:paraId="2598B078" w14:textId="2243F2B0" w:rsidR="00E3251F" w:rsidRDefault="0036151B" w:rsidP="0004601A">
      <w:pPr>
        <w:spacing w:line="360" w:lineRule="auto"/>
        <w:jc w:val="both"/>
      </w:pPr>
      <w:r>
        <w:t>In line with the laboratory</w:t>
      </w:r>
      <w:r w:rsidR="002E5C7B">
        <w:t xml:space="preserve"> standard</w:t>
      </w:r>
      <w:r>
        <w:t xml:space="preserve"> ISO 17025, a</w:t>
      </w:r>
      <w:r w:rsidR="00E3251F">
        <w:t xml:space="preserve">ll </w:t>
      </w:r>
      <w:r w:rsidR="00870666">
        <w:t>the equipment used in these tests such as</w:t>
      </w:r>
      <w:r>
        <w:t xml:space="preserve"> drying</w:t>
      </w:r>
      <w:r w:rsidR="00870666">
        <w:t xml:space="preserve"> ovens, furnaces</w:t>
      </w:r>
      <w:r>
        <w:t xml:space="preserve">, </w:t>
      </w:r>
      <w:r w:rsidR="002D7671">
        <w:t>thermocouples</w:t>
      </w:r>
      <w:r>
        <w:t>, XRF’s and ICP’s</w:t>
      </w:r>
      <w:r w:rsidR="002D7671">
        <w:t xml:space="preserve"> are calibrated</w:t>
      </w:r>
      <w:r>
        <w:t>, serviced, and certified</w:t>
      </w:r>
      <w:r w:rsidR="002D7671">
        <w:t xml:space="preserve"> annually by independent </w:t>
      </w:r>
      <w:r>
        <w:t>and accredited companies. Quality checks are also carried out and recorded daily. Equipment such as the XRF and ICP require that certified reference materials (CRM</w:t>
      </w:r>
      <w:r w:rsidR="00C950BD">
        <w:t>’s</w:t>
      </w:r>
      <w:r>
        <w:t xml:space="preserve">) are run </w:t>
      </w:r>
      <w:r w:rsidR="002E5C7B">
        <w:t xml:space="preserve">and meet control limits before any analysis can be carried out. </w:t>
      </w:r>
      <w:r>
        <w:t xml:space="preserve"> </w:t>
      </w:r>
      <w:r w:rsidR="002E5C7B">
        <w:t xml:space="preserve">The CSR/CRI </w:t>
      </w:r>
      <w:r w:rsidR="00C950BD">
        <w:t xml:space="preserve">&amp; RDI </w:t>
      </w:r>
      <w:r w:rsidR="002E5C7B">
        <w:t xml:space="preserve">equipment has a weekly standard made up of internally validated bulk coke material. </w:t>
      </w:r>
    </w:p>
    <w:p w14:paraId="622DD199" w14:textId="1C6B254D" w:rsidR="002E5C7B" w:rsidRPr="007C6BC0" w:rsidRDefault="002E5C7B" w:rsidP="0004601A">
      <w:pPr>
        <w:spacing w:line="360" w:lineRule="auto"/>
        <w:jc w:val="both"/>
      </w:pPr>
      <w:r>
        <w:t>All analysis has been carried out in duplicate and meets the repeatability control limits set out</w:t>
      </w:r>
      <w:r w:rsidR="002D10A0">
        <w:t xml:space="preserve"> in</w:t>
      </w:r>
      <w:r>
        <w:t xml:space="preserve"> the relevant ISO standard.</w:t>
      </w:r>
    </w:p>
    <w:p w14:paraId="3B9BE64D" w14:textId="77777777" w:rsidR="00225BF7" w:rsidRDefault="00225BF7" w:rsidP="0004601A">
      <w:pPr>
        <w:pStyle w:val="Heading1"/>
        <w:spacing w:line="360" w:lineRule="auto"/>
        <w:jc w:val="both"/>
      </w:pPr>
    </w:p>
    <w:p w14:paraId="0FBC2396" w14:textId="77777777" w:rsidR="00225BF7" w:rsidRDefault="00225BF7" w:rsidP="003D59BD">
      <w:pPr>
        <w:pStyle w:val="Heading1"/>
        <w:spacing w:line="360" w:lineRule="auto"/>
        <w:jc w:val="both"/>
      </w:pPr>
    </w:p>
    <w:p w14:paraId="49DF8FC8" w14:textId="77777777" w:rsidR="00F420B7" w:rsidRDefault="00F420B7" w:rsidP="00F420B7"/>
    <w:p w14:paraId="15FC87E5" w14:textId="77777777" w:rsidR="00F420B7" w:rsidRDefault="00F420B7" w:rsidP="00F420B7"/>
    <w:p w14:paraId="5CBF64DD" w14:textId="77777777" w:rsidR="009A7DC5" w:rsidRDefault="009A7DC5" w:rsidP="009A7DC5"/>
    <w:p w14:paraId="6FD2DC91" w14:textId="77777777" w:rsidR="00F50EB5" w:rsidRDefault="00225BF7" w:rsidP="00F50EB5">
      <w:pPr>
        <w:pStyle w:val="Heading1"/>
        <w:spacing w:line="360" w:lineRule="auto"/>
        <w:jc w:val="both"/>
      </w:pPr>
      <w:bookmarkStart w:id="72" w:name="_Toc127911460"/>
      <w:r>
        <w:lastRenderedPageBreak/>
        <w:t>Results</w:t>
      </w:r>
      <w:bookmarkEnd w:id="72"/>
    </w:p>
    <w:p w14:paraId="6562B37E" w14:textId="1134A6FB" w:rsidR="004E45AD" w:rsidRDefault="004E45AD" w:rsidP="004E45AD">
      <w:pPr>
        <w:pStyle w:val="Heading2"/>
        <w:spacing w:line="360" w:lineRule="auto"/>
        <w:jc w:val="both"/>
      </w:pPr>
      <w:bookmarkStart w:id="73" w:name="_Toc127911461"/>
      <w:r>
        <w:t xml:space="preserve">Biochar substitution </w:t>
      </w:r>
      <w:r w:rsidR="004C4842">
        <w:t>for</w:t>
      </w:r>
      <w:r>
        <w:t xml:space="preserve"> pulverised coal injection</w:t>
      </w:r>
      <w:bookmarkEnd w:id="73"/>
    </w:p>
    <w:p w14:paraId="5F5F8D49" w14:textId="3304C8A8" w:rsidR="004E45AD" w:rsidRDefault="004E45AD" w:rsidP="00F50EB5">
      <w:pPr>
        <w:spacing w:line="360" w:lineRule="auto"/>
        <w:jc w:val="both"/>
      </w:pPr>
      <w:r>
        <w:t xml:space="preserve">PCI is a </w:t>
      </w:r>
      <w:r w:rsidR="00DA1817">
        <w:t>well establish technique</w:t>
      </w:r>
      <w:r>
        <w:t xml:space="preserve"> used to reduce coke consumption in the BF. </w:t>
      </w:r>
      <w:r w:rsidR="007E3CFF">
        <w:t xml:space="preserve">Pulverised coal is </w:t>
      </w:r>
      <w:r w:rsidR="00DA1817">
        <w:t>pneumatically</w:t>
      </w:r>
      <w:r w:rsidR="007E3CFF">
        <w:t xml:space="preserve"> </w:t>
      </w:r>
      <w:r>
        <w:t>injected into the BF tuyeres</w:t>
      </w:r>
      <w:r w:rsidR="00913EF8">
        <w:t xml:space="preserve"> through a lance</w:t>
      </w:r>
      <w:r w:rsidR="00C630E1">
        <w:t>.</w:t>
      </w:r>
      <w:r w:rsidR="00A56990">
        <w:t xml:space="preserve"> The t</w:t>
      </w:r>
      <w:r w:rsidR="002D24DB">
        <w:t>uyeres a direct hot blast of air int</w:t>
      </w:r>
      <w:r w:rsidR="00407402">
        <w:t xml:space="preserve">o the BF forming a balloon like void called the raceway. </w:t>
      </w:r>
      <w:r w:rsidR="00DA1817">
        <w:t>PCI</w:t>
      </w:r>
      <w:r>
        <w:t xml:space="preserve"> can replace up to 50% of the </w:t>
      </w:r>
      <w:r w:rsidR="009E0AD5">
        <w:t>required coke</w:t>
      </w:r>
      <w:r w:rsidR="00DA1817">
        <w:t>, many furnace</w:t>
      </w:r>
      <w:r w:rsidR="00C630E1">
        <w:t xml:space="preserve">s </w:t>
      </w:r>
      <w:r w:rsidR="00DA1817">
        <w:t xml:space="preserve">achieve PCI rates of 200 kg/t hot metal. Variations in the process, such as temperature and pressure can cause issues such as localised hot/cold spots which can cause damage to the lining of the furnace or result in over consumption of raw materials. BF process stability is very important to ensure consistent </w:t>
      </w:r>
      <w:r w:rsidR="00805437">
        <w:t>iron production</w:t>
      </w:r>
      <w:r w:rsidR="00DA1817">
        <w:t xml:space="preserve"> </w:t>
      </w:r>
      <w:r w:rsidR="00805437">
        <w:t>and to prolong the life of the furnace</w:t>
      </w:r>
      <w:r w:rsidR="00DA1817">
        <w:t xml:space="preserve"> </w:t>
      </w:r>
      <w:r w:rsidR="00DA1817">
        <w:fldChar w:fldCharType="begin"/>
      </w:r>
      <w:r w:rsidR="00DA1817">
        <w:instrText xml:space="preserve"> ADDIN ZOTERO_ITEM CSL_CITATION {"citationID":"0DAMePhK","properties":{"formattedCitation":"(Steer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DA1817">
        <w:fldChar w:fldCharType="separate"/>
      </w:r>
      <w:r w:rsidR="00DA1817" w:rsidRPr="00DA1817">
        <w:rPr>
          <w:rFonts w:ascii="Calibri" w:hAnsi="Calibri" w:cs="Calibri"/>
        </w:rPr>
        <w:t>(Steer et al. 2021)</w:t>
      </w:r>
      <w:r w:rsidR="00DA1817">
        <w:fldChar w:fldCharType="end"/>
      </w:r>
      <w:r>
        <w:t xml:space="preserve">. </w:t>
      </w:r>
    </w:p>
    <w:p w14:paraId="708B162A" w14:textId="7AF74B54" w:rsidR="0090224D" w:rsidRDefault="00D206DB" w:rsidP="00F50EB5">
      <w:pPr>
        <w:spacing w:line="360" w:lineRule="auto"/>
        <w:jc w:val="both"/>
      </w:pPr>
      <w:r>
        <w:fldChar w:fldCharType="begin"/>
      </w:r>
      <w:r w:rsidR="00371188">
        <w:instrText xml:space="preserve"> ADDIN ZOTERO_ITEM CSL_CITATION {"citationID":"M6Vfk8ph","properties":{"formattedCitation":"(Liu and Shen 2021b)","plainCitation":"(Liu and Shen 2021b)","dontUpdate":true,"noteIndex":0},"citationItems":[{"id":2048,"uris":["http://zotero.org/users/local/AB2owHL2/items/JM8PE9PU"],"itemData":{"id":2048,"type":"article-journal","abstract":"Biomass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11,12]]},"issued":{"date-parts":[["2021",11,1]]}}}],"schema":"https://github.com/citation-style-language/schema/raw/master/csl-citation.json"} </w:instrText>
      </w:r>
      <w:r>
        <w:fldChar w:fldCharType="separate"/>
      </w:r>
      <w:r w:rsidRPr="00D206DB">
        <w:rPr>
          <w:rFonts w:ascii="Calibri" w:hAnsi="Calibri" w:cs="Calibri"/>
        </w:rPr>
        <w:t>(Liu and Shen 2021)</w:t>
      </w:r>
      <w:r>
        <w:fldChar w:fldCharType="end"/>
      </w:r>
      <w:r>
        <w:t xml:space="preserve"> advise that when assessing </w:t>
      </w:r>
      <w:r w:rsidR="00FC772E">
        <w:t>biochar as a BF fuel,</w:t>
      </w:r>
      <w:r>
        <w:t xml:space="preserve"> there are several criteria you should consider, namely:</w:t>
      </w:r>
    </w:p>
    <w:p w14:paraId="2DAB1E17" w14:textId="77777777" w:rsidR="00D140D6" w:rsidRDefault="00D140D6" w:rsidP="00D140D6">
      <w:pPr>
        <w:pStyle w:val="ListParagraph"/>
        <w:numPr>
          <w:ilvl w:val="0"/>
          <w:numId w:val="13"/>
        </w:numPr>
        <w:spacing w:line="360" w:lineRule="auto"/>
        <w:jc w:val="both"/>
      </w:pPr>
      <w:r>
        <w:t>Calorific value (CV)</w:t>
      </w:r>
    </w:p>
    <w:p w14:paraId="6CC64C6A" w14:textId="392E6490" w:rsidR="00D140D6" w:rsidRDefault="00D140D6" w:rsidP="00D140D6">
      <w:pPr>
        <w:pStyle w:val="ListParagraph"/>
        <w:numPr>
          <w:ilvl w:val="0"/>
          <w:numId w:val="13"/>
        </w:numPr>
        <w:spacing w:line="360" w:lineRule="auto"/>
        <w:jc w:val="both"/>
      </w:pPr>
      <w:r>
        <w:t>Chemical composition</w:t>
      </w:r>
    </w:p>
    <w:p w14:paraId="5E9AF0DF" w14:textId="01392089" w:rsidR="00D206DB" w:rsidRDefault="00D206DB" w:rsidP="00D206DB">
      <w:pPr>
        <w:pStyle w:val="ListParagraph"/>
        <w:numPr>
          <w:ilvl w:val="0"/>
          <w:numId w:val="13"/>
        </w:numPr>
        <w:spacing w:line="360" w:lineRule="auto"/>
        <w:jc w:val="both"/>
      </w:pPr>
      <w:r>
        <w:t>Combustion characteristics</w:t>
      </w:r>
    </w:p>
    <w:p w14:paraId="4B7FD304" w14:textId="7914AA08" w:rsidR="00D206DB" w:rsidRDefault="00D206DB" w:rsidP="00D206DB">
      <w:pPr>
        <w:pStyle w:val="ListParagraph"/>
        <w:numPr>
          <w:ilvl w:val="0"/>
          <w:numId w:val="13"/>
        </w:numPr>
        <w:spacing w:line="360" w:lineRule="auto"/>
        <w:jc w:val="both"/>
      </w:pPr>
      <w:r>
        <w:t>Carbon gasification reactivity</w:t>
      </w:r>
    </w:p>
    <w:p w14:paraId="2568195A" w14:textId="77777777" w:rsidR="00D206DB" w:rsidRDefault="00D206DB" w:rsidP="00D206DB">
      <w:pPr>
        <w:pStyle w:val="ListParagraph"/>
        <w:numPr>
          <w:ilvl w:val="0"/>
          <w:numId w:val="13"/>
        </w:numPr>
        <w:spacing w:line="360" w:lineRule="auto"/>
        <w:jc w:val="both"/>
      </w:pPr>
      <w:r>
        <w:t>Grinding characteristics and fluidisation properties</w:t>
      </w:r>
    </w:p>
    <w:p w14:paraId="0F7D8D84" w14:textId="77777777" w:rsidR="00D206DB" w:rsidRDefault="00D206DB" w:rsidP="00D206DB">
      <w:pPr>
        <w:pStyle w:val="ListParagraph"/>
        <w:numPr>
          <w:ilvl w:val="0"/>
          <w:numId w:val="13"/>
        </w:numPr>
        <w:spacing w:line="360" w:lineRule="auto"/>
        <w:jc w:val="both"/>
      </w:pPr>
      <w:r>
        <w:t>Softening and melting characteristics of the ash</w:t>
      </w:r>
    </w:p>
    <w:p w14:paraId="2349459F" w14:textId="55F60D10" w:rsidR="00841397" w:rsidRDefault="00D206DB" w:rsidP="00D206DB">
      <w:pPr>
        <w:spacing w:line="360" w:lineRule="auto"/>
        <w:jc w:val="both"/>
      </w:pPr>
      <w:r>
        <w:t xml:space="preserve">Of these six characteristics the first </w:t>
      </w:r>
      <w:r w:rsidR="00944ECA">
        <w:t xml:space="preserve">three </w:t>
      </w:r>
      <w:r>
        <w:t>have been tested on two biochar samples</w:t>
      </w:r>
      <w:r w:rsidR="00EB5CE8">
        <w:t xml:space="preserve"> and a PCI coal, for</w:t>
      </w:r>
      <w:r>
        <w:t xml:space="preserve"> this report. </w:t>
      </w:r>
      <w:r w:rsidR="00F7643F">
        <w:t>T</w:t>
      </w:r>
      <w:r w:rsidR="00841397">
        <w:t>he facilities for testing the</w:t>
      </w:r>
      <w:r w:rsidR="00F7643F">
        <w:t xml:space="preserve"> others</w:t>
      </w:r>
      <w:r w:rsidR="00841397">
        <w:t xml:space="preserve"> were not available for this report.</w:t>
      </w:r>
    </w:p>
    <w:p w14:paraId="5D606B85" w14:textId="5709ABA6" w:rsidR="00A92F61" w:rsidRDefault="00A92F61" w:rsidP="00D206DB">
      <w:pPr>
        <w:spacing w:line="360" w:lineRule="auto"/>
        <w:jc w:val="both"/>
      </w:pPr>
    </w:p>
    <w:p w14:paraId="290AF372" w14:textId="5829587E" w:rsidR="00A92F61" w:rsidRDefault="00A92F61" w:rsidP="00D206DB">
      <w:pPr>
        <w:spacing w:line="360" w:lineRule="auto"/>
        <w:jc w:val="both"/>
      </w:pPr>
    </w:p>
    <w:p w14:paraId="4534C37F" w14:textId="7E20D0A6" w:rsidR="00A92F61" w:rsidRDefault="00A92F61" w:rsidP="00D206DB">
      <w:pPr>
        <w:spacing w:line="360" w:lineRule="auto"/>
        <w:jc w:val="both"/>
      </w:pPr>
    </w:p>
    <w:p w14:paraId="6D8653AA" w14:textId="77777777" w:rsidR="00D4470B" w:rsidRDefault="00D4470B" w:rsidP="00D206DB">
      <w:pPr>
        <w:spacing w:line="360" w:lineRule="auto"/>
        <w:jc w:val="both"/>
      </w:pPr>
    </w:p>
    <w:p w14:paraId="3E64C565" w14:textId="3D1DBB5C" w:rsidR="00A92F61" w:rsidRDefault="00A92F61" w:rsidP="00D206DB">
      <w:pPr>
        <w:spacing w:line="360" w:lineRule="auto"/>
        <w:jc w:val="both"/>
      </w:pPr>
    </w:p>
    <w:p w14:paraId="21EECA26" w14:textId="77777777" w:rsidR="00856990" w:rsidRDefault="00856990" w:rsidP="00D206DB">
      <w:pPr>
        <w:spacing w:line="360" w:lineRule="auto"/>
        <w:jc w:val="both"/>
      </w:pPr>
    </w:p>
    <w:p w14:paraId="38A99901" w14:textId="77777777" w:rsidR="00A92F61" w:rsidRDefault="00A92F61" w:rsidP="00D206DB">
      <w:pPr>
        <w:spacing w:line="360" w:lineRule="auto"/>
        <w:jc w:val="both"/>
      </w:pPr>
    </w:p>
    <w:p w14:paraId="7E594766" w14:textId="4EFFE589" w:rsidR="00C630E1" w:rsidRDefault="00C630E1" w:rsidP="00560D39">
      <w:pPr>
        <w:pStyle w:val="Heading3"/>
        <w:spacing w:line="360" w:lineRule="auto"/>
        <w:jc w:val="both"/>
      </w:pPr>
      <w:bookmarkStart w:id="74" w:name="_Toc127911462"/>
      <w:r w:rsidRPr="00C630E1">
        <w:lastRenderedPageBreak/>
        <w:t xml:space="preserve">Properties of charcoal </w:t>
      </w:r>
      <w:r w:rsidR="00CB63E2">
        <w:t>and</w:t>
      </w:r>
      <w:r w:rsidRPr="00C630E1">
        <w:t xml:space="preserve"> </w:t>
      </w:r>
      <w:r w:rsidR="00CB63E2">
        <w:t>PCI</w:t>
      </w:r>
      <w:r w:rsidRPr="00C630E1">
        <w:t xml:space="preserve"> coal</w:t>
      </w:r>
      <w:bookmarkEnd w:id="74"/>
    </w:p>
    <w:p w14:paraId="2439C54A" w14:textId="6BC288B8" w:rsidR="000E4E31" w:rsidRPr="000E4E31" w:rsidRDefault="000E4E31" w:rsidP="00BD229F">
      <w:pPr>
        <w:pStyle w:val="Heading4"/>
        <w:spacing w:line="360" w:lineRule="auto"/>
        <w:jc w:val="both"/>
      </w:pPr>
      <w:r>
        <w:t>Replacement ratio</w:t>
      </w:r>
    </w:p>
    <w:p w14:paraId="14140BF3" w14:textId="2C148FC8" w:rsidR="00560D39" w:rsidRPr="00C630E1" w:rsidRDefault="00F74036" w:rsidP="00BD229F">
      <w:pPr>
        <w:spacing w:line="360" w:lineRule="auto"/>
        <w:jc w:val="both"/>
      </w:pPr>
      <w:r>
        <w:t>The Ultimate analysis and proximate analysis results for the PCI coal and two biochar’s can be found below in table 3.</w:t>
      </w:r>
    </w:p>
    <w:p w14:paraId="717533A9" w14:textId="505EC14D" w:rsidR="00C630E1" w:rsidRDefault="00C630E1" w:rsidP="00BD229F">
      <w:pPr>
        <w:pStyle w:val="Caption"/>
        <w:spacing w:line="360" w:lineRule="auto"/>
        <w:jc w:val="both"/>
      </w:pPr>
      <w:r>
        <w:t xml:space="preserve">Table </w:t>
      </w:r>
      <w:fldSimple w:instr=" SEQ Table \* ARABIC ">
        <w:r w:rsidR="00DA2639">
          <w:rPr>
            <w:noProof/>
          </w:rPr>
          <w:t>3</w:t>
        </w:r>
      </w:fldSimple>
      <w:r>
        <w:t xml:space="preserve"> The properties of pulverised coal and biochar (Proximate</w:t>
      </w:r>
      <w:r w:rsidR="008118A2">
        <w:t xml:space="preserve"> </w:t>
      </w:r>
      <w:r w:rsidR="007D57C2">
        <w:t>in blue</w:t>
      </w:r>
      <w:r>
        <w:t xml:space="preserve"> and Ultimate analysis</w:t>
      </w:r>
      <w:r w:rsidR="007D57C2">
        <w:t xml:space="preserve"> in grey</w:t>
      </w:r>
      <w:r>
        <w:t>).</w:t>
      </w:r>
    </w:p>
    <w:tbl>
      <w:tblPr>
        <w:tblW w:w="3840" w:type="dxa"/>
        <w:tblInd w:w="2023" w:type="dxa"/>
        <w:tblLook w:val="04A0" w:firstRow="1" w:lastRow="0" w:firstColumn="1" w:lastColumn="0" w:noHBand="0" w:noVBand="1"/>
      </w:tblPr>
      <w:tblGrid>
        <w:gridCol w:w="960"/>
        <w:gridCol w:w="960"/>
        <w:gridCol w:w="960"/>
        <w:gridCol w:w="960"/>
      </w:tblGrid>
      <w:tr w:rsidR="00C630E1" w:rsidRPr="00C630E1" w14:paraId="1CE2E3AA" w14:textId="77777777" w:rsidTr="00F74036">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A00A0E7" w14:textId="2569438F"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w:t>
            </w:r>
            <w:r>
              <w:rPr>
                <w:rFonts w:ascii="Calibri" w:eastAsia="Times New Roman" w:hAnsi="Calibri" w:cs="Calibri"/>
                <w:color w:val="000000"/>
                <w:lang w:eastAsia="en-GB"/>
              </w:rPr>
              <w:t xml:space="preserve"> </w:t>
            </w:r>
            <w:r w:rsidRPr="00C630E1">
              <w:rPr>
                <w:rFonts w:ascii="Calibri" w:eastAsia="Times New Roman" w:hAnsi="Calibri" w:cs="Calibri"/>
                <w:color w:val="000000"/>
                <w:lang w:eastAsia="en-GB"/>
              </w:rPr>
              <w:t>db.</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6529A9F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T - Coal</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0A6A3FBA"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Biochar 1</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291B71A1"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Biochar 2</w:t>
            </w:r>
          </w:p>
        </w:tc>
      </w:tr>
      <w:tr w:rsidR="00C630E1" w:rsidRPr="00C630E1" w14:paraId="05DF064F"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744B0B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C</w:t>
            </w:r>
          </w:p>
        </w:tc>
        <w:tc>
          <w:tcPr>
            <w:tcW w:w="960" w:type="dxa"/>
            <w:tcBorders>
              <w:top w:val="nil"/>
              <w:left w:val="nil"/>
              <w:bottom w:val="single" w:sz="4" w:space="0" w:color="auto"/>
              <w:right w:val="single" w:sz="4" w:space="0" w:color="auto"/>
            </w:tcBorders>
            <w:shd w:val="clear" w:color="000000" w:fill="EDEDED"/>
            <w:noWrap/>
            <w:vAlign w:val="center"/>
            <w:hideMark/>
          </w:tcPr>
          <w:p w14:paraId="313D6DD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83.2</w:t>
            </w:r>
          </w:p>
        </w:tc>
        <w:tc>
          <w:tcPr>
            <w:tcW w:w="960" w:type="dxa"/>
            <w:tcBorders>
              <w:top w:val="nil"/>
              <w:left w:val="nil"/>
              <w:bottom w:val="single" w:sz="4" w:space="0" w:color="auto"/>
              <w:right w:val="single" w:sz="4" w:space="0" w:color="auto"/>
            </w:tcBorders>
            <w:shd w:val="clear" w:color="000000" w:fill="EDEDED"/>
            <w:noWrap/>
            <w:vAlign w:val="center"/>
            <w:hideMark/>
          </w:tcPr>
          <w:p w14:paraId="1CACDFBA"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90.2</w:t>
            </w:r>
          </w:p>
        </w:tc>
        <w:tc>
          <w:tcPr>
            <w:tcW w:w="960" w:type="dxa"/>
            <w:tcBorders>
              <w:top w:val="nil"/>
              <w:left w:val="nil"/>
              <w:bottom w:val="single" w:sz="4" w:space="0" w:color="auto"/>
              <w:right w:val="single" w:sz="4" w:space="0" w:color="auto"/>
            </w:tcBorders>
            <w:shd w:val="clear" w:color="000000" w:fill="EDEDED"/>
            <w:noWrap/>
            <w:vAlign w:val="center"/>
            <w:hideMark/>
          </w:tcPr>
          <w:p w14:paraId="2F0FA2A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83</w:t>
            </w:r>
          </w:p>
        </w:tc>
      </w:tr>
      <w:tr w:rsidR="00C630E1" w:rsidRPr="00C630E1" w14:paraId="381C895E"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5801B5E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H</w:t>
            </w:r>
          </w:p>
        </w:tc>
        <w:tc>
          <w:tcPr>
            <w:tcW w:w="960" w:type="dxa"/>
            <w:tcBorders>
              <w:top w:val="nil"/>
              <w:left w:val="nil"/>
              <w:bottom w:val="single" w:sz="4" w:space="0" w:color="auto"/>
              <w:right w:val="single" w:sz="4" w:space="0" w:color="auto"/>
            </w:tcBorders>
            <w:shd w:val="clear" w:color="000000" w:fill="EDEDED"/>
            <w:noWrap/>
            <w:vAlign w:val="center"/>
            <w:hideMark/>
          </w:tcPr>
          <w:p w14:paraId="54AD2BE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3.2</w:t>
            </w:r>
          </w:p>
        </w:tc>
        <w:tc>
          <w:tcPr>
            <w:tcW w:w="960" w:type="dxa"/>
            <w:tcBorders>
              <w:top w:val="nil"/>
              <w:left w:val="nil"/>
              <w:bottom w:val="single" w:sz="4" w:space="0" w:color="auto"/>
              <w:right w:val="single" w:sz="4" w:space="0" w:color="auto"/>
            </w:tcBorders>
            <w:shd w:val="clear" w:color="000000" w:fill="EDEDED"/>
            <w:noWrap/>
            <w:vAlign w:val="center"/>
            <w:hideMark/>
          </w:tcPr>
          <w:p w14:paraId="1279F87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1.83</w:t>
            </w:r>
          </w:p>
        </w:tc>
        <w:tc>
          <w:tcPr>
            <w:tcW w:w="960" w:type="dxa"/>
            <w:tcBorders>
              <w:top w:val="nil"/>
              <w:left w:val="nil"/>
              <w:bottom w:val="single" w:sz="4" w:space="0" w:color="auto"/>
              <w:right w:val="single" w:sz="4" w:space="0" w:color="auto"/>
            </w:tcBorders>
            <w:shd w:val="clear" w:color="000000" w:fill="EDEDED"/>
            <w:noWrap/>
            <w:vAlign w:val="center"/>
            <w:hideMark/>
          </w:tcPr>
          <w:p w14:paraId="6C3E9665"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2.02</w:t>
            </w:r>
          </w:p>
        </w:tc>
      </w:tr>
      <w:tr w:rsidR="00C630E1" w:rsidRPr="00C630E1" w14:paraId="0FDDDBC2"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39CEAB8C"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N</w:t>
            </w:r>
          </w:p>
        </w:tc>
        <w:tc>
          <w:tcPr>
            <w:tcW w:w="960" w:type="dxa"/>
            <w:tcBorders>
              <w:top w:val="nil"/>
              <w:left w:val="nil"/>
              <w:bottom w:val="single" w:sz="4" w:space="0" w:color="auto"/>
              <w:right w:val="single" w:sz="4" w:space="0" w:color="auto"/>
            </w:tcBorders>
            <w:shd w:val="clear" w:color="000000" w:fill="EDEDED"/>
            <w:noWrap/>
            <w:vAlign w:val="center"/>
            <w:hideMark/>
          </w:tcPr>
          <w:p w14:paraId="4897EFE0"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1.84</w:t>
            </w:r>
          </w:p>
        </w:tc>
        <w:tc>
          <w:tcPr>
            <w:tcW w:w="960" w:type="dxa"/>
            <w:tcBorders>
              <w:top w:val="nil"/>
              <w:left w:val="nil"/>
              <w:bottom w:val="single" w:sz="4" w:space="0" w:color="auto"/>
              <w:right w:val="single" w:sz="4" w:space="0" w:color="auto"/>
            </w:tcBorders>
            <w:shd w:val="clear" w:color="000000" w:fill="EDEDED"/>
            <w:noWrap/>
            <w:vAlign w:val="center"/>
            <w:hideMark/>
          </w:tcPr>
          <w:p w14:paraId="07DA524C"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0.09</w:t>
            </w:r>
          </w:p>
        </w:tc>
        <w:tc>
          <w:tcPr>
            <w:tcW w:w="960" w:type="dxa"/>
            <w:tcBorders>
              <w:top w:val="nil"/>
              <w:left w:val="nil"/>
              <w:bottom w:val="single" w:sz="4" w:space="0" w:color="auto"/>
              <w:right w:val="single" w:sz="4" w:space="0" w:color="auto"/>
            </w:tcBorders>
            <w:shd w:val="clear" w:color="000000" w:fill="EDEDED"/>
            <w:noWrap/>
            <w:vAlign w:val="center"/>
            <w:hideMark/>
          </w:tcPr>
          <w:p w14:paraId="5D93F2FE"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0.47</w:t>
            </w:r>
          </w:p>
        </w:tc>
      </w:tr>
      <w:tr w:rsidR="00C630E1" w:rsidRPr="00C630E1" w14:paraId="56F34862" w14:textId="77777777" w:rsidTr="00F74036">
        <w:trPr>
          <w:trHeight w:val="345"/>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D446104"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S</w:t>
            </w:r>
          </w:p>
        </w:tc>
        <w:tc>
          <w:tcPr>
            <w:tcW w:w="960" w:type="dxa"/>
            <w:tcBorders>
              <w:top w:val="nil"/>
              <w:left w:val="nil"/>
              <w:bottom w:val="single" w:sz="4" w:space="0" w:color="auto"/>
              <w:right w:val="single" w:sz="4" w:space="0" w:color="auto"/>
            </w:tcBorders>
            <w:shd w:val="clear" w:color="000000" w:fill="EDEDED"/>
            <w:noWrap/>
            <w:vAlign w:val="center"/>
            <w:hideMark/>
          </w:tcPr>
          <w:p w14:paraId="534AB17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0.34</w:t>
            </w:r>
          </w:p>
        </w:tc>
        <w:tc>
          <w:tcPr>
            <w:tcW w:w="960" w:type="dxa"/>
            <w:tcBorders>
              <w:top w:val="nil"/>
              <w:left w:val="nil"/>
              <w:bottom w:val="single" w:sz="4" w:space="0" w:color="auto"/>
              <w:right w:val="single" w:sz="4" w:space="0" w:color="auto"/>
            </w:tcBorders>
            <w:shd w:val="clear" w:color="000000" w:fill="EDEDED"/>
            <w:noWrap/>
            <w:vAlign w:val="center"/>
            <w:hideMark/>
          </w:tcPr>
          <w:p w14:paraId="7387FCD9"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&lt;0.02</w:t>
            </w:r>
          </w:p>
        </w:tc>
        <w:tc>
          <w:tcPr>
            <w:tcW w:w="960" w:type="dxa"/>
            <w:tcBorders>
              <w:top w:val="nil"/>
              <w:left w:val="nil"/>
              <w:bottom w:val="single" w:sz="4" w:space="0" w:color="auto"/>
              <w:right w:val="single" w:sz="4" w:space="0" w:color="auto"/>
            </w:tcBorders>
            <w:shd w:val="clear" w:color="000000" w:fill="EDEDED"/>
            <w:noWrap/>
            <w:vAlign w:val="center"/>
            <w:hideMark/>
          </w:tcPr>
          <w:p w14:paraId="42FBF50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0.005</w:t>
            </w:r>
          </w:p>
        </w:tc>
      </w:tr>
      <w:tr w:rsidR="00C630E1" w:rsidRPr="00C630E1" w14:paraId="020A8B45" w14:textId="77777777" w:rsidTr="00F74036">
        <w:trPr>
          <w:trHeight w:val="30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E2CBEB4"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O</w:t>
            </w:r>
          </w:p>
        </w:tc>
        <w:tc>
          <w:tcPr>
            <w:tcW w:w="960" w:type="dxa"/>
            <w:tcBorders>
              <w:top w:val="nil"/>
              <w:left w:val="nil"/>
              <w:bottom w:val="single" w:sz="4" w:space="0" w:color="auto"/>
              <w:right w:val="single" w:sz="4" w:space="0" w:color="auto"/>
            </w:tcBorders>
            <w:shd w:val="clear" w:color="000000" w:fill="EDEDED"/>
            <w:noWrap/>
            <w:vAlign w:val="center"/>
            <w:hideMark/>
          </w:tcPr>
          <w:p w14:paraId="259CD6D5"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EDEDED"/>
            <w:noWrap/>
            <w:vAlign w:val="center"/>
            <w:hideMark/>
          </w:tcPr>
          <w:p w14:paraId="0CEA823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6.02</w:t>
            </w:r>
          </w:p>
        </w:tc>
        <w:tc>
          <w:tcPr>
            <w:tcW w:w="960" w:type="dxa"/>
            <w:tcBorders>
              <w:top w:val="nil"/>
              <w:left w:val="nil"/>
              <w:bottom w:val="single" w:sz="4" w:space="0" w:color="auto"/>
              <w:right w:val="single" w:sz="4" w:space="0" w:color="auto"/>
            </w:tcBorders>
            <w:shd w:val="clear" w:color="000000" w:fill="EDEDED"/>
            <w:noWrap/>
            <w:vAlign w:val="center"/>
            <w:hideMark/>
          </w:tcPr>
          <w:p w14:paraId="1B936EB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7.33</w:t>
            </w:r>
          </w:p>
        </w:tc>
      </w:tr>
      <w:tr w:rsidR="00C630E1" w:rsidRPr="00C630E1" w14:paraId="4A506D6F" w14:textId="77777777" w:rsidTr="008118A2">
        <w:trPr>
          <w:trHeight w:val="300"/>
        </w:trPr>
        <w:tc>
          <w:tcPr>
            <w:tcW w:w="960" w:type="dxa"/>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698D790E" w14:textId="77777777" w:rsidR="00C630E1" w:rsidRPr="00C630E1" w:rsidRDefault="00C630E1" w:rsidP="00C630E1">
            <w:pPr>
              <w:spacing w:after="0" w:line="240" w:lineRule="auto"/>
              <w:jc w:val="center"/>
              <w:rPr>
                <w:rFonts w:ascii="Calibri" w:eastAsia="Times New Roman" w:hAnsi="Calibri" w:cs="Calibri"/>
                <w:color w:val="000000"/>
                <w:lang w:eastAsia="en-GB"/>
              </w:rPr>
            </w:pPr>
            <w:proofErr w:type="spellStart"/>
            <w:r w:rsidRPr="00C630E1">
              <w:rPr>
                <w:rFonts w:ascii="Calibri" w:eastAsia="Times New Roman" w:hAnsi="Calibri" w:cs="Calibri"/>
                <w:color w:val="000000"/>
                <w:lang w:eastAsia="en-GB"/>
              </w:rPr>
              <w:t>Vm</w:t>
            </w:r>
            <w:proofErr w:type="spellEnd"/>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736A079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12.3</w:t>
            </w:r>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45B34111"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6.7</w:t>
            </w:r>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08D40F02"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15.6</w:t>
            </w:r>
          </w:p>
        </w:tc>
      </w:tr>
      <w:tr w:rsidR="00C630E1" w:rsidRPr="00C630E1" w14:paraId="7906AC59" w14:textId="77777777" w:rsidTr="008118A2">
        <w:trPr>
          <w:trHeight w:val="300"/>
        </w:trPr>
        <w:tc>
          <w:tcPr>
            <w:tcW w:w="960" w:type="dxa"/>
            <w:tcBorders>
              <w:top w:val="nil"/>
              <w:left w:val="single" w:sz="4" w:space="0" w:color="auto"/>
              <w:bottom w:val="single" w:sz="4" w:space="0" w:color="auto"/>
              <w:right w:val="single" w:sz="4" w:space="0" w:color="auto"/>
            </w:tcBorders>
            <w:shd w:val="clear" w:color="auto" w:fill="BDD6EE" w:themeFill="accent1" w:themeFillTint="66"/>
            <w:noWrap/>
            <w:vAlign w:val="center"/>
            <w:hideMark/>
          </w:tcPr>
          <w:p w14:paraId="0A830D8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Ash</w:t>
            </w:r>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60AA8B1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9.4</w:t>
            </w:r>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09A7FC02"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1.89</w:t>
            </w:r>
          </w:p>
        </w:tc>
        <w:tc>
          <w:tcPr>
            <w:tcW w:w="960" w:type="dxa"/>
            <w:tcBorders>
              <w:top w:val="nil"/>
              <w:left w:val="nil"/>
              <w:bottom w:val="single" w:sz="4" w:space="0" w:color="auto"/>
              <w:right w:val="single" w:sz="4" w:space="0" w:color="auto"/>
            </w:tcBorders>
            <w:shd w:val="clear" w:color="auto" w:fill="BDD6EE" w:themeFill="accent1" w:themeFillTint="66"/>
            <w:noWrap/>
            <w:vAlign w:val="center"/>
            <w:hideMark/>
          </w:tcPr>
          <w:p w14:paraId="0C7B80BE"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w:t>
            </w:r>
          </w:p>
        </w:tc>
      </w:tr>
    </w:tbl>
    <w:p w14:paraId="628FF19D" w14:textId="77777777" w:rsidR="00560D39" w:rsidRDefault="00560D39" w:rsidP="00560D39">
      <w:pPr>
        <w:spacing w:line="360" w:lineRule="auto"/>
        <w:jc w:val="both"/>
      </w:pPr>
    </w:p>
    <w:p w14:paraId="3A29482A" w14:textId="2645F775" w:rsidR="00560D39" w:rsidRDefault="00560D39" w:rsidP="00560D39">
      <w:pPr>
        <w:spacing w:line="360" w:lineRule="auto"/>
        <w:jc w:val="both"/>
      </w:pPr>
      <w:r>
        <w:t xml:space="preserve">According to </w:t>
      </w:r>
      <w:r>
        <w:fldChar w:fldCharType="begin"/>
      </w:r>
      <w:r>
        <w:instrText xml:space="preserve"> ADDIN ZOTERO_ITEM CSL_CITATION {"citationID":"YWB8KhWi","properties":{"formattedCitation":"(Geerdes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fldChar w:fldCharType="separate"/>
      </w:r>
      <w:r w:rsidRPr="00560D39">
        <w:rPr>
          <w:rFonts w:ascii="Calibri" w:hAnsi="Calibri" w:cs="Calibri"/>
        </w:rPr>
        <w:t>(Geerdes et al. 2009)</w:t>
      </w:r>
      <w:r>
        <w:fldChar w:fldCharType="end"/>
      </w:r>
      <w:r>
        <w:t xml:space="preserve"> the most important property of a fuel injected into the BF is the replacement ratio (RR) of coke. </w:t>
      </w:r>
      <w:r w:rsidR="00597391">
        <w:t xml:space="preserve">The coke RR is defined as the mass, in kilograms, of coke replaced per kilogram of coal. </w:t>
      </w:r>
      <w:r>
        <w:t xml:space="preserve">The composition and moisture content of the fuel determines the amount of coke that can be replaced by the fuel. To determine the RR, the carbon percentage, hydrogen percentage, ash content, moisture content and the heat required to crack the coal chemical structure have to be </w:t>
      </w:r>
      <w:r w:rsidR="00F20AFF">
        <w:t>considered</w:t>
      </w:r>
      <w:r>
        <w:t>. The formular for the RR (for coke with 87.5% carbon) is:</w:t>
      </w:r>
    </w:p>
    <w:p w14:paraId="57931C18" w14:textId="5F9299B9" w:rsidR="0098116E" w:rsidRPr="0098116E" w:rsidRDefault="0098116E" w:rsidP="0098116E">
      <w:pPr>
        <w:spacing w:line="360" w:lineRule="auto"/>
        <w:jc w:val="both"/>
        <w:rPr>
          <w:rFonts w:ascii="Cambria Math" w:hAnsi="Cambria Math"/>
          <w:i/>
        </w:rPr>
      </w:pPr>
      <m:oMathPara>
        <m:oMath>
          <m:r>
            <w:rPr>
              <w:rFonts w:ascii="Cambria Math" w:hAnsi="Cambria Math"/>
            </w:rPr>
            <m:t>RR ≈  2xC% + 2.5xH% -2xH2Oinj - 86 + 0.9xash%</m:t>
          </m:r>
        </m:oMath>
      </m:oMathPara>
    </w:p>
    <w:p w14:paraId="6D204625" w14:textId="565FD84A" w:rsidR="00BD229F" w:rsidRDefault="00F74036" w:rsidP="00560D39">
      <w:pPr>
        <w:spacing w:line="360" w:lineRule="auto"/>
        <w:jc w:val="both"/>
        <w:rPr>
          <w:rFonts w:eastAsiaTheme="minorEastAsia"/>
        </w:rPr>
      </w:pPr>
      <w:r>
        <w:rPr>
          <w:rFonts w:eastAsiaTheme="minorEastAsia"/>
        </w:rPr>
        <w:t xml:space="preserve">The moisture figure used was 1.5% as this is the moisture that PCI coals are dried to for injection at </w:t>
      </w:r>
      <w:r w:rsidR="00F20AFF">
        <w:rPr>
          <w:rFonts w:eastAsiaTheme="minorEastAsia"/>
        </w:rPr>
        <w:t>P</w:t>
      </w:r>
      <w:r>
        <w:rPr>
          <w:rFonts w:eastAsiaTheme="minorEastAsia"/>
        </w:rPr>
        <w:t xml:space="preserve">ort </w:t>
      </w:r>
      <w:r w:rsidR="00F20AFF">
        <w:rPr>
          <w:rFonts w:eastAsiaTheme="minorEastAsia"/>
        </w:rPr>
        <w:t>T</w:t>
      </w:r>
      <w:r>
        <w:rPr>
          <w:rFonts w:eastAsiaTheme="minorEastAsia"/>
        </w:rPr>
        <w:t>albot steelwork</w:t>
      </w:r>
      <w:r w:rsidR="00094FA9">
        <w:rPr>
          <w:rFonts w:eastAsiaTheme="minorEastAsia"/>
        </w:rPr>
        <w:t>.</w:t>
      </w:r>
    </w:p>
    <w:p w14:paraId="29F6061A" w14:textId="24649A73" w:rsidR="00F20AFF" w:rsidRDefault="00F20AFF" w:rsidP="00CB63E2">
      <w:pPr>
        <w:pStyle w:val="Caption"/>
        <w:jc w:val="center"/>
      </w:pPr>
      <w:r>
        <w:t xml:space="preserve">Table </w:t>
      </w:r>
      <w:fldSimple w:instr=" SEQ Table \* ARABIC ">
        <w:r w:rsidR="00DA2639">
          <w:rPr>
            <w:noProof/>
          </w:rPr>
          <w:t>4</w:t>
        </w:r>
      </w:fldSimple>
      <w:r>
        <w:t xml:space="preserve"> The replacement ratios for T-coal and two biochar’s are compared.</w:t>
      </w:r>
    </w:p>
    <w:tbl>
      <w:tblPr>
        <w:tblW w:w="5020" w:type="dxa"/>
        <w:tblInd w:w="1997" w:type="dxa"/>
        <w:tblLook w:val="04A0" w:firstRow="1" w:lastRow="0" w:firstColumn="1" w:lastColumn="0" w:noHBand="0" w:noVBand="1"/>
      </w:tblPr>
      <w:tblGrid>
        <w:gridCol w:w="1700"/>
        <w:gridCol w:w="1160"/>
        <w:gridCol w:w="1060"/>
        <w:gridCol w:w="1100"/>
      </w:tblGrid>
      <w:tr w:rsidR="0098116E" w:rsidRPr="0098116E" w14:paraId="4B3765D6" w14:textId="77777777" w:rsidTr="0098116E">
        <w:trPr>
          <w:trHeight w:val="345"/>
        </w:trPr>
        <w:tc>
          <w:tcPr>
            <w:tcW w:w="170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E56186B"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w:t>
            </w:r>
          </w:p>
        </w:tc>
        <w:tc>
          <w:tcPr>
            <w:tcW w:w="1160" w:type="dxa"/>
            <w:tcBorders>
              <w:top w:val="single" w:sz="4" w:space="0" w:color="auto"/>
              <w:left w:val="nil"/>
              <w:bottom w:val="single" w:sz="4" w:space="0" w:color="auto"/>
              <w:right w:val="single" w:sz="4" w:space="0" w:color="auto"/>
            </w:tcBorders>
            <w:shd w:val="clear" w:color="000000" w:fill="EDEDED"/>
            <w:noWrap/>
            <w:vAlign w:val="center"/>
            <w:hideMark/>
          </w:tcPr>
          <w:p w14:paraId="27F3A25B"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T - Coal</w:t>
            </w:r>
          </w:p>
        </w:tc>
        <w:tc>
          <w:tcPr>
            <w:tcW w:w="1060" w:type="dxa"/>
            <w:tcBorders>
              <w:top w:val="single" w:sz="4" w:space="0" w:color="auto"/>
              <w:left w:val="nil"/>
              <w:bottom w:val="single" w:sz="4" w:space="0" w:color="auto"/>
              <w:right w:val="single" w:sz="4" w:space="0" w:color="auto"/>
            </w:tcBorders>
            <w:shd w:val="clear" w:color="000000" w:fill="EDEDED"/>
            <w:noWrap/>
            <w:vAlign w:val="center"/>
            <w:hideMark/>
          </w:tcPr>
          <w:p w14:paraId="48A83C99"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Biochar 1</w:t>
            </w:r>
          </w:p>
        </w:tc>
        <w:tc>
          <w:tcPr>
            <w:tcW w:w="1100" w:type="dxa"/>
            <w:tcBorders>
              <w:top w:val="single" w:sz="4" w:space="0" w:color="auto"/>
              <w:left w:val="nil"/>
              <w:bottom w:val="single" w:sz="4" w:space="0" w:color="auto"/>
              <w:right w:val="single" w:sz="4" w:space="0" w:color="auto"/>
            </w:tcBorders>
            <w:shd w:val="clear" w:color="000000" w:fill="EDEDED"/>
            <w:noWrap/>
            <w:vAlign w:val="center"/>
            <w:hideMark/>
          </w:tcPr>
          <w:p w14:paraId="7929949E"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Biochar 2</w:t>
            </w:r>
          </w:p>
        </w:tc>
      </w:tr>
      <w:tr w:rsidR="0098116E" w:rsidRPr="0098116E" w14:paraId="2E56BEE0" w14:textId="77777777" w:rsidTr="0098116E">
        <w:trPr>
          <w:trHeight w:val="300"/>
        </w:trPr>
        <w:tc>
          <w:tcPr>
            <w:tcW w:w="1700" w:type="dxa"/>
            <w:tcBorders>
              <w:top w:val="nil"/>
              <w:left w:val="single" w:sz="4" w:space="0" w:color="auto"/>
              <w:bottom w:val="single" w:sz="4" w:space="0" w:color="auto"/>
              <w:right w:val="single" w:sz="4" w:space="0" w:color="auto"/>
            </w:tcBorders>
            <w:shd w:val="clear" w:color="000000" w:fill="EDEDED"/>
            <w:noWrap/>
            <w:vAlign w:val="center"/>
            <w:hideMark/>
          </w:tcPr>
          <w:p w14:paraId="274AA713"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RR</w:t>
            </w:r>
          </w:p>
        </w:tc>
        <w:tc>
          <w:tcPr>
            <w:tcW w:w="1160" w:type="dxa"/>
            <w:tcBorders>
              <w:top w:val="nil"/>
              <w:left w:val="nil"/>
              <w:bottom w:val="single" w:sz="4" w:space="0" w:color="auto"/>
              <w:right w:val="single" w:sz="4" w:space="0" w:color="auto"/>
            </w:tcBorders>
            <w:shd w:val="clear" w:color="000000" w:fill="EDEDED"/>
            <w:noWrap/>
            <w:vAlign w:val="bottom"/>
            <w:hideMark/>
          </w:tcPr>
          <w:p w14:paraId="75F83FB1"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93.86</w:t>
            </w:r>
          </w:p>
        </w:tc>
        <w:tc>
          <w:tcPr>
            <w:tcW w:w="1060" w:type="dxa"/>
            <w:tcBorders>
              <w:top w:val="nil"/>
              <w:left w:val="nil"/>
              <w:bottom w:val="single" w:sz="4" w:space="0" w:color="auto"/>
              <w:right w:val="single" w:sz="4" w:space="0" w:color="auto"/>
            </w:tcBorders>
            <w:shd w:val="clear" w:color="000000" w:fill="EDEDED"/>
            <w:noWrap/>
            <w:vAlign w:val="bottom"/>
            <w:hideMark/>
          </w:tcPr>
          <w:p w14:paraId="4FB0678E"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97.676</w:t>
            </w:r>
          </w:p>
        </w:tc>
        <w:tc>
          <w:tcPr>
            <w:tcW w:w="1100" w:type="dxa"/>
            <w:tcBorders>
              <w:top w:val="nil"/>
              <w:left w:val="nil"/>
              <w:bottom w:val="single" w:sz="4" w:space="0" w:color="auto"/>
              <w:right w:val="single" w:sz="4" w:space="0" w:color="auto"/>
            </w:tcBorders>
            <w:shd w:val="clear" w:color="000000" w:fill="EDEDED"/>
            <w:noWrap/>
            <w:vAlign w:val="bottom"/>
            <w:hideMark/>
          </w:tcPr>
          <w:p w14:paraId="3D818EF9"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87.45</w:t>
            </w:r>
          </w:p>
        </w:tc>
      </w:tr>
    </w:tbl>
    <w:p w14:paraId="6260A08E" w14:textId="77777777" w:rsidR="0098116E" w:rsidRPr="0098116E" w:rsidRDefault="0098116E" w:rsidP="0098116E"/>
    <w:p w14:paraId="44A08711" w14:textId="7A7E9195" w:rsidR="00F77E45" w:rsidRDefault="00F1161F" w:rsidP="00F1161F">
      <w:pPr>
        <w:spacing w:line="360" w:lineRule="auto"/>
        <w:jc w:val="both"/>
      </w:pPr>
      <w:r>
        <w:t xml:space="preserve">The aim is for a high RR without affecting furnace productivity and hot metal quality. </w:t>
      </w:r>
      <w:r w:rsidR="00135611">
        <w:t xml:space="preserve">The RR aim of PCI coals should be 85% </w:t>
      </w:r>
      <w:r w:rsidR="00135611">
        <w:fldChar w:fldCharType="begin"/>
      </w:r>
      <w:r w:rsidR="00135611">
        <w:instrText xml:space="preserve"> ADDIN ZOTERO_ITEM CSL_CITATION {"citationID":"AZHjHYd5","properties":{"formattedCitation":"(Geerdes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135611">
        <w:fldChar w:fldCharType="separate"/>
      </w:r>
      <w:r w:rsidR="00135611" w:rsidRPr="00C427B2">
        <w:rPr>
          <w:rFonts w:ascii="Calibri" w:hAnsi="Calibri" w:cs="Calibri"/>
        </w:rPr>
        <w:t>(Geerdes et al. 2009)</w:t>
      </w:r>
      <w:r w:rsidR="00135611">
        <w:fldChar w:fldCharType="end"/>
      </w:r>
      <w:r w:rsidR="00135611">
        <w:t xml:space="preserve">. </w:t>
      </w:r>
      <w:r>
        <w:t>The RR is correlated with the calorific value and volatile matter of the fuel</w:t>
      </w:r>
      <w:r w:rsidR="00E36283">
        <w:t xml:space="preserve">. </w:t>
      </w:r>
      <w:r>
        <w:t>RR increases with CV value</w:t>
      </w:r>
      <w:r w:rsidR="00840A13">
        <w:t xml:space="preserve">. </w:t>
      </w:r>
      <w:r w:rsidR="00C427B2">
        <w:t>The CV values of T-coal and the biochar can be seen in table 5.</w:t>
      </w:r>
      <w:r w:rsidR="00135611">
        <w:t xml:space="preserve"> </w:t>
      </w:r>
      <w:r w:rsidR="00F77E45">
        <w:t xml:space="preserve">Typical </w:t>
      </w:r>
      <w:r w:rsidR="00EC52C0">
        <w:t>RR</w:t>
      </w:r>
      <w:r w:rsidR="008C7F1A">
        <w:t xml:space="preserve"> </w:t>
      </w:r>
      <w:r w:rsidR="00F77E45">
        <w:t xml:space="preserve">values for PCI coals range from 70% for high VM coals to 99% for </w:t>
      </w:r>
      <w:r w:rsidR="00F4787A">
        <w:t xml:space="preserve">low VM coal such as </w:t>
      </w:r>
      <w:r w:rsidR="00F77E45">
        <w:t xml:space="preserve">anthracite </w:t>
      </w:r>
      <w:r w:rsidR="00F77E45">
        <w:fldChar w:fldCharType="begin"/>
      </w:r>
      <w:r w:rsidR="00F77E45">
        <w:instrText xml:space="preserve"> ADDIN ZOTERO_ITEM CSL_CITATION {"citationID":"HlWjWT9d","properties":{"formattedCitation":"(Carpenter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rsidR="00F77E45">
        <w:fldChar w:fldCharType="separate"/>
      </w:r>
      <w:r w:rsidR="00F77E45" w:rsidRPr="00F77E45">
        <w:rPr>
          <w:rFonts w:ascii="Calibri" w:hAnsi="Calibri" w:cs="Calibri"/>
        </w:rPr>
        <w:t>(Carpenter 2010)</w:t>
      </w:r>
      <w:r w:rsidR="00F77E45">
        <w:fldChar w:fldCharType="end"/>
      </w:r>
      <w:r w:rsidR="00F77E45">
        <w:t>.</w:t>
      </w:r>
      <w:r w:rsidR="003120B5">
        <w:t xml:space="preserve"> </w:t>
      </w:r>
      <w:r w:rsidR="00F631BC">
        <w:t>The carbon content is also correlated with the CV value</w:t>
      </w:r>
      <w:r w:rsidR="008C7F1A">
        <w:t>, high values for both are desirable</w:t>
      </w:r>
      <w:r w:rsidR="00F631BC">
        <w:t>.</w:t>
      </w:r>
    </w:p>
    <w:p w14:paraId="01E4AACD" w14:textId="63DC981E" w:rsidR="00BB5963" w:rsidRDefault="00BB5963" w:rsidP="00CB63E2">
      <w:pPr>
        <w:pStyle w:val="Caption"/>
        <w:jc w:val="center"/>
      </w:pPr>
      <w:r>
        <w:lastRenderedPageBreak/>
        <w:t xml:space="preserve">Table </w:t>
      </w:r>
      <w:fldSimple w:instr=" SEQ Table \* ARABIC ">
        <w:r w:rsidR="00DA2639">
          <w:rPr>
            <w:noProof/>
          </w:rPr>
          <w:t>5</w:t>
        </w:r>
      </w:fldSimple>
      <w:r>
        <w:t xml:space="preserve"> The Calorific values of potential PCI fuels</w:t>
      </w:r>
    </w:p>
    <w:tbl>
      <w:tblPr>
        <w:tblW w:w="4536" w:type="dxa"/>
        <w:tblInd w:w="1980" w:type="dxa"/>
        <w:tblLook w:val="04A0" w:firstRow="1" w:lastRow="0" w:firstColumn="1" w:lastColumn="0" w:noHBand="0" w:noVBand="1"/>
      </w:tblPr>
      <w:tblGrid>
        <w:gridCol w:w="1343"/>
        <w:gridCol w:w="960"/>
        <w:gridCol w:w="1060"/>
        <w:gridCol w:w="1173"/>
      </w:tblGrid>
      <w:tr w:rsidR="00F77E45" w:rsidRPr="00F77E45" w14:paraId="1777E7B7" w14:textId="77777777" w:rsidTr="00F77E45">
        <w:trPr>
          <w:trHeight w:val="300"/>
        </w:trPr>
        <w:tc>
          <w:tcPr>
            <w:tcW w:w="1343"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7CA1960"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MJ/Kg</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7F3C5010"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T - Coal</w:t>
            </w:r>
          </w:p>
        </w:tc>
        <w:tc>
          <w:tcPr>
            <w:tcW w:w="1060" w:type="dxa"/>
            <w:tcBorders>
              <w:top w:val="single" w:sz="4" w:space="0" w:color="auto"/>
              <w:left w:val="nil"/>
              <w:bottom w:val="single" w:sz="4" w:space="0" w:color="auto"/>
              <w:right w:val="single" w:sz="4" w:space="0" w:color="auto"/>
            </w:tcBorders>
            <w:shd w:val="clear" w:color="000000" w:fill="EDEDED"/>
            <w:noWrap/>
            <w:vAlign w:val="center"/>
            <w:hideMark/>
          </w:tcPr>
          <w:p w14:paraId="47D86DFF"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Biochar 1</w:t>
            </w:r>
          </w:p>
        </w:tc>
        <w:tc>
          <w:tcPr>
            <w:tcW w:w="1173" w:type="dxa"/>
            <w:tcBorders>
              <w:top w:val="single" w:sz="4" w:space="0" w:color="auto"/>
              <w:left w:val="nil"/>
              <w:bottom w:val="single" w:sz="4" w:space="0" w:color="auto"/>
              <w:right w:val="single" w:sz="4" w:space="0" w:color="auto"/>
            </w:tcBorders>
            <w:shd w:val="clear" w:color="000000" w:fill="EDEDED"/>
            <w:noWrap/>
            <w:vAlign w:val="center"/>
            <w:hideMark/>
          </w:tcPr>
          <w:p w14:paraId="5500B6F6"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Biochar 2</w:t>
            </w:r>
          </w:p>
        </w:tc>
      </w:tr>
      <w:tr w:rsidR="00F77E45" w:rsidRPr="00F77E45" w14:paraId="518FD0F6" w14:textId="77777777" w:rsidTr="00F77E45">
        <w:trPr>
          <w:trHeight w:val="360"/>
        </w:trPr>
        <w:tc>
          <w:tcPr>
            <w:tcW w:w="1343" w:type="dxa"/>
            <w:tcBorders>
              <w:top w:val="nil"/>
              <w:left w:val="single" w:sz="4" w:space="0" w:color="auto"/>
              <w:bottom w:val="single" w:sz="4" w:space="0" w:color="auto"/>
              <w:right w:val="single" w:sz="4" w:space="0" w:color="auto"/>
            </w:tcBorders>
            <w:shd w:val="clear" w:color="000000" w:fill="EDEDED"/>
            <w:noWrap/>
            <w:vAlign w:val="center"/>
            <w:hideMark/>
          </w:tcPr>
          <w:p w14:paraId="6E0123F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CV (Gross)</w:t>
            </w:r>
          </w:p>
        </w:tc>
        <w:tc>
          <w:tcPr>
            <w:tcW w:w="960" w:type="dxa"/>
            <w:tcBorders>
              <w:top w:val="nil"/>
              <w:left w:val="nil"/>
              <w:bottom w:val="single" w:sz="4" w:space="0" w:color="auto"/>
              <w:right w:val="single" w:sz="4" w:space="0" w:color="auto"/>
            </w:tcBorders>
            <w:shd w:val="clear" w:color="000000" w:fill="EDEDED"/>
            <w:noWrap/>
            <w:vAlign w:val="bottom"/>
            <w:hideMark/>
          </w:tcPr>
          <w:p w14:paraId="3CCE3F7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31.06</w:t>
            </w:r>
          </w:p>
        </w:tc>
        <w:tc>
          <w:tcPr>
            <w:tcW w:w="1060" w:type="dxa"/>
            <w:tcBorders>
              <w:top w:val="nil"/>
              <w:left w:val="nil"/>
              <w:bottom w:val="single" w:sz="4" w:space="0" w:color="auto"/>
              <w:right w:val="single" w:sz="4" w:space="0" w:color="auto"/>
            </w:tcBorders>
            <w:shd w:val="clear" w:color="000000" w:fill="EDEDED"/>
            <w:noWrap/>
            <w:vAlign w:val="bottom"/>
            <w:hideMark/>
          </w:tcPr>
          <w:p w14:paraId="4F662FB8"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33.26</w:t>
            </w:r>
          </w:p>
        </w:tc>
        <w:tc>
          <w:tcPr>
            <w:tcW w:w="1173" w:type="dxa"/>
            <w:tcBorders>
              <w:top w:val="nil"/>
              <w:left w:val="nil"/>
              <w:bottom w:val="single" w:sz="4" w:space="0" w:color="auto"/>
              <w:right w:val="single" w:sz="4" w:space="0" w:color="auto"/>
            </w:tcBorders>
            <w:shd w:val="clear" w:color="000000" w:fill="EDEDED"/>
            <w:noWrap/>
            <w:vAlign w:val="bottom"/>
            <w:hideMark/>
          </w:tcPr>
          <w:p w14:paraId="1E417E1D"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28.07</w:t>
            </w:r>
          </w:p>
        </w:tc>
      </w:tr>
      <w:tr w:rsidR="00F77E45" w:rsidRPr="00F77E45" w14:paraId="092DED18" w14:textId="77777777" w:rsidTr="00F77E45">
        <w:trPr>
          <w:trHeight w:val="300"/>
        </w:trPr>
        <w:tc>
          <w:tcPr>
            <w:tcW w:w="1343" w:type="dxa"/>
            <w:tcBorders>
              <w:top w:val="nil"/>
              <w:left w:val="single" w:sz="4" w:space="0" w:color="auto"/>
              <w:bottom w:val="single" w:sz="4" w:space="0" w:color="auto"/>
              <w:right w:val="single" w:sz="4" w:space="0" w:color="auto"/>
            </w:tcBorders>
            <w:shd w:val="clear" w:color="000000" w:fill="EDEDED"/>
            <w:noWrap/>
            <w:vAlign w:val="center"/>
            <w:hideMark/>
          </w:tcPr>
          <w:p w14:paraId="15505093" w14:textId="42972BEA"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 xml:space="preserve">CV </w:t>
            </w:r>
            <w:r>
              <w:rPr>
                <w:rFonts w:ascii="Calibri" w:eastAsia="Times New Roman" w:hAnsi="Calibri" w:cs="Calibri"/>
                <w:color w:val="000000"/>
                <w:lang w:eastAsia="en-GB"/>
              </w:rPr>
              <w:t>(</w:t>
            </w:r>
            <w:r w:rsidRPr="00F77E45">
              <w:rPr>
                <w:rFonts w:ascii="Calibri" w:eastAsia="Times New Roman" w:hAnsi="Calibri" w:cs="Calibri"/>
                <w:color w:val="000000"/>
                <w:lang w:eastAsia="en-GB"/>
              </w:rPr>
              <w:t>Net)</w:t>
            </w:r>
          </w:p>
        </w:tc>
        <w:tc>
          <w:tcPr>
            <w:tcW w:w="960" w:type="dxa"/>
            <w:tcBorders>
              <w:top w:val="nil"/>
              <w:left w:val="nil"/>
              <w:bottom w:val="single" w:sz="4" w:space="0" w:color="auto"/>
              <w:right w:val="single" w:sz="4" w:space="0" w:color="auto"/>
            </w:tcBorders>
            <w:shd w:val="clear" w:color="000000" w:fill="EDEDED"/>
            <w:noWrap/>
            <w:vAlign w:val="bottom"/>
            <w:hideMark/>
          </w:tcPr>
          <w:p w14:paraId="452FDDC3"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30.89</w:t>
            </w:r>
          </w:p>
        </w:tc>
        <w:tc>
          <w:tcPr>
            <w:tcW w:w="1060" w:type="dxa"/>
            <w:tcBorders>
              <w:top w:val="nil"/>
              <w:left w:val="nil"/>
              <w:bottom w:val="single" w:sz="4" w:space="0" w:color="auto"/>
              <w:right w:val="single" w:sz="4" w:space="0" w:color="auto"/>
            </w:tcBorders>
            <w:shd w:val="clear" w:color="000000" w:fill="EDEDED"/>
            <w:noWrap/>
            <w:vAlign w:val="bottom"/>
            <w:hideMark/>
          </w:tcPr>
          <w:p w14:paraId="585B4AD2"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32.80</w:t>
            </w:r>
          </w:p>
        </w:tc>
        <w:tc>
          <w:tcPr>
            <w:tcW w:w="1173" w:type="dxa"/>
            <w:tcBorders>
              <w:top w:val="nil"/>
              <w:left w:val="nil"/>
              <w:bottom w:val="single" w:sz="4" w:space="0" w:color="auto"/>
              <w:right w:val="single" w:sz="4" w:space="0" w:color="auto"/>
            </w:tcBorders>
            <w:shd w:val="clear" w:color="000000" w:fill="EDEDED"/>
            <w:noWrap/>
            <w:vAlign w:val="bottom"/>
            <w:hideMark/>
          </w:tcPr>
          <w:p w14:paraId="415230F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27.54</w:t>
            </w:r>
          </w:p>
        </w:tc>
      </w:tr>
    </w:tbl>
    <w:p w14:paraId="030D68EC" w14:textId="77777777" w:rsidR="00BB5963" w:rsidRDefault="00BB5963" w:rsidP="00E42F17">
      <w:pPr>
        <w:spacing w:line="360" w:lineRule="auto"/>
        <w:jc w:val="center"/>
      </w:pPr>
    </w:p>
    <w:p w14:paraId="1E9E2652" w14:textId="59F70681" w:rsidR="00F77E45" w:rsidRDefault="00540B64" w:rsidP="00F1161F">
      <w:pPr>
        <w:spacing w:line="360" w:lineRule="auto"/>
        <w:jc w:val="both"/>
      </w:pPr>
      <w:r>
        <w:t xml:space="preserve">T-coal is </w:t>
      </w:r>
      <w:r w:rsidR="00912797">
        <w:t xml:space="preserve">used in PCI at Port Talbot </w:t>
      </w:r>
      <w:r w:rsidR="00530917">
        <w:t>BFs</w:t>
      </w:r>
      <w:r w:rsidR="00F6204B">
        <w:t xml:space="preserve"> on its own and in a blend, its RR </w:t>
      </w:r>
      <w:r w:rsidR="00530917">
        <w:t>i</w:t>
      </w:r>
      <w:r w:rsidR="00D9074D">
        <w:t xml:space="preserve">s </w:t>
      </w:r>
      <w:r w:rsidR="0098116E">
        <w:t xml:space="preserve">93.86 </w:t>
      </w:r>
      <w:r w:rsidR="00E719A3">
        <w:t xml:space="preserve">T-coal has a </w:t>
      </w:r>
      <w:r w:rsidR="00DF5FF2">
        <w:t>reasonably high carbon content and CV</w:t>
      </w:r>
      <w:r w:rsidR="00AE6583">
        <w:t xml:space="preserve">. </w:t>
      </w:r>
    </w:p>
    <w:p w14:paraId="74C15A14" w14:textId="49AD436B" w:rsidR="0098116E" w:rsidRDefault="0098116E" w:rsidP="00F1161F">
      <w:pPr>
        <w:spacing w:line="360" w:lineRule="auto"/>
        <w:jc w:val="both"/>
      </w:pPr>
      <w:r>
        <w:t xml:space="preserve">Biochar 2 has lower carbon, </w:t>
      </w:r>
      <w:r w:rsidR="0069618B">
        <w:t>hydrogen,</w:t>
      </w:r>
      <w:r>
        <w:t xml:space="preserve"> and ash that the T-coal and so the RR is lower, however it is still above the aim. </w:t>
      </w:r>
    </w:p>
    <w:p w14:paraId="771F6C7C" w14:textId="1ECAE789" w:rsidR="00F1161F" w:rsidRDefault="00C63A42" w:rsidP="00F1161F">
      <w:pPr>
        <w:spacing w:line="360" w:lineRule="auto"/>
        <w:jc w:val="both"/>
      </w:pPr>
      <w:r>
        <w:t>Biochar 1 h</w:t>
      </w:r>
      <w:r w:rsidR="00DC1469">
        <w:t xml:space="preserve">as a high RR, carbon content and CV. </w:t>
      </w:r>
      <w:r w:rsidR="00C95884">
        <w:t xml:space="preserve">It </w:t>
      </w:r>
      <w:r w:rsidR="00E40AB7">
        <w:t>could replace more coke and i</w:t>
      </w:r>
      <w:r w:rsidR="00BA4C53">
        <w:t>t would provide more energy into the furnace</w:t>
      </w:r>
      <w:r w:rsidR="00B24AA5">
        <w:t xml:space="preserve"> if used</w:t>
      </w:r>
      <w:r w:rsidR="00E40AB7">
        <w:t>.</w:t>
      </w:r>
      <w:r w:rsidR="00602B9E">
        <w:t xml:space="preserve"> </w:t>
      </w:r>
      <w:r w:rsidR="005813CA">
        <w:t>Biochar</w:t>
      </w:r>
      <w:r w:rsidR="00602B9E">
        <w:t xml:space="preserve"> with </w:t>
      </w:r>
      <w:r w:rsidR="0098116E">
        <w:t>similar</w:t>
      </w:r>
      <w:r w:rsidR="00602B9E">
        <w:t xml:space="preserve"> properties </w:t>
      </w:r>
      <w:r w:rsidR="007E4C8B">
        <w:t>could outperform PCI coals using these measures.</w:t>
      </w:r>
    </w:p>
    <w:p w14:paraId="276E7999" w14:textId="70801A39" w:rsidR="001A26E1" w:rsidRDefault="000E4E31" w:rsidP="00BD229F">
      <w:pPr>
        <w:pStyle w:val="Heading4"/>
        <w:spacing w:line="360" w:lineRule="auto"/>
        <w:jc w:val="both"/>
      </w:pPr>
      <w:r>
        <w:t>Volatile Matter</w:t>
      </w:r>
    </w:p>
    <w:p w14:paraId="72ACC3BC" w14:textId="764B98D6" w:rsidR="000E4E31" w:rsidRDefault="00A95B5A" w:rsidP="00BD229F">
      <w:pPr>
        <w:spacing w:line="360" w:lineRule="auto"/>
        <w:jc w:val="both"/>
      </w:pPr>
      <w:r>
        <w:t>During coal pyrolysis combustible gases are released, such</w:t>
      </w:r>
      <w:r w:rsidR="001950A4">
        <w:t xml:space="preserve"> as H</w:t>
      </w:r>
      <w:r w:rsidR="001950A4" w:rsidRPr="001950A4">
        <w:rPr>
          <w:vertAlign w:val="subscript"/>
        </w:rPr>
        <w:t>2</w:t>
      </w:r>
      <w:r w:rsidR="001950A4">
        <w:t>, CH</w:t>
      </w:r>
      <w:r w:rsidR="001950A4" w:rsidRPr="001950A4">
        <w:rPr>
          <w:vertAlign w:val="subscript"/>
        </w:rPr>
        <w:t>4</w:t>
      </w:r>
      <w:r w:rsidR="001950A4">
        <w:t xml:space="preserve"> and CO</w:t>
      </w:r>
      <w:r w:rsidR="00F13469">
        <w:t>, incombustible gas</w:t>
      </w:r>
      <w:r w:rsidR="00DD19BC">
        <w:t>es (</w:t>
      </w:r>
      <w:r w:rsidR="0077135F">
        <w:t>steam and CO</w:t>
      </w:r>
      <w:r w:rsidR="0077135F" w:rsidRPr="0077135F">
        <w:rPr>
          <w:vertAlign w:val="subscript"/>
        </w:rPr>
        <w:t>2</w:t>
      </w:r>
      <w:r w:rsidR="0077135F">
        <w:t>)</w:t>
      </w:r>
      <w:r w:rsidR="00DD19BC">
        <w:t xml:space="preserve"> and tar</w:t>
      </w:r>
      <w:r w:rsidR="00404F8C">
        <w:t xml:space="preserve">. </w:t>
      </w:r>
      <w:r w:rsidR="005E623A">
        <w:t xml:space="preserve">The high volume of gas </w:t>
      </w:r>
      <w:r w:rsidR="0046052A">
        <w:t>generated when coal is injected into the raceway</w:t>
      </w:r>
      <w:r w:rsidR="008B550F">
        <w:t>, this can increase the depth of the raceway and increase blast momentum</w:t>
      </w:r>
      <w:r w:rsidR="00C80683">
        <w:t>.</w:t>
      </w:r>
      <w:r w:rsidR="002C02EC">
        <w:t xml:space="preserve"> The volatile content of the coal </w:t>
      </w:r>
      <w:r w:rsidR="00586DBA">
        <w:t>can affect the formation of char and coke fines in the raceway</w:t>
      </w:r>
      <w:r w:rsidR="00E95820">
        <w:t xml:space="preserve">. </w:t>
      </w:r>
      <w:r w:rsidR="00F92934">
        <w:t>Low volatile coal</w:t>
      </w:r>
      <w:r w:rsidR="00840A13">
        <w:t>s</w:t>
      </w:r>
      <w:r w:rsidR="00BD59D9">
        <w:t xml:space="preserve"> </w:t>
      </w:r>
      <w:r w:rsidR="009F4D71">
        <w:t>have higher RR values and therefore lower coke rates</w:t>
      </w:r>
      <w:r w:rsidR="00290ECF">
        <w:t xml:space="preserve"> and</w:t>
      </w:r>
      <w:r w:rsidR="009F4D71">
        <w:t xml:space="preserve"> </w:t>
      </w:r>
      <w:r w:rsidR="00290ECF">
        <w:t>t</w:t>
      </w:r>
      <w:r w:rsidR="009F4D71">
        <w:t xml:space="preserve">hey have less of a cooling </w:t>
      </w:r>
      <w:r w:rsidR="00246D38">
        <w:t xml:space="preserve">effect </w:t>
      </w:r>
      <w:r w:rsidR="00290ECF">
        <w:t xml:space="preserve">on the furnace. </w:t>
      </w:r>
      <w:r w:rsidR="00D77788">
        <w:t xml:space="preserve">They produce less </w:t>
      </w:r>
      <w:r w:rsidR="00FD15E8">
        <w:t>off gas</w:t>
      </w:r>
      <w:r w:rsidR="00D77788">
        <w:t xml:space="preserve"> with a lower CV</w:t>
      </w:r>
      <w:r w:rsidR="00EA12AD">
        <w:t>, less H</w:t>
      </w:r>
      <w:r w:rsidR="00EA12AD" w:rsidRPr="00EA12AD">
        <w:rPr>
          <w:vertAlign w:val="subscript"/>
        </w:rPr>
        <w:t>2</w:t>
      </w:r>
      <w:r w:rsidR="00290ECF" w:rsidRPr="00EA12AD">
        <w:rPr>
          <w:vertAlign w:val="subscript"/>
        </w:rPr>
        <w:t xml:space="preserve"> </w:t>
      </w:r>
      <w:r w:rsidR="00EA12AD">
        <w:t>(for Iron</w:t>
      </w:r>
      <w:r w:rsidR="0020646B">
        <w:t xml:space="preserve"> ore reduction)</w:t>
      </w:r>
      <w:r w:rsidR="00380BA1">
        <w:t>. They have a higher</w:t>
      </w:r>
      <w:r w:rsidR="00CC2196">
        <w:t xml:space="preserve"> RAFT and lower combustion efficiency than high vol</w:t>
      </w:r>
      <w:r w:rsidR="008602DE">
        <w:t>atile coals.</w:t>
      </w:r>
      <w:r w:rsidR="00A04DD9">
        <w:t xml:space="preserve"> </w:t>
      </w:r>
      <w:r w:rsidR="00415C6C">
        <w:t>High volatile coals produce more reactive chars</w:t>
      </w:r>
      <w:r w:rsidR="00B25883">
        <w:t xml:space="preserve">, they also have a higher combustion </w:t>
      </w:r>
      <w:r w:rsidR="00EA5FA1">
        <w:t>performance and a lower ignition temperature</w:t>
      </w:r>
      <w:r w:rsidR="00733397">
        <w:t xml:space="preserve">. They also contribute </w:t>
      </w:r>
      <w:r w:rsidR="00B01BBF">
        <w:t xml:space="preserve">more </w:t>
      </w:r>
      <w:r w:rsidR="00A35C62">
        <w:t>hydrogen</w:t>
      </w:r>
      <w:r w:rsidR="00B01BBF">
        <w:t>.</w:t>
      </w:r>
      <w:r w:rsidR="00094FA9">
        <w:t xml:space="preserve"> The higher gas volume can lead to back pressure issues at the tuyere.</w:t>
      </w:r>
      <w:r w:rsidR="00DF3969">
        <w:t xml:space="preserve"> BF operators </w:t>
      </w:r>
      <w:r w:rsidR="007229A1">
        <w:t xml:space="preserve">often use mid volatile coals as a solution or a blend of low and high coals </w:t>
      </w:r>
      <w:r w:rsidR="008D33E5">
        <w:fldChar w:fldCharType="begin"/>
      </w:r>
      <w:r w:rsidR="008D33E5">
        <w:instrText xml:space="preserve"> ADDIN ZOTERO_ITEM CSL_CITATION {"citationID":"k3WuMFKG","properties":{"formattedCitation":"(Carpenter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rsidR="008D33E5">
        <w:fldChar w:fldCharType="separate"/>
      </w:r>
      <w:r w:rsidR="008D33E5" w:rsidRPr="008D33E5">
        <w:rPr>
          <w:rFonts w:ascii="Calibri" w:hAnsi="Calibri" w:cs="Calibri"/>
        </w:rPr>
        <w:t>(Carpenter 2010)</w:t>
      </w:r>
      <w:r w:rsidR="008D33E5">
        <w:fldChar w:fldCharType="end"/>
      </w:r>
      <w:r w:rsidR="00094FA9">
        <w:t>.</w:t>
      </w:r>
    </w:p>
    <w:p w14:paraId="2F2A0BFB" w14:textId="2C54C031" w:rsidR="00094FA9" w:rsidRDefault="00094FA9" w:rsidP="00BD229F">
      <w:pPr>
        <w:spacing w:line="360" w:lineRule="auto"/>
        <w:jc w:val="both"/>
      </w:pPr>
      <w:r>
        <w:t>Low volatile coals - &lt;14%, medium volatile coals – 14% – 31%, high volatile coals &gt;31%.</w:t>
      </w:r>
    </w:p>
    <w:p w14:paraId="3DF11B98" w14:textId="7499E914" w:rsidR="008D33E5" w:rsidRPr="008D33E5" w:rsidRDefault="00094FA9" w:rsidP="008D33E5">
      <w:pPr>
        <w:spacing w:line="360" w:lineRule="auto"/>
        <w:jc w:val="both"/>
      </w:pPr>
      <w:r>
        <w:t>T-coal and biochar 2 would be considered low volatile while biochar 1 is has a very low volatile, comparable with anthracite.</w:t>
      </w:r>
    </w:p>
    <w:p w14:paraId="22498A66" w14:textId="7AF17CA4" w:rsidR="008B50A3" w:rsidRDefault="00684B53" w:rsidP="00684B53">
      <w:pPr>
        <w:pStyle w:val="Heading3"/>
        <w:spacing w:line="360" w:lineRule="auto"/>
        <w:jc w:val="both"/>
      </w:pPr>
      <w:bookmarkStart w:id="75" w:name="_Toc127911463"/>
      <w:r>
        <w:t>Chemical Composition</w:t>
      </w:r>
      <w:bookmarkEnd w:id="75"/>
    </w:p>
    <w:p w14:paraId="5C0C588B" w14:textId="77777777" w:rsidR="006802DE" w:rsidRDefault="006802DE" w:rsidP="006802DE">
      <w:pPr>
        <w:pStyle w:val="Heading4"/>
        <w:spacing w:line="360" w:lineRule="auto"/>
        <w:jc w:val="both"/>
      </w:pPr>
      <w:r>
        <w:t>Ash content</w:t>
      </w:r>
    </w:p>
    <w:p w14:paraId="1D4786D5" w14:textId="55EF6A8E" w:rsidR="006802DE" w:rsidRPr="006802DE" w:rsidRDefault="00E44A94" w:rsidP="006802DE">
      <w:pPr>
        <w:spacing w:line="360" w:lineRule="auto"/>
        <w:jc w:val="both"/>
      </w:pPr>
      <w:r>
        <w:t>The coal components</w:t>
      </w:r>
      <w:r w:rsidR="006802DE">
        <w:t xml:space="preserve"> can influence BF operation and the quality of the </w:t>
      </w:r>
      <w:r>
        <w:t>iron</w:t>
      </w:r>
      <w:r w:rsidR="006802DE">
        <w:t xml:space="preserve">. An ash content of &lt; 10% is preferred. Low ash results in lower slag volumes and therefore less flux requirements. High levels of ash can block the PCI lances. There needs to be a limit of undesirable constituents as they can negatively influence BF performance </w:t>
      </w:r>
      <w:r w:rsidR="006802DE">
        <w:fldChar w:fldCharType="begin"/>
      </w:r>
      <w:r w:rsidR="006802DE">
        <w:instrText xml:space="preserve"> ADDIN ZOTERO_ITEM CSL_CITATION {"citationID":"BBQYJJX7","properties":{"formattedCitation":"(Carpenter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rsidR="006802DE">
        <w:fldChar w:fldCharType="separate"/>
      </w:r>
      <w:r w:rsidR="006802DE" w:rsidRPr="006802DE">
        <w:rPr>
          <w:rFonts w:ascii="Calibri" w:hAnsi="Calibri" w:cs="Calibri"/>
        </w:rPr>
        <w:t>(Carpenter 2010)</w:t>
      </w:r>
      <w:r w:rsidR="006802DE">
        <w:fldChar w:fldCharType="end"/>
      </w:r>
      <w:r w:rsidR="006802DE">
        <w:t xml:space="preserve">.  </w:t>
      </w:r>
    </w:p>
    <w:p w14:paraId="358771B7" w14:textId="542E680E" w:rsidR="003A7A43" w:rsidRDefault="004F1C9B" w:rsidP="000B147B">
      <w:pPr>
        <w:spacing w:line="360" w:lineRule="auto"/>
        <w:jc w:val="both"/>
      </w:pPr>
      <w:r>
        <w:lastRenderedPageBreak/>
        <w:t xml:space="preserve">The most </w:t>
      </w:r>
      <w:r w:rsidR="000B147B">
        <w:t>significant</w:t>
      </w:r>
      <w:r>
        <w:t xml:space="preserve"> elements affecting BF process</w:t>
      </w:r>
      <w:r w:rsidR="00944ECA">
        <w:t xml:space="preserve"> defined by </w:t>
      </w:r>
      <w:r w:rsidR="00944ECA">
        <w:fldChar w:fldCharType="begin"/>
      </w:r>
      <w:r w:rsidR="00944ECA">
        <w:instrText xml:space="preserve"> ADDIN ZOTERO_ITEM CSL_CITATION {"citationID":"POqleOMa","properties":{"formattedCitation":"(Suopaj\\uc0\\u228{}rvi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944ECA">
        <w:fldChar w:fldCharType="separate"/>
      </w:r>
      <w:r w:rsidR="00944ECA" w:rsidRPr="00944ECA">
        <w:rPr>
          <w:rFonts w:ascii="Calibri" w:hAnsi="Calibri" w:cs="Calibri"/>
          <w:szCs w:val="24"/>
        </w:rPr>
        <w:t>(Suopajärvi et al. 2018)</w:t>
      </w:r>
      <w:r w:rsidR="00944ECA">
        <w:fldChar w:fldCharType="end"/>
      </w:r>
      <w:r>
        <w:t xml:space="preserve"> are</w:t>
      </w:r>
      <w:r w:rsidR="003A7A43">
        <w:t>:</w:t>
      </w:r>
    </w:p>
    <w:p w14:paraId="2D557AC8" w14:textId="1F8102A0" w:rsidR="003A7A43" w:rsidRDefault="004F1C9B" w:rsidP="000B147B">
      <w:pPr>
        <w:spacing w:line="360" w:lineRule="auto"/>
        <w:jc w:val="both"/>
      </w:pPr>
      <w:r>
        <w:t>Zinc (Zn)</w:t>
      </w:r>
      <w:r w:rsidR="000B147B">
        <w:t xml:space="preserve"> – Attacks the BF lining and </w:t>
      </w:r>
      <w:r w:rsidR="003A7A43">
        <w:t>negatively impacts coke CSR/CRI</w:t>
      </w:r>
      <w:r w:rsidR="00944ECA">
        <w:t>.</w:t>
      </w:r>
    </w:p>
    <w:p w14:paraId="59DD3D24" w14:textId="334E6654" w:rsidR="003A7A43" w:rsidRDefault="003A7A43" w:rsidP="000B147B">
      <w:pPr>
        <w:spacing w:line="360" w:lineRule="auto"/>
        <w:jc w:val="both"/>
      </w:pPr>
      <w:r>
        <w:t>P</w:t>
      </w:r>
      <w:r w:rsidR="004F1C9B">
        <w:t>otassium (K)</w:t>
      </w:r>
      <w:r>
        <w:t xml:space="preserve"> &amp; </w:t>
      </w:r>
      <w:r w:rsidR="000B147B">
        <w:t>sodium (Na)</w:t>
      </w:r>
      <w:r>
        <w:t xml:space="preserve"> – Alkalis metals reduce coke and iron ore pellet strength and can promote scaffold formation</w:t>
      </w:r>
      <w:r w:rsidR="00944ECA">
        <w:t>.</w:t>
      </w:r>
    </w:p>
    <w:p w14:paraId="577470D6" w14:textId="4E978C3A" w:rsidR="003A7A43" w:rsidRDefault="003A7A43" w:rsidP="000B147B">
      <w:pPr>
        <w:spacing w:line="360" w:lineRule="auto"/>
        <w:jc w:val="both"/>
      </w:pPr>
      <w:r>
        <w:t>P</w:t>
      </w:r>
      <w:r w:rsidR="000B147B">
        <w:t>hosphorus (P)</w:t>
      </w:r>
      <w:r>
        <w:t xml:space="preserve"> – </w:t>
      </w:r>
      <w:proofErr w:type="spellStart"/>
      <w:proofErr w:type="gramStart"/>
      <w:r>
        <w:t>Phos</w:t>
      </w:r>
      <w:proofErr w:type="spellEnd"/>
      <w:proofErr w:type="gramEnd"/>
      <w:r>
        <w:t xml:space="preserve"> content in iron hot metal should be kept to a minimum as it undesirable in steelmaking</w:t>
      </w:r>
      <w:r w:rsidR="00944ECA">
        <w:t>.</w:t>
      </w:r>
    </w:p>
    <w:p w14:paraId="5216B8DF" w14:textId="23C9B439" w:rsidR="003822D2" w:rsidRDefault="000B147B" w:rsidP="00C630E1">
      <w:pPr>
        <w:spacing w:line="360" w:lineRule="auto"/>
        <w:jc w:val="both"/>
      </w:pPr>
      <w:r>
        <w:t>Sulphur (S)</w:t>
      </w:r>
      <w:r w:rsidR="003A7A43">
        <w:t xml:space="preserve"> – Sulphur is detrimental to steel properties</w:t>
      </w:r>
      <w:r w:rsidR="00944ECA">
        <w:t>.</w:t>
      </w:r>
      <w:r w:rsidR="00E64C9D">
        <w:t xml:space="preserve"> Removal from the hot metal is an expensive process.</w:t>
      </w:r>
      <w:r w:rsidR="001C28F8">
        <w:tab/>
        <w:t xml:space="preserve">     </w:t>
      </w:r>
      <w:r w:rsidR="00944ECA">
        <w:t xml:space="preserve"> </w:t>
      </w:r>
      <w:r w:rsidR="001C28F8">
        <w:t xml:space="preserve">     </w:t>
      </w:r>
    </w:p>
    <w:p w14:paraId="12DA7A88" w14:textId="30076656" w:rsidR="003822D2" w:rsidRDefault="003822D2" w:rsidP="003822D2">
      <w:pPr>
        <w:pStyle w:val="Caption"/>
        <w:keepNext/>
        <w:jc w:val="center"/>
      </w:pPr>
      <w:r>
        <w:t xml:space="preserve">Table </w:t>
      </w:r>
      <w:fldSimple w:instr=" SEQ Table \* ARABIC ">
        <w:r w:rsidR="00DA2639">
          <w:rPr>
            <w:noProof/>
          </w:rPr>
          <w:t>6</w:t>
        </w:r>
      </w:fldSimple>
      <w:r>
        <w:t xml:space="preserve"> </w:t>
      </w:r>
      <w:r w:rsidR="00CF3318">
        <w:t>T</w:t>
      </w:r>
      <w:r w:rsidR="002D4E26">
        <w:t>he c</w:t>
      </w:r>
      <w:r w:rsidR="001C3E00">
        <w:t>hemical</w:t>
      </w:r>
      <w:r>
        <w:t xml:space="preserve"> compositions of T-coal and biochar ash</w:t>
      </w:r>
    </w:p>
    <w:p w14:paraId="65415441" w14:textId="3C7C81C1" w:rsidR="00944ECA" w:rsidRDefault="001C28F8" w:rsidP="00E42F17">
      <w:pPr>
        <w:spacing w:line="360" w:lineRule="auto"/>
        <w:jc w:val="center"/>
      </w:pPr>
      <w:r w:rsidRPr="001C28F8">
        <w:rPr>
          <w:noProof/>
        </w:rPr>
        <w:drawing>
          <wp:inline distT="0" distB="0" distL="0" distR="0" wp14:anchorId="71BF09A5" wp14:editId="30C11853">
            <wp:extent cx="2486025" cy="2536466"/>
            <wp:effectExtent l="0" t="0" r="0"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52"/>
                    <a:stretch>
                      <a:fillRect/>
                    </a:stretch>
                  </pic:blipFill>
                  <pic:spPr>
                    <a:xfrm>
                      <a:off x="0" y="0"/>
                      <a:ext cx="2486643" cy="2537096"/>
                    </a:xfrm>
                    <a:prstGeom prst="rect">
                      <a:avLst/>
                    </a:prstGeom>
                  </pic:spPr>
                </pic:pic>
              </a:graphicData>
            </a:graphic>
          </wp:inline>
        </w:drawing>
      </w:r>
    </w:p>
    <w:p w14:paraId="47E5F67F" w14:textId="7FF23671" w:rsidR="00971613" w:rsidRDefault="008B01FF" w:rsidP="00971613">
      <w:pPr>
        <w:spacing w:line="360" w:lineRule="auto"/>
      </w:pPr>
      <w:r>
        <w:t>At 1.89% b</w:t>
      </w:r>
      <w:r w:rsidR="0098116E">
        <w:t xml:space="preserve">iochar 1 has a low ash content which would be beneficial for PCI use. </w:t>
      </w:r>
      <w:r w:rsidR="00CC0979">
        <w:t xml:space="preserve">Biochar 2 has </w:t>
      </w:r>
      <w:r w:rsidR="002402EA">
        <w:t>an ash content well within 10% and i</w:t>
      </w:r>
      <w:r w:rsidR="005A03CC">
        <w:t>s lower than the T-</w:t>
      </w:r>
      <w:r w:rsidR="00215E35">
        <w:t>coal, both</w:t>
      </w:r>
      <w:r w:rsidR="00C54615">
        <w:t xml:space="preserve"> the biochar’s </w:t>
      </w:r>
      <w:r w:rsidR="005C3DAC">
        <w:t xml:space="preserve">are significantly lower in sulphur content (table 3) </w:t>
      </w:r>
      <w:r w:rsidR="00BE2BD1">
        <w:t>when compared with the T-coal</w:t>
      </w:r>
      <w:r w:rsidR="00215E35">
        <w:t xml:space="preserve">. </w:t>
      </w:r>
    </w:p>
    <w:p w14:paraId="4869BB93" w14:textId="58C0ED5F" w:rsidR="00215E35" w:rsidRDefault="00215E35" w:rsidP="00971613">
      <w:pPr>
        <w:spacing w:line="360" w:lineRule="auto"/>
      </w:pPr>
      <w:r>
        <w:t>The T-coal has a high SiO</w:t>
      </w:r>
      <w:r w:rsidRPr="00215E35">
        <w:rPr>
          <w:vertAlign w:val="subscript"/>
        </w:rPr>
        <w:t>2</w:t>
      </w:r>
      <w:r>
        <w:t xml:space="preserve"> and Al</w:t>
      </w:r>
      <w:r w:rsidRPr="00215E35">
        <w:rPr>
          <w:vertAlign w:val="subscript"/>
        </w:rPr>
        <w:t>2</w:t>
      </w:r>
      <w:r>
        <w:t>O</w:t>
      </w:r>
      <w:r w:rsidRPr="00215E35">
        <w:rPr>
          <w:vertAlign w:val="subscript"/>
        </w:rPr>
        <w:t>3</w:t>
      </w:r>
      <w:r>
        <w:t xml:space="preserve"> content, this would indicate an acidic character of the coal ash. </w:t>
      </w:r>
      <w:r w:rsidR="007C1FA6">
        <w:t xml:space="preserve">The biochar 1 &amp; 2 both have a high </w:t>
      </w:r>
      <w:proofErr w:type="spellStart"/>
      <w:r w:rsidR="007C1FA6">
        <w:t>CaO</w:t>
      </w:r>
      <w:proofErr w:type="spellEnd"/>
      <w:r w:rsidR="007C1FA6">
        <w:t xml:space="preserve"> level which would indicate a basic </w:t>
      </w:r>
      <w:r w:rsidR="00E810C9">
        <w:t>ash character. Using biochar would mean less lime would be needed to adjust the basicity in the BF</w:t>
      </w:r>
      <w:r w:rsidR="007E7A3D">
        <w:t xml:space="preserve"> which in turn would reduce the slag generation rate</w:t>
      </w:r>
      <w:r w:rsidR="009548C8">
        <w:t xml:space="preserve"> </w:t>
      </w:r>
      <w:r w:rsidR="00E7142A">
        <w:fldChar w:fldCharType="begin"/>
      </w:r>
      <w:r w:rsidR="00E7142A">
        <w:instrText xml:space="preserve"> ADDIN ZOTERO_ITEM CSL_CITATION {"citationID":"hukpgFRY","properties":{"formattedCitation":"(Wang et al. 2015b)","plainCitation":"(Wang et al. 2015b)","noteIndex":0},"citationItems":[{"id":2064,"uris":["http://zotero.org/users/local/AB2owHL2/items/QQ9CHPIN"],"itemData":{"id":2064,"type":"article-journal","abstract":"We have investigated and modeled the injection of biomass into blast furnaces (BF), in place of pulverized coal (PC) from fossil sources. This is the …","container-title":"Energy Conversion and Management","DOI":"10.1016/j.enconman.2015.04.013","ISSN":"0196-8904","language":"en","note":"publisher: Pergamon","page":"217-226","source":"www-sciencedirect-com.ezproxy.uwtsd.ac.uk","title":"Biomass as blast furnace injectant – Considering availability, pretreatment and deployment in the Swedish steel industry","URL":"http://www.sciencedirect.com/science/article/pii/S0196890415003556","volume":"102","author":[{"family":"Wang","given":"Chuan"},{"family":"Pelle","given":"Mellin"},{"family":"Jonas","given":"Lövgrenc"},{"family":"Leif","given":"Nilsson"},{"family":"Weihong","given":"Yang"},{"family":"Hassan","given":"Salman"},{"family":"Anders","given":"Hultgren"},{"family":"Mikeal","given":"Larrson"}],"accessed":{"date-parts":[["2022",12,5]]},"issued":{"date-parts":[["2015",9,15]]}}}],"schema":"https://github.com/citation-style-language/schema/raw/master/csl-citation.json"} </w:instrText>
      </w:r>
      <w:r w:rsidR="00E7142A">
        <w:fldChar w:fldCharType="separate"/>
      </w:r>
      <w:r w:rsidR="00E7142A" w:rsidRPr="00E7142A">
        <w:rPr>
          <w:rFonts w:ascii="Calibri" w:hAnsi="Calibri" w:cs="Calibri"/>
        </w:rPr>
        <w:t>(Wang et al. 2015b)</w:t>
      </w:r>
      <w:r w:rsidR="00E7142A">
        <w:fldChar w:fldCharType="end"/>
      </w:r>
      <w:r w:rsidR="007E7A3D">
        <w:t>.</w:t>
      </w:r>
    </w:p>
    <w:p w14:paraId="1310A848" w14:textId="765F6D40" w:rsidR="00BD313C" w:rsidRDefault="00406618" w:rsidP="00971613">
      <w:pPr>
        <w:spacing w:line="360" w:lineRule="auto"/>
      </w:pPr>
      <w:r>
        <w:t xml:space="preserve">Table 7 shows the chemical composition by weight. </w:t>
      </w:r>
      <w:r w:rsidR="00BD313C">
        <w:t xml:space="preserve">The </w:t>
      </w:r>
      <w:r w:rsidR="004258FC">
        <w:t>s</w:t>
      </w:r>
      <w:r w:rsidR="00BD313C">
        <w:t xml:space="preserve">odium and phosphorus levels </w:t>
      </w:r>
      <w:r w:rsidR="001651D8">
        <w:t>are</w:t>
      </w:r>
      <w:r w:rsidR="00BD313C">
        <w:t xml:space="preserve"> low</w:t>
      </w:r>
      <w:r w:rsidR="001651D8">
        <w:t>er</w:t>
      </w:r>
      <w:r w:rsidR="00BD313C">
        <w:t xml:space="preserve"> in the biochar. There is higher potassium content in the biochar</w:t>
      </w:r>
      <w:r w:rsidR="001651D8">
        <w:t xml:space="preserve"> 2</w:t>
      </w:r>
      <w:r w:rsidR="00BD313C">
        <w:t xml:space="preserve"> ash</w:t>
      </w:r>
      <w:r w:rsidR="004258FC">
        <w:t xml:space="preserve"> </w:t>
      </w:r>
      <w:r w:rsidR="00BD313C">
        <w:t>but no</w:t>
      </w:r>
      <w:r w:rsidR="00E204B4">
        <w:t>t</w:t>
      </w:r>
      <w:r w:rsidR="00BD313C">
        <w:t xml:space="preserve"> overly so and this </w:t>
      </w:r>
      <w:r w:rsidR="003822D2">
        <w:t xml:space="preserve">amount </w:t>
      </w:r>
      <w:r w:rsidR="00BD313C">
        <w:t>would not be a concern</w:t>
      </w:r>
      <w:r w:rsidR="00804D4D">
        <w:t>.</w:t>
      </w:r>
      <w:r w:rsidR="00D06E9D">
        <w:t xml:space="preserve"> The</w:t>
      </w:r>
      <w:r w:rsidR="00607B48">
        <w:t xml:space="preserve">re is also less sulphur in the biochar than in the coal. </w:t>
      </w:r>
    </w:p>
    <w:p w14:paraId="723D15BD" w14:textId="660889F4" w:rsidR="00DA4573" w:rsidRDefault="00DA4573" w:rsidP="00971613">
      <w:pPr>
        <w:spacing w:line="360" w:lineRule="auto"/>
      </w:pPr>
      <w:r>
        <w:t xml:space="preserve">The chemical analysis of the biochar </w:t>
      </w:r>
      <w:r w:rsidR="00014962">
        <w:t>demonstrates that</w:t>
      </w:r>
      <w:r w:rsidR="00A13D13">
        <w:t xml:space="preserve"> there would be no significant increase in harmful elements</w:t>
      </w:r>
      <w:r w:rsidR="008643FB">
        <w:t xml:space="preserve"> introduced into the BF as a result of using</w:t>
      </w:r>
      <w:r w:rsidR="001651D8">
        <w:t xml:space="preserve"> these two</w:t>
      </w:r>
      <w:r w:rsidR="008643FB">
        <w:t xml:space="preserve"> </w:t>
      </w:r>
      <w:r w:rsidR="001651D8">
        <w:t>biochar</w:t>
      </w:r>
      <w:r w:rsidR="008643FB">
        <w:t xml:space="preserve"> as a fuel in</w:t>
      </w:r>
      <w:r w:rsidR="00F862B6">
        <w:t>j</w:t>
      </w:r>
      <w:r w:rsidR="008643FB">
        <w:t>ectant.</w:t>
      </w:r>
    </w:p>
    <w:p w14:paraId="146A0B55" w14:textId="5C6F1611" w:rsidR="00ED7B33" w:rsidRDefault="00AB4FD8" w:rsidP="00AB4FD8">
      <w:pPr>
        <w:pStyle w:val="Caption"/>
        <w:jc w:val="center"/>
      </w:pPr>
      <w:r>
        <w:lastRenderedPageBreak/>
        <w:t xml:space="preserve">Table </w:t>
      </w:r>
      <w:fldSimple w:instr=" SEQ Table \* ARABIC ">
        <w:r w:rsidR="00DA2639">
          <w:rPr>
            <w:noProof/>
          </w:rPr>
          <w:t>7</w:t>
        </w:r>
      </w:fldSimple>
      <w:r w:rsidR="008E72B8">
        <w:t xml:space="preserve"> -</w:t>
      </w:r>
      <w:r>
        <w:t xml:space="preserve"> T-coal and biochar chemical composition by weight %</w:t>
      </w:r>
    </w:p>
    <w:tbl>
      <w:tblPr>
        <w:tblW w:w="3840" w:type="dxa"/>
        <w:tblInd w:w="2169" w:type="dxa"/>
        <w:tblLook w:val="04A0" w:firstRow="1" w:lastRow="0" w:firstColumn="1" w:lastColumn="0" w:noHBand="0" w:noVBand="1"/>
      </w:tblPr>
      <w:tblGrid>
        <w:gridCol w:w="960"/>
        <w:gridCol w:w="960"/>
        <w:gridCol w:w="960"/>
        <w:gridCol w:w="960"/>
      </w:tblGrid>
      <w:tr w:rsidR="003822D2" w:rsidRPr="003822D2" w14:paraId="01D0232E" w14:textId="77777777" w:rsidTr="003822D2">
        <w:trPr>
          <w:trHeight w:val="600"/>
        </w:trPr>
        <w:tc>
          <w:tcPr>
            <w:tcW w:w="960" w:type="dxa"/>
            <w:tcBorders>
              <w:top w:val="single" w:sz="8" w:space="0" w:color="auto"/>
              <w:left w:val="single" w:sz="8" w:space="0" w:color="auto"/>
              <w:bottom w:val="single" w:sz="4" w:space="0" w:color="auto"/>
              <w:right w:val="single" w:sz="4" w:space="0" w:color="auto"/>
            </w:tcBorders>
            <w:shd w:val="clear" w:color="000000" w:fill="EDEDED"/>
            <w:vAlign w:val="center"/>
            <w:hideMark/>
          </w:tcPr>
          <w:p w14:paraId="4716A7B5" w14:textId="120CA580"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Chem (</w:t>
            </w:r>
            <w:r w:rsidR="00CF3318">
              <w:rPr>
                <w:rFonts w:ascii="Calibri" w:eastAsia="Times New Roman" w:hAnsi="Calibri" w:cs="Calibri"/>
                <w:color w:val="000000"/>
                <w:lang w:eastAsia="en-GB"/>
              </w:rPr>
              <w:t>wt.</w:t>
            </w:r>
            <w:r w:rsidR="008E72B8">
              <w:rPr>
                <w:rFonts w:ascii="Calibri" w:eastAsia="Times New Roman" w:hAnsi="Calibri" w:cs="Calibri"/>
                <w:color w:val="000000"/>
                <w:lang w:eastAsia="en-GB"/>
              </w:rPr>
              <w:t xml:space="preserve"> </w:t>
            </w:r>
            <w:r w:rsidRPr="003822D2">
              <w:rPr>
                <w:rFonts w:ascii="Calibri" w:eastAsia="Times New Roman" w:hAnsi="Calibri" w:cs="Calibri"/>
                <w:color w:val="000000"/>
                <w:lang w:eastAsia="en-GB"/>
              </w:rPr>
              <w:t>%)</w:t>
            </w:r>
          </w:p>
        </w:tc>
        <w:tc>
          <w:tcPr>
            <w:tcW w:w="960" w:type="dxa"/>
            <w:tcBorders>
              <w:top w:val="single" w:sz="8" w:space="0" w:color="auto"/>
              <w:left w:val="nil"/>
              <w:bottom w:val="nil"/>
              <w:right w:val="single" w:sz="4" w:space="0" w:color="auto"/>
            </w:tcBorders>
            <w:shd w:val="clear" w:color="000000" w:fill="EDEDED"/>
            <w:noWrap/>
            <w:vAlign w:val="center"/>
            <w:hideMark/>
          </w:tcPr>
          <w:p w14:paraId="4B2CA4D1"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T - Coal</w:t>
            </w:r>
          </w:p>
        </w:tc>
        <w:tc>
          <w:tcPr>
            <w:tcW w:w="960" w:type="dxa"/>
            <w:tcBorders>
              <w:top w:val="single" w:sz="8" w:space="0" w:color="auto"/>
              <w:left w:val="nil"/>
              <w:bottom w:val="nil"/>
              <w:right w:val="single" w:sz="4" w:space="0" w:color="auto"/>
            </w:tcBorders>
            <w:shd w:val="clear" w:color="000000" w:fill="EDEDED"/>
            <w:noWrap/>
            <w:vAlign w:val="center"/>
            <w:hideMark/>
          </w:tcPr>
          <w:p w14:paraId="0ABBCC82"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Biochar 1</w:t>
            </w:r>
          </w:p>
        </w:tc>
        <w:tc>
          <w:tcPr>
            <w:tcW w:w="960" w:type="dxa"/>
            <w:tcBorders>
              <w:top w:val="single" w:sz="8" w:space="0" w:color="auto"/>
              <w:left w:val="nil"/>
              <w:bottom w:val="nil"/>
              <w:right w:val="single" w:sz="8" w:space="0" w:color="auto"/>
            </w:tcBorders>
            <w:shd w:val="clear" w:color="000000" w:fill="EDEDED"/>
            <w:noWrap/>
            <w:vAlign w:val="center"/>
            <w:hideMark/>
          </w:tcPr>
          <w:p w14:paraId="61A13DE3"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Biochar 2</w:t>
            </w:r>
          </w:p>
        </w:tc>
      </w:tr>
      <w:tr w:rsidR="003822D2" w:rsidRPr="003822D2" w14:paraId="085E35D9" w14:textId="77777777" w:rsidTr="003822D2">
        <w:trPr>
          <w:trHeight w:val="300"/>
        </w:trPr>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28E25CE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Na2O</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0F12BE73"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0.08</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5D20F28E"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540614F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0.03</w:t>
            </w:r>
          </w:p>
        </w:tc>
      </w:tr>
      <w:tr w:rsidR="003822D2" w:rsidRPr="003822D2" w14:paraId="249F0982"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21448693"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MgO</w:t>
            </w:r>
          </w:p>
        </w:tc>
        <w:tc>
          <w:tcPr>
            <w:tcW w:w="960" w:type="dxa"/>
            <w:tcBorders>
              <w:top w:val="nil"/>
              <w:left w:val="nil"/>
              <w:bottom w:val="single" w:sz="4" w:space="0" w:color="3F3F3F"/>
              <w:right w:val="single" w:sz="4" w:space="0" w:color="3F3F3F"/>
            </w:tcBorders>
            <w:shd w:val="clear" w:color="000000" w:fill="F2F2F2"/>
            <w:noWrap/>
            <w:vAlign w:val="bottom"/>
            <w:hideMark/>
          </w:tcPr>
          <w:p w14:paraId="5CEB667B"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0.17</w:t>
            </w:r>
          </w:p>
        </w:tc>
        <w:tc>
          <w:tcPr>
            <w:tcW w:w="960" w:type="dxa"/>
            <w:tcBorders>
              <w:top w:val="nil"/>
              <w:left w:val="nil"/>
              <w:bottom w:val="single" w:sz="4" w:space="0" w:color="3F3F3F"/>
              <w:right w:val="single" w:sz="4" w:space="0" w:color="3F3F3F"/>
            </w:tcBorders>
            <w:shd w:val="clear" w:color="000000" w:fill="F2F2F2"/>
            <w:noWrap/>
            <w:vAlign w:val="bottom"/>
            <w:hideMark/>
          </w:tcPr>
          <w:p w14:paraId="4DC7558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0.34</w:t>
            </w:r>
          </w:p>
        </w:tc>
        <w:tc>
          <w:tcPr>
            <w:tcW w:w="960" w:type="dxa"/>
            <w:tcBorders>
              <w:top w:val="nil"/>
              <w:left w:val="nil"/>
              <w:bottom w:val="single" w:sz="4" w:space="0" w:color="3F3F3F"/>
              <w:right w:val="single" w:sz="4" w:space="0" w:color="3F3F3F"/>
            </w:tcBorders>
            <w:shd w:val="clear" w:color="000000" w:fill="F2F2F2"/>
            <w:noWrap/>
            <w:vAlign w:val="bottom"/>
            <w:hideMark/>
          </w:tcPr>
          <w:p w14:paraId="7329C60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0.12</w:t>
            </w:r>
          </w:p>
        </w:tc>
      </w:tr>
      <w:tr w:rsidR="003822D2" w:rsidRPr="003822D2" w14:paraId="2831D866"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043C899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A2O3</w:t>
            </w:r>
          </w:p>
        </w:tc>
        <w:tc>
          <w:tcPr>
            <w:tcW w:w="960" w:type="dxa"/>
            <w:tcBorders>
              <w:top w:val="nil"/>
              <w:left w:val="nil"/>
              <w:bottom w:val="single" w:sz="4" w:space="0" w:color="3F3F3F"/>
              <w:right w:val="single" w:sz="4" w:space="0" w:color="3F3F3F"/>
            </w:tcBorders>
            <w:shd w:val="clear" w:color="000000" w:fill="F2F2F2"/>
            <w:noWrap/>
            <w:vAlign w:val="bottom"/>
            <w:hideMark/>
          </w:tcPr>
          <w:p w14:paraId="2176EC4D"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2.52</w:t>
            </w:r>
          </w:p>
        </w:tc>
        <w:tc>
          <w:tcPr>
            <w:tcW w:w="960" w:type="dxa"/>
            <w:tcBorders>
              <w:top w:val="nil"/>
              <w:left w:val="nil"/>
              <w:bottom w:val="single" w:sz="4" w:space="0" w:color="3F3F3F"/>
              <w:right w:val="single" w:sz="4" w:space="0" w:color="3F3F3F"/>
            </w:tcBorders>
            <w:shd w:val="clear" w:color="000000" w:fill="F2F2F2"/>
            <w:noWrap/>
            <w:vAlign w:val="bottom"/>
            <w:hideMark/>
          </w:tcPr>
          <w:p w14:paraId="6A541146"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0.05</w:t>
            </w:r>
          </w:p>
        </w:tc>
        <w:tc>
          <w:tcPr>
            <w:tcW w:w="960" w:type="dxa"/>
            <w:tcBorders>
              <w:top w:val="nil"/>
              <w:left w:val="nil"/>
              <w:bottom w:val="single" w:sz="4" w:space="0" w:color="3F3F3F"/>
              <w:right w:val="single" w:sz="4" w:space="0" w:color="3F3F3F"/>
            </w:tcBorders>
            <w:shd w:val="clear" w:color="000000" w:fill="F2F2F2"/>
            <w:noWrap/>
            <w:vAlign w:val="bottom"/>
            <w:hideMark/>
          </w:tcPr>
          <w:p w14:paraId="36279953"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0.34</w:t>
            </w:r>
          </w:p>
        </w:tc>
      </w:tr>
      <w:tr w:rsidR="003822D2" w:rsidRPr="003822D2" w14:paraId="5EC6EE62"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1B479354"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SiO2</w:t>
            </w:r>
          </w:p>
        </w:tc>
        <w:tc>
          <w:tcPr>
            <w:tcW w:w="960" w:type="dxa"/>
            <w:tcBorders>
              <w:top w:val="nil"/>
              <w:left w:val="nil"/>
              <w:bottom w:val="single" w:sz="4" w:space="0" w:color="3F3F3F"/>
              <w:right w:val="single" w:sz="4" w:space="0" w:color="3F3F3F"/>
            </w:tcBorders>
            <w:shd w:val="clear" w:color="000000" w:fill="F2F2F2"/>
            <w:noWrap/>
            <w:vAlign w:val="bottom"/>
            <w:hideMark/>
          </w:tcPr>
          <w:p w14:paraId="23EBC1ED"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4.45</w:t>
            </w:r>
          </w:p>
        </w:tc>
        <w:tc>
          <w:tcPr>
            <w:tcW w:w="960" w:type="dxa"/>
            <w:tcBorders>
              <w:top w:val="nil"/>
              <w:left w:val="nil"/>
              <w:bottom w:val="single" w:sz="4" w:space="0" w:color="3F3F3F"/>
              <w:right w:val="single" w:sz="4" w:space="0" w:color="3F3F3F"/>
            </w:tcBorders>
            <w:shd w:val="clear" w:color="000000" w:fill="F2F2F2"/>
            <w:noWrap/>
            <w:vAlign w:val="bottom"/>
            <w:hideMark/>
          </w:tcPr>
          <w:p w14:paraId="267B74B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0.15</w:t>
            </w:r>
          </w:p>
        </w:tc>
        <w:tc>
          <w:tcPr>
            <w:tcW w:w="960" w:type="dxa"/>
            <w:tcBorders>
              <w:top w:val="nil"/>
              <w:left w:val="nil"/>
              <w:bottom w:val="single" w:sz="4" w:space="0" w:color="3F3F3F"/>
              <w:right w:val="single" w:sz="4" w:space="0" w:color="3F3F3F"/>
            </w:tcBorders>
            <w:shd w:val="clear" w:color="000000" w:fill="F2F2F2"/>
            <w:noWrap/>
            <w:vAlign w:val="bottom"/>
            <w:hideMark/>
          </w:tcPr>
          <w:p w14:paraId="69398597"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1.18</w:t>
            </w:r>
          </w:p>
        </w:tc>
      </w:tr>
      <w:tr w:rsidR="003822D2" w:rsidRPr="003822D2" w14:paraId="2EEC427A"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10B4217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P2O5</w:t>
            </w:r>
          </w:p>
        </w:tc>
        <w:tc>
          <w:tcPr>
            <w:tcW w:w="960" w:type="dxa"/>
            <w:tcBorders>
              <w:top w:val="nil"/>
              <w:left w:val="nil"/>
              <w:bottom w:val="single" w:sz="4" w:space="0" w:color="3F3F3F"/>
              <w:right w:val="single" w:sz="4" w:space="0" w:color="3F3F3F"/>
            </w:tcBorders>
            <w:shd w:val="clear" w:color="000000" w:fill="F2F2F2"/>
            <w:noWrap/>
            <w:vAlign w:val="bottom"/>
            <w:hideMark/>
          </w:tcPr>
          <w:p w14:paraId="69746902"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0.12</w:t>
            </w:r>
          </w:p>
        </w:tc>
        <w:tc>
          <w:tcPr>
            <w:tcW w:w="960" w:type="dxa"/>
            <w:tcBorders>
              <w:top w:val="nil"/>
              <w:left w:val="nil"/>
              <w:bottom w:val="single" w:sz="4" w:space="0" w:color="3F3F3F"/>
              <w:right w:val="single" w:sz="4" w:space="0" w:color="3F3F3F"/>
            </w:tcBorders>
            <w:shd w:val="clear" w:color="000000" w:fill="F2F2F2"/>
            <w:noWrap/>
            <w:vAlign w:val="bottom"/>
            <w:hideMark/>
          </w:tcPr>
          <w:p w14:paraId="31ED53F5" w14:textId="4096B96C"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w:t>
            </w:r>
            <w:r w:rsidR="00DF4A81">
              <w:rPr>
                <w:rFonts w:ascii="Calibri" w:eastAsia="Times New Roman" w:hAnsi="Calibri" w:cs="Calibri"/>
                <w:b/>
                <w:bCs/>
                <w:color w:val="3F3F3F"/>
                <w:lang w:eastAsia="en-GB"/>
              </w:rPr>
              <w:t>1</w:t>
            </w:r>
          </w:p>
        </w:tc>
        <w:tc>
          <w:tcPr>
            <w:tcW w:w="960" w:type="dxa"/>
            <w:tcBorders>
              <w:top w:val="nil"/>
              <w:left w:val="nil"/>
              <w:bottom w:val="single" w:sz="4" w:space="0" w:color="3F3F3F"/>
              <w:right w:val="single" w:sz="4" w:space="0" w:color="3F3F3F"/>
            </w:tcBorders>
            <w:shd w:val="clear" w:color="000000" w:fill="F2F2F2"/>
            <w:noWrap/>
            <w:vAlign w:val="bottom"/>
            <w:hideMark/>
          </w:tcPr>
          <w:p w14:paraId="78BABCD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r>
      <w:tr w:rsidR="003822D2" w:rsidRPr="003822D2" w14:paraId="0BB59E0F"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38BF1438"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K2O</w:t>
            </w:r>
          </w:p>
        </w:tc>
        <w:tc>
          <w:tcPr>
            <w:tcW w:w="960" w:type="dxa"/>
            <w:tcBorders>
              <w:top w:val="nil"/>
              <w:left w:val="nil"/>
              <w:bottom w:val="single" w:sz="4" w:space="0" w:color="3F3F3F"/>
              <w:right w:val="single" w:sz="4" w:space="0" w:color="3F3F3F"/>
            </w:tcBorders>
            <w:shd w:val="clear" w:color="000000" w:fill="F2F2F2"/>
            <w:noWrap/>
            <w:vAlign w:val="bottom"/>
            <w:hideMark/>
          </w:tcPr>
          <w:p w14:paraId="15777047"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0.14</w:t>
            </w:r>
          </w:p>
        </w:tc>
        <w:tc>
          <w:tcPr>
            <w:tcW w:w="960" w:type="dxa"/>
            <w:tcBorders>
              <w:top w:val="nil"/>
              <w:left w:val="nil"/>
              <w:bottom w:val="single" w:sz="4" w:space="0" w:color="3F3F3F"/>
              <w:right w:val="single" w:sz="4" w:space="0" w:color="3F3F3F"/>
            </w:tcBorders>
            <w:shd w:val="clear" w:color="000000" w:fill="F2F2F2"/>
            <w:noWrap/>
            <w:vAlign w:val="bottom"/>
            <w:hideMark/>
          </w:tcPr>
          <w:p w14:paraId="221B15A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0.08</w:t>
            </w:r>
          </w:p>
        </w:tc>
        <w:tc>
          <w:tcPr>
            <w:tcW w:w="960" w:type="dxa"/>
            <w:tcBorders>
              <w:top w:val="nil"/>
              <w:left w:val="nil"/>
              <w:bottom w:val="single" w:sz="4" w:space="0" w:color="3F3F3F"/>
              <w:right w:val="single" w:sz="4" w:space="0" w:color="3F3F3F"/>
            </w:tcBorders>
            <w:shd w:val="clear" w:color="000000" w:fill="F2F2F2"/>
            <w:noWrap/>
            <w:vAlign w:val="bottom"/>
            <w:hideMark/>
          </w:tcPr>
          <w:p w14:paraId="041A9AE9"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0.26</w:t>
            </w:r>
          </w:p>
        </w:tc>
      </w:tr>
      <w:tr w:rsidR="003822D2" w:rsidRPr="003822D2" w14:paraId="78A7C24C"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17D6EE1"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proofErr w:type="spellStart"/>
            <w:r w:rsidRPr="003822D2">
              <w:rPr>
                <w:rFonts w:ascii="Calibri" w:eastAsia="Times New Roman" w:hAnsi="Calibri" w:cs="Calibri"/>
                <w:b/>
                <w:bCs/>
                <w:color w:val="3F3F3F"/>
                <w:lang w:eastAsia="en-GB"/>
              </w:rPr>
              <w:t>CaO</w:t>
            </w:r>
            <w:proofErr w:type="spellEnd"/>
          </w:p>
        </w:tc>
        <w:tc>
          <w:tcPr>
            <w:tcW w:w="960" w:type="dxa"/>
            <w:tcBorders>
              <w:top w:val="nil"/>
              <w:left w:val="nil"/>
              <w:bottom w:val="single" w:sz="4" w:space="0" w:color="3F3F3F"/>
              <w:right w:val="single" w:sz="4" w:space="0" w:color="3F3F3F"/>
            </w:tcBorders>
            <w:shd w:val="clear" w:color="000000" w:fill="F2F2F2"/>
            <w:noWrap/>
            <w:vAlign w:val="bottom"/>
            <w:hideMark/>
          </w:tcPr>
          <w:p w14:paraId="541387E0"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0.54</w:t>
            </w:r>
          </w:p>
        </w:tc>
        <w:tc>
          <w:tcPr>
            <w:tcW w:w="960" w:type="dxa"/>
            <w:tcBorders>
              <w:top w:val="nil"/>
              <w:left w:val="nil"/>
              <w:bottom w:val="single" w:sz="4" w:space="0" w:color="3F3F3F"/>
              <w:right w:val="single" w:sz="4" w:space="0" w:color="3F3F3F"/>
            </w:tcBorders>
            <w:shd w:val="clear" w:color="000000" w:fill="F2F2F2"/>
            <w:noWrap/>
            <w:vAlign w:val="bottom"/>
            <w:hideMark/>
          </w:tcPr>
          <w:p w14:paraId="0C5089E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1.02</w:t>
            </w:r>
          </w:p>
        </w:tc>
        <w:tc>
          <w:tcPr>
            <w:tcW w:w="960" w:type="dxa"/>
            <w:tcBorders>
              <w:top w:val="nil"/>
              <w:left w:val="nil"/>
              <w:bottom w:val="single" w:sz="4" w:space="0" w:color="3F3F3F"/>
              <w:right w:val="single" w:sz="4" w:space="0" w:color="3F3F3F"/>
            </w:tcBorders>
            <w:shd w:val="clear" w:color="000000" w:fill="F2F2F2"/>
            <w:noWrap/>
            <w:vAlign w:val="bottom"/>
            <w:hideMark/>
          </w:tcPr>
          <w:p w14:paraId="08C7EBA5" w14:textId="1168FD11"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2.</w:t>
            </w:r>
            <w:r w:rsidR="00E57364">
              <w:rPr>
                <w:rFonts w:ascii="Calibri" w:eastAsia="Times New Roman" w:hAnsi="Calibri" w:cs="Calibri"/>
                <w:b/>
                <w:bCs/>
                <w:color w:val="3F3F3F"/>
                <w:lang w:eastAsia="en-GB"/>
              </w:rPr>
              <w:t>37</w:t>
            </w:r>
          </w:p>
        </w:tc>
      </w:tr>
      <w:tr w:rsidR="003822D2" w:rsidRPr="003822D2" w14:paraId="3BEBCFE6"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6D5E800"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TiO2</w:t>
            </w:r>
          </w:p>
        </w:tc>
        <w:tc>
          <w:tcPr>
            <w:tcW w:w="960" w:type="dxa"/>
            <w:tcBorders>
              <w:top w:val="nil"/>
              <w:left w:val="nil"/>
              <w:bottom w:val="single" w:sz="4" w:space="0" w:color="3F3F3F"/>
              <w:right w:val="single" w:sz="4" w:space="0" w:color="3F3F3F"/>
            </w:tcBorders>
            <w:shd w:val="clear" w:color="000000" w:fill="F2F2F2"/>
            <w:noWrap/>
            <w:vAlign w:val="bottom"/>
            <w:hideMark/>
          </w:tcPr>
          <w:p w14:paraId="673234B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0.09</w:t>
            </w:r>
          </w:p>
        </w:tc>
        <w:tc>
          <w:tcPr>
            <w:tcW w:w="960" w:type="dxa"/>
            <w:tcBorders>
              <w:top w:val="nil"/>
              <w:left w:val="nil"/>
              <w:bottom w:val="single" w:sz="4" w:space="0" w:color="3F3F3F"/>
              <w:right w:val="single" w:sz="4" w:space="0" w:color="3F3F3F"/>
            </w:tcBorders>
            <w:shd w:val="clear" w:color="000000" w:fill="F2F2F2"/>
            <w:noWrap/>
            <w:vAlign w:val="bottom"/>
            <w:hideMark/>
          </w:tcPr>
          <w:p w14:paraId="0C1D663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w:t>
            </w:r>
          </w:p>
        </w:tc>
        <w:tc>
          <w:tcPr>
            <w:tcW w:w="960" w:type="dxa"/>
            <w:tcBorders>
              <w:top w:val="nil"/>
              <w:left w:val="nil"/>
              <w:bottom w:val="single" w:sz="4" w:space="0" w:color="3F3F3F"/>
              <w:right w:val="single" w:sz="4" w:space="0" w:color="3F3F3F"/>
            </w:tcBorders>
            <w:shd w:val="clear" w:color="000000" w:fill="F2F2F2"/>
            <w:noWrap/>
            <w:vAlign w:val="bottom"/>
            <w:hideMark/>
          </w:tcPr>
          <w:p w14:paraId="5EE6162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r>
      <w:tr w:rsidR="003822D2" w:rsidRPr="003822D2" w14:paraId="6950A9B1"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6093713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Fe2O3</w:t>
            </w:r>
          </w:p>
        </w:tc>
        <w:tc>
          <w:tcPr>
            <w:tcW w:w="960" w:type="dxa"/>
            <w:tcBorders>
              <w:top w:val="nil"/>
              <w:left w:val="nil"/>
              <w:bottom w:val="single" w:sz="4" w:space="0" w:color="3F3F3F"/>
              <w:right w:val="single" w:sz="4" w:space="0" w:color="3F3F3F"/>
            </w:tcBorders>
            <w:shd w:val="clear" w:color="000000" w:fill="F2F2F2"/>
            <w:noWrap/>
            <w:vAlign w:val="bottom"/>
            <w:hideMark/>
          </w:tcPr>
          <w:p w14:paraId="136B0979"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0.74</w:t>
            </w:r>
          </w:p>
        </w:tc>
        <w:tc>
          <w:tcPr>
            <w:tcW w:w="960" w:type="dxa"/>
            <w:tcBorders>
              <w:top w:val="nil"/>
              <w:left w:val="nil"/>
              <w:bottom w:val="single" w:sz="4" w:space="0" w:color="3F3F3F"/>
              <w:right w:val="single" w:sz="4" w:space="0" w:color="3F3F3F"/>
            </w:tcBorders>
            <w:shd w:val="clear" w:color="000000" w:fill="F2F2F2"/>
            <w:noWrap/>
            <w:vAlign w:val="bottom"/>
            <w:hideMark/>
          </w:tcPr>
          <w:p w14:paraId="0C572D2B" w14:textId="4E37B772"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w:t>
            </w:r>
            <w:r w:rsidR="00E57364">
              <w:rPr>
                <w:rFonts w:ascii="Calibri" w:eastAsia="Times New Roman" w:hAnsi="Calibri" w:cs="Calibri"/>
                <w:b/>
                <w:bCs/>
                <w:color w:val="3F3F3F"/>
                <w:lang w:eastAsia="en-GB"/>
              </w:rPr>
              <w:t>20</w:t>
            </w:r>
          </w:p>
        </w:tc>
        <w:tc>
          <w:tcPr>
            <w:tcW w:w="960" w:type="dxa"/>
            <w:tcBorders>
              <w:top w:val="nil"/>
              <w:left w:val="nil"/>
              <w:bottom w:val="single" w:sz="4" w:space="0" w:color="3F3F3F"/>
              <w:right w:val="single" w:sz="4" w:space="0" w:color="3F3F3F"/>
            </w:tcBorders>
            <w:shd w:val="clear" w:color="000000" w:fill="F2F2F2"/>
            <w:noWrap/>
            <w:vAlign w:val="bottom"/>
            <w:hideMark/>
          </w:tcPr>
          <w:p w14:paraId="076C85AB"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1.55</w:t>
            </w:r>
          </w:p>
        </w:tc>
      </w:tr>
      <w:tr w:rsidR="003822D2" w:rsidRPr="003822D2" w14:paraId="0A0C784A"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68ACA75"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Zn</w:t>
            </w:r>
          </w:p>
        </w:tc>
        <w:tc>
          <w:tcPr>
            <w:tcW w:w="960" w:type="dxa"/>
            <w:tcBorders>
              <w:top w:val="nil"/>
              <w:left w:val="nil"/>
              <w:bottom w:val="single" w:sz="4" w:space="0" w:color="3F3F3F"/>
              <w:right w:val="single" w:sz="4" w:space="0" w:color="3F3F3F"/>
            </w:tcBorders>
            <w:shd w:val="clear" w:color="000000" w:fill="F2F2F2"/>
            <w:noWrap/>
            <w:vAlign w:val="bottom"/>
            <w:hideMark/>
          </w:tcPr>
          <w:p w14:paraId="2585DE92"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0.0010</w:t>
            </w:r>
          </w:p>
        </w:tc>
        <w:tc>
          <w:tcPr>
            <w:tcW w:w="960" w:type="dxa"/>
            <w:tcBorders>
              <w:top w:val="nil"/>
              <w:left w:val="nil"/>
              <w:bottom w:val="single" w:sz="4" w:space="0" w:color="3F3F3F"/>
              <w:right w:val="single" w:sz="4" w:space="0" w:color="3F3F3F"/>
            </w:tcBorders>
            <w:shd w:val="clear" w:color="000000" w:fill="F2F2F2"/>
            <w:noWrap/>
            <w:vAlign w:val="bottom"/>
            <w:hideMark/>
          </w:tcPr>
          <w:p w14:paraId="1BB8486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0.0001</w:t>
            </w:r>
          </w:p>
        </w:tc>
        <w:tc>
          <w:tcPr>
            <w:tcW w:w="960" w:type="dxa"/>
            <w:tcBorders>
              <w:top w:val="nil"/>
              <w:left w:val="nil"/>
              <w:bottom w:val="single" w:sz="4" w:space="0" w:color="3F3F3F"/>
              <w:right w:val="single" w:sz="4" w:space="0" w:color="3F3F3F"/>
            </w:tcBorders>
            <w:shd w:val="clear" w:color="000000" w:fill="F2F2F2"/>
            <w:noWrap/>
            <w:vAlign w:val="bottom"/>
            <w:hideMark/>
          </w:tcPr>
          <w:p w14:paraId="07BD73B4"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0.0015</w:t>
            </w:r>
          </w:p>
        </w:tc>
      </w:tr>
    </w:tbl>
    <w:p w14:paraId="71F1F798" w14:textId="77777777" w:rsidR="003822D2" w:rsidRDefault="003822D2" w:rsidP="00971613">
      <w:pPr>
        <w:spacing w:line="360" w:lineRule="auto"/>
      </w:pPr>
    </w:p>
    <w:p w14:paraId="4BC9D6F8" w14:textId="77777777" w:rsidR="00310616" w:rsidRDefault="00310616" w:rsidP="00310616">
      <w:pPr>
        <w:pStyle w:val="Heading3"/>
        <w:spacing w:line="360" w:lineRule="auto"/>
        <w:jc w:val="both"/>
      </w:pPr>
      <w:bookmarkStart w:id="76" w:name="_Toc127911464"/>
      <w:r>
        <w:t>Combustibility</w:t>
      </w:r>
      <w:bookmarkEnd w:id="76"/>
    </w:p>
    <w:p w14:paraId="73CDEF00" w14:textId="238B8265" w:rsidR="00A92F61" w:rsidRDefault="002D7E18" w:rsidP="00A92F61">
      <w:pPr>
        <w:spacing w:line="360" w:lineRule="auto"/>
        <w:jc w:val="both"/>
      </w:pPr>
      <w:r>
        <w:t xml:space="preserve">To ensure efficient BF operation it is crucial </w:t>
      </w:r>
      <w:r w:rsidR="00D462C8">
        <w:t xml:space="preserve">that all the PCI is </w:t>
      </w:r>
      <w:proofErr w:type="spellStart"/>
      <w:r w:rsidR="00D462C8">
        <w:t>gasified</w:t>
      </w:r>
      <w:proofErr w:type="spellEnd"/>
      <w:r w:rsidR="00D462C8">
        <w:t xml:space="preserve"> as soon as possible</w:t>
      </w:r>
      <w:r w:rsidR="00A92F61">
        <w:t>.</w:t>
      </w:r>
      <w:r w:rsidR="00C2500D">
        <w:t xml:space="preserve"> The residence time of the coal particles in the raceway</w:t>
      </w:r>
      <w:r w:rsidR="00817C88">
        <w:t xml:space="preserve"> is only approx.</w:t>
      </w:r>
      <w:r w:rsidR="00A92F61">
        <w:t xml:space="preserve"> 20 – 30 </w:t>
      </w:r>
      <w:proofErr w:type="spellStart"/>
      <w:r w:rsidR="00A92F61">
        <w:t>ms</w:t>
      </w:r>
      <w:proofErr w:type="spellEnd"/>
      <w:r w:rsidR="00A92F61">
        <w:t>, this short residence time can mean that the pulverised coal is not completely combusted in the raceway and a considerable amount of char (unburnt coal) can escape from the raceway region into the active coke zone</w:t>
      </w:r>
      <w:r w:rsidR="007C00B4">
        <w:t xml:space="preserve"> as shown in figure 33</w:t>
      </w:r>
      <w:r w:rsidR="00A92F61">
        <w:t xml:space="preserve">. This fine char can block coke bed </w:t>
      </w:r>
      <w:proofErr w:type="spellStart"/>
      <w:r w:rsidR="00A92F61">
        <w:t>voidage</w:t>
      </w:r>
      <w:proofErr w:type="spellEnd"/>
      <w:r w:rsidR="00A92F61">
        <w:t xml:space="preserve"> and consequently result in reduced gas flow, a drop in BF pressure, reduced permeability, and decreased furnace productivity </w:t>
      </w:r>
      <w:r w:rsidR="00A92F61">
        <w:fldChar w:fldCharType="begin"/>
      </w:r>
      <w:r w:rsidR="00A92F61">
        <w:instrText xml:space="preserve"> ADDIN ZOTERO_ITEM CSL_CITATION {"citationID":"rwE60r73","properties":{"formattedCitation":"(Ahmed 2018)","plainCitation":"(Ahmed 2018)","noteIndex":0},"citationItems":[{"id":1670,"uris":["http://zotero.org/users/local/AB2owHL2/items/EAIZ2HHB"],"itemData":{"id":1670,"type":"article-journal","abstract":"The iron and steel industry is still dependent on fossil coking coal. About 70% of the total steel production relies directly on fossil coal and coke inputs. Therefore, steel production contributes by ~7% of the global CO2 emission. The reduction of CO2 emission has been given highest priority by the iron- and steel-making sector due to the commitment of governments to mitigate CO2 emission according to Kyoto protocol. Utilization of auxiliary carbonaceous materials in the blast furnace and other iron-making technologies is one of the most efﬁcient options to reduce the coke consumption and, consequently, the CO2 emission. The present review gives an insight of the trends in the applications of auxiliary carbon-bearing material in iron-making processes. Partial substitution of top charged coke by nut coke, lump charcoal, or carbon composite agglomerates were found to not only decrease the dependency on virgin fossil carbon, but also improve the blast furnace performance and increase the productivity. Partial or complete substitution of pulverized coal by waste plastics or renewable carbon-bearing materials like waste plastics or biomass help in mitigating the CO2 emission due to its high H2 content compared to fossil carbon. Injecting such reactive materials results in improved combustion and reduced coke consumption. Moreover, utilization of integrated steel plant ﬁnes and gases becomes necessary to achieve proﬁtability to steel mill operation from both economic and environmental aspects. Recycling of such results in recovering the valuable components and thereby decrease the energy consumption and the need of landﬁlls at the steel plants as well as reduce the consumption of virgin materials and reduce CO2 emission. On the other hand, developed technologies for iron-making rather than blast furnace opens a window and provide a good opportunity to utilize auxiliary carbon-bearing materials that are difﬁcult to utilize in conventional blast furnace iron-making.","container-title":"Minerals","DOI":"10.3390/min8120561","ISSN":"2075-163X","issue":"12","journalAbbreviation":"Minerals","language":"en","page":"561","source":"DOI.org (Crossref)","title":"New Trends in the Application of Carbon-Bearing Materials in Blast Furnace Iron-Making","URL":"http://www.mdpi.com/2075-163X/8/12/561","volume":"8","author":[{"family":"Ahmed","given":"Hesham"}],"accessed":{"date-parts":[["2022",6,27]]},"issued":{"date-parts":[["2018",12,1]]}}}],"schema":"https://github.com/citation-style-language/schema/raw/master/csl-citation.json"} </w:instrText>
      </w:r>
      <w:r w:rsidR="00A92F61">
        <w:fldChar w:fldCharType="separate"/>
      </w:r>
      <w:r w:rsidR="00A92F61" w:rsidRPr="00D206DB">
        <w:rPr>
          <w:rFonts w:ascii="Calibri" w:hAnsi="Calibri" w:cs="Calibri"/>
        </w:rPr>
        <w:t>(Ahmed 2018)</w:t>
      </w:r>
      <w:r w:rsidR="00A92F61">
        <w:fldChar w:fldCharType="end"/>
      </w:r>
      <w:r w:rsidR="00A92F61">
        <w:t xml:space="preserve">. </w:t>
      </w:r>
    </w:p>
    <w:p w14:paraId="3E56D0CE" w14:textId="77777777" w:rsidR="00A92F61" w:rsidRDefault="00A92F61" w:rsidP="00A92F61">
      <w:pPr>
        <w:spacing w:line="360" w:lineRule="auto"/>
        <w:jc w:val="both"/>
        <w:rPr>
          <w:noProof/>
        </w:rPr>
      </w:pPr>
      <w:r w:rsidRPr="0090224D">
        <w:rPr>
          <w:noProof/>
        </w:rPr>
        <w:t xml:space="preserve"> </w:t>
      </w:r>
      <w:r w:rsidRPr="0090224D">
        <w:rPr>
          <w:noProof/>
        </w:rPr>
        <w:drawing>
          <wp:inline distT="0" distB="0" distL="0" distR="0" wp14:anchorId="30EF6813" wp14:editId="6B785F04">
            <wp:extent cx="4389120" cy="2312198"/>
            <wp:effectExtent l="0" t="0" r="0" b="0"/>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53"/>
                    <a:stretch>
                      <a:fillRect/>
                    </a:stretch>
                  </pic:blipFill>
                  <pic:spPr>
                    <a:xfrm>
                      <a:off x="0" y="0"/>
                      <a:ext cx="4391218" cy="2313303"/>
                    </a:xfrm>
                    <a:prstGeom prst="rect">
                      <a:avLst/>
                    </a:prstGeom>
                  </pic:spPr>
                </pic:pic>
              </a:graphicData>
            </a:graphic>
          </wp:inline>
        </w:drawing>
      </w:r>
    </w:p>
    <w:p w14:paraId="6B95FB13" w14:textId="48C73543" w:rsidR="00A92F61" w:rsidRPr="00A92F61" w:rsidRDefault="00A92F61" w:rsidP="00A92F61">
      <w:pPr>
        <w:pStyle w:val="Caption"/>
        <w:rPr>
          <w:noProof/>
        </w:rPr>
      </w:pPr>
      <w:bookmarkStart w:id="77" w:name="_Toc127110927"/>
      <w:r>
        <w:t xml:space="preserve">Figure </w:t>
      </w:r>
      <w:fldSimple w:instr=" SEQ Figure \* ARABIC ">
        <w:r w:rsidR="00A0212F">
          <w:rPr>
            <w:noProof/>
          </w:rPr>
          <w:t>33</w:t>
        </w:r>
      </w:fldSimple>
      <w:r>
        <w:t xml:space="preserve"> The lower zone of the BF </w:t>
      </w:r>
      <w:r>
        <w:fldChar w:fldCharType="begin"/>
      </w:r>
      <w:r>
        <w:instrText xml:space="preserve"> ADDIN ZOTERO_ITEM CSL_CITATION {"citationID":"BKPy5Hcw","properties":{"formattedCitation":"(Ahmed 2018)","plainCitation":"(Ahmed 2018)","noteIndex":0},"citationItems":[{"id":1670,"uris":["http://zotero.org/users/local/AB2owHL2/items/EAIZ2HHB"],"itemData":{"id":1670,"type":"article-journal","abstract":"The iron and steel industry is still dependent on fossil coking coal. About 70% of the total steel production relies directly on fossil coal and coke inputs. Therefore, steel production contributes by ~7% of the global CO2 emission. The reduction of CO2 emission has been given highest priority by the iron- and steel-making sector due to the commitment of governments to mitigate CO2 emission according to Kyoto protocol. Utilization of auxiliary carbonaceous materials in the blast furnace and other iron-making technologies is one of the most efﬁcient options to reduce the coke consumption and, consequently, the CO2 emission. The present review gives an insight of the trends in the applications of auxiliary carbon-bearing material in iron-making processes. Partial substitution of top charged coke by nut coke, lump charcoal, or carbon composite agglomerates were found to not only decrease the dependency on virgin fossil carbon, but also improve the blast furnace performance and increase the productivity. Partial or complete substitution of pulverized coal by waste plastics or renewable carbon-bearing materials like waste plastics or biomass help in mitigating the CO2 emission due to its high H2 content compared to fossil carbon. Injecting such reactive materials results in improved combustion and reduced coke consumption. Moreover, utilization of integrated steel plant ﬁnes and gases becomes necessary to achieve proﬁtability to steel mill operation from both economic and environmental aspects. Recycling of such results in recovering the valuable components and thereby decrease the energy consumption and the need of landﬁlls at the steel plants as well as reduce the consumption of virgin materials and reduce CO2 emission. On the other hand, developed technologies for iron-making rather than blast furnace opens a window and provide a good opportunity to utilize auxiliary carbon-bearing materials that are difﬁcult to utilize in conventional blast furnace iron-making.","container-title":"Minerals","DOI":"10.3390/min8120561","ISSN":"2075-163X","issue":"12","journalAbbreviation":"Minerals","language":"en","page":"561","source":"DOI.org (Crossref)","title":"New Trends in the Application of Carbon-Bearing Materials in Blast Furnace Iron-Making","URL":"http://www.mdpi.com/2075-163X/8/12/561","volume":"8","author":[{"family":"Ahmed","given":"Hesham"}],"accessed":{"date-parts":[["2022",6,27]]},"issued":{"date-parts":[["2018",12,1]]}}}],"schema":"https://github.com/citation-style-language/schema/raw/master/csl-citation.json"} </w:instrText>
      </w:r>
      <w:r>
        <w:fldChar w:fldCharType="separate"/>
      </w:r>
      <w:r w:rsidRPr="00F20AFF">
        <w:rPr>
          <w:rFonts w:ascii="Calibri" w:hAnsi="Calibri" w:cs="Calibri"/>
        </w:rPr>
        <w:t>(Ahmed 2018)</w:t>
      </w:r>
      <w:r>
        <w:fldChar w:fldCharType="end"/>
      </w:r>
      <w:r>
        <w:t>.</w:t>
      </w:r>
      <w:bookmarkEnd w:id="77"/>
    </w:p>
    <w:p w14:paraId="25C0ACE2" w14:textId="5F798FC3" w:rsidR="00F11347" w:rsidRDefault="00F11347" w:rsidP="00F11347">
      <w:pPr>
        <w:spacing w:line="360" w:lineRule="auto"/>
        <w:jc w:val="both"/>
      </w:pPr>
      <w:r>
        <w:t xml:space="preserve">The </w:t>
      </w:r>
      <w:r w:rsidR="008B50A3">
        <w:t>DTF can be used to characterise burnout behaviour of fuel injected into the BF as the environment in the DTF closely resembles the BF raceway</w:t>
      </w:r>
      <w:r w:rsidR="00FD15E8">
        <w:t xml:space="preserve"> </w:t>
      </w:r>
      <w:r w:rsidR="00FD15E8">
        <w:fldChar w:fldCharType="begin"/>
      </w:r>
      <w:r w:rsidR="00FD15E8">
        <w:instrText xml:space="preserve"> ADDIN ZOTERO_ITEM CSL_CITATION {"citationID":"NtguTtTJ","properties":{"formattedCitation":"(Steer et al. 2015)","plainCitation":"(Steer et al. 2015)","noteIndex":0},"citationItems":[{"id":2003,"uris":["http://zotero.org/users/local/AB2owHL2/items/Q6C8HKE8"],"itemData":{"id":2003,"type":"article-journal","abstract":"Coal injection plays an important role to the economic success of ironmaking by substituting a portion of the coke input and improving the blast furnace productivity. Manufacturers are looking at opportunities to increase their coal selection options by using higher proportions of technically challenging lower volatile matter content coals; this paper investigates the kinetics, devolatilisation and burnout of these in granulated coal blends using thermogravimetric analysis (TGA) and a drop tube furnace (DTF). The char residue from the semi-anthracitic low volatile coal selected for this blending investigation had a much reduced reactivity at higher conversions which affected the blends in different ways. Burnout of the blends with the low volatile bituminous coals was improved by fragmentation of the granulated particles, but at longer residence times the lower reactivity of the more structurally ordered carbon in the semi anthracitic coal dominated. In contrast, the higher volatile coals showed improvements at low residence times corresponding to rapid volatile loss, but also showed non-additive blend improvement at longer residence times which may be explained by the more obvious presence of included minerals and the higher K/Al ratios associated with illite mineral phases known to improve burnout.","collection-title":"The 10th European Conference on Coal Research and its Applications","container-title":"Fuel","DOI":"10.1016/j.fuel.2014.12.060","ISSN":"0016-2361","journalAbbreviation":"Fuel","language":"en","page":"40-49","source":"ScienceDirect","title":"Opportunities to improve the utilisation of granulated coals for blast furnace injection","URL":"https://www.sciencedirect.com/science/article/pii/S0016236114012691","volume":"151","author":[{"family":"Steer","given":"Julian M."},{"family":"Marsh","given":"Richard"},{"family":"Greenslade","given":"Mark"},{"family":"Robinson","given":"Andrew"}],"accessed":{"date-parts":[["2022",10,12]]},"issued":{"date-parts":[["2015",7,1]]}}}],"schema":"https://github.com/citation-style-language/schema/raw/master/csl-citation.json"} </w:instrText>
      </w:r>
      <w:r w:rsidR="00FD15E8">
        <w:fldChar w:fldCharType="separate"/>
      </w:r>
      <w:r w:rsidR="00FD15E8" w:rsidRPr="00FD15E8">
        <w:rPr>
          <w:rFonts w:ascii="Calibri" w:hAnsi="Calibri" w:cs="Calibri"/>
        </w:rPr>
        <w:t>(Steer et al. 2015)</w:t>
      </w:r>
      <w:r w:rsidR="00FD15E8">
        <w:fldChar w:fldCharType="end"/>
      </w:r>
      <w:r w:rsidR="008B50A3">
        <w:t>. The burnout or combustion efficiency for the biochar samples and T-coal are:</w:t>
      </w:r>
    </w:p>
    <w:p w14:paraId="47D81F09" w14:textId="23CBA747" w:rsidR="00FD15E8" w:rsidRDefault="00FD15E8" w:rsidP="00FD15E8">
      <w:pPr>
        <w:pStyle w:val="Caption"/>
        <w:keepNext/>
        <w:spacing w:line="360" w:lineRule="auto"/>
        <w:jc w:val="center"/>
      </w:pPr>
      <w:r>
        <w:lastRenderedPageBreak/>
        <w:t xml:space="preserve">Table </w:t>
      </w:r>
      <w:fldSimple w:instr=" SEQ Table \* ARABIC ">
        <w:r w:rsidR="00DA2639">
          <w:rPr>
            <w:noProof/>
          </w:rPr>
          <w:t>8</w:t>
        </w:r>
      </w:fldSimple>
      <w:r>
        <w:t xml:space="preserve"> The burnout efficiency of T-coal and the biochar</w:t>
      </w:r>
    </w:p>
    <w:tbl>
      <w:tblPr>
        <w:tblW w:w="4930" w:type="dxa"/>
        <w:tblInd w:w="2092" w:type="dxa"/>
        <w:tblLook w:val="04A0" w:firstRow="1" w:lastRow="0" w:firstColumn="1" w:lastColumn="0" w:noHBand="0" w:noVBand="1"/>
      </w:tblPr>
      <w:tblGrid>
        <w:gridCol w:w="1739"/>
        <w:gridCol w:w="982"/>
        <w:gridCol w:w="1084"/>
        <w:gridCol w:w="1125"/>
      </w:tblGrid>
      <w:tr w:rsidR="00944ECA" w:rsidRPr="00944ECA" w14:paraId="20A82C84" w14:textId="77777777" w:rsidTr="00FD15E8">
        <w:trPr>
          <w:trHeight w:val="600"/>
        </w:trPr>
        <w:tc>
          <w:tcPr>
            <w:tcW w:w="1739" w:type="dxa"/>
            <w:tcBorders>
              <w:top w:val="single" w:sz="8" w:space="0" w:color="auto"/>
              <w:left w:val="single" w:sz="8" w:space="0" w:color="auto"/>
              <w:bottom w:val="single" w:sz="4" w:space="0" w:color="auto"/>
              <w:right w:val="single" w:sz="4" w:space="0" w:color="auto"/>
            </w:tcBorders>
            <w:shd w:val="clear" w:color="000000" w:fill="EDEDED"/>
            <w:noWrap/>
            <w:vAlign w:val="center"/>
            <w:hideMark/>
          </w:tcPr>
          <w:p w14:paraId="086E9E17"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Burnout (%)</w:t>
            </w:r>
          </w:p>
        </w:tc>
        <w:tc>
          <w:tcPr>
            <w:tcW w:w="982" w:type="dxa"/>
            <w:tcBorders>
              <w:top w:val="single" w:sz="8" w:space="0" w:color="auto"/>
              <w:left w:val="nil"/>
              <w:bottom w:val="single" w:sz="4" w:space="0" w:color="auto"/>
              <w:right w:val="single" w:sz="4" w:space="0" w:color="auto"/>
            </w:tcBorders>
            <w:shd w:val="clear" w:color="000000" w:fill="EDEDED"/>
            <w:noWrap/>
            <w:vAlign w:val="center"/>
            <w:hideMark/>
          </w:tcPr>
          <w:p w14:paraId="16B38517"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T - Coal</w:t>
            </w:r>
          </w:p>
        </w:tc>
        <w:tc>
          <w:tcPr>
            <w:tcW w:w="1084" w:type="dxa"/>
            <w:tcBorders>
              <w:top w:val="single" w:sz="8" w:space="0" w:color="auto"/>
              <w:left w:val="nil"/>
              <w:bottom w:val="single" w:sz="4" w:space="0" w:color="auto"/>
              <w:right w:val="single" w:sz="4" w:space="0" w:color="auto"/>
            </w:tcBorders>
            <w:shd w:val="clear" w:color="000000" w:fill="EDEDED"/>
            <w:noWrap/>
            <w:vAlign w:val="center"/>
            <w:hideMark/>
          </w:tcPr>
          <w:p w14:paraId="000587B2"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Biochar 1</w:t>
            </w:r>
          </w:p>
        </w:tc>
        <w:tc>
          <w:tcPr>
            <w:tcW w:w="1125" w:type="dxa"/>
            <w:tcBorders>
              <w:top w:val="single" w:sz="8" w:space="0" w:color="auto"/>
              <w:left w:val="nil"/>
              <w:bottom w:val="single" w:sz="4" w:space="0" w:color="auto"/>
              <w:right w:val="single" w:sz="8" w:space="0" w:color="auto"/>
            </w:tcBorders>
            <w:shd w:val="clear" w:color="000000" w:fill="EDEDED"/>
            <w:noWrap/>
            <w:vAlign w:val="center"/>
            <w:hideMark/>
          </w:tcPr>
          <w:p w14:paraId="6F335DF3"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Biochar 2</w:t>
            </w:r>
          </w:p>
        </w:tc>
      </w:tr>
      <w:tr w:rsidR="00944ECA" w:rsidRPr="00944ECA" w14:paraId="37BEF1FE" w14:textId="77777777" w:rsidTr="00FD15E8">
        <w:trPr>
          <w:trHeight w:val="360"/>
        </w:trPr>
        <w:tc>
          <w:tcPr>
            <w:tcW w:w="1739" w:type="dxa"/>
            <w:tcBorders>
              <w:top w:val="nil"/>
              <w:left w:val="single" w:sz="8" w:space="0" w:color="auto"/>
              <w:bottom w:val="single" w:sz="4" w:space="0" w:color="auto"/>
              <w:right w:val="single" w:sz="4" w:space="0" w:color="auto"/>
            </w:tcBorders>
            <w:shd w:val="clear" w:color="000000" w:fill="EDEDED"/>
            <w:noWrap/>
            <w:vAlign w:val="center"/>
            <w:hideMark/>
          </w:tcPr>
          <w:p w14:paraId="6EC08151"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35ms</w:t>
            </w:r>
          </w:p>
        </w:tc>
        <w:tc>
          <w:tcPr>
            <w:tcW w:w="982" w:type="dxa"/>
            <w:tcBorders>
              <w:top w:val="nil"/>
              <w:left w:val="nil"/>
              <w:bottom w:val="single" w:sz="4" w:space="0" w:color="auto"/>
              <w:right w:val="single" w:sz="4" w:space="0" w:color="auto"/>
            </w:tcBorders>
            <w:shd w:val="clear" w:color="000000" w:fill="EDEDED"/>
            <w:noWrap/>
            <w:vAlign w:val="center"/>
            <w:hideMark/>
          </w:tcPr>
          <w:p w14:paraId="6A2DF78F"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13.3</w:t>
            </w:r>
          </w:p>
        </w:tc>
        <w:tc>
          <w:tcPr>
            <w:tcW w:w="1084" w:type="dxa"/>
            <w:tcBorders>
              <w:top w:val="nil"/>
              <w:left w:val="nil"/>
              <w:bottom w:val="single" w:sz="4" w:space="0" w:color="auto"/>
              <w:right w:val="single" w:sz="4" w:space="0" w:color="auto"/>
            </w:tcBorders>
            <w:shd w:val="clear" w:color="000000" w:fill="EDEDED"/>
            <w:noWrap/>
            <w:vAlign w:val="center"/>
            <w:hideMark/>
          </w:tcPr>
          <w:p w14:paraId="007F21F6"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46.09</w:t>
            </w:r>
          </w:p>
        </w:tc>
        <w:tc>
          <w:tcPr>
            <w:tcW w:w="1125" w:type="dxa"/>
            <w:tcBorders>
              <w:top w:val="nil"/>
              <w:left w:val="nil"/>
              <w:bottom w:val="single" w:sz="4" w:space="0" w:color="auto"/>
              <w:right w:val="single" w:sz="8" w:space="0" w:color="auto"/>
            </w:tcBorders>
            <w:shd w:val="clear" w:color="000000" w:fill="EDEDED"/>
            <w:noWrap/>
            <w:vAlign w:val="center"/>
            <w:hideMark/>
          </w:tcPr>
          <w:p w14:paraId="28469B42"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71.97</w:t>
            </w:r>
          </w:p>
        </w:tc>
      </w:tr>
      <w:tr w:rsidR="00944ECA" w:rsidRPr="00944ECA" w14:paraId="067BB908" w14:textId="77777777" w:rsidTr="00FD15E8">
        <w:trPr>
          <w:trHeight w:val="360"/>
        </w:trPr>
        <w:tc>
          <w:tcPr>
            <w:tcW w:w="1739" w:type="dxa"/>
            <w:tcBorders>
              <w:top w:val="nil"/>
              <w:left w:val="single" w:sz="8" w:space="0" w:color="auto"/>
              <w:bottom w:val="single" w:sz="4" w:space="0" w:color="auto"/>
              <w:right w:val="single" w:sz="4" w:space="0" w:color="auto"/>
            </w:tcBorders>
            <w:shd w:val="clear" w:color="000000" w:fill="EDEDED"/>
            <w:noWrap/>
            <w:vAlign w:val="center"/>
            <w:hideMark/>
          </w:tcPr>
          <w:p w14:paraId="33567966"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700ms</w:t>
            </w:r>
          </w:p>
        </w:tc>
        <w:tc>
          <w:tcPr>
            <w:tcW w:w="982" w:type="dxa"/>
            <w:tcBorders>
              <w:top w:val="nil"/>
              <w:left w:val="nil"/>
              <w:bottom w:val="single" w:sz="4" w:space="0" w:color="auto"/>
              <w:right w:val="single" w:sz="4" w:space="0" w:color="auto"/>
            </w:tcBorders>
            <w:shd w:val="clear" w:color="000000" w:fill="EDEDED"/>
            <w:noWrap/>
            <w:vAlign w:val="center"/>
            <w:hideMark/>
          </w:tcPr>
          <w:p w14:paraId="177C113A"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58.7</w:t>
            </w:r>
          </w:p>
        </w:tc>
        <w:tc>
          <w:tcPr>
            <w:tcW w:w="1084" w:type="dxa"/>
            <w:tcBorders>
              <w:top w:val="nil"/>
              <w:left w:val="nil"/>
              <w:bottom w:val="single" w:sz="4" w:space="0" w:color="auto"/>
              <w:right w:val="single" w:sz="4" w:space="0" w:color="auto"/>
            </w:tcBorders>
            <w:shd w:val="clear" w:color="000000" w:fill="EDEDED"/>
            <w:noWrap/>
            <w:vAlign w:val="center"/>
            <w:hideMark/>
          </w:tcPr>
          <w:p w14:paraId="0DADA960"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86.01</w:t>
            </w:r>
          </w:p>
        </w:tc>
        <w:tc>
          <w:tcPr>
            <w:tcW w:w="1125" w:type="dxa"/>
            <w:tcBorders>
              <w:top w:val="nil"/>
              <w:left w:val="nil"/>
              <w:bottom w:val="single" w:sz="4" w:space="0" w:color="auto"/>
              <w:right w:val="single" w:sz="8" w:space="0" w:color="auto"/>
            </w:tcBorders>
            <w:shd w:val="clear" w:color="000000" w:fill="EDEDED"/>
            <w:noWrap/>
            <w:vAlign w:val="center"/>
            <w:hideMark/>
          </w:tcPr>
          <w:p w14:paraId="5A479068"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91.47</w:t>
            </w:r>
          </w:p>
        </w:tc>
      </w:tr>
    </w:tbl>
    <w:p w14:paraId="7BA9E2AC" w14:textId="1191AC43" w:rsidR="00684B53" w:rsidRDefault="00684B53" w:rsidP="00684B53">
      <w:pPr>
        <w:spacing w:line="360" w:lineRule="auto"/>
        <w:jc w:val="both"/>
      </w:pPr>
    </w:p>
    <w:p w14:paraId="1C8A3C37" w14:textId="1090CFFD" w:rsidR="00FD15E8" w:rsidRDefault="00FD15E8" w:rsidP="00FD15E8">
      <w:pPr>
        <w:spacing w:line="360" w:lineRule="auto"/>
        <w:jc w:val="center"/>
      </w:pPr>
      <w:r>
        <w:rPr>
          <w:noProof/>
        </w:rPr>
        <w:drawing>
          <wp:inline distT="0" distB="0" distL="0" distR="0" wp14:anchorId="363DA523" wp14:editId="35D74272">
            <wp:extent cx="5343277" cy="2560320"/>
            <wp:effectExtent l="0" t="0" r="10160" b="11430"/>
            <wp:docPr id="16" name="Chart 16">
              <a:extLst xmlns:a="http://schemas.openxmlformats.org/drawingml/2006/main">
                <a:ext uri="{FF2B5EF4-FFF2-40B4-BE49-F238E27FC236}">
                  <a16:creationId xmlns:a16="http://schemas.microsoft.com/office/drawing/2014/main" id="{8B6C61C6-3D17-B6C2-8C02-71A729E16B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192F4FD" w14:textId="5FB32168" w:rsidR="00215E95" w:rsidRDefault="00CD5621" w:rsidP="00CD5621">
      <w:pPr>
        <w:pStyle w:val="Caption"/>
        <w:jc w:val="center"/>
      </w:pPr>
      <w:bookmarkStart w:id="78" w:name="_Toc127110928"/>
      <w:r>
        <w:t xml:space="preserve">Figure </w:t>
      </w:r>
      <w:fldSimple w:instr=" SEQ Figure \* ARABIC ">
        <w:r w:rsidR="00A0212F">
          <w:rPr>
            <w:noProof/>
          </w:rPr>
          <w:t>34</w:t>
        </w:r>
      </w:fldSimple>
      <w:r>
        <w:t xml:space="preserve"> </w:t>
      </w:r>
      <w:r w:rsidR="00CC628B">
        <w:t xml:space="preserve">Graph showing the burnout efficiency of T-coal and </w:t>
      </w:r>
      <w:proofErr w:type="gramStart"/>
      <w:r w:rsidR="00CC628B">
        <w:t>biochar</w:t>
      </w:r>
      <w:bookmarkEnd w:id="78"/>
      <w:proofErr w:type="gramEnd"/>
    </w:p>
    <w:p w14:paraId="6E56A991" w14:textId="75DEE1B4" w:rsidR="0045366E" w:rsidRDefault="00451378" w:rsidP="000D2BC6">
      <w:pPr>
        <w:spacing w:line="360" w:lineRule="auto"/>
        <w:jc w:val="both"/>
      </w:pPr>
      <w:r>
        <w:t>I</w:t>
      </w:r>
      <w:r w:rsidR="00BC01AF">
        <w:t>t can be seen from table 8 and figure 3</w:t>
      </w:r>
      <w:r w:rsidR="007C00B4">
        <w:t>4</w:t>
      </w:r>
      <w:r w:rsidR="00BC01AF">
        <w:t xml:space="preserve"> that the burnout efficiency of the </w:t>
      </w:r>
      <w:r w:rsidR="0052487A">
        <w:t>biochar is higher than that of the T-coal</w:t>
      </w:r>
      <w:r w:rsidR="00DE07B3">
        <w:t xml:space="preserve">. This would mean less char </w:t>
      </w:r>
      <w:r w:rsidR="001719B3">
        <w:t xml:space="preserve">would escape the raceway into </w:t>
      </w:r>
      <w:r w:rsidR="00047751">
        <w:t>the active coke zone</w:t>
      </w:r>
      <w:r w:rsidR="00FA3F28">
        <w:t xml:space="preserve"> and benefit BF productivity. </w:t>
      </w:r>
      <w:r w:rsidR="00FA3F28">
        <w:fldChar w:fldCharType="begin"/>
      </w:r>
      <w:r w:rsidR="00FA3F28">
        <w:instrText xml:space="preserve"> ADDIN ZOTERO_ITEM CSL_CITATION {"citationID":"t7hOCZRk","properties":{"formattedCitation":"(Babich et al. 2010; Ng et al. 2011)","plainCitation":"(Babich et al. 2010; Ng et al. 2011)","noteIndex":0},"citationItems":[{"id":1828,"uris":["http://zotero.org/users/local/AB2owHL2/items/ERJ5VU9V"],"itemData":{"id":1828,"type":"article-journal","abstract":"Nowadays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A."},{"family":"Giroux","given":"L."},{"family":"Todoschuk","given":"Ted"}],"accessed":{"date-parts":[["2022",7,25]]},"issued":{"date-parts":[["2011",4,1]]}},"label":"page"}],"schema":"https://github.com/citation-style-language/schema/raw/master/csl-citation.json"} </w:instrText>
      </w:r>
      <w:r w:rsidR="00FA3F28">
        <w:fldChar w:fldCharType="separate"/>
      </w:r>
      <w:r w:rsidR="00FA3F28" w:rsidRPr="00FA3F28">
        <w:rPr>
          <w:rFonts w:ascii="Calibri" w:hAnsi="Calibri" w:cs="Calibri"/>
        </w:rPr>
        <w:t>(Babich et al. 2010; Ng et al. 2011)</w:t>
      </w:r>
      <w:r w:rsidR="00FA3F28">
        <w:fldChar w:fldCharType="end"/>
      </w:r>
      <w:r w:rsidR="00FA3F28">
        <w:t xml:space="preserve"> propose that this may be due to the higher specific surface areas of charcoals compared with PCI coals. </w:t>
      </w:r>
    </w:p>
    <w:p w14:paraId="0DB3FF83" w14:textId="77777777" w:rsidR="0045366E" w:rsidRDefault="0045366E" w:rsidP="0045366E">
      <w:pPr>
        <w:spacing w:line="360" w:lineRule="auto"/>
        <w:jc w:val="both"/>
      </w:pPr>
      <w:r>
        <w:t>However, it is inevitable that when using PCI, that some char will escape from the raceway into the coke active zone, because of the short residence time and high injection rates.</w:t>
      </w:r>
    </w:p>
    <w:p w14:paraId="7475DB58" w14:textId="7E145D92" w:rsidR="000D2BC6" w:rsidRDefault="00E80083" w:rsidP="000D2BC6">
      <w:pPr>
        <w:spacing w:line="360" w:lineRule="auto"/>
        <w:jc w:val="both"/>
      </w:pPr>
      <w:r>
        <w:t xml:space="preserve">The </w:t>
      </w:r>
      <w:r w:rsidR="00D73F25">
        <w:t>char reactions in the raceway are</w:t>
      </w:r>
      <w:r w:rsidR="0081571D">
        <w:t xml:space="preserve"> A)</w:t>
      </w:r>
      <w:r w:rsidR="00D73F25">
        <w:t xml:space="preserve"> </w:t>
      </w:r>
      <w:proofErr w:type="spellStart"/>
      <w:r w:rsidR="00D73F25">
        <w:t>devolatisation</w:t>
      </w:r>
      <w:proofErr w:type="spellEnd"/>
      <w:r w:rsidR="00D73F25">
        <w:t xml:space="preserve"> and</w:t>
      </w:r>
      <w:r w:rsidR="0081571D">
        <w:t xml:space="preserve"> B)</w:t>
      </w:r>
      <w:r w:rsidR="00D73F25">
        <w:t xml:space="preserve"> char combustion</w:t>
      </w:r>
      <w:r w:rsidR="0029636D">
        <w:t xml:space="preserve"> which can be written as:</w:t>
      </w:r>
    </w:p>
    <w:p w14:paraId="5A4B69A1" w14:textId="0FA1426F" w:rsidR="003D340E" w:rsidRPr="007C00B4" w:rsidRDefault="006E55BC" w:rsidP="007C00B4">
      <w:pPr>
        <w:pStyle w:val="NormalWeb"/>
        <w:numPr>
          <w:ilvl w:val="0"/>
          <w:numId w:val="14"/>
        </w:numPr>
        <w:spacing w:before="0" w:beforeAutospacing="0" w:after="0" w:afterAutospacing="0" w:line="360" w:lineRule="auto"/>
        <w:jc w:val="both"/>
        <w:rPr>
          <w:rStyle w:val="label"/>
          <w:rFonts w:asciiTheme="minorHAnsi" w:eastAsiaTheme="minorEastAsia" w:hAnsiTheme="minorHAnsi" w:cstheme="minorHAnsi"/>
          <w:sz w:val="22"/>
          <w:szCs w:val="22"/>
        </w:rPr>
      </w:pPr>
      <w:proofErr w:type="spellStart"/>
      <w:r w:rsidRPr="007C00B4">
        <w:rPr>
          <w:rStyle w:val="mjxassistivemathml"/>
          <w:rFonts w:asciiTheme="minorHAnsi" w:eastAsiaTheme="minorEastAsia" w:hAnsiTheme="minorHAnsi" w:cstheme="minorHAnsi"/>
          <w:sz w:val="22"/>
          <w:szCs w:val="22"/>
          <w:bdr w:val="none" w:sz="0" w:space="0" w:color="auto" w:frame="1"/>
        </w:rPr>
        <w:t>Biochar→</w:t>
      </w:r>
      <w:r w:rsidRPr="007C00B4">
        <w:rPr>
          <w:rStyle w:val="mjxassistivemathml"/>
          <w:rFonts w:asciiTheme="minorHAnsi" w:eastAsiaTheme="minorEastAsia" w:hAnsiTheme="minorHAnsi" w:cstheme="minorHAnsi"/>
          <w:sz w:val="22"/>
          <w:szCs w:val="22"/>
          <w:bdr w:val="none" w:sz="0" w:space="0" w:color="auto" w:frame="1"/>
          <w:vertAlign w:val="superscript"/>
        </w:rPr>
        <w:t>Rr</w:t>
      </w:r>
      <w:r w:rsidRPr="007C00B4">
        <w:rPr>
          <w:rStyle w:val="mjxassistivemathml"/>
          <w:rFonts w:asciiTheme="minorHAnsi" w:eastAsiaTheme="minorEastAsia" w:hAnsiTheme="minorHAnsi" w:cstheme="minorHAnsi"/>
          <w:sz w:val="22"/>
          <w:szCs w:val="22"/>
          <w:bdr w:val="none" w:sz="0" w:space="0" w:color="auto" w:frame="1"/>
        </w:rPr>
        <w:t>VM+Char</w:t>
      </w:r>
      <w:proofErr w:type="spellEnd"/>
      <w:r w:rsidR="006E7039" w:rsidRPr="007C00B4">
        <w:rPr>
          <w:rStyle w:val="mjxassistivemathml"/>
          <w:rFonts w:asciiTheme="minorHAnsi" w:eastAsiaTheme="minorEastAsia" w:hAnsiTheme="minorHAnsi" w:cstheme="minorHAnsi"/>
          <w:sz w:val="22"/>
          <w:szCs w:val="22"/>
          <w:bdr w:val="none" w:sz="0" w:space="0" w:color="auto" w:frame="1"/>
        </w:rPr>
        <w:t xml:space="preserve"> </w:t>
      </w:r>
    </w:p>
    <w:p w14:paraId="40F99921" w14:textId="7B8B6D21" w:rsidR="003D340E" w:rsidRPr="007C00B4" w:rsidRDefault="006E55BC" w:rsidP="007C00B4">
      <w:pPr>
        <w:pStyle w:val="NormalWeb"/>
        <w:numPr>
          <w:ilvl w:val="0"/>
          <w:numId w:val="14"/>
        </w:numPr>
        <w:spacing w:before="0" w:beforeAutospacing="0" w:after="0" w:afterAutospacing="0" w:line="360" w:lineRule="auto"/>
        <w:jc w:val="both"/>
        <w:rPr>
          <w:rStyle w:val="mjxassistivemathml"/>
          <w:rFonts w:asciiTheme="minorHAnsi" w:eastAsiaTheme="minorEastAsia" w:hAnsiTheme="minorHAnsi" w:cstheme="minorHAnsi"/>
          <w:sz w:val="22"/>
          <w:szCs w:val="22"/>
        </w:rPr>
      </w:pPr>
      <w:r w:rsidRPr="007C00B4">
        <w:rPr>
          <w:rStyle w:val="mjxassistivemathml"/>
          <w:rFonts w:asciiTheme="minorHAnsi" w:eastAsiaTheme="minorEastAsia" w:hAnsiTheme="minorHAnsi" w:cstheme="minorHAnsi"/>
          <w:sz w:val="22"/>
          <w:szCs w:val="22"/>
          <w:bdr w:val="none" w:sz="0" w:space="0" w:color="auto" w:frame="1"/>
        </w:rPr>
        <w:t>Char+O2→</w:t>
      </w:r>
      <w:r w:rsidRPr="007C00B4">
        <w:rPr>
          <w:rStyle w:val="mjxassistivemathml"/>
          <w:rFonts w:asciiTheme="minorHAnsi" w:eastAsiaTheme="minorEastAsia" w:hAnsiTheme="minorHAnsi" w:cstheme="minorHAnsi"/>
          <w:sz w:val="22"/>
          <w:szCs w:val="22"/>
          <w:bdr w:val="none" w:sz="0" w:space="0" w:color="auto" w:frame="1"/>
          <w:vertAlign w:val="superscript"/>
        </w:rPr>
        <w:t>Rr</w:t>
      </w:r>
      <w:r w:rsidRPr="007C00B4">
        <w:rPr>
          <w:rStyle w:val="mjxassistivemathml"/>
          <w:rFonts w:asciiTheme="minorHAnsi" w:eastAsiaTheme="minorEastAsia" w:hAnsiTheme="minorHAnsi" w:cstheme="minorHAnsi"/>
          <w:sz w:val="22"/>
          <w:szCs w:val="22"/>
          <w:bdr w:val="none" w:sz="0" w:space="0" w:color="auto" w:frame="1"/>
        </w:rPr>
        <w:t>CO+CO2</w:t>
      </w:r>
    </w:p>
    <w:p w14:paraId="0B897A0B" w14:textId="5EB763DA" w:rsidR="008B3923" w:rsidRPr="007C00B4" w:rsidRDefault="008B3923" w:rsidP="007C00B4">
      <w:pPr>
        <w:pStyle w:val="NormalWeb"/>
        <w:numPr>
          <w:ilvl w:val="0"/>
          <w:numId w:val="14"/>
        </w:numPr>
        <w:spacing w:before="0" w:beforeAutospacing="0" w:after="0" w:afterAutospacing="0" w:line="360" w:lineRule="auto"/>
        <w:jc w:val="both"/>
        <w:rPr>
          <w:rStyle w:val="mjxassistivemathml"/>
          <w:rFonts w:asciiTheme="minorHAnsi" w:hAnsiTheme="minorHAnsi" w:cstheme="minorHAnsi"/>
        </w:rPr>
      </w:pPr>
      <w:r w:rsidRPr="007C00B4">
        <w:rPr>
          <w:rStyle w:val="mjxassistivemathml"/>
          <w:rFonts w:asciiTheme="minorHAnsi" w:hAnsiTheme="minorHAnsi" w:cstheme="minorHAnsi"/>
          <w:sz w:val="22"/>
          <w:szCs w:val="22"/>
          <w:bdr w:val="none" w:sz="0" w:space="0" w:color="auto" w:frame="1"/>
        </w:rPr>
        <w:t>Char+CO2→2CO</w:t>
      </w:r>
    </w:p>
    <w:p w14:paraId="5CB61123" w14:textId="47883930" w:rsidR="00EF4103" w:rsidRPr="007C00B4" w:rsidRDefault="0045366E" w:rsidP="007C00B4">
      <w:pPr>
        <w:pStyle w:val="NormalWeb"/>
        <w:spacing w:before="0" w:beforeAutospacing="0" w:after="0" w:afterAutospacing="0" w:line="360" w:lineRule="auto"/>
        <w:jc w:val="both"/>
        <w:rPr>
          <w:rFonts w:asciiTheme="minorHAnsi" w:eastAsiaTheme="minorEastAsia" w:hAnsiTheme="minorHAnsi" w:cstheme="minorBidi"/>
          <w:sz w:val="22"/>
          <w:szCs w:val="22"/>
        </w:rPr>
      </w:pPr>
      <w:r w:rsidRPr="007C00B4">
        <w:rPr>
          <w:rFonts w:asciiTheme="minorHAnsi" w:eastAsiaTheme="minorEastAsia" w:hAnsiTheme="minorHAnsi" w:cstheme="minorBidi"/>
          <w:sz w:val="22"/>
          <w:szCs w:val="22"/>
        </w:rPr>
        <w:t>The char in the active zone is reactive, more so for biochar</w:t>
      </w:r>
      <w:r w:rsidR="00C67FDB">
        <w:rPr>
          <w:rFonts w:asciiTheme="minorHAnsi" w:eastAsiaTheme="minorEastAsia" w:hAnsiTheme="minorHAnsi" w:cstheme="minorBidi"/>
          <w:sz w:val="22"/>
          <w:szCs w:val="22"/>
        </w:rPr>
        <w:t>,</w:t>
      </w:r>
      <w:r w:rsidRPr="007C00B4">
        <w:rPr>
          <w:rFonts w:asciiTheme="minorHAnsi" w:eastAsiaTheme="minorEastAsia" w:hAnsiTheme="minorHAnsi" w:cstheme="minorBidi"/>
          <w:sz w:val="22"/>
          <w:szCs w:val="22"/>
        </w:rPr>
        <w:t xml:space="preserve"> see the</w:t>
      </w:r>
      <w:r w:rsidR="00CC2D98" w:rsidRPr="007C00B4">
        <w:rPr>
          <w:rFonts w:asciiTheme="minorHAnsi" w:eastAsiaTheme="minorEastAsia" w:hAnsiTheme="minorHAnsi" w:cstheme="minorBidi"/>
          <w:sz w:val="22"/>
          <w:szCs w:val="22"/>
        </w:rPr>
        <w:t xml:space="preserve"> reverse</w:t>
      </w:r>
      <w:r w:rsidRPr="007C00B4">
        <w:rPr>
          <w:rFonts w:asciiTheme="minorHAnsi" w:eastAsiaTheme="minorEastAsia" w:hAnsiTheme="minorHAnsi" w:cstheme="minorBidi"/>
          <w:sz w:val="22"/>
          <w:szCs w:val="22"/>
        </w:rPr>
        <w:t xml:space="preserve"> </w:t>
      </w:r>
      <w:proofErr w:type="spellStart"/>
      <w:r w:rsidRPr="007C00B4">
        <w:rPr>
          <w:rFonts w:asciiTheme="minorHAnsi" w:eastAsiaTheme="minorEastAsia" w:hAnsiTheme="minorHAnsi" w:cstheme="minorBidi"/>
          <w:sz w:val="22"/>
          <w:szCs w:val="22"/>
        </w:rPr>
        <w:t>Boudouard</w:t>
      </w:r>
      <w:proofErr w:type="spellEnd"/>
      <w:r w:rsidRPr="007C00B4">
        <w:rPr>
          <w:rFonts w:asciiTheme="minorHAnsi" w:eastAsiaTheme="minorEastAsia" w:hAnsiTheme="minorHAnsi" w:cstheme="minorBidi"/>
          <w:sz w:val="22"/>
          <w:szCs w:val="22"/>
        </w:rPr>
        <w:t xml:space="preserve"> reaction (solution loss reaction) C) shown above</w:t>
      </w:r>
      <w:r w:rsidR="005A3510" w:rsidRPr="007C00B4">
        <w:rPr>
          <w:rFonts w:asciiTheme="minorHAnsi" w:eastAsiaTheme="minorEastAsia" w:hAnsiTheme="minorHAnsi" w:cstheme="minorBidi"/>
          <w:sz w:val="22"/>
          <w:szCs w:val="22"/>
        </w:rPr>
        <w:t xml:space="preserve">. </w:t>
      </w:r>
      <w:r w:rsidRPr="007C00B4">
        <w:rPr>
          <w:rFonts w:asciiTheme="minorHAnsi" w:eastAsiaTheme="minorEastAsia" w:hAnsiTheme="minorHAnsi" w:cstheme="minorBidi"/>
          <w:sz w:val="22"/>
          <w:szCs w:val="22"/>
        </w:rPr>
        <w:t>The BF contains a large amount of C0</w:t>
      </w:r>
      <w:r w:rsidRPr="007C00B4">
        <w:rPr>
          <w:rFonts w:asciiTheme="minorHAnsi" w:eastAsiaTheme="minorEastAsia" w:hAnsiTheme="minorHAnsi" w:cstheme="minorBidi"/>
          <w:sz w:val="22"/>
          <w:szCs w:val="22"/>
          <w:vertAlign w:val="subscript"/>
        </w:rPr>
        <w:t>2</w:t>
      </w:r>
      <w:r w:rsidRPr="007C00B4">
        <w:rPr>
          <w:rFonts w:asciiTheme="minorHAnsi" w:eastAsiaTheme="minorEastAsia" w:hAnsiTheme="minorHAnsi" w:cstheme="minorBidi"/>
          <w:sz w:val="22"/>
          <w:szCs w:val="22"/>
        </w:rPr>
        <w:t>, which reacts with the coke in the furnace, reducing its strength, which can weaken the coke scaffold function. Under high PCI injection rates, any unburnt carbon powder (char) with high reactivity will react with the CO</w:t>
      </w:r>
      <w:r w:rsidRPr="007C00B4">
        <w:rPr>
          <w:rFonts w:asciiTheme="minorHAnsi" w:eastAsiaTheme="minorEastAsia" w:hAnsiTheme="minorHAnsi" w:cstheme="minorBidi"/>
          <w:sz w:val="22"/>
          <w:szCs w:val="22"/>
          <w:vertAlign w:val="subscript"/>
        </w:rPr>
        <w:t xml:space="preserve">2 </w:t>
      </w:r>
      <w:r w:rsidRPr="007C00B4">
        <w:rPr>
          <w:rFonts w:asciiTheme="minorHAnsi" w:eastAsiaTheme="minorEastAsia" w:hAnsiTheme="minorHAnsi" w:cstheme="minorBidi"/>
          <w:sz w:val="22"/>
          <w:szCs w:val="22"/>
        </w:rPr>
        <w:t xml:space="preserve">in </w:t>
      </w:r>
      <w:r w:rsidRPr="007C00B4">
        <w:rPr>
          <w:rFonts w:asciiTheme="minorHAnsi" w:eastAsiaTheme="minorEastAsia" w:hAnsiTheme="minorHAnsi" w:cstheme="minorBidi"/>
          <w:sz w:val="22"/>
          <w:szCs w:val="22"/>
        </w:rPr>
        <w:lastRenderedPageBreak/>
        <w:t>preference with coke, th</w:t>
      </w:r>
      <w:r w:rsidR="007C00B4">
        <w:rPr>
          <w:rFonts w:asciiTheme="minorHAnsi" w:eastAsiaTheme="minorEastAsia" w:hAnsiTheme="minorHAnsi" w:cstheme="minorBidi"/>
          <w:sz w:val="22"/>
          <w:szCs w:val="22"/>
        </w:rPr>
        <w:t>is</w:t>
      </w:r>
      <w:r w:rsidRPr="007C00B4">
        <w:rPr>
          <w:rFonts w:asciiTheme="minorHAnsi" w:eastAsiaTheme="minorEastAsia" w:hAnsiTheme="minorHAnsi" w:cstheme="minorBidi"/>
          <w:sz w:val="22"/>
          <w:szCs w:val="22"/>
        </w:rPr>
        <w:t xml:space="preserve"> sacrificial reaction can protect the coke leaving it strong</w:t>
      </w:r>
      <w:r w:rsidR="007C00B4">
        <w:rPr>
          <w:rFonts w:asciiTheme="minorHAnsi" w:eastAsiaTheme="minorEastAsia" w:hAnsiTheme="minorHAnsi" w:cstheme="minorBidi"/>
          <w:sz w:val="22"/>
          <w:szCs w:val="22"/>
        </w:rPr>
        <w:t>,</w:t>
      </w:r>
      <w:r w:rsidRPr="007C00B4">
        <w:rPr>
          <w:rFonts w:asciiTheme="minorHAnsi" w:eastAsiaTheme="minorEastAsia" w:hAnsiTheme="minorHAnsi" w:cstheme="minorBidi"/>
          <w:sz w:val="22"/>
          <w:szCs w:val="22"/>
        </w:rPr>
        <w:t xml:space="preserve"> which is </w:t>
      </w:r>
      <w:r w:rsidR="00C67FDB">
        <w:rPr>
          <w:rFonts w:asciiTheme="minorHAnsi" w:eastAsiaTheme="minorEastAsia" w:hAnsiTheme="minorHAnsi" w:cstheme="minorBidi"/>
          <w:sz w:val="22"/>
          <w:szCs w:val="22"/>
        </w:rPr>
        <w:t>beneficial</w:t>
      </w:r>
      <w:r w:rsidRPr="007C00B4">
        <w:rPr>
          <w:rFonts w:asciiTheme="minorHAnsi" w:eastAsiaTheme="minorEastAsia" w:hAnsiTheme="minorHAnsi" w:cstheme="minorBidi"/>
          <w:sz w:val="22"/>
          <w:szCs w:val="22"/>
        </w:rPr>
        <w:t xml:space="preserve"> </w:t>
      </w:r>
      <w:r w:rsidR="00C67FDB">
        <w:rPr>
          <w:rFonts w:asciiTheme="minorHAnsi" w:eastAsiaTheme="minorEastAsia" w:hAnsiTheme="minorHAnsi" w:cstheme="minorBidi"/>
          <w:sz w:val="22"/>
          <w:szCs w:val="22"/>
        </w:rPr>
        <w:t>for</w:t>
      </w:r>
      <w:r w:rsidRPr="007C00B4">
        <w:rPr>
          <w:rFonts w:asciiTheme="minorHAnsi" w:eastAsiaTheme="minorEastAsia" w:hAnsiTheme="minorHAnsi" w:cstheme="minorBidi"/>
          <w:sz w:val="22"/>
          <w:szCs w:val="22"/>
        </w:rPr>
        <w:t xml:space="preserve"> the operation of the furnace</w:t>
      </w:r>
      <w:r w:rsidR="00CC2D98" w:rsidRPr="007C00B4">
        <w:rPr>
          <w:rFonts w:asciiTheme="minorHAnsi" w:eastAsiaTheme="minorEastAsia" w:hAnsiTheme="minorHAnsi" w:cstheme="minorBidi"/>
          <w:sz w:val="22"/>
          <w:szCs w:val="22"/>
        </w:rPr>
        <w:t xml:space="preserve"> </w:t>
      </w:r>
      <w:r w:rsidR="00CC2D98" w:rsidRPr="007C00B4">
        <w:rPr>
          <w:rFonts w:asciiTheme="minorHAnsi" w:eastAsiaTheme="minorEastAsia" w:hAnsiTheme="minorHAnsi" w:cstheme="minorBidi"/>
          <w:sz w:val="22"/>
          <w:szCs w:val="22"/>
        </w:rPr>
        <w:fldChar w:fldCharType="begin"/>
      </w:r>
      <w:r w:rsidR="00CC2D98" w:rsidRPr="007C00B4">
        <w:rPr>
          <w:rFonts w:asciiTheme="minorHAnsi" w:eastAsiaTheme="minorEastAsia" w:hAnsiTheme="minorHAnsi" w:cstheme="minorBidi"/>
          <w:sz w:val="22"/>
          <w:szCs w:val="22"/>
        </w:rPr>
        <w:instrText xml:space="preserve"> ADDIN ZOTERO_ITEM CSL_CITATION {"citationID":"EL9MiABG","properties":{"formattedCitation":"(Ning et al. 2022)","plainCitation":"(Ning et al. 2022)","noteIndex":0},"citationItems":[{"id":1667,"uris":["http://zotero.org/users/local/AB2owHL2/items/5FHLH8XY"],"itemData":{"id":1667,"type":"article-journal","abstract":"As a carbon–neutral fuel, biomass plays a prominent role in replacing fossil fuels. The objective of this research is to uncover the influence of pyrolysis temperature on the metallurgical properties of biochar, as well as to provide a theoretical reference for the preparation of biochar suitable for blast furnace injection. The metallurgical properties of biochar have been systematically studied through the comparative analysis of the physical and chemical properties of biochar. The results show that pyrolysis technology can effectively improve the fuel performance of biomass. As the pyrolysis temperature increases, the fuel performance of biochar increases, the carbonization degree gradually increases, and the combustion performance and reactivity gradually weaken, approaching carbonaceous materials. The Coats-Redfern kinetic equation is used for the kinetic fitting of the combustion process of biochar, and has achieved good results. This clarifies the speed control link in the combustion process of biochar.","container-title":"Fuel","DOI":"10.1016/j.fuel.2021.122648","ISSN":"0016-2361","journalAbbreviation":"Fuel","language":"en","page":"122648","source":"ScienceDirect","title":"Effect of pyrolysis temperature on blast furnace injection performance of biochar","URL":"https://www.sciencedirect.com/science/article/pii/S0016236121025151","volume":"313","author":[{"family":"Ning","given":"Xiaojun"},{"family":"Liang","given":"Wang"},{"family":"Wang","given":"Guangwei"},{"family":"Xu","given":"Runsheng"},{"family":"Wang","given":"Peng"},{"family":"Zhang","given":"Jianliang"},{"family":"Guo","given":"Xingmin"},{"family":"Jiang","given":"Chunhe"},{"family":"Li","given":"Jinhua"},{"family":"Wang","given":"Chuan"}],"accessed":{"date-parts":[["2022",6,27]]},"issued":{"date-parts":[["2022",4,1]]}}}],"schema":"https://github.com/citation-style-language/schema/raw/master/csl-citation.json"} </w:instrText>
      </w:r>
      <w:r w:rsidR="00CC2D98" w:rsidRPr="007C00B4">
        <w:rPr>
          <w:rFonts w:asciiTheme="minorHAnsi" w:eastAsiaTheme="minorEastAsia" w:hAnsiTheme="minorHAnsi" w:cstheme="minorBidi"/>
          <w:sz w:val="22"/>
          <w:szCs w:val="22"/>
        </w:rPr>
        <w:fldChar w:fldCharType="separate"/>
      </w:r>
      <w:r w:rsidR="00CC2D98" w:rsidRPr="007C00B4">
        <w:rPr>
          <w:rFonts w:ascii="Calibri" w:eastAsiaTheme="minorEastAsia" w:hAnsi="Calibri" w:cs="Calibri"/>
          <w:sz w:val="22"/>
          <w:szCs w:val="22"/>
        </w:rPr>
        <w:t>(Ning et al. 2022)</w:t>
      </w:r>
      <w:r w:rsidR="00CC2D98" w:rsidRPr="007C00B4">
        <w:rPr>
          <w:rFonts w:asciiTheme="minorHAnsi" w:eastAsiaTheme="minorEastAsia" w:hAnsiTheme="minorHAnsi" w:cstheme="minorBidi"/>
          <w:sz w:val="22"/>
          <w:szCs w:val="22"/>
        </w:rPr>
        <w:fldChar w:fldCharType="end"/>
      </w:r>
      <w:r w:rsidRPr="007C00B4">
        <w:rPr>
          <w:rFonts w:asciiTheme="minorHAnsi" w:eastAsiaTheme="minorEastAsia" w:hAnsiTheme="minorHAnsi" w:cstheme="minorBidi"/>
          <w:sz w:val="22"/>
          <w:szCs w:val="22"/>
        </w:rPr>
        <w:t xml:space="preserve">. </w:t>
      </w:r>
      <w:r w:rsidR="00CC2D98" w:rsidRPr="007C00B4">
        <w:rPr>
          <w:rFonts w:asciiTheme="minorHAnsi" w:eastAsiaTheme="minorEastAsia" w:hAnsiTheme="minorHAnsi" w:cstheme="minorBidi"/>
          <w:sz w:val="22"/>
          <w:szCs w:val="22"/>
        </w:rPr>
        <w:t xml:space="preserve">However </w:t>
      </w:r>
      <w:r w:rsidR="00CC2D98" w:rsidRPr="007C00B4">
        <w:rPr>
          <w:rFonts w:asciiTheme="minorHAnsi" w:eastAsiaTheme="minorEastAsia" w:hAnsiTheme="minorHAnsi" w:cstheme="minorBidi"/>
          <w:sz w:val="22"/>
          <w:szCs w:val="22"/>
        </w:rPr>
        <w:fldChar w:fldCharType="begin"/>
      </w:r>
      <w:r w:rsidR="00CC2D98" w:rsidRPr="007C00B4">
        <w:rPr>
          <w:rFonts w:asciiTheme="minorHAnsi" w:eastAsiaTheme="minorEastAsia" w:hAnsiTheme="minorHAnsi" w:cstheme="minorBidi"/>
          <w:sz w:val="22"/>
          <w:szCs w:val="22"/>
        </w:rPr>
        <w:instrText xml:space="preserve"> ADDIN ZOTERO_ITEM CSL_CITATION {"citationID":"RJJvNvxb","properties":{"formattedCitation":"(Steer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CC2D98" w:rsidRPr="007C00B4">
        <w:rPr>
          <w:rFonts w:asciiTheme="minorHAnsi" w:eastAsiaTheme="minorEastAsia" w:hAnsiTheme="minorHAnsi" w:cstheme="minorBidi"/>
          <w:sz w:val="22"/>
          <w:szCs w:val="22"/>
        </w:rPr>
        <w:fldChar w:fldCharType="separate"/>
      </w:r>
      <w:r w:rsidR="00CC2D98" w:rsidRPr="007C00B4">
        <w:rPr>
          <w:rFonts w:ascii="Calibri" w:eastAsiaTheme="minorEastAsia" w:hAnsi="Calibri" w:cs="Calibri"/>
          <w:sz w:val="22"/>
          <w:szCs w:val="22"/>
        </w:rPr>
        <w:t>(Steer et al. 2021)</w:t>
      </w:r>
      <w:r w:rsidR="00CC2D98" w:rsidRPr="007C00B4">
        <w:rPr>
          <w:rFonts w:asciiTheme="minorHAnsi" w:eastAsiaTheme="minorEastAsia" w:hAnsiTheme="minorHAnsi" w:cstheme="minorBidi"/>
          <w:sz w:val="22"/>
          <w:szCs w:val="22"/>
        </w:rPr>
        <w:fldChar w:fldCharType="end"/>
      </w:r>
      <w:r w:rsidR="00CC2D98" w:rsidRPr="007C00B4">
        <w:rPr>
          <w:rFonts w:asciiTheme="minorHAnsi" w:eastAsiaTheme="minorEastAsia" w:hAnsiTheme="minorHAnsi" w:cstheme="minorBidi"/>
          <w:sz w:val="22"/>
          <w:szCs w:val="22"/>
        </w:rPr>
        <w:t xml:space="preserve"> states that the reverse </w:t>
      </w:r>
      <w:proofErr w:type="spellStart"/>
      <w:r w:rsidR="00CC2D98" w:rsidRPr="007C00B4">
        <w:rPr>
          <w:rFonts w:asciiTheme="minorHAnsi" w:eastAsiaTheme="minorEastAsia" w:hAnsiTheme="minorHAnsi" w:cstheme="minorBidi"/>
          <w:sz w:val="22"/>
          <w:szCs w:val="22"/>
        </w:rPr>
        <w:t>Boudouard</w:t>
      </w:r>
      <w:proofErr w:type="spellEnd"/>
      <w:r w:rsidR="00CC2D98" w:rsidRPr="007C00B4">
        <w:rPr>
          <w:rFonts w:asciiTheme="minorHAnsi" w:eastAsiaTheme="minorEastAsia" w:hAnsiTheme="minorHAnsi" w:cstheme="minorBidi"/>
          <w:sz w:val="22"/>
          <w:szCs w:val="22"/>
        </w:rPr>
        <w:t xml:space="preserve"> reaction is endothermic, </w:t>
      </w:r>
      <w:r w:rsidR="00CE508A">
        <w:rPr>
          <w:rFonts w:asciiTheme="minorHAnsi" w:eastAsiaTheme="minorEastAsia" w:hAnsiTheme="minorHAnsi" w:cstheme="minorBidi"/>
          <w:sz w:val="22"/>
          <w:szCs w:val="22"/>
        </w:rPr>
        <w:t xml:space="preserve">meaning that </w:t>
      </w:r>
      <w:r w:rsidR="006D6840">
        <w:rPr>
          <w:rFonts w:asciiTheme="minorHAnsi" w:eastAsiaTheme="minorEastAsia" w:hAnsiTheme="minorHAnsi" w:cstheme="minorBidi"/>
          <w:sz w:val="22"/>
          <w:szCs w:val="22"/>
        </w:rPr>
        <w:t xml:space="preserve">the reaction between coke and reactive chars could have a cooling effect </w:t>
      </w:r>
      <w:r w:rsidR="00C03387">
        <w:rPr>
          <w:rFonts w:asciiTheme="minorHAnsi" w:eastAsiaTheme="minorEastAsia" w:hAnsiTheme="minorHAnsi" w:cstheme="minorBidi"/>
          <w:sz w:val="22"/>
          <w:szCs w:val="22"/>
        </w:rPr>
        <w:t>on the BF, reducing its thermal reserve temperature</w:t>
      </w:r>
      <w:r w:rsidR="00CB27A2">
        <w:rPr>
          <w:rFonts w:asciiTheme="minorHAnsi" w:eastAsiaTheme="minorEastAsia" w:hAnsiTheme="minorHAnsi" w:cstheme="minorBidi"/>
          <w:sz w:val="22"/>
          <w:szCs w:val="22"/>
        </w:rPr>
        <w:t>. Localised char retention could result in BF instability.</w:t>
      </w:r>
      <w:r w:rsidR="00CE508A">
        <w:rPr>
          <w:rFonts w:asciiTheme="minorHAnsi" w:eastAsiaTheme="minorEastAsia" w:hAnsiTheme="minorHAnsi" w:cstheme="minorBidi"/>
          <w:sz w:val="22"/>
          <w:szCs w:val="22"/>
        </w:rPr>
        <w:t xml:space="preserve"> </w:t>
      </w:r>
    </w:p>
    <w:p w14:paraId="12004ADC" w14:textId="258F6C97" w:rsidR="00967E0A" w:rsidRDefault="00967E0A" w:rsidP="00967E0A">
      <w:pPr>
        <w:pStyle w:val="Caption"/>
        <w:keepNext/>
        <w:jc w:val="center"/>
      </w:pPr>
      <w:r>
        <w:t xml:space="preserve">Table </w:t>
      </w:r>
      <w:fldSimple w:instr=" SEQ Table \* ARABIC ">
        <w:r w:rsidR="00DA2639">
          <w:rPr>
            <w:noProof/>
          </w:rPr>
          <w:t>9</w:t>
        </w:r>
      </w:fldSimple>
      <w:r>
        <w:t xml:space="preserve"> T-coal and biochar reactivity</w:t>
      </w:r>
    </w:p>
    <w:tbl>
      <w:tblPr>
        <w:tblW w:w="4253" w:type="dxa"/>
        <w:jc w:val="center"/>
        <w:tblLook w:val="04A0" w:firstRow="1" w:lastRow="0" w:firstColumn="1" w:lastColumn="0" w:noHBand="0" w:noVBand="1"/>
      </w:tblPr>
      <w:tblGrid>
        <w:gridCol w:w="1442"/>
        <w:gridCol w:w="960"/>
        <w:gridCol w:w="960"/>
        <w:gridCol w:w="960"/>
      </w:tblGrid>
      <w:tr w:rsidR="00967E0A" w:rsidRPr="00FA3F28" w14:paraId="19E4A154" w14:textId="77777777" w:rsidTr="00871ABA">
        <w:trPr>
          <w:trHeight w:val="600"/>
          <w:jc w:val="center"/>
        </w:trPr>
        <w:tc>
          <w:tcPr>
            <w:tcW w:w="1373"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3044A05B"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Reactivity</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53C89302"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 - Coal</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50BC864C"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Biochar 1</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6B78F1E4"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Biochar 2</w:t>
            </w:r>
          </w:p>
        </w:tc>
      </w:tr>
      <w:tr w:rsidR="00967E0A" w:rsidRPr="00FA3F28" w14:paraId="1636B76A"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730DE3C3" w14:textId="30A4525F" w:rsidR="00967E0A" w:rsidRPr="00FA3F28" w:rsidRDefault="00967E0A" w:rsidP="002D69F3">
            <w:pPr>
              <w:spacing w:after="0" w:line="240" w:lineRule="auto"/>
              <w:jc w:val="center"/>
              <w:rPr>
                <w:rFonts w:ascii="Calibri" w:eastAsia="Times New Roman" w:hAnsi="Calibri" w:cs="Calibri"/>
                <w:b/>
                <w:bCs/>
                <w:color w:val="3F3F3F"/>
                <w:lang w:eastAsia="en-GB"/>
              </w:rPr>
            </w:pPr>
            <w:proofErr w:type="spellStart"/>
            <w:r w:rsidRPr="00FA3F28">
              <w:rPr>
                <w:rFonts w:ascii="Calibri" w:eastAsia="Times New Roman" w:hAnsi="Calibri" w:cs="Calibri"/>
                <w:b/>
                <w:bCs/>
                <w:color w:val="3F3F3F"/>
                <w:lang w:eastAsia="en-GB"/>
              </w:rPr>
              <w:t>Ti</w:t>
            </w:r>
            <w:proofErr w:type="spellEnd"/>
            <w:r>
              <w:rPr>
                <w:rFonts w:ascii="Calibri" w:eastAsia="Times New Roman" w:hAnsi="Calibri" w:cs="Calibri"/>
                <w:b/>
                <w:bCs/>
                <w:color w:val="3F3F3F"/>
                <w:lang w:eastAsia="en-GB"/>
              </w:rPr>
              <w:t xml:space="preserve"> </w:t>
            </w:r>
            <w:r w:rsidRPr="00967E0A">
              <w:rPr>
                <w:rFonts w:ascii="Calibri" w:eastAsia="Times New Roman" w:hAnsi="Calibri" w:cs="Calibri"/>
                <w:b/>
                <w:bCs/>
                <w:color w:val="3F3F3F"/>
                <w:vertAlign w:val="superscript"/>
                <w:lang w:eastAsia="en-GB"/>
              </w:rPr>
              <w:t>0</w:t>
            </w:r>
            <w:r>
              <w:rPr>
                <w:rFonts w:ascii="Calibri" w:eastAsia="Times New Roman" w:hAnsi="Calibri" w:cs="Calibri"/>
                <w:b/>
                <w:bCs/>
                <w:color w:val="3F3F3F"/>
                <w:lang w:eastAsia="en-GB"/>
              </w:rPr>
              <w:t>C</w:t>
            </w:r>
          </w:p>
        </w:tc>
        <w:tc>
          <w:tcPr>
            <w:tcW w:w="960" w:type="dxa"/>
            <w:tcBorders>
              <w:top w:val="nil"/>
              <w:left w:val="nil"/>
              <w:bottom w:val="single" w:sz="4" w:space="0" w:color="3F3F3F"/>
              <w:right w:val="single" w:sz="4" w:space="0" w:color="3F3F3F"/>
            </w:tcBorders>
            <w:shd w:val="clear" w:color="000000" w:fill="F2F2F2"/>
            <w:noWrap/>
            <w:vAlign w:val="center"/>
            <w:hideMark/>
          </w:tcPr>
          <w:p w14:paraId="76E79E48"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492</w:t>
            </w:r>
          </w:p>
        </w:tc>
        <w:tc>
          <w:tcPr>
            <w:tcW w:w="960" w:type="dxa"/>
            <w:tcBorders>
              <w:top w:val="nil"/>
              <w:left w:val="nil"/>
              <w:bottom w:val="single" w:sz="4" w:space="0" w:color="3F3F3F"/>
              <w:right w:val="single" w:sz="4" w:space="0" w:color="3F3F3F"/>
            </w:tcBorders>
            <w:shd w:val="clear" w:color="000000" w:fill="F2F2F2"/>
            <w:noWrap/>
            <w:vAlign w:val="center"/>
            <w:hideMark/>
          </w:tcPr>
          <w:p w14:paraId="2EB02678"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368</w:t>
            </w:r>
          </w:p>
        </w:tc>
        <w:tc>
          <w:tcPr>
            <w:tcW w:w="960" w:type="dxa"/>
            <w:tcBorders>
              <w:top w:val="nil"/>
              <w:left w:val="nil"/>
              <w:bottom w:val="single" w:sz="4" w:space="0" w:color="3F3F3F"/>
              <w:right w:val="single" w:sz="4" w:space="0" w:color="3F3F3F"/>
            </w:tcBorders>
            <w:shd w:val="clear" w:color="000000" w:fill="F2F2F2"/>
            <w:noWrap/>
            <w:vAlign w:val="center"/>
            <w:hideMark/>
          </w:tcPr>
          <w:p w14:paraId="36C09C3E"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380</w:t>
            </w:r>
          </w:p>
        </w:tc>
      </w:tr>
      <w:tr w:rsidR="00967E0A" w:rsidRPr="00FA3F28" w14:paraId="3E501F42"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4C271C86" w14:textId="322D33D2"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Tm</w:t>
            </w:r>
            <w:r>
              <w:rPr>
                <w:rFonts w:ascii="Calibri" w:eastAsia="Times New Roman" w:hAnsi="Calibri" w:cs="Calibri"/>
                <w:b/>
                <w:bCs/>
                <w:color w:val="3F3F3F"/>
                <w:lang w:eastAsia="en-GB"/>
              </w:rPr>
              <w:t xml:space="preserve"> 0</w:t>
            </w:r>
            <w:r w:rsidRPr="00991953">
              <w:rPr>
                <w:rFonts w:ascii="Calibri" w:eastAsia="Times New Roman" w:hAnsi="Calibri" w:cs="Calibri"/>
                <w:b/>
                <w:bCs/>
                <w:color w:val="3F3F3F"/>
                <w:vertAlign w:val="superscript"/>
                <w:lang w:eastAsia="en-GB"/>
              </w:rPr>
              <w:t>C</w:t>
            </w:r>
            <w:r>
              <w:rPr>
                <w:rFonts w:ascii="Calibri" w:eastAsia="Times New Roman" w:hAnsi="Calibri" w:cs="Calibri"/>
                <w:b/>
                <w:bCs/>
                <w:color w:val="3F3F3F"/>
                <w:lang w:eastAsia="en-GB"/>
              </w:rPr>
              <w:t>(Er/</w:t>
            </w:r>
            <w:proofErr w:type="spellStart"/>
            <w:r>
              <w:rPr>
                <w:rFonts w:ascii="Calibri" w:eastAsia="Times New Roman" w:hAnsi="Calibri" w:cs="Calibri"/>
                <w:b/>
                <w:bCs/>
                <w:color w:val="3F3F3F"/>
                <w:lang w:eastAsia="en-GB"/>
              </w:rPr>
              <w:t>Kj</w:t>
            </w:r>
            <w:proofErr w:type="spellEnd"/>
            <w:r>
              <w:rPr>
                <w:rFonts w:ascii="Calibri" w:eastAsia="Times New Roman" w:hAnsi="Calibri" w:cs="Calibri"/>
                <w:b/>
                <w:bCs/>
                <w:color w:val="3F3F3F"/>
                <w:lang w:eastAsia="en-GB"/>
              </w:rPr>
              <w:t>/mol</w:t>
            </w:r>
            <w:r w:rsidR="00E11938">
              <w:rPr>
                <w:rFonts w:ascii="Calibri" w:eastAsia="Times New Roman" w:hAnsi="Calibri" w:cs="Calibri"/>
                <w:b/>
                <w:bCs/>
                <w:color w:val="3F3F3F"/>
                <w:lang w:eastAsia="en-GB"/>
              </w:rPr>
              <w:t>)</w:t>
            </w:r>
          </w:p>
        </w:tc>
        <w:tc>
          <w:tcPr>
            <w:tcW w:w="960" w:type="dxa"/>
            <w:tcBorders>
              <w:top w:val="nil"/>
              <w:left w:val="nil"/>
              <w:bottom w:val="single" w:sz="4" w:space="0" w:color="3F3F3F"/>
              <w:right w:val="single" w:sz="4" w:space="0" w:color="3F3F3F"/>
            </w:tcBorders>
            <w:shd w:val="clear" w:color="000000" w:fill="F2F2F2"/>
            <w:noWrap/>
            <w:vAlign w:val="center"/>
            <w:hideMark/>
          </w:tcPr>
          <w:p w14:paraId="137E114E"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636</w:t>
            </w:r>
          </w:p>
        </w:tc>
        <w:tc>
          <w:tcPr>
            <w:tcW w:w="960" w:type="dxa"/>
            <w:tcBorders>
              <w:top w:val="nil"/>
              <w:left w:val="nil"/>
              <w:bottom w:val="single" w:sz="4" w:space="0" w:color="3F3F3F"/>
              <w:right w:val="single" w:sz="4" w:space="0" w:color="3F3F3F"/>
            </w:tcBorders>
            <w:shd w:val="clear" w:color="000000" w:fill="F2F2F2"/>
            <w:noWrap/>
            <w:vAlign w:val="center"/>
            <w:hideMark/>
          </w:tcPr>
          <w:p w14:paraId="666AA1E5"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515</w:t>
            </w:r>
          </w:p>
        </w:tc>
        <w:tc>
          <w:tcPr>
            <w:tcW w:w="960" w:type="dxa"/>
            <w:tcBorders>
              <w:top w:val="nil"/>
              <w:left w:val="nil"/>
              <w:bottom w:val="single" w:sz="4" w:space="0" w:color="3F3F3F"/>
              <w:right w:val="single" w:sz="4" w:space="0" w:color="3F3F3F"/>
            </w:tcBorders>
            <w:shd w:val="clear" w:color="000000" w:fill="F2F2F2"/>
            <w:noWrap/>
            <w:vAlign w:val="center"/>
            <w:hideMark/>
          </w:tcPr>
          <w:p w14:paraId="23D1AFC0"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512</w:t>
            </w:r>
          </w:p>
        </w:tc>
      </w:tr>
      <w:tr w:rsidR="00967E0A" w:rsidRPr="00FA3F28" w14:paraId="355440F0"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22CBFDE5" w14:textId="46E4AAA8"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Tb</w:t>
            </w:r>
            <w:r w:rsidR="00991953">
              <w:rPr>
                <w:rFonts w:ascii="Calibri" w:eastAsia="Times New Roman" w:hAnsi="Calibri" w:cs="Calibri"/>
                <w:b/>
                <w:bCs/>
                <w:color w:val="3F3F3F"/>
                <w:lang w:eastAsia="en-GB"/>
              </w:rPr>
              <w:t xml:space="preserve"> </w:t>
            </w:r>
            <w:r w:rsidR="00991953" w:rsidRPr="00967E0A">
              <w:rPr>
                <w:rFonts w:ascii="Calibri" w:eastAsia="Times New Roman" w:hAnsi="Calibri" w:cs="Calibri"/>
                <w:b/>
                <w:bCs/>
                <w:color w:val="3F3F3F"/>
                <w:vertAlign w:val="superscript"/>
                <w:lang w:eastAsia="en-GB"/>
              </w:rPr>
              <w:t>0</w:t>
            </w:r>
            <w:r w:rsidR="00991953">
              <w:rPr>
                <w:rFonts w:ascii="Calibri" w:eastAsia="Times New Roman" w:hAnsi="Calibri" w:cs="Calibri"/>
                <w:b/>
                <w:bCs/>
                <w:color w:val="3F3F3F"/>
                <w:lang w:eastAsia="en-GB"/>
              </w:rPr>
              <w:t>C</w:t>
            </w:r>
          </w:p>
        </w:tc>
        <w:tc>
          <w:tcPr>
            <w:tcW w:w="960" w:type="dxa"/>
            <w:tcBorders>
              <w:top w:val="nil"/>
              <w:left w:val="nil"/>
              <w:bottom w:val="single" w:sz="4" w:space="0" w:color="3F3F3F"/>
              <w:right w:val="single" w:sz="4" w:space="0" w:color="3F3F3F"/>
            </w:tcBorders>
            <w:shd w:val="clear" w:color="000000" w:fill="F2F2F2"/>
            <w:noWrap/>
            <w:vAlign w:val="center"/>
            <w:hideMark/>
          </w:tcPr>
          <w:p w14:paraId="06D808A5" w14:textId="392EC074" w:rsidR="00967E0A" w:rsidRPr="00FA3F28" w:rsidRDefault="00E11938" w:rsidP="002D69F3">
            <w:pPr>
              <w:spacing w:after="0" w:line="240" w:lineRule="auto"/>
              <w:jc w:val="center"/>
              <w:rPr>
                <w:rFonts w:ascii="Calibri" w:eastAsia="Times New Roman" w:hAnsi="Calibri" w:cs="Calibri"/>
                <w:b/>
                <w:bCs/>
                <w:color w:val="3F3F3F"/>
                <w:lang w:eastAsia="en-GB"/>
              </w:rPr>
            </w:pPr>
            <w:r>
              <w:rPr>
                <w:rFonts w:ascii="Calibri" w:eastAsia="Times New Roman" w:hAnsi="Calibri" w:cs="Calibri"/>
                <w:b/>
                <w:bCs/>
                <w:color w:val="3F3F3F"/>
                <w:lang w:eastAsia="en-GB"/>
              </w:rPr>
              <w:t>816</w:t>
            </w:r>
          </w:p>
        </w:tc>
        <w:tc>
          <w:tcPr>
            <w:tcW w:w="960" w:type="dxa"/>
            <w:tcBorders>
              <w:top w:val="nil"/>
              <w:left w:val="nil"/>
              <w:bottom w:val="single" w:sz="4" w:space="0" w:color="3F3F3F"/>
              <w:right w:val="single" w:sz="4" w:space="0" w:color="3F3F3F"/>
            </w:tcBorders>
            <w:shd w:val="clear" w:color="000000" w:fill="F2F2F2"/>
            <w:noWrap/>
            <w:vAlign w:val="center"/>
            <w:hideMark/>
          </w:tcPr>
          <w:p w14:paraId="28D05C3D"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537</w:t>
            </w:r>
          </w:p>
        </w:tc>
        <w:tc>
          <w:tcPr>
            <w:tcW w:w="960" w:type="dxa"/>
            <w:tcBorders>
              <w:top w:val="nil"/>
              <w:left w:val="nil"/>
              <w:bottom w:val="single" w:sz="4" w:space="0" w:color="3F3F3F"/>
              <w:right w:val="single" w:sz="4" w:space="0" w:color="3F3F3F"/>
            </w:tcBorders>
            <w:shd w:val="clear" w:color="000000" w:fill="F2F2F2"/>
            <w:noWrap/>
            <w:vAlign w:val="center"/>
            <w:hideMark/>
          </w:tcPr>
          <w:p w14:paraId="5C6F4FC6"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581</w:t>
            </w:r>
          </w:p>
        </w:tc>
      </w:tr>
    </w:tbl>
    <w:p w14:paraId="588B1E94" w14:textId="77777777" w:rsidR="00635983" w:rsidRDefault="00635983" w:rsidP="00871ABA">
      <w:pPr>
        <w:pStyle w:val="NormalWeb"/>
        <w:spacing w:before="0" w:beforeAutospacing="0" w:after="0" w:afterAutospacing="0" w:line="360" w:lineRule="auto"/>
        <w:jc w:val="both"/>
        <w:rPr>
          <w:rFonts w:asciiTheme="minorHAnsi" w:eastAsiaTheme="minorEastAsia" w:hAnsiTheme="minorHAnsi" w:cstheme="minorBidi"/>
          <w:sz w:val="22"/>
          <w:szCs w:val="22"/>
        </w:rPr>
      </w:pPr>
    </w:p>
    <w:p w14:paraId="5C94E01A" w14:textId="09212B69" w:rsidR="00871ABA" w:rsidRDefault="00967E0A" w:rsidP="00871ABA">
      <w:pPr>
        <w:pStyle w:val="NormalWeb"/>
        <w:spacing w:before="0" w:beforeAutospacing="0" w:after="0" w:afterAutospacing="0" w:line="360" w:lineRule="auto"/>
        <w:jc w:val="both"/>
        <w:rPr>
          <w:rFonts w:asciiTheme="minorHAnsi" w:eastAsiaTheme="minorEastAsia" w:hAnsiTheme="minorHAnsi" w:cstheme="minorBidi"/>
          <w:sz w:val="22"/>
          <w:szCs w:val="22"/>
        </w:rPr>
      </w:pPr>
      <w:proofErr w:type="spellStart"/>
      <w:r w:rsidRPr="007C00B4">
        <w:rPr>
          <w:rFonts w:asciiTheme="minorHAnsi" w:eastAsiaTheme="minorEastAsia" w:hAnsiTheme="minorHAnsi" w:cstheme="minorBidi"/>
          <w:sz w:val="22"/>
          <w:szCs w:val="22"/>
        </w:rPr>
        <w:t>Ti</w:t>
      </w:r>
      <w:proofErr w:type="spellEnd"/>
      <w:r w:rsidRPr="007C00B4">
        <w:rPr>
          <w:rFonts w:asciiTheme="minorHAnsi" w:eastAsiaTheme="minorEastAsia" w:hAnsiTheme="minorHAnsi" w:cstheme="minorBidi"/>
          <w:sz w:val="22"/>
          <w:szCs w:val="22"/>
        </w:rPr>
        <w:t xml:space="preserve"> – Ignition temperature, Tm – temperature of the maximum weight loss rate, Tb – burnout temperature</w:t>
      </w:r>
      <w:r w:rsidR="00871ABA">
        <w:rPr>
          <w:rFonts w:asciiTheme="minorHAnsi" w:eastAsiaTheme="minorEastAsia" w:hAnsiTheme="minorHAnsi" w:cstheme="minorBidi"/>
          <w:sz w:val="22"/>
          <w:szCs w:val="22"/>
        </w:rPr>
        <w:t xml:space="preserve"> </w:t>
      </w:r>
    </w:p>
    <w:p w14:paraId="4E1A79A9" w14:textId="2BBE210A" w:rsidR="00160B99" w:rsidRDefault="00427DDC" w:rsidP="0045366E">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Table 9 contains the TGA analysis, blast furnace heating rates are in the order of 10</w:t>
      </w:r>
      <w:r w:rsidRPr="00427DDC">
        <w:rPr>
          <w:rFonts w:asciiTheme="minorHAnsi" w:eastAsiaTheme="minorEastAsia" w:hAnsiTheme="minorHAnsi" w:cstheme="minorBidi"/>
          <w:sz w:val="22"/>
          <w:szCs w:val="22"/>
          <w:vertAlign w:val="superscript"/>
        </w:rPr>
        <w:t>4</w:t>
      </w:r>
      <w:r>
        <w:rPr>
          <w:rFonts w:asciiTheme="minorHAnsi" w:eastAsiaTheme="minorEastAsia" w:hAnsiTheme="minorHAnsi" w:cstheme="minorBidi"/>
          <w:sz w:val="22"/>
          <w:szCs w:val="22"/>
        </w:rPr>
        <w:t xml:space="preserve"> – 10</w:t>
      </w:r>
      <w:r w:rsidRPr="00427DDC">
        <w:rPr>
          <w:rFonts w:asciiTheme="minorHAnsi" w:eastAsiaTheme="minorEastAsia" w:hAnsiTheme="minorHAnsi" w:cstheme="minorBidi"/>
          <w:sz w:val="22"/>
          <w:szCs w:val="22"/>
          <w:vertAlign w:val="superscript"/>
        </w:rPr>
        <w:t>5</w:t>
      </w:r>
      <w:r>
        <w:rPr>
          <w:rFonts w:asciiTheme="minorHAnsi" w:eastAsiaTheme="minorEastAsia" w:hAnsiTheme="minorHAnsi" w:cstheme="minorBidi"/>
          <w:sz w:val="22"/>
          <w:szCs w:val="22"/>
        </w:rPr>
        <w:t xml:space="preserve"> </w:t>
      </w:r>
      <w:r w:rsidRPr="00427DDC">
        <w:rPr>
          <w:rFonts w:asciiTheme="minorHAnsi" w:eastAsiaTheme="minorEastAsia" w:hAnsiTheme="minorHAnsi" w:cstheme="minorBidi"/>
          <w:sz w:val="22"/>
          <w:szCs w:val="22"/>
          <w:vertAlign w:val="superscript"/>
        </w:rPr>
        <w:t>0</w:t>
      </w:r>
      <w:r>
        <w:rPr>
          <w:rFonts w:asciiTheme="minorHAnsi" w:eastAsiaTheme="minorEastAsia" w:hAnsiTheme="minorHAnsi" w:cstheme="minorBidi"/>
          <w:sz w:val="22"/>
          <w:szCs w:val="22"/>
        </w:rPr>
        <w:t xml:space="preserve">C/s, the heating rates of a TGA (10 </w:t>
      </w:r>
      <w:r w:rsidRPr="00427DDC">
        <w:rPr>
          <w:rFonts w:asciiTheme="minorHAnsi" w:eastAsiaTheme="minorEastAsia" w:hAnsiTheme="minorHAnsi" w:cstheme="minorBidi"/>
          <w:sz w:val="22"/>
          <w:szCs w:val="22"/>
          <w:vertAlign w:val="superscript"/>
        </w:rPr>
        <w:t>0</w:t>
      </w:r>
      <w:r>
        <w:rPr>
          <w:rFonts w:asciiTheme="minorHAnsi" w:eastAsiaTheme="minorEastAsia" w:hAnsiTheme="minorHAnsi" w:cstheme="minorBidi"/>
          <w:sz w:val="22"/>
          <w:szCs w:val="22"/>
        </w:rPr>
        <w:t xml:space="preserve">C/min) are considerably lower, with small sample masses ~20mg. However the technique is fast and reliable </w:t>
      </w:r>
      <w:r>
        <w:rPr>
          <w:rFonts w:asciiTheme="minorHAnsi" w:eastAsiaTheme="minorEastAsia" w:hAnsiTheme="minorHAnsi" w:cstheme="minorBidi"/>
          <w:sz w:val="22"/>
          <w:szCs w:val="22"/>
        </w:rPr>
        <w:fldChar w:fldCharType="begin"/>
      </w:r>
      <w:r>
        <w:rPr>
          <w:rFonts w:asciiTheme="minorHAnsi" w:eastAsiaTheme="minorEastAsia" w:hAnsiTheme="minorHAnsi" w:cstheme="minorBidi"/>
          <w:sz w:val="22"/>
          <w:szCs w:val="22"/>
        </w:rPr>
        <w:instrText xml:space="preserve"> ADDIN ZOTERO_ITEM CSL_CITATION {"citationID":"FxoB4czn","properties":{"formattedCitation":"(Steer et al. 2015)","plainCitation":"(Steer et al. 2015)","noteIndex":0},"citationItems":[{"id":2003,"uris":["http://zotero.org/users/local/AB2owHL2/items/Q6C8HKE8"],"itemData":{"id":2003,"type":"article-journal","abstract":"Coal injection plays an important role to the economic success of ironmaking by substituting a portion of the coke input and improving the blast furnace productivity. Manufacturers are looking at opportunities to increase their coal selection options by using higher proportions of technically challenging lower volatile matter content coals; this paper investigates the kinetics, devolatilisation and burnout of these in granulated coal blends using thermogravimetric analysis (TGA) and a drop tube furnace (DTF). The char residue from the semi-anthracitic low volatile coal selected for this blending investigation had a much reduced reactivity at higher conversions which affected the blends in different ways. Burnout of the blends with the low volatile bituminous coals was improved by fragmentation of the granulated particles, but at longer residence times the lower reactivity of the more structurally ordered carbon in the semi anthracitic coal dominated. In contrast, the higher volatile coals showed improvements at low residence times corresponding to rapid volatile loss, but also showed non-additive blend improvement at longer residence times which may be explained by the more obvious presence of included minerals and the higher K/Al ratios associated with illite mineral phases known to improve burnout.","collection-title":"The 10th European Conference on Coal Research and its Applications","container-title":"Fuel","DOI":"10.1016/j.fuel.2014.12.060","ISSN":"0016-2361","journalAbbreviation":"Fuel","language":"en","page":"40-49","source":"ScienceDirect","title":"Opportunities to improve the utilisation of granulated coals for blast furnace injection","URL":"https://www.sciencedirect.com/science/article/pii/S0016236114012691","volume":"151","author":[{"family":"Steer","given":"Julian M."},{"family":"Marsh","given":"Richard"},{"family":"Greenslade","given":"Mark"},{"family":"Robinson","given":"Andrew"}],"accessed":{"date-parts":[["2022",10,12]]},"issued":{"date-parts":[["2015",7,1]]}}}],"schema":"https://github.com/citation-style-language/schema/raw/master/csl-citation.json"} </w:instrText>
      </w:r>
      <w:r>
        <w:rPr>
          <w:rFonts w:asciiTheme="minorHAnsi" w:eastAsiaTheme="minorEastAsia" w:hAnsiTheme="minorHAnsi" w:cstheme="minorBidi"/>
          <w:sz w:val="22"/>
          <w:szCs w:val="22"/>
        </w:rPr>
        <w:fldChar w:fldCharType="separate"/>
      </w:r>
      <w:r w:rsidRPr="00427DDC">
        <w:rPr>
          <w:rFonts w:ascii="Calibri" w:eastAsiaTheme="minorEastAsia" w:hAnsi="Calibri" w:cs="Calibri"/>
          <w:sz w:val="22"/>
        </w:rPr>
        <w:t>(Steer et al. 2015)</w:t>
      </w:r>
      <w:r>
        <w:rPr>
          <w:rFonts w:asciiTheme="minorHAnsi" w:eastAsiaTheme="minorEastAsia" w:hAnsiTheme="minorHAnsi" w:cstheme="minorBidi"/>
          <w:sz w:val="22"/>
          <w:szCs w:val="22"/>
        </w:rPr>
        <w:fldChar w:fldCharType="end"/>
      </w:r>
      <w:r>
        <w:rPr>
          <w:rFonts w:asciiTheme="minorHAnsi" w:eastAsiaTheme="minorEastAsia" w:hAnsiTheme="minorHAnsi" w:cstheme="minorBidi"/>
          <w:sz w:val="22"/>
          <w:szCs w:val="22"/>
        </w:rPr>
        <w:t xml:space="preserve">. </w:t>
      </w:r>
    </w:p>
    <w:p w14:paraId="38065054" w14:textId="755A1DC6" w:rsidR="00871ABA" w:rsidRPr="007C00B4" w:rsidRDefault="00871ABA" w:rsidP="0045366E">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The</w:t>
      </w:r>
      <w:r w:rsidR="004A5636">
        <w:rPr>
          <w:rFonts w:asciiTheme="minorHAnsi" w:eastAsiaTheme="minorEastAsia" w:hAnsiTheme="minorHAnsi" w:cstheme="minorBidi"/>
          <w:sz w:val="22"/>
          <w:szCs w:val="22"/>
        </w:rPr>
        <w:t>se</w:t>
      </w:r>
      <w:r>
        <w:rPr>
          <w:rFonts w:asciiTheme="minorHAnsi" w:eastAsiaTheme="minorEastAsia" w:hAnsiTheme="minorHAnsi" w:cstheme="minorBidi"/>
          <w:sz w:val="22"/>
          <w:szCs w:val="22"/>
        </w:rPr>
        <w:t xml:space="preserve"> results show that the </w:t>
      </w:r>
      <w:r w:rsidR="00F862B6">
        <w:rPr>
          <w:rFonts w:asciiTheme="minorHAnsi" w:eastAsiaTheme="minorEastAsia" w:hAnsiTheme="minorHAnsi" w:cstheme="minorBidi"/>
          <w:sz w:val="22"/>
          <w:szCs w:val="22"/>
        </w:rPr>
        <w:t>biochar’s</w:t>
      </w:r>
      <w:r>
        <w:rPr>
          <w:rFonts w:asciiTheme="minorHAnsi" w:eastAsiaTheme="minorEastAsia" w:hAnsiTheme="minorHAnsi" w:cstheme="minorBidi"/>
          <w:sz w:val="22"/>
          <w:szCs w:val="22"/>
        </w:rPr>
        <w:t xml:space="preserve"> ignite at lower temperatures, reach maximum </w:t>
      </w:r>
      <w:r w:rsidR="00E11938">
        <w:rPr>
          <w:rFonts w:asciiTheme="minorHAnsi" w:eastAsiaTheme="minorEastAsia" w:hAnsiTheme="minorHAnsi" w:cstheme="minorBidi"/>
          <w:sz w:val="22"/>
          <w:szCs w:val="22"/>
        </w:rPr>
        <w:t xml:space="preserve">rate of combustion at </w:t>
      </w:r>
      <w:r>
        <w:rPr>
          <w:rFonts w:asciiTheme="minorHAnsi" w:eastAsiaTheme="minorEastAsia" w:hAnsiTheme="minorHAnsi" w:cstheme="minorBidi"/>
          <w:sz w:val="22"/>
          <w:szCs w:val="22"/>
        </w:rPr>
        <w:t>lower temperatures and burnout at lower temperatures</w:t>
      </w:r>
      <w:r w:rsidR="00E11938">
        <w:rPr>
          <w:rFonts w:asciiTheme="minorHAnsi" w:eastAsiaTheme="minorEastAsia" w:hAnsiTheme="minorHAnsi" w:cstheme="minorBidi"/>
          <w:sz w:val="22"/>
          <w:szCs w:val="22"/>
        </w:rPr>
        <w:t xml:space="preserve"> when compared with the T-coal</w:t>
      </w:r>
      <w:r w:rsidR="00AF219B">
        <w:rPr>
          <w:rFonts w:asciiTheme="minorHAnsi" w:eastAsiaTheme="minorEastAsia" w:hAnsiTheme="minorHAnsi" w:cstheme="minorBidi"/>
          <w:sz w:val="22"/>
          <w:szCs w:val="22"/>
        </w:rPr>
        <w:t xml:space="preserve">. </w:t>
      </w:r>
    </w:p>
    <w:p w14:paraId="411D2ACC" w14:textId="1BDD55CC" w:rsidR="0029636D" w:rsidRDefault="00E11938" w:rsidP="000D2BC6">
      <w:pPr>
        <w:spacing w:line="360" w:lineRule="auto"/>
        <w:jc w:val="both"/>
      </w:pPr>
      <w:r>
        <w:t xml:space="preserve">When </w:t>
      </w:r>
      <w:r w:rsidR="00B347E0">
        <w:t>considering chemistry</w:t>
      </w:r>
      <w:r w:rsidR="004671BB">
        <w:t xml:space="preserve">, </w:t>
      </w:r>
      <w:r>
        <w:t xml:space="preserve">combustibility and burnout </w:t>
      </w:r>
      <w:r w:rsidR="00A35543">
        <w:t>then the</w:t>
      </w:r>
      <w:r>
        <w:t xml:space="preserve"> biochar samples have the potential to </w:t>
      </w:r>
      <w:r w:rsidR="00E37FE6">
        <w:t>at least partially replace coal in PCI</w:t>
      </w:r>
      <w:r w:rsidR="00B457F2">
        <w:t>, plant trials would be required to see how much</w:t>
      </w:r>
      <w:r w:rsidR="00960035">
        <w:t xml:space="preserve"> of it could be </w:t>
      </w:r>
      <w:r w:rsidR="0057200E">
        <w:t>substituted in</w:t>
      </w:r>
      <w:r w:rsidR="00960035">
        <w:t>.</w:t>
      </w:r>
      <w:r w:rsidR="00811575">
        <w:t xml:space="preserve"> A trial at </w:t>
      </w:r>
      <w:r w:rsidR="004671BB">
        <w:t>10% to begin with</w:t>
      </w:r>
      <w:r w:rsidR="000701D5">
        <w:t xml:space="preserve"> is </w:t>
      </w:r>
      <w:r w:rsidR="000C2B27">
        <w:t>recommended</w:t>
      </w:r>
      <w:r w:rsidR="00E86F1D">
        <w:t>,</w:t>
      </w:r>
      <w:r w:rsidR="004671BB">
        <w:t xml:space="preserve"> while gradually increasing increments until an optimum level of</w:t>
      </w:r>
      <w:r w:rsidR="00E86F1D">
        <w:t xml:space="preserve"> biochar</w:t>
      </w:r>
      <w:r w:rsidR="004671BB">
        <w:t xml:space="preserve"> addition is settled upon.</w:t>
      </w:r>
      <w:r>
        <w:t xml:space="preserve"> </w:t>
      </w:r>
    </w:p>
    <w:p w14:paraId="583BFB93" w14:textId="77777777" w:rsidR="003B221D" w:rsidRDefault="003B221D" w:rsidP="000D2BC6">
      <w:pPr>
        <w:spacing w:line="360" w:lineRule="auto"/>
        <w:jc w:val="both"/>
      </w:pPr>
    </w:p>
    <w:p w14:paraId="7A7D55F3" w14:textId="77777777" w:rsidR="003B221D" w:rsidRDefault="003B221D" w:rsidP="000D2BC6">
      <w:pPr>
        <w:spacing w:line="360" w:lineRule="auto"/>
        <w:jc w:val="both"/>
      </w:pPr>
    </w:p>
    <w:p w14:paraId="43FAE434" w14:textId="77777777" w:rsidR="003B221D" w:rsidRDefault="003B221D" w:rsidP="000D2BC6">
      <w:pPr>
        <w:spacing w:line="360" w:lineRule="auto"/>
        <w:jc w:val="both"/>
      </w:pPr>
    </w:p>
    <w:p w14:paraId="2B0FD144" w14:textId="77777777" w:rsidR="003B221D" w:rsidRDefault="003B221D" w:rsidP="000D2BC6">
      <w:pPr>
        <w:spacing w:line="360" w:lineRule="auto"/>
        <w:jc w:val="both"/>
      </w:pPr>
    </w:p>
    <w:p w14:paraId="56A356DD" w14:textId="77777777" w:rsidR="003B221D" w:rsidRDefault="003B221D" w:rsidP="000D2BC6">
      <w:pPr>
        <w:spacing w:line="360" w:lineRule="auto"/>
        <w:jc w:val="both"/>
      </w:pPr>
    </w:p>
    <w:p w14:paraId="7BFD8B48" w14:textId="2E99E0AE" w:rsidR="00E11938" w:rsidRDefault="00E418AF" w:rsidP="00E418AF">
      <w:pPr>
        <w:pStyle w:val="Heading2"/>
        <w:spacing w:line="360" w:lineRule="auto"/>
        <w:jc w:val="both"/>
      </w:pPr>
      <w:bookmarkStart w:id="79" w:name="_Toc127911465"/>
      <w:r>
        <w:t xml:space="preserve">Biochar substitution into coke </w:t>
      </w:r>
      <w:r w:rsidR="00B347E0">
        <w:t>making.</w:t>
      </w:r>
      <w:bookmarkEnd w:id="79"/>
    </w:p>
    <w:p w14:paraId="0EDBB25C" w14:textId="0FC3518B" w:rsidR="0094408F" w:rsidRDefault="00891389" w:rsidP="000547EC">
      <w:pPr>
        <w:spacing w:line="360" w:lineRule="auto"/>
        <w:jc w:val="both"/>
      </w:pPr>
      <w:r>
        <w:t xml:space="preserve">Metallurgical coke plays are role in the BF that no other known material can </w:t>
      </w:r>
      <w:r w:rsidR="00F1663A">
        <w:t>re</w:t>
      </w:r>
      <w:r w:rsidR="00DF0555">
        <w:t>plicate</w:t>
      </w:r>
      <w:r w:rsidR="00772254">
        <w:t xml:space="preserve">, that being a permeable support of the BF burden. </w:t>
      </w:r>
      <w:r w:rsidR="00DC74E1">
        <w:t xml:space="preserve">The </w:t>
      </w:r>
      <w:r w:rsidR="0032705F">
        <w:t xml:space="preserve">BF environment is </w:t>
      </w:r>
      <w:r w:rsidR="006B5F4A">
        <w:t>harsh,</w:t>
      </w:r>
      <w:r w:rsidR="0032705F">
        <w:t xml:space="preserve"> and the coke is subjected to </w:t>
      </w:r>
      <w:r w:rsidR="00B755D0">
        <w:t xml:space="preserve">long </w:t>
      </w:r>
      <w:r w:rsidR="00B755D0">
        <w:lastRenderedPageBreak/>
        <w:t xml:space="preserve">periods under mechanical, </w:t>
      </w:r>
      <w:r w:rsidR="00A75E17">
        <w:t>thermal,</w:t>
      </w:r>
      <w:r w:rsidR="00B755D0">
        <w:t xml:space="preserve"> and chemical stress</w:t>
      </w:r>
      <w:r w:rsidR="006B5F4A">
        <w:t xml:space="preserve">. </w:t>
      </w:r>
      <w:r w:rsidR="001A346C">
        <w:t xml:space="preserve">The performance of the coke </w:t>
      </w:r>
      <w:r w:rsidR="00667BF0">
        <w:t xml:space="preserve">inside the furnace </w:t>
      </w:r>
      <w:r w:rsidR="00274FE3">
        <w:t xml:space="preserve">is correlated with the BF </w:t>
      </w:r>
      <w:r w:rsidR="00A14AD7">
        <w:t>operational stability. As such the quality of the coke is critical</w:t>
      </w:r>
      <w:r w:rsidR="009A40E1">
        <w:t>. Metallurgical coke should have high mechanical strength, high CSR, and low CRI. Impurities such as VM, ash, sulphur and phosphorus and alkali metal content need to be kept as low as possible.</w:t>
      </w:r>
      <w:r w:rsidR="005335CA">
        <w:t xml:space="preserve"> </w:t>
      </w:r>
      <w:r w:rsidR="00926E28">
        <w:fldChar w:fldCharType="begin"/>
      </w:r>
      <w:r w:rsidR="00926E28">
        <w:instrText xml:space="preserve"> ADDIN ZOTERO_ITEM CSL_CITATION {"citationID":"nhUBQEof","properties":{"formattedCitation":"(D\\uc0\\u305{}\\uc0\\u769{}ez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926E28">
        <w:fldChar w:fldCharType="separate"/>
      </w:r>
      <w:r w:rsidR="00926E28" w:rsidRPr="00926E28">
        <w:rPr>
          <w:rFonts w:ascii="Calibri" w:hAnsi="Calibri" w:cs="Calibri"/>
          <w:szCs w:val="24"/>
        </w:rPr>
        <w:t>(Dı́ez et al. 2002)</w:t>
      </w:r>
      <w:r w:rsidR="00926E28">
        <w:fldChar w:fldCharType="end"/>
      </w:r>
      <w:r w:rsidR="005335CA">
        <w:t>.</w:t>
      </w:r>
      <w:r w:rsidR="00926E28">
        <w:t xml:space="preserve"> </w:t>
      </w:r>
    </w:p>
    <w:p w14:paraId="1822082F" w14:textId="5007485D" w:rsidR="00AA3FCA" w:rsidRDefault="00AA3FCA" w:rsidP="0029241E">
      <w:pPr>
        <w:pStyle w:val="Heading3"/>
      </w:pPr>
      <w:bookmarkStart w:id="80" w:name="_Toc127911466"/>
      <w:r>
        <w:t xml:space="preserve">Chemical properties </w:t>
      </w:r>
      <w:r w:rsidR="00257DAF">
        <w:t>of coking coal and biochar</w:t>
      </w:r>
      <w:bookmarkEnd w:id="80"/>
    </w:p>
    <w:p w14:paraId="3D881816" w14:textId="77777777" w:rsidR="00CA5C83" w:rsidRPr="00CA5C83" w:rsidRDefault="00CA5C83" w:rsidP="00CA5C83"/>
    <w:p w14:paraId="2404F0EF" w14:textId="5F29645B" w:rsidR="00AA3FCA" w:rsidRPr="00AA3FCA" w:rsidRDefault="00AA3FCA" w:rsidP="00AA3FCA">
      <w:pPr>
        <w:pStyle w:val="Caption"/>
        <w:jc w:val="center"/>
      </w:pPr>
      <w:r>
        <w:t xml:space="preserve">Table </w:t>
      </w:r>
      <w:fldSimple w:instr=" SEQ Table \* ARABIC ">
        <w:r w:rsidR="00DA2639">
          <w:rPr>
            <w:noProof/>
          </w:rPr>
          <w:t>10</w:t>
        </w:r>
      </w:fldSimple>
      <w:r>
        <w:t xml:space="preserve"> Chemical properties of coking coal and biochar</w:t>
      </w:r>
    </w:p>
    <w:tbl>
      <w:tblPr>
        <w:tblW w:w="4160" w:type="dxa"/>
        <w:jc w:val="center"/>
        <w:tblLook w:val="04A0" w:firstRow="1" w:lastRow="0" w:firstColumn="1" w:lastColumn="0" w:noHBand="0" w:noVBand="1"/>
      </w:tblPr>
      <w:tblGrid>
        <w:gridCol w:w="1280"/>
        <w:gridCol w:w="1034"/>
        <w:gridCol w:w="960"/>
        <w:gridCol w:w="960"/>
      </w:tblGrid>
      <w:tr w:rsidR="00655DD1" w:rsidRPr="00655DD1" w14:paraId="52C7F1DA" w14:textId="77777777" w:rsidTr="00655DD1">
        <w:trPr>
          <w:trHeight w:val="915"/>
          <w:jc w:val="center"/>
        </w:trPr>
        <w:tc>
          <w:tcPr>
            <w:tcW w:w="128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FEBBF9D"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 dry basis</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2222D0C4"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Riverside</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2CAFA3CE"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Biochar 1</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692BDCF1"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Biochar 2</w:t>
            </w:r>
          </w:p>
        </w:tc>
      </w:tr>
      <w:tr w:rsidR="00655DD1" w:rsidRPr="00655DD1" w14:paraId="52775986" w14:textId="77777777" w:rsidTr="00655DD1">
        <w:trPr>
          <w:trHeight w:val="315"/>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5B960C0A"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C</w:t>
            </w:r>
          </w:p>
        </w:tc>
        <w:tc>
          <w:tcPr>
            <w:tcW w:w="960" w:type="dxa"/>
            <w:tcBorders>
              <w:top w:val="nil"/>
              <w:left w:val="nil"/>
              <w:bottom w:val="single" w:sz="4" w:space="0" w:color="auto"/>
              <w:right w:val="single" w:sz="4" w:space="0" w:color="auto"/>
            </w:tcBorders>
            <w:shd w:val="clear" w:color="000000" w:fill="EDEDED"/>
            <w:noWrap/>
            <w:vAlign w:val="center"/>
            <w:hideMark/>
          </w:tcPr>
          <w:p w14:paraId="2658BF4A"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80.5</w:t>
            </w:r>
          </w:p>
        </w:tc>
        <w:tc>
          <w:tcPr>
            <w:tcW w:w="960" w:type="dxa"/>
            <w:tcBorders>
              <w:top w:val="nil"/>
              <w:left w:val="nil"/>
              <w:bottom w:val="single" w:sz="4" w:space="0" w:color="auto"/>
              <w:right w:val="single" w:sz="4" w:space="0" w:color="auto"/>
            </w:tcBorders>
            <w:shd w:val="clear" w:color="000000" w:fill="EDEDED"/>
            <w:noWrap/>
            <w:vAlign w:val="center"/>
            <w:hideMark/>
          </w:tcPr>
          <w:p w14:paraId="35AF43B0"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90.2</w:t>
            </w:r>
          </w:p>
        </w:tc>
        <w:tc>
          <w:tcPr>
            <w:tcW w:w="960" w:type="dxa"/>
            <w:tcBorders>
              <w:top w:val="nil"/>
              <w:left w:val="nil"/>
              <w:bottom w:val="single" w:sz="4" w:space="0" w:color="auto"/>
              <w:right w:val="single" w:sz="4" w:space="0" w:color="auto"/>
            </w:tcBorders>
            <w:shd w:val="clear" w:color="000000" w:fill="EDEDED"/>
            <w:noWrap/>
            <w:vAlign w:val="center"/>
            <w:hideMark/>
          </w:tcPr>
          <w:p w14:paraId="1FC48D8F"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83</w:t>
            </w:r>
          </w:p>
        </w:tc>
      </w:tr>
      <w:tr w:rsidR="00655DD1" w:rsidRPr="00655DD1" w14:paraId="1A8D950A" w14:textId="77777777" w:rsidTr="00655DD1">
        <w:trPr>
          <w:trHeight w:val="315"/>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47B25AD2"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H</w:t>
            </w:r>
          </w:p>
        </w:tc>
        <w:tc>
          <w:tcPr>
            <w:tcW w:w="960" w:type="dxa"/>
            <w:tcBorders>
              <w:top w:val="nil"/>
              <w:left w:val="nil"/>
              <w:bottom w:val="single" w:sz="4" w:space="0" w:color="auto"/>
              <w:right w:val="single" w:sz="4" w:space="0" w:color="auto"/>
            </w:tcBorders>
            <w:shd w:val="clear" w:color="000000" w:fill="EDEDED"/>
            <w:noWrap/>
            <w:vAlign w:val="center"/>
            <w:hideMark/>
          </w:tcPr>
          <w:p w14:paraId="20530EC5"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4.48</w:t>
            </w:r>
          </w:p>
        </w:tc>
        <w:tc>
          <w:tcPr>
            <w:tcW w:w="960" w:type="dxa"/>
            <w:tcBorders>
              <w:top w:val="nil"/>
              <w:left w:val="nil"/>
              <w:bottom w:val="single" w:sz="4" w:space="0" w:color="auto"/>
              <w:right w:val="single" w:sz="4" w:space="0" w:color="auto"/>
            </w:tcBorders>
            <w:shd w:val="clear" w:color="000000" w:fill="EDEDED"/>
            <w:noWrap/>
            <w:vAlign w:val="center"/>
            <w:hideMark/>
          </w:tcPr>
          <w:p w14:paraId="2D6A654C"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1.83</w:t>
            </w:r>
          </w:p>
        </w:tc>
        <w:tc>
          <w:tcPr>
            <w:tcW w:w="960" w:type="dxa"/>
            <w:tcBorders>
              <w:top w:val="nil"/>
              <w:left w:val="nil"/>
              <w:bottom w:val="single" w:sz="4" w:space="0" w:color="auto"/>
              <w:right w:val="single" w:sz="4" w:space="0" w:color="auto"/>
            </w:tcBorders>
            <w:shd w:val="clear" w:color="000000" w:fill="EDEDED"/>
            <w:noWrap/>
            <w:vAlign w:val="center"/>
            <w:hideMark/>
          </w:tcPr>
          <w:p w14:paraId="65BCE442"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2.02</w:t>
            </w:r>
          </w:p>
        </w:tc>
      </w:tr>
      <w:tr w:rsidR="00655DD1" w:rsidRPr="00655DD1" w14:paraId="3FBCAC9F" w14:textId="77777777" w:rsidTr="00655DD1">
        <w:trPr>
          <w:trHeight w:val="315"/>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449B6B09"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N</w:t>
            </w:r>
          </w:p>
        </w:tc>
        <w:tc>
          <w:tcPr>
            <w:tcW w:w="960" w:type="dxa"/>
            <w:tcBorders>
              <w:top w:val="nil"/>
              <w:left w:val="nil"/>
              <w:bottom w:val="single" w:sz="4" w:space="0" w:color="auto"/>
              <w:right w:val="single" w:sz="4" w:space="0" w:color="auto"/>
            </w:tcBorders>
            <w:shd w:val="clear" w:color="000000" w:fill="EDEDED"/>
            <w:noWrap/>
            <w:vAlign w:val="center"/>
            <w:hideMark/>
          </w:tcPr>
          <w:p w14:paraId="19662046"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1.75</w:t>
            </w:r>
          </w:p>
        </w:tc>
        <w:tc>
          <w:tcPr>
            <w:tcW w:w="960" w:type="dxa"/>
            <w:tcBorders>
              <w:top w:val="nil"/>
              <w:left w:val="nil"/>
              <w:bottom w:val="single" w:sz="4" w:space="0" w:color="auto"/>
              <w:right w:val="single" w:sz="4" w:space="0" w:color="auto"/>
            </w:tcBorders>
            <w:shd w:val="clear" w:color="000000" w:fill="EDEDED"/>
            <w:noWrap/>
            <w:vAlign w:val="center"/>
            <w:hideMark/>
          </w:tcPr>
          <w:p w14:paraId="7DF0D566"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0.09</w:t>
            </w:r>
          </w:p>
        </w:tc>
        <w:tc>
          <w:tcPr>
            <w:tcW w:w="960" w:type="dxa"/>
            <w:tcBorders>
              <w:top w:val="nil"/>
              <w:left w:val="nil"/>
              <w:bottom w:val="single" w:sz="4" w:space="0" w:color="auto"/>
              <w:right w:val="single" w:sz="4" w:space="0" w:color="auto"/>
            </w:tcBorders>
            <w:shd w:val="clear" w:color="000000" w:fill="EDEDED"/>
            <w:noWrap/>
            <w:vAlign w:val="center"/>
            <w:hideMark/>
          </w:tcPr>
          <w:p w14:paraId="1B379E32"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0.47</w:t>
            </w:r>
          </w:p>
        </w:tc>
      </w:tr>
      <w:tr w:rsidR="00655DD1" w:rsidRPr="00655DD1" w14:paraId="43A1F5A3" w14:textId="77777777" w:rsidTr="00655DD1">
        <w:trPr>
          <w:trHeight w:val="300"/>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44371C0A"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S</w:t>
            </w:r>
          </w:p>
        </w:tc>
        <w:tc>
          <w:tcPr>
            <w:tcW w:w="960" w:type="dxa"/>
            <w:tcBorders>
              <w:top w:val="nil"/>
              <w:left w:val="nil"/>
              <w:bottom w:val="single" w:sz="4" w:space="0" w:color="auto"/>
              <w:right w:val="single" w:sz="4" w:space="0" w:color="auto"/>
            </w:tcBorders>
            <w:shd w:val="clear" w:color="000000" w:fill="EDEDED"/>
            <w:noWrap/>
            <w:vAlign w:val="center"/>
            <w:hideMark/>
          </w:tcPr>
          <w:p w14:paraId="113B8207"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0.54</w:t>
            </w:r>
          </w:p>
        </w:tc>
        <w:tc>
          <w:tcPr>
            <w:tcW w:w="960" w:type="dxa"/>
            <w:tcBorders>
              <w:top w:val="nil"/>
              <w:left w:val="nil"/>
              <w:bottom w:val="single" w:sz="4" w:space="0" w:color="auto"/>
              <w:right w:val="single" w:sz="4" w:space="0" w:color="auto"/>
            </w:tcBorders>
            <w:shd w:val="clear" w:color="000000" w:fill="EDEDED"/>
            <w:noWrap/>
            <w:vAlign w:val="center"/>
            <w:hideMark/>
          </w:tcPr>
          <w:p w14:paraId="32F80A94"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&lt;0.02</w:t>
            </w:r>
          </w:p>
        </w:tc>
        <w:tc>
          <w:tcPr>
            <w:tcW w:w="960" w:type="dxa"/>
            <w:tcBorders>
              <w:top w:val="nil"/>
              <w:left w:val="nil"/>
              <w:bottom w:val="single" w:sz="4" w:space="0" w:color="auto"/>
              <w:right w:val="single" w:sz="4" w:space="0" w:color="auto"/>
            </w:tcBorders>
            <w:shd w:val="clear" w:color="000000" w:fill="EDEDED"/>
            <w:noWrap/>
            <w:vAlign w:val="center"/>
            <w:hideMark/>
          </w:tcPr>
          <w:p w14:paraId="70BAA6E8"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0.005</w:t>
            </w:r>
          </w:p>
        </w:tc>
      </w:tr>
      <w:tr w:rsidR="00655DD1" w:rsidRPr="00655DD1" w14:paraId="37BC116E" w14:textId="77777777" w:rsidTr="00655DD1">
        <w:trPr>
          <w:trHeight w:val="330"/>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375942A9"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O</w:t>
            </w:r>
          </w:p>
        </w:tc>
        <w:tc>
          <w:tcPr>
            <w:tcW w:w="960" w:type="dxa"/>
            <w:tcBorders>
              <w:top w:val="nil"/>
              <w:left w:val="nil"/>
              <w:bottom w:val="single" w:sz="4" w:space="0" w:color="auto"/>
              <w:right w:val="single" w:sz="4" w:space="0" w:color="auto"/>
            </w:tcBorders>
            <w:shd w:val="clear" w:color="000000" w:fill="EDEDED"/>
            <w:noWrap/>
            <w:vAlign w:val="center"/>
            <w:hideMark/>
          </w:tcPr>
          <w:p w14:paraId="765F1C11"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2.73</w:t>
            </w:r>
          </w:p>
        </w:tc>
        <w:tc>
          <w:tcPr>
            <w:tcW w:w="960" w:type="dxa"/>
            <w:tcBorders>
              <w:top w:val="nil"/>
              <w:left w:val="nil"/>
              <w:bottom w:val="single" w:sz="4" w:space="0" w:color="auto"/>
              <w:right w:val="single" w:sz="4" w:space="0" w:color="auto"/>
            </w:tcBorders>
            <w:shd w:val="clear" w:color="000000" w:fill="EDEDED"/>
            <w:noWrap/>
            <w:vAlign w:val="center"/>
            <w:hideMark/>
          </w:tcPr>
          <w:p w14:paraId="39C4ADBD"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6.02</w:t>
            </w:r>
          </w:p>
        </w:tc>
        <w:tc>
          <w:tcPr>
            <w:tcW w:w="960" w:type="dxa"/>
            <w:tcBorders>
              <w:top w:val="nil"/>
              <w:left w:val="nil"/>
              <w:bottom w:val="single" w:sz="4" w:space="0" w:color="auto"/>
              <w:right w:val="single" w:sz="4" w:space="0" w:color="auto"/>
            </w:tcBorders>
            <w:shd w:val="clear" w:color="000000" w:fill="EDEDED"/>
            <w:noWrap/>
            <w:vAlign w:val="center"/>
            <w:hideMark/>
          </w:tcPr>
          <w:p w14:paraId="494A0559"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7.33</w:t>
            </w:r>
          </w:p>
        </w:tc>
      </w:tr>
      <w:tr w:rsidR="00655DD1" w:rsidRPr="00655DD1" w14:paraId="5DDC116F" w14:textId="77777777" w:rsidTr="00655DD1">
        <w:trPr>
          <w:trHeight w:val="300"/>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44F58A98" w14:textId="77777777" w:rsidR="00655DD1" w:rsidRPr="00655DD1" w:rsidRDefault="00655DD1" w:rsidP="00655DD1">
            <w:pPr>
              <w:spacing w:after="0" w:line="240" w:lineRule="auto"/>
              <w:jc w:val="center"/>
              <w:rPr>
                <w:rFonts w:ascii="Calibri" w:eastAsia="Times New Roman" w:hAnsi="Calibri" w:cs="Calibri"/>
                <w:lang w:eastAsia="en-GB"/>
              </w:rPr>
            </w:pPr>
            <w:proofErr w:type="spellStart"/>
            <w:r w:rsidRPr="00655DD1">
              <w:rPr>
                <w:rFonts w:ascii="Calibri" w:eastAsia="Times New Roman" w:hAnsi="Calibri" w:cs="Calibri"/>
                <w:lang w:eastAsia="en-GB"/>
              </w:rPr>
              <w:t>Vm</w:t>
            </w:r>
            <w:proofErr w:type="spellEnd"/>
          </w:p>
        </w:tc>
        <w:tc>
          <w:tcPr>
            <w:tcW w:w="960" w:type="dxa"/>
            <w:tcBorders>
              <w:top w:val="nil"/>
              <w:left w:val="nil"/>
              <w:bottom w:val="single" w:sz="4" w:space="0" w:color="auto"/>
              <w:right w:val="single" w:sz="4" w:space="0" w:color="auto"/>
            </w:tcBorders>
            <w:shd w:val="clear" w:color="000000" w:fill="EDEDED"/>
            <w:noWrap/>
            <w:vAlign w:val="center"/>
            <w:hideMark/>
          </w:tcPr>
          <w:p w14:paraId="1AD2B6B2"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21.6</w:t>
            </w:r>
          </w:p>
        </w:tc>
        <w:tc>
          <w:tcPr>
            <w:tcW w:w="960" w:type="dxa"/>
            <w:tcBorders>
              <w:top w:val="nil"/>
              <w:left w:val="nil"/>
              <w:bottom w:val="single" w:sz="4" w:space="0" w:color="auto"/>
              <w:right w:val="single" w:sz="4" w:space="0" w:color="auto"/>
            </w:tcBorders>
            <w:shd w:val="clear" w:color="000000" w:fill="EDEDED"/>
            <w:noWrap/>
            <w:vAlign w:val="center"/>
            <w:hideMark/>
          </w:tcPr>
          <w:p w14:paraId="20B79D76"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6.7</w:t>
            </w:r>
          </w:p>
        </w:tc>
        <w:tc>
          <w:tcPr>
            <w:tcW w:w="960" w:type="dxa"/>
            <w:tcBorders>
              <w:top w:val="nil"/>
              <w:left w:val="nil"/>
              <w:bottom w:val="single" w:sz="4" w:space="0" w:color="auto"/>
              <w:right w:val="single" w:sz="4" w:space="0" w:color="auto"/>
            </w:tcBorders>
            <w:shd w:val="clear" w:color="000000" w:fill="EDEDED"/>
            <w:noWrap/>
            <w:vAlign w:val="center"/>
            <w:hideMark/>
          </w:tcPr>
          <w:p w14:paraId="3F2086B1"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15.6</w:t>
            </w:r>
          </w:p>
        </w:tc>
      </w:tr>
      <w:tr w:rsidR="00655DD1" w:rsidRPr="00655DD1" w14:paraId="0E82FC4B" w14:textId="77777777" w:rsidTr="00655DD1">
        <w:trPr>
          <w:trHeight w:val="300"/>
          <w:jc w:val="center"/>
        </w:trPr>
        <w:tc>
          <w:tcPr>
            <w:tcW w:w="1280" w:type="dxa"/>
            <w:tcBorders>
              <w:top w:val="nil"/>
              <w:left w:val="single" w:sz="4" w:space="0" w:color="auto"/>
              <w:bottom w:val="single" w:sz="4" w:space="0" w:color="auto"/>
              <w:right w:val="single" w:sz="4" w:space="0" w:color="auto"/>
            </w:tcBorders>
            <w:shd w:val="clear" w:color="000000" w:fill="EDEDED"/>
            <w:noWrap/>
            <w:vAlign w:val="center"/>
            <w:hideMark/>
          </w:tcPr>
          <w:p w14:paraId="5E95C70F"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Ash</w:t>
            </w:r>
          </w:p>
        </w:tc>
        <w:tc>
          <w:tcPr>
            <w:tcW w:w="960" w:type="dxa"/>
            <w:tcBorders>
              <w:top w:val="nil"/>
              <w:left w:val="nil"/>
              <w:bottom w:val="single" w:sz="4" w:space="0" w:color="auto"/>
              <w:right w:val="single" w:sz="4" w:space="0" w:color="auto"/>
            </w:tcBorders>
            <w:shd w:val="clear" w:color="000000" w:fill="EDEDED"/>
            <w:noWrap/>
            <w:vAlign w:val="center"/>
            <w:hideMark/>
          </w:tcPr>
          <w:p w14:paraId="33026E54"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10</w:t>
            </w:r>
          </w:p>
        </w:tc>
        <w:tc>
          <w:tcPr>
            <w:tcW w:w="960" w:type="dxa"/>
            <w:tcBorders>
              <w:top w:val="nil"/>
              <w:left w:val="nil"/>
              <w:bottom w:val="single" w:sz="4" w:space="0" w:color="auto"/>
              <w:right w:val="single" w:sz="4" w:space="0" w:color="auto"/>
            </w:tcBorders>
            <w:shd w:val="clear" w:color="000000" w:fill="EDEDED"/>
            <w:noWrap/>
            <w:vAlign w:val="center"/>
            <w:hideMark/>
          </w:tcPr>
          <w:p w14:paraId="7F4F6B39"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1.89</w:t>
            </w:r>
          </w:p>
        </w:tc>
        <w:tc>
          <w:tcPr>
            <w:tcW w:w="960" w:type="dxa"/>
            <w:tcBorders>
              <w:top w:val="nil"/>
              <w:left w:val="nil"/>
              <w:bottom w:val="single" w:sz="4" w:space="0" w:color="auto"/>
              <w:right w:val="single" w:sz="4" w:space="0" w:color="auto"/>
            </w:tcBorders>
            <w:shd w:val="clear" w:color="000000" w:fill="EDEDED"/>
            <w:noWrap/>
            <w:vAlign w:val="center"/>
            <w:hideMark/>
          </w:tcPr>
          <w:p w14:paraId="24D15A54" w14:textId="77777777" w:rsidR="00655DD1" w:rsidRPr="00655DD1" w:rsidRDefault="00655DD1" w:rsidP="00655DD1">
            <w:pPr>
              <w:spacing w:after="0" w:line="240" w:lineRule="auto"/>
              <w:jc w:val="center"/>
              <w:rPr>
                <w:rFonts w:ascii="Calibri" w:eastAsia="Times New Roman" w:hAnsi="Calibri" w:cs="Calibri"/>
                <w:lang w:eastAsia="en-GB"/>
              </w:rPr>
            </w:pPr>
            <w:r w:rsidRPr="00655DD1">
              <w:rPr>
                <w:rFonts w:ascii="Calibri" w:eastAsia="Times New Roman" w:hAnsi="Calibri" w:cs="Calibri"/>
                <w:lang w:eastAsia="en-GB"/>
              </w:rPr>
              <w:t>6</w:t>
            </w:r>
          </w:p>
        </w:tc>
      </w:tr>
    </w:tbl>
    <w:p w14:paraId="0018F308" w14:textId="77777777" w:rsidR="00655DD1" w:rsidRDefault="00655DD1" w:rsidP="00EE7573">
      <w:pPr>
        <w:spacing w:line="360" w:lineRule="auto"/>
        <w:jc w:val="both"/>
      </w:pPr>
    </w:p>
    <w:p w14:paraId="0554DA7D" w14:textId="08C239EB" w:rsidR="00CA5C83" w:rsidRDefault="00502A9B" w:rsidP="00EE7573">
      <w:pPr>
        <w:spacing w:line="360" w:lineRule="auto"/>
        <w:jc w:val="both"/>
      </w:pPr>
      <w:r>
        <w:t xml:space="preserve">The </w:t>
      </w:r>
      <w:r w:rsidR="00156992">
        <w:t>general c</w:t>
      </w:r>
      <w:r w:rsidR="00AA3FCA">
        <w:t xml:space="preserve">oking coal parameters </w:t>
      </w:r>
      <w:r w:rsidR="00806E7D">
        <w:t>for BF addition aim for</w:t>
      </w:r>
      <w:r w:rsidR="00AA3FCA">
        <w:t xml:space="preserve"> </w:t>
      </w:r>
      <w:r w:rsidR="003C6585">
        <w:t xml:space="preserve">ash levels </w:t>
      </w:r>
      <w:r w:rsidR="00156992">
        <w:t xml:space="preserve">less than </w:t>
      </w:r>
      <w:r w:rsidR="003C6585">
        <w:t xml:space="preserve">10 </w:t>
      </w:r>
      <w:proofErr w:type="spellStart"/>
      <w:r w:rsidR="003C6585">
        <w:t>wt</w:t>
      </w:r>
      <w:proofErr w:type="spellEnd"/>
      <w:r w:rsidR="003C6585">
        <w:t xml:space="preserve">% </w:t>
      </w:r>
      <w:proofErr w:type="spellStart"/>
      <w:r w:rsidR="003C6585">
        <w:t>db</w:t>
      </w:r>
      <w:proofErr w:type="spellEnd"/>
      <w:r w:rsidR="00156992">
        <w:t xml:space="preserve"> with </w:t>
      </w:r>
      <w:r w:rsidR="003C6585">
        <w:t>Sulphur</w:t>
      </w:r>
      <w:r w:rsidR="00156992">
        <w:t xml:space="preserve"> </w:t>
      </w:r>
      <w:r w:rsidR="00806E7D">
        <w:t>concentration</w:t>
      </w:r>
      <w:r w:rsidR="003C6585">
        <w:t xml:space="preserve"> </w:t>
      </w:r>
      <w:r w:rsidR="00156992">
        <w:t xml:space="preserve">less than </w:t>
      </w:r>
      <w:r w:rsidR="003C6585">
        <w:t xml:space="preserve">0.7 </w:t>
      </w:r>
      <w:proofErr w:type="spellStart"/>
      <w:r w:rsidR="003C6585">
        <w:t>wt</w:t>
      </w:r>
      <w:proofErr w:type="spellEnd"/>
      <w:r w:rsidR="003C6585">
        <w:t>% db</w:t>
      </w:r>
      <w:r w:rsidR="00156992">
        <w:t>.</w:t>
      </w:r>
      <w:r w:rsidR="00655DD1">
        <w:t xml:space="preserve"> </w:t>
      </w:r>
      <w:r w:rsidR="00156992">
        <w:t>Both t</w:t>
      </w:r>
      <w:r w:rsidR="005D651D">
        <w:t>he biochar has significantly lower sulphur levels and meet the specification for ash level</w:t>
      </w:r>
      <w:r w:rsidR="00156992">
        <w:t xml:space="preserve"> see table 10</w:t>
      </w:r>
      <w:r w:rsidR="005D651D">
        <w:t xml:space="preserve">.  </w:t>
      </w:r>
      <w:r w:rsidR="00865BFD">
        <w:t xml:space="preserve">Both </w:t>
      </w:r>
      <w:r w:rsidR="00156992">
        <w:t>Biochar’s</w:t>
      </w:r>
      <w:r w:rsidR="00865BFD">
        <w:t xml:space="preserve"> have high carbon levels which are similar to that of coal.</w:t>
      </w:r>
    </w:p>
    <w:p w14:paraId="1A4578BA" w14:textId="77777777" w:rsidR="00CA5C83" w:rsidRDefault="00CA5C83" w:rsidP="00EE7573">
      <w:pPr>
        <w:spacing w:line="360" w:lineRule="auto"/>
        <w:jc w:val="both"/>
      </w:pPr>
    </w:p>
    <w:p w14:paraId="718A73FA" w14:textId="77777777" w:rsidR="00CA5C83" w:rsidRDefault="00CA5C83" w:rsidP="00EE7573">
      <w:pPr>
        <w:spacing w:line="360" w:lineRule="auto"/>
        <w:jc w:val="both"/>
      </w:pPr>
    </w:p>
    <w:p w14:paraId="209A611B" w14:textId="77777777" w:rsidR="00CA5C83" w:rsidRDefault="00CA5C83" w:rsidP="00EE7573">
      <w:pPr>
        <w:spacing w:line="360" w:lineRule="auto"/>
        <w:jc w:val="both"/>
      </w:pPr>
    </w:p>
    <w:p w14:paraId="60965474" w14:textId="77777777" w:rsidR="00CA5C83" w:rsidRDefault="00CA5C83" w:rsidP="00EE7573">
      <w:pPr>
        <w:spacing w:line="360" w:lineRule="auto"/>
        <w:jc w:val="both"/>
      </w:pPr>
    </w:p>
    <w:p w14:paraId="737F8960" w14:textId="77777777" w:rsidR="00CA5C83" w:rsidRDefault="00CA5C83" w:rsidP="00EE7573">
      <w:pPr>
        <w:spacing w:line="360" w:lineRule="auto"/>
        <w:jc w:val="both"/>
      </w:pPr>
    </w:p>
    <w:p w14:paraId="5B210F90" w14:textId="77777777" w:rsidR="00CA5C83" w:rsidRDefault="00CA5C83" w:rsidP="00EE7573">
      <w:pPr>
        <w:spacing w:line="360" w:lineRule="auto"/>
        <w:jc w:val="both"/>
      </w:pPr>
    </w:p>
    <w:p w14:paraId="3070BD03" w14:textId="77777777" w:rsidR="00CA5C83" w:rsidRDefault="00CA5C83" w:rsidP="00EE7573">
      <w:pPr>
        <w:spacing w:line="360" w:lineRule="auto"/>
        <w:jc w:val="both"/>
      </w:pPr>
    </w:p>
    <w:p w14:paraId="64C34355" w14:textId="74670C50" w:rsidR="00655DD1" w:rsidRDefault="00655DD1" w:rsidP="00655DD1">
      <w:pPr>
        <w:pStyle w:val="Caption"/>
        <w:jc w:val="center"/>
      </w:pPr>
      <w:r>
        <w:t xml:space="preserve">Table </w:t>
      </w:r>
      <w:fldSimple w:instr=" SEQ Table \* ARABIC ">
        <w:r w:rsidR="00DA2639">
          <w:rPr>
            <w:noProof/>
          </w:rPr>
          <w:t>11</w:t>
        </w:r>
      </w:fldSimple>
      <w:r>
        <w:t xml:space="preserve"> The ash composition of Riverside and </w:t>
      </w:r>
      <w:r w:rsidR="00E57364">
        <w:t>biochar</w:t>
      </w:r>
    </w:p>
    <w:tbl>
      <w:tblPr>
        <w:tblW w:w="3840" w:type="dxa"/>
        <w:jc w:val="center"/>
        <w:tblLook w:val="04A0" w:firstRow="1" w:lastRow="0" w:firstColumn="1" w:lastColumn="0" w:noHBand="0" w:noVBand="1"/>
      </w:tblPr>
      <w:tblGrid>
        <w:gridCol w:w="960"/>
        <w:gridCol w:w="1034"/>
        <w:gridCol w:w="960"/>
        <w:gridCol w:w="960"/>
      </w:tblGrid>
      <w:tr w:rsidR="00655DD1" w:rsidRPr="00655DD1" w14:paraId="41E9A029" w14:textId="77777777" w:rsidTr="00655DD1">
        <w:trPr>
          <w:trHeight w:val="915"/>
          <w:jc w:val="center"/>
        </w:trPr>
        <w:tc>
          <w:tcPr>
            <w:tcW w:w="960" w:type="dxa"/>
            <w:tcBorders>
              <w:top w:val="single" w:sz="8" w:space="0" w:color="auto"/>
              <w:left w:val="single" w:sz="8" w:space="0" w:color="auto"/>
              <w:bottom w:val="single" w:sz="4" w:space="0" w:color="auto"/>
              <w:right w:val="single" w:sz="4" w:space="0" w:color="auto"/>
            </w:tcBorders>
            <w:shd w:val="clear" w:color="000000" w:fill="EDEDED"/>
            <w:vAlign w:val="center"/>
            <w:hideMark/>
          </w:tcPr>
          <w:p w14:paraId="3C6C2B74"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lastRenderedPageBreak/>
              <w:t>Chem as (% in ash)</w:t>
            </w:r>
          </w:p>
        </w:tc>
        <w:tc>
          <w:tcPr>
            <w:tcW w:w="960" w:type="dxa"/>
            <w:tcBorders>
              <w:top w:val="single" w:sz="8" w:space="0" w:color="auto"/>
              <w:left w:val="nil"/>
              <w:bottom w:val="nil"/>
              <w:right w:val="single" w:sz="4" w:space="0" w:color="auto"/>
            </w:tcBorders>
            <w:shd w:val="clear" w:color="000000" w:fill="EDEDED"/>
            <w:noWrap/>
            <w:vAlign w:val="center"/>
            <w:hideMark/>
          </w:tcPr>
          <w:p w14:paraId="1CCBD729"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Riverside</w:t>
            </w:r>
          </w:p>
        </w:tc>
        <w:tc>
          <w:tcPr>
            <w:tcW w:w="960" w:type="dxa"/>
            <w:tcBorders>
              <w:top w:val="single" w:sz="8" w:space="0" w:color="auto"/>
              <w:left w:val="nil"/>
              <w:bottom w:val="nil"/>
              <w:right w:val="single" w:sz="4" w:space="0" w:color="auto"/>
            </w:tcBorders>
            <w:shd w:val="clear" w:color="000000" w:fill="EDEDED"/>
            <w:noWrap/>
            <w:vAlign w:val="center"/>
            <w:hideMark/>
          </w:tcPr>
          <w:p w14:paraId="530A0773"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Biochar 1</w:t>
            </w:r>
          </w:p>
        </w:tc>
        <w:tc>
          <w:tcPr>
            <w:tcW w:w="960" w:type="dxa"/>
            <w:tcBorders>
              <w:top w:val="single" w:sz="8" w:space="0" w:color="auto"/>
              <w:left w:val="nil"/>
              <w:bottom w:val="nil"/>
              <w:right w:val="single" w:sz="8" w:space="0" w:color="auto"/>
            </w:tcBorders>
            <w:shd w:val="clear" w:color="000000" w:fill="EDEDED"/>
            <w:noWrap/>
            <w:vAlign w:val="center"/>
            <w:hideMark/>
          </w:tcPr>
          <w:p w14:paraId="42CCB286"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Biochar 2</w:t>
            </w:r>
          </w:p>
        </w:tc>
      </w:tr>
      <w:tr w:rsidR="00655DD1" w:rsidRPr="00655DD1" w14:paraId="36C47C97" w14:textId="77777777" w:rsidTr="00655DD1">
        <w:trPr>
          <w:trHeight w:val="315"/>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3AB22ACC"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Na</w:t>
            </w:r>
            <w:r w:rsidRPr="00A56AD8">
              <w:rPr>
                <w:rFonts w:ascii="Calibri" w:eastAsia="Times New Roman" w:hAnsi="Calibri" w:cs="Calibri"/>
                <w:color w:val="000000"/>
                <w:vertAlign w:val="subscript"/>
                <w:lang w:eastAsia="en-GB"/>
              </w:rPr>
              <w:t>2</w:t>
            </w:r>
            <w:r w:rsidRPr="00655DD1">
              <w:rPr>
                <w:rFonts w:ascii="Calibri" w:eastAsia="Times New Roman" w:hAnsi="Calibri" w:cs="Calibri"/>
                <w:color w:val="000000"/>
                <w:lang w:eastAsia="en-GB"/>
              </w:rPr>
              <w:t>O</w:t>
            </w:r>
          </w:p>
        </w:tc>
        <w:tc>
          <w:tcPr>
            <w:tcW w:w="960" w:type="dxa"/>
            <w:tcBorders>
              <w:top w:val="single" w:sz="4" w:space="0" w:color="auto"/>
              <w:left w:val="single" w:sz="8" w:space="0" w:color="auto"/>
              <w:bottom w:val="single" w:sz="4" w:space="0" w:color="auto"/>
              <w:right w:val="single" w:sz="4" w:space="0" w:color="auto"/>
            </w:tcBorders>
            <w:shd w:val="clear" w:color="000000" w:fill="EDEDED"/>
            <w:noWrap/>
            <w:vAlign w:val="center"/>
            <w:hideMark/>
          </w:tcPr>
          <w:p w14:paraId="6020AF25"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0.4</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60EC12E1"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0.9</w:t>
            </w:r>
          </w:p>
        </w:tc>
        <w:tc>
          <w:tcPr>
            <w:tcW w:w="960" w:type="dxa"/>
            <w:tcBorders>
              <w:top w:val="single" w:sz="4" w:space="0" w:color="auto"/>
              <w:left w:val="nil"/>
              <w:bottom w:val="single" w:sz="4" w:space="0" w:color="auto"/>
              <w:right w:val="single" w:sz="8" w:space="0" w:color="auto"/>
            </w:tcBorders>
            <w:shd w:val="clear" w:color="000000" w:fill="EDEDED"/>
            <w:noWrap/>
            <w:vAlign w:val="center"/>
            <w:hideMark/>
          </w:tcPr>
          <w:p w14:paraId="5B9D25EB"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0.48</w:t>
            </w:r>
          </w:p>
        </w:tc>
      </w:tr>
      <w:tr w:rsidR="00655DD1" w:rsidRPr="00655DD1" w14:paraId="61A68F03" w14:textId="77777777" w:rsidTr="00655DD1">
        <w:trPr>
          <w:trHeight w:val="315"/>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2AEC8CFD"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MgO</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4FE9A179"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0.47</w:t>
            </w:r>
          </w:p>
        </w:tc>
        <w:tc>
          <w:tcPr>
            <w:tcW w:w="960" w:type="dxa"/>
            <w:tcBorders>
              <w:top w:val="nil"/>
              <w:left w:val="nil"/>
              <w:bottom w:val="single" w:sz="4" w:space="0" w:color="auto"/>
              <w:right w:val="single" w:sz="4" w:space="0" w:color="auto"/>
            </w:tcBorders>
            <w:shd w:val="clear" w:color="000000" w:fill="EDEDED"/>
            <w:noWrap/>
            <w:vAlign w:val="center"/>
            <w:hideMark/>
          </w:tcPr>
          <w:p w14:paraId="50E47772"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17.84</w:t>
            </w:r>
          </w:p>
        </w:tc>
        <w:tc>
          <w:tcPr>
            <w:tcW w:w="960" w:type="dxa"/>
            <w:tcBorders>
              <w:top w:val="nil"/>
              <w:left w:val="nil"/>
              <w:bottom w:val="single" w:sz="4" w:space="0" w:color="auto"/>
              <w:right w:val="single" w:sz="8" w:space="0" w:color="auto"/>
            </w:tcBorders>
            <w:shd w:val="clear" w:color="000000" w:fill="EDEDED"/>
            <w:noWrap/>
            <w:vAlign w:val="center"/>
            <w:hideMark/>
          </w:tcPr>
          <w:p w14:paraId="67C73E1B"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2.02</w:t>
            </w:r>
          </w:p>
        </w:tc>
      </w:tr>
      <w:tr w:rsidR="00655DD1" w:rsidRPr="00655DD1" w14:paraId="48DAE186" w14:textId="77777777" w:rsidTr="00655DD1">
        <w:trPr>
          <w:trHeight w:val="315"/>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4DC953EF"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A</w:t>
            </w:r>
            <w:r w:rsidRPr="00A56AD8">
              <w:rPr>
                <w:rFonts w:ascii="Calibri" w:eastAsia="Times New Roman" w:hAnsi="Calibri" w:cs="Calibri"/>
                <w:color w:val="000000"/>
                <w:vertAlign w:val="subscript"/>
                <w:lang w:eastAsia="en-GB"/>
              </w:rPr>
              <w:t>2</w:t>
            </w:r>
            <w:r w:rsidRPr="00655DD1">
              <w:rPr>
                <w:rFonts w:ascii="Calibri" w:eastAsia="Times New Roman" w:hAnsi="Calibri" w:cs="Calibri"/>
                <w:color w:val="000000"/>
                <w:lang w:eastAsia="en-GB"/>
              </w:rPr>
              <w:t>O</w:t>
            </w:r>
            <w:r w:rsidRPr="00A56AD8">
              <w:rPr>
                <w:rFonts w:ascii="Calibri" w:eastAsia="Times New Roman" w:hAnsi="Calibri" w:cs="Calibri"/>
                <w:color w:val="000000"/>
                <w:vertAlign w:val="subscript"/>
                <w:lang w:eastAsia="en-GB"/>
              </w:rPr>
              <w:t>3</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3FA5DC9A"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28.5</w:t>
            </w:r>
          </w:p>
        </w:tc>
        <w:tc>
          <w:tcPr>
            <w:tcW w:w="960" w:type="dxa"/>
            <w:tcBorders>
              <w:top w:val="nil"/>
              <w:left w:val="nil"/>
              <w:bottom w:val="single" w:sz="4" w:space="0" w:color="auto"/>
              <w:right w:val="single" w:sz="4" w:space="0" w:color="auto"/>
            </w:tcBorders>
            <w:shd w:val="clear" w:color="000000" w:fill="EDEDED"/>
            <w:noWrap/>
            <w:vAlign w:val="center"/>
            <w:hideMark/>
          </w:tcPr>
          <w:p w14:paraId="590CE58C"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2.76</w:t>
            </w:r>
          </w:p>
        </w:tc>
        <w:tc>
          <w:tcPr>
            <w:tcW w:w="960" w:type="dxa"/>
            <w:tcBorders>
              <w:top w:val="nil"/>
              <w:left w:val="nil"/>
              <w:bottom w:val="single" w:sz="4" w:space="0" w:color="auto"/>
              <w:right w:val="single" w:sz="8" w:space="0" w:color="auto"/>
            </w:tcBorders>
            <w:shd w:val="clear" w:color="000000" w:fill="EDEDED"/>
            <w:noWrap/>
            <w:vAlign w:val="center"/>
            <w:hideMark/>
          </w:tcPr>
          <w:p w14:paraId="5ECF1163"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5.7</w:t>
            </w:r>
          </w:p>
        </w:tc>
      </w:tr>
      <w:tr w:rsidR="00655DD1" w:rsidRPr="00655DD1" w14:paraId="3D501ED2"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100AB45D"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SiO</w:t>
            </w:r>
            <w:r w:rsidRPr="00A56AD8">
              <w:rPr>
                <w:rFonts w:ascii="Calibri" w:eastAsia="Times New Roman" w:hAnsi="Calibri" w:cs="Calibri"/>
                <w:color w:val="000000"/>
                <w:vertAlign w:val="subscript"/>
                <w:lang w:eastAsia="en-GB"/>
              </w:rPr>
              <w:t>2</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05B60FBB"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62.6</w:t>
            </w:r>
          </w:p>
        </w:tc>
        <w:tc>
          <w:tcPr>
            <w:tcW w:w="960" w:type="dxa"/>
            <w:tcBorders>
              <w:top w:val="nil"/>
              <w:left w:val="nil"/>
              <w:bottom w:val="single" w:sz="4" w:space="0" w:color="auto"/>
              <w:right w:val="single" w:sz="4" w:space="0" w:color="auto"/>
            </w:tcBorders>
            <w:shd w:val="clear" w:color="000000" w:fill="EDEDED"/>
            <w:noWrap/>
            <w:vAlign w:val="center"/>
            <w:hideMark/>
          </w:tcPr>
          <w:p w14:paraId="34863866"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8.1</w:t>
            </w:r>
          </w:p>
        </w:tc>
        <w:tc>
          <w:tcPr>
            <w:tcW w:w="960" w:type="dxa"/>
            <w:tcBorders>
              <w:top w:val="nil"/>
              <w:left w:val="nil"/>
              <w:bottom w:val="single" w:sz="4" w:space="0" w:color="auto"/>
              <w:right w:val="single" w:sz="8" w:space="0" w:color="auto"/>
            </w:tcBorders>
            <w:shd w:val="clear" w:color="000000" w:fill="EDEDED"/>
            <w:noWrap/>
            <w:vAlign w:val="center"/>
            <w:hideMark/>
          </w:tcPr>
          <w:p w14:paraId="1C2E7520"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19.6</w:t>
            </w:r>
          </w:p>
        </w:tc>
      </w:tr>
      <w:tr w:rsidR="00655DD1" w:rsidRPr="00655DD1" w14:paraId="7FF24CB6" w14:textId="77777777" w:rsidTr="00655DD1">
        <w:trPr>
          <w:trHeight w:val="33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45BB4218"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P</w:t>
            </w:r>
            <w:r w:rsidRPr="00A56AD8">
              <w:rPr>
                <w:rFonts w:ascii="Calibri" w:eastAsia="Times New Roman" w:hAnsi="Calibri" w:cs="Calibri"/>
                <w:color w:val="000000"/>
                <w:vertAlign w:val="subscript"/>
                <w:lang w:eastAsia="en-GB"/>
              </w:rPr>
              <w:t>2</w:t>
            </w:r>
            <w:r w:rsidRPr="00655DD1">
              <w:rPr>
                <w:rFonts w:ascii="Calibri" w:eastAsia="Times New Roman" w:hAnsi="Calibri" w:cs="Calibri"/>
                <w:color w:val="000000"/>
                <w:lang w:eastAsia="en-GB"/>
              </w:rPr>
              <w:t>O</w:t>
            </w:r>
            <w:r w:rsidRPr="00A56AD8">
              <w:rPr>
                <w:rFonts w:ascii="Calibri" w:eastAsia="Times New Roman" w:hAnsi="Calibri" w:cs="Calibri"/>
                <w:color w:val="000000"/>
                <w:vertAlign w:val="subscript"/>
                <w:lang w:eastAsia="en-GB"/>
              </w:rPr>
              <w:t>5</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3BE36A76"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0.2</w:t>
            </w:r>
          </w:p>
        </w:tc>
        <w:tc>
          <w:tcPr>
            <w:tcW w:w="960" w:type="dxa"/>
            <w:tcBorders>
              <w:top w:val="nil"/>
              <w:left w:val="nil"/>
              <w:bottom w:val="single" w:sz="4" w:space="0" w:color="auto"/>
              <w:right w:val="single" w:sz="4" w:space="0" w:color="auto"/>
            </w:tcBorders>
            <w:shd w:val="clear" w:color="000000" w:fill="EDEDED"/>
            <w:noWrap/>
            <w:vAlign w:val="center"/>
            <w:hideMark/>
          </w:tcPr>
          <w:p w14:paraId="1E77FF3F"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0.028</w:t>
            </w:r>
          </w:p>
        </w:tc>
        <w:tc>
          <w:tcPr>
            <w:tcW w:w="960" w:type="dxa"/>
            <w:tcBorders>
              <w:top w:val="nil"/>
              <w:left w:val="nil"/>
              <w:bottom w:val="single" w:sz="4" w:space="0" w:color="auto"/>
              <w:right w:val="single" w:sz="8" w:space="0" w:color="auto"/>
            </w:tcBorders>
            <w:shd w:val="clear" w:color="000000" w:fill="EDEDED"/>
            <w:noWrap/>
            <w:vAlign w:val="center"/>
            <w:hideMark/>
          </w:tcPr>
          <w:p w14:paraId="7C87C736"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0.4</w:t>
            </w:r>
          </w:p>
        </w:tc>
      </w:tr>
      <w:tr w:rsidR="00655DD1" w:rsidRPr="00655DD1" w14:paraId="638A9FF6"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0D75EA1E"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K</w:t>
            </w:r>
            <w:r w:rsidRPr="00A56AD8">
              <w:rPr>
                <w:rFonts w:ascii="Calibri" w:eastAsia="Times New Roman" w:hAnsi="Calibri" w:cs="Calibri"/>
                <w:color w:val="000000"/>
                <w:vertAlign w:val="subscript"/>
                <w:lang w:eastAsia="en-GB"/>
              </w:rPr>
              <w:t>2</w:t>
            </w:r>
            <w:r w:rsidRPr="00655DD1">
              <w:rPr>
                <w:rFonts w:ascii="Calibri" w:eastAsia="Times New Roman" w:hAnsi="Calibri" w:cs="Calibri"/>
                <w:color w:val="000000"/>
                <w:lang w:eastAsia="en-GB"/>
              </w:rPr>
              <w:t>O</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7FA32815"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0.96</w:t>
            </w:r>
          </w:p>
        </w:tc>
        <w:tc>
          <w:tcPr>
            <w:tcW w:w="960" w:type="dxa"/>
            <w:tcBorders>
              <w:top w:val="nil"/>
              <w:left w:val="nil"/>
              <w:bottom w:val="single" w:sz="4" w:space="0" w:color="auto"/>
              <w:right w:val="single" w:sz="4" w:space="0" w:color="auto"/>
            </w:tcBorders>
            <w:shd w:val="clear" w:color="000000" w:fill="EDEDED"/>
            <w:noWrap/>
            <w:vAlign w:val="center"/>
            <w:hideMark/>
          </w:tcPr>
          <w:p w14:paraId="3145ADC2"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4.3</w:t>
            </w:r>
          </w:p>
        </w:tc>
        <w:tc>
          <w:tcPr>
            <w:tcW w:w="960" w:type="dxa"/>
            <w:tcBorders>
              <w:top w:val="nil"/>
              <w:left w:val="nil"/>
              <w:bottom w:val="single" w:sz="4" w:space="0" w:color="auto"/>
              <w:right w:val="single" w:sz="8" w:space="0" w:color="auto"/>
            </w:tcBorders>
            <w:shd w:val="clear" w:color="000000" w:fill="EDEDED"/>
            <w:noWrap/>
            <w:vAlign w:val="center"/>
            <w:hideMark/>
          </w:tcPr>
          <w:p w14:paraId="5927B654"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4.3</w:t>
            </w:r>
          </w:p>
        </w:tc>
      </w:tr>
      <w:tr w:rsidR="00655DD1" w:rsidRPr="00655DD1" w14:paraId="17E60CA7"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58278C56" w14:textId="77777777" w:rsidR="00655DD1" w:rsidRPr="00655DD1" w:rsidRDefault="00655DD1" w:rsidP="00655DD1">
            <w:pPr>
              <w:spacing w:after="0" w:line="240" w:lineRule="auto"/>
              <w:jc w:val="center"/>
              <w:rPr>
                <w:rFonts w:ascii="Calibri" w:eastAsia="Times New Roman" w:hAnsi="Calibri" w:cs="Calibri"/>
                <w:color w:val="000000"/>
                <w:lang w:eastAsia="en-GB"/>
              </w:rPr>
            </w:pPr>
            <w:proofErr w:type="spellStart"/>
            <w:r w:rsidRPr="00655DD1">
              <w:rPr>
                <w:rFonts w:ascii="Calibri" w:eastAsia="Times New Roman" w:hAnsi="Calibri" w:cs="Calibri"/>
                <w:color w:val="000000"/>
                <w:lang w:eastAsia="en-GB"/>
              </w:rPr>
              <w:t>CaO</w:t>
            </w:r>
            <w:proofErr w:type="spellEnd"/>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003FB5A2"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0.41</w:t>
            </w:r>
          </w:p>
        </w:tc>
        <w:tc>
          <w:tcPr>
            <w:tcW w:w="960" w:type="dxa"/>
            <w:tcBorders>
              <w:top w:val="nil"/>
              <w:left w:val="nil"/>
              <w:bottom w:val="single" w:sz="4" w:space="0" w:color="auto"/>
              <w:right w:val="single" w:sz="4" w:space="0" w:color="auto"/>
            </w:tcBorders>
            <w:shd w:val="clear" w:color="000000" w:fill="EDEDED"/>
            <w:noWrap/>
            <w:vAlign w:val="center"/>
            <w:hideMark/>
          </w:tcPr>
          <w:p w14:paraId="2727BB08"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54.18</w:t>
            </w:r>
          </w:p>
        </w:tc>
        <w:tc>
          <w:tcPr>
            <w:tcW w:w="960" w:type="dxa"/>
            <w:tcBorders>
              <w:top w:val="nil"/>
              <w:left w:val="nil"/>
              <w:bottom w:val="single" w:sz="4" w:space="0" w:color="auto"/>
              <w:right w:val="single" w:sz="8" w:space="0" w:color="auto"/>
            </w:tcBorders>
            <w:shd w:val="clear" w:color="000000" w:fill="EDEDED"/>
            <w:noWrap/>
            <w:vAlign w:val="center"/>
            <w:hideMark/>
          </w:tcPr>
          <w:p w14:paraId="3A3ED7B5" w14:textId="4D256635"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3</w:t>
            </w:r>
            <w:r w:rsidR="00E57364">
              <w:rPr>
                <w:rFonts w:ascii="Calibri" w:eastAsia="Times New Roman" w:hAnsi="Calibri" w:cs="Calibri"/>
                <w:color w:val="000000"/>
                <w:lang w:eastAsia="en-GB"/>
              </w:rPr>
              <w:t>9</w:t>
            </w:r>
            <w:r w:rsidRPr="00655DD1">
              <w:rPr>
                <w:rFonts w:ascii="Calibri" w:eastAsia="Times New Roman" w:hAnsi="Calibri" w:cs="Calibri"/>
                <w:color w:val="000000"/>
                <w:lang w:eastAsia="en-GB"/>
              </w:rPr>
              <w:t>.58</w:t>
            </w:r>
          </w:p>
        </w:tc>
      </w:tr>
      <w:tr w:rsidR="00655DD1" w:rsidRPr="00655DD1" w14:paraId="7FBB5B87"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6F802A99"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TiO</w:t>
            </w:r>
            <w:r w:rsidRPr="00A56AD8">
              <w:rPr>
                <w:rFonts w:ascii="Calibri" w:eastAsia="Times New Roman" w:hAnsi="Calibri" w:cs="Calibri"/>
                <w:color w:val="000000"/>
                <w:vertAlign w:val="subscript"/>
                <w:lang w:eastAsia="en-GB"/>
              </w:rPr>
              <w:t>2</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22EF17CF"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1.63</w:t>
            </w:r>
          </w:p>
        </w:tc>
        <w:tc>
          <w:tcPr>
            <w:tcW w:w="960" w:type="dxa"/>
            <w:tcBorders>
              <w:top w:val="nil"/>
              <w:left w:val="nil"/>
              <w:bottom w:val="single" w:sz="4" w:space="0" w:color="auto"/>
              <w:right w:val="single" w:sz="4" w:space="0" w:color="auto"/>
            </w:tcBorders>
            <w:shd w:val="clear" w:color="000000" w:fill="EDEDED"/>
            <w:noWrap/>
            <w:vAlign w:val="center"/>
            <w:hideMark/>
          </w:tcPr>
          <w:p w14:paraId="49712D26"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0.22</w:t>
            </w:r>
          </w:p>
        </w:tc>
        <w:tc>
          <w:tcPr>
            <w:tcW w:w="960" w:type="dxa"/>
            <w:tcBorders>
              <w:top w:val="nil"/>
              <w:left w:val="nil"/>
              <w:bottom w:val="single" w:sz="4" w:space="0" w:color="auto"/>
              <w:right w:val="single" w:sz="8" w:space="0" w:color="auto"/>
            </w:tcBorders>
            <w:shd w:val="clear" w:color="000000" w:fill="EDEDED"/>
            <w:noWrap/>
            <w:vAlign w:val="center"/>
            <w:hideMark/>
          </w:tcPr>
          <w:p w14:paraId="15DDF98D"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0.34</w:t>
            </w:r>
          </w:p>
        </w:tc>
      </w:tr>
      <w:tr w:rsidR="00655DD1" w:rsidRPr="00655DD1" w14:paraId="019AD775"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51B34AEB"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Fe</w:t>
            </w:r>
            <w:r w:rsidRPr="00A56AD8">
              <w:rPr>
                <w:rFonts w:ascii="Calibri" w:eastAsia="Times New Roman" w:hAnsi="Calibri" w:cs="Calibri"/>
                <w:color w:val="000000"/>
                <w:vertAlign w:val="subscript"/>
                <w:lang w:eastAsia="en-GB"/>
              </w:rPr>
              <w:t>2</w:t>
            </w:r>
            <w:r w:rsidRPr="00655DD1">
              <w:rPr>
                <w:rFonts w:ascii="Calibri" w:eastAsia="Times New Roman" w:hAnsi="Calibri" w:cs="Calibri"/>
                <w:color w:val="000000"/>
                <w:lang w:eastAsia="en-GB"/>
              </w:rPr>
              <w:t>O</w:t>
            </w:r>
            <w:r w:rsidRPr="00A56AD8">
              <w:rPr>
                <w:rFonts w:ascii="Calibri" w:eastAsia="Times New Roman" w:hAnsi="Calibri" w:cs="Calibri"/>
                <w:color w:val="000000"/>
                <w:vertAlign w:val="subscript"/>
                <w:lang w:eastAsia="en-GB"/>
              </w:rPr>
              <w:t>3</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664E0365"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3.88</w:t>
            </w:r>
          </w:p>
        </w:tc>
        <w:tc>
          <w:tcPr>
            <w:tcW w:w="960" w:type="dxa"/>
            <w:tcBorders>
              <w:top w:val="nil"/>
              <w:left w:val="nil"/>
              <w:bottom w:val="single" w:sz="4" w:space="0" w:color="auto"/>
              <w:right w:val="single" w:sz="4" w:space="0" w:color="auto"/>
            </w:tcBorders>
            <w:shd w:val="clear" w:color="000000" w:fill="EDEDED"/>
            <w:noWrap/>
            <w:vAlign w:val="center"/>
            <w:hideMark/>
          </w:tcPr>
          <w:p w14:paraId="59E5145A" w14:textId="00DDC468" w:rsidR="00655DD1" w:rsidRPr="00655DD1" w:rsidRDefault="00E57364" w:rsidP="00655DD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r w:rsidR="00655DD1" w:rsidRPr="00655DD1">
              <w:rPr>
                <w:rFonts w:ascii="Calibri" w:eastAsia="Times New Roman" w:hAnsi="Calibri" w:cs="Calibri"/>
                <w:color w:val="000000"/>
                <w:lang w:eastAsia="en-GB"/>
              </w:rPr>
              <w:t>.76</w:t>
            </w:r>
          </w:p>
        </w:tc>
        <w:tc>
          <w:tcPr>
            <w:tcW w:w="960" w:type="dxa"/>
            <w:tcBorders>
              <w:top w:val="nil"/>
              <w:left w:val="nil"/>
              <w:bottom w:val="single" w:sz="4" w:space="0" w:color="auto"/>
              <w:right w:val="single" w:sz="8" w:space="0" w:color="auto"/>
            </w:tcBorders>
            <w:shd w:val="clear" w:color="000000" w:fill="EDEDED"/>
            <w:noWrap/>
            <w:vAlign w:val="center"/>
            <w:hideMark/>
          </w:tcPr>
          <w:p w14:paraId="444AB8A8"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25.87</w:t>
            </w:r>
          </w:p>
        </w:tc>
      </w:tr>
      <w:tr w:rsidR="00655DD1" w:rsidRPr="00655DD1" w14:paraId="4FAAFBBD" w14:textId="77777777" w:rsidTr="00655DD1">
        <w:trPr>
          <w:trHeight w:val="300"/>
          <w:jc w:val="center"/>
        </w:trPr>
        <w:tc>
          <w:tcPr>
            <w:tcW w:w="960" w:type="dxa"/>
            <w:tcBorders>
              <w:top w:val="nil"/>
              <w:left w:val="single" w:sz="8" w:space="0" w:color="auto"/>
              <w:bottom w:val="single" w:sz="4" w:space="0" w:color="auto"/>
              <w:right w:val="nil"/>
            </w:tcBorders>
            <w:shd w:val="clear" w:color="000000" w:fill="EDEDED"/>
            <w:noWrap/>
            <w:vAlign w:val="center"/>
            <w:hideMark/>
          </w:tcPr>
          <w:p w14:paraId="2C484F7D"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Zn</w:t>
            </w:r>
          </w:p>
        </w:tc>
        <w:tc>
          <w:tcPr>
            <w:tcW w:w="960" w:type="dxa"/>
            <w:tcBorders>
              <w:top w:val="nil"/>
              <w:left w:val="single" w:sz="8" w:space="0" w:color="auto"/>
              <w:bottom w:val="single" w:sz="4" w:space="0" w:color="auto"/>
              <w:right w:val="single" w:sz="4" w:space="0" w:color="auto"/>
            </w:tcBorders>
            <w:shd w:val="clear" w:color="000000" w:fill="EDEDED"/>
            <w:noWrap/>
            <w:vAlign w:val="center"/>
            <w:hideMark/>
          </w:tcPr>
          <w:p w14:paraId="6D1E39C9"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0.016</w:t>
            </w:r>
          </w:p>
        </w:tc>
        <w:tc>
          <w:tcPr>
            <w:tcW w:w="960" w:type="dxa"/>
            <w:tcBorders>
              <w:top w:val="nil"/>
              <w:left w:val="nil"/>
              <w:bottom w:val="single" w:sz="4" w:space="0" w:color="auto"/>
              <w:right w:val="single" w:sz="4" w:space="0" w:color="auto"/>
            </w:tcBorders>
            <w:shd w:val="clear" w:color="000000" w:fill="EDEDED"/>
            <w:noWrap/>
            <w:vAlign w:val="center"/>
            <w:hideMark/>
          </w:tcPr>
          <w:p w14:paraId="3B9BD562"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0.006</w:t>
            </w:r>
          </w:p>
        </w:tc>
        <w:tc>
          <w:tcPr>
            <w:tcW w:w="960" w:type="dxa"/>
            <w:tcBorders>
              <w:top w:val="nil"/>
              <w:left w:val="nil"/>
              <w:bottom w:val="single" w:sz="4" w:space="0" w:color="auto"/>
              <w:right w:val="single" w:sz="8" w:space="0" w:color="auto"/>
            </w:tcBorders>
            <w:shd w:val="clear" w:color="000000" w:fill="EDEDED"/>
            <w:noWrap/>
            <w:vAlign w:val="center"/>
            <w:hideMark/>
          </w:tcPr>
          <w:p w14:paraId="6455EE7C" w14:textId="77777777" w:rsidR="00655DD1" w:rsidRPr="00655DD1" w:rsidRDefault="00655DD1" w:rsidP="00655DD1">
            <w:pPr>
              <w:spacing w:after="0" w:line="240" w:lineRule="auto"/>
              <w:jc w:val="center"/>
              <w:rPr>
                <w:rFonts w:ascii="Calibri" w:eastAsia="Times New Roman" w:hAnsi="Calibri" w:cs="Calibri"/>
                <w:color w:val="000000"/>
                <w:lang w:eastAsia="en-GB"/>
              </w:rPr>
            </w:pPr>
            <w:r w:rsidRPr="00655DD1">
              <w:rPr>
                <w:rFonts w:ascii="Calibri" w:eastAsia="Times New Roman" w:hAnsi="Calibri" w:cs="Calibri"/>
                <w:color w:val="000000"/>
                <w:lang w:eastAsia="en-GB"/>
              </w:rPr>
              <w:t>0.025</w:t>
            </w:r>
          </w:p>
        </w:tc>
      </w:tr>
    </w:tbl>
    <w:p w14:paraId="40597E9F" w14:textId="77777777" w:rsidR="00655DD1" w:rsidRDefault="00655DD1" w:rsidP="00806E7D">
      <w:pPr>
        <w:spacing w:line="360" w:lineRule="auto"/>
        <w:jc w:val="both"/>
      </w:pPr>
    </w:p>
    <w:p w14:paraId="030DFE2D" w14:textId="77777777" w:rsidR="00D8745D" w:rsidRDefault="00655DD1" w:rsidP="00806E7D">
      <w:pPr>
        <w:spacing w:line="360" w:lineRule="auto"/>
        <w:jc w:val="both"/>
      </w:pPr>
      <w:r>
        <w:t>The composition of the ash in the coke blend is of major importance, the coking coals have high levels</w:t>
      </w:r>
      <w:r w:rsidR="00806E7D">
        <w:t xml:space="preserve"> </w:t>
      </w:r>
      <w:r>
        <w:t xml:space="preserve">of Silica and Alumina, which is typical. The </w:t>
      </w:r>
      <w:r w:rsidR="00156992">
        <w:t>Biochar’s</w:t>
      </w:r>
      <w:r>
        <w:t xml:space="preserve"> have high levels of calcium oxide, and elevated levels of potassium</w:t>
      </w:r>
      <w:r w:rsidR="00865BFD">
        <w:t xml:space="preserve"> </w:t>
      </w:r>
      <w:r>
        <w:t xml:space="preserve">oxide, these oxides </w:t>
      </w:r>
      <w:r w:rsidR="000D6D63">
        <w:t xml:space="preserve">would </w:t>
      </w:r>
      <w:r>
        <w:t>be of</w:t>
      </w:r>
      <w:r w:rsidR="000D6D63">
        <w:t xml:space="preserve"> a</w:t>
      </w:r>
      <w:r>
        <w:t xml:space="preserve"> concern if carried over </w:t>
      </w:r>
      <w:r w:rsidR="00156992">
        <w:t>in</w:t>
      </w:r>
      <w:r>
        <w:t xml:space="preserve">to the coke, as increased levels of these oxides in the BF would be problematic </w:t>
      </w:r>
      <w:r>
        <w:fldChar w:fldCharType="begin"/>
      </w:r>
      <w:r>
        <w:instrText xml:space="preserve"> ADDIN ZOTERO_ITEM CSL_CITATION {"citationID":"HIsegZRl","properties":{"formattedCitation":"(MacPhee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T."}],"accessed":{"date-parts":[["2021",2,8]]},"issued":{"date-parts":[["2009",1,1]]}}}],"schema":"https://github.com/citation-style-language/schema/raw/master/csl-citation.json"} </w:instrText>
      </w:r>
      <w:r>
        <w:fldChar w:fldCharType="separate"/>
      </w:r>
      <w:r w:rsidRPr="00655DD1">
        <w:rPr>
          <w:rFonts w:ascii="Calibri" w:hAnsi="Calibri" w:cs="Calibri"/>
        </w:rPr>
        <w:t>(MacPhee et al. 2009)</w:t>
      </w:r>
      <w:r>
        <w:fldChar w:fldCharType="end"/>
      </w:r>
      <w:r>
        <w:t xml:space="preserve">. </w:t>
      </w:r>
      <w:r w:rsidR="00865BFD">
        <w:t xml:space="preserve"> The zinc oxide levels are low in the biochar, so would be of little concern.</w:t>
      </w:r>
      <w:r w:rsidR="00E57364">
        <w:t xml:space="preserve"> </w:t>
      </w:r>
    </w:p>
    <w:p w14:paraId="608ED7E5" w14:textId="6C61E7FE" w:rsidR="00FA6183" w:rsidRDefault="00FA6183" w:rsidP="00806E7D">
      <w:pPr>
        <w:spacing w:line="360" w:lineRule="auto"/>
        <w:jc w:val="both"/>
      </w:pPr>
      <w:r>
        <w:fldChar w:fldCharType="begin"/>
      </w:r>
      <w:r>
        <w:instrText xml:space="preserve"> ADDIN ZOTERO_ITEM CSL_CITATION {"citationID":"POmo0S27","properties":{"formattedCitation":"(Montiano et al. 2014a)","plainCitation":"(Montiano et al. 2014a)","noteIndex":0},"citationItems":[{"id":1677,"uris":["http://zotero.org/users/local/AB2owHL2/items/FFIS7JYQ"],"itemData":{"id":1677,"type":"article-journal","abstract":"In this work partial briquetting is employed as a means of biomass densification to allow for biomass inclusion in coking coal blends. The effect of increasing the bulk density was evaluated by comparison with direct addition. Two briquettes of different composition were studied. The influence of the briquettes on the Gieseler plasticity of the coals was determined. It was found that the effect of the binder was not enough to compensate for the decrease in plasticity produced by the inert components of the briquettes. Carbonizations were carried out in a movable wall oven of 17kg capacity and the quality of the cokes produced was tested by evaluating their mechanical strength, coke reactivity to CO2 and post-reaction strength. In addition, the porosity and ash chemistry of the cokes was determined and an attempt was made to establish a relation between these results and the quality of the cokes. Coke quality results suggest that 10–15wt.% of briquettes containing biomass can be included in coking blends.","container-title":"Fuel","DOI":"10.1016/j.fuel.2014.08.012","ISSN":"0016-2361","journalAbbreviation":"Fuel","language":"en","page":"313-320","source":"ScienceDirect","title":"Partial briquetting vs direct addition of biomass in coking blends","URL":"https://www.sciencedirect.com/science/article/pii/S0016236114007819","volume":"137","author":[{"family":"Montiano","given":"M. G."},{"family":"Díaz-Faes","given":"E."},{"family":"Barriocanal","given":"C."}],"accessed":{"date-parts":[["2022",6,27]]},"issued":{"date-parts":[["2014",12,1]]}}}],"schema":"https://github.com/citation-style-language/schema/raw/master/csl-citation.json"} </w:instrText>
      </w:r>
      <w:r>
        <w:fldChar w:fldCharType="separate"/>
      </w:r>
      <w:r w:rsidRPr="009F29ED">
        <w:rPr>
          <w:rFonts w:ascii="Calibri" w:hAnsi="Calibri" w:cs="Calibri"/>
        </w:rPr>
        <w:t>(Montiano et al. 2014a)</w:t>
      </w:r>
      <w:r>
        <w:fldChar w:fldCharType="end"/>
      </w:r>
      <w:r>
        <w:t xml:space="preserve"> describes the alkalinity index (AI) as a ratio that can be used to predict CSR. It was found that the AI is linearly correlated with CSR with a correlation coefficient of r = 0.893. </w:t>
      </w:r>
    </w:p>
    <w:p w14:paraId="62FD6234" w14:textId="77777777" w:rsidR="00FA6183" w:rsidRPr="009F29ED" w:rsidRDefault="00FA6183" w:rsidP="00806E7D">
      <w:pPr>
        <w:spacing w:after="240" w:line="360" w:lineRule="auto"/>
        <w:jc w:val="both"/>
        <w:rPr>
          <w:rFonts w:eastAsiaTheme="minorEastAsia"/>
        </w:rPr>
      </w:pPr>
      <m:oMathPara>
        <m:oMath>
          <m:r>
            <w:rPr>
              <w:rFonts w:ascii="Cambria Math" w:hAnsi="Cambria Math"/>
            </w:rPr>
            <m:t>AI=Ash. (</m:t>
          </m:r>
          <m:f>
            <m:fPr>
              <m:ctrlPr>
                <w:rPr>
                  <w:rFonts w:ascii="Cambria Math" w:hAnsi="Cambria Math"/>
                  <w:i/>
                </w:rPr>
              </m:ctrlPr>
            </m:fPr>
            <m:num>
              <m:sSub>
                <m:sSubPr>
                  <m:ctrlPr>
                    <w:rPr>
                      <w:rFonts w:ascii="Cambria Math" w:hAnsi="Cambria Math"/>
                      <w:i/>
                    </w:rPr>
                  </m:ctrlPr>
                </m:sSubPr>
                <m:e>
                  <m:r>
                    <w:rPr>
                      <w:rFonts w:ascii="Cambria Math" w:hAnsi="Cambria Math"/>
                    </w:rPr>
                    <m:t>Fe</m:t>
                  </m:r>
                </m:e>
                <m:sub>
                  <m:r>
                    <w:rPr>
                      <w:rFonts w:ascii="Cambria Math" w:hAnsi="Cambria Math"/>
                    </w:rPr>
                    <m:t>2</m:t>
                  </m:r>
                </m:sub>
              </m:sSub>
              <m:sSup>
                <m:sSupPr>
                  <m:ctrlPr>
                    <w:rPr>
                      <w:rFonts w:ascii="Cambria Math" w:hAnsi="Cambria Math"/>
                      <w:i/>
                    </w:rPr>
                  </m:ctrlPr>
                </m:sSupPr>
                <m:e>
                  <m:r>
                    <w:rPr>
                      <w:rFonts w:ascii="Cambria Math" w:hAnsi="Cambria Math"/>
                    </w:rPr>
                    <m:t>O</m:t>
                  </m:r>
                </m:e>
                <m:sup>
                  <m:r>
                    <w:rPr>
                      <w:rFonts w:ascii="Cambria Math" w:hAnsi="Cambria Math"/>
                    </w:rPr>
                    <m:t>3</m:t>
                  </m:r>
                </m:sup>
              </m:sSup>
              <m:r>
                <w:rPr>
                  <w:rFonts w:ascii="Cambria Math" w:hAnsi="Cambria Math"/>
                </w:rPr>
                <m:t>+CaO+</m:t>
              </m:r>
              <m:sSub>
                <m:sSubPr>
                  <m:ctrlPr>
                    <w:rPr>
                      <w:rFonts w:ascii="Cambria Math" w:hAnsi="Cambria Math"/>
                      <w:i/>
                    </w:rPr>
                  </m:ctrlPr>
                </m:sSubPr>
                <m:e>
                  <m:r>
                    <w:rPr>
                      <w:rFonts w:ascii="Cambria Math" w:hAnsi="Cambria Math"/>
                    </w:rPr>
                    <m:t>Na</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K</m:t>
                  </m:r>
                </m:e>
                <m:sub>
                  <m:r>
                    <w:rPr>
                      <w:rFonts w:ascii="Cambria Math" w:hAnsi="Cambria Math"/>
                    </w:rPr>
                    <m:t>2</m:t>
                  </m:r>
                </m:sub>
              </m:sSub>
              <m:r>
                <w:rPr>
                  <w:rFonts w:ascii="Cambria Math" w:hAnsi="Cambria Math"/>
                </w:rPr>
                <m:t>O+MgO</m:t>
              </m:r>
            </m:num>
            <m:den>
              <m:sSub>
                <m:sSubPr>
                  <m:ctrlPr>
                    <w:rPr>
                      <w:rFonts w:ascii="Cambria Math" w:hAnsi="Cambria Math"/>
                      <w:i/>
                    </w:rPr>
                  </m:ctrlPr>
                </m:sSubPr>
                <m:e>
                  <m:r>
                    <w:rPr>
                      <w:rFonts w:ascii="Cambria Math" w:hAnsi="Cambria Math"/>
                    </w:rPr>
                    <m:t>Al</m:t>
                  </m:r>
                </m:e>
                <m:sub>
                  <m:r>
                    <w:rPr>
                      <w:rFonts w:ascii="Cambria Math" w:hAnsi="Cambria Math"/>
                    </w:rPr>
                    <m:t>2</m:t>
                  </m:r>
                </m:sub>
              </m:sSub>
              <m:r>
                <w:rPr>
                  <w:rFonts w:ascii="Cambria Math" w:hAnsi="Cambria Math"/>
                </w:rPr>
                <m:t>O+Si</m:t>
              </m:r>
              <m:sSub>
                <m:sSubPr>
                  <m:ctrlPr>
                    <w:rPr>
                      <w:rFonts w:ascii="Cambria Math" w:hAnsi="Cambria Math"/>
                      <w:i/>
                    </w:rPr>
                  </m:ctrlPr>
                </m:sSubPr>
                <m:e>
                  <m:r>
                    <w:rPr>
                      <w:rFonts w:ascii="Cambria Math" w:hAnsi="Cambria Math"/>
                    </w:rPr>
                    <m:t>O</m:t>
                  </m:r>
                </m:e>
                <m:sub>
                  <m:r>
                    <w:rPr>
                      <w:rFonts w:ascii="Cambria Math" w:hAnsi="Cambria Math"/>
                    </w:rPr>
                    <m:t>2</m:t>
                  </m:r>
                </m:sub>
              </m:sSub>
            </m:den>
          </m:f>
          <m:r>
            <w:rPr>
              <w:rFonts w:ascii="Cambria Math" w:hAnsi="Cambria Math"/>
            </w:rPr>
            <m:t>)</m:t>
          </m:r>
        </m:oMath>
      </m:oMathPara>
    </w:p>
    <w:p w14:paraId="35B40D53" w14:textId="3A6C95BF" w:rsidR="00655DD1" w:rsidRDefault="00D8745D" w:rsidP="00EE7573">
      <w:pPr>
        <w:spacing w:line="360" w:lineRule="auto"/>
        <w:jc w:val="both"/>
      </w:pPr>
      <w:r>
        <w:t>The AI of coal blends with biochar addition increase in line with the biochar concentration. The CSR would be expected to decrease proportionally.</w:t>
      </w:r>
    </w:p>
    <w:p w14:paraId="4AF3F3DD" w14:textId="77777777" w:rsidR="00CA5C83" w:rsidRDefault="00CA5C83" w:rsidP="00EE7573">
      <w:pPr>
        <w:spacing w:line="360" w:lineRule="auto"/>
        <w:jc w:val="both"/>
      </w:pPr>
    </w:p>
    <w:p w14:paraId="0F1819B4" w14:textId="77777777" w:rsidR="00CA5C83" w:rsidRDefault="00CA5C83" w:rsidP="00EE7573">
      <w:pPr>
        <w:spacing w:line="360" w:lineRule="auto"/>
        <w:jc w:val="both"/>
      </w:pPr>
    </w:p>
    <w:p w14:paraId="418439DC" w14:textId="37D50BB9" w:rsidR="00CA5C83" w:rsidRDefault="00CA5C83" w:rsidP="00EE7573">
      <w:pPr>
        <w:spacing w:line="360" w:lineRule="auto"/>
        <w:jc w:val="both"/>
      </w:pPr>
    </w:p>
    <w:p w14:paraId="032F932D" w14:textId="532DC617" w:rsidR="00156992" w:rsidRDefault="00156992" w:rsidP="00EE7573">
      <w:pPr>
        <w:spacing w:line="360" w:lineRule="auto"/>
        <w:jc w:val="both"/>
      </w:pPr>
    </w:p>
    <w:p w14:paraId="51A84422" w14:textId="77777777" w:rsidR="000C2B27" w:rsidRDefault="000C2B27" w:rsidP="00EE7573">
      <w:pPr>
        <w:spacing w:line="360" w:lineRule="auto"/>
        <w:jc w:val="both"/>
      </w:pPr>
    </w:p>
    <w:p w14:paraId="1E1548A9" w14:textId="0C3DE226" w:rsidR="00156992" w:rsidRDefault="00156992" w:rsidP="00EE7573">
      <w:pPr>
        <w:spacing w:line="360" w:lineRule="auto"/>
        <w:jc w:val="both"/>
      </w:pPr>
    </w:p>
    <w:p w14:paraId="29243936" w14:textId="77777777" w:rsidR="00156992" w:rsidRDefault="00156992" w:rsidP="00EE7573">
      <w:pPr>
        <w:spacing w:line="360" w:lineRule="auto"/>
        <w:jc w:val="both"/>
      </w:pPr>
    </w:p>
    <w:p w14:paraId="4F30C043" w14:textId="0A51F116" w:rsidR="00DB3A60" w:rsidRDefault="00257DAF" w:rsidP="0029241E">
      <w:pPr>
        <w:pStyle w:val="Heading3"/>
      </w:pPr>
      <w:bookmarkStart w:id="81" w:name="_Toc127911467"/>
      <w:r>
        <w:lastRenderedPageBreak/>
        <w:t xml:space="preserve">Coke </w:t>
      </w:r>
      <w:r w:rsidR="00865BFD">
        <w:t>Mechanical strength</w:t>
      </w:r>
      <w:bookmarkEnd w:id="81"/>
    </w:p>
    <w:p w14:paraId="049A8B0C" w14:textId="77777777" w:rsidR="00156992" w:rsidRPr="00156992" w:rsidRDefault="00156992" w:rsidP="00156992"/>
    <w:p w14:paraId="31B7F66D" w14:textId="1747D983" w:rsidR="00865BFD" w:rsidRDefault="008D290C" w:rsidP="008D290C">
      <w:pPr>
        <w:spacing w:line="360" w:lineRule="auto"/>
        <w:jc w:val="center"/>
      </w:pPr>
      <w:r>
        <w:rPr>
          <w:noProof/>
        </w:rPr>
        <w:drawing>
          <wp:inline distT="0" distB="0" distL="0" distR="0" wp14:anchorId="3A702C04" wp14:editId="1BCA67BB">
            <wp:extent cx="5184251" cy="2743200"/>
            <wp:effectExtent l="0" t="0" r="16510" b="0"/>
            <wp:docPr id="52" name="Chart 52">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CF2D7D1" w14:textId="5F4A1A7F" w:rsidR="00865BFD" w:rsidRDefault="008D290C" w:rsidP="008D290C">
      <w:pPr>
        <w:jc w:val="center"/>
      </w:pPr>
      <w:r>
        <w:rPr>
          <w:noProof/>
        </w:rPr>
        <w:drawing>
          <wp:inline distT="0" distB="0" distL="0" distR="0" wp14:anchorId="38E75EC4" wp14:editId="5742D59D">
            <wp:extent cx="5160396" cy="3238500"/>
            <wp:effectExtent l="0" t="0" r="2540" b="0"/>
            <wp:docPr id="53" name="Chart 53">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266A4CA8" w14:textId="2E552FDE" w:rsidR="00865BFD" w:rsidRDefault="00257DAF" w:rsidP="008D290C">
      <w:pPr>
        <w:pStyle w:val="Caption"/>
        <w:jc w:val="center"/>
      </w:pPr>
      <w:bookmarkStart w:id="82" w:name="_Toc127110929"/>
      <w:r>
        <w:t xml:space="preserve">Figure </w:t>
      </w:r>
      <w:fldSimple w:instr=" SEQ Figure \* ARABIC ">
        <w:r w:rsidR="00A0212F">
          <w:rPr>
            <w:noProof/>
          </w:rPr>
          <w:t>35</w:t>
        </w:r>
      </w:fldSimple>
      <w:r>
        <w:t xml:space="preserve"> Results from the coke cold strength tests</w:t>
      </w:r>
      <w:bookmarkEnd w:id="82"/>
    </w:p>
    <w:p w14:paraId="2D7F92E3" w14:textId="470C31A6" w:rsidR="001579E7" w:rsidRPr="00D77D04" w:rsidRDefault="000675D8" w:rsidP="004225C8">
      <w:pPr>
        <w:spacing w:line="360" w:lineRule="auto"/>
        <w:jc w:val="both"/>
      </w:pPr>
      <w:r>
        <w:t xml:space="preserve">The </w:t>
      </w:r>
      <w:r w:rsidR="007063BE">
        <w:t>M</w:t>
      </w:r>
      <w:r w:rsidR="00E057D2" w:rsidRPr="007063BE">
        <w:rPr>
          <w:vertAlign w:val="subscript"/>
        </w:rPr>
        <w:t>40</w:t>
      </w:r>
      <w:r w:rsidR="00E057D2">
        <w:rPr>
          <w:vertAlign w:val="subscript"/>
        </w:rPr>
        <w:t xml:space="preserve"> </w:t>
      </w:r>
      <w:r w:rsidR="00833731">
        <w:t xml:space="preserve"> is a measure of the cokes resistance to size degradation</w:t>
      </w:r>
      <w:r w:rsidR="00E057D2">
        <w:t xml:space="preserve">, the </w:t>
      </w:r>
      <w:r w:rsidR="004225C8">
        <w:t xml:space="preserve">100% coking coal Riverside </w:t>
      </w:r>
      <w:r w:rsidR="00457F6F">
        <w:t>had a M</w:t>
      </w:r>
      <w:r w:rsidR="00457F6F" w:rsidRPr="007063BE">
        <w:rPr>
          <w:vertAlign w:val="subscript"/>
        </w:rPr>
        <w:t>40</w:t>
      </w:r>
      <w:r w:rsidR="00457F6F">
        <w:rPr>
          <w:vertAlign w:val="subscript"/>
        </w:rPr>
        <w:t xml:space="preserve"> </w:t>
      </w:r>
      <w:r w:rsidR="00457F6F">
        <w:t>result of 77.75</w:t>
      </w:r>
      <w:r w:rsidR="00885A6D">
        <w:t>%</w:t>
      </w:r>
      <w:r w:rsidR="00457F6F">
        <w:t xml:space="preserve"> which is typical of a high-quality coking coal. After 3% addition of biochar 1 the result drops slightly to 76.2</w:t>
      </w:r>
      <w:r w:rsidR="00885A6D">
        <w:t>%</w:t>
      </w:r>
      <w:r w:rsidR="00457F6F">
        <w:t xml:space="preserve"> and at 5% it rises marginally to 76.76%.  There is only a </w:t>
      </w:r>
      <w:r w:rsidR="0026096C">
        <w:t>small</w:t>
      </w:r>
      <w:r w:rsidR="00457F6F">
        <w:t xml:space="preserve"> drop off in the </w:t>
      </w:r>
      <w:r w:rsidR="008F5E39">
        <w:t>M</w:t>
      </w:r>
      <w:r w:rsidR="008F5E39" w:rsidRPr="007063BE">
        <w:rPr>
          <w:vertAlign w:val="subscript"/>
        </w:rPr>
        <w:t>40</w:t>
      </w:r>
      <w:r w:rsidR="008F5E39">
        <w:rPr>
          <w:vertAlign w:val="subscript"/>
        </w:rPr>
        <w:t xml:space="preserve"> </w:t>
      </w:r>
      <w:r w:rsidR="00457F6F">
        <w:t xml:space="preserve">up to 5% Biochar 1 addition. At 7.5% biochar 1 addition there is a significant drop off with a 72.6% result. </w:t>
      </w:r>
      <w:r w:rsidR="001579E7">
        <w:t>At 3% Biochar 2 addition the M</w:t>
      </w:r>
      <w:r w:rsidR="001579E7" w:rsidRPr="007063BE">
        <w:rPr>
          <w:vertAlign w:val="subscript"/>
        </w:rPr>
        <w:t>40</w:t>
      </w:r>
      <w:r w:rsidR="001579E7">
        <w:rPr>
          <w:vertAlign w:val="subscript"/>
        </w:rPr>
        <w:t xml:space="preserve"> </w:t>
      </w:r>
      <w:r w:rsidR="001579E7">
        <w:t xml:space="preserve">raises a little to 78.18% but at 5% biochar 2 addition the </w:t>
      </w:r>
      <w:r w:rsidR="009F04E4">
        <w:t>M</w:t>
      </w:r>
      <w:r w:rsidR="009F04E4" w:rsidRPr="007063BE">
        <w:rPr>
          <w:vertAlign w:val="subscript"/>
        </w:rPr>
        <w:t>40</w:t>
      </w:r>
      <w:r w:rsidR="001579E7">
        <w:t xml:space="preserve"> drops to 73.1% and at 7.5% biochar 2 addition the </w:t>
      </w:r>
      <w:r w:rsidR="009F04E4">
        <w:t>M</w:t>
      </w:r>
      <w:r w:rsidR="009F04E4" w:rsidRPr="007063BE">
        <w:rPr>
          <w:vertAlign w:val="subscript"/>
        </w:rPr>
        <w:t>40</w:t>
      </w:r>
      <w:r w:rsidR="001579E7">
        <w:t xml:space="preserve"> falls </w:t>
      </w:r>
      <w:r w:rsidR="0065541E">
        <w:t xml:space="preserve">significantly </w:t>
      </w:r>
      <w:r w:rsidR="001579E7">
        <w:t>to 61.8%.</w:t>
      </w:r>
      <w:r w:rsidR="00D77D04">
        <w:t xml:space="preserve"> </w:t>
      </w:r>
    </w:p>
    <w:p w14:paraId="15FFC73B" w14:textId="24A7B9B4" w:rsidR="00865BFD" w:rsidRDefault="00457F6F" w:rsidP="004225C8">
      <w:pPr>
        <w:spacing w:line="360" w:lineRule="auto"/>
        <w:jc w:val="both"/>
      </w:pPr>
      <w:r>
        <w:lastRenderedPageBreak/>
        <w:t>The M</w:t>
      </w:r>
      <w:r w:rsidRPr="00457F6F">
        <w:rPr>
          <w:vertAlign w:val="subscript"/>
        </w:rPr>
        <w:t>10</w:t>
      </w:r>
      <w:r>
        <w:t xml:space="preserve"> is a measure of the coke fines created during transportation and handling of the coke on its way to the BF. </w:t>
      </w:r>
      <w:r w:rsidR="001579E7">
        <w:t xml:space="preserve">Abrasion resistant coke is desired. The 100% Riverside coke had an </w:t>
      </w:r>
      <w:r w:rsidR="008F5E39">
        <w:t>M</w:t>
      </w:r>
      <w:r w:rsidR="008F5E39" w:rsidRPr="00457F6F">
        <w:rPr>
          <w:vertAlign w:val="subscript"/>
        </w:rPr>
        <w:t>10</w:t>
      </w:r>
      <w:r w:rsidR="001579E7">
        <w:t>of 7</w:t>
      </w:r>
      <w:r w:rsidR="00B64291">
        <w:t>%</w:t>
      </w:r>
      <w:r w:rsidR="001579E7">
        <w:t>.</w:t>
      </w:r>
      <w:r w:rsidR="00E35D72">
        <w:t xml:space="preserve"> The 3% and 5% addition of biochar 1 has little effect on the </w:t>
      </w:r>
      <w:r w:rsidR="008F5E39">
        <w:t>M</w:t>
      </w:r>
      <w:r w:rsidR="008F5E39" w:rsidRPr="00457F6F">
        <w:rPr>
          <w:vertAlign w:val="subscript"/>
        </w:rPr>
        <w:t>10</w:t>
      </w:r>
      <w:r w:rsidR="008F5E39">
        <w:rPr>
          <w:vertAlign w:val="subscript"/>
        </w:rPr>
        <w:t xml:space="preserve"> </w:t>
      </w:r>
      <w:r w:rsidR="00E35D72">
        <w:t>until the 7</w:t>
      </w:r>
      <w:r w:rsidR="00BE7515">
        <w:t>.5</w:t>
      </w:r>
      <w:r w:rsidR="00E35D72">
        <w:t xml:space="preserve">% biochar 1 addition when the </w:t>
      </w:r>
      <w:r w:rsidR="008F5E39">
        <w:t>M</w:t>
      </w:r>
      <w:r w:rsidR="008F5E39" w:rsidRPr="00457F6F">
        <w:rPr>
          <w:vertAlign w:val="subscript"/>
        </w:rPr>
        <w:t>10</w:t>
      </w:r>
      <w:r w:rsidR="00E35D72">
        <w:t xml:space="preserve"> rises to 8.34. The AI for Biochar 2 at 3% increases a little to 7.28% but then climbs to 8.64</w:t>
      </w:r>
      <w:r w:rsidR="00B64291">
        <w:t>%</w:t>
      </w:r>
      <w:r w:rsidR="00E35D72">
        <w:t xml:space="preserve"> at 5% before sharply </w:t>
      </w:r>
      <w:r w:rsidR="00D77D04">
        <w:t>escalating to 19.99</w:t>
      </w:r>
      <w:r w:rsidR="00B64291">
        <w:t>%</w:t>
      </w:r>
      <w:r w:rsidR="00D77D04">
        <w:t xml:space="preserve"> at 7</w:t>
      </w:r>
      <w:r w:rsidR="00BE7515">
        <w:t>.5</w:t>
      </w:r>
      <w:r w:rsidR="00D77D04">
        <w:t>% biochar 2 substitution.</w:t>
      </w:r>
    </w:p>
    <w:p w14:paraId="37A8C806" w14:textId="1EDE2B3F" w:rsidR="00D77D04" w:rsidRDefault="00D77D04" w:rsidP="004225C8">
      <w:pPr>
        <w:spacing w:line="360" w:lineRule="auto"/>
        <w:jc w:val="both"/>
      </w:pPr>
      <w:r>
        <w:t>It can be seen from the cold strength tests that there is a correlation between the M</w:t>
      </w:r>
      <w:r w:rsidRPr="00D77D04">
        <w:rPr>
          <w:vertAlign w:val="subscript"/>
        </w:rPr>
        <w:t xml:space="preserve">40 </w:t>
      </w:r>
      <w:r>
        <w:t>and M</w:t>
      </w:r>
      <w:r w:rsidRPr="00D77D04">
        <w:rPr>
          <w:vertAlign w:val="subscript"/>
        </w:rPr>
        <w:t>10</w:t>
      </w:r>
      <w:r>
        <w:t xml:space="preserve"> results, it seems they are inversely proportional as the M</w:t>
      </w:r>
      <w:r w:rsidRPr="00D77D04">
        <w:rPr>
          <w:vertAlign w:val="subscript"/>
        </w:rPr>
        <w:t>40</w:t>
      </w:r>
      <w:r>
        <w:t xml:space="preserve"> decreases then the M</w:t>
      </w:r>
      <w:r w:rsidRPr="00D77D04">
        <w:rPr>
          <w:vertAlign w:val="subscript"/>
        </w:rPr>
        <w:t>10</w:t>
      </w:r>
      <w:r>
        <w:t xml:space="preserve"> increases. This is intuitive as you would expect there to be more coke fines as the coke </w:t>
      </w:r>
      <w:r w:rsidR="00F13AF1">
        <w:t>gets weaker</w:t>
      </w:r>
      <w:r>
        <w:t xml:space="preserve">. </w:t>
      </w:r>
    </w:p>
    <w:p w14:paraId="0E7C4772" w14:textId="41EAFF26" w:rsidR="00D77D04" w:rsidRDefault="00D77D04" w:rsidP="004225C8">
      <w:pPr>
        <w:spacing w:line="360" w:lineRule="auto"/>
        <w:jc w:val="both"/>
      </w:pPr>
      <w:r>
        <w:t xml:space="preserve">Both </w:t>
      </w:r>
      <w:r w:rsidR="00A529BB">
        <w:t>biochar’s</w:t>
      </w:r>
      <w:r>
        <w:t xml:space="preserve"> </w:t>
      </w:r>
      <w:r w:rsidR="00156992">
        <w:t>performed</w:t>
      </w:r>
      <w:r w:rsidR="00A529BB">
        <w:t xml:space="preserve"> well at 3% substitution for cold strength quality, and biochar 1 only saw a slight</w:t>
      </w:r>
      <w:r w:rsidR="001C1291">
        <w:t xml:space="preserve"> </w:t>
      </w:r>
      <w:r w:rsidR="0039786C">
        <w:t>M</w:t>
      </w:r>
      <w:r w:rsidR="0039786C" w:rsidRPr="0039786C">
        <w:rPr>
          <w:vertAlign w:val="subscript"/>
        </w:rPr>
        <w:t>40</w:t>
      </w:r>
      <w:r w:rsidR="00A529BB">
        <w:t xml:space="preserve"> drop at 5% substitution. Biochar 2 saw a 5% drop in cold strength quality at 5% substitution and a considerable drop off at 7</w:t>
      </w:r>
      <w:r w:rsidR="00BE7515">
        <w:t>.5</w:t>
      </w:r>
      <w:r w:rsidR="00A529BB">
        <w:t xml:space="preserve">% substitution. </w:t>
      </w:r>
    </w:p>
    <w:p w14:paraId="298EF8F1" w14:textId="5516DD2C" w:rsidR="00BC0104" w:rsidRDefault="008865ED" w:rsidP="004225C8">
      <w:pPr>
        <w:spacing w:line="360" w:lineRule="auto"/>
        <w:jc w:val="both"/>
      </w:pPr>
      <w:r>
        <w:t xml:space="preserve">It would be predicted that the </w:t>
      </w:r>
      <w:r w:rsidR="009B53C7">
        <w:t>cold strength test</w:t>
      </w:r>
      <w:r w:rsidR="004044CD">
        <w:t xml:space="preserve"> results would be </w:t>
      </w:r>
      <w:r w:rsidR="00BB0DD5">
        <w:t>linear</w:t>
      </w:r>
      <w:r w:rsidR="004044CD">
        <w:t xml:space="preserve">, the 5% biochar 1 </w:t>
      </w:r>
      <w:r w:rsidR="00017125">
        <w:t>result and the 3% biochar 2 M</w:t>
      </w:r>
      <w:r w:rsidR="00017125" w:rsidRPr="00017125">
        <w:rPr>
          <w:vertAlign w:val="subscript"/>
        </w:rPr>
        <w:t>40</w:t>
      </w:r>
      <w:r w:rsidR="00017125">
        <w:t xml:space="preserve"> results did not conform to these </w:t>
      </w:r>
      <w:r w:rsidR="00D101AB">
        <w:t xml:space="preserve">estimations. </w:t>
      </w:r>
      <w:r w:rsidR="00BA62AD">
        <w:t>This is likely due to variation</w:t>
      </w:r>
      <w:r w:rsidR="00B12305">
        <w:t xml:space="preserve"> such as</w:t>
      </w:r>
      <w:r w:rsidR="00BA62AD">
        <w:t xml:space="preserve"> preparation </w:t>
      </w:r>
      <w:r w:rsidR="00B12305">
        <w:t>of the coal blend and testing of the coke. There could have been operat</w:t>
      </w:r>
      <w:r w:rsidR="008F60E9">
        <w:t>or error</w:t>
      </w:r>
      <w:r w:rsidR="005D5CEE">
        <w:t>. The</w:t>
      </w:r>
      <w:r w:rsidR="00372A1D">
        <w:t xml:space="preserve"> repeatability of the test is 3%</w:t>
      </w:r>
      <w:r w:rsidR="00885A6D">
        <w:t>.</w:t>
      </w:r>
      <w:r w:rsidR="008D09D2">
        <w:t xml:space="preserve"> </w:t>
      </w:r>
    </w:p>
    <w:p w14:paraId="60BC6847" w14:textId="554B00E5" w:rsidR="00490296" w:rsidRDefault="009C3CBF" w:rsidP="004225C8">
      <w:pPr>
        <w:spacing w:line="360" w:lineRule="auto"/>
        <w:jc w:val="both"/>
      </w:pPr>
      <w:r>
        <w:t>When considering cold strength</w:t>
      </w:r>
      <w:r w:rsidR="00E05DE7">
        <w:t>,</w:t>
      </w:r>
      <w:r>
        <w:t xml:space="preserve"> </w:t>
      </w:r>
      <w:r w:rsidR="00E05DE7">
        <w:t>b</w:t>
      </w:r>
      <w:r>
        <w:t xml:space="preserve">oth </w:t>
      </w:r>
      <w:r w:rsidR="00EF114F">
        <w:t>biochar’s</w:t>
      </w:r>
      <w:r>
        <w:t xml:space="preserve"> could be used at 3% </w:t>
      </w:r>
      <w:r w:rsidR="00EF114F">
        <w:t xml:space="preserve">substitution into the coal blend with </w:t>
      </w:r>
      <w:r w:rsidR="00B74DFD">
        <w:t>minimal effect on co</w:t>
      </w:r>
      <w:r w:rsidR="00324BB6">
        <w:t>ld coke strength</w:t>
      </w:r>
      <w:r w:rsidR="00B74DFD">
        <w:t xml:space="preserve"> quality</w:t>
      </w:r>
      <w:r w:rsidR="00AD31FD">
        <w:t>, biochar 1 could be used up to 5</w:t>
      </w:r>
      <w:r w:rsidR="00E05DE7">
        <w:t>% with</w:t>
      </w:r>
      <w:r w:rsidR="00AD31FD">
        <w:t xml:space="preserve"> little impact on cold strength quality. </w:t>
      </w:r>
    </w:p>
    <w:p w14:paraId="20E9C2DD" w14:textId="42E54ED5" w:rsidR="00156992" w:rsidRDefault="00156992" w:rsidP="004225C8">
      <w:pPr>
        <w:spacing w:line="360" w:lineRule="auto"/>
        <w:jc w:val="both"/>
      </w:pPr>
    </w:p>
    <w:p w14:paraId="720E2435" w14:textId="20007BCF" w:rsidR="00156992" w:rsidRDefault="00156992" w:rsidP="004225C8">
      <w:pPr>
        <w:spacing w:line="360" w:lineRule="auto"/>
        <w:jc w:val="both"/>
      </w:pPr>
    </w:p>
    <w:p w14:paraId="4D9A7157" w14:textId="38FAF8D6" w:rsidR="00156992" w:rsidRDefault="00156992" w:rsidP="004225C8">
      <w:pPr>
        <w:spacing w:line="360" w:lineRule="auto"/>
        <w:jc w:val="both"/>
      </w:pPr>
    </w:p>
    <w:p w14:paraId="0F29089B" w14:textId="343BD423" w:rsidR="00156992" w:rsidRDefault="00156992" w:rsidP="004225C8">
      <w:pPr>
        <w:spacing w:line="360" w:lineRule="auto"/>
        <w:jc w:val="both"/>
      </w:pPr>
    </w:p>
    <w:p w14:paraId="76461489" w14:textId="798EB318" w:rsidR="00156992" w:rsidRDefault="00156992" w:rsidP="004225C8">
      <w:pPr>
        <w:spacing w:line="360" w:lineRule="auto"/>
        <w:jc w:val="both"/>
      </w:pPr>
    </w:p>
    <w:p w14:paraId="72798C23" w14:textId="4E921606" w:rsidR="00156992" w:rsidRDefault="00156992" w:rsidP="004225C8">
      <w:pPr>
        <w:spacing w:line="360" w:lineRule="auto"/>
        <w:jc w:val="both"/>
      </w:pPr>
    </w:p>
    <w:p w14:paraId="5563C98F" w14:textId="70384392" w:rsidR="00806E7D" w:rsidRDefault="00806E7D" w:rsidP="004225C8">
      <w:pPr>
        <w:spacing w:line="360" w:lineRule="auto"/>
        <w:jc w:val="both"/>
      </w:pPr>
    </w:p>
    <w:p w14:paraId="398522F6" w14:textId="77777777" w:rsidR="00806E7D" w:rsidRDefault="00806E7D" w:rsidP="004225C8">
      <w:pPr>
        <w:spacing w:line="360" w:lineRule="auto"/>
        <w:jc w:val="both"/>
      </w:pPr>
    </w:p>
    <w:p w14:paraId="25BDD77B" w14:textId="77777777" w:rsidR="00156992" w:rsidRDefault="00156992" w:rsidP="004225C8">
      <w:pPr>
        <w:spacing w:line="360" w:lineRule="auto"/>
        <w:jc w:val="both"/>
      </w:pPr>
    </w:p>
    <w:p w14:paraId="475C2270" w14:textId="77777777" w:rsidR="001A5F5A" w:rsidRDefault="001A5F5A" w:rsidP="004225C8">
      <w:pPr>
        <w:spacing w:line="360" w:lineRule="auto"/>
        <w:jc w:val="both"/>
      </w:pPr>
    </w:p>
    <w:p w14:paraId="190708F7" w14:textId="77777777" w:rsidR="001A5F5A" w:rsidRPr="00457F6F" w:rsidRDefault="001A5F5A" w:rsidP="004225C8">
      <w:pPr>
        <w:spacing w:line="360" w:lineRule="auto"/>
        <w:jc w:val="both"/>
      </w:pPr>
    </w:p>
    <w:p w14:paraId="3A864E5E" w14:textId="63A445A8" w:rsidR="00865BFD" w:rsidRDefault="00DB3A60" w:rsidP="0029241E">
      <w:pPr>
        <w:pStyle w:val="Heading3"/>
      </w:pPr>
      <w:bookmarkStart w:id="83" w:name="_Toc127911468"/>
      <w:r>
        <w:lastRenderedPageBreak/>
        <w:t>Hot mechanical strength and reactivity</w:t>
      </w:r>
      <w:bookmarkEnd w:id="83"/>
    </w:p>
    <w:p w14:paraId="30113A90" w14:textId="77777777" w:rsidR="00156992" w:rsidRPr="00156992" w:rsidRDefault="00156992" w:rsidP="00156992"/>
    <w:p w14:paraId="7B110EC6" w14:textId="65FF2398" w:rsidR="00865BFD" w:rsidRDefault="00E53FBB" w:rsidP="00E53FBB">
      <w:pPr>
        <w:spacing w:line="360" w:lineRule="auto"/>
        <w:jc w:val="center"/>
      </w:pPr>
      <w:r>
        <w:rPr>
          <w:noProof/>
        </w:rPr>
        <w:drawing>
          <wp:inline distT="0" distB="0" distL="0" distR="0" wp14:anchorId="08056001" wp14:editId="372CCAC0">
            <wp:extent cx="5025225" cy="2743200"/>
            <wp:effectExtent l="0" t="0" r="4445" b="0"/>
            <wp:docPr id="57" name="Chart 5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E20D92F" w14:textId="33643604" w:rsidR="00865BFD" w:rsidRDefault="00243C77" w:rsidP="00324BB6">
      <w:pPr>
        <w:spacing w:line="360" w:lineRule="auto"/>
        <w:jc w:val="center"/>
      </w:pPr>
      <w:r>
        <w:rPr>
          <w:noProof/>
        </w:rPr>
        <w:drawing>
          <wp:inline distT="0" distB="0" distL="0" distR="0" wp14:anchorId="129E9E9F" wp14:editId="405004C0">
            <wp:extent cx="5017273" cy="2743200"/>
            <wp:effectExtent l="0" t="0" r="12065" b="0"/>
            <wp:docPr id="59" name="Chart 59">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229D8A60" w14:textId="587452EE" w:rsidR="00C65F23" w:rsidRDefault="00D315C9" w:rsidP="0098124F">
      <w:pPr>
        <w:pStyle w:val="Caption"/>
        <w:jc w:val="center"/>
      </w:pPr>
      <w:bookmarkStart w:id="84" w:name="_Toc127110930"/>
      <w:r>
        <w:t xml:space="preserve">Figure </w:t>
      </w:r>
      <w:fldSimple w:instr=" SEQ Figure \* ARABIC ">
        <w:r w:rsidR="00A0212F">
          <w:rPr>
            <w:noProof/>
          </w:rPr>
          <w:t>36</w:t>
        </w:r>
      </w:fldSimple>
      <w:r w:rsidR="00742263">
        <w:t xml:space="preserve"> Coke strength and reactivity </w:t>
      </w:r>
      <w:r w:rsidR="0098124F">
        <w:t>results</w:t>
      </w:r>
      <w:bookmarkEnd w:id="84"/>
    </w:p>
    <w:p w14:paraId="02BEBE1D" w14:textId="170F5F30" w:rsidR="00F10FAF" w:rsidRDefault="004503FE" w:rsidP="00F10FAF">
      <w:pPr>
        <w:spacing w:line="360" w:lineRule="auto"/>
        <w:jc w:val="both"/>
      </w:pPr>
      <w:r>
        <w:t>The</w:t>
      </w:r>
      <w:r w:rsidR="008F5E39">
        <w:t xml:space="preserve"> </w:t>
      </w:r>
      <w:r>
        <w:t>CSR is considered the most important coke quality measurement</w:t>
      </w:r>
      <w:r w:rsidR="00826643">
        <w:t xml:space="preserve"> when </w:t>
      </w:r>
      <w:r w:rsidR="00123224">
        <w:t>maintaining BF operational stability. The CSR and CRI are inversely proportional.</w:t>
      </w:r>
      <w:r w:rsidR="00B57D81">
        <w:t xml:space="preserve"> </w:t>
      </w:r>
    </w:p>
    <w:p w14:paraId="512E6FA7" w14:textId="4642E1A8" w:rsidR="004E543F" w:rsidRDefault="003406A8" w:rsidP="00962A1B">
      <w:pPr>
        <w:spacing w:line="360" w:lineRule="auto"/>
        <w:jc w:val="both"/>
      </w:pPr>
      <w:r>
        <w:t>The CSR result for the 100% Riverside coal is 62.2</w:t>
      </w:r>
      <w:r w:rsidR="00962A1B">
        <w:t>%</w:t>
      </w:r>
      <w:r w:rsidR="00252C45">
        <w:t xml:space="preserve"> and the CRI was 29.1</w:t>
      </w:r>
      <w:r w:rsidR="00962A1B">
        <w:t>%</w:t>
      </w:r>
      <w:r w:rsidR="00252C45">
        <w:t>. When Biochar 1 is added at 3% and 5%</w:t>
      </w:r>
      <w:r w:rsidR="005453EA">
        <w:t xml:space="preserve">, the CSR result drops slightly each time to </w:t>
      </w:r>
      <w:r w:rsidR="006D1690">
        <w:t>60.5% and</w:t>
      </w:r>
      <w:r w:rsidR="008B4B2B">
        <w:t xml:space="preserve"> then</w:t>
      </w:r>
      <w:r w:rsidR="006D1690">
        <w:t xml:space="preserve"> 59.1%. At 7</w:t>
      </w:r>
      <w:r w:rsidR="00BE7515">
        <w:t>.5</w:t>
      </w:r>
      <w:r w:rsidR="008B4B2B">
        <w:t>%</w:t>
      </w:r>
      <w:r w:rsidR="006D1690">
        <w:t xml:space="preserve"> the</w:t>
      </w:r>
      <w:r w:rsidR="00243C77">
        <w:t xml:space="preserve"> CSR </w:t>
      </w:r>
      <w:r w:rsidR="00D9745A">
        <w:t xml:space="preserve">falls sharply to 41.2%. </w:t>
      </w:r>
      <w:r w:rsidR="00D82D9A">
        <w:t>The CSR remains consistent at 3% biochar 2 substitution</w:t>
      </w:r>
      <w:r w:rsidR="00CC2DAC">
        <w:t xml:space="preserve"> but then decreases significantly to 39.1</w:t>
      </w:r>
      <w:r w:rsidR="00962A1B">
        <w:t>%</w:t>
      </w:r>
      <w:r w:rsidR="00CC2DAC">
        <w:t xml:space="preserve"> and 41.2</w:t>
      </w:r>
      <w:r w:rsidR="00962A1B">
        <w:t>%</w:t>
      </w:r>
      <w:r w:rsidR="00CC2DAC">
        <w:t xml:space="preserve"> at 5% and 7.5% respectively. </w:t>
      </w:r>
    </w:p>
    <w:p w14:paraId="0D4D810B" w14:textId="0ED7CCDD" w:rsidR="00865BFD" w:rsidRDefault="00120E49" w:rsidP="006E3B91">
      <w:pPr>
        <w:spacing w:line="360" w:lineRule="auto"/>
        <w:jc w:val="both"/>
      </w:pPr>
      <w:r>
        <w:t xml:space="preserve">The coke gets more reactive as more biochar is </w:t>
      </w:r>
      <w:r w:rsidR="002E48B3">
        <w:t>added, at 100% the CRI is 29.1%</w:t>
      </w:r>
      <w:r w:rsidR="00C61C14">
        <w:t xml:space="preserve">. At 3% biochar 1 addition it </w:t>
      </w:r>
      <w:r w:rsidR="005E72CE">
        <w:t>is 30.2% and up to 32.5% at 5%</w:t>
      </w:r>
      <w:r w:rsidR="00901DF1">
        <w:t xml:space="preserve"> addition. </w:t>
      </w:r>
      <w:r w:rsidR="00185395">
        <w:t xml:space="preserve">At 7% addition it </w:t>
      </w:r>
      <w:r w:rsidR="007D34CB">
        <w:t>increases</w:t>
      </w:r>
      <w:r w:rsidR="00185395">
        <w:t xml:space="preserve"> to 39.9%.</w:t>
      </w:r>
      <w:r w:rsidR="006E4416">
        <w:t xml:space="preserve"> Biochar 2 </w:t>
      </w:r>
      <w:r w:rsidR="006E4416">
        <w:lastRenderedPageBreak/>
        <w:t>has a CRI of 29.9</w:t>
      </w:r>
      <w:r w:rsidR="00962A1B">
        <w:t>%</w:t>
      </w:r>
      <w:r w:rsidR="006E4416">
        <w:t xml:space="preserve"> at 3% addition </w:t>
      </w:r>
      <w:r w:rsidR="00A5308E">
        <w:t xml:space="preserve">not far off the 100% Riverside result but then climbs at 5% addition to </w:t>
      </w:r>
      <w:r w:rsidR="00DC5AF5">
        <w:t>39.8% before sharply rising to a high</w:t>
      </w:r>
      <w:r w:rsidR="00335B25">
        <w:t xml:space="preserve"> result of</w:t>
      </w:r>
      <w:r w:rsidR="00DC5AF5">
        <w:t xml:space="preserve"> 19.99% at 7.5% addition.</w:t>
      </w:r>
    </w:p>
    <w:p w14:paraId="0790BFD7" w14:textId="762FDDEC" w:rsidR="00EC71A2" w:rsidRDefault="00EC71A2" w:rsidP="006E3B91">
      <w:pPr>
        <w:spacing w:line="360" w:lineRule="auto"/>
        <w:jc w:val="both"/>
      </w:pPr>
      <w:r>
        <w:t>The prediction for the</w:t>
      </w:r>
      <w:r w:rsidR="00AC0ABD">
        <w:t xml:space="preserve"> CSR </w:t>
      </w:r>
      <w:r>
        <w:t xml:space="preserve">tests would be a </w:t>
      </w:r>
      <w:r w:rsidR="002E4442">
        <w:t>fairy linear line decreasing</w:t>
      </w:r>
      <w:r w:rsidR="00AC0ABD">
        <w:t xml:space="preserve"> as the biochar </w:t>
      </w:r>
      <w:r w:rsidR="008D62A5">
        <w:t xml:space="preserve">addition increases. </w:t>
      </w:r>
      <w:r w:rsidR="00C57D84">
        <w:t xml:space="preserve">The biochar 1 </w:t>
      </w:r>
      <w:r w:rsidR="006B2159">
        <w:t xml:space="preserve">conforms to this prediction but in the biochar 2 tests, the </w:t>
      </w:r>
      <w:r w:rsidR="00805DF7">
        <w:t xml:space="preserve">3% CSR result is </w:t>
      </w:r>
      <w:r w:rsidR="0043233B">
        <w:t>marginally</w:t>
      </w:r>
      <w:r w:rsidR="00805DF7">
        <w:t xml:space="preserve"> higher than the </w:t>
      </w:r>
      <w:r w:rsidR="0043233B">
        <w:t>100% Riverside test</w:t>
      </w:r>
      <w:r w:rsidR="00EE4CB9">
        <w:t xml:space="preserve"> when you would expect a drop. </w:t>
      </w:r>
      <w:r w:rsidR="00FF3C68">
        <w:t>Similarly,</w:t>
      </w:r>
      <w:r w:rsidR="00EE4CB9">
        <w:t xml:space="preserve"> the 7.5% result is higher than the 5% result. </w:t>
      </w:r>
      <w:r w:rsidR="00966DDB">
        <w:t xml:space="preserve">There are many variables present during the preparation of the PO blend and the coke testing and these results </w:t>
      </w:r>
      <w:r w:rsidR="00CA2124">
        <w:t xml:space="preserve">are </w:t>
      </w:r>
      <w:r w:rsidR="007A261A">
        <w:t>p</w:t>
      </w:r>
      <w:r w:rsidR="005E320C">
        <w:t>ossibly</w:t>
      </w:r>
      <w:r w:rsidR="007A261A">
        <w:t xml:space="preserve"> a consequence </w:t>
      </w:r>
      <w:r w:rsidR="00472328">
        <w:t xml:space="preserve">of a variable </w:t>
      </w:r>
      <w:r w:rsidR="0067733C">
        <w:t xml:space="preserve">such as operator error. </w:t>
      </w:r>
      <w:r w:rsidR="005E320C">
        <w:t>Although t</w:t>
      </w:r>
      <w:r w:rsidR="0067733C">
        <w:t>he repeatability of the test is between 2.5 – 3.5 depending on the CSR result.</w:t>
      </w:r>
      <w:r w:rsidR="005E320C">
        <w:t xml:space="preserve"> </w:t>
      </w:r>
      <w:r w:rsidR="00877444">
        <w:t>The standard deviation of the test is high due to the number of variables in</w:t>
      </w:r>
      <w:r w:rsidR="00A95A8C">
        <w:t>herent in the testing</w:t>
      </w:r>
      <w:r w:rsidR="000234DE">
        <w:t xml:space="preserve">. Demonstrating that the CSR/CRI measure is not </w:t>
      </w:r>
      <w:r w:rsidR="00BA573E">
        <w:t>precise.</w:t>
      </w:r>
      <w:r w:rsidR="000234DE">
        <w:t xml:space="preserve">  </w:t>
      </w:r>
    </w:p>
    <w:p w14:paraId="7650A8B9" w14:textId="43C379AC" w:rsidR="009F1FEB" w:rsidRDefault="00D04CD0" w:rsidP="006E3B91">
      <w:pPr>
        <w:spacing w:line="360" w:lineRule="auto"/>
        <w:jc w:val="both"/>
      </w:pPr>
      <w:r>
        <w:t>Both biochar’s could be used at 3%</w:t>
      </w:r>
      <w:r w:rsidR="00584C34">
        <w:t xml:space="preserve"> substitution when </w:t>
      </w:r>
      <w:r w:rsidR="005E5D30">
        <w:t>considering</w:t>
      </w:r>
      <w:r w:rsidR="00D85DA7">
        <w:t xml:space="preserve"> the quality measure </w:t>
      </w:r>
      <w:r w:rsidR="00584C34">
        <w:t>CSR</w:t>
      </w:r>
      <w:r w:rsidR="00D85DA7">
        <w:t xml:space="preserve"> and </w:t>
      </w:r>
      <w:r w:rsidR="00584C34">
        <w:t>CRI</w:t>
      </w:r>
      <w:r w:rsidR="00D85DA7">
        <w:t xml:space="preserve">. </w:t>
      </w:r>
      <w:r w:rsidR="00BC71BD">
        <w:t xml:space="preserve">Biochar 1 could be used at 5% </w:t>
      </w:r>
      <w:r w:rsidR="002A1DBC">
        <w:t xml:space="preserve">despite there being a 3% drop in </w:t>
      </w:r>
      <w:r w:rsidR="00320D9A">
        <w:t>the CSR</w:t>
      </w:r>
      <w:r w:rsidR="004C4033">
        <w:t xml:space="preserve"> but this </w:t>
      </w:r>
      <w:r w:rsidR="009967D7">
        <w:t xml:space="preserve">small drop could be managed by </w:t>
      </w:r>
      <w:r w:rsidR="00B473DD">
        <w:t xml:space="preserve">adjusting the coal blend with </w:t>
      </w:r>
      <w:r w:rsidR="00541003">
        <w:t xml:space="preserve">high quality </w:t>
      </w:r>
      <w:r w:rsidR="00B473DD">
        <w:t>coal to compensate</w:t>
      </w:r>
      <w:r w:rsidR="00541003">
        <w:t>.</w:t>
      </w:r>
    </w:p>
    <w:p w14:paraId="4CAC1F5A" w14:textId="1F3D7255" w:rsidR="00A66A1D" w:rsidRDefault="000D2E82" w:rsidP="000D2E82">
      <w:pPr>
        <w:pStyle w:val="Heading3"/>
      </w:pPr>
      <w:bookmarkStart w:id="85" w:name="_Toc127911469"/>
      <w:r>
        <w:t>Coke</w:t>
      </w:r>
      <w:r w:rsidR="009E184E">
        <w:t xml:space="preserve"> chemistry</w:t>
      </w:r>
      <w:r>
        <w:t xml:space="preserve"> Analysis</w:t>
      </w:r>
      <w:bookmarkEnd w:id="85"/>
    </w:p>
    <w:p w14:paraId="4255DBC3" w14:textId="273EE870" w:rsidR="00A66A1D" w:rsidRDefault="009E184E" w:rsidP="009E184E">
      <w:pPr>
        <w:pStyle w:val="Caption"/>
        <w:jc w:val="center"/>
      </w:pPr>
      <w:r>
        <w:t xml:space="preserve">Table </w:t>
      </w:r>
      <w:fldSimple w:instr=" SEQ Table \* ARABIC ">
        <w:r w:rsidR="00DA2639">
          <w:rPr>
            <w:noProof/>
          </w:rPr>
          <w:t>12</w:t>
        </w:r>
      </w:fldSimple>
      <w:r>
        <w:t xml:space="preserve"> Riverside and Biochar coke analysis</w:t>
      </w:r>
    </w:p>
    <w:tbl>
      <w:tblPr>
        <w:tblW w:w="7680" w:type="dxa"/>
        <w:tblLook w:val="04A0" w:firstRow="1" w:lastRow="0" w:firstColumn="1" w:lastColumn="0" w:noHBand="0" w:noVBand="1"/>
      </w:tblPr>
      <w:tblGrid>
        <w:gridCol w:w="960"/>
        <w:gridCol w:w="1058"/>
        <w:gridCol w:w="960"/>
        <w:gridCol w:w="960"/>
        <w:gridCol w:w="960"/>
        <w:gridCol w:w="960"/>
        <w:gridCol w:w="960"/>
        <w:gridCol w:w="960"/>
      </w:tblGrid>
      <w:tr w:rsidR="008F43C0" w:rsidRPr="008F43C0" w14:paraId="3B28620F" w14:textId="77777777" w:rsidTr="008F43C0">
        <w:trPr>
          <w:trHeight w:val="600"/>
        </w:trPr>
        <w:tc>
          <w:tcPr>
            <w:tcW w:w="960" w:type="dxa"/>
            <w:tcBorders>
              <w:top w:val="single" w:sz="4" w:space="0" w:color="3F3F3F"/>
              <w:left w:val="single" w:sz="4" w:space="0" w:color="3F3F3F"/>
              <w:bottom w:val="single" w:sz="4" w:space="0" w:color="3F3F3F"/>
              <w:right w:val="single" w:sz="4" w:space="0" w:color="3F3F3F"/>
            </w:tcBorders>
            <w:shd w:val="clear" w:color="000000" w:fill="F2F2F2"/>
            <w:vAlign w:val="center"/>
            <w:hideMark/>
          </w:tcPr>
          <w:p w14:paraId="0B0364A7"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proofErr w:type="spellStart"/>
            <w:r w:rsidRPr="008F43C0">
              <w:rPr>
                <w:rFonts w:ascii="Calibri" w:eastAsia="Times New Roman" w:hAnsi="Calibri" w:cs="Calibri"/>
                <w:b/>
                <w:bCs/>
                <w:color w:val="3F3F3F"/>
                <w:lang w:eastAsia="en-GB"/>
              </w:rPr>
              <w:t>db</w:t>
            </w:r>
            <w:proofErr w:type="spellEnd"/>
            <w:r w:rsidRPr="008F43C0">
              <w:rPr>
                <w:rFonts w:ascii="Calibri" w:eastAsia="Times New Roman" w:hAnsi="Calibri" w:cs="Calibri"/>
                <w:b/>
                <w:bCs/>
                <w:color w:val="3F3F3F"/>
                <w:lang w:eastAsia="en-GB"/>
              </w:rPr>
              <w:t xml:space="preserve"> %</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1C39165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Riverside 100%</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5519C504"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1 3%</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58A80F0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2 3%</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4254906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1 5%</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4135712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2 5%</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3A41B61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1 7.5%</w:t>
            </w:r>
          </w:p>
        </w:tc>
        <w:tc>
          <w:tcPr>
            <w:tcW w:w="960" w:type="dxa"/>
            <w:tcBorders>
              <w:top w:val="single" w:sz="4" w:space="0" w:color="3F3F3F"/>
              <w:left w:val="nil"/>
              <w:bottom w:val="single" w:sz="4" w:space="0" w:color="3F3F3F"/>
              <w:right w:val="single" w:sz="4" w:space="0" w:color="3F3F3F"/>
            </w:tcBorders>
            <w:shd w:val="clear" w:color="000000" w:fill="F2F2F2"/>
            <w:vAlign w:val="center"/>
            <w:hideMark/>
          </w:tcPr>
          <w:p w14:paraId="05F24AB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Biochar 2 7.5%</w:t>
            </w:r>
          </w:p>
        </w:tc>
      </w:tr>
      <w:tr w:rsidR="008F43C0" w:rsidRPr="008F43C0" w14:paraId="1A5A42C8"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746B9A9"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VM</w:t>
            </w:r>
          </w:p>
        </w:tc>
        <w:tc>
          <w:tcPr>
            <w:tcW w:w="960" w:type="dxa"/>
            <w:tcBorders>
              <w:top w:val="nil"/>
              <w:left w:val="nil"/>
              <w:bottom w:val="single" w:sz="4" w:space="0" w:color="3F3F3F"/>
              <w:right w:val="single" w:sz="4" w:space="0" w:color="3F3F3F"/>
            </w:tcBorders>
            <w:shd w:val="clear" w:color="000000" w:fill="F2F2F2"/>
            <w:noWrap/>
            <w:vAlign w:val="bottom"/>
            <w:hideMark/>
          </w:tcPr>
          <w:p w14:paraId="0F4D4491"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1.73</w:t>
            </w:r>
          </w:p>
        </w:tc>
        <w:tc>
          <w:tcPr>
            <w:tcW w:w="960" w:type="dxa"/>
            <w:tcBorders>
              <w:top w:val="nil"/>
              <w:left w:val="nil"/>
              <w:bottom w:val="single" w:sz="4" w:space="0" w:color="3F3F3F"/>
              <w:right w:val="single" w:sz="4" w:space="0" w:color="3F3F3F"/>
            </w:tcBorders>
            <w:shd w:val="clear" w:color="000000" w:fill="F2F2F2"/>
            <w:noWrap/>
            <w:vAlign w:val="center"/>
            <w:hideMark/>
          </w:tcPr>
          <w:p w14:paraId="224C1CA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1.64</w:t>
            </w:r>
          </w:p>
        </w:tc>
        <w:tc>
          <w:tcPr>
            <w:tcW w:w="960" w:type="dxa"/>
            <w:tcBorders>
              <w:top w:val="nil"/>
              <w:left w:val="nil"/>
              <w:bottom w:val="single" w:sz="4" w:space="0" w:color="3F3F3F"/>
              <w:right w:val="single" w:sz="4" w:space="0" w:color="3F3F3F"/>
            </w:tcBorders>
            <w:shd w:val="clear" w:color="000000" w:fill="F2F2F2"/>
            <w:noWrap/>
            <w:vAlign w:val="center"/>
            <w:hideMark/>
          </w:tcPr>
          <w:p w14:paraId="5CF52D47"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1.12</w:t>
            </w:r>
          </w:p>
        </w:tc>
        <w:tc>
          <w:tcPr>
            <w:tcW w:w="960" w:type="dxa"/>
            <w:tcBorders>
              <w:top w:val="nil"/>
              <w:left w:val="nil"/>
              <w:bottom w:val="single" w:sz="4" w:space="0" w:color="3F3F3F"/>
              <w:right w:val="single" w:sz="4" w:space="0" w:color="3F3F3F"/>
            </w:tcBorders>
            <w:shd w:val="clear" w:color="000000" w:fill="F2F2F2"/>
            <w:noWrap/>
            <w:vAlign w:val="center"/>
            <w:hideMark/>
          </w:tcPr>
          <w:p w14:paraId="44D6F67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1.42</w:t>
            </w:r>
          </w:p>
        </w:tc>
        <w:tc>
          <w:tcPr>
            <w:tcW w:w="960" w:type="dxa"/>
            <w:tcBorders>
              <w:top w:val="nil"/>
              <w:left w:val="nil"/>
              <w:bottom w:val="single" w:sz="4" w:space="0" w:color="3F3F3F"/>
              <w:right w:val="single" w:sz="4" w:space="0" w:color="3F3F3F"/>
            </w:tcBorders>
            <w:shd w:val="clear" w:color="000000" w:fill="F2F2F2"/>
            <w:noWrap/>
            <w:vAlign w:val="center"/>
            <w:hideMark/>
          </w:tcPr>
          <w:p w14:paraId="05BA7F9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1.26</w:t>
            </w:r>
          </w:p>
        </w:tc>
        <w:tc>
          <w:tcPr>
            <w:tcW w:w="960" w:type="dxa"/>
            <w:tcBorders>
              <w:top w:val="nil"/>
              <w:left w:val="nil"/>
              <w:bottom w:val="single" w:sz="4" w:space="0" w:color="3F3F3F"/>
              <w:right w:val="single" w:sz="4" w:space="0" w:color="3F3F3F"/>
            </w:tcBorders>
            <w:shd w:val="clear" w:color="000000" w:fill="F2F2F2"/>
            <w:noWrap/>
            <w:vAlign w:val="center"/>
            <w:hideMark/>
          </w:tcPr>
          <w:p w14:paraId="5EBC779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1.07</w:t>
            </w:r>
          </w:p>
        </w:tc>
        <w:tc>
          <w:tcPr>
            <w:tcW w:w="960" w:type="dxa"/>
            <w:tcBorders>
              <w:top w:val="nil"/>
              <w:left w:val="nil"/>
              <w:bottom w:val="single" w:sz="4" w:space="0" w:color="3F3F3F"/>
              <w:right w:val="single" w:sz="4" w:space="0" w:color="3F3F3F"/>
            </w:tcBorders>
            <w:shd w:val="clear" w:color="000000" w:fill="F2F2F2"/>
            <w:noWrap/>
            <w:vAlign w:val="center"/>
            <w:hideMark/>
          </w:tcPr>
          <w:p w14:paraId="7F4522F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1.44</w:t>
            </w:r>
          </w:p>
        </w:tc>
      </w:tr>
      <w:tr w:rsidR="008F43C0" w:rsidRPr="008F43C0" w14:paraId="2A6AB1CD"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3C0B439"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Ash</w:t>
            </w:r>
          </w:p>
        </w:tc>
        <w:tc>
          <w:tcPr>
            <w:tcW w:w="960" w:type="dxa"/>
            <w:tcBorders>
              <w:top w:val="nil"/>
              <w:left w:val="nil"/>
              <w:bottom w:val="single" w:sz="4" w:space="0" w:color="3F3F3F"/>
              <w:right w:val="single" w:sz="4" w:space="0" w:color="3F3F3F"/>
            </w:tcBorders>
            <w:shd w:val="clear" w:color="000000" w:fill="F2F2F2"/>
            <w:noWrap/>
            <w:vAlign w:val="bottom"/>
            <w:hideMark/>
          </w:tcPr>
          <w:p w14:paraId="62CE9FB5"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13.4</w:t>
            </w:r>
          </w:p>
        </w:tc>
        <w:tc>
          <w:tcPr>
            <w:tcW w:w="960" w:type="dxa"/>
            <w:tcBorders>
              <w:top w:val="nil"/>
              <w:left w:val="nil"/>
              <w:bottom w:val="single" w:sz="4" w:space="0" w:color="3F3F3F"/>
              <w:right w:val="single" w:sz="4" w:space="0" w:color="3F3F3F"/>
            </w:tcBorders>
            <w:shd w:val="clear" w:color="000000" w:fill="F2F2F2"/>
            <w:noWrap/>
            <w:vAlign w:val="center"/>
            <w:hideMark/>
          </w:tcPr>
          <w:p w14:paraId="2BD1DB04"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w:t>
            </w:r>
          </w:p>
        </w:tc>
        <w:tc>
          <w:tcPr>
            <w:tcW w:w="960" w:type="dxa"/>
            <w:tcBorders>
              <w:top w:val="nil"/>
              <w:left w:val="nil"/>
              <w:bottom w:val="single" w:sz="4" w:space="0" w:color="3F3F3F"/>
              <w:right w:val="single" w:sz="4" w:space="0" w:color="3F3F3F"/>
            </w:tcBorders>
            <w:shd w:val="clear" w:color="000000" w:fill="F2F2F2"/>
            <w:noWrap/>
            <w:vAlign w:val="center"/>
            <w:hideMark/>
          </w:tcPr>
          <w:p w14:paraId="2CCBF06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13.4</w:t>
            </w:r>
          </w:p>
        </w:tc>
        <w:tc>
          <w:tcPr>
            <w:tcW w:w="960" w:type="dxa"/>
            <w:tcBorders>
              <w:top w:val="nil"/>
              <w:left w:val="nil"/>
              <w:bottom w:val="single" w:sz="4" w:space="0" w:color="3F3F3F"/>
              <w:right w:val="single" w:sz="4" w:space="0" w:color="3F3F3F"/>
            </w:tcBorders>
            <w:shd w:val="clear" w:color="000000" w:fill="F2F2F2"/>
            <w:noWrap/>
            <w:vAlign w:val="center"/>
            <w:hideMark/>
          </w:tcPr>
          <w:p w14:paraId="26D1C7D4"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13.6</w:t>
            </w:r>
          </w:p>
        </w:tc>
        <w:tc>
          <w:tcPr>
            <w:tcW w:w="960" w:type="dxa"/>
            <w:tcBorders>
              <w:top w:val="nil"/>
              <w:left w:val="nil"/>
              <w:bottom w:val="single" w:sz="4" w:space="0" w:color="3F3F3F"/>
              <w:right w:val="single" w:sz="4" w:space="0" w:color="3F3F3F"/>
            </w:tcBorders>
            <w:shd w:val="clear" w:color="000000" w:fill="F2F2F2"/>
            <w:noWrap/>
            <w:vAlign w:val="center"/>
            <w:hideMark/>
          </w:tcPr>
          <w:p w14:paraId="58EBDCE4"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14.6</w:t>
            </w:r>
          </w:p>
        </w:tc>
        <w:tc>
          <w:tcPr>
            <w:tcW w:w="960" w:type="dxa"/>
            <w:tcBorders>
              <w:top w:val="nil"/>
              <w:left w:val="nil"/>
              <w:bottom w:val="single" w:sz="4" w:space="0" w:color="3F3F3F"/>
              <w:right w:val="single" w:sz="4" w:space="0" w:color="3F3F3F"/>
            </w:tcBorders>
            <w:shd w:val="clear" w:color="000000" w:fill="F2F2F2"/>
            <w:noWrap/>
            <w:vAlign w:val="center"/>
            <w:hideMark/>
          </w:tcPr>
          <w:p w14:paraId="6B85FE9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13.3</w:t>
            </w:r>
          </w:p>
        </w:tc>
        <w:tc>
          <w:tcPr>
            <w:tcW w:w="960" w:type="dxa"/>
            <w:tcBorders>
              <w:top w:val="nil"/>
              <w:left w:val="nil"/>
              <w:bottom w:val="single" w:sz="4" w:space="0" w:color="3F3F3F"/>
              <w:right w:val="single" w:sz="4" w:space="0" w:color="3F3F3F"/>
            </w:tcBorders>
            <w:shd w:val="clear" w:color="000000" w:fill="F2F2F2"/>
            <w:noWrap/>
            <w:vAlign w:val="center"/>
            <w:hideMark/>
          </w:tcPr>
          <w:p w14:paraId="0E8549BE"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w:t>
            </w:r>
          </w:p>
        </w:tc>
      </w:tr>
      <w:tr w:rsidR="008F43C0" w:rsidRPr="008F43C0" w14:paraId="0D8A3215"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A33CCA7"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SiO</w:t>
            </w:r>
            <w:r w:rsidRPr="00D8745D">
              <w:rPr>
                <w:rFonts w:ascii="Calibri" w:eastAsia="Times New Roman" w:hAnsi="Calibri" w:cs="Calibri"/>
                <w:b/>
                <w:bCs/>
                <w:color w:val="3F3F3F"/>
                <w:vertAlign w:val="subscript"/>
                <w:lang w:eastAsia="en-GB"/>
              </w:rPr>
              <w:t>2</w:t>
            </w:r>
          </w:p>
        </w:tc>
        <w:tc>
          <w:tcPr>
            <w:tcW w:w="960" w:type="dxa"/>
            <w:tcBorders>
              <w:top w:val="nil"/>
              <w:left w:val="nil"/>
              <w:bottom w:val="single" w:sz="4" w:space="0" w:color="3F3F3F"/>
              <w:right w:val="single" w:sz="4" w:space="0" w:color="3F3F3F"/>
            </w:tcBorders>
            <w:shd w:val="clear" w:color="000000" w:fill="F2F2F2"/>
            <w:noWrap/>
            <w:vAlign w:val="bottom"/>
            <w:hideMark/>
          </w:tcPr>
          <w:p w14:paraId="103F11F1"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55.73</w:t>
            </w:r>
          </w:p>
        </w:tc>
        <w:tc>
          <w:tcPr>
            <w:tcW w:w="960" w:type="dxa"/>
            <w:tcBorders>
              <w:top w:val="nil"/>
              <w:left w:val="nil"/>
              <w:bottom w:val="single" w:sz="4" w:space="0" w:color="3F3F3F"/>
              <w:right w:val="single" w:sz="4" w:space="0" w:color="3F3F3F"/>
            </w:tcBorders>
            <w:shd w:val="clear" w:color="000000" w:fill="F2F2F2"/>
            <w:noWrap/>
            <w:vAlign w:val="center"/>
            <w:hideMark/>
          </w:tcPr>
          <w:p w14:paraId="5E9FF3E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56.65</w:t>
            </w:r>
          </w:p>
        </w:tc>
        <w:tc>
          <w:tcPr>
            <w:tcW w:w="960" w:type="dxa"/>
            <w:tcBorders>
              <w:top w:val="nil"/>
              <w:left w:val="nil"/>
              <w:bottom w:val="single" w:sz="4" w:space="0" w:color="3F3F3F"/>
              <w:right w:val="single" w:sz="4" w:space="0" w:color="3F3F3F"/>
            </w:tcBorders>
            <w:shd w:val="clear" w:color="000000" w:fill="F2F2F2"/>
            <w:noWrap/>
            <w:vAlign w:val="center"/>
            <w:hideMark/>
          </w:tcPr>
          <w:p w14:paraId="395D15A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55.22</w:t>
            </w:r>
          </w:p>
        </w:tc>
        <w:tc>
          <w:tcPr>
            <w:tcW w:w="960" w:type="dxa"/>
            <w:tcBorders>
              <w:top w:val="nil"/>
              <w:left w:val="nil"/>
              <w:bottom w:val="single" w:sz="4" w:space="0" w:color="3F3F3F"/>
              <w:right w:val="single" w:sz="4" w:space="0" w:color="3F3F3F"/>
            </w:tcBorders>
            <w:shd w:val="clear" w:color="000000" w:fill="F2F2F2"/>
            <w:noWrap/>
            <w:vAlign w:val="center"/>
            <w:hideMark/>
          </w:tcPr>
          <w:p w14:paraId="4315542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54.38</w:t>
            </w:r>
          </w:p>
        </w:tc>
        <w:tc>
          <w:tcPr>
            <w:tcW w:w="960" w:type="dxa"/>
            <w:tcBorders>
              <w:top w:val="nil"/>
              <w:left w:val="nil"/>
              <w:bottom w:val="single" w:sz="4" w:space="0" w:color="3F3F3F"/>
              <w:right w:val="single" w:sz="4" w:space="0" w:color="3F3F3F"/>
            </w:tcBorders>
            <w:shd w:val="clear" w:color="000000" w:fill="F2F2F2"/>
            <w:noWrap/>
            <w:vAlign w:val="center"/>
            <w:hideMark/>
          </w:tcPr>
          <w:p w14:paraId="24495E5E"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54.09</w:t>
            </w:r>
          </w:p>
        </w:tc>
        <w:tc>
          <w:tcPr>
            <w:tcW w:w="960" w:type="dxa"/>
            <w:tcBorders>
              <w:top w:val="nil"/>
              <w:left w:val="nil"/>
              <w:bottom w:val="single" w:sz="4" w:space="0" w:color="3F3F3F"/>
              <w:right w:val="single" w:sz="4" w:space="0" w:color="3F3F3F"/>
            </w:tcBorders>
            <w:shd w:val="clear" w:color="000000" w:fill="F2F2F2"/>
            <w:noWrap/>
            <w:vAlign w:val="center"/>
            <w:hideMark/>
          </w:tcPr>
          <w:p w14:paraId="2DB5F09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53.51</w:t>
            </w:r>
          </w:p>
        </w:tc>
        <w:tc>
          <w:tcPr>
            <w:tcW w:w="960" w:type="dxa"/>
            <w:tcBorders>
              <w:top w:val="nil"/>
              <w:left w:val="nil"/>
              <w:bottom w:val="single" w:sz="4" w:space="0" w:color="3F3F3F"/>
              <w:right w:val="single" w:sz="4" w:space="0" w:color="3F3F3F"/>
            </w:tcBorders>
            <w:shd w:val="clear" w:color="000000" w:fill="F2F2F2"/>
            <w:noWrap/>
            <w:vAlign w:val="center"/>
            <w:hideMark/>
          </w:tcPr>
          <w:p w14:paraId="37DBFD1E"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50.23</w:t>
            </w:r>
          </w:p>
        </w:tc>
      </w:tr>
      <w:tr w:rsidR="008F43C0" w:rsidRPr="008F43C0" w14:paraId="3AE4391F"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09AFFC5D"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Al</w:t>
            </w:r>
            <w:r w:rsidRPr="00D8745D">
              <w:rPr>
                <w:rFonts w:ascii="Calibri" w:eastAsia="Times New Roman" w:hAnsi="Calibri" w:cs="Calibri"/>
                <w:b/>
                <w:bCs/>
                <w:color w:val="3F3F3F"/>
                <w:vertAlign w:val="subscript"/>
                <w:lang w:eastAsia="en-GB"/>
              </w:rPr>
              <w:t>2</w:t>
            </w:r>
            <w:r w:rsidRPr="008F43C0">
              <w:rPr>
                <w:rFonts w:ascii="Calibri" w:eastAsia="Times New Roman" w:hAnsi="Calibri" w:cs="Calibri"/>
                <w:b/>
                <w:bCs/>
                <w:color w:val="3F3F3F"/>
                <w:lang w:eastAsia="en-GB"/>
              </w:rPr>
              <w:t>O</w:t>
            </w:r>
            <w:r w:rsidRPr="00D8745D">
              <w:rPr>
                <w:rFonts w:ascii="Calibri" w:eastAsia="Times New Roman" w:hAnsi="Calibri" w:cs="Calibri"/>
                <w:b/>
                <w:bCs/>
                <w:color w:val="3F3F3F"/>
                <w:vertAlign w:val="subscript"/>
                <w:lang w:eastAsia="en-GB"/>
              </w:rPr>
              <w:t>3</w:t>
            </w:r>
          </w:p>
        </w:tc>
        <w:tc>
          <w:tcPr>
            <w:tcW w:w="960" w:type="dxa"/>
            <w:tcBorders>
              <w:top w:val="nil"/>
              <w:left w:val="nil"/>
              <w:bottom w:val="single" w:sz="4" w:space="0" w:color="3F3F3F"/>
              <w:right w:val="single" w:sz="4" w:space="0" w:color="3F3F3F"/>
            </w:tcBorders>
            <w:shd w:val="clear" w:color="000000" w:fill="F2F2F2"/>
            <w:noWrap/>
            <w:vAlign w:val="bottom"/>
            <w:hideMark/>
          </w:tcPr>
          <w:p w14:paraId="3F71401F"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28.14</w:t>
            </w:r>
          </w:p>
        </w:tc>
        <w:tc>
          <w:tcPr>
            <w:tcW w:w="960" w:type="dxa"/>
            <w:tcBorders>
              <w:top w:val="nil"/>
              <w:left w:val="nil"/>
              <w:bottom w:val="single" w:sz="4" w:space="0" w:color="3F3F3F"/>
              <w:right w:val="single" w:sz="4" w:space="0" w:color="3F3F3F"/>
            </w:tcBorders>
            <w:shd w:val="clear" w:color="000000" w:fill="F2F2F2"/>
            <w:noWrap/>
            <w:vAlign w:val="center"/>
            <w:hideMark/>
          </w:tcPr>
          <w:p w14:paraId="76B5B1E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23.22</w:t>
            </w:r>
          </w:p>
        </w:tc>
        <w:tc>
          <w:tcPr>
            <w:tcW w:w="960" w:type="dxa"/>
            <w:tcBorders>
              <w:top w:val="nil"/>
              <w:left w:val="nil"/>
              <w:bottom w:val="single" w:sz="4" w:space="0" w:color="3F3F3F"/>
              <w:right w:val="single" w:sz="4" w:space="0" w:color="3F3F3F"/>
            </w:tcBorders>
            <w:shd w:val="clear" w:color="000000" w:fill="F2F2F2"/>
            <w:noWrap/>
            <w:vAlign w:val="center"/>
            <w:hideMark/>
          </w:tcPr>
          <w:p w14:paraId="337730E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27.35</w:t>
            </w:r>
          </w:p>
        </w:tc>
        <w:tc>
          <w:tcPr>
            <w:tcW w:w="960" w:type="dxa"/>
            <w:tcBorders>
              <w:top w:val="nil"/>
              <w:left w:val="nil"/>
              <w:bottom w:val="single" w:sz="4" w:space="0" w:color="3F3F3F"/>
              <w:right w:val="single" w:sz="4" w:space="0" w:color="3F3F3F"/>
            </w:tcBorders>
            <w:shd w:val="clear" w:color="000000" w:fill="F2F2F2"/>
            <w:noWrap/>
            <w:vAlign w:val="center"/>
            <w:hideMark/>
          </w:tcPr>
          <w:p w14:paraId="7E9AFDA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22.37</w:t>
            </w:r>
          </w:p>
        </w:tc>
        <w:tc>
          <w:tcPr>
            <w:tcW w:w="960" w:type="dxa"/>
            <w:tcBorders>
              <w:top w:val="nil"/>
              <w:left w:val="nil"/>
              <w:bottom w:val="single" w:sz="4" w:space="0" w:color="3F3F3F"/>
              <w:right w:val="single" w:sz="4" w:space="0" w:color="3F3F3F"/>
            </w:tcBorders>
            <w:shd w:val="clear" w:color="000000" w:fill="F2F2F2"/>
            <w:noWrap/>
            <w:vAlign w:val="center"/>
            <w:hideMark/>
          </w:tcPr>
          <w:p w14:paraId="1B02E32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25.46</w:t>
            </w:r>
          </w:p>
        </w:tc>
        <w:tc>
          <w:tcPr>
            <w:tcW w:w="960" w:type="dxa"/>
            <w:tcBorders>
              <w:top w:val="nil"/>
              <w:left w:val="nil"/>
              <w:bottom w:val="single" w:sz="4" w:space="0" w:color="3F3F3F"/>
              <w:right w:val="single" w:sz="4" w:space="0" w:color="3F3F3F"/>
            </w:tcBorders>
            <w:shd w:val="clear" w:color="000000" w:fill="F2F2F2"/>
            <w:noWrap/>
            <w:vAlign w:val="center"/>
            <w:hideMark/>
          </w:tcPr>
          <w:p w14:paraId="58D18BE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21.38</w:t>
            </w:r>
          </w:p>
        </w:tc>
        <w:tc>
          <w:tcPr>
            <w:tcW w:w="960" w:type="dxa"/>
            <w:tcBorders>
              <w:top w:val="nil"/>
              <w:left w:val="nil"/>
              <w:bottom w:val="single" w:sz="4" w:space="0" w:color="3F3F3F"/>
              <w:right w:val="single" w:sz="4" w:space="0" w:color="3F3F3F"/>
            </w:tcBorders>
            <w:shd w:val="clear" w:color="000000" w:fill="F2F2F2"/>
            <w:noWrap/>
            <w:vAlign w:val="center"/>
            <w:hideMark/>
          </w:tcPr>
          <w:p w14:paraId="79F158A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21.22</w:t>
            </w:r>
          </w:p>
        </w:tc>
      </w:tr>
      <w:tr w:rsidR="008F43C0" w:rsidRPr="008F43C0" w14:paraId="0766F73C"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070245D"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TiO2</w:t>
            </w:r>
          </w:p>
        </w:tc>
        <w:tc>
          <w:tcPr>
            <w:tcW w:w="960" w:type="dxa"/>
            <w:tcBorders>
              <w:top w:val="nil"/>
              <w:left w:val="nil"/>
              <w:bottom w:val="single" w:sz="4" w:space="0" w:color="3F3F3F"/>
              <w:right w:val="single" w:sz="4" w:space="0" w:color="3F3F3F"/>
            </w:tcBorders>
            <w:shd w:val="clear" w:color="000000" w:fill="F2F2F2"/>
            <w:noWrap/>
            <w:vAlign w:val="bottom"/>
            <w:hideMark/>
          </w:tcPr>
          <w:p w14:paraId="492FF646"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1.42</w:t>
            </w:r>
          </w:p>
        </w:tc>
        <w:tc>
          <w:tcPr>
            <w:tcW w:w="960" w:type="dxa"/>
            <w:tcBorders>
              <w:top w:val="nil"/>
              <w:left w:val="nil"/>
              <w:bottom w:val="single" w:sz="4" w:space="0" w:color="3F3F3F"/>
              <w:right w:val="single" w:sz="4" w:space="0" w:color="3F3F3F"/>
            </w:tcBorders>
            <w:shd w:val="clear" w:color="000000" w:fill="F2F2F2"/>
            <w:noWrap/>
            <w:vAlign w:val="center"/>
            <w:hideMark/>
          </w:tcPr>
          <w:p w14:paraId="5007CA3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1.47</w:t>
            </w:r>
          </w:p>
        </w:tc>
        <w:tc>
          <w:tcPr>
            <w:tcW w:w="960" w:type="dxa"/>
            <w:tcBorders>
              <w:top w:val="nil"/>
              <w:left w:val="nil"/>
              <w:bottom w:val="single" w:sz="4" w:space="0" w:color="3F3F3F"/>
              <w:right w:val="single" w:sz="4" w:space="0" w:color="3F3F3F"/>
            </w:tcBorders>
            <w:shd w:val="clear" w:color="000000" w:fill="F2F2F2"/>
            <w:noWrap/>
            <w:vAlign w:val="center"/>
            <w:hideMark/>
          </w:tcPr>
          <w:p w14:paraId="55E6C587"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1.37</w:t>
            </w:r>
          </w:p>
        </w:tc>
        <w:tc>
          <w:tcPr>
            <w:tcW w:w="960" w:type="dxa"/>
            <w:tcBorders>
              <w:top w:val="nil"/>
              <w:left w:val="nil"/>
              <w:bottom w:val="single" w:sz="4" w:space="0" w:color="3F3F3F"/>
              <w:right w:val="single" w:sz="4" w:space="0" w:color="3F3F3F"/>
            </w:tcBorders>
            <w:shd w:val="clear" w:color="000000" w:fill="F2F2F2"/>
            <w:noWrap/>
            <w:vAlign w:val="center"/>
            <w:hideMark/>
          </w:tcPr>
          <w:p w14:paraId="1134A27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1.42</w:t>
            </w:r>
          </w:p>
        </w:tc>
        <w:tc>
          <w:tcPr>
            <w:tcW w:w="960" w:type="dxa"/>
            <w:tcBorders>
              <w:top w:val="nil"/>
              <w:left w:val="nil"/>
              <w:bottom w:val="single" w:sz="4" w:space="0" w:color="3F3F3F"/>
              <w:right w:val="single" w:sz="4" w:space="0" w:color="3F3F3F"/>
            </w:tcBorders>
            <w:shd w:val="clear" w:color="000000" w:fill="F2F2F2"/>
            <w:noWrap/>
            <w:vAlign w:val="center"/>
            <w:hideMark/>
          </w:tcPr>
          <w:p w14:paraId="2B4866B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1.41</w:t>
            </w:r>
          </w:p>
        </w:tc>
        <w:tc>
          <w:tcPr>
            <w:tcW w:w="960" w:type="dxa"/>
            <w:tcBorders>
              <w:top w:val="nil"/>
              <w:left w:val="nil"/>
              <w:bottom w:val="single" w:sz="4" w:space="0" w:color="3F3F3F"/>
              <w:right w:val="single" w:sz="4" w:space="0" w:color="3F3F3F"/>
            </w:tcBorders>
            <w:shd w:val="clear" w:color="000000" w:fill="F2F2F2"/>
            <w:noWrap/>
            <w:vAlign w:val="center"/>
            <w:hideMark/>
          </w:tcPr>
          <w:p w14:paraId="13999E5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1.37</w:t>
            </w:r>
          </w:p>
        </w:tc>
        <w:tc>
          <w:tcPr>
            <w:tcW w:w="960" w:type="dxa"/>
            <w:tcBorders>
              <w:top w:val="nil"/>
              <w:left w:val="nil"/>
              <w:bottom w:val="single" w:sz="4" w:space="0" w:color="3F3F3F"/>
              <w:right w:val="single" w:sz="4" w:space="0" w:color="3F3F3F"/>
            </w:tcBorders>
            <w:shd w:val="clear" w:color="000000" w:fill="F2F2F2"/>
            <w:noWrap/>
            <w:vAlign w:val="center"/>
            <w:hideMark/>
          </w:tcPr>
          <w:p w14:paraId="075C9FB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1.43</w:t>
            </w:r>
          </w:p>
        </w:tc>
      </w:tr>
      <w:tr w:rsidR="008F43C0" w:rsidRPr="008F43C0" w14:paraId="54C1CEAA"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427798A" w14:textId="77777777" w:rsidR="008F43C0" w:rsidRPr="008F43C0" w:rsidRDefault="008F43C0" w:rsidP="008F43C0">
            <w:pPr>
              <w:spacing w:after="0" w:line="240" w:lineRule="auto"/>
              <w:rPr>
                <w:rFonts w:ascii="Calibri" w:eastAsia="Times New Roman" w:hAnsi="Calibri" w:cs="Calibri"/>
                <w:b/>
                <w:bCs/>
                <w:color w:val="3F3F3F"/>
                <w:lang w:eastAsia="en-GB"/>
              </w:rPr>
            </w:pPr>
            <w:proofErr w:type="spellStart"/>
            <w:r w:rsidRPr="008F43C0">
              <w:rPr>
                <w:rFonts w:ascii="Calibri" w:eastAsia="Times New Roman" w:hAnsi="Calibri" w:cs="Calibri"/>
                <w:b/>
                <w:bCs/>
                <w:color w:val="3F3F3F"/>
                <w:lang w:eastAsia="en-GB"/>
              </w:rPr>
              <w:t>CaO</w:t>
            </w:r>
            <w:proofErr w:type="spellEnd"/>
          </w:p>
        </w:tc>
        <w:tc>
          <w:tcPr>
            <w:tcW w:w="960" w:type="dxa"/>
            <w:tcBorders>
              <w:top w:val="nil"/>
              <w:left w:val="nil"/>
              <w:bottom w:val="single" w:sz="4" w:space="0" w:color="3F3F3F"/>
              <w:right w:val="single" w:sz="4" w:space="0" w:color="3F3F3F"/>
            </w:tcBorders>
            <w:shd w:val="clear" w:color="000000" w:fill="F2F2F2"/>
            <w:noWrap/>
            <w:vAlign w:val="bottom"/>
            <w:hideMark/>
          </w:tcPr>
          <w:p w14:paraId="496E5436"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0.99</w:t>
            </w:r>
          </w:p>
        </w:tc>
        <w:tc>
          <w:tcPr>
            <w:tcW w:w="960" w:type="dxa"/>
            <w:tcBorders>
              <w:top w:val="nil"/>
              <w:left w:val="nil"/>
              <w:bottom w:val="single" w:sz="4" w:space="0" w:color="3F3F3F"/>
              <w:right w:val="single" w:sz="4" w:space="0" w:color="3F3F3F"/>
            </w:tcBorders>
            <w:shd w:val="clear" w:color="000000" w:fill="F2F2F2"/>
            <w:noWrap/>
            <w:vAlign w:val="center"/>
            <w:hideMark/>
          </w:tcPr>
          <w:p w14:paraId="28A1747C"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1.45</w:t>
            </w:r>
          </w:p>
        </w:tc>
        <w:tc>
          <w:tcPr>
            <w:tcW w:w="960" w:type="dxa"/>
            <w:tcBorders>
              <w:top w:val="nil"/>
              <w:left w:val="nil"/>
              <w:bottom w:val="single" w:sz="4" w:space="0" w:color="3F3F3F"/>
              <w:right w:val="single" w:sz="4" w:space="0" w:color="3F3F3F"/>
            </w:tcBorders>
            <w:shd w:val="clear" w:color="000000" w:fill="F2F2F2"/>
            <w:noWrap/>
            <w:vAlign w:val="center"/>
            <w:hideMark/>
          </w:tcPr>
          <w:p w14:paraId="54FE7CDB"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1.75</w:t>
            </w:r>
          </w:p>
        </w:tc>
        <w:tc>
          <w:tcPr>
            <w:tcW w:w="960" w:type="dxa"/>
            <w:tcBorders>
              <w:top w:val="nil"/>
              <w:left w:val="nil"/>
              <w:bottom w:val="single" w:sz="4" w:space="0" w:color="3F3F3F"/>
              <w:right w:val="single" w:sz="4" w:space="0" w:color="3F3F3F"/>
            </w:tcBorders>
            <w:shd w:val="clear" w:color="000000" w:fill="F2F2F2"/>
            <w:noWrap/>
            <w:vAlign w:val="center"/>
            <w:hideMark/>
          </w:tcPr>
          <w:p w14:paraId="4208C62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1.82</w:t>
            </w:r>
          </w:p>
        </w:tc>
        <w:tc>
          <w:tcPr>
            <w:tcW w:w="960" w:type="dxa"/>
            <w:tcBorders>
              <w:top w:val="nil"/>
              <w:left w:val="nil"/>
              <w:bottom w:val="single" w:sz="4" w:space="0" w:color="3F3F3F"/>
              <w:right w:val="single" w:sz="4" w:space="0" w:color="3F3F3F"/>
            </w:tcBorders>
            <w:shd w:val="clear" w:color="000000" w:fill="F2F2F2"/>
            <w:noWrap/>
            <w:vAlign w:val="center"/>
            <w:hideMark/>
          </w:tcPr>
          <w:p w14:paraId="65A6DC3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2.74</w:t>
            </w:r>
          </w:p>
        </w:tc>
        <w:tc>
          <w:tcPr>
            <w:tcW w:w="960" w:type="dxa"/>
            <w:tcBorders>
              <w:top w:val="nil"/>
              <w:left w:val="nil"/>
              <w:bottom w:val="single" w:sz="4" w:space="0" w:color="3F3F3F"/>
              <w:right w:val="single" w:sz="4" w:space="0" w:color="3F3F3F"/>
            </w:tcBorders>
            <w:shd w:val="clear" w:color="000000" w:fill="F2F2F2"/>
            <w:noWrap/>
            <w:vAlign w:val="center"/>
            <w:hideMark/>
          </w:tcPr>
          <w:p w14:paraId="4D5C566B"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2.26</w:t>
            </w:r>
          </w:p>
        </w:tc>
        <w:tc>
          <w:tcPr>
            <w:tcW w:w="960" w:type="dxa"/>
            <w:tcBorders>
              <w:top w:val="nil"/>
              <w:left w:val="nil"/>
              <w:bottom w:val="single" w:sz="4" w:space="0" w:color="3F3F3F"/>
              <w:right w:val="single" w:sz="4" w:space="0" w:color="3F3F3F"/>
            </w:tcBorders>
            <w:shd w:val="clear" w:color="000000" w:fill="F2F2F2"/>
            <w:noWrap/>
            <w:vAlign w:val="center"/>
            <w:hideMark/>
          </w:tcPr>
          <w:p w14:paraId="6A6C388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3.11</w:t>
            </w:r>
          </w:p>
        </w:tc>
      </w:tr>
      <w:tr w:rsidR="008F43C0" w:rsidRPr="008F43C0" w14:paraId="26484A59"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2A222301"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MgO</w:t>
            </w:r>
          </w:p>
        </w:tc>
        <w:tc>
          <w:tcPr>
            <w:tcW w:w="960" w:type="dxa"/>
            <w:tcBorders>
              <w:top w:val="nil"/>
              <w:left w:val="nil"/>
              <w:bottom w:val="single" w:sz="4" w:space="0" w:color="3F3F3F"/>
              <w:right w:val="single" w:sz="4" w:space="0" w:color="3F3F3F"/>
            </w:tcBorders>
            <w:shd w:val="clear" w:color="000000" w:fill="F2F2F2"/>
            <w:noWrap/>
            <w:vAlign w:val="bottom"/>
            <w:hideMark/>
          </w:tcPr>
          <w:p w14:paraId="7AA5AFA2"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0.36</w:t>
            </w:r>
          </w:p>
        </w:tc>
        <w:tc>
          <w:tcPr>
            <w:tcW w:w="960" w:type="dxa"/>
            <w:tcBorders>
              <w:top w:val="nil"/>
              <w:left w:val="nil"/>
              <w:bottom w:val="single" w:sz="4" w:space="0" w:color="3F3F3F"/>
              <w:right w:val="single" w:sz="4" w:space="0" w:color="3F3F3F"/>
            </w:tcBorders>
            <w:shd w:val="clear" w:color="000000" w:fill="F2F2F2"/>
            <w:noWrap/>
            <w:vAlign w:val="center"/>
            <w:hideMark/>
          </w:tcPr>
          <w:p w14:paraId="414FC4A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0.41</w:t>
            </w:r>
          </w:p>
        </w:tc>
        <w:tc>
          <w:tcPr>
            <w:tcW w:w="960" w:type="dxa"/>
            <w:tcBorders>
              <w:top w:val="nil"/>
              <w:left w:val="nil"/>
              <w:bottom w:val="single" w:sz="4" w:space="0" w:color="3F3F3F"/>
              <w:right w:val="single" w:sz="4" w:space="0" w:color="3F3F3F"/>
            </w:tcBorders>
            <w:shd w:val="clear" w:color="000000" w:fill="F2F2F2"/>
            <w:noWrap/>
            <w:vAlign w:val="center"/>
            <w:hideMark/>
          </w:tcPr>
          <w:p w14:paraId="2C3701D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0.35</w:t>
            </w:r>
          </w:p>
        </w:tc>
        <w:tc>
          <w:tcPr>
            <w:tcW w:w="960" w:type="dxa"/>
            <w:tcBorders>
              <w:top w:val="nil"/>
              <w:left w:val="nil"/>
              <w:bottom w:val="single" w:sz="4" w:space="0" w:color="3F3F3F"/>
              <w:right w:val="single" w:sz="4" w:space="0" w:color="3F3F3F"/>
            </w:tcBorders>
            <w:shd w:val="clear" w:color="000000" w:fill="F2F2F2"/>
            <w:noWrap/>
            <w:vAlign w:val="center"/>
            <w:hideMark/>
          </w:tcPr>
          <w:p w14:paraId="554DAB0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0.61</w:t>
            </w:r>
          </w:p>
        </w:tc>
        <w:tc>
          <w:tcPr>
            <w:tcW w:w="960" w:type="dxa"/>
            <w:tcBorders>
              <w:top w:val="nil"/>
              <w:left w:val="nil"/>
              <w:bottom w:val="single" w:sz="4" w:space="0" w:color="3F3F3F"/>
              <w:right w:val="single" w:sz="4" w:space="0" w:color="3F3F3F"/>
            </w:tcBorders>
            <w:shd w:val="clear" w:color="000000" w:fill="F2F2F2"/>
            <w:noWrap/>
            <w:vAlign w:val="center"/>
            <w:hideMark/>
          </w:tcPr>
          <w:p w14:paraId="1FA63DC6"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0.38</w:t>
            </w:r>
          </w:p>
        </w:tc>
        <w:tc>
          <w:tcPr>
            <w:tcW w:w="960" w:type="dxa"/>
            <w:tcBorders>
              <w:top w:val="nil"/>
              <w:left w:val="nil"/>
              <w:bottom w:val="single" w:sz="4" w:space="0" w:color="3F3F3F"/>
              <w:right w:val="single" w:sz="4" w:space="0" w:color="3F3F3F"/>
            </w:tcBorders>
            <w:shd w:val="clear" w:color="000000" w:fill="F2F2F2"/>
            <w:noWrap/>
            <w:vAlign w:val="center"/>
            <w:hideMark/>
          </w:tcPr>
          <w:p w14:paraId="479CAACC"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0.42</w:t>
            </w:r>
          </w:p>
        </w:tc>
        <w:tc>
          <w:tcPr>
            <w:tcW w:w="960" w:type="dxa"/>
            <w:tcBorders>
              <w:top w:val="nil"/>
              <w:left w:val="nil"/>
              <w:bottom w:val="single" w:sz="4" w:space="0" w:color="3F3F3F"/>
              <w:right w:val="single" w:sz="4" w:space="0" w:color="3F3F3F"/>
            </w:tcBorders>
            <w:shd w:val="clear" w:color="000000" w:fill="F2F2F2"/>
            <w:noWrap/>
            <w:vAlign w:val="center"/>
            <w:hideMark/>
          </w:tcPr>
          <w:p w14:paraId="60513417"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0.58</w:t>
            </w:r>
          </w:p>
        </w:tc>
      </w:tr>
      <w:tr w:rsidR="008F43C0" w:rsidRPr="008F43C0" w14:paraId="2EF3FBCE"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E58F2B4" w14:textId="3E1D6335"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Fe</w:t>
            </w:r>
            <w:r w:rsidRPr="00D8745D">
              <w:rPr>
                <w:rFonts w:ascii="Calibri" w:eastAsia="Times New Roman" w:hAnsi="Calibri" w:cs="Calibri"/>
                <w:b/>
                <w:bCs/>
                <w:color w:val="3F3F3F"/>
                <w:vertAlign w:val="subscript"/>
                <w:lang w:eastAsia="en-GB"/>
              </w:rPr>
              <w:t>2</w:t>
            </w:r>
            <w:r w:rsidR="00A56AD8" w:rsidRPr="00A56AD8">
              <w:rPr>
                <w:rFonts w:ascii="Calibri" w:eastAsia="Times New Roman" w:hAnsi="Calibri" w:cs="Calibri"/>
                <w:b/>
                <w:bCs/>
                <w:color w:val="3F3F3F"/>
                <w:lang w:eastAsia="en-GB"/>
              </w:rPr>
              <w:t>O</w:t>
            </w:r>
            <w:r w:rsidRPr="00D8745D">
              <w:rPr>
                <w:rFonts w:ascii="Calibri" w:eastAsia="Times New Roman" w:hAnsi="Calibri" w:cs="Calibri"/>
                <w:b/>
                <w:bCs/>
                <w:color w:val="3F3F3F"/>
                <w:vertAlign w:val="subscript"/>
                <w:lang w:eastAsia="en-GB"/>
              </w:rPr>
              <w:t>3</w:t>
            </w:r>
          </w:p>
        </w:tc>
        <w:tc>
          <w:tcPr>
            <w:tcW w:w="960" w:type="dxa"/>
            <w:tcBorders>
              <w:top w:val="nil"/>
              <w:left w:val="nil"/>
              <w:bottom w:val="single" w:sz="4" w:space="0" w:color="3F3F3F"/>
              <w:right w:val="single" w:sz="4" w:space="0" w:color="3F3F3F"/>
            </w:tcBorders>
            <w:shd w:val="clear" w:color="000000" w:fill="F2F2F2"/>
            <w:noWrap/>
            <w:vAlign w:val="bottom"/>
            <w:hideMark/>
          </w:tcPr>
          <w:p w14:paraId="7563A9F8"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4.55</w:t>
            </w:r>
          </w:p>
        </w:tc>
        <w:tc>
          <w:tcPr>
            <w:tcW w:w="960" w:type="dxa"/>
            <w:tcBorders>
              <w:top w:val="nil"/>
              <w:left w:val="nil"/>
              <w:bottom w:val="single" w:sz="4" w:space="0" w:color="3F3F3F"/>
              <w:right w:val="single" w:sz="4" w:space="0" w:color="3F3F3F"/>
            </w:tcBorders>
            <w:shd w:val="clear" w:color="000000" w:fill="F2F2F2"/>
            <w:noWrap/>
            <w:vAlign w:val="center"/>
            <w:hideMark/>
          </w:tcPr>
          <w:p w14:paraId="0B7C935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5.34</w:t>
            </w:r>
          </w:p>
        </w:tc>
        <w:tc>
          <w:tcPr>
            <w:tcW w:w="960" w:type="dxa"/>
            <w:tcBorders>
              <w:top w:val="nil"/>
              <w:left w:val="nil"/>
              <w:bottom w:val="single" w:sz="4" w:space="0" w:color="3F3F3F"/>
              <w:right w:val="single" w:sz="4" w:space="0" w:color="3F3F3F"/>
            </w:tcBorders>
            <w:shd w:val="clear" w:color="000000" w:fill="F2F2F2"/>
            <w:noWrap/>
            <w:vAlign w:val="center"/>
            <w:hideMark/>
          </w:tcPr>
          <w:p w14:paraId="452D615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4.73</w:t>
            </w:r>
          </w:p>
        </w:tc>
        <w:tc>
          <w:tcPr>
            <w:tcW w:w="960" w:type="dxa"/>
            <w:tcBorders>
              <w:top w:val="nil"/>
              <w:left w:val="nil"/>
              <w:bottom w:val="single" w:sz="4" w:space="0" w:color="3F3F3F"/>
              <w:right w:val="single" w:sz="4" w:space="0" w:color="3F3F3F"/>
            </w:tcBorders>
            <w:shd w:val="clear" w:color="000000" w:fill="F2F2F2"/>
            <w:noWrap/>
            <w:vAlign w:val="center"/>
            <w:hideMark/>
          </w:tcPr>
          <w:p w14:paraId="78FD618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6.01</w:t>
            </w:r>
          </w:p>
        </w:tc>
        <w:tc>
          <w:tcPr>
            <w:tcW w:w="960" w:type="dxa"/>
            <w:tcBorders>
              <w:top w:val="nil"/>
              <w:left w:val="nil"/>
              <w:bottom w:val="single" w:sz="4" w:space="0" w:color="3F3F3F"/>
              <w:right w:val="single" w:sz="4" w:space="0" w:color="3F3F3F"/>
            </w:tcBorders>
            <w:shd w:val="clear" w:color="000000" w:fill="F2F2F2"/>
            <w:noWrap/>
            <w:vAlign w:val="center"/>
            <w:hideMark/>
          </w:tcPr>
          <w:p w14:paraId="2B92BCE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10.05</w:t>
            </w:r>
          </w:p>
        </w:tc>
        <w:tc>
          <w:tcPr>
            <w:tcW w:w="960" w:type="dxa"/>
            <w:tcBorders>
              <w:top w:val="nil"/>
              <w:left w:val="nil"/>
              <w:bottom w:val="single" w:sz="4" w:space="0" w:color="3F3F3F"/>
              <w:right w:val="single" w:sz="4" w:space="0" w:color="3F3F3F"/>
            </w:tcBorders>
            <w:shd w:val="clear" w:color="000000" w:fill="F2F2F2"/>
            <w:noWrap/>
            <w:vAlign w:val="center"/>
            <w:hideMark/>
          </w:tcPr>
          <w:p w14:paraId="37669DF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9.56</w:t>
            </w:r>
          </w:p>
        </w:tc>
        <w:tc>
          <w:tcPr>
            <w:tcW w:w="960" w:type="dxa"/>
            <w:tcBorders>
              <w:top w:val="nil"/>
              <w:left w:val="nil"/>
              <w:bottom w:val="single" w:sz="4" w:space="0" w:color="3F3F3F"/>
              <w:right w:val="single" w:sz="4" w:space="0" w:color="3F3F3F"/>
            </w:tcBorders>
            <w:shd w:val="clear" w:color="000000" w:fill="F2F2F2"/>
            <w:noWrap/>
            <w:vAlign w:val="center"/>
            <w:hideMark/>
          </w:tcPr>
          <w:p w14:paraId="76C6428C"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10.58</w:t>
            </w:r>
          </w:p>
        </w:tc>
      </w:tr>
      <w:tr w:rsidR="008F43C0" w:rsidRPr="008F43C0" w14:paraId="0C11463A"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10FECEB" w14:textId="17A24876"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P</w:t>
            </w:r>
            <w:r w:rsidR="00D8745D" w:rsidRPr="00A56AD8">
              <w:rPr>
                <w:rFonts w:ascii="Calibri" w:eastAsia="Times New Roman" w:hAnsi="Calibri" w:cs="Calibri"/>
                <w:b/>
                <w:bCs/>
                <w:color w:val="3F3F3F"/>
                <w:vertAlign w:val="subscript"/>
                <w:lang w:eastAsia="en-GB"/>
              </w:rPr>
              <w:t>2</w:t>
            </w:r>
            <w:r w:rsidR="00D8745D">
              <w:rPr>
                <w:rFonts w:ascii="Calibri" w:eastAsia="Times New Roman" w:hAnsi="Calibri" w:cs="Calibri"/>
                <w:b/>
                <w:bCs/>
                <w:color w:val="3F3F3F"/>
                <w:lang w:eastAsia="en-GB"/>
              </w:rPr>
              <w:t>O</w:t>
            </w:r>
            <w:r w:rsidR="00D8745D" w:rsidRPr="00A56AD8">
              <w:rPr>
                <w:rFonts w:ascii="Calibri" w:eastAsia="Times New Roman" w:hAnsi="Calibri" w:cs="Calibri"/>
                <w:b/>
                <w:bCs/>
                <w:color w:val="3F3F3F"/>
                <w:vertAlign w:val="subscript"/>
                <w:lang w:eastAsia="en-GB"/>
              </w:rPr>
              <w:t>5</w:t>
            </w:r>
          </w:p>
        </w:tc>
        <w:tc>
          <w:tcPr>
            <w:tcW w:w="960" w:type="dxa"/>
            <w:tcBorders>
              <w:top w:val="nil"/>
              <w:left w:val="nil"/>
              <w:bottom w:val="single" w:sz="4" w:space="0" w:color="3F3F3F"/>
              <w:right w:val="single" w:sz="4" w:space="0" w:color="3F3F3F"/>
            </w:tcBorders>
            <w:shd w:val="clear" w:color="000000" w:fill="F2F2F2"/>
            <w:noWrap/>
            <w:vAlign w:val="bottom"/>
            <w:hideMark/>
          </w:tcPr>
          <w:p w14:paraId="3B00E078"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0.018</w:t>
            </w:r>
          </w:p>
        </w:tc>
        <w:tc>
          <w:tcPr>
            <w:tcW w:w="960" w:type="dxa"/>
            <w:tcBorders>
              <w:top w:val="nil"/>
              <w:left w:val="nil"/>
              <w:bottom w:val="single" w:sz="4" w:space="0" w:color="3F3F3F"/>
              <w:right w:val="single" w:sz="4" w:space="0" w:color="3F3F3F"/>
            </w:tcBorders>
            <w:shd w:val="clear" w:color="000000" w:fill="F2F2F2"/>
            <w:noWrap/>
            <w:vAlign w:val="center"/>
            <w:hideMark/>
          </w:tcPr>
          <w:p w14:paraId="2BB0210E"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0.021</w:t>
            </w:r>
          </w:p>
        </w:tc>
        <w:tc>
          <w:tcPr>
            <w:tcW w:w="960" w:type="dxa"/>
            <w:tcBorders>
              <w:top w:val="nil"/>
              <w:left w:val="nil"/>
              <w:bottom w:val="single" w:sz="4" w:space="0" w:color="3F3F3F"/>
              <w:right w:val="single" w:sz="4" w:space="0" w:color="3F3F3F"/>
            </w:tcBorders>
            <w:shd w:val="clear" w:color="000000" w:fill="F2F2F2"/>
            <w:noWrap/>
            <w:vAlign w:val="center"/>
            <w:hideMark/>
          </w:tcPr>
          <w:p w14:paraId="1EF0D82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0.019</w:t>
            </w:r>
          </w:p>
        </w:tc>
        <w:tc>
          <w:tcPr>
            <w:tcW w:w="960" w:type="dxa"/>
            <w:tcBorders>
              <w:top w:val="nil"/>
              <w:left w:val="nil"/>
              <w:bottom w:val="single" w:sz="4" w:space="0" w:color="3F3F3F"/>
              <w:right w:val="single" w:sz="4" w:space="0" w:color="3F3F3F"/>
            </w:tcBorders>
            <w:shd w:val="clear" w:color="000000" w:fill="F2F2F2"/>
            <w:noWrap/>
            <w:vAlign w:val="center"/>
            <w:hideMark/>
          </w:tcPr>
          <w:p w14:paraId="18A1F1C5"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0.021</w:t>
            </w:r>
          </w:p>
        </w:tc>
        <w:tc>
          <w:tcPr>
            <w:tcW w:w="960" w:type="dxa"/>
            <w:tcBorders>
              <w:top w:val="nil"/>
              <w:left w:val="nil"/>
              <w:bottom w:val="single" w:sz="4" w:space="0" w:color="3F3F3F"/>
              <w:right w:val="single" w:sz="4" w:space="0" w:color="3F3F3F"/>
            </w:tcBorders>
            <w:shd w:val="clear" w:color="000000" w:fill="F2F2F2"/>
            <w:noWrap/>
            <w:vAlign w:val="center"/>
            <w:hideMark/>
          </w:tcPr>
          <w:p w14:paraId="17C4C79E"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0.021</w:t>
            </w:r>
          </w:p>
        </w:tc>
        <w:tc>
          <w:tcPr>
            <w:tcW w:w="960" w:type="dxa"/>
            <w:tcBorders>
              <w:top w:val="nil"/>
              <w:left w:val="nil"/>
              <w:bottom w:val="single" w:sz="4" w:space="0" w:color="3F3F3F"/>
              <w:right w:val="single" w:sz="4" w:space="0" w:color="3F3F3F"/>
            </w:tcBorders>
            <w:shd w:val="clear" w:color="000000" w:fill="F2F2F2"/>
            <w:noWrap/>
            <w:vAlign w:val="center"/>
            <w:hideMark/>
          </w:tcPr>
          <w:p w14:paraId="732AC2F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0.021</w:t>
            </w:r>
          </w:p>
        </w:tc>
        <w:tc>
          <w:tcPr>
            <w:tcW w:w="960" w:type="dxa"/>
            <w:tcBorders>
              <w:top w:val="nil"/>
              <w:left w:val="nil"/>
              <w:bottom w:val="single" w:sz="4" w:space="0" w:color="3F3F3F"/>
              <w:right w:val="single" w:sz="4" w:space="0" w:color="3F3F3F"/>
            </w:tcBorders>
            <w:shd w:val="clear" w:color="000000" w:fill="F2F2F2"/>
            <w:noWrap/>
            <w:vAlign w:val="center"/>
            <w:hideMark/>
          </w:tcPr>
          <w:p w14:paraId="4A85DA37"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0.03</w:t>
            </w:r>
          </w:p>
        </w:tc>
      </w:tr>
      <w:tr w:rsidR="008F43C0" w:rsidRPr="008F43C0" w14:paraId="68B3B965"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0DBFD52C"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Na</w:t>
            </w:r>
            <w:r w:rsidRPr="00A56AD8">
              <w:rPr>
                <w:rFonts w:ascii="Calibri" w:eastAsia="Times New Roman" w:hAnsi="Calibri" w:cs="Calibri"/>
                <w:b/>
                <w:bCs/>
                <w:color w:val="3F3F3F"/>
                <w:vertAlign w:val="subscript"/>
                <w:lang w:eastAsia="en-GB"/>
              </w:rPr>
              <w:t>2</w:t>
            </w:r>
            <w:r w:rsidRPr="008F43C0">
              <w:rPr>
                <w:rFonts w:ascii="Calibri" w:eastAsia="Times New Roman" w:hAnsi="Calibri" w:cs="Calibri"/>
                <w:b/>
                <w:bCs/>
                <w:color w:val="3F3F3F"/>
                <w:lang w:eastAsia="en-GB"/>
              </w:rPr>
              <w:t>O</w:t>
            </w:r>
          </w:p>
        </w:tc>
        <w:tc>
          <w:tcPr>
            <w:tcW w:w="960" w:type="dxa"/>
            <w:tcBorders>
              <w:top w:val="nil"/>
              <w:left w:val="nil"/>
              <w:bottom w:val="single" w:sz="4" w:space="0" w:color="3F3F3F"/>
              <w:right w:val="single" w:sz="4" w:space="0" w:color="3F3F3F"/>
            </w:tcBorders>
            <w:shd w:val="clear" w:color="000000" w:fill="F2F2F2"/>
            <w:noWrap/>
            <w:vAlign w:val="bottom"/>
            <w:hideMark/>
          </w:tcPr>
          <w:p w14:paraId="1361B202"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0.453</w:t>
            </w:r>
          </w:p>
        </w:tc>
        <w:tc>
          <w:tcPr>
            <w:tcW w:w="960" w:type="dxa"/>
            <w:tcBorders>
              <w:top w:val="nil"/>
              <w:left w:val="nil"/>
              <w:bottom w:val="single" w:sz="4" w:space="0" w:color="3F3F3F"/>
              <w:right w:val="single" w:sz="4" w:space="0" w:color="3F3F3F"/>
            </w:tcBorders>
            <w:shd w:val="clear" w:color="000000" w:fill="F2F2F2"/>
            <w:noWrap/>
            <w:vAlign w:val="center"/>
            <w:hideMark/>
          </w:tcPr>
          <w:p w14:paraId="25F6B2F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0.477</w:t>
            </w:r>
          </w:p>
        </w:tc>
        <w:tc>
          <w:tcPr>
            <w:tcW w:w="960" w:type="dxa"/>
            <w:tcBorders>
              <w:top w:val="nil"/>
              <w:left w:val="nil"/>
              <w:bottom w:val="single" w:sz="4" w:space="0" w:color="3F3F3F"/>
              <w:right w:val="single" w:sz="4" w:space="0" w:color="3F3F3F"/>
            </w:tcBorders>
            <w:shd w:val="clear" w:color="000000" w:fill="F2F2F2"/>
            <w:noWrap/>
            <w:vAlign w:val="center"/>
            <w:hideMark/>
          </w:tcPr>
          <w:p w14:paraId="043CAF6F"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0.453</w:t>
            </w:r>
          </w:p>
        </w:tc>
        <w:tc>
          <w:tcPr>
            <w:tcW w:w="960" w:type="dxa"/>
            <w:tcBorders>
              <w:top w:val="nil"/>
              <w:left w:val="nil"/>
              <w:bottom w:val="single" w:sz="4" w:space="0" w:color="3F3F3F"/>
              <w:right w:val="single" w:sz="4" w:space="0" w:color="3F3F3F"/>
            </w:tcBorders>
            <w:shd w:val="clear" w:color="000000" w:fill="F2F2F2"/>
            <w:noWrap/>
            <w:vAlign w:val="center"/>
            <w:hideMark/>
          </w:tcPr>
          <w:p w14:paraId="2722F8E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0.446</w:t>
            </w:r>
          </w:p>
        </w:tc>
        <w:tc>
          <w:tcPr>
            <w:tcW w:w="960" w:type="dxa"/>
            <w:tcBorders>
              <w:top w:val="nil"/>
              <w:left w:val="nil"/>
              <w:bottom w:val="single" w:sz="4" w:space="0" w:color="3F3F3F"/>
              <w:right w:val="single" w:sz="4" w:space="0" w:color="3F3F3F"/>
            </w:tcBorders>
            <w:shd w:val="clear" w:color="000000" w:fill="F2F2F2"/>
            <w:noWrap/>
            <w:vAlign w:val="center"/>
            <w:hideMark/>
          </w:tcPr>
          <w:p w14:paraId="03B3D658"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0.383</w:t>
            </w:r>
          </w:p>
        </w:tc>
        <w:tc>
          <w:tcPr>
            <w:tcW w:w="960" w:type="dxa"/>
            <w:tcBorders>
              <w:top w:val="nil"/>
              <w:left w:val="nil"/>
              <w:bottom w:val="single" w:sz="4" w:space="0" w:color="3F3F3F"/>
              <w:right w:val="single" w:sz="4" w:space="0" w:color="3F3F3F"/>
            </w:tcBorders>
            <w:shd w:val="clear" w:color="000000" w:fill="F2F2F2"/>
            <w:noWrap/>
            <w:vAlign w:val="center"/>
            <w:hideMark/>
          </w:tcPr>
          <w:p w14:paraId="25329D5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0.427</w:t>
            </w:r>
          </w:p>
        </w:tc>
        <w:tc>
          <w:tcPr>
            <w:tcW w:w="960" w:type="dxa"/>
            <w:tcBorders>
              <w:top w:val="nil"/>
              <w:left w:val="nil"/>
              <w:bottom w:val="single" w:sz="4" w:space="0" w:color="3F3F3F"/>
              <w:right w:val="single" w:sz="4" w:space="0" w:color="3F3F3F"/>
            </w:tcBorders>
            <w:shd w:val="clear" w:color="000000" w:fill="F2F2F2"/>
            <w:noWrap/>
            <w:vAlign w:val="center"/>
            <w:hideMark/>
          </w:tcPr>
          <w:p w14:paraId="21CA4B3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0.409</w:t>
            </w:r>
          </w:p>
        </w:tc>
      </w:tr>
      <w:tr w:rsidR="008F43C0" w:rsidRPr="008F43C0" w14:paraId="315A4661"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1DC37AC" w14:textId="77777777"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K</w:t>
            </w:r>
            <w:r w:rsidRPr="00A56AD8">
              <w:rPr>
                <w:rFonts w:ascii="Calibri" w:eastAsia="Times New Roman" w:hAnsi="Calibri" w:cs="Calibri"/>
                <w:b/>
                <w:bCs/>
                <w:color w:val="3F3F3F"/>
                <w:vertAlign w:val="subscript"/>
                <w:lang w:eastAsia="en-GB"/>
              </w:rPr>
              <w:t>2</w:t>
            </w:r>
            <w:r w:rsidRPr="008F43C0">
              <w:rPr>
                <w:rFonts w:ascii="Calibri" w:eastAsia="Times New Roman" w:hAnsi="Calibri" w:cs="Calibri"/>
                <w:b/>
                <w:bCs/>
                <w:color w:val="3F3F3F"/>
                <w:lang w:eastAsia="en-GB"/>
              </w:rPr>
              <w:t>O</w:t>
            </w:r>
          </w:p>
        </w:tc>
        <w:tc>
          <w:tcPr>
            <w:tcW w:w="960" w:type="dxa"/>
            <w:tcBorders>
              <w:top w:val="nil"/>
              <w:left w:val="nil"/>
              <w:bottom w:val="single" w:sz="4" w:space="0" w:color="3F3F3F"/>
              <w:right w:val="single" w:sz="4" w:space="0" w:color="3F3F3F"/>
            </w:tcBorders>
            <w:shd w:val="clear" w:color="000000" w:fill="F2F2F2"/>
            <w:noWrap/>
            <w:vAlign w:val="bottom"/>
            <w:hideMark/>
          </w:tcPr>
          <w:p w14:paraId="0850B57A"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0.726</w:t>
            </w:r>
          </w:p>
        </w:tc>
        <w:tc>
          <w:tcPr>
            <w:tcW w:w="960" w:type="dxa"/>
            <w:tcBorders>
              <w:top w:val="nil"/>
              <w:left w:val="nil"/>
              <w:bottom w:val="single" w:sz="4" w:space="0" w:color="3F3F3F"/>
              <w:right w:val="single" w:sz="4" w:space="0" w:color="3F3F3F"/>
            </w:tcBorders>
            <w:shd w:val="clear" w:color="000000" w:fill="F2F2F2"/>
            <w:noWrap/>
            <w:vAlign w:val="center"/>
            <w:hideMark/>
          </w:tcPr>
          <w:p w14:paraId="1B4EC3B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0.793</w:t>
            </w:r>
          </w:p>
        </w:tc>
        <w:tc>
          <w:tcPr>
            <w:tcW w:w="960" w:type="dxa"/>
            <w:tcBorders>
              <w:top w:val="nil"/>
              <w:left w:val="nil"/>
              <w:bottom w:val="single" w:sz="4" w:space="0" w:color="3F3F3F"/>
              <w:right w:val="single" w:sz="4" w:space="0" w:color="3F3F3F"/>
            </w:tcBorders>
            <w:shd w:val="clear" w:color="000000" w:fill="F2F2F2"/>
            <w:noWrap/>
            <w:vAlign w:val="center"/>
            <w:hideMark/>
          </w:tcPr>
          <w:p w14:paraId="37B623E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0.853</w:t>
            </w:r>
          </w:p>
        </w:tc>
        <w:tc>
          <w:tcPr>
            <w:tcW w:w="960" w:type="dxa"/>
            <w:tcBorders>
              <w:top w:val="nil"/>
              <w:left w:val="nil"/>
              <w:bottom w:val="single" w:sz="4" w:space="0" w:color="3F3F3F"/>
              <w:right w:val="single" w:sz="4" w:space="0" w:color="3F3F3F"/>
            </w:tcBorders>
            <w:shd w:val="clear" w:color="000000" w:fill="F2F2F2"/>
            <w:noWrap/>
            <w:vAlign w:val="center"/>
            <w:hideMark/>
          </w:tcPr>
          <w:p w14:paraId="618B72FC"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0.848</w:t>
            </w:r>
          </w:p>
        </w:tc>
        <w:tc>
          <w:tcPr>
            <w:tcW w:w="960" w:type="dxa"/>
            <w:tcBorders>
              <w:top w:val="nil"/>
              <w:left w:val="nil"/>
              <w:bottom w:val="single" w:sz="4" w:space="0" w:color="3F3F3F"/>
              <w:right w:val="single" w:sz="4" w:space="0" w:color="3F3F3F"/>
            </w:tcBorders>
            <w:shd w:val="clear" w:color="000000" w:fill="F2F2F2"/>
            <w:noWrap/>
            <w:vAlign w:val="center"/>
            <w:hideMark/>
          </w:tcPr>
          <w:p w14:paraId="3DC71E3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0.856</w:t>
            </w:r>
          </w:p>
        </w:tc>
        <w:tc>
          <w:tcPr>
            <w:tcW w:w="960" w:type="dxa"/>
            <w:tcBorders>
              <w:top w:val="nil"/>
              <w:left w:val="nil"/>
              <w:bottom w:val="single" w:sz="4" w:space="0" w:color="3F3F3F"/>
              <w:right w:val="single" w:sz="4" w:space="0" w:color="3F3F3F"/>
            </w:tcBorders>
            <w:shd w:val="clear" w:color="000000" w:fill="F2F2F2"/>
            <w:noWrap/>
            <w:vAlign w:val="center"/>
            <w:hideMark/>
          </w:tcPr>
          <w:p w14:paraId="1ADFEB3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0.892</w:t>
            </w:r>
          </w:p>
        </w:tc>
        <w:tc>
          <w:tcPr>
            <w:tcW w:w="960" w:type="dxa"/>
            <w:tcBorders>
              <w:top w:val="nil"/>
              <w:left w:val="nil"/>
              <w:bottom w:val="single" w:sz="4" w:space="0" w:color="3F3F3F"/>
              <w:right w:val="single" w:sz="4" w:space="0" w:color="3F3F3F"/>
            </w:tcBorders>
            <w:shd w:val="clear" w:color="000000" w:fill="F2F2F2"/>
            <w:noWrap/>
            <w:vAlign w:val="center"/>
            <w:hideMark/>
          </w:tcPr>
          <w:p w14:paraId="1B4E994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1.175</w:t>
            </w:r>
          </w:p>
        </w:tc>
      </w:tr>
      <w:tr w:rsidR="008F43C0" w:rsidRPr="008F43C0" w14:paraId="57AE05F7"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F4AC310" w14:textId="07871780"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Zn</w:t>
            </w:r>
          </w:p>
        </w:tc>
        <w:tc>
          <w:tcPr>
            <w:tcW w:w="960" w:type="dxa"/>
            <w:tcBorders>
              <w:top w:val="nil"/>
              <w:left w:val="nil"/>
              <w:bottom w:val="single" w:sz="4" w:space="0" w:color="3F3F3F"/>
              <w:right w:val="single" w:sz="4" w:space="0" w:color="3F3F3F"/>
            </w:tcBorders>
            <w:shd w:val="clear" w:color="000000" w:fill="F2F2F2"/>
            <w:noWrap/>
            <w:vAlign w:val="bottom"/>
            <w:hideMark/>
          </w:tcPr>
          <w:p w14:paraId="222A3620"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0.014</w:t>
            </w:r>
          </w:p>
        </w:tc>
        <w:tc>
          <w:tcPr>
            <w:tcW w:w="960" w:type="dxa"/>
            <w:tcBorders>
              <w:top w:val="nil"/>
              <w:left w:val="nil"/>
              <w:bottom w:val="single" w:sz="4" w:space="0" w:color="3F3F3F"/>
              <w:right w:val="single" w:sz="4" w:space="0" w:color="3F3F3F"/>
            </w:tcBorders>
            <w:shd w:val="clear" w:color="000000" w:fill="F2F2F2"/>
            <w:noWrap/>
            <w:vAlign w:val="center"/>
            <w:hideMark/>
          </w:tcPr>
          <w:p w14:paraId="486B2019"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0.012</w:t>
            </w:r>
          </w:p>
        </w:tc>
        <w:tc>
          <w:tcPr>
            <w:tcW w:w="960" w:type="dxa"/>
            <w:tcBorders>
              <w:top w:val="nil"/>
              <w:left w:val="nil"/>
              <w:bottom w:val="single" w:sz="4" w:space="0" w:color="3F3F3F"/>
              <w:right w:val="single" w:sz="4" w:space="0" w:color="3F3F3F"/>
            </w:tcBorders>
            <w:shd w:val="clear" w:color="000000" w:fill="F2F2F2"/>
            <w:noWrap/>
            <w:vAlign w:val="center"/>
            <w:hideMark/>
          </w:tcPr>
          <w:p w14:paraId="50BB3AF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0.011</w:t>
            </w:r>
          </w:p>
        </w:tc>
        <w:tc>
          <w:tcPr>
            <w:tcW w:w="960" w:type="dxa"/>
            <w:tcBorders>
              <w:top w:val="nil"/>
              <w:left w:val="nil"/>
              <w:bottom w:val="single" w:sz="4" w:space="0" w:color="3F3F3F"/>
              <w:right w:val="single" w:sz="4" w:space="0" w:color="3F3F3F"/>
            </w:tcBorders>
            <w:shd w:val="clear" w:color="000000" w:fill="F2F2F2"/>
            <w:noWrap/>
            <w:vAlign w:val="center"/>
            <w:hideMark/>
          </w:tcPr>
          <w:p w14:paraId="39D123EA"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0.014</w:t>
            </w:r>
          </w:p>
        </w:tc>
        <w:tc>
          <w:tcPr>
            <w:tcW w:w="960" w:type="dxa"/>
            <w:tcBorders>
              <w:top w:val="nil"/>
              <w:left w:val="nil"/>
              <w:bottom w:val="single" w:sz="4" w:space="0" w:color="3F3F3F"/>
              <w:right w:val="single" w:sz="4" w:space="0" w:color="3F3F3F"/>
            </w:tcBorders>
            <w:shd w:val="clear" w:color="000000" w:fill="F2F2F2"/>
            <w:noWrap/>
            <w:vAlign w:val="center"/>
            <w:hideMark/>
          </w:tcPr>
          <w:p w14:paraId="275BA538"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0.012</w:t>
            </w:r>
          </w:p>
        </w:tc>
        <w:tc>
          <w:tcPr>
            <w:tcW w:w="960" w:type="dxa"/>
            <w:tcBorders>
              <w:top w:val="nil"/>
              <w:left w:val="nil"/>
              <w:bottom w:val="single" w:sz="4" w:space="0" w:color="3F3F3F"/>
              <w:right w:val="single" w:sz="4" w:space="0" w:color="3F3F3F"/>
            </w:tcBorders>
            <w:shd w:val="clear" w:color="000000" w:fill="F2F2F2"/>
            <w:noWrap/>
            <w:vAlign w:val="center"/>
            <w:hideMark/>
          </w:tcPr>
          <w:p w14:paraId="01DE2DB0"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0.013</w:t>
            </w:r>
          </w:p>
        </w:tc>
        <w:tc>
          <w:tcPr>
            <w:tcW w:w="960" w:type="dxa"/>
            <w:tcBorders>
              <w:top w:val="nil"/>
              <w:left w:val="nil"/>
              <w:bottom w:val="single" w:sz="4" w:space="0" w:color="3F3F3F"/>
              <w:right w:val="single" w:sz="4" w:space="0" w:color="3F3F3F"/>
            </w:tcBorders>
            <w:shd w:val="clear" w:color="000000" w:fill="F2F2F2"/>
            <w:noWrap/>
            <w:vAlign w:val="center"/>
            <w:hideMark/>
          </w:tcPr>
          <w:p w14:paraId="438B7255"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0.019</w:t>
            </w:r>
          </w:p>
        </w:tc>
      </w:tr>
      <w:tr w:rsidR="008F43C0" w:rsidRPr="008F43C0" w14:paraId="2651AEA4" w14:textId="77777777" w:rsidTr="008F43C0">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A27B277" w14:textId="6901DCF8" w:rsidR="008F43C0" w:rsidRPr="008F43C0" w:rsidRDefault="008F43C0" w:rsidP="008F43C0">
            <w:pPr>
              <w:spacing w:after="0" w:line="240" w:lineRule="auto"/>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CU</w:t>
            </w:r>
          </w:p>
        </w:tc>
        <w:tc>
          <w:tcPr>
            <w:tcW w:w="960" w:type="dxa"/>
            <w:tcBorders>
              <w:top w:val="nil"/>
              <w:left w:val="nil"/>
              <w:bottom w:val="single" w:sz="4" w:space="0" w:color="3F3F3F"/>
              <w:right w:val="single" w:sz="4" w:space="0" w:color="3F3F3F"/>
            </w:tcBorders>
            <w:shd w:val="clear" w:color="000000" w:fill="F2F2F2"/>
            <w:noWrap/>
            <w:vAlign w:val="bottom"/>
            <w:hideMark/>
          </w:tcPr>
          <w:p w14:paraId="6FF661FC" w14:textId="77777777" w:rsidR="008F43C0" w:rsidRPr="008F43C0" w:rsidRDefault="008F43C0" w:rsidP="008F43C0">
            <w:pPr>
              <w:spacing w:after="0" w:line="240" w:lineRule="auto"/>
              <w:jc w:val="right"/>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0.015</w:t>
            </w:r>
          </w:p>
        </w:tc>
        <w:tc>
          <w:tcPr>
            <w:tcW w:w="960" w:type="dxa"/>
            <w:tcBorders>
              <w:top w:val="nil"/>
              <w:left w:val="nil"/>
              <w:bottom w:val="single" w:sz="4" w:space="0" w:color="3F3F3F"/>
              <w:right w:val="single" w:sz="4" w:space="0" w:color="3F3F3F"/>
            </w:tcBorders>
            <w:shd w:val="clear" w:color="000000" w:fill="F2F2F2"/>
            <w:noWrap/>
            <w:vAlign w:val="center"/>
            <w:hideMark/>
          </w:tcPr>
          <w:p w14:paraId="5A19E9D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0.016</w:t>
            </w:r>
          </w:p>
        </w:tc>
        <w:tc>
          <w:tcPr>
            <w:tcW w:w="960" w:type="dxa"/>
            <w:tcBorders>
              <w:top w:val="nil"/>
              <w:left w:val="nil"/>
              <w:bottom w:val="single" w:sz="4" w:space="0" w:color="3F3F3F"/>
              <w:right w:val="single" w:sz="4" w:space="0" w:color="3F3F3F"/>
            </w:tcBorders>
            <w:shd w:val="clear" w:color="000000" w:fill="F2F2F2"/>
            <w:noWrap/>
            <w:vAlign w:val="center"/>
            <w:hideMark/>
          </w:tcPr>
          <w:p w14:paraId="2F2BFF12"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0.014</w:t>
            </w:r>
          </w:p>
        </w:tc>
        <w:tc>
          <w:tcPr>
            <w:tcW w:w="960" w:type="dxa"/>
            <w:tcBorders>
              <w:top w:val="nil"/>
              <w:left w:val="nil"/>
              <w:bottom w:val="single" w:sz="4" w:space="0" w:color="3F3F3F"/>
              <w:right w:val="single" w:sz="4" w:space="0" w:color="3F3F3F"/>
            </w:tcBorders>
            <w:shd w:val="clear" w:color="000000" w:fill="F2F2F2"/>
            <w:noWrap/>
            <w:vAlign w:val="center"/>
            <w:hideMark/>
          </w:tcPr>
          <w:p w14:paraId="45E530F4"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0.015</w:t>
            </w:r>
          </w:p>
        </w:tc>
        <w:tc>
          <w:tcPr>
            <w:tcW w:w="960" w:type="dxa"/>
            <w:tcBorders>
              <w:top w:val="nil"/>
              <w:left w:val="nil"/>
              <w:bottom w:val="single" w:sz="4" w:space="0" w:color="3F3F3F"/>
              <w:right w:val="single" w:sz="4" w:space="0" w:color="3F3F3F"/>
            </w:tcBorders>
            <w:shd w:val="clear" w:color="000000" w:fill="F2F2F2"/>
            <w:noWrap/>
            <w:vAlign w:val="center"/>
            <w:hideMark/>
          </w:tcPr>
          <w:p w14:paraId="0493CB33"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0.015</w:t>
            </w:r>
          </w:p>
        </w:tc>
        <w:tc>
          <w:tcPr>
            <w:tcW w:w="960" w:type="dxa"/>
            <w:tcBorders>
              <w:top w:val="nil"/>
              <w:left w:val="nil"/>
              <w:bottom w:val="single" w:sz="4" w:space="0" w:color="3F3F3F"/>
              <w:right w:val="single" w:sz="4" w:space="0" w:color="3F3F3F"/>
            </w:tcBorders>
            <w:shd w:val="clear" w:color="000000" w:fill="F2F2F2"/>
            <w:noWrap/>
            <w:vAlign w:val="center"/>
            <w:hideMark/>
          </w:tcPr>
          <w:p w14:paraId="34E70CBD"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0.015</w:t>
            </w:r>
          </w:p>
        </w:tc>
        <w:tc>
          <w:tcPr>
            <w:tcW w:w="960" w:type="dxa"/>
            <w:tcBorders>
              <w:top w:val="nil"/>
              <w:left w:val="nil"/>
              <w:bottom w:val="single" w:sz="4" w:space="0" w:color="3F3F3F"/>
              <w:right w:val="single" w:sz="4" w:space="0" w:color="3F3F3F"/>
            </w:tcBorders>
            <w:shd w:val="clear" w:color="000000" w:fill="F2F2F2"/>
            <w:noWrap/>
            <w:vAlign w:val="center"/>
            <w:hideMark/>
          </w:tcPr>
          <w:p w14:paraId="1EE084C1" w14:textId="77777777" w:rsidR="008F43C0" w:rsidRPr="008F43C0" w:rsidRDefault="008F43C0" w:rsidP="008F43C0">
            <w:pPr>
              <w:spacing w:after="0" w:line="240" w:lineRule="auto"/>
              <w:jc w:val="center"/>
              <w:rPr>
                <w:rFonts w:ascii="Calibri" w:eastAsia="Times New Roman" w:hAnsi="Calibri" w:cs="Calibri"/>
                <w:b/>
                <w:bCs/>
                <w:color w:val="3F3F3F"/>
                <w:lang w:eastAsia="en-GB"/>
              </w:rPr>
            </w:pPr>
            <w:r w:rsidRPr="008F43C0">
              <w:rPr>
                <w:rFonts w:ascii="Calibri" w:eastAsia="Times New Roman" w:hAnsi="Calibri" w:cs="Calibri"/>
                <w:b/>
                <w:bCs/>
                <w:color w:val="3F3F3F"/>
                <w:lang w:eastAsia="en-GB"/>
              </w:rPr>
              <w:t>0.017</w:t>
            </w:r>
          </w:p>
        </w:tc>
      </w:tr>
    </w:tbl>
    <w:p w14:paraId="137A2008" w14:textId="77777777" w:rsidR="00C463AC" w:rsidRDefault="00C463AC" w:rsidP="00C463AC">
      <w:pPr>
        <w:spacing w:line="360" w:lineRule="auto"/>
        <w:jc w:val="both"/>
      </w:pPr>
    </w:p>
    <w:p w14:paraId="2939156D" w14:textId="7F781AE5" w:rsidR="00806E7D" w:rsidRPr="00806E7D" w:rsidRDefault="00FD5C1D" w:rsidP="00FA6183">
      <w:pPr>
        <w:spacing w:line="360" w:lineRule="auto"/>
        <w:jc w:val="both"/>
        <w:rPr>
          <w:rFonts w:eastAsiaTheme="minorEastAsia"/>
        </w:rPr>
      </w:pPr>
      <w:r>
        <w:t>There</w:t>
      </w:r>
      <w:r w:rsidR="00865E68">
        <w:t xml:space="preserve"> is a</w:t>
      </w:r>
      <w:r w:rsidR="004A1DCF">
        <w:t>n</w:t>
      </w:r>
      <w:r w:rsidR="00865E68">
        <w:t xml:space="preserve"> increase in </w:t>
      </w:r>
      <w:r w:rsidR="005408BF">
        <w:t>the alkali metal</w:t>
      </w:r>
      <w:r w:rsidR="004A1DCF">
        <w:t xml:space="preserve"> oxide</w:t>
      </w:r>
      <w:r w:rsidR="00806E7D">
        <w:t>,</w:t>
      </w:r>
      <w:r w:rsidR="004A1DCF">
        <w:t xml:space="preserve"> </w:t>
      </w:r>
      <w:r w:rsidR="005B2726">
        <w:t>potassium</w:t>
      </w:r>
      <w:r w:rsidR="003D5C98">
        <w:t>,</w:t>
      </w:r>
      <w:r w:rsidR="005B2726">
        <w:t xml:space="preserve"> an increase in the alkaline metal</w:t>
      </w:r>
      <w:r w:rsidR="00FA6183">
        <w:t>s</w:t>
      </w:r>
      <w:r>
        <w:t>,</w:t>
      </w:r>
      <w:r w:rsidR="005B2726">
        <w:t xml:space="preserve"> calcium</w:t>
      </w:r>
      <w:r w:rsidR="003D5C98">
        <w:t xml:space="preserve"> and</w:t>
      </w:r>
      <w:r w:rsidR="00FA6183">
        <w:t xml:space="preserve"> magnesium and</w:t>
      </w:r>
      <w:r w:rsidR="003D5C98">
        <w:t xml:space="preserve"> </w:t>
      </w:r>
      <w:r w:rsidR="004F51AA">
        <w:t>high</w:t>
      </w:r>
      <w:r w:rsidR="00FA6183">
        <w:t>er</w:t>
      </w:r>
      <w:r w:rsidR="004F51AA">
        <w:t xml:space="preserve"> levels of iron</w:t>
      </w:r>
      <w:r w:rsidR="00F2669C">
        <w:t xml:space="preserve"> with increasing amount of biochar.</w:t>
      </w:r>
      <w:r w:rsidR="004F51AA">
        <w:t xml:space="preserve"> All these metals </w:t>
      </w:r>
      <w:r w:rsidR="00043DA2">
        <w:t>contribute to a higher reactivity in the coke.</w:t>
      </w:r>
      <w:r w:rsidR="00FA6183">
        <w:t xml:space="preserve"> </w:t>
      </w:r>
      <w:r w:rsidR="00806E7D">
        <w:t>The increase in reactive metal concentration can explain the behaviour of the coke in the CSR/CRI tests, as demonstrated in the previous section.</w:t>
      </w:r>
    </w:p>
    <w:p w14:paraId="0F4E228A" w14:textId="28B0F248" w:rsidR="009F29ED" w:rsidRDefault="00FA6183" w:rsidP="00C463AC">
      <w:pPr>
        <w:spacing w:line="360" w:lineRule="auto"/>
        <w:jc w:val="both"/>
      </w:pPr>
      <w:r>
        <w:lastRenderedPageBreak/>
        <w:t xml:space="preserve">The amount of </w:t>
      </w:r>
      <w:r w:rsidR="00806E7D">
        <w:t>acidic</w:t>
      </w:r>
      <w:r>
        <w:t xml:space="preserve"> metal oxides also decreases, there are lower amounts of SiO</w:t>
      </w:r>
      <w:r w:rsidRPr="00FA6183">
        <w:rPr>
          <w:vertAlign w:val="subscript"/>
        </w:rPr>
        <w:t>2</w:t>
      </w:r>
      <w:r>
        <w:t xml:space="preserve"> and Al</w:t>
      </w:r>
      <w:r w:rsidRPr="00FA6183">
        <w:rPr>
          <w:vertAlign w:val="subscript"/>
        </w:rPr>
        <w:t>2</w:t>
      </w:r>
      <w:r>
        <w:t>O</w:t>
      </w:r>
      <w:r w:rsidRPr="00FA6183">
        <w:rPr>
          <w:vertAlign w:val="subscript"/>
        </w:rPr>
        <w:t>3</w:t>
      </w:r>
      <w:r w:rsidR="009F29ED">
        <w:t xml:space="preserve"> </w:t>
      </w:r>
      <w:r>
        <w:t xml:space="preserve">in the coke as the percentage of biochar increases. </w:t>
      </w:r>
      <w:r w:rsidR="00806E7D">
        <w:t xml:space="preserve"> </w:t>
      </w:r>
      <w:r w:rsidR="00D8745D">
        <w:t>A</w:t>
      </w:r>
      <w:r w:rsidR="00806E7D">
        <w:t>dded to the BF</w:t>
      </w:r>
      <w:r w:rsidR="00D8745D">
        <w:t>, coke containing biochar will reduce the acidity of the burden, thereby reducing the need for lime addition as mentioned earlier.</w:t>
      </w:r>
      <w:r w:rsidR="00806E7D">
        <w:t xml:space="preserve"> </w:t>
      </w:r>
    </w:p>
    <w:p w14:paraId="74B3C5E7" w14:textId="421A68C5" w:rsidR="00A66A1D" w:rsidRDefault="00A56AD8" w:rsidP="00DA6971">
      <w:pPr>
        <w:pStyle w:val="Heading3"/>
        <w:rPr>
          <w:rStyle w:val="Heading3Char"/>
        </w:rPr>
      </w:pPr>
      <w:bookmarkStart w:id="86" w:name="_Toc127911470"/>
      <w:r>
        <w:t>P</w:t>
      </w:r>
      <w:r w:rsidRPr="00A56AD8">
        <w:rPr>
          <w:rStyle w:val="Heading3Char"/>
        </w:rPr>
        <w:t xml:space="preserve">hotographs of the Biocoke produced in the Pilot </w:t>
      </w:r>
      <w:proofErr w:type="gramStart"/>
      <w:r w:rsidRPr="00A56AD8">
        <w:rPr>
          <w:rStyle w:val="Heading3Char"/>
        </w:rPr>
        <w:t>oven</w:t>
      </w:r>
      <w:bookmarkEnd w:id="86"/>
      <w:proofErr w:type="gramEnd"/>
    </w:p>
    <w:p w14:paraId="58570F55" w14:textId="07B962E6" w:rsidR="00A56AD8" w:rsidRDefault="00CB63E2" w:rsidP="00CB63E2">
      <w:pPr>
        <w:spacing w:line="360" w:lineRule="auto"/>
        <w:jc w:val="both"/>
      </w:pPr>
      <w:r>
        <w:t>The following photographs were taken of coke produced in the pilot oven</w:t>
      </w:r>
      <w:r w:rsidR="006843E4">
        <w:t>,</w:t>
      </w:r>
      <w:r w:rsidR="00B6026C">
        <w:t xml:space="preserve"> </w:t>
      </w:r>
      <w:r w:rsidR="00BB0DD5">
        <w:t>crushed,</w:t>
      </w:r>
      <w:r>
        <w:t xml:space="preserve"> and sieved to 19 mm – 22.4mm for the CSR/CRI test.</w:t>
      </w:r>
    </w:p>
    <w:p w14:paraId="075EBF5D" w14:textId="4F9C611F" w:rsidR="00A56AD8" w:rsidRDefault="004822C3" w:rsidP="00306ABA">
      <w:pPr>
        <w:jc w:val="center"/>
      </w:pPr>
      <w:r w:rsidRPr="004822C3">
        <w:rPr>
          <w:noProof/>
        </w:rPr>
        <w:drawing>
          <wp:inline distT="0" distB="0" distL="0" distR="0" wp14:anchorId="3D46AF23" wp14:editId="3241C303">
            <wp:extent cx="3997804" cy="3395207"/>
            <wp:effectExtent l="0" t="0" r="317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059761" cy="3447825"/>
                    </a:xfrm>
                    <a:prstGeom prst="rect">
                      <a:avLst/>
                    </a:prstGeom>
                  </pic:spPr>
                </pic:pic>
              </a:graphicData>
            </a:graphic>
          </wp:inline>
        </w:drawing>
      </w:r>
    </w:p>
    <w:p w14:paraId="0ECDC5C5" w14:textId="3368D63D" w:rsidR="009F1FEB" w:rsidRPr="00A56AD8" w:rsidRDefault="009F1FEB" w:rsidP="009F1FEB">
      <w:pPr>
        <w:pStyle w:val="Caption"/>
        <w:jc w:val="center"/>
      </w:pPr>
      <w:bookmarkStart w:id="87" w:name="_Toc127110931"/>
      <w:r>
        <w:t xml:space="preserve">Figure </w:t>
      </w:r>
      <w:fldSimple w:instr=" SEQ Figure \* ARABIC ">
        <w:r w:rsidR="00A0212F">
          <w:rPr>
            <w:noProof/>
          </w:rPr>
          <w:t>37</w:t>
        </w:r>
      </w:fldSimple>
      <w:r>
        <w:t xml:space="preserve"> Reference coke - 100% Riverside coal</w:t>
      </w:r>
      <w:bookmarkEnd w:id="87"/>
    </w:p>
    <w:p w14:paraId="7B8425D4" w14:textId="24517087" w:rsidR="00CB63E2" w:rsidRDefault="008A509F" w:rsidP="008A509F">
      <w:pPr>
        <w:spacing w:line="360" w:lineRule="auto"/>
        <w:jc w:val="both"/>
      </w:pPr>
      <w:r>
        <w:t xml:space="preserve">Metallurgical coke has a very complex structure with a variety of pore and wall sizes. The coke walls have diverse microscopic properties. </w:t>
      </w:r>
      <w:r w:rsidR="00026FE9">
        <w:t>Microscopically, c</w:t>
      </w:r>
      <w:r>
        <w:t>oke consists of</w:t>
      </w:r>
      <w:r w:rsidR="001F342F">
        <w:t xml:space="preserve"> amorphous</w:t>
      </w:r>
      <w:r>
        <w:t xml:space="preserve"> anisotropic (different strength properties in different directions) areas</w:t>
      </w:r>
      <w:r w:rsidR="001F342F">
        <w:t xml:space="preserve"> and crystalline isotropic (uniform in all directions) areas</w:t>
      </w:r>
      <w:r>
        <w:t>. Coke that contains high concentration</w:t>
      </w:r>
      <w:r w:rsidR="00E9558E">
        <w:t>s</w:t>
      </w:r>
      <w:r>
        <w:t xml:space="preserve"> of </w:t>
      </w:r>
      <w:r w:rsidR="00E9558E">
        <w:t>anisotropic areas demonstrate high CSR and low CRI</w:t>
      </w:r>
      <w:r w:rsidR="001F342F">
        <w:t xml:space="preserve"> values</w:t>
      </w:r>
      <w:r w:rsidR="00E9558E">
        <w:t>, while coke with high</w:t>
      </w:r>
      <w:r w:rsidR="001F342F">
        <w:t xml:space="preserve"> concentrations of</w:t>
      </w:r>
      <w:r w:rsidR="00E9558E">
        <w:t xml:space="preserve"> isotropic areas </w:t>
      </w:r>
      <w:proofErr w:type="gramStart"/>
      <w:r w:rsidR="00E9558E">
        <w:t>are</w:t>
      </w:r>
      <w:proofErr w:type="gramEnd"/>
      <w:r w:rsidR="00E9558E">
        <w:t xml:space="preserve"> mechanically weaker and generally more reactive with CO</w:t>
      </w:r>
      <w:r w:rsidR="00E9558E" w:rsidRPr="00E9558E">
        <w:rPr>
          <w:vertAlign w:val="subscript"/>
        </w:rPr>
        <w:t>2</w:t>
      </w:r>
      <w:r w:rsidR="00E9558E">
        <w:t xml:space="preserve"> which increase</w:t>
      </w:r>
      <w:r w:rsidR="001F342F">
        <w:t>s</w:t>
      </w:r>
      <w:r w:rsidR="00E9558E">
        <w:t xml:space="preserve"> the CRI value. Although isotropic areas are also more resistant to alkali attack</w:t>
      </w:r>
      <w:r w:rsidR="004822C3">
        <w:t>. The concentration of each type is dependent on the rank and types of coal used</w:t>
      </w:r>
      <w:r w:rsidR="00E9558E">
        <w:t xml:space="preserve"> </w:t>
      </w:r>
      <w:r w:rsidR="00E9558E">
        <w:fldChar w:fldCharType="begin"/>
      </w:r>
      <w:r w:rsidR="004822C3">
        <w:instrText xml:space="preserve"> ADDIN ZOTERO_ITEM CSL_CITATION {"citationID":"hBwTR71K","properties":{"formattedCitation":"(Sarna 2013)","plainCitation":"(Sarna 2013)","noteIndex":0},"citationItems":[{"id":2069,"uris":["http://zotero.org/users/local/AB2owHL2/items/W7QKIJF7"],"itemData":{"id":2069,"type":"post-weblog","language":"en-US","title":"​​ ​ Metallurgical Coke – IspatGuru","URL":"https://www.ispatguru.com/metallurgical-coke/","author":[{"family":"Sarna","given":"Satyandra Kumar"}],"accessed":{"date-parts":[["2022",12,30]]},"issued":{"date-parts":[["2013"]]}}}],"schema":"https://github.com/citation-style-language/schema/raw/master/csl-citation.json"} </w:instrText>
      </w:r>
      <w:r w:rsidR="00E9558E">
        <w:fldChar w:fldCharType="separate"/>
      </w:r>
      <w:r w:rsidR="004822C3" w:rsidRPr="004822C3">
        <w:rPr>
          <w:rFonts w:ascii="Calibri" w:hAnsi="Calibri" w:cs="Calibri"/>
        </w:rPr>
        <w:t>(Sarna 2013)</w:t>
      </w:r>
      <w:r w:rsidR="00E9558E">
        <w:fldChar w:fldCharType="end"/>
      </w:r>
      <w:r w:rsidR="00E9558E">
        <w:t>.</w:t>
      </w:r>
      <w:r w:rsidR="004822C3">
        <w:t xml:space="preserve"> </w:t>
      </w:r>
    </w:p>
    <w:p w14:paraId="681B12EF" w14:textId="449A48A3" w:rsidR="00E9558E" w:rsidRPr="00CB63E2" w:rsidRDefault="00E9558E" w:rsidP="008A509F">
      <w:pPr>
        <w:spacing w:line="360" w:lineRule="auto"/>
        <w:jc w:val="both"/>
      </w:pPr>
      <w:r>
        <w:t xml:space="preserve">The photo in figure 38 </w:t>
      </w:r>
      <w:r w:rsidR="004822C3">
        <w:t>of the reference coke made with 100% Riverside coal</w:t>
      </w:r>
      <w:r w:rsidR="0024127E">
        <w:t xml:space="preserve">. </w:t>
      </w:r>
      <w:r w:rsidR="001F342F">
        <w:t>This coke has a mostly amorphous anisotropic structure with some isotropic area dispersed throughout (circled in green). These isotropic inclusions are caused by inert materials in the coal.</w:t>
      </w:r>
    </w:p>
    <w:p w14:paraId="198438D6" w14:textId="131747D1" w:rsidR="00865BFD" w:rsidRDefault="002137D6" w:rsidP="00865BFD">
      <w:r>
        <w:rPr>
          <w:noProof/>
        </w:rPr>
        <w:lastRenderedPageBreak/>
        <mc:AlternateContent>
          <mc:Choice Requires="wps">
            <w:drawing>
              <wp:anchor distT="0" distB="0" distL="114300" distR="114300" simplePos="0" relativeHeight="251661312" behindDoc="0" locked="0" layoutInCell="1" allowOverlap="1" wp14:anchorId="2A08B723" wp14:editId="571D528C">
                <wp:simplePos x="0" y="0"/>
                <wp:positionH relativeFrom="column">
                  <wp:posOffset>2941431</wp:posOffset>
                </wp:positionH>
                <wp:positionV relativeFrom="paragraph">
                  <wp:posOffset>2302344</wp:posOffset>
                </wp:positionV>
                <wp:extent cx="278130" cy="262393"/>
                <wp:effectExtent l="0" t="0" r="26670" b="23495"/>
                <wp:wrapNone/>
                <wp:docPr id="131" name="Text Box 131"/>
                <wp:cNvGraphicFramePr/>
                <a:graphic xmlns:a="http://schemas.openxmlformats.org/drawingml/2006/main">
                  <a:graphicData uri="http://schemas.microsoft.com/office/word/2010/wordprocessingShape">
                    <wps:wsp>
                      <wps:cNvSpPr txBox="1"/>
                      <wps:spPr>
                        <a:xfrm>
                          <a:off x="0" y="0"/>
                          <a:ext cx="278130" cy="262393"/>
                        </a:xfrm>
                        <a:prstGeom prst="rect">
                          <a:avLst/>
                        </a:prstGeom>
                        <a:solidFill>
                          <a:schemeClr val="lt1"/>
                        </a:solidFill>
                        <a:ln w="6350">
                          <a:solidFill>
                            <a:prstClr val="black"/>
                          </a:solidFill>
                        </a:ln>
                      </wps:spPr>
                      <wps:txbx>
                        <w:txbxContent>
                          <w:p w14:paraId="18DD7A23" w14:textId="013BD997" w:rsidR="0052678A" w:rsidRDefault="0052678A" w:rsidP="0052678A">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8B723" id="Text Box 131" o:spid="_x0000_s1027" type="#_x0000_t202" style="position:absolute;margin-left:231.6pt;margin-top:181.3pt;width:21.9pt;height:2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" fillcolor="white [3201]" strokeweight=".5pt">
                <v:textbox>
                  <w:txbxContent>
                    <w:p w14:paraId="18DD7A23" w14:textId="013BD997" w:rsidR="0052678A" w:rsidRDefault="0052678A" w:rsidP="0052678A">
                      <w:r>
                        <w:t>B</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B177DCB" wp14:editId="1465F714">
                <wp:simplePos x="0" y="0"/>
                <wp:positionH relativeFrom="column">
                  <wp:posOffset>39563</wp:posOffset>
                </wp:positionH>
                <wp:positionV relativeFrom="paragraph">
                  <wp:posOffset>2294366</wp:posOffset>
                </wp:positionV>
                <wp:extent cx="278130" cy="286247"/>
                <wp:effectExtent l="0" t="0" r="26670" b="19050"/>
                <wp:wrapNone/>
                <wp:docPr id="129" name="Text Box 129"/>
                <wp:cNvGraphicFramePr/>
                <a:graphic xmlns:a="http://schemas.openxmlformats.org/drawingml/2006/main">
                  <a:graphicData uri="http://schemas.microsoft.com/office/word/2010/wordprocessingShape">
                    <wps:wsp>
                      <wps:cNvSpPr txBox="1"/>
                      <wps:spPr>
                        <a:xfrm>
                          <a:off x="0" y="0"/>
                          <a:ext cx="278130" cy="286247"/>
                        </a:xfrm>
                        <a:prstGeom prst="rect">
                          <a:avLst/>
                        </a:prstGeom>
                        <a:solidFill>
                          <a:schemeClr val="lt1"/>
                        </a:solidFill>
                        <a:ln w="6350">
                          <a:solidFill>
                            <a:prstClr val="black"/>
                          </a:solidFill>
                        </a:ln>
                      </wps:spPr>
                      <wps:txbx>
                        <w:txbxContent>
                          <w:p w14:paraId="17029B27" w14:textId="70F4593B" w:rsidR="0052678A" w:rsidRDefault="0052678A">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77DCB" id="Text Box 129" o:spid="_x0000_s1028" type="#_x0000_t202" style="position:absolute;margin-left:3.1pt;margin-top:180.65pt;width:21.9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" fillcolor="white [3201]" strokeweight=".5pt">
                <v:textbox>
                  <w:txbxContent>
                    <w:p w14:paraId="17029B27" w14:textId="70F4593B" w:rsidR="0052678A" w:rsidRDefault="0052678A">
                      <w:r>
                        <w:t>A</w:t>
                      </w:r>
                    </w:p>
                  </w:txbxContent>
                </v:textbox>
              </v:shape>
            </w:pict>
          </mc:Fallback>
        </mc:AlternateContent>
      </w:r>
      <w:r w:rsidR="00513D2A" w:rsidRPr="00513D2A">
        <w:rPr>
          <w:noProof/>
        </w:rPr>
        <w:drawing>
          <wp:inline distT="0" distB="0" distL="0" distR="0" wp14:anchorId="47191B07" wp14:editId="43A98F15">
            <wp:extent cx="2830664" cy="2662990"/>
            <wp:effectExtent l="0" t="0" r="8255" b="4445"/>
            <wp:docPr id="40" name="Picture 40" descr="A picture containing rock,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rock, nature&#10;&#10;Description automatically generated"/>
                    <pic:cNvPicPr/>
                  </pic:nvPicPr>
                  <pic:blipFill>
                    <a:blip r:embed="rId60"/>
                    <a:stretch>
                      <a:fillRect/>
                    </a:stretch>
                  </pic:blipFill>
                  <pic:spPr>
                    <a:xfrm>
                      <a:off x="0" y="0"/>
                      <a:ext cx="2844408" cy="2675920"/>
                    </a:xfrm>
                    <a:prstGeom prst="rect">
                      <a:avLst/>
                    </a:prstGeom>
                  </pic:spPr>
                </pic:pic>
              </a:graphicData>
            </a:graphic>
          </wp:inline>
        </w:drawing>
      </w:r>
      <w:r w:rsidR="00A564C9">
        <w:t xml:space="preserve">  </w:t>
      </w:r>
      <w:r w:rsidR="00A564C9" w:rsidRPr="00165DEF">
        <w:rPr>
          <w:noProof/>
        </w:rPr>
        <w:drawing>
          <wp:inline distT="0" distB="0" distL="0" distR="0" wp14:anchorId="0813CF6E" wp14:editId="3A106CCA">
            <wp:extent cx="2695492" cy="2659299"/>
            <wp:effectExtent l="0" t="0" r="0" b="8255"/>
            <wp:docPr id="55" name="Picture 55" descr="A picture containing ground, rock,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ground, rock, stone&#10;&#10;Description automatically generated"/>
                    <pic:cNvPicPr/>
                  </pic:nvPicPr>
                  <pic:blipFill>
                    <a:blip r:embed="rId61"/>
                    <a:stretch>
                      <a:fillRect/>
                    </a:stretch>
                  </pic:blipFill>
                  <pic:spPr>
                    <a:xfrm>
                      <a:off x="0" y="0"/>
                      <a:ext cx="2722298" cy="2685746"/>
                    </a:xfrm>
                    <a:prstGeom prst="rect">
                      <a:avLst/>
                    </a:prstGeom>
                  </pic:spPr>
                </pic:pic>
              </a:graphicData>
            </a:graphic>
          </wp:inline>
        </w:drawing>
      </w:r>
    </w:p>
    <w:p w14:paraId="03F56AAB" w14:textId="1CCCFFC2" w:rsidR="000A10E5" w:rsidRDefault="0052678A" w:rsidP="00865BFD">
      <w:r>
        <w:rPr>
          <w:noProof/>
        </w:rPr>
        <mc:AlternateContent>
          <mc:Choice Requires="wps">
            <w:drawing>
              <wp:anchor distT="0" distB="0" distL="114300" distR="114300" simplePos="0" relativeHeight="251663360" behindDoc="0" locked="0" layoutInCell="1" allowOverlap="1" wp14:anchorId="05F115D1" wp14:editId="27B354B2">
                <wp:simplePos x="0" y="0"/>
                <wp:positionH relativeFrom="column">
                  <wp:posOffset>47211</wp:posOffset>
                </wp:positionH>
                <wp:positionV relativeFrom="paragraph">
                  <wp:posOffset>2446407</wp:posOffset>
                </wp:positionV>
                <wp:extent cx="278130" cy="262393"/>
                <wp:effectExtent l="0" t="0" r="26670" b="23495"/>
                <wp:wrapNone/>
                <wp:docPr id="132" name="Text Box 132"/>
                <wp:cNvGraphicFramePr/>
                <a:graphic xmlns:a="http://schemas.openxmlformats.org/drawingml/2006/main">
                  <a:graphicData uri="http://schemas.microsoft.com/office/word/2010/wordprocessingShape">
                    <wps:wsp>
                      <wps:cNvSpPr txBox="1"/>
                      <wps:spPr>
                        <a:xfrm>
                          <a:off x="0" y="0"/>
                          <a:ext cx="278130" cy="262393"/>
                        </a:xfrm>
                        <a:prstGeom prst="rect">
                          <a:avLst/>
                        </a:prstGeom>
                        <a:solidFill>
                          <a:schemeClr val="lt1"/>
                        </a:solidFill>
                        <a:ln w="6350">
                          <a:solidFill>
                            <a:prstClr val="black"/>
                          </a:solidFill>
                        </a:ln>
                      </wps:spPr>
                      <wps:txbx>
                        <w:txbxContent>
                          <w:p w14:paraId="1441D1C7" w14:textId="2D2B0726" w:rsidR="0052678A" w:rsidRDefault="0052678A" w:rsidP="0052678A">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115D1" id="Text Box 132" o:spid="_x0000_s1029" type="#_x0000_t202" style="position:absolute;margin-left:3.7pt;margin-top:192.65pt;width:21.9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" fillcolor="white [3201]" strokeweight=".5pt">
                <v:textbox>
                  <w:txbxContent>
                    <w:p w14:paraId="1441D1C7" w14:textId="2D2B0726" w:rsidR="0052678A" w:rsidRDefault="0052678A" w:rsidP="0052678A">
                      <w:r>
                        <w:t>C</w:t>
                      </w:r>
                    </w:p>
                  </w:txbxContent>
                </v:textbox>
              </v:shape>
            </w:pict>
          </mc:Fallback>
        </mc:AlternateContent>
      </w:r>
      <w:r w:rsidR="000A10E5" w:rsidRPr="001B11ED">
        <w:rPr>
          <w:noProof/>
        </w:rPr>
        <w:drawing>
          <wp:inline distT="0" distB="0" distL="0" distR="0" wp14:anchorId="58F08C28" wp14:editId="1CFEFCCA">
            <wp:extent cx="2830195" cy="2767054"/>
            <wp:effectExtent l="0" t="0" r="825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851643" cy="2788024"/>
                    </a:xfrm>
                    <a:prstGeom prst="rect">
                      <a:avLst/>
                    </a:prstGeom>
                  </pic:spPr>
                </pic:pic>
              </a:graphicData>
            </a:graphic>
          </wp:inline>
        </w:drawing>
      </w:r>
    </w:p>
    <w:p w14:paraId="08B2AEA2" w14:textId="08936FF0" w:rsidR="009F1FEB" w:rsidRDefault="009F1FEB" w:rsidP="009F1FEB">
      <w:pPr>
        <w:pStyle w:val="Caption"/>
      </w:pPr>
      <w:bookmarkStart w:id="88" w:name="_Toc127110932"/>
      <w:r>
        <w:t xml:space="preserve">Figure </w:t>
      </w:r>
      <w:fldSimple w:instr=" SEQ Figure \* ARABIC ">
        <w:r w:rsidR="00A0212F">
          <w:rPr>
            <w:noProof/>
          </w:rPr>
          <w:t>38</w:t>
        </w:r>
      </w:fldSimple>
      <w:r>
        <w:t xml:space="preserve"> </w:t>
      </w:r>
      <w:r w:rsidRPr="00B0152A">
        <w:t>Pictures of the Biocoke. A – 3% biochar 1 substitution, B – 5% biochar 1 substitution, C – 7.5% biochar 1 substitution.</w:t>
      </w:r>
      <w:bookmarkEnd w:id="88"/>
    </w:p>
    <w:p w14:paraId="1D2C4BDE" w14:textId="49AB10E3" w:rsidR="007C185C" w:rsidRPr="00476AD2" w:rsidRDefault="001F342F" w:rsidP="007C185C">
      <w:pPr>
        <w:spacing w:line="360" w:lineRule="auto"/>
        <w:jc w:val="both"/>
      </w:pPr>
      <w:r>
        <w:t>The</w:t>
      </w:r>
      <w:r w:rsidR="007C238C">
        <w:t xml:space="preserve"> picture</w:t>
      </w:r>
      <w:r w:rsidR="003B67E4">
        <w:t>s</w:t>
      </w:r>
      <w:r w:rsidR="007C238C">
        <w:t xml:space="preserve"> above in figure 39 </w:t>
      </w:r>
      <w:r w:rsidR="003B67E4">
        <w:t>are</w:t>
      </w:r>
      <w:r w:rsidR="007C238C">
        <w:t xml:space="preserve"> of the </w:t>
      </w:r>
      <w:r w:rsidR="001B51E3">
        <w:t>bio</w:t>
      </w:r>
      <w:r w:rsidR="008C1A93">
        <w:t xml:space="preserve">coke produced with biochar 1. The biochar can be seen as black inclusions </w:t>
      </w:r>
      <w:r w:rsidR="00BA58BD">
        <w:t xml:space="preserve">(circled in green) </w:t>
      </w:r>
      <w:r w:rsidR="008C1A93">
        <w:t xml:space="preserve">dispersed throughout the samples. </w:t>
      </w:r>
      <w:r w:rsidR="00F8468C">
        <w:t xml:space="preserve">At 3% there are not many biochar </w:t>
      </w:r>
      <w:r w:rsidR="00476AD2">
        <w:t>inclusions,</w:t>
      </w:r>
      <w:r w:rsidR="00BA58BD">
        <w:t xml:space="preserve"> the size of inclusions in this sample are small</w:t>
      </w:r>
      <w:r w:rsidR="00F8468C">
        <w:t xml:space="preserve"> and </w:t>
      </w:r>
      <w:proofErr w:type="gramStart"/>
      <w:r w:rsidR="00F8468C">
        <w:t>the majority of</w:t>
      </w:r>
      <w:proofErr w:type="gramEnd"/>
      <w:r w:rsidR="00F8468C">
        <w:t xml:space="preserve"> the coke seems unchanged.</w:t>
      </w:r>
      <w:r w:rsidR="0015504F">
        <w:t xml:space="preserve"> </w:t>
      </w:r>
      <w:r w:rsidR="007C185C">
        <w:t xml:space="preserve">At 5% substitution the number of inclusions has increased for biochar 1, shown above </w:t>
      </w:r>
      <w:r w:rsidR="004D32D2">
        <w:t xml:space="preserve">as (B) </w:t>
      </w:r>
      <w:r w:rsidR="007C185C">
        <w:t xml:space="preserve">in figure </w:t>
      </w:r>
      <w:r w:rsidR="003B67E4">
        <w:t>39</w:t>
      </w:r>
      <w:r w:rsidR="007C185C">
        <w:t>.</w:t>
      </w:r>
      <w:r w:rsidR="00BC30AC">
        <w:t xml:space="preserve"> </w:t>
      </w:r>
      <w:r w:rsidR="000F5E4A">
        <w:t>A</w:t>
      </w:r>
      <w:r w:rsidR="00BC30AC">
        <w:t xml:space="preserve"> few bigger inclusions</w:t>
      </w:r>
      <w:r w:rsidR="000F5E4A">
        <w:t xml:space="preserve"> can be seen.</w:t>
      </w:r>
      <w:r w:rsidR="00BC30AC">
        <w:t xml:space="preserve"> </w:t>
      </w:r>
      <w:r w:rsidR="007837EA">
        <w:t xml:space="preserve">The </w:t>
      </w:r>
      <w:r w:rsidR="006F7E05">
        <w:t>number of inclusions has increased notably</w:t>
      </w:r>
      <w:r w:rsidR="004D32D2">
        <w:t xml:space="preserve"> in the coke made with 7.5% biochar (C) the</w:t>
      </w:r>
      <w:r w:rsidR="001C1763">
        <w:t>re are also more large inclusions in this sample.</w:t>
      </w:r>
    </w:p>
    <w:p w14:paraId="7B0C2D21" w14:textId="77777777" w:rsidR="007C185C" w:rsidRDefault="007C185C" w:rsidP="008C1A93">
      <w:pPr>
        <w:spacing w:line="360" w:lineRule="auto"/>
        <w:jc w:val="both"/>
      </w:pPr>
    </w:p>
    <w:p w14:paraId="74033D13" w14:textId="043AFB32" w:rsidR="001651D8" w:rsidRDefault="001651D8" w:rsidP="00865BFD"/>
    <w:p w14:paraId="43A8C514" w14:textId="3BA4E2BC" w:rsidR="001651D8" w:rsidRDefault="002137D6" w:rsidP="00865BFD">
      <w:r>
        <w:rPr>
          <w:noProof/>
        </w:rPr>
        <w:lastRenderedPageBreak/>
        <mc:AlternateContent>
          <mc:Choice Requires="wps">
            <w:drawing>
              <wp:anchor distT="0" distB="0" distL="114300" distR="114300" simplePos="0" relativeHeight="251667456" behindDoc="0" locked="0" layoutInCell="1" allowOverlap="1" wp14:anchorId="6A5CDE0A" wp14:editId="7F777EDB">
                <wp:simplePos x="0" y="0"/>
                <wp:positionH relativeFrom="column">
                  <wp:posOffset>2885798</wp:posOffset>
                </wp:positionH>
                <wp:positionV relativeFrom="paragraph">
                  <wp:posOffset>2321698</wp:posOffset>
                </wp:positionV>
                <wp:extent cx="278130" cy="286247"/>
                <wp:effectExtent l="0" t="0" r="26670" b="19050"/>
                <wp:wrapNone/>
                <wp:docPr id="134" name="Text Box 134"/>
                <wp:cNvGraphicFramePr/>
                <a:graphic xmlns:a="http://schemas.openxmlformats.org/drawingml/2006/main">
                  <a:graphicData uri="http://schemas.microsoft.com/office/word/2010/wordprocessingShape">
                    <wps:wsp>
                      <wps:cNvSpPr txBox="1"/>
                      <wps:spPr>
                        <a:xfrm>
                          <a:off x="0" y="0"/>
                          <a:ext cx="278130" cy="286247"/>
                        </a:xfrm>
                        <a:prstGeom prst="rect">
                          <a:avLst/>
                        </a:prstGeom>
                        <a:solidFill>
                          <a:sysClr val="window" lastClr="FFFFFF"/>
                        </a:solidFill>
                        <a:ln w="6350">
                          <a:solidFill>
                            <a:prstClr val="black"/>
                          </a:solidFill>
                        </a:ln>
                      </wps:spPr>
                      <wps:txbx>
                        <w:txbxContent>
                          <w:p w14:paraId="5D66CB50" w14:textId="515BC949" w:rsidR="002137D6" w:rsidRDefault="002137D6" w:rsidP="002137D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CDE0A" id="Text Box 134" o:spid="_x0000_s1030" type="#_x0000_t202" style="position:absolute;margin-left:227.25pt;margin-top:182.8pt;width:21.9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" fillcolor="window" strokeweight=".5pt">
                <v:textbox>
                  <w:txbxContent>
                    <w:p w14:paraId="5D66CB50" w14:textId="515BC949" w:rsidR="002137D6" w:rsidRDefault="002137D6" w:rsidP="002137D6">
                      <w:r>
                        <w:t>B</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513746B" wp14:editId="174E8571">
                <wp:simplePos x="0" y="0"/>
                <wp:positionH relativeFrom="column">
                  <wp:posOffset>31363</wp:posOffset>
                </wp:positionH>
                <wp:positionV relativeFrom="paragraph">
                  <wp:posOffset>2345248</wp:posOffset>
                </wp:positionV>
                <wp:extent cx="278130" cy="286247"/>
                <wp:effectExtent l="0" t="0" r="26670" b="19050"/>
                <wp:wrapNone/>
                <wp:docPr id="133" name="Text Box 133"/>
                <wp:cNvGraphicFramePr/>
                <a:graphic xmlns:a="http://schemas.openxmlformats.org/drawingml/2006/main">
                  <a:graphicData uri="http://schemas.microsoft.com/office/word/2010/wordprocessingShape">
                    <wps:wsp>
                      <wps:cNvSpPr txBox="1"/>
                      <wps:spPr>
                        <a:xfrm>
                          <a:off x="0" y="0"/>
                          <a:ext cx="278130" cy="286247"/>
                        </a:xfrm>
                        <a:prstGeom prst="rect">
                          <a:avLst/>
                        </a:prstGeom>
                        <a:solidFill>
                          <a:sysClr val="window" lastClr="FFFFFF"/>
                        </a:solidFill>
                        <a:ln w="6350">
                          <a:solidFill>
                            <a:prstClr val="black"/>
                          </a:solidFill>
                        </a:ln>
                      </wps:spPr>
                      <wps:txbx>
                        <w:txbxContent>
                          <w:p w14:paraId="528B5ECC" w14:textId="77777777" w:rsidR="002137D6" w:rsidRDefault="002137D6" w:rsidP="002137D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3746B" id="Text Box 133" o:spid="_x0000_s1031" type="#_x0000_t202" style="position:absolute;margin-left:2.45pt;margin-top:184.65pt;width:21.9pt;height:2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" fillcolor="window" strokeweight=".5pt">
                <v:textbox>
                  <w:txbxContent>
                    <w:p w14:paraId="528B5ECC" w14:textId="77777777" w:rsidR="002137D6" w:rsidRDefault="002137D6" w:rsidP="002137D6">
                      <w:r>
                        <w:t>A</w:t>
                      </w:r>
                    </w:p>
                  </w:txbxContent>
                </v:textbox>
              </v:shape>
            </w:pict>
          </mc:Fallback>
        </mc:AlternateContent>
      </w:r>
      <w:r w:rsidR="001B51E3" w:rsidRPr="001B11ED">
        <w:rPr>
          <w:noProof/>
        </w:rPr>
        <w:drawing>
          <wp:inline distT="0" distB="0" distL="0" distR="0" wp14:anchorId="52278DA9" wp14:editId="7A8C6DA2">
            <wp:extent cx="2786162" cy="2679397"/>
            <wp:effectExtent l="0" t="0" r="0" b="6985"/>
            <wp:docPr id="58" name="Picture 58" descr="A close up of some roc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close up of some rocks&#10;&#10;Description automatically generated with low confidence"/>
                    <pic:cNvPicPr/>
                  </pic:nvPicPr>
                  <pic:blipFill>
                    <a:blip r:embed="rId63"/>
                    <a:stretch>
                      <a:fillRect/>
                    </a:stretch>
                  </pic:blipFill>
                  <pic:spPr>
                    <a:xfrm>
                      <a:off x="0" y="0"/>
                      <a:ext cx="2809206" cy="2701558"/>
                    </a:xfrm>
                    <a:prstGeom prst="rect">
                      <a:avLst/>
                    </a:prstGeom>
                  </pic:spPr>
                </pic:pic>
              </a:graphicData>
            </a:graphic>
          </wp:inline>
        </w:drawing>
      </w:r>
      <w:r w:rsidR="001B51E3">
        <w:t xml:space="preserve">  </w:t>
      </w:r>
      <w:r w:rsidR="00591FF8" w:rsidRPr="00591FF8">
        <w:rPr>
          <w:noProof/>
        </w:rPr>
        <w:drawing>
          <wp:inline distT="0" distB="0" distL="0" distR="0" wp14:anchorId="49CAA2FE" wp14:editId="563102C1">
            <wp:extent cx="2727297" cy="2678362"/>
            <wp:effectExtent l="0" t="0" r="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53735" cy="2704326"/>
                    </a:xfrm>
                    <a:prstGeom prst="rect">
                      <a:avLst/>
                    </a:prstGeom>
                  </pic:spPr>
                </pic:pic>
              </a:graphicData>
            </a:graphic>
          </wp:inline>
        </w:drawing>
      </w:r>
      <w:r w:rsidR="001B51E3">
        <w:t xml:space="preserve">  </w:t>
      </w:r>
    </w:p>
    <w:p w14:paraId="03CEB0AE" w14:textId="3F9B13D9" w:rsidR="001B51E3" w:rsidRDefault="002137D6" w:rsidP="00865BFD">
      <w:r>
        <w:rPr>
          <w:noProof/>
        </w:rPr>
        <mc:AlternateContent>
          <mc:Choice Requires="wps">
            <w:drawing>
              <wp:anchor distT="0" distB="0" distL="114300" distR="114300" simplePos="0" relativeHeight="251669504" behindDoc="0" locked="0" layoutInCell="1" allowOverlap="1" wp14:anchorId="7D6B2A32" wp14:editId="145D27E2">
                <wp:simplePos x="0" y="0"/>
                <wp:positionH relativeFrom="column">
                  <wp:posOffset>48785</wp:posOffset>
                </wp:positionH>
                <wp:positionV relativeFrom="paragraph">
                  <wp:posOffset>2313443</wp:posOffset>
                </wp:positionV>
                <wp:extent cx="278130" cy="286247"/>
                <wp:effectExtent l="0" t="0" r="26670" b="19050"/>
                <wp:wrapNone/>
                <wp:docPr id="135" name="Text Box 135"/>
                <wp:cNvGraphicFramePr/>
                <a:graphic xmlns:a="http://schemas.openxmlformats.org/drawingml/2006/main">
                  <a:graphicData uri="http://schemas.microsoft.com/office/word/2010/wordprocessingShape">
                    <wps:wsp>
                      <wps:cNvSpPr txBox="1"/>
                      <wps:spPr>
                        <a:xfrm>
                          <a:off x="0" y="0"/>
                          <a:ext cx="278130" cy="286247"/>
                        </a:xfrm>
                        <a:prstGeom prst="rect">
                          <a:avLst/>
                        </a:prstGeom>
                        <a:solidFill>
                          <a:sysClr val="window" lastClr="FFFFFF"/>
                        </a:solidFill>
                        <a:ln w="6350">
                          <a:solidFill>
                            <a:prstClr val="black"/>
                          </a:solidFill>
                        </a:ln>
                      </wps:spPr>
                      <wps:txbx>
                        <w:txbxContent>
                          <w:p w14:paraId="5863B570" w14:textId="16BDA7C2" w:rsidR="002137D6" w:rsidRDefault="002137D6" w:rsidP="002137D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B2A32" id="Text Box 135" o:spid="_x0000_s1032" type="#_x0000_t202" style="position:absolute;margin-left:3.85pt;margin-top:182.15pt;width:21.9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" fillcolor="window" strokeweight=".5pt">
                <v:textbox>
                  <w:txbxContent>
                    <w:p w14:paraId="5863B570" w14:textId="16BDA7C2" w:rsidR="002137D6" w:rsidRDefault="002137D6" w:rsidP="002137D6">
                      <w:r>
                        <w:t>C</w:t>
                      </w:r>
                    </w:p>
                  </w:txbxContent>
                </v:textbox>
              </v:shape>
            </w:pict>
          </mc:Fallback>
        </mc:AlternateContent>
      </w:r>
      <w:r w:rsidR="001B51E3" w:rsidRPr="004C4842">
        <w:rPr>
          <w:noProof/>
        </w:rPr>
        <w:drawing>
          <wp:inline distT="0" distB="0" distL="0" distR="0" wp14:anchorId="12A3DEC8" wp14:editId="35773B37">
            <wp:extent cx="2766695" cy="2655736"/>
            <wp:effectExtent l="0" t="0" r="0" b="0"/>
            <wp:docPr id="61" name="Picture 61" descr="A picture containing rock, outdoor, plant,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rock, outdoor, plant, stone&#10;&#10;Description automatically generated"/>
                    <pic:cNvPicPr/>
                  </pic:nvPicPr>
                  <pic:blipFill>
                    <a:blip r:embed="rId65"/>
                    <a:stretch>
                      <a:fillRect/>
                    </a:stretch>
                  </pic:blipFill>
                  <pic:spPr>
                    <a:xfrm>
                      <a:off x="0" y="0"/>
                      <a:ext cx="2792317" cy="2680331"/>
                    </a:xfrm>
                    <a:prstGeom prst="rect">
                      <a:avLst/>
                    </a:prstGeom>
                  </pic:spPr>
                </pic:pic>
              </a:graphicData>
            </a:graphic>
          </wp:inline>
        </w:drawing>
      </w:r>
    </w:p>
    <w:p w14:paraId="7DE280A4" w14:textId="4456417D" w:rsidR="001651D8" w:rsidRDefault="009F1FEB" w:rsidP="009F1FEB">
      <w:pPr>
        <w:pStyle w:val="Caption"/>
      </w:pPr>
      <w:bookmarkStart w:id="89" w:name="_Toc127110933"/>
      <w:r>
        <w:t xml:space="preserve">Figure </w:t>
      </w:r>
      <w:fldSimple w:instr=" SEQ Figure \* ARABIC ">
        <w:r w:rsidR="00A0212F">
          <w:rPr>
            <w:noProof/>
          </w:rPr>
          <w:t>39</w:t>
        </w:r>
      </w:fldSimple>
      <w:r>
        <w:t xml:space="preserve"> </w:t>
      </w:r>
      <w:r w:rsidRPr="0028780E">
        <w:t>Pictures of the Biocoke. A – 3% biochar 2 substitution, B – 5% biochar 2 substitution, C – 7.5% biochar 2 substitution.</w:t>
      </w:r>
      <w:bookmarkEnd w:id="89"/>
    </w:p>
    <w:p w14:paraId="2FE54538" w14:textId="51739E28" w:rsidR="00591FF8" w:rsidRDefault="00F8468C" w:rsidP="00B6026C">
      <w:pPr>
        <w:spacing w:line="360" w:lineRule="auto"/>
        <w:jc w:val="both"/>
      </w:pPr>
      <w:r>
        <w:t xml:space="preserve">The biochar 2 at 3% substitution </w:t>
      </w:r>
      <w:r w:rsidR="00476AD2">
        <w:t xml:space="preserve">is shown above in figure 40, the biochar inclusions </w:t>
      </w:r>
      <w:r w:rsidR="00123698">
        <w:t>are</w:t>
      </w:r>
      <w:r w:rsidR="00476AD2">
        <w:t xml:space="preserve"> moderately dispersed throughout the coke structure,</w:t>
      </w:r>
      <w:r w:rsidR="00BA58BD">
        <w:t xml:space="preserve"> the size of the inclusions in this sample are larger than the biochar 1 sample.</w:t>
      </w:r>
      <w:r w:rsidR="00476AD2">
        <w:t xml:space="preserve"> </w:t>
      </w:r>
      <w:r w:rsidR="00BA58BD">
        <w:t>T</w:t>
      </w:r>
      <w:r w:rsidR="00476AD2">
        <w:t>he remaining coke seems to be unchanged.</w:t>
      </w:r>
    </w:p>
    <w:p w14:paraId="147A4E60" w14:textId="22F25DDE" w:rsidR="00553246" w:rsidRDefault="00553246" w:rsidP="00553246">
      <w:pPr>
        <w:spacing w:line="360" w:lineRule="auto"/>
        <w:jc w:val="both"/>
      </w:pPr>
      <w:r>
        <w:t>The main factors affecting CSR are outlined in figure 40, all these variables are kept constant for the test carried out in this report other than the coal composition and therefore any variation from the original analysis can be attributed to the addition of the biochar.</w:t>
      </w:r>
    </w:p>
    <w:p w14:paraId="331D745F" w14:textId="77777777" w:rsidR="00553246" w:rsidRDefault="00553246" w:rsidP="00553246">
      <w:pPr>
        <w:spacing w:line="360" w:lineRule="auto"/>
        <w:jc w:val="both"/>
      </w:pPr>
      <w:r w:rsidRPr="004E543F">
        <w:rPr>
          <w:noProof/>
        </w:rPr>
        <w:lastRenderedPageBreak/>
        <w:drawing>
          <wp:inline distT="0" distB="0" distL="0" distR="0" wp14:anchorId="618153D6" wp14:editId="397A2F0E">
            <wp:extent cx="3467584" cy="2086266"/>
            <wp:effectExtent l="0" t="0" r="0" b="9525"/>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66"/>
                    <a:stretch>
                      <a:fillRect/>
                    </a:stretch>
                  </pic:blipFill>
                  <pic:spPr>
                    <a:xfrm>
                      <a:off x="0" y="0"/>
                      <a:ext cx="3467584" cy="2086266"/>
                    </a:xfrm>
                    <a:prstGeom prst="rect">
                      <a:avLst/>
                    </a:prstGeom>
                  </pic:spPr>
                </pic:pic>
              </a:graphicData>
            </a:graphic>
          </wp:inline>
        </w:drawing>
      </w:r>
    </w:p>
    <w:p w14:paraId="624537CB" w14:textId="6840133C" w:rsidR="00553246" w:rsidRPr="00591FF8" w:rsidRDefault="00553246" w:rsidP="00553246">
      <w:pPr>
        <w:pStyle w:val="Caption"/>
      </w:pPr>
      <w:bookmarkStart w:id="90" w:name="_Toc127110934"/>
      <w:r>
        <w:t xml:space="preserve">Figure </w:t>
      </w:r>
      <w:fldSimple w:instr=" SEQ Figure \* ARABIC ">
        <w:r w:rsidR="00A0212F">
          <w:rPr>
            <w:noProof/>
          </w:rPr>
          <w:t>40</w:t>
        </w:r>
      </w:fldSimple>
      <w:r>
        <w:t xml:space="preserve"> </w:t>
      </w:r>
      <w:r w:rsidRPr="001C18D1">
        <w:t>Factors affecting coke strength after reaction (</w:t>
      </w:r>
      <w:proofErr w:type="spellStart"/>
      <w:r w:rsidRPr="001C18D1">
        <w:t>Dı́ez</w:t>
      </w:r>
      <w:proofErr w:type="spellEnd"/>
      <w:r w:rsidRPr="001C18D1">
        <w:t xml:space="preserve"> et al. 2002)</w:t>
      </w:r>
      <w:bookmarkEnd w:id="90"/>
    </w:p>
    <w:p w14:paraId="548F724E" w14:textId="473EF91D" w:rsidR="00113187" w:rsidRDefault="00113187" w:rsidP="00113187">
      <w:pPr>
        <w:spacing w:line="360" w:lineRule="auto"/>
        <w:jc w:val="both"/>
      </w:pPr>
      <w:r>
        <w:fldChar w:fldCharType="begin"/>
      </w:r>
      <w:r>
        <w:instrText xml:space="preserve"> ADDIN ZOTERO_ITEM CSL_CITATION {"citationID":"5J6s1MXe","properties":{"formattedCitation":"(Guerrero et al. 2015)","plainCitation":"(Guerrero et al. 2015)","noteIndex":0},"citationItems":[{"id":1861,"uris":["http://zotero.org/users/local/AB2owHL2/items/33TDDFTH"],"itemData":{"id":1861,"type":"article-journal","abstract":"The aim of this work is to investigate the influence of the addition of organic inerts such as charcoal with a well-controlled particle size on the development of fluidity in three coking coals of different rank, maceral composition, and rheological properties. Three size fractions of charcoal, &lt;20, 20–80, and 80–212μm, that can be considered as artificially prepared inertinites were used. The different charcoal fractions were added in amounts of 2, 5, 10, and 15wt.% to selected high-quality coking coals with a Gieseler maximum fluidity (Fmax) of 373 (LF), 541 (MF), and 1891 (HF) ddpm. Increasing the amount of charcoal in the blend led to a progressive inverse exponential reduction in fluidity. This reduction was accompanied by a shortening of the fluid interval due to an increase in the softening temperature. In the case of the finest charcoal fraction, the inhibition of fluidity was even more pronounced. The HF coal with a relatively high fluidity was very sensitive to minimum amounts of charcoal addition, losing nearly half of its fluidity when 5wt.% charcoal was added. A similar reduction in Fmax was also observed for LF, while MF with only a slightly higher fluidity displayed a different trend. From the results it can be seen that the inherent characteristics of a coal are critical factors that affect the extent of the reduction in fluidity caused by the incorporation of charcoal. The differences can be partially attributed to the amount of inertinite present in the parent coal and to the macerals within the inertinite, especially fusinite, semifusinite, and inertodetrinite. In relation to petrographic changes in the matrix of the semicokes, there is a general trend for isotropic material to increase and the size of the anisotropic textures to decrease with the addition of charcoal. Inclusions within the semicoke matrix also change according to the amount and the size of the charcoal added to coal.","container-title":"International Journal of Coal Geology","DOI":"10.1016/j.coal.2015.06.013","ISSN":"0166-5162","journalAbbreviation":"International Journal of Coal Geology","language":"en","page":"105-114","source":"ScienceDirect","title":"Influence of charcoal fines on the thermoplastic properties of coking coals and the optical properties of the semicoke","URL":"https://www.sciencedirect.com/science/article/pii/S0166516215300185","volume":"147-148","author":[{"family":"Guerrero","given":"Adrià"},{"family":"Diez","given":"María A."},{"family":"Borrego","given":"Angeles G."}],"accessed":{"date-parts":[["2022",8,1]]},"issued":{"date-parts":[["2015",8,1]]}}}],"schema":"https://github.com/citation-style-language/schema/raw/master/csl-citation.json"} </w:instrText>
      </w:r>
      <w:r>
        <w:fldChar w:fldCharType="separate"/>
      </w:r>
      <w:r w:rsidRPr="00651F67">
        <w:rPr>
          <w:rFonts w:ascii="Calibri" w:hAnsi="Calibri" w:cs="Calibri"/>
        </w:rPr>
        <w:t>(Guerrero et al. 2015)</w:t>
      </w:r>
      <w:r>
        <w:fldChar w:fldCharType="end"/>
      </w:r>
      <w:r>
        <w:t xml:space="preserve"> studied the influence of charcoal fines on the coking of coal and found that the presence of charcoal increased the softening temperature of the coal during its plastic phase and reduced its fluidity. Increased quantity of inert material in the coal forms inclusions within the coke, from which fissures can propagate, reducing mechanical strength. Coal dilation is also affected which may lead to voids in the coke acting as weak points.</w:t>
      </w:r>
      <w:r w:rsidR="00A34C6F">
        <w:t xml:space="preserve"> </w:t>
      </w:r>
    </w:p>
    <w:p w14:paraId="183DE6F1" w14:textId="7809BC80" w:rsidR="001B11ED" w:rsidRDefault="0013737A" w:rsidP="00553246">
      <w:pPr>
        <w:spacing w:line="360" w:lineRule="auto"/>
        <w:jc w:val="both"/>
      </w:pPr>
      <w:r>
        <w:fldChar w:fldCharType="begin"/>
      </w:r>
      <w:r>
        <w:instrText xml:space="preserve"> ADDIN ZOTERO_ITEM CSL_CITATION {"citationID":"yiIT7dtC","properties":{"formattedCitation":"(Diez et al. 2012)","plainCitation":"(Diez et al. 2012)","noteIndex":0},"citationItems":[{"id":1859,"uris":["http://zotero.org/users/local/AB2owHL2/items/E97NHM52"],"itemData":{"id":1859,"type":"article-journal","abstract":"The modifications in the development of fluidity of a single coking coal caused by Eucalyptus wood, its carbonization products (charcoal and tars) and biomass model compounds (xylan, cellulose and lignin) were assessed by Gieseler plastometry. Eucalyptus sawdust and its carbonization products obtained at 415°C (tars and charcoal) inhibited the fluidity development of coking coals to different degrees. At a low addition rate, the following reducing effect on coal fluidity by biomass products and components was observed: xylan&lt;water-soluble tar&lt;charcoal&lt;lignin&lt;water-insoluble tar&lt;cellulose&lt;sawdust. As the amount of each biomass-derived carbonization product was increased in the blend, the overall effect resembled that of the biomass precursor (xylan, cellulose and lignin). In order to explain the different abilities of biomass-based additives to reduce the fluidity of coal, FTIR spectroscopy and GC–MS were used to identify the major components of the tars, while thermogravimetry was applied to follow the pyrolysis behavior of the biomass products and model compounds.","container-title":"Fuel","DOI":"10.1016/j.fuel.2011.12.065","ISSN":"0016-2361","journalAbbreviation":"Fuel","language":"en","page":"306-313","source":"ScienceDirect","title":"Biomass derived products as modifiers of the rheological properties of coking coals","URL":"https://www.sciencedirect.com/science/article/pii/S0016236111008465","volume":"96","author":[{"family":"Diez","given":"M. A."},{"family":"Alvarez","given":"R."},{"family":"Fernández","given":"M."}],"accessed":{"date-parts":[["2022",8,1]]},"issued":{"date-parts":[["2012",6,1]]}}}],"schema":"https://github.com/citation-style-language/schema/raw/master/csl-citation.json"} </w:instrText>
      </w:r>
      <w:r>
        <w:fldChar w:fldCharType="separate"/>
      </w:r>
      <w:r w:rsidRPr="0013737A">
        <w:rPr>
          <w:rFonts w:ascii="Calibri" w:hAnsi="Calibri" w:cs="Calibri"/>
        </w:rPr>
        <w:t>(Diez et al. 2012)</w:t>
      </w:r>
      <w:r>
        <w:fldChar w:fldCharType="end"/>
      </w:r>
      <w:r>
        <w:t xml:space="preserve"> </w:t>
      </w:r>
      <w:r w:rsidR="00263273">
        <w:t xml:space="preserve">describe charcoal as a porous material with </w:t>
      </w:r>
      <w:r w:rsidR="0078077E">
        <w:t xml:space="preserve">a much higher surface area than coal, during </w:t>
      </w:r>
      <w:r w:rsidR="004C778E">
        <w:t>coke making the biochar absorbs the decomposition products from coal</w:t>
      </w:r>
      <w:r w:rsidR="002F5754">
        <w:t>, increasing the softening temperature and inhibiting fluidity development</w:t>
      </w:r>
      <w:r w:rsidR="00205DCD">
        <w:t>. Resulting in a lower quality coke.</w:t>
      </w:r>
      <w:r w:rsidR="004C778E">
        <w:t xml:space="preserve"> </w:t>
      </w:r>
    </w:p>
    <w:p w14:paraId="70A716ED" w14:textId="77483297" w:rsidR="00484DE3" w:rsidRDefault="00484DE3" w:rsidP="00553246">
      <w:pPr>
        <w:spacing w:line="360" w:lineRule="auto"/>
        <w:jc w:val="both"/>
      </w:pPr>
      <w:r>
        <w:t xml:space="preserve">The results of the coke quality tests show </w:t>
      </w:r>
      <w:r w:rsidR="005648CF">
        <w:t xml:space="preserve">that </w:t>
      </w:r>
      <w:r w:rsidR="00332687">
        <w:t xml:space="preserve">it </w:t>
      </w:r>
      <w:r w:rsidR="00406142">
        <w:t>would be possible to replace at least 3% of coal</w:t>
      </w:r>
      <w:r w:rsidR="00AE4F14">
        <w:t xml:space="preserve"> with biochar for coke</w:t>
      </w:r>
      <w:r w:rsidR="00DC2A76">
        <w:t xml:space="preserve"> </w:t>
      </w:r>
      <w:r w:rsidR="00AE4F14">
        <w:t>making.</w:t>
      </w:r>
      <w:r w:rsidR="00B555F9">
        <w:t xml:space="preserve"> </w:t>
      </w:r>
      <w:r w:rsidR="001D45FD">
        <w:t>Biochar 1 could be used at 5% with minimal im</w:t>
      </w:r>
      <w:r w:rsidR="007973F5">
        <w:t>p</w:t>
      </w:r>
      <w:r w:rsidR="001D45FD">
        <w:t>act</w:t>
      </w:r>
      <w:r w:rsidR="007973F5">
        <w:t xml:space="preserve"> upon coke quality. </w:t>
      </w:r>
      <w:r w:rsidR="00406142">
        <w:t xml:space="preserve"> </w:t>
      </w:r>
      <w:r w:rsidR="00A65C7C">
        <w:t xml:space="preserve">At 7.5% </w:t>
      </w:r>
      <w:r w:rsidR="00C732BD">
        <w:t xml:space="preserve">biochar substitution the quality of the coke </w:t>
      </w:r>
      <w:r w:rsidR="00DC2A76">
        <w:t xml:space="preserve">decreases significantly. </w:t>
      </w:r>
    </w:p>
    <w:p w14:paraId="19F08E86" w14:textId="37CBE662" w:rsidR="00A71F8F" w:rsidRDefault="00A71F8F" w:rsidP="00553246">
      <w:pPr>
        <w:spacing w:line="360" w:lineRule="auto"/>
        <w:jc w:val="both"/>
      </w:pPr>
      <w:r>
        <w:t xml:space="preserve">The addition of biochar </w:t>
      </w:r>
      <w:r w:rsidR="007A26E3">
        <w:t>to coking coal increases</w:t>
      </w:r>
      <w:r w:rsidR="00D310BC">
        <w:t xml:space="preserve"> its reactivity and decreases its hot and cold mechanical strength</w:t>
      </w:r>
      <w:r w:rsidR="001F1E77">
        <w:t xml:space="preserve">. When kept to </w:t>
      </w:r>
      <w:r w:rsidR="004210DA">
        <w:t xml:space="preserve">5% </w:t>
      </w:r>
      <w:r w:rsidR="004C44A4">
        <w:t xml:space="preserve">addition </w:t>
      </w:r>
      <w:r w:rsidR="004210DA">
        <w:t>and below</w:t>
      </w:r>
      <w:r w:rsidR="00E66A18">
        <w:t xml:space="preserve"> </w:t>
      </w:r>
      <w:r w:rsidR="00282C22">
        <w:t xml:space="preserve">these </w:t>
      </w:r>
      <w:r w:rsidR="004C44A4">
        <w:t>effects are</w:t>
      </w:r>
      <w:r w:rsidR="00527AF7">
        <w:t xml:space="preserve"> low enough to be</w:t>
      </w:r>
      <w:r w:rsidR="004C44A4">
        <w:t xml:space="preserve"> </w:t>
      </w:r>
      <w:r w:rsidR="00527AF7">
        <w:t>tolerable</w:t>
      </w:r>
      <w:r w:rsidR="00390F02">
        <w:t xml:space="preserve"> and a</w:t>
      </w:r>
      <w:r w:rsidR="00C0194C">
        <w:t xml:space="preserve">s </w:t>
      </w:r>
      <w:r w:rsidR="00B667A3">
        <w:t xml:space="preserve">previously </w:t>
      </w:r>
      <w:r w:rsidR="00C0194C">
        <w:t xml:space="preserve">mentioned a more reactive coke </w:t>
      </w:r>
      <w:r w:rsidR="00E2668C">
        <w:t>may increase the efficiency of the BF.</w:t>
      </w:r>
      <w:r w:rsidR="00527AF7">
        <w:t xml:space="preserve">  </w:t>
      </w:r>
      <w:r w:rsidR="004C44A4">
        <w:t xml:space="preserve"> </w:t>
      </w:r>
    </w:p>
    <w:p w14:paraId="28C06CF4" w14:textId="3E20D0E2" w:rsidR="000B6A88" w:rsidRDefault="006A5117" w:rsidP="00553246">
      <w:pPr>
        <w:spacing w:line="360" w:lineRule="auto"/>
        <w:jc w:val="both"/>
      </w:pPr>
      <w:r>
        <w:t xml:space="preserve">Further work could be carried out to </w:t>
      </w:r>
      <w:r w:rsidR="00B31753">
        <w:t xml:space="preserve">research the effects of biochar PSD, </w:t>
      </w:r>
      <w:r w:rsidR="0069618B">
        <w:t>feedstock,</w:t>
      </w:r>
      <w:r w:rsidR="00B31753">
        <w:t xml:space="preserve"> and pyrolysis conditions on </w:t>
      </w:r>
      <w:r w:rsidR="001B2E2D">
        <w:t>coke quality.</w:t>
      </w:r>
    </w:p>
    <w:p w14:paraId="13DAB751" w14:textId="77777777" w:rsidR="001B11ED" w:rsidRPr="001B11ED" w:rsidRDefault="001B11ED" w:rsidP="001B11ED"/>
    <w:p w14:paraId="30F6A074" w14:textId="5066E536" w:rsidR="001B11ED" w:rsidRDefault="001B11ED" w:rsidP="00865BFD"/>
    <w:p w14:paraId="7ECCF4B8" w14:textId="17D534E0" w:rsidR="004C4842" w:rsidRDefault="004C4842" w:rsidP="004C4842"/>
    <w:p w14:paraId="6CD1C189" w14:textId="77777777" w:rsidR="00390F02" w:rsidRDefault="00390F02" w:rsidP="004C4842"/>
    <w:p w14:paraId="39A0ACC3" w14:textId="77777777" w:rsidR="00390F02" w:rsidRDefault="00390F02" w:rsidP="004C4842"/>
    <w:p w14:paraId="6AA6F30F" w14:textId="77777777" w:rsidR="00390F02" w:rsidRDefault="00390F02" w:rsidP="004C4842"/>
    <w:p w14:paraId="695A3CEE" w14:textId="14222C62" w:rsidR="004C4842" w:rsidRDefault="00CB63E2" w:rsidP="001D53D6">
      <w:pPr>
        <w:pStyle w:val="Heading2"/>
        <w:spacing w:line="360" w:lineRule="auto"/>
        <w:jc w:val="both"/>
      </w:pPr>
      <w:bookmarkStart w:id="91" w:name="_Toc127911471"/>
      <w:r>
        <w:lastRenderedPageBreak/>
        <w:t xml:space="preserve">Biochar substitution in Sinter </w:t>
      </w:r>
      <w:r w:rsidR="00D44525">
        <w:t>making.</w:t>
      </w:r>
      <w:bookmarkEnd w:id="91"/>
    </w:p>
    <w:p w14:paraId="4B7520F0" w14:textId="0E0E8BC6" w:rsidR="001A2744" w:rsidRDefault="00C55877" w:rsidP="00BD5DF0">
      <w:pPr>
        <w:spacing w:line="360" w:lineRule="auto"/>
        <w:jc w:val="both"/>
      </w:pPr>
      <w:r>
        <w:t xml:space="preserve">Sinter is the </w:t>
      </w:r>
      <w:proofErr w:type="gramStart"/>
      <w:r>
        <w:t>most commonly used</w:t>
      </w:r>
      <w:proofErr w:type="gramEnd"/>
      <w:r>
        <w:t xml:space="preserve"> BF </w:t>
      </w:r>
      <w:r w:rsidR="004D3340">
        <w:t xml:space="preserve">burden material. </w:t>
      </w:r>
      <w:r w:rsidR="00AA1C02">
        <w:t xml:space="preserve">The sinter plant agglomerates iron ore, iron rich revert materials and </w:t>
      </w:r>
      <w:r w:rsidR="00BD5DF0">
        <w:t xml:space="preserve">fluxes into a suitable feedstock for the BF. The process is </w:t>
      </w:r>
      <w:r w:rsidR="003B5EAE">
        <w:t xml:space="preserve">a complex, </w:t>
      </w:r>
      <w:r w:rsidR="00BD5DF0">
        <w:t>energy intensive</w:t>
      </w:r>
      <w:r w:rsidR="000F7CDF">
        <w:t xml:space="preserve"> one</w:t>
      </w:r>
      <w:r w:rsidR="00BD5DF0">
        <w:t xml:space="preserve"> </w:t>
      </w:r>
      <w:r w:rsidR="009176C3">
        <w:t>and a considerable amount of CO2 is produced</w:t>
      </w:r>
      <w:r w:rsidR="00D51664">
        <w:t xml:space="preserve">, up to 12 % of the steel plant. </w:t>
      </w:r>
      <w:r w:rsidR="00F07D03">
        <w:t>Coke breez</w:t>
      </w:r>
      <w:r w:rsidR="00F47F3F">
        <w:t>e is the most conventional fuel used to provide the heat for the process,</w:t>
      </w:r>
      <w:r w:rsidR="00CB2055">
        <w:t xml:space="preserve"> the coke breeze is </w:t>
      </w:r>
      <w:r w:rsidR="00C24C29">
        <w:t>screened from the coke that is to be used in the BF, however</w:t>
      </w:r>
      <w:r w:rsidR="009745A5">
        <w:t xml:space="preserve"> in</w:t>
      </w:r>
      <w:r w:rsidR="00C24C29">
        <w:t xml:space="preserve"> many steel plants </w:t>
      </w:r>
      <w:r w:rsidR="00905352">
        <w:t>the total amount required for sintering falls short</w:t>
      </w:r>
      <w:r w:rsidR="009745A5">
        <w:t xml:space="preserve"> and </w:t>
      </w:r>
      <w:r w:rsidR="00ED557D">
        <w:t>needs</w:t>
      </w:r>
      <w:r w:rsidR="00653698">
        <w:t xml:space="preserve"> to be outsourced or alternative fuels used</w:t>
      </w:r>
      <w:r w:rsidR="00224B09">
        <w:t xml:space="preserve"> total </w:t>
      </w:r>
      <w:r w:rsidR="00224B09">
        <w:fldChar w:fldCharType="begin"/>
      </w:r>
      <w:r w:rsidR="00224B09">
        <w:instrText xml:space="preserve"> ADDIN ZOTERO_ITEM CSL_CITATION {"citationID":"Udn8mwtI","properties":{"formattedCitation":"(Zandi et al. 2010)","plainCitation":"(Zandi et al. 2010)","noteIndex":0},"citationItems":[{"id":1763,"uris":["http://zotero.org/users/local/AB2owHL2/items/5MKKPABR"],"itemData":{"id":1763,"type":"article-journal","abstract":"Within an integrated steelworks, iron ore sinter making is an energy intensive process. In recent years, biomass is becoming an attractive alternative source of energy to traditional fossil fuels such as coal. In this study, commercially available biomass materials suited to sinter making have been identified as an alternative source of fuel to coke breeze. Olive residues, sunflower husk pellets, almond shells, hazelnut shells and Bagasse pellets have been characterised and prepared for sintering. A laboratory sinter pot has been employed for studying sintering behaviour of biomass material. On average, the calorific values of selected biomass materials, on a dry basis, are about 65% of dry coke breeze. It was found that less of this energy would be available in sinter making due to the evaporation of some of the volatile matter ahead of the flame front. At a replacement rate of 25%, the crushed sunflower husk pellets showed the closest thermal profile to that of coke breeze alone in the size range of −0.8 to +0.6mm. A specification of less than 1mm has been recommended for the studied biomass materials when co-firing biomass with coke breeze for iron ore sintering.","container-title":"Minerals Engineering","DOI":"10.1016/j.mineng.2010.07.010","ISSN":"0892-6875","issue":"14","journalAbbreviation":"Minerals Engineering","language":"en","page":"1139-1145","source":"ScienceDirect","title":"Biomass for iron ore sintering","URL":"https://www.sciencedirect.com/science/article/pii/S0892687510001792","volume":"23","author":[{"family":"Zandi","given":"Mohammad"},{"family":"Martinez-Pacheco","given":"Maria"},{"family":"Fray","given":"Trevor A. T."}],"accessed":{"date-parts":[["2022",7,12]]},"issued":{"date-parts":[["2010",11,1]]}}}],"schema":"https://github.com/citation-style-language/schema/raw/master/csl-citation.json"} </w:instrText>
      </w:r>
      <w:r w:rsidR="00224B09">
        <w:fldChar w:fldCharType="separate"/>
      </w:r>
      <w:r w:rsidR="00224B09" w:rsidRPr="00E6489B">
        <w:rPr>
          <w:rFonts w:ascii="Calibri" w:hAnsi="Calibri" w:cs="Calibri"/>
        </w:rPr>
        <w:t>(Zandi et al. 2010)</w:t>
      </w:r>
      <w:r w:rsidR="00224B09">
        <w:fldChar w:fldCharType="end"/>
      </w:r>
      <w:r w:rsidR="00653698">
        <w:t>.</w:t>
      </w:r>
    </w:p>
    <w:p w14:paraId="19B4F26D" w14:textId="1CA0C359" w:rsidR="005E3EBB" w:rsidRDefault="005E3EBB" w:rsidP="00EC433A">
      <w:pPr>
        <w:pStyle w:val="Heading3"/>
        <w:spacing w:line="360" w:lineRule="auto"/>
        <w:jc w:val="both"/>
      </w:pPr>
      <w:bookmarkStart w:id="92" w:name="_Toc127911472"/>
      <w:r>
        <w:t>Coke breeze and biochar chemical analysis</w:t>
      </w:r>
      <w:bookmarkEnd w:id="92"/>
    </w:p>
    <w:p w14:paraId="0F65CA3C" w14:textId="57E9EEE9" w:rsidR="00EC433A" w:rsidRPr="00EC433A" w:rsidRDefault="00EC433A" w:rsidP="00EC433A">
      <w:pPr>
        <w:spacing w:line="360" w:lineRule="auto"/>
        <w:jc w:val="both"/>
      </w:pPr>
      <w:r>
        <w:t>The comparison of coke breeze and biochar chemistry is shown below in table 13.</w:t>
      </w:r>
    </w:p>
    <w:p w14:paraId="7506EC28" w14:textId="784F93BA" w:rsidR="00BA5CDC" w:rsidRPr="00BA5CDC" w:rsidRDefault="00BA5CDC" w:rsidP="00BA5CDC">
      <w:pPr>
        <w:pStyle w:val="Caption"/>
        <w:jc w:val="center"/>
      </w:pPr>
      <w:r>
        <w:t xml:space="preserve">Table </w:t>
      </w:r>
      <w:fldSimple w:instr=" SEQ Table \* ARABIC ">
        <w:r w:rsidR="00DA2639">
          <w:rPr>
            <w:noProof/>
          </w:rPr>
          <w:t>13</w:t>
        </w:r>
      </w:fldSimple>
      <w:r>
        <w:t xml:space="preserve"> Coke breeze and biochar analysis </w:t>
      </w:r>
      <w:r w:rsidR="00970B51">
        <w:t>compared.</w:t>
      </w:r>
    </w:p>
    <w:tbl>
      <w:tblPr>
        <w:tblW w:w="5380" w:type="dxa"/>
        <w:jc w:val="center"/>
        <w:tblLook w:val="04A0" w:firstRow="1" w:lastRow="0" w:firstColumn="1" w:lastColumn="0" w:noHBand="0" w:noVBand="1"/>
      </w:tblPr>
      <w:tblGrid>
        <w:gridCol w:w="1380"/>
        <w:gridCol w:w="1240"/>
        <w:gridCol w:w="1380"/>
        <w:gridCol w:w="1380"/>
      </w:tblGrid>
      <w:tr w:rsidR="00157FC5" w:rsidRPr="00157FC5" w14:paraId="1A6C3C6E" w14:textId="77777777" w:rsidTr="00157FC5">
        <w:trPr>
          <w:trHeight w:val="615"/>
          <w:jc w:val="center"/>
        </w:trPr>
        <w:tc>
          <w:tcPr>
            <w:tcW w:w="1380" w:type="dxa"/>
            <w:tcBorders>
              <w:top w:val="single" w:sz="4" w:space="0" w:color="3F3F3F"/>
              <w:left w:val="single" w:sz="4" w:space="0" w:color="3F3F3F"/>
              <w:bottom w:val="single" w:sz="4" w:space="0" w:color="3F3F3F"/>
              <w:right w:val="single" w:sz="4" w:space="0" w:color="3F3F3F"/>
            </w:tcBorders>
            <w:shd w:val="clear" w:color="000000" w:fill="F2F2F2"/>
            <w:vAlign w:val="center"/>
            <w:hideMark/>
          </w:tcPr>
          <w:p w14:paraId="47201C93"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 xml:space="preserve">Parameter </w:t>
            </w:r>
            <w:proofErr w:type="spellStart"/>
            <w:r w:rsidRPr="00157FC5">
              <w:rPr>
                <w:rFonts w:ascii="Calibri" w:eastAsia="Times New Roman" w:hAnsi="Calibri" w:cs="Calibri"/>
                <w:b/>
                <w:bCs/>
                <w:color w:val="3F3F3F"/>
                <w:lang w:eastAsia="en-GB"/>
              </w:rPr>
              <w:t>db</w:t>
            </w:r>
            <w:proofErr w:type="spellEnd"/>
            <w:r w:rsidRPr="00157FC5">
              <w:rPr>
                <w:rFonts w:ascii="Calibri" w:eastAsia="Times New Roman" w:hAnsi="Calibri" w:cs="Calibri"/>
                <w:b/>
                <w:bCs/>
                <w:color w:val="3F3F3F"/>
                <w:lang w:eastAsia="en-GB"/>
              </w:rPr>
              <w:t>%</w:t>
            </w:r>
          </w:p>
        </w:tc>
        <w:tc>
          <w:tcPr>
            <w:tcW w:w="1240" w:type="dxa"/>
            <w:tcBorders>
              <w:top w:val="single" w:sz="4" w:space="0" w:color="3F3F3F"/>
              <w:left w:val="nil"/>
              <w:bottom w:val="single" w:sz="4" w:space="0" w:color="3F3F3F"/>
              <w:right w:val="single" w:sz="4" w:space="0" w:color="3F3F3F"/>
            </w:tcBorders>
            <w:shd w:val="clear" w:color="000000" w:fill="F2F2F2"/>
            <w:vAlign w:val="center"/>
            <w:hideMark/>
          </w:tcPr>
          <w:p w14:paraId="35F5188E"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 xml:space="preserve">Coke Breeze </w:t>
            </w:r>
          </w:p>
        </w:tc>
        <w:tc>
          <w:tcPr>
            <w:tcW w:w="1380" w:type="dxa"/>
            <w:tcBorders>
              <w:top w:val="single" w:sz="4" w:space="0" w:color="3F3F3F"/>
              <w:left w:val="nil"/>
              <w:bottom w:val="single" w:sz="4" w:space="0" w:color="3F3F3F"/>
              <w:right w:val="single" w:sz="4" w:space="0" w:color="3F3F3F"/>
            </w:tcBorders>
            <w:shd w:val="clear" w:color="000000" w:fill="F2F2F2"/>
            <w:vAlign w:val="center"/>
            <w:hideMark/>
          </w:tcPr>
          <w:p w14:paraId="16BBE1A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Biochar 1</w:t>
            </w:r>
          </w:p>
        </w:tc>
        <w:tc>
          <w:tcPr>
            <w:tcW w:w="1380" w:type="dxa"/>
            <w:tcBorders>
              <w:top w:val="single" w:sz="4" w:space="0" w:color="3F3F3F"/>
              <w:left w:val="nil"/>
              <w:bottom w:val="single" w:sz="4" w:space="0" w:color="3F3F3F"/>
              <w:right w:val="single" w:sz="4" w:space="0" w:color="3F3F3F"/>
            </w:tcBorders>
            <w:shd w:val="clear" w:color="000000" w:fill="F2F2F2"/>
            <w:vAlign w:val="center"/>
            <w:hideMark/>
          </w:tcPr>
          <w:p w14:paraId="40CD2E0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Biochar 2</w:t>
            </w:r>
          </w:p>
        </w:tc>
      </w:tr>
      <w:tr w:rsidR="00157FC5" w:rsidRPr="00157FC5" w14:paraId="1BADF3F7"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45571909"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Fixed Carbon</w:t>
            </w:r>
          </w:p>
        </w:tc>
        <w:tc>
          <w:tcPr>
            <w:tcW w:w="1240" w:type="dxa"/>
            <w:tcBorders>
              <w:top w:val="nil"/>
              <w:left w:val="nil"/>
              <w:bottom w:val="single" w:sz="4" w:space="0" w:color="3F3F3F"/>
              <w:right w:val="single" w:sz="4" w:space="0" w:color="3F3F3F"/>
            </w:tcBorders>
            <w:shd w:val="clear" w:color="000000" w:fill="F2F2F2"/>
            <w:vAlign w:val="center"/>
            <w:hideMark/>
          </w:tcPr>
          <w:p w14:paraId="3968364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86.1</w:t>
            </w:r>
          </w:p>
        </w:tc>
        <w:tc>
          <w:tcPr>
            <w:tcW w:w="1380" w:type="dxa"/>
            <w:tcBorders>
              <w:top w:val="nil"/>
              <w:left w:val="nil"/>
              <w:bottom w:val="single" w:sz="4" w:space="0" w:color="3F3F3F"/>
              <w:right w:val="single" w:sz="4" w:space="0" w:color="3F3F3F"/>
            </w:tcBorders>
            <w:shd w:val="clear" w:color="000000" w:fill="F2F2F2"/>
            <w:vAlign w:val="center"/>
            <w:hideMark/>
          </w:tcPr>
          <w:p w14:paraId="6DF70A9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90.2</w:t>
            </w:r>
          </w:p>
        </w:tc>
        <w:tc>
          <w:tcPr>
            <w:tcW w:w="1380" w:type="dxa"/>
            <w:tcBorders>
              <w:top w:val="nil"/>
              <w:left w:val="nil"/>
              <w:bottom w:val="single" w:sz="4" w:space="0" w:color="3F3F3F"/>
              <w:right w:val="single" w:sz="4" w:space="0" w:color="3F3F3F"/>
            </w:tcBorders>
            <w:shd w:val="clear" w:color="000000" w:fill="F2F2F2"/>
            <w:vAlign w:val="center"/>
            <w:hideMark/>
          </w:tcPr>
          <w:p w14:paraId="395F64E2"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83</w:t>
            </w:r>
          </w:p>
        </w:tc>
      </w:tr>
      <w:tr w:rsidR="00157FC5" w:rsidRPr="00157FC5" w14:paraId="0B82C6F3"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7B75179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VM</w:t>
            </w:r>
          </w:p>
        </w:tc>
        <w:tc>
          <w:tcPr>
            <w:tcW w:w="1240" w:type="dxa"/>
            <w:tcBorders>
              <w:top w:val="nil"/>
              <w:left w:val="nil"/>
              <w:bottom w:val="single" w:sz="4" w:space="0" w:color="3F3F3F"/>
              <w:right w:val="single" w:sz="4" w:space="0" w:color="3F3F3F"/>
            </w:tcBorders>
            <w:shd w:val="clear" w:color="000000" w:fill="F2F2F2"/>
            <w:vAlign w:val="center"/>
            <w:hideMark/>
          </w:tcPr>
          <w:p w14:paraId="56177D15"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1.9</w:t>
            </w:r>
          </w:p>
        </w:tc>
        <w:tc>
          <w:tcPr>
            <w:tcW w:w="1380" w:type="dxa"/>
            <w:tcBorders>
              <w:top w:val="nil"/>
              <w:left w:val="nil"/>
              <w:bottom w:val="single" w:sz="4" w:space="0" w:color="3F3F3F"/>
              <w:right w:val="single" w:sz="4" w:space="0" w:color="3F3F3F"/>
            </w:tcBorders>
            <w:shd w:val="clear" w:color="000000" w:fill="F2F2F2"/>
            <w:vAlign w:val="center"/>
            <w:hideMark/>
          </w:tcPr>
          <w:p w14:paraId="5E267E7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6.7</w:t>
            </w:r>
          </w:p>
        </w:tc>
        <w:tc>
          <w:tcPr>
            <w:tcW w:w="1380" w:type="dxa"/>
            <w:tcBorders>
              <w:top w:val="nil"/>
              <w:left w:val="nil"/>
              <w:bottom w:val="single" w:sz="4" w:space="0" w:color="3F3F3F"/>
              <w:right w:val="single" w:sz="4" w:space="0" w:color="3F3F3F"/>
            </w:tcBorders>
            <w:shd w:val="clear" w:color="000000" w:fill="F2F2F2"/>
            <w:vAlign w:val="center"/>
            <w:hideMark/>
          </w:tcPr>
          <w:p w14:paraId="05CFAF3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15.6</w:t>
            </w:r>
          </w:p>
        </w:tc>
      </w:tr>
      <w:tr w:rsidR="00157FC5" w:rsidRPr="00157FC5" w14:paraId="15545EA5"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3317218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Ash</w:t>
            </w:r>
          </w:p>
        </w:tc>
        <w:tc>
          <w:tcPr>
            <w:tcW w:w="1240" w:type="dxa"/>
            <w:tcBorders>
              <w:top w:val="nil"/>
              <w:left w:val="nil"/>
              <w:bottom w:val="single" w:sz="4" w:space="0" w:color="3F3F3F"/>
              <w:right w:val="single" w:sz="4" w:space="0" w:color="3F3F3F"/>
            </w:tcBorders>
            <w:shd w:val="clear" w:color="000000" w:fill="F2F2F2"/>
            <w:vAlign w:val="center"/>
            <w:hideMark/>
          </w:tcPr>
          <w:p w14:paraId="196F372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12.3</w:t>
            </w:r>
          </w:p>
        </w:tc>
        <w:tc>
          <w:tcPr>
            <w:tcW w:w="1380" w:type="dxa"/>
            <w:tcBorders>
              <w:top w:val="nil"/>
              <w:left w:val="nil"/>
              <w:bottom w:val="single" w:sz="4" w:space="0" w:color="3F3F3F"/>
              <w:right w:val="single" w:sz="4" w:space="0" w:color="3F3F3F"/>
            </w:tcBorders>
            <w:shd w:val="clear" w:color="000000" w:fill="F2F2F2"/>
            <w:vAlign w:val="center"/>
            <w:hideMark/>
          </w:tcPr>
          <w:p w14:paraId="5AA3A29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1.89</w:t>
            </w:r>
          </w:p>
        </w:tc>
        <w:tc>
          <w:tcPr>
            <w:tcW w:w="1380" w:type="dxa"/>
            <w:tcBorders>
              <w:top w:val="nil"/>
              <w:left w:val="nil"/>
              <w:bottom w:val="single" w:sz="4" w:space="0" w:color="3F3F3F"/>
              <w:right w:val="single" w:sz="4" w:space="0" w:color="3F3F3F"/>
            </w:tcBorders>
            <w:shd w:val="clear" w:color="000000" w:fill="F2F2F2"/>
            <w:vAlign w:val="center"/>
            <w:hideMark/>
          </w:tcPr>
          <w:p w14:paraId="52A16960"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6</w:t>
            </w:r>
          </w:p>
        </w:tc>
      </w:tr>
      <w:tr w:rsidR="00157FC5" w:rsidRPr="00157FC5" w14:paraId="5D3E1842"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60BFA074"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Sulphur</w:t>
            </w:r>
          </w:p>
        </w:tc>
        <w:tc>
          <w:tcPr>
            <w:tcW w:w="1240" w:type="dxa"/>
            <w:tcBorders>
              <w:top w:val="nil"/>
              <w:left w:val="nil"/>
              <w:bottom w:val="single" w:sz="4" w:space="0" w:color="3F3F3F"/>
              <w:right w:val="single" w:sz="4" w:space="0" w:color="3F3F3F"/>
            </w:tcBorders>
            <w:shd w:val="clear" w:color="000000" w:fill="F2F2F2"/>
            <w:vAlign w:val="center"/>
            <w:hideMark/>
          </w:tcPr>
          <w:p w14:paraId="327B6B0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0.6</w:t>
            </w:r>
          </w:p>
        </w:tc>
        <w:tc>
          <w:tcPr>
            <w:tcW w:w="1380" w:type="dxa"/>
            <w:tcBorders>
              <w:top w:val="nil"/>
              <w:left w:val="nil"/>
              <w:bottom w:val="single" w:sz="4" w:space="0" w:color="3F3F3F"/>
              <w:right w:val="single" w:sz="4" w:space="0" w:color="3F3F3F"/>
            </w:tcBorders>
            <w:shd w:val="clear" w:color="000000" w:fill="F2F2F2"/>
            <w:vAlign w:val="center"/>
            <w:hideMark/>
          </w:tcPr>
          <w:p w14:paraId="43C643DC"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&lt;0.02</w:t>
            </w:r>
          </w:p>
        </w:tc>
        <w:tc>
          <w:tcPr>
            <w:tcW w:w="1380" w:type="dxa"/>
            <w:tcBorders>
              <w:top w:val="nil"/>
              <w:left w:val="nil"/>
              <w:bottom w:val="single" w:sz="4" w:space="0" w:color="3F3F3F"/>
              <w:right w:val="single" w:sz="4" w:space="0" w:color="3F3F3F"/>
            </w:tcBorders>
            <w:shd w:val="clear" w:color="000000" w:fill="F2F2F2"/>
            <w:vAlign w:val="center"/>
            <w:hideMark/>
          </w:tcPr>
          <w:p w14:paraId="282637F9"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0.005</w:t>
            </w:r>
          </w:p>
        </w:tc>
      </w:tr>
      <w:tr w:rsidR="00157FC5" w:rsidRPr="00157FC5" w14:paraId="436ED2A5"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32357CC9"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Fe2O3</w:t>
            </w:r>
          </w:p>
        </w:tc>
        <w:tc>
          <w:tcPr>
            <w:tcW w:w="1240" w:type="dxa"/>
            <w:tcBorders>
              <w:top w:val="nil"/>
              <w:left w:val="nil"/>
              <w:bottom w:val="single" w:sz="4" w:space="0" w:color="3F3F3F"/>
              <w:right w:val="single" w:sz="4" w:space="0" w:color="3F3F3F"/>
            </w:tcBorders>
            <w:shd w:val="clear" w:color="000000" w:fill="F2F2F2"/>
            <w:vAlign w:val="center"/>
            <w:hideMark/>
          </w:tcPr>
          <w:p w14:paraId="4900F892"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9.61</w:t>
            </w:r>
          </w:p>
        </w:tc>
        <w:tc>
          <w:tcPr>
            <w:tcW w:w="1380" w:type="dxa"/>
            <w:tcBorders>
              <w:top w:val="nil"/>
              <w:left w:val="nil"/>
              <w:bottom w:val="single" w:sz="4" w:space="0" w:color="3F3F3F"/>
              <w:right w:val="single" w:sz="4" w:space="0" w:color="3F3F3F"/>
            </w:tcBorders>
            <w:shd w:val="clear" w:color="000000" w:fill="F2F2F2"/>
            <w:vAlign w:val="center"/>
            <w:hideMark/>
          </w:tcPr>
          <w:p w14:paraId="454CD2CE"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10.76</w:t>
            </w:r>
          </w:p>
        </w:tc>
        <w:tc>
          <w:tcPr>
            <w:tcW w:w="1380" w:type="dxa"/>
            <w:tcBorders>
              <w:top w:val="nil"/>
              <w:left w:val="nil"/>
              <w:bottom w:val="single" w:sz="4" w:space="0" w:color="3F3F3F"/>
              <w:right w:val="single" w:sz="4" w:space="0" w:color="3F3F3F"/>
            </w:tcBorders>
            <w:shd w:val="clear" w:color="000000" w:fill="F2F2F2"/>
            <w:vAlign w:val="center"/>
            <w:hideMark/>
          </w:tcPr>
          <w:p w14:paraId="2F3FF38A"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25.87</w:t>
            </w:r>
          </w:p>
        </w:tc>
      </w:tr>
      <w:tr w:rsidR="00157FC5" w:rsidRPr="00157FC5" w14:paraId="6CC41BCF"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0D93D1CC"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SiO2</w:t>
            </w:r>
          </w:p>
        </w:tc>
        <w:tc>
          <w:tcPr>
            <w:tcW w:w="1240" w:type="dxa"/>
            <w:tcBorders>
              <w:top w:val="nil"/>
              <w:left w:val="nil"/>
              <w:bottom w:val="single" w:sz="4" w:space="0" w:color="3F3F3F"/>
              <w:right w:val="single" w:sz="4" w:space="0" w:color="3F3F3F"/>
            </w:tcBorders>
            <w:shd w:val="clear" w:color="000000" w:fill="F2F2F2"/>
            <w:vAlign w:val="center"/>
            <w:hideMark/>
          </w:tcPr>
          <w:p w14:paraId="7AE42804"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48.64</w:t>
            </w:r>
          </w:p>
        </w:tc>
        <w:tc>
          <w:tcPr>
            <w:tcW w:w="1380" w:type="dxa"/>
            <w:tcBorders>
              <w:top w:val="nil"/>
              <w:left w:val="nil"/>
              <w:bottom w:val="single" w:sz="4" w:space="0" w:color="3F3F3F"/>
              <w:right w:val="single" w:sz="4" w:space="0" w:color="3F3F3F"/>
            </w:tcBorders>
            <w:shd w:val="clear" w:color="000000" w:fill="F2F2F2"/>
            <w:vAlign w:val="center"/>
            <w:hideMark/>
          </w:tcPr>
          <w:p w14:paraId="1DE0286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8.1</w:t>
            </w:r>
          </w:p>
        </w:tc>
        <w:tc>
          <w:tcPr>
            <w:tcW w:w="1380" w:type="dxa"/>
            <w:tcBorders>
              <w:top w:val="nil"/>
              <w:left w:val="nil"/>
              <w:bottom w:val="single" w:sz="4" w:space="0" w:color="3F3F3F"/>
              <w:right w:val="single" w:sz="4" w:space="0" w:color="3F3F3F"/>
            </w:tcBorders>
            <w:shd w:val="clear" w:color="000000" w:fill="F2F2F2"/>
            <w:vAlign w:val="center"/>
            <w:hideMark/>
          </w:tcPr>
          <w:p w14:paraId="3B7AB024"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19.6</w:t>
            </w:r>
          </w:p>
        </w:tc>
      </w:tr>
      <w:tr w:rsidR="00157FC5" w:rsidRPr="00157FC5" w14:paraId="1599A3A0" w14:textId="77777777" w:rsidTr="00157FC5">
        <w:trPr>
          <w:trHeight w:val="330"/>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3A6BC006"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Al2O2</w:t>
            </w:r>
          </w:p>
        </w:tc>
        <w:tc>
          <w:tcPr>
            <w:tcW w:w="1240" w:type="dxa"/>
            <w:tcBorders>
              <w:top w:val="nil"/>
              <w:left w:val="nil"/>
              <w:bottom w:val="single" w:sz="4" w:space="0" w:color="3F3F3F"/>
              <w:right w:val="single" w:sz="4" w:space="0" w:color="3F3F3F"/>
            </w:tcBorders>
            <w:shd w:val="clear" w:color="000000" w:fill="F2F2F2"/>
            <w:vAlign w:val="center"/>
            <w:hideMark/>
          </w:tcPr>
          <w:p w14:paraId="52B2685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26.13</w:t>
            </w:r>
          </w:p>
        </w:tc>
        <w:tc>
          <w:tcPr>
            <w:tcW w:w="1380" w:type="dxa"/>
            <w:tcBorders>
              <w:top w:val="nil"/>
              <w:left w:val="nil"/>
              <w:bottom w:val="single" w:sz="4" w:space="0" w:color="3F3F3F"/>
              <w:right w:val="single" w:sz="4" w:space="0" w:color="3F3F3F"/>
            </w:tcBorders>
            <w:shd w:val="clear" w:color="000000" w:fill="F2F2F2"/>
            <w:vAlign w:val="center"/>
            <w:hideMark/>
          </w:tcPr>
          <w:p w14:paraId="2159BA5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2.76</w:t>
            </w:r>
          </w:p>
        </w:tc>
        <w:tc>
          <w:tcPr>
            <w:tcW w:w="1380" w:type="dxa"/>
            <w:tcBorders>
              <w:top w:val="nil"/>
              <w:left w:val="nil"/>
              <w:bottom w:val="single" w:sz="4" w:space="0" w:color="3F3F3F"/>
              <w:right w:val="single" w:sz="4" w:space="0" w:color="3F3F3F"/>
            </w:tcBorders>
            <w:shd w:val="clear" w:color="000000" w:fill="F2F2F2"/>
            <w:vAlign w:val="center"/>
            <w:hideMark/>
          </w:tcPr>
          <w:p w14:paraId="0A4F0C5B"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5.7</w:t>
            </w:r>
          </w:p>
        </w:tc>
      </w:tr>
      <w:tr w:rsidR="00157FC5" w:rsidRPr="00157FC5" w14:paraId="1665B754"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4226FD2D"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proofErr w:type="spellStart"/>
            <w:r w:rsidRPr="00157FC5">
              <w:rPr>
                <w:rFonts w:ascii="Calibri" w:eastAsia="Times New Roman" w:hAnsi="Calibri" w:cs="Calibri"/>
                <w:b/>
                <w:bCs/>
                <w:color w:val="3F3F3F"/>
                <w:lang w:eastAsia="en-GB"/>
              </w:rPr>
              <w:t>CaO</w:t>
            </w:r>
            <w:proofErr w:type="spellEnd"/>
          </w:p>
        </w:tc>
        <w:tc>
          <w:tcPr>
            <w:tcW w:w="1240" w:type="dxa"/>
            <w:tcBorders>
              <w:top w:val="nil"/>
              <w:left w:val="nil"/>
              <w:bottom w:val="single" w:sz="4" w:space="0" w:color="3F3F3F"/>
              <w:right w:val="single" w:sz="4" w:space="0" w:color="3F3F3F"/>
            </w:tcBorders>
            <w:shd w:val="clear" w:color="000000" w:fill="F2F2F2"/>
            <w:vAlign w:val="center"/>
            <w:hideMark/>
          </w:tcPr>
          <w:p w14:paraId="6CCB8F32"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3.51</w:t>
            </w:r>
          </w:p>
        </w:tc>
        <w:tc>
          <w:tcPr>
            <w:tcW w:w="1380" w:type="dxa"/>
            <w:tcBorders>
              <w:top w:val="nil"/>
              <w:left w:val="nil"/>
              <w:bottom w:val="single" w:sz="4" w:space="0" w:color="3F3F3F"/>
              <w:right w:val="single" w:sz="4" w:space="0" w:color="3F3F3F"/>
            </w:tcBorders>
            <w:shd w:val="clear" w:color="000000" w:fill="F2F2F2"/>
            <w:vAlign w:val="center"/>
            <w:hideMark/>
          </w:tcPr>
          <w:p w14:paraId="584167ED"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54.18</w:t>
            </w:r>
          </w:p>
        </w:tc>
        <w:tc>
          <w:tcPr>
            <w:tcW w:w="1380" w:type="dxa"/>
            <w:tcBorders>
              <w:top w:val="nil"/>
              <w:left w:val="nil"/>
              <w:bottom w:val="single" w:sz="4" w:space="0" w:color="3F3F3F"/>
              <w:right w:val="single" w:sz="4" w:space="0" w:color="3F3F3F"/>
            </w:tcBorders>
            <w:shd w:val="clear" w:color="000000" w:fill="F2F2F2"/>
            <w:vAlign w:val="center"/>
            <w:hideMark/>
          </w:tcPr>
          <w:p w14:paraId="603CC530"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39.58</w:t>
            </w:r>
          </w:p>
        </w:tc>
      </w:tr>
      <w:tr w:rsidR="00157FC5" w:rsidRPr="00157FC5" w14:paraId="0FAAFFE9"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5736D2C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MgO</w:t>
            </w:r>
          </w:p>
        </w:tc>
        <w:tc>
          <w:tcPr>
            <w:tcW w:w="1240" w:type="dxa"/>
            <w:tcBorders>
              <w:top w:val="nil"/>
              <w:left w:val="nil"/>
              <w:bottom w:val="single" w:sz="4" w:space="0" w:color="3F3F3F"/>
              <w:right w:val="single" w:sz="4" w:space="0" w:color="3F3F3F"/>
            </w:tcBorders>
            <w:shd w:val="clear" w:color="000000" w:fill="F2F2F2"/>
            <w:vAlign w:val="center"/>
            <w:hideMark/>
          </w:tcPr>
          <w:p w14:paraId="6D40FE26"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0.79</w:t>
            </w:r>
          </w:p>
        </w:tc>
        <w:tc>
          <w:tcPr>
            <w:tcW w:w="1380" w:type="dxa"/>
            <w:tcBorders>
              <w:top w:val="nil"/>
              <w:left w:val="nil"/>
              <w:bottom w:val="single" w:sz="4" w:space="0" w:color="3F3F3F"/>
              <w:right w:val="single" w:sz="4" w:space="0" w:color="3F3F3F"/>
            </w:tcBorders>
            <w:shd w:val="clear" w:color="000000" w:fill="F2F2F2"/>
            <w:vAlign w:val="center"/>
            <w:hideMark/>
          </w:tcPr>
          <w:p w14:paraId="7162DA2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17.84</w:t>
            </w:r>
          </w:p>
        </w:tc>
        <w:tc>
          <w:tcPr>
            <w:tcW w:w="1380" w:type="dxa"/>
            <w:tcBorders>
              <w:top w:val="nil"/>
              <w:left w:val="nil"/>
              <w:bottom w:val="single" w:sz="4" w:space="0" w:color="3F3F3F"/>
              <w:right w:val="single" w:sz="4" w:space="0" w:color="3F3F3F"/>
            </w:tcBorders>
            <w:shd w:val="clear" w:color="000000" w:fill="F2F2F2"/>
            <w:vAlign w:val="center"/>
            <w:hideMark/>
          </w:tcPr>
          <w:p w14:paraId="785929F1"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2.02</w:t>
            </w:r>
          </w:p>
        </w:tc>
      </w:tr>
      <w:tr w:rsidR="00157FC5" w:rsidRPr="00157FC5" w14:paraId="1C54269C"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2E283CC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TiO2</w:t>
            </w:r>
          </w:p>
        </w:tc>
        <w:tc>
          <w:tcPr>
            <w:tcW w:w="1240" w:type="dxa"/>
            <w:tcBorders>
              <w:top w:val="nil"/>
              <w:left w:val="nil"/>
              <w:bottom w:val="single" w:sz="4" w:space="0" w:color="3F3F3F"/>
              <w:right w:val="single" w:sz="4" w:space="0" w:color="3F3F3F"/>
            </w:tcBorders>
            <w:shd w:val="clear" w:color="000000" w:fill="F2F2F2"/>
            <w:vAlign w:val="center"/>
            <w:hideMark/>
          </w:tcPr>
          <w:p w14:paraId="58B05B6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1.34</w:t>
            </w:r>
          </w:p>
        </w:tc>
        <w:tc>
          <w:tcPr>
            <w:tcW w:w="1380" w:type="dxa"/>
            <w:tcBorders>
              <w:top w:val="nil"/>
              <w:left w:val="nil"/>
              <w:bottom w:val="single" w:sz="4" w:space="0" w:color="3F3F3F"/>
              <w:right w:val="single" w:sz="4" w:space="0" w:color="3F3F3F"/>
            </w:tcBorders>
            <w:shd w:val="clear" w:color="000000" w:fill="F2F2F2"/>
            <w:vAlign w:val="center"/>
            <w:hideMark/>
          </w:tcPr>
          <w:p w14:paraId="00B0938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0.22</w:t>
            </w:r>
          </w:p>
        </w:tc>
        <w:tc>
          <w:tcPr>
            <w:tcW w:w="1380" w:type="dxa"/>
            <w:tcBorders>
              <w:top w:val="nil"/>
              <w:left w:val="nil"/>
              <w:bottom w:val="single" w:sz="4" w:space="0" w:color="3F3F3F"/>
              <w:right w:val="single" w:sz="4" w:space="0" w:color="3F3F3F"/>
            </w:tcBorders>
            <w:shd w:val="clear" w:color="000000" w:fill="F2F2F2"/>
            <w:vAlign w:val="center"/>
            <w:hideMark/>
          </w:tcPr>
          <w:p w14:paraId="11198D73"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0.34</w:t>
            </w:r>
          </w:p>
        </w:tc>
      </w:tr>
      <w:tr w:rsidR="00157FC5" w:rsidRPr="00157FC5" w14:paraId="39CD8D53"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6359E5A1"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Na2O3</w:t>
            </w:r>
          </w:p>
        </w:tc>
        <w:tc>
          <w:tcPr>
            <w:tcW w:w="1240" w:type="dxa"/>
            <w:tcBorders>
              <w:top w:val="nil"/>
              <w:left w:val="nil"/>
              <w:bottom w:val="single" w:sz="4" w:space="0" w:color="3F3F3F"/>
              <w:right w:val="single" w:sz="4" w:space="0" w:color="3F3F3F"/>
            </w:tcBorders>
            <w:shd w:val="clear" w:color="000000" w:fill="F2F2F2"/>
            <w:noWrap/>
            <w:vAlign w:val="bottom"/>
            <w:hideMark/>
          </w:tcPr>
          <w:p w14:paraId="0ACB4777"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0.35</w:t>
            </w:r>
          </w:p>
        </w:tc>
        <w:tc>
          <w:tcPr>
            <w:tcW w:w="138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38166AA"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0.9</w:t>
            </w:r>
          </w:p>
        </w:tc>
        <w:tc>
          <w:tcPr>
            <w:tcW w:w="1380" w:type="dxa"/>
            <w:tcBorders>
              <w:top w:val="single" w:sz="4" w:space="0" w:color="auto"/>
              <w:left w:val="nil"/>
              <w:bottom w:val="single" w:sz="4" w:space="0" w:color="auto"/>
              <w:right w:val="single" w:sz="8" w:space="0" w:color="auto"/>
            </w:tcBorders>
            <w:shd w:val="clear" w:color="000000" w:fill="EDEDED"/>
            <w:noWrap/>
            <w:vAlign w:val="center"/>
            <w:hideMark/>
          </w:tcPr>
          <w:p w14:paraId="064C57B6"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0.48</w:t>
            </w:r>
          </w:p>
        </w:tc>
      </w:tr>
      <w:tr w:rsidR="00157FC5" w:rsidRPr="00157FC5" w14:paraId="025ECBF4"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1DB38970"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K2O</w:t>
            </w:r>
          </w:p>
        </w:tc>
        <w:tc>
          <w:tcPr>
            <w:tcW w:w="1240" w:type="dxa"/>
            <w:tcBorders>
              <w:top w:val="nil"/>
              <w:left w:val="nil"/>
              <w:bottom w:val="single" w:sz="4" w:space="0" w:color="3F3F3F"/>
              <w:right w:val="single" w:sz="4" w:space="0" w:color="3F3F3F"/>
            </w:tcBorders>
            <w:shd w:val="clear" w:color="000000" w:fill="F2F2F2"/>
            <w:noWrap/>
            <w:vAlign w:val="bottom"/>
            <w:hideMark/>
          </w:tcPr>
          <w:p w14:paraId="0BAC50D4"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1.02</w:t>
            </w:r>
          </w:p>
        </w:tc>
        <w:tc>
          <w:tcPr>
            <w:tcW w:w="1380" w:type="dxa"/>
            <w:tcBorders>
              <w:top w:val="nil"/>
              <w:left w:val="single" w:sz="4" w:space="0" w:color="auto"/>
              <w:bottom w:val="single" w:sz="4" w:space="0" w:color="auto"/>
              <w:right w:val="single" w:sz="4" w:space="0" w:color="auto"/>
            </w:tcBorders>
            <w:shd w:val="clear" w:color="000000" w:fill="EDEDED"/>
            <w:noWrap/>
            <w:vAlign w:val="center"/>
            <w:hideMark/>
          </w:tcPr>
          <w:p w14:paraId="6CA57EE6"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4.3</w:t>
            </w:r>
          </w:p>
        </w:tc>
        <w:tc>
          <w:tcPr>
            <w:tcW w:w="1380" w:type="dxa"/>
            <w:tcBorders>
              <w:top w:val="nil"/>
              <w:left w:val="nil"/>
              <w:bottom w:val="single" w:sz="4" w:space="0" w:color="auto"/>
              <w:right w:val="single" w:sz="8" w:space="0" w:color="auto"/>
            </w:tcBorders>
            <w:shd w:val="clear" w:color="000000" w:fill="EDEDED"/>
            <w:noWrap/>
            <w:vAlign w:val="center"/>
            <w:hideMark/>
          </w:tcPr>
          <w:p w14:paraId="24022C00"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4.3</w:t>
            </w:r>
          </w:p>
        </w:tc>
      </w:tr>
      <w:tr w:rsidR="00157FC5" w:rsidRPr="00157FC5" w14:paraId="7F41DC93" w14:textId="77777777" w:rsidTr="00157FC5">
        <w:trPr>
          <w:trHeight w:val="315"/>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09C2FBDA"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P</w:t>
            </w:r>
          </w:p>
        </w:tc>
        <w:tc>
          <w:tcPr>
            <w:tcW w:w="1240" w:type="dxa"/>
            <w:tcBorders>
              <w:top w:val="nil"/>
              <w:left w:val="nil"/>
              <w:bottom w:val="single" w:sz="4" w:space="0" w:color="3F3F3F"/>
              <w:right w:val="single" w:sz="4" w:space="0" w:color="3F3F3F"/>
            </w:tcBorders>
            <w:shd w:val="clear" w:color="000000" w:fill="F2F2F2"/>
            <w:vAlign w:val="center"/>
            <w:hideMark/>
          </w:tcPr>
          <w:p w14:paraId="1844941F"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0.042</w:t>
            </w:r>
          </w:p>
        </w:tc>
        <w:tc>
          <w:tcPr>
            <w:tcW w:w="1380" w:type="dxa"/>
            <w:tcBorders>
              <w:top w:val="single" w:sz="4" w:space="0" w:color="3F3F3F"/>
              <w:left w:val="nil"/>
              <w:bottom w:val="single" w:sz="4" w:space="0" w:color="3F3F3F"/>
              <w:right w:val="single" w:sz="4" w:space="0" w:color="3F3F3F"/>
            </w:tcBorders>
            <w:shd w:val="clear" w:color="000000" w:fill="F2F2F2"/>
            <w:vAlign w:val="center"/>
            <w:hideMark/>
          </w:tcPr>
          <w:p w14:paraId="19F31D08"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0.028</w:t>
            </w:r>
          </w:p>
        </w:tc>
        <w:tc>
          <w:tcPr>
            <w:tcW w:w="1380" w:type="dxa"/>
            <w:tcBorders>
              <w:top w:val="single" w:sz="4" w:space="0" w:color="3F3F3F"/>
              <w:left w:val="nil"/>
              <w:bottom w:val="single" w:sz="4" w:space="0" w:color="3F3F3F"/>
              <w:right w:val="single" w:sz="4" w:space="0" w:color="3F3F3F"/>
            </w:tcBorders>
            <w:shd w:val="clear" w:color="000000" w:fill="F2F2F2"/>
            <w:vAlign w:val="center"/>
            <w:hideMark/>
          </w:tcPr>
          <w:p w14:paraId="1EAD73D8"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0.4</w:t>
            </w:r>
          </w:p>
        </w:tc>
      </w:tr>
      <w:tr w:rsidR="00157FC5" w:rsidRPr="00157FC5" w14:paraId="6B71AA4F" w14:textId="77777777" w:rsidTr="00157FC5">
        <w:trPr>
          <w:trHeight w:val="300"/>
          <w:jc w:val="center"/>
        </w:trPr>
        <w:tc>
          <w:tcPr>
            <w:tcW w:w="1380" w:type="dxa"/>
            <w:tcBorders>
              <w:top w:val="nil"/>
              <w:left w:val="single" w:sz="4" w:space="0" w:color="3F3F3F"/>
              <w:bottom w:val="single" w:sz="4" w:space="0" w:color="3F3F3F"/>
              <w:right w:val="single" w:sz="4" w:space="0" w:color="3F3F3F"/>
            </w:tcBorders>
            <w:shd w:val="clear" w:color="000000" w:fill="F2F2F2"/>
            <w:vAlign w:val="center"/>
            <w:hideMark/>
          </w:tcPr>
          <w:p w14:paraId="1CB7F751"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S</w:t>
            </w:r>
          </w:p>
        </w:tc>
        <w:tc>
          <w:tcPr>
            <w:tcW w:w="1240" w:type="dxa"/>
            <w:tcBorders>
              <w:top w:val="nil"/>
              <w:left w:val="nil"/>
              <w:bottom w:val="single" w:sz="4" w:space="0" w:color="3F3F3F"/>
              <w:right w:val="single" w:sz="4" w:space="0" w:color="3F3F3F"/>
            </w:tcBorders>
            <w:shd w:val="clear" w:color="000000" w:fill="F2F2F2"/>
            <w:vAlign w:val="center"/>
            <w:hideMark/>
          </w:tcPr>
          <w:p w14:paraId="58979CB1" w14:textId="77777777" w:rsidR="00157FC5" w:rsidRPr="00157FC5" w:rsidRDefault="00157FC5" w:rsidP="00157FC5">
            <w:pPr>
              <w:spacing w:after="0" w:line="240" w:lineRule="auto"/>
              <w:jc w:val="center"/>
              <w:rPr>
                <w:rFonts w:ascii="Calibri" w:eastAsia="Times New Roman" w:hAnsi="Calibri" w:cs="Calibri"/>
                <w:b/>
                <w:bCs/>
                <w:color w:val="3F3F3F"/>
                <w:lang w:eastAsia="en-GB"/>
              </w:rPr>
            </w:pPr>
            <w:r w:rsidRPr="00157FC5">
              <w:rPr>
                <w:rFonts w:ascii="Calibri" w:eastAsia="Times New Roman" w:hAnsi="Calibri" w:cs="Calibri"/>
                <w:b/>
                <w:bCs/>
                <w:color w:val="3F3F3F"/>
                <w:lang w:eastAsia="en-GB"/>
              </w:rPr>
              <w:t>0.64</w:t>
            </w:r>
          </w:p>
        </w:tc>
        <w:tc>
          <w:tcPr>
            <w:tcW w:w="138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B6309F7"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&lt;0.02</w:t>
            </w:r>
          </w:p>
        </w:tc>
        <w:tc>
          <w:tcPr>
            <w:tcW w:w="1380" w:type="dxa"/>
            <w:tcBorders>
              <w:top w:val="single" w:sz="4" w:space="0" w:color="auto"/>
              <w:left w:val="nil"/>
              <w:bottom w:val="single" w:sz="4" w:space="0" w:color="auto"/>
              <w:right w:val="single" w:sz="4" w:space="0" w:color="auto"/>
            </w:tcBorders>
            <w:shd w:val="clear" w:color="000000" w:fill="EDEDED"/>
            <w:noWrap/>
            <w:vAlign w:val="center"/>
            <w:hideMark/>
          </w:tcPr>
          <w:p w14:paraId="31823680" w14:textId="77777777" w:rsidR="00157FC5" w:rsidRPr="00157FC5" w:rsidRDefault="00157FC5" w:rsidP="00157FC5">
            <w:pPr>
              <w:spacing w:after="0" w:line="240" w:lineRule="auto"/>
              <w:jc w:val="center"/>
              <w:rPr>
                <w:rFonts w:ascii="Calibri" w:eastAsia="Times New Roman" w:hAnsi="Calibri" w:cs="Calibri"/>
                <w:b/>
                <w:bCs/>
                <w:color w:val="000000"/>
                <w:lang w:eastAsia="en-GB"/>
              </w:rPr>
            </w:pPr>
            <w:r w:rsidRPr="00157FC5">
              <w:rPr>
                <w:rFonts w:ascii="Calibri" w:eastAsia="Times New Roman" w:hAnsi="Calibri" w:cs="Calibri"/>
                <w:b/>
                <w:bCs/>
                <w:color w:val="000000"/>
                <w:lang w:eastAsia="en-GB"/>
              </w:rPr>
              <w:t>0.005</w:t>
            </w:r>
          </w:p>
        </w:tc>
      </w:tr>
    </w:tbl>
    <w:p w14:paraId="26309CEB" w14:textId="77777777" w:rsidR="00390F02" w:rsidRDefault="00390F02" w:rsidP="00BA5CDC">
      <w:pPr>
        <w:spacing w:line="360" w:lineRule="auto"/>
        <w:jc w:val="center"/>
      </w:pPr>
    </w:p>
    <w:p w14:paraId="2C61BE53" w14:textId="39117D86" w:rsidR="00BD25B9" w:rsidRDefault="00816982" w:rsidP="001D53D6">
      <w:pPr>
        <w:spacing w:line="360" w:lineRule="auto"/>
        <w:jc w:val="both"/>
      </w:pPr>
      <w:r>
        <w:t>The biochar has a higher VM when compared to coke breeze</w:t>
      </w:r>
      <w:r w:rsidR="00E24920">
        <w:t>. Sinter plants control particulate matter</w:t>
      </w:r>
      <w:r w:rsidR="009657ED">
        <w:t xml:space="preserve"> in exhaust gases by using electrostatic precipitators</w:t>
      </w:r>
      <w:r w:rsidR="00CF0811">
        <w:t>. The use of filter bags to clean</w:t>
      </w:r>
      <w:r w:rsidR="003444F2">
        <w:t xml:space="preserve"> the off gas is an e</w:t>
      </w:r>
      <w:r w:rsidR="003D4DA4">
        <w:t xml:space="preserve">ssential method to achieve low dust </w:t>
      </w:r>
      <w:r w:rsidR="00F51AFD">
        <w:t>emissions</w:t>
      </w:r>
      <w:r w:rsidR="008C643E">
        <w:t xml:space="preserve">, </w:t>
      </w:r>
      <w:r w:rsidR="00A17357">
        <w:t>high VM in the fuel can lead to operational safety issues</w:t>
      </w:r>
      <w:r w:rsidR="007E2DA3">
        <w:t>,</w:t>
      </w:r>
      <w:r w:rsidR="00A3004A">
        <w:t xml:space="preserve"> </w:t>
      </w:r>
      <w:r w:rsidR="00A31101">
        <w:t>therefore care should be taken when using materials that increase the VM% of the sinter</w:t>
      </w:r>
      <w:r w:rsidR="0049524D">
        <w:t xml:space="preserve"> </w:t>
      </w:r>
      <w:r w:rsidR="0049524D">
        <w:fldChar w:fldCharType="begin"/>
      </w:r>
      <w:r w:rsidR="0049524D">
        <w:instrText xml:space="preserve"> ADDIN ZOTERO_ITEM CSL_CITATION {"citationID":"Wkupra5a","properties":{"formattedCitation":"(Abreu et al. 2015)","plainCitation":"(Abreu et al. 2015)","noteIndex":0},"citationItems":[{"id":1903,"uris":["http://zotero.org/users/local/AB2owHL2/items/RDREJET5"],"itemData":{"id":1903,"type":"article-journal","abstract":"A study was carried out into the use of charcoal as a supplementary fuel in the iron-ore sintering process. The primary fuel was coke breeze and anthracite with 0, 10, 25, 50 and 100% replacement of the energy input with charcoal to produce sinter. This was achieved by considering the carbon content of each fuel and its corresponding participation on fuel blending, in order to have the same carbon input in each test run. An extensive analysis of the environmental impact was carried out regarding the atmospheric pollutants characterization (dust, sulphur dioxide, nitrogen oxides, carbon monoxide, carbon dioxide, methane, total hydrocarbons, and dioxins and furans). Experimental results indicate that fuel blending where 50% of the heat input was provided by charcoal may be comparable with those using 100% coke, under normal sintering conditions, and may result in a 50% reduction on greenhouse gas emission. It was also observed that while dust, methane and hydrocarbons emissions increased, the total dioxins and furans, expressed as polychlorinated dibenzodioxins/furans, decreased approximately 50% when compared with operation with 100% coke.","container-title":"Journal of Cleaner Production","DOI":"10.1016/j.jclepro.2015.04.015","ISSN":"0959-6526","journalAbbreviation":"Journal of Cleaner Production","language":"en","page":"387-394","source":"ScienceDirect","title":"Operational and environmental assessment on the use of charcoal in iron ore sinter production","URL":"https://www.sciencedirect.com/science/article/pii/S0959652615003583","volume":"101","author":[{"family":"Abreu","given":"Guilherme Correa"},{"family":"Carvalho","given":"João Andrade","dropping-particle":"de"},{"family":"Silva","given":"Bernardo Enne Correa","dropping-particle":"da"},{"family":"Pedrini","given":"Rinaldo Henrique"}],"accessed":{"date-parts":[["2022",8,22]]},"issued":{"date-parts":[["2015",8,15]]}}}],"schema":"https://github.com/citation-style-language/schema/raw/master/csl-citation.json"} </w:instrText>
      </w:r>
      <w:r w:rsidR="0049524D">
        <w:fldChar w:fldCharType="separate"/>
      </w:r>
      <w:r w:rsidR="0049524D" w:rsidRPr="0049524D">
        <w:rPr>
          <w:rFonts w:ascii="Calibri" w:hAnsi="Calibri" w:cs="Calibri"/>
        </w:rPr>
        <w:t>(Abreu et al. 2015)</w:t>
      </w:r>
      <w:r w:rsidR="0049524D">
        <w:fldChar w:fldCharType="end"/>
      </w:r>
      <w:r w:rsidR="00A31101">
        <w:t>.</w:t>
      </w:r>
    </w:p>
    <w:p w14:paraId="53D5B9BD" w14:textId="054CB62D" w:rsidR="00814C8C" w:rsidRDefault="00D159E1" w:rsidP="001D53D6">
      <w:pPr>
        <w:spacing w:line="360" w:lineRule="auto"/>
        <w:jc w:val="both"/>
      </w:pPr>
      <w:r>
        <w:t>Th</w:t>
      </w:r>
      <w:r w:rsidR="00DF4D9D">
        <w:t>e biochar’s also have significantly higher ash,</w:t>
      </w:r>
      <w:r w:rsidR="00122AFF">
        <w:t xml:space="preserve"> which is has a more basic nature due to increased levels of </w:t>
      </w:r>
      <w:proofErr w:type="spellStart"/>
      <w:r w:rsidR="00122AFF">
        <w:t>CaO</w:t>
      </w:r>
      <w:proofErr w:type="spellEnd"/>
      <w:r w:rsidR="00122AFF">
        <w:t xml:space="preserve"> and MgO and </w:t>
      </w:r>
      <w:r w:rsidR="00B21620">
        <w:t>decreased</w:t>
      </w:r>
      <w:r w:rsidR="00122AFF">
        <w:t xml:space="preserve"> levels </w:t>
      </w:r>
      <w:r w:rsidR="00C12C86">
        <w:t>of SiO</w:t>
      </w:r>
      <w:r w:rsidR="00C12C86" w:rsidRPr="00C12C86">
        <w:rPr>
          <w:vertAlign w:val="subscript"/>
        </w:rPr>
        <w:t>2</w:t>
      </w:r>
      <w:r w:rsidR="00C12C86">
        <w:t xml:space="preserve"> and Al</w:t>
      </w:r>
      <w:r w:rsidR="00C12C86" w:rsidRPr="00C12C86">
        <w:rPr>
          <w:vertAlign w:val="subscript"/>
        </w:rPr>
        <w:t>2</w:t>
      </w:r>
      <w:r w:rsidR="00C12C86">
        <w:t>O</w:t>
      </w:r>
      <w:r w:rsidR="00C12C86" w:rsidRPr="00C12C86">
        <w:rPr>
          <w:vertAlign w:val="subscript"/>
        </w:rPr>
        <w:t>2</w:t>
      </w:r>
      <w:r w:rsidR="00C12C86">
        <w:t>.</w:t>
      </w:r>
      <w:r w:rsidR="00B21620">
        <w:t xml:space="preserve"> </w:t>
      </w:r>
    </w:p>
    <w:p w14:paraId="6AF59DD5" w14:textId="35EEF0AD" w:rsidR="00814C8C" w:rsidRDefault="00814C8C" w:rsidP="005E3EBB">
      <w:pPr>
        <w:spacing w:line="360" w:lineRule="auto"/>
        <w:jc w:val="both"/>
      </w:pPr>
      <w:r>
        <w:lastRenderedPageBreak/>
        <w:t xml:space="preserve">The coke breeze and biochar 2 have similar </w:t>
      </w:r>
      <w:r w:rsidR="00026B32">
        <w:t>fixed carbon and CV results (table 14), while biochar 1 has a higher fixed carbon and CV value.</w:t>
      </w:r>
      <w:r w:rsidR="000A6AE5">
        <w:t xml:space="preserve"> Meaning biochar 1 will provide more energy into the sinter reaction.</w:t>
      </w:r>
    </w:p>
    <w:p w14:paraId="1E063D57" w14:textId="5B6FE6CB" w:rsidR="00814C8C" w:rsidRDefault="00814C8C" w:rsidP="00814C8C">
      <w:pPr>
        <w:pStyle w:val="Caption"/>
        <w:jc w:val="center"/>
      </w:pPr>
      <w:r>
        <w:t xml:space="preserve">Table </w:t>
      </w:r>
      <w:fldSimple w:instr=" SEQ Table \* ARABIC ">
        <w:r w:rsidR="00DA2639">
          <w:rPr>
            <w:noProof/>
          </w:rPr>
          <w:t>14</w:t>
        </w:r>
      </w:fldSimple>
      <w:r>
        <w:t xml:space="preserve"> Coke breeze and biochar calorific values</w:t>
      </w:r>
    </w:p>
    <w:tbl>
      <w:tblPr>
        <w:tblW w:w="6768" w:type="dxa"/>
        <w:jc w:val="center"/>
        <w:tblLook w:val="04A0" w:firstRow="1" w:lastRow="0" w:firstColumn="1" w:lastColumn="0" w:noHBand="0" w:noVBand="1"/>
      </w:tblPr>
      <w:tblGrid>
        <w:gridCol w:w="1692"/>
        <w:gridCol w:w="1692"/>
        <w:gridCol w:w="1692"/>
        <w:gridCol w:w="1692"/>
      </w:tblGrid>
      <w:tr w:rsidR="00814C8C" w:rsidRPr="00814C8C" w14:paraId="5E9D5788" w14:textId="77777777" w:rsidTr="00F6197D">
        <w:trPr>
          <w:trHeight w:val="257"/>
          <w:jc w:val="center"/>
        </w:trPr>
        <w:tc>
          <w:tcPr>
            <w:tcW w:w="1692"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0881B80A" w14:textId="77777777"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MJ/Kg</w:t>
            </w:r>
          </w:p>
        </w:tc>
        <w:tc>
          <w:tcPr>
            <w:tcW w:w="1692" w:type="dxa"/>
            <w:tcBorders>
              <w:top w:val="single" w:sz="4" w:space="0" w:color="auto"/>
              <w:left w:val="nil"/>
              <w:bottom w:val="single" w:sz="4" w:space="0" w:color="auto"/>
              <w:right w:val="single" w:sz="4" w:space="0" w:color="auto"/>
            </w:tcBorders>
            <w:shd w:val="clear" w:color="000000" w:fill="EDEDED"/>
            <w:noWrap/>
            <w:vAlign w:val="center"/>
            <w:hideMark/>
          </w:tcPr>
          <w:p w14:paraId="737E1E83" w14:textId="77777777"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Coke breeze</w:t>
            </w:r>
          </w:p>
        </w:tc>
        <w:tc>
          <w:tcPr>
            <w:tcW w:w="1692" w:type="dxa"/>
            <w:tcBorders>
              <w:top w:val="single" w:sz="4" w:space="0" w:color="auto"/>
              <w:left w:val="nil"/>
              <w:bottom w:val="single" w:sz="4" w:space="0" w:color="auto"/>
              <w:right w:val="single" w:sz="4" w:space="0" w:color="auto"/>
            </w:tcBorders>
            <w:shd w:val="clear" w:color="000000" w:fill="EDEDED"/>
            <w:noWrap/>
            <w:vAlign w:val="center"/>
            <w:hideMark/>
          </w:tcPr>
          <w:p w14:paraId="48658159" w14:textId="77777777"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Biochar 1</w:t>
            </w:r>
          </w:p>
        </w:tc>
        <w:tc>
          <w:tcPr>
            <w:tcW w:w="1692" w:type="dxa"/>
            <w:tcBorders>
              <w:top w:val="single" w:sz="4" w:space="0" w:color="auto"/>
              <w:left w:val="nil"/>
              <w:bottom w:val="single" w:sz="4" w:space="0" w:color="auto"/>
              <w:right w:val="single" w:sz="4" w:space="0" w:color="auto"/>
            </w:tcBorders>
            <w:shd w:val="clear" w:color="000000" w:fill="EDEDED"/>
            <w:noWrap/>
            <w:vAlign w:val="center"/>
            <w:hideMark/>
          </w:tcPr>
          <w:p w14:paraId="7920139D" w14:textId="77777777"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Biochar 2</w:t>
            </w:r>
          </w:p>
        </w:tc>
      </w:tr>
      <w:tr w:rsidR="00814C8C" w:rsidRPr="00814C8C" w14:paraId="4B7C9ED3" w14:textId="77777777" w:rsidTr="00F6197D">
        <w:trPr>
          <w:trHeight w:val="257"/>
          <w:jc w:val="center"/>
        </w:trPr>
        <w:tc>
          <w:tcPr>
            <w:tcW w:w="1692" w:type="dxa"/>
            <w:tcBorders>
              <w:top w:val="nil"/>
              <w:left w:val="single" w:sz="4" w:space="0" w:color="auto"/>
              <w:bottom w:val="single" w:sz="4" w:space="0" w:color="auto"/>
              <w:right w:val="single" w:sz="4" w:space="0" w:color="auto"/>
            </w:tcBorders>
            <w:shd w:val="clear" w:color="000000" w:fill="EDEDED"/>
            <w:noWrap/>
            <w:vAlign w:val="center"/>
            <w:hideMark/>
          </w:tcPr>
          <w:p w14:paraId="5533F304" w14:textId="77777777"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CV (Gross)</w:t>
            </w:r>
          </w:p>
        </w:tc>
        <w:tc>
          <w:tcPr>
            <w:tcW w:w="1692" w:type="dxa"/>
            <w:tcBorders>
              <w:top w:val="nil"/>
              <w:left w:val="nil"/>
              <w:bottom w:val="single" w:sz="4" w:space="0" w:color="auto"/>
              <w:right w:val="single" w:sz="4" w:space="0" w:color="auto"/>
            </w:tcBorders>
            <w:shd w:val="clear" w:color="000000" w:fill="EDEDED"/>
            <w:noWrap/>
            <w:vAlign w:val="bottom"/>
            <w:hideMark/>
          </w:tcPr>
          <w:p w14:paraId="44FECEE6"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28.15</w:t>
            </w:r>
          </w:p>
        </w:tc>
        <w:tc>
          <w:tcPr>
            <w:tcW w:w="1692" w:type="dxa"/>
            <w:tcBorders>
              <w:top w:val="nil"/>
              <w:left w:val="nil"/>
              <w:bottom w:val="single" w:sz="4" w:space="0" w:color="auto"/>
              <w:right w:val="single" w:sz="4" w:space="0" w:color="auto"/>
            </w:tcBorders>
            <w:shd w:val="clear" w:color="000000" w:fill="EDEDED"/>
            <w:noWrap/>
            <w:vAlign w:val="bottom"/>
            <w:hideMark/>
          </w:tcPr>
          <w:p w14:paraId="7E541D5A"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33.26</w:t>
            </w:r>
          </w:p>
        </w:tc>
        <w:tc>
          <w:tcPr>
            <w:tcW w:w="1692" w:type="dxa"/>
            <w:tcBorders>
              <w:top w:val="nil"/>
              <w:left w:val="nil"/>
              <w:bottom w:val="single" w:sz="4" w:space="0" w:color="auto"/>
              <w:right w:val="single" w:sz="4" w:space="0" w:color="auto"/>
            </w:tcBorders>
            <w:shd w:val="clear" w:color="000000" w:fill="EDEDED"/>
            <w:noWrap/>
            <w:vAlign w:val="bottom"/>
            <w:hideMark/>
          </w:tcPr>
          <w:p w14:paraId="7BF6F0B1"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28.07</w:t>
            </w:r>
          </w:p>
        </w:tc>
      </w:tr>
      <w:tr w:rsidR="00814C8C" w:rsidRPr="00814C8C" w14:paraId="4AEBE75D" w14:textId="77777777" w:rsidTr="00F6197D">
        <w:trPr>
          <w:trHeight w:val="257"/>
          <w:jc w:val="center"/>
        </w:trPr>
        <w:tc>
          <w:tcPr>
            <w:tcW w:w="1692" w:type="dxa"/>
            <w:tcBorders>
              <w:top w:val="nil"/>
              <w:left w:val="single" w:sz="4" w:space="0" w:color="auto"/>
              <w:bottom w:val="single" w:sz="4" w:space="0" w:color="auto"/>
              <w:right w:val="single" w:sz="4" w:space="0" w:color="auto"/>
            </w:tcBorders>
            <w:shd w:val="clear" w:color="000000" w:fill="EDEDED"/>
            <w:noWrap/>
            <w:vAlign w:val="center"/>
            <w:hideMark/>
          </w:tcPr>
          <w:p w14:paraId="06E5ED7B" w14:textId="31C3014F" w:rsidR="00814C8C" w:rsidRPr="00814C8C" w:rsidRDefault="00814C8C" w:rsidP="00814C8C">
            <w:pPr>
              <w:spacing w:after="0" w:line="240" w:lineRule="auto"/>
              <w:jc w:val="center"/>
              <w:rPr>
                <w:rFonts w:ascii="Calibri" w:eastAsia="Times New Roman" w:hAnsi="Calibri" w:cs="Calibri"/>
                <w:color w:val="000000"/>
                <w:lang w:eastAsia="en-GB"/>
              </w:rPr>
            </w:pPr>
            <w:r w:rsidRPr="00814C8C">
              <w:rPr>
                <w:rFonts w:ascii="Calibri" w:eastAsia="Times New Roman" w:hAnsi="Calibri" w:cs="Calibri"/>
                <w:color w:val="000000"/>
                <w:lang w:eastAsia="en-GB"/>
              </w:rPr>
              <w:t>CV</w:t>
            </w:r>
            <w:r>
              <w:rPr>
                <w:rFonts w:ascii="Calibri" w:eastAsia="Times New Roman" w:hAnsi="Calibri" w:cs="Calibri"/>
                <w:color w:val="000000"/>
                <w:lang w:eastAsia="en-GB"/>
              </w:rPr>
              <w:t xml:space="preserve"> </w:t>
            </w:r>
            <w:r w:rsidRPr="00814C8C">
              <w:rPr>
                <w:rFonts w:ascii="Calibri" w:eastAsia="Times New Roman" w:hAnsi="Calibri" w:cs="Calibri"/>
                <w:color w:val="000000"/>
                <w:lang w:eastAsia="en-GB"/>
              </w:rPr>
              <w:t xml:space="preserve">(Net) </w:t>
            </w:r>
          </w:p>
        </w:tc>
        <w:tc>
          <w:tcPr>
            <w:tcW w:w="1692" w:type="dxa"/>
            <w:tcBorders>
              <w:top w:val="nil"/>
              <w:left w:val="nil"/>
              <w:bottom w:val="single" w:sz="4" w:space="0" w:color="auto"/>
              <w:right w:val="single" w:sz="4" w:space="0" w:color="auto"/>
            </w:tcBorders>
            <w:shd w:val="clear" w:color="000000" w:fill="EDEDED"/>
            <w:noWrap/>
            <w:vAlign w:val="bottom"/>
            <w:hideMark/>
          </w:tcPr>
          <w:p w14:paraId="3DD43F95"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27.64</w:t>
            </w:r>
          </w:p>
        </w:tc>
        <w:tc>
          <w:tcPr>
            <w:tcW w:w="1692" w:type="dxa"/>
            <w:tcBorders>
              <w:top w:val="nil"/>
              <w:left w:val="nil"/>
              <w:bottom w:val="single" w:sz="4" w:space="0" w:color="auto"/>
              <w:right w:val="single" w:sz="4" w:space="0" w:color="auto"/>
            </w:tcBorders>
            <w:shd w:val="clear" w:color="000000" w:fill="EDEDED"/>
            <w:noWrap/>
            <w:vAlign w:val="bottom"/>
            <w:hideMark/>
          </w:tcPr>
          <w:p w14:paraId="1297FDF0"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32.80</w:t>
            </w:r>
          </w:p>
        </w:tc>
        <w:tc>
          <w:tcPr>
            <w:tcW w:w="1692" w:type="dxa"/>
            <w:tcBorders>
              <w:top w:val="nil"/>
              <w:left w:val="nil"/>
              <w:bottom w:val="single" w:sz="4" w:space="0" w:color="auto"/>
              <w:right w:val="single" w:sz="4" w:space="0" w:color="auto"/>
            </w:tcBorders>
            <w:shd w:val="clear" w:color="000000" w:fill="EDEDED"/>
            <w:noWrap/>
            <w:vAlign w:val="bottom"/>
            <w:hideMark/>
          </w:tcPr>
          <w:p w14:paraId="6BF5AC9D" w14:textId="77777777" w:rsidR="00814C8C" w:rsidRPr="00814C8C" w:rsidRDefault="00814C8C" w:rsidP="00814C8C">
            <w:pPr>
              <w:spacing w:after="0" w:line="240" w:lineRule="auto"/>
              <w:jc w:val="right"/>
              <w:rPr>
                <w:rFonts w:ascii="Calibri" w:eastAsia="Times New Roman" w:hAnsi="Calibri" w:cs="Calibri"/>
                <w:color w:val="000000"/>
                <w:lang w:eastAsia="en-GB"/>
              </w:rPr>
            </w:pPr>
            <w:r w:rsidRPr="00814C8C">
              <w:rPr>
                <w:rFonts w:ascii="Calibri" w:eastAsia="Times New Roman" w:hAnsi="Calibri" w:cs="Calibri"/>
                <w:color w:val="000000"/>
                <w:lang w:eastAsia="en-GB"/>
              </w:rPr>
              <w:t>27.54</w:t>
            </w:r>
          </w:p>
        </w:tc>
      </w:tr>
    </w:tbl>
    <w:p w14:paraId="07968494" w14:textId="77777777" w:rsidR="00267BFC" w:rsidRDefault="00267BFC" w:rsidP="001D53D6">
      <w:pPr>
        <w:spacing w:line="360" w:lineRule="auto"/>
        <w:jc w:val="both"/>
      </w:pPr>
    </w:p>
    <w:p w14:paraId="77E73FB4" w14:textId="0277F919" w:rsidR="00A23FBC" w:rsidRDefault="006E2AB7" w:rsidP="00DA6971">
      <w:pPr>
        <w:pStyle w:val="Heading3"/>
      </w:pPr>
      <w:bookmarkStart w:id="93" w:name="_Toc127911473"/>
      <w:r>
        <w:t>Characteristics o</w:t>
      </w:r>
      <w:r w:rsidR="000568ED">
        <w:t xml:space="preserve">f </w:t>
      </w:r>
      <w:r w:rsidR="000B04C4">
        <w:t>Sintering with Biocoke</w:t>
      </w:r>
      <w:bookmarkEnd w:id="93"/>
    </w:p>
    <w:p w14:paraId="3D557D28" w14:textId="17927731" w:rsidR="00F75935" w:rsidRDefault="003B026B" w:rsidP="000B04C4">
      <w:pPr>
        <w:spacing w:line="360" w:lineRule="auto"/>
        <w:jc w:val="both"/>
      </w:pPr>
      <w:r>
        <w:t xml:space="preserve">The quality </w:t>
      </w:r>
      <w:r w:rsidR="00380728">
        <w:t>of the sinter is related to the temperature conditions of the sintering bed</w:t>
      </w:r>
      <w:r w:rsidR="007B3A42">
        <w:t xml:space="preserve"> </w:t>
      </w:r>
      <w:r w:rsidR="00974ED2">
        <w:fldChar w:fldCharType="begin"/>
      </w:r>
      <w:r w:rsidR="00974ED2">
        <w:instrText xml:space="preserve"> ADDIN ZOTERO_ITEM CSL_CITATION {"citationID":"ZuBAnsGE","properties":{"formattedCitation":"(Cheng et al. 2016)","plainCitation":"(Cheng et al. 2016)","noteIndex":0},"citationItems":[{"id":1906,"uris":["http://zotero.org/users/local/AB2owHL2/items/9H8FADEK"],"itemData":{"id":1906,"type":"article-journal","abstract":"Using biomass for partial or complete replacement of coke breeze in iron ore sintering process is an attractive technique for reducing emissions of greenhouse gas and gaseous pollutants. But one drawback of this technique is that low or medium grade charcoal may lead to the failure in achieving proper sintering performance. In this paper, the behaviors of coke combustion versus charcoal combustion in sintering bed were compared. The results of thermal profile and exhaust gas composition indicated that the sinters quality was deteriorated at high charcoal proportion. Lacking heat release in melting zone and the excessively high combustion rate were the reasons to weak sinters. In order to ensure the sintering performance when using medium grade charcoal in sintering bed, the effects of three improving measures (proposing the equivalent fixed carbon substitution approach, increasing charcoal particle size and adopting coated charcoal combustion) were experimentally tested. The results showed that equivalent fixed carbon substitution approach was more effective to produce sufficient heat in melting zone at medium grade charcoal combustion. Additionally, it was also found that increasing charcoal particles size and applying coated charcoal combustion method could reduce combustion rate to achieve a proper matching condition between flame front speed and heat transfer front speed. Consequently, with the help of equivalent fixed carbon substitution approach, coarse charcoal and coated charcoal particles, the peak temperature, holding time above 1100°C, melting quantity index and combustion efficiency were increased in the charcoal sintering process.","container-title":"Applied Energy","DOI":"10.1016/j.apenergy.2015.09.095","ISSN":"0306-2619","journalAbbreviation":"Applied Energy","language":"en","page":"364-374","source":"ScienceDirect","title":"Characteristics of charcoal combustion and its effects on iron-ore sintering performance","URL":"https://www.sciencedirect.com/science/article/pii/S0306261915012210","volume":"161","author":[{"family":"Cheng","given":"Zhilong"},{"family":"Yang","given":"Jian"},{"family":"Zhou","given":"Lang"},{"family":"Liu","given":"Yan"},{"family":"Wang","given":"Qiuwang"}],"accessed":{"date-parts":[["2022",8,22]]},"issued":{"date-parts":[["2016",1,1]]}}}],"schema":"https://github.com/citation-style-language/schema/raw/master/csl-citation.json"} </w:instrText>
      </w:r>
      <w:r w:rsidR="00974ED2">
        <w:fldChar w:fldCharType="separate"/>
      </w:r>
      <w:r w:rsidR="00974ED2" w:rsidRPr="00974ED2">
        <w:rPr>
          <w:rFonts w:ascii="Calibri" w:hAnsi="Calibri" w:cs="Calibri"/>
        </w:rPr>
        <w:t>(Cheng et al. 2016)</w:t>
      </w:r>
      <w:r w:rsidR="00974ED2">
        <w:fldChar w:fldCharType="end"/>
      </w:r>
      <w:r w:rsidR="00380728">
        <w:t>.</w:t>
      </w:r>
      <w:r w:rsidR="00712097">
        <w:t xml:space="preserve"> </w:t>
      </w:r>
      <w:r w:rsidR="00443D0C">
        <w:t xml:space="preserve">The sintering characteristics that are evaluated are </w:t>
      </w:r>
      <w:r w:rsidR="001D09DC">
        <w:t>peak temperature, sintering time, flame front spee</w:t>
      </w:r>
      <w:r w:rsidR="00D51CB5">
        <w:t>d</w:t>
      </w:r>
      <w:r w:rsidR="00406E24">
        <w:t xml:space="preserve"> and hot and cold </w:t>
      </w:r>
      <w:r w:rsidR="005D2361">
        <w:t>permeability</w:t>
      </w:r>
      <w:r w:rsidR="00406E24">
        <w:t>,</w:t>
      </w:r>
      <w:r w:rsidR="00D51CB5">
        <w:t xml:space="preserve"> some of these can be </w:t>
      </w:r>
      <w:r w:rsidR="0036156C">
        <w:t xml:space="preserve">derived </w:t>
      </w:r>
      <w:r w:rsidR="006176C3">
        <w:t>from t</w:t>
      </w:r>
      <w:r w:rsidR="009A78CB">
        <w:t xml:space="preserve">he </w:t>
      </w:r>
      <w:r w:rsidR="00653322">
        <w:t>time -</w:t>
      </w:r>
      <w:r w:rsidR="0055763E">
        <w:t xml:space="preserve"> </w:t>
      </w:r>
      <w:r w:rsidR="007C5F20">
        <w:t>temperature profil</w:t>
      </w:r>
      <w:r w:rsidR="00974ED2">
        <w:t>es</w:t>
      </w:r>
      <w:r w:rsidR="006B233D">
        <w:t xml:space="preserve"> (Biochar 1)</w:t>
      </w:r>
      <w:r w:rsidR="00974ED2">
        <w:t xml:space="preserve"> </w:t>
      </w:r>
      <w:r w:rsidR="007C5F20">
        <w:t xml:space="preserve">shown in figure </w:t>
      </w:r>
      <w:r w:rsidR="006D4180">
        <w:t>41 below.</w:t>
      </w:r>
      <w:r w:rsidR="00D157BB">
        <w:t xml:space="preserve"> </w:t>
      </w:r>
      <w:r w:rsidR="00460F74">
        <w:t>Thermocouple 1</w:t>
      </w:r>
      <w:r w:rsidR="009605DF">
        <w:t xml:space="preserve"> </w:t>
      </w:r>
      <w:r w:rsidR="00105F1A">
        <w:t>is located</w:t>
      </w:r>
      <w:r w:rsidR="00460F74">
        <w:t xml:space="preserve"> </w:t>
      </w:r>
      <w:r w:rsidR="009605DF">
        <w:t>near</w:t>
      </w:r>
      <w:r w:rsidR="00460F74">
        <w:t xml:space="preserve"> the top of the </w:t>
      </w:r>
      <w:r w:rsidR="00634096">
        <w:t xml:space="preserve">sinter </w:t>
      </w:r>
      <w:proofErr w:type="gramStart"/>
      <w:r w:rsidR="00634096">
        <w:t>pot</w:t>
      </w:r>
      <w:proofErr w:type="gramEnd"/>
      <w:r w:rsidR="00943C72">
        <w:t xml:space="preserve"> </w:t>
      </w:r>
      <w:r w:rsidR="009605DF">
        <w:t xml:space="preserve">and </w:t>
      </w:r>
      <w:r w:rsidR="000F7103">
        <w:t xml:space="preserve">they are evenly distributed through the pot to </w:t>
      </w:r>
      <w:r w:rsidR="004351B8">
        <w:t xml:space="preserve">thermocouple 5 near the bottom, there </w:t>
      </w:r>
      <w:r w:rsidR="00F21C30">
        <w:t>are</w:t>
      </w:r>
      <w:r w:rsidR="004351B8">
        <w:t xml:space="preserve"> also 2 thermocouple</w:t>
      </w:r>
      <w:r w:rsidR="00F21C30">
        <w:t>s</w:t>
      </w:r>
      <w:r w:rsidR="004351B8">
        <w:t xml:space="preserve"> measuring the </w:t>
      </w:r>
      <w:r w:rsidR="00015ADC">
        <w:t>off-gas</w:t>
      </w:r>
      <w:r w:rsidR="004351B8">
        <w:t xml:space="preserve"> temperature</w:t>
      </w:r>
      <w:r w:rsidR="00D76096">
        <w:t xml:space="preserve"> underneath the pot</w:t>
      </w:r>
      <w:r w:rsidR="00441C6B">
        <w:t xml:space="preserve">, </w:t>
      </w:r>
      <w:r w:rsidR="00E10346">
        <w:t xml:space="preserve">the sintering time </w:t>
      </w:r>
      <w:r w:rsidR="00343DB4">
        <w:t>ending is concluded once the off gas temperature</w:t>
      </w:r>
      <w:r w:rsidR="008A22F3">
        <w:t xml:space="preserve"> </w:t>
      </w:r>
      <w:r w:rsidR="00546CD5">
        <w:t xml:space="preserve">drops back down to </w:t>
      </w:r>
      <w:r w:rsidR="008E0B4B">
        <w:t>the baseline.</w:t>
      </w:r>
      <w:r w:rsidR="009605DF">
        <w:t xml:space="preserve"> </w:t>
      </w:r>
    </w:p>
    <w:p w14:paraId="152ACE35" w14:textId="3C9B3CD4" w:rsidR="00392D5A" w:rsidRDefault="00812A91" w:rsidP="000B04C4">
      <w:pPr>
        <w:spacing w:line="360" w:lineRule="auto"/>
        <w:jc w:val="both"/>
      </w:pPr>
      <w:r w:rsidRPr="00812A91">
        <w:rPr>
          <w:noProof/>
        </w:rPr>
        <w:drawing>
          <wp:inline distT="0" distB="0" distL="0" distR="0" wp14:anchorId="2A7974BF" wp14:editId="37B7F45F">
            <wp:extent cx="3275937" cy="2356561"/>
            <wp:effectExtent l="0" t="0" r="1270" b="5715"/>
            <wp:docPr id="161" name="Picture 16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Diagram&#10;&#10;Description automatically generated"/>
                    <pic:cNvPicPr/>
                  </pic:nvPicPr>
                  <pic:blipFill>
                    <a:blip r:embed="rId67"/>
                    <a:stretch>
                      <a:fillRect/>
                    </a:stretch>
                  </pic:blipFill>
                  <pic:spPr>
                    <a:xfrm>
                      <a:off x="0" y="0"/>
                      <a:ext cx="3281851" cy="2360815"/>
                    </a:xfrm>
                    <a:prstGeom prst="rect">
                      <a:avLst/>
                    </a:prstGeom>
                  </pic:spPr>
                </pic:pic>
              </a:graphicData>
            </a:graphic>
          </wp:inline>
        </w:drawing>
      </w:r>
    </w:p>
    <w:p w14:paraId="0FE1C4A5" w14:textId="7889E16D" w:rsidR="00812A91" w:rsidRDefault="00812A91" w:rsidP="00812A91">
      <w:pPr>
        <w:pStyle w:val="Caption"/>
      </w:pPr>
      <w:bookmarkStart w:id="94" w:name="_Toc127110935"/>
      <w:r>
        <w:t xml:space="preserve">Figure </w:t>
      </w:r>
      <w:fldSimple w:instr=" SEQ Figure \* ARABIC ">
        <w:r w:rsidR="00A0212F">
          <w:rPr>
            <w:noProof/>
          </w:rPr>
          <w:t>41</w:t>
        </w:r>
      </w:fldSimple>
      <w:r>
        <w:t xml:space="preserve"> </w:t>
      </w:r>
      <w:r w:rsidR="0077078A">
        <w:t xml:space="preserve">The effect </w:t>
      </w:r>
      <w:r w:rsidR="006753D1">
        <w:t>o</w:t>
      </w:r>
      <w:r w:rsidR="00286A66">
        <w:t>n</w:t>
      </w:r>
      <w:r w:rsidR="006753D1">
        <w:t xml:space="preserve"> </w:t>
      </w:r>
      <w:r w:rsidR="00F0583B">
        <w:t>the tempe</w:t>
      </w:r>
      <w:r w:rsidR="00A25547">
        <w:t>rature profile of combustion rate</w:t>
      </w:r>
      <w:r w:rsidR="00C7760C">
        <w:t xml:space="preserve"> </w:t>
      </w:r>
      <w:r w:rsidR="00C7760C">
        <w:fldChar w:fldCharType="begin"/>
      </w:r>
      <w:r w:rsidR="00C7760C">
        <w:instrText xml:space="preserve"> ADDIN ZOTERO_ITEM CSL_CITATION {"citationID":"DqEdUJmb","properties":{"formattedCitation":"(Kawaguchi and Hara 2013)","plainCitation":"(Kawaguchi and Hara 2013)","noteIndex":0},"citationItems":[{"id":1917,"uris":["http://zotero.org/users/local/AB2owHL2/items/TDKN9GFN"],"itemData":{"id":1917,"type":"article-journal","container-title":"ISIJ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schema":"https://github.com/citation-style-language/schema/raw/master/csl-citation.json"} </w:instrText>
      </w:r>
      <w:r w:rsidR="00C7760C">
        <w:fldChar w:fldCharType="separate"/>
      </w:r>
      <w:r w:rsidR="00C7760C" w:rsidRPr="00C7760C">
        <w:rPr>
          <w:rFonts w:ascii="Calibri" w:hAnsi="Calibri" w:cs="Calibri"/>
        </w:rPr>
        <w:t>(Kawaguchi and Hara 2013)</w:t>
      </w:r>
      <w:r w:rsidR="00C7760C">
        <w:fldChar w:fldCharType="end"/>
      </w:r>
      <w:r w:rsidR="00C7760C">
        <w:t>.</w:t>
      </w:r>
      <w:bookmarkEnd w:id="94"/>
    </w:p>
    <w:p w14:paraId="2B804E61" w14:textId="23FA2BB7" w:rsidR="00D872C7" w:rsidRDefault="008F5C12" w:rsidP="000A4426">
      <w:pPr>
        <w:spacing w:line="360" w:lineRule="auto"/>
        <w:jc w:val="both"/>
      </w:pPr>
      <w:r>
        <w:t xml:space="preserve">Authors such as </w:t>
      </w:r>
      <w:r w:rsidR="0054789E">
        <w:fldChar w:fldCharType="begin"/>
      </w:r>
      <w:r w:rsidR="007F0E45">
        <w:instrText xml:space="preserve"> ADDIN ZOTERO_ITEM CSL_CITATION {"citationID":"Sk3M8Bkg","properties":{"formattedCitation":"(Kawaguchi and Hara 2013; Gan et al. 2014; Cheng et al. 2016; Liu et al. 2020)","plainCitation":"(Kawaguchi and Hara 2013; Gan et al. 2014; Cheng et al. 2016; Liu et al. 2020)","noteIndex":0},"citationItems":[{"id":1917,"uris":["http://zotero.org/users/local/AB2owHL2/items/TDKN9GFN"],"itemData":{"id":1917,"type":"article-journal","container-title":"ISIJ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label":"page"},{"id":1701,"uris":["http://zotero.org/users/local/AB2owHL2/items/YS66955K"],"itemData":{"id":1701,"type":"article-journal","abstract":"It is of great significance for cleaner production to substitute bio-energy for fossil fuels in iron ore sintering. However, with the replacement ratio increasing, the consistency of heat front and flame front is broken, and the thermal utilizing efficiency of fuel is reduced, which results in the decrease of yield and tumble index of sinter. Circulating flue gas to sintering bed as biochar replacing 40% coke, CO in flue gas can be reused so as to increase the thermal utilizing efficiency of fuels, and the consistency of two fronts is recovered for the circulating flue gas containing certain CO2, H2O and lower O2, which contributes to increasing the maximum temperature, extending the high temperature duration time of sintering bed, and results in improving the output and quality of sinter. In the condition of circulating 40% flue gas, the sintering with biomass fuels is strengthened, and the sintering indexes with biomass fuel replacing 40% coke breeze are comparative to those of using coke breeze completely.","container-title":"Journal of Central South University","DOI":"10.1007/s11771-014-2405-6","ISSN":"2095-2899, 2227-5223","issue":"11","journalAbbreviation":"J. Cent. South Univ.","language":"en","page":"4109-4114","source":"DOI.org (Crossref)","title":"Fundamental study on iron ore sintering new process of flue gas recirculation together with using biochar as fuel","URL":"http://link.springer.com/10.1007/s11771-014-2405-6","volume":"21","author":[{"family":"Gan","given":"Min"},{"family":"Fan","given":"Xiao-hui"},{"family":"Jiang","given":"Tao"},{"family":"Chen","given":"Xu-ling"},{"family":"Yu","given":"Zhi-yuan"},{"family":"Ji","given":"Zhi-yun"}],"accessed":{"date-parts":[["2022",6,28]]},"issued":{"date-parts":[["2014",11]]}},"label":"page"},{"id":1906,"uris":["http://zotero.org/users/local/AB2owHL2/items/9H8FADEK"],"itemData":{"id":1906,"type":"article-journal","abstract":"Using biomass for partial or complete replacement of coke breeze in iron ore sintering process is an attractive technique for reducing emissions of greenhouse gas and gaseous pollutants. But one drawback of this technique is that low or medium grade charcoal may lead to the failure in achieving proper sintering performance. In this paper, the behaviors of coke combustion versus charcoal combustion in sintering bed were compared. The results of thermal profile and exhaust gas composition indicated that the sinters quality was deteriorated at high charcoal proportion. Lacking heat release in melting zone and the excessively high combustion rate were the reasons to weak sinters. In order to ensure the sintering performance when using medium grade charcoal in sintering bed, the effects of three improving measures (proposing the equivalent fixed carbon substitution approach, increasing charcoal particle size and adopting coated charcoal combustion) were experimentally tested. The results showed that equivalent fixed carbon substitution approach was more effective to produce sufficient heat in melting zone at medium grade charcoal combustion. Additionally, it was also found that increasing charcoal particles size and applying coated charcoal combustion method could reduce combustion rate to achieve a proper matching condition between flame front speed and heat transfer front speed. Consequently, with the help of equivalent fixed carbon substitution approach, coarse charcoal and coated charcoal particles, the peak temperature, holding time above 1100°C, melting quantity index and combustion efficiency were increased in the charcoal sintering process.","container-title":"Applied Energy","DOI":"10.1016/j.apenergy.2015.09.095","ISSN":"0306-2619","journalAbbreviation":"Applied Energy","language":"en","page":"364-374","source":"ScienceDirect","title":"Characteristics of charcoal combustion and its effects on iron-ore sintering performance","URL":"https://www.sciencedirect.com/science/article/pii/S0306261915012210","volume":"161","author":[{"family":"Cheng","given":"Zhilong"},{"family":"Yang","given":"Jian"},{"family":"Zhou","given":"Lang"},{"family":"Liu","given":"Yan"},{"family":"Wang","given":"Qiuwang"}],"accessed":{"date-parts":[["2022",8,22]]},"issued":{"date-parts":[["2016",1,1]]}},"label":"page"},{"id":1873,"uris":["http://zotero.org/users/local/AB2owHL2/items/H6ZYCLQC"],"itemData":{"id":1873,"type":"article-journal","abstract":"Owing to majority of sintering fuel gas pollutants comes from the coke, modified charcoal replaced coke for iron ore sintering to achieve the emissions reduction of the pollutants in this study. By modifying biomass fuel with CaO and urea, the specific surface area, pore volume and pore diameter were reduced to 12.942 m2 g−1, 1.326e-02 cc g−1 and 18.865 nm. The experimental results of sintering cup showed that the vertical sintering speed increased, the burning through point advanced, the sinter drum index decreased gradually, and the sintering yield increased initially and then decreased with the increasing of modified charcoal content. The optimum proportion of modified charcoal instead of coke powder was determined to be 40%. Meanwhile, application of the 40% modified charcoal to sintering resulted in a decrease of 45.85% for SO2 and a decrease of 54.26% for NOx emissions.","container-title":"Ironmaking &amp; Steelmaking","DOI":"10.1080/03019233.2018.1507070","ISSN":"03019233","issue":"2","note":"publisher: Taylor &amp; Francis Ltd","page":"188-194","source":"EBSCOhost","title":"Modified biomass fuel instead of coke for iron ore sintering","URL":"https://ezproxy.uwtsd.ac.uk/login?url=https://search.ebscohost.com/login.aspx?direct=true&amp;db=aph&amp;AN=142124512&amp;site=ehost-live","volume":"47","author":[{"family":"Liu","given":"Chao"},{"family":"Zhang","given":"Yu-zhu"},{"family":"Zhao","given":"Kai"},{"family":"Xing","given":"Hong-wei"},{"family":"Kang","given":"Yue"}],"accessed":{"date-parts":[["2022",8,3]]},"issued":{"date-parts":[["2020",2]]}},"label":"page"}],"schema":"https://github.com/citation-style-language/schema/raw/master/csl-citation.json"} </w:instrText>
      </w:r>
      <w:r w:rsidR="0054789E">
        <w:fldChar w:fldCharType="separate"/>
      </w:r>
      <w:r w:rsidR="007F0E45" w:rsidRPr="007F0E45">
        <w:rPr>
          <w:rFonts w:ascii="Calibri" w:hAnsi="Calibri" w:cs="Calibri"/>
        </w:rPr>
        <w:t>(Kawaguchi and Hara 2013; Gan et al. 2014; Cheng et al. 2016; Liu et al. 2020)</w:t>
      </w:r>
      <w:r w:rsidR="0054789E">
        <w:fldChar w:fldCharType="end"/>
      </w:r>
      <w:r w:rsidR="0054789E">
        <w:t xml:space="preserve"> found that </w:t>
      </w:r>
      <w:r w:rsidR="00392A47">
        <w:t>biochar has a faster combustion rate than coke.</w:t>
      </w:r>
      <w:r w:rsidR="000A4426">
        <w:t xml:space="preserve"> As the combustion rate increases</w:t>
      </w:r>
      <w:r w:rsidR="0028590E">
        <w:t xml:space="preserve">, heat generation is </w:t>
      </w:r>
      <w:r w:rsidR="00147E84">
        <w:t>increased,</w:t>
      </w:r>
      <w:r w:rsidR="00D84B3C">
        <w:t xml:space="preserve"> and the maximum temperature is higher</w:t>
      </w:r>
      <w:r w:rsidR="0012330A">
        <w:t xml:space="preserve"> as shown in figure 41</w:t>
      </w:r>
      <w:r w:rsidR="003150C2">
        <w:t xml:space="preserve">. </w:t>
      </w:r>
      <w:r w:rsidR="00DB06BD">
        <w:t>A high combustion rate results in</w:t>
      </w:r>
      <w:r w:rsidR="00BE1D98">
        <w:t xml:space="preserve"> a </w:t>
      </w:r>
      <w:r w:rsidR="00AD2886">
        <w:t>reduction</w:t>
      </w:r>
      <w:r w:rsidR="00BE1D98">
        <w:t xml:space="preserve"> in</w:t>
      </w:r>
      <w:r w:rsidR="00DB06BD">
        <w:t xml:space="preserve"> </w:t>
      </w:r>
      <w:r w:rsidR="00BE1D98">
        <w:t>the holding time at high temperature</w:t>
      </w:r>
      <w:r w:rsidR="001C3676">
        <w:t>,</w:t>
      </w:r>
      <w:r w:rsidR="0067050C">
        <w:t xml:space="preserve"> a lower maximum temperature</w:t>
      </w:r>
      <w:r w:rsidR="00411C61">
        <w:t xml:space="preserve"> and lower combustion efficiency</w:t>
      </w:r>
      <w:r w:rsidR="005A5E74">
        <w:t>. When the combustion rate is too high</w:t>
      </w:r>
      <w:r w:rsidR="00656507">
        <w:t xml:space="preserve"> there is a reduction in the sinter yield</w:t>
      </w:r>
      <w:r w:rsidR="001A3A1D">
        <w:t xml:space="preserve"> as the sinter does not have time to agglomerate. </w:t>
      </w:r>
      <w:r w:rsidR="002C7E4E">
        <w:t>Conversely</w:t>
      </w:r>
      <w:r w:rsidR="002165E0">
        <w:t xml:space="preserve"> </w:t>
      </w:r>
      <w:r w:rsidR="002C7E4E">
        <w:t>s</w:t>
      </w:r>
      <w:r w:rsidR="002165E0">
        <w:t xml:space="preserve">inter productivity increases </w:t>
      </w:r>
      <w:r w:rsidR="00A778ED">
        <w:t>as a result</w:t>
      </w:r>
      <w:r w:rsidR="0067050C">
        <w:t>.</w:t>
      </w:r>
    </w:p>
    <w:p w14:paraId="1D6BC7AD" w14:textId="02585556" w:rsidR="006057AD" w:rsidRDefault="00CC49C3" w:rsidP="001D53D6">
      <w:pPr>
        <w:spacing w:line="360" w:lineRule="auto"/>
        <w:jc w:val="both"/>
      </w:pPr>
      <w:r w:rsidRPr="00CC49C3">
        <w:rPr>
          <w:noProof/>
        </w:rPr>
        <w:lastRenderedPageBreak/>
        <w:drawing>
          <wp:inline distT="0" distB="0" distL="0" distR="0" wp14:anchorId="11CE667D" wp14:editId="7885878B">
            <wp:extent cx="5731510" cy="3101009"/>
            <wp:effectExtent l="0" t="0" r="2540" b="4445"/>
            <wp:docPr id="145" name="Picture 14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Chart, histogram&#10;&#10;Description automatically generated"/>
                    <pic:cNvPicPr/>
                  </pic:nvPicPr>
                  <pic:blipFill>
                    <a:blip r:embed="rId68"/>
                    <a:stretch>
                      <a:fillRect/>
                    </a:stretch>
                  </pic:blipFill>
                  <pic:spPr>
                    <a:xfrm>
                      <a:off x="0" y="0"/>
                      <a:ext cx="5733998" cy="3102355"/>
                    </a:xfrm>
                    <a:prstGeom prst="rect">
                      <a:avLst/>
                    </a:prstGeom>
                  </pic:spPr>
                </pic:pic>
              </a:graphicData>
            </a:graphic>
          </wp:inline>
        </w:drawing>
      </w:r>
    </w:p>
    <w:p w14:paraId="5B17DBF8" w14:textId="71DC765D" w:rsidR="00CC49C3" w:rsidRDefault="00E10387" w:rsidP="001D53D6">
      <w:pPr>
        <w:spacing w:line="360" w:lineRule="auto"/>
        <w:jc w:val="both"/>
      </w:pPr>
      <w:r w:rsidRPr="00E10387">
        <w:rPr>
          <w:noProof/>
        </w:rPr>
        <w:drawing>
          <wp:inline distT="0" distB="0" distL="0" distR="0" wp14:anchorId="31B5BF3A" wp14:editId="61BFE7F8">
            <wp:extent cx="5731510" cy="2910177"/>
            <wp:effectExtent l="0" t="0" r="2540" b="5080"/>
            <wp:docPr id="147" name="Picture 14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Chart, line chart&#10;&#10;Description automatically generated"/>
                    <pic:cNvPicPr/>
                  </pic:nvPicPr>
                  <pic:blipFill>
                    <a:blip r:embed="rId69"/>
                    <a:stretch>
                      <a:fillRect/>
                    </a:stretch>
                  </pic:blipFill>
                  <pic:spPr>
                    <a:xfrm>
                      <a:off x="0" y="0"/>
                      <a:ext cx="5737554" cy="2913246"/>
                    </a:xfrm>
                    <a:prstGeom prst="rect">
                      <a:avLst/>
                    </a:prstGeom>
                  </pic:spPr>
                </pic:pic>
              </a:graphicData>
            </a:graphic>
          </wp:inline>
        </w:drawing>
      </w:r>
    </w:p>
    <w:p w14:paraId="09E19FD5" w14:textId="6835815B" w:rsidR="00364531" w:rsidRDefault="009A78CB" w:rsidP="009A78CB">
      <w:pPr>
        <w:pStyle w:val="Caption"/>
      </w:pPr>
      <w:bookmarkStart w:id="95" w:name="_Toc127110936"/>
      <w:r>
        <w:t xml:space="preserve">Figure </w:t>
      </w:r>
      <w:fldSimple w:instr=" SEQ Figure \* ARABIC ">
        <w:r w:rsidR="00A0212F">
          <w:rPr>
            <w:noProof/>
          </w:rPr>
          <w:t>42</w:t>
        </w:r>
      </w:fldSimple>
      <w:r>
        <w:t xml:space="preserve"> </w:t>
      </w:r>
      <w:r w:rsidR="00653322">
        <w:t>Time - t</w:t>
      </w:r>
      <w:r>
        <w:t>emperature profile</w:t>
      </w:r>
      <w:r w:rsidR="00591600">
        <w:t>s</w:t>
      </w:r>
      <w:r>
        <w:t xml:space="preserve"> of the </w:t>
      </w:r>
      <w:r w:rsidR="002B2614">
        <w:t xml:space="preserve">biochar 1 </w:t>
      </w:r>
      <w:r w:rsidR="00786410">
        <w:t>sinter pot tests</w:t>
      </w:r>
      <w:r w:rsidR="006D4180">
        <w:t>.</w:t>
      </w:r>
      <w:bookmarkEnd w:id="95"/>
    </w:p>
    <w:p w14:paraId="7564484A" w14:textId="5090B4E9" w:rsidR="00D0342B" w:rsidRDefault="00D0342B" w:rsidP="002A33EA">
      <w:pPr>
        <w:spacing w:line="360" w:lineRule="auto"/>
      </w:pPr>
      <w:r>
        <w:t xml:space="preserve">The temperature profiles of the biochar 1 results are shown above in figure 42. </w:t>
      </w:r>
      <w:r w:rsidR="002A33EA">
        <w:t>Each test has been carried out in duplicate</w:t>
      </w:r>
      <w:r w:rsidR="001F6FFD">
        <w:t xml:space="preserve"> and the most consistent </w:t>
      </w:r>
      <w:r w:rsidR="00DC1127">
        <w:t xml:space="preserve">graph has been demonstrated for each test. The material </w:t>
      </w:r>
      <w:r w:rsidR="002C0B59">
        <w:t xml:space="preserve">produced was </w:t>
      </w:r>
      <w:r w:rsidR="008159FC">
        <w:t xml:space="preserve">then </w:t>
      </w:r>
      <w:r w:rsidR="002C0B59">
        <w:t xml:space="preserve">composited </w:t>
      </w:r>
      <w:r w:rsidR="00C92E32">
        <w:t>for the quality test</w:t>
      </w:r>
      <w:r w:rsidR="00F80DC1">
        <w:t>.</w:t>
      </w:r>
    </w:p>
    <w:p w14:paraId="620F5C43" w14:textId="03C69C3B" w:rsidR="00A16097" w:rsidRDefault="00576ECB" w:rsidP="00DB381B">
      <w:pPr>
        <w:spacing w:line="360" w:lineRule="auto"/>
        <w:jc w:val="both"/>
      </w:pPr>
      <w:r>
        <w:t xml:space="preserve">The </w:t>
      </w:r>
      <w:r w:rsidR="00600F1B">
        <w:t xml:space="preserve">temperature profiles are reasonably consistent in the first three </w:t>
      </w:r>
      <w:r w:rsidR="00DB381B">
        <w:t>tests, they all have tall narrow curves which</w:t>
      </w:r>
      <w:r w:rsidR="00BB0DD5">
        <w:t xml:space="preserve"> mostly</w:t>
      </w:r>
      <w:r w:rsidR="00DB381B">
        <w:t xml:space="preserve"> peak </w:t>
      </w:r>
      <w:r w:rsidR="00BB0DD5">
        <w:t>consistently</w:t>
      </w:r>
      <w:r w:rsidR="00F06C1C">
        <w:t>, there are some peaks which are lower</w:t>
      </w:r>
      <w:r w:rsidR="00280626">
        <w:t xml:space="preserve"> (peaks 2 </w:t>
      </w:r>
      <w:r w:rsidR="0010778F">
        <w:t>+ 3 in the biochar 25% test)</w:t>
      </w:r>
      <w:r w:rsidR="00F06C1C">
        <w:t xml:space="preserve">, </w:t>
      </w:r>
      <w:r w:rsidR="00C062FE">
        <w:t xml:space="preserve">some of </w:t>
      </w:r>
      <w:r w:rsidR="00F06C1C">
        <w:t xml:space="preserve">these could be explained by </w:t>
      </w:r>
      <w:r w:rsidR="00DE33CF">
        <w:t>operator error when setting the thermocouples</w:t>
      </w:r>
      <w:r w:rsidR="00043E7E">
        <w:t xml:space="preserve"> Some of the peaks are wider</w:t>
      </w:r>
      <w:r w:rsidR="009605F5">
        <w:t xml:space="preserve"> than others</w:t>
      </w:r>
      <w:r w:rsidR="004353D3">
        <w:t>, these peaks have slower cooldown rates which is related to the permeability of the sinter</w:t>
      </w:r>
      <w:r w:rsidR="00277039">
        <w:t xml:space="preserve">. </w:t>
      </w:r>
      <w:r w:rsidR="00D20F78">
        <w:t>In t</w:t>
      </w:r>
      <w:r w:rsidR="00442DCE">
        <w:t xml:space="preserve">he </w:t>
      </w:r>
      <w:r w:rsidR="00D20F78">
        <w:t xml:space="preserve">75% biochar test </w:t>
      </w:r>
      <w:r w:rsidR="0009261D">
        <w:t>t</w:t>
      </w:r>
      <w:r w:rsidR="00A75EF6">
        <w:t xml:space="preserve">here </w:t>
      </w:r>
      <w:r w:rsidR="00264115">
        <w:t>were</w:t>
      </w:r>
      <w:r w:rsidR="00A75EF6">
        <w:t xml:space="preserve"> some issues with </w:t>
      </w:r>
      <w:r w:rsidR="00A75EF6">
        <w:lastRenderedPageBreak/>
        <w:t>channelling</w:t>
      </w:r>
      <w:r w:rsidR="008275C2">
        <w:t xml:space="preserve">, when a hot spot </w:t>
      </w:r>
      <w:r w:rsidR="00B811F0">
        <w:t>forms along a narrow channel through the sinter pot</w:t>
      </w:r>
      <w:r w:rsidR="00264115">
        <w:t>. Channelling will be discussed later in the report.</w:t>
      </w:r>
      <w:r w:rsidR="00A55FDA">
        <w:t xml:space="preserve"> As a </w:t>
      </w:r>
      <w:r w:rsidR="00F44B0E">
        <w:t>result,</w:t>
      </w:r>
      <w:r w:rsidR="00A55FDA">
        <w:t xml:space="preserve"> this graph </w:t>
      </w:r>
      <w:r w:rsidR="00D554B7">
        <w:t>has distorted p</w:t>
      </w:r>
      <w:r w:rsidR="00A9533D">
        <w:t>rofiles</w:t>
      </w:r>
      <w:r w:rsidR="00D554B7">
        <w:t xml:space="preserve"> displaying middle to low combustion rates.</w:t>
      </w:r>
    </w:p>
    <w:p w14:paraId="2A15F1C0" w14:textId="25A14760" w:rsidR="00911955" w:rsidRDefault="00911955" w:rsidP="00911955">
      <w:pPr>
        <w:pStyle w:val="Caption"/>
        <w:jc w:val="center"/>
      </w:pPr>
      <w:r>
        <w:t xml:space="preserve">Table </w:t>
      </w:r>
      <w:fldSimple w:instr=" SEQ Table \* ARABIC ">
        <w:r w:rsidR="00DA2639">
          <w:rPr>
            <w:noProof/>
          </w:rPr>
          <w:t>15</w:t>
        </w:r>
      </w:fldSimple>
      <w:r>
        <w:t xml:space="preserve"> </w:t>
      </w:r>
      <w:r w:rsidR="00CC64CA">
        <w:t xml:space="preserve">Sintering process </w:t>
      </w:r>
      <w:r w:rsidR="001517CC">
        <w:t>characteristics</w:t>
      </w:r>
      <w:r w:rsidR="002B2614">
        <w:t xml:space="preserve"> Biochar 1</w:t>
      </w:r>
    </w:p>
    <w:tbl>
      <w:tblPr>
        <w:tblW w:w="8320" w:type="dxa"/>
        <w:tblLook w:val="04A0" w:firstRow="1" w:lastRow="0" w:firstColumn="1" w:lastColumn="0" w:noHBand="0" w:noVBand="1"/>
      </w:tblPr>
      <w:tblGrid>
        <w:gridCol w:w="2171"/>
        <w:gridCol w:w="1424"/>
        <w:gridCol w:w="1560"/>
        <w:gridCol w:w="1560"/>
        <w:gridCol w:w="1605"/>
      </w:tblGrid>
      <w:tr w:rsidR="00382CE9" w:rsidRPr="00382CE9" w14:paraId="5FCED7B1" w14:textId="77777777" w:rsidTr="00382CE9">
        <w:trPr>
          <w:trHeight w:val="504"/>
        </w:trPr>
        <w:tc>
          <w:tcPr>
            <w:tcW w:w="21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0C6933"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 </w:t>
            </w:r>
          </w:p>
        </w:tc>
        <w:tc>
          <w:tcPr>
            <w:tcW w:w="1424" w:type="dxa"/>
            <w:tcBorders>
              <w:top w:val="single" w:sz="4" w:space="0" w:color="auto"/>
              <w:left w:val="nil"/>
              <w:bottom w:val="single" w:sz="4" w:space="0" w:color="auto"/>
              <w:right w:val="single" w:sz="4" w:space="0" w:color="auto"/>
            </w:tcBorders>
            <w:shd w:val="clear" w:color="auto" w:fill="auto"/>
            <w:vAlign w:val="bottom"/>
            <w:hideMark/>
          </w:tcPr>
          <w:p w14:paraId="572CC0E3"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 xml:space="preserve"> Coke breeze 100%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6AF0ABDD"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Biochar 1 (25%)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2DFE309A"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Biochar 1 (50%)</w:t>
            </w:r>
          </w:p>
        </w:tc>
        <w:tc>
          <w:tcPr>
            <w:tcW w:w="1605" w:type="dxa"/>
            <w:tcBorders>
              <w:top w:val="single" w:sz="4" w:space="0" w:color="auto"/>
              <w:left w:val="nil"/>
              <w:bottom w:val="single" w:sz="4" w:space="0" w:color="auto"/>
              <w:right w:val="single" w:sz="4" w:space="0" w:color="auto"/>
            </w:tcBorders>
            <w:shd w:val="clear" w:color="auto" w:fill="auto"/>
            <w:vAlign w:val="bottom"/>
            <w:hideMark/>
          </w:tcPr>
          <w:p w14:paraId="0B9B4C68"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Biochar 1 (75%)</w:t>
            </w:r>
          </w:p>
        </w:tc>
      </w:tr>
      <w:tr w:rsidR="00382CE9" w:rsidRPr="00382CE9" w14:paraId="4EEB2FBC" w14:textId="77777777" w:rsidTr="00382CE9">
        <w:trPr>
          <w:trHeight w:val="493"/>
        </w:trPr>
        <w:tc>
          <w:tcPr>
            <w:tcW w:w="2171" w:type="dxa"/>
            <w:tcBorders>
              <w:top w:val="nil"/>
              <w:left w:val="single" w:sz="4" w:space="0" w:color="auto"/>
              <w:bottom w:val="single" w:sz="4" w:space="0" w:color="auto"/>
              <w:right w:val="single" w:sz="4" w:space="0" w:color="auto"/>
            </w:tcBorders>
            <w:shd w:val="clear" w:color="auto" w:fill="auto"/>
            <w:vAlign w:val="bottom"/>
            <w:hideMark/>
          </w:tcPr>
          <w:p w14:paraId="1D359E0F"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Max Sintering Temperature (</w:t>
            </w:r>
            <w:proofErr w:type="spellStart"/>
            <w:r w:rsidRPr="00382CE9">
              <w:rPr>
                <w:rFonts w:ascii="Calibri" w:eastAsia="Times New Roman" w:hAnsi="Calibri" w:cs="Calibri"/>
                <w:color w:val="000000"/>
                <w:vertAlign w:val="superscript"/>
                <w:lang w:eastAsia="en-GB"/>
              </w:rPr>
              <w:t>o</w:t>
            </w:r>
            <w:r w:rsidRPr="00382CE9">
              <w:rPr>
                <w:rFonts w:ascii="Calibri" w:eastAsia="Times New Roman" w:hAnsi="Calibri" w:cs="Calibri"/>
                <w:color w:val="000000"/>
                <w:lang w:eastAsia="en-GB"/>
              </w:rPr>
              <w:t>C</w:t>
            </w:r>
            <w:proofErr w:type="spellEnd"/>
            <w:r w:rsidRPr="00382CE9">
              <w:rPr>
                <w:rFonts w:ascii="Calibri" w:eastAsia="Times New Roman" w:hAnsi="Calibri" w:cs="Calibri"/>
                <w:color w:val="000000"/>
                <w:lang w:eastAsia="en-GB"/>
              </w:rPr>
              <w:t>)</w:t>
            </w:r>
          </w:p>
        </w:tc>
        <w:tc>
          <w:tcPr>
            <w:tcW w:w="1424" w:type="dxa"/>
            <w:tcBorders>
              <w:top w:val="nil"/>
              <w:left w:val="nil"/>
              <w:bottom w:val="single" w:sz="4" w:space="0" w:color="auto"/>
              <w:right w:val="single" w:sz="4" w:space="0" w:color="auto"/>
            </w:tcBorders>
            <w:shd w:val="clear" w:color="auto" w:fill="auto"/>
            <w:vAlign w:val="center"/>
            <w:hideMark/>
          </w:tcPr>
          <w:p w14:paraId="2CFD697C"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1313.05</w:t>
            </w:r>
          </w:p>
        </w:tc>
        <w:tc>
          <w:tcPr>
            <w:tcW w:w="1560" w:type="dxa"/>
            <w:tcBorders>
              <w:top w:val="nil"/>
              <w:left w:val="nil"/>
              <w:bottom w:val="single" w:sz="4" w:space="0" w:color="auto"/>
              <w:right w:val="single" w:sz="4" w:space="0" w:color="auto"/>
            </w:tcBorders>
            <w:shd w:val="clear" w:color="auto" w:fill="auto"/>
            <w:vAlign w:val="center"/>
            <w:hideMark/>
          </w:tcPr>
          <w:p w14:paraId="10C49131"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1286.02</w:t>
            </w:r>
          </w:p>
        </w:tc>
        <w:tc>
          <w:tcPr>
            <w:tcW w:w="1560" w:type="dxa"/>
            <w:tcBorders>
              <w:top w:val="nil"/>
              <w:left w:val="nil"/>
              <w:bottom w:val="single" w:sz="4" w:space="0" w:color="auto"/>
              <w:right w:val="single" w:sz="4" w:space="0" w:color="auto"/>
            </w:tcBorders>
            <w:shd w:val="clear" w:color="auto" w:fill="auto"/>
            <w:vAlign w:val="center"/>
            <w:hideMark/>
          </w:tcPr>
          <w:p w14:paraId="6002C1CA"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1342.16</w:t>
            </w:r>
          </w:p>
        </w:tc>
        <w:tc>
          <w:tcPr>
            <w:tcW w:w="1605" w:type="dxa"/>
            <w:tcBorders>
              <w:top w:val="nil"/>
              <w:left w:val="nil"/>
              <w:bottom w:val="single" w:sz="4" w:space="0" w:color="auto"/>
              <w:right w:val="single" w:sz="4" w:space="0" w:color="auto"/>
            </w:tcBorders>
            <w:shd w:val="clear" w:color="auto" w:fill="auto"/>
            <w:vAlign w:val="center"/>
            <w:hideMark/>
          </w:tcPr>
          <w:p w14:paraId="64D15D0A"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1064.92</w:t>
            </w:r>
          </w:p>
        </w:tc>
      </w:tr>
      <w:tr w:rsidR="00382CE9" w:rsidRPr="00382CE9" w14:paraId="5B019166" w14:textId="77777777" w:rsidTr="00382CE9">
        <w:trPr>
          <w:trHeight w:val="493"/>
        </w:trPr>
        <w:tc>
          <w:tcPr>
            <w:tcW w:w="2171" w:type="dxa"/>
            <w:tcBorders>
              <w:top w:val="nil"/>
              <w:left w:val="single" w:sz="4" w:space="0" w:color="auto"/>
              <w:bottom w:val="single" w:sz="4" w:space="0" w:color="auto"/>
              <w:right w:val="single" w:sz="4" w:space="0" w:color="auto"/>
            </w:tcBorders>
            <w:shd w:val="clear" w:color="auto" w:fill="auto"/>
            <w:vAlign w:val="bottom"/>
            <w:hideMark/>
          </w:tcPr>
          <w:p w14:paraId="2F9316BD"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Average max sintering temp (</w:t>
            </w:r>
            <w:proofErr w:type="spellStart"/>
            <w:r w:rsidRPr="00382CE9">
              <w:rPr>
                <w:rFonts w:ascii="Calibri" w:eastAsia="Times New Roman" w:hAnsi="Calibri" w:cs="Calibri"/>
                <w:color w:val="000000"/>
                <w:vertAlign w:val="superscript"/>
                <w:lang w:eastAsia="en-GB"/>
              </w:rPr>
              <w:t>o</w:t>
            </w:r>
            <w:r w:rsidRPr="00382CE9">
              <w:rPr>
                <w:rFonts w:ascii="Calibri" w:eastAsia="Times New Roman" w:hAnsi="Calibri" w:cs="Calibri"/>
                <w:color w:val="000000"/>
                <w:lang w:eastAsia="en-GB"/>
              </w:rPr>
              <w:t>C</w:t>
            </w:r>
            <w:proofErr w:type="spellEnd"/>
            <w:r w:rsidRPr="00382CE9">
              <w:rPr>
                <w:rFonts w:ascii="Calibri" w:eastAsia="Times New Roman" w:hAnsi="Calibri" w:cs="Calibri"/>
                <w:color w:val="000000"/>
                <w:lang w:eastAsia="en-GB"/>
              </w:rPr>
              <w:t>)</w:t>
            </w:r>
          </w:p>
        </w:tc>
        <w:tc>
          <w:tcPr>
            <w:tcW w:w="1424" w:type="dxa"/>
            <w:tcBorders>
              <w:top w:val="nil"/>
              <w:left w:val="nil"/>
              <w:bottom w:val="single" w:sz="4" w:space="0" w:color="auto"/>
              <w:right w:val="single" w:sz="4" w:space="0" w:color="auto"/>
            </w:tcBorders>
            <w:shd w:val="clear" w:color="auto" w:fill="auto"/>
            <w:noWrap/>
            <w:vAlign w:val="center"/>
            <w:hideMark/>
          </w:tcPr>
          <w:p w14:paraId="38DC2987"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1152.76</w:t>
            </w:r>
          </w:p>
        </w:tc>
        <w:tc>
          <w:tcPr>
            <w:tcW w:w="1560" w:type="dxa"/>
            <w:tcBorders>
              <w:top w:val="nil"/>
              <w:left w:val="nil"/>
              <w:bottom w:val="single" w:sz="4" w:space="0" w:color="auto"/>
              <w:right w:val="single" w:sz="4" w:space="0" w:color="auto"/>
            </w:tcBorders>
            <w:shd w:val="clear" w:color="auto" w:fill="auto"/>
            <w:noWrap/>
            <w:vAlign w:val="center"/>
            <w:hideMark/>
          </w:tcPr>
          <w:p w14:paraId="7131E3DA"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1170.97</w:t>
            </w:r>
          </w:p>
        </w:tc>
        <w:tc>
          <w:tcPr>
            <w:tcW w:w="1560" w:type="dxa"/>
            <w:tcBorders>
              <w:top w:val="nil"/>
              <w:left w:val="nil"/>
              <w:bottom w:val="single" w:sz="4" w:space="0" w:color="auto"/>
              <w:right w:val="single" w:sz="4" w:space="0" w:color="auto"/>
            </w:tcBorders>
            <w:shd w:val="clear" w:color="auto" w:fill="auto"/>
            <w:noWrap/>
            <w:vAlign w:val="center"/>
            <w:hideMark/>
          </w:tcPr>
          <w:p w14:paraId="21FF0ACC"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1229.52</w:t>
            </w:r>
          </w:p>
        </w:tc>
        <w:tc>
          <w:tcPr>
            <w:tcW w:w="1605" w:type="dxa"/>
            <w:tcBorders>
              <w:top w:val="nil"/>
              <w:left w:val="nil"/>
              <w:bottom w:val="single" w:sz="4" w:space="0" w:color="auto"/>
              <w:right w:val="single" w:sz="4" w:space="0" w:color="auto"/>
            </w:tcBorders>
            <w:shd w:val="clear" w:color="auto" w:fill="auto"/>
            <w:noWrap/>
            <w:vAlign w:val="center"/>
            <w:hideMark/>
          </w:tcPr>
          <w:p w14:paraId="504DFD77"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892.63</w:t>
            </w:r>
          </w:p>
        </w:tc>
      </w:tr>
      <w:tr w:rsidR="00382CE9" w:rsidRPr="00382CE9" w14:paraId="57F31E4C" w14:textId="77777777" w:rsidTr="00382CE9">
        <w:trPr>
          <w:trHeight w:val="493"/>
        </w:trPr>
        <w:tc>
          <w:tcPr>
            <w:tcW w:w="2171" w:type="dxa"/>
            <w:tcBorders>
              <w:top w:val="nil"/>
              <w:left w:val="single" w:sz="4" w:space="0" w:color="auto"/>
              <w:bottom w:val="single" w:sz="4" w:space="0" w:color="auto"/>
              <w:right w:val="single" w:sz="4" w:space="0" w:color="auto"/>
            </w:tcBorders>
            <w:shd w:val="clear" w:color="auto" w:fill="auto"/>
            <w:vAlign w:val="bottom"/>
            <w:hideMark/>
          </w:tcPr>
          <w:p w14:paraId="6633E7B8"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Average time above 1000</w:t>
            </w:r>
            <w:r w:rsidRPr="00382CE9">
              <w:rPr>
                <w:rFonts w:ascii="Calibri" w:eastAsia="Times New Roman" w:hAnsi="Calibri" w:cs="Calibri"/>
                <w:color w:val="000000"/>
                <w:vertAlign w:val="superscript"/>
                <w:lang w:eastAsia="en-GB"/>
              </w:rPr>
              <w:t>0</w:t>
            </w:r>
            <w:r w:rsidRPr="00382CE9">
              <w:rPr>
                <w:rFonts w:ascii="Calibri" w:eastAsia="Times New Roman" w:hAnsi="Calibri" w:cs="Calibri"/>
                <w:color w:val="000000"/>
                <w:lang w:eastAsia="en-GB"/>
              </w:rPr>
              <w:t>C (</w:t>
            </w:r>
            <w:proofErr w:type="spellStart"/>
            <w:proofErr w:type="gramStart"/>
            <w:r w:rsidRPr="00382CE9">
              <w:rPr>
                <w:rFonts w:ascii="Calibri" w:eastAsia="Times New Roman" w:hAnsi="Calibri" w:cs="Calibri"/>
                <w:color w:val="000000"/>
                <w:lang w:eastAsia="en-GB"/>
              </w:rPr>
              <w:t>mm:s</w:t>
            </w:r>
            <w:proofErr w:type="spellEnd"/>
            <w:proofErr w:type="gramEnd"/>
            <w:r w:rsidRPr="00382CE9">
              <w:rPr>
                <w:rFonts w:ascii="Calibri" w:eastAsia="Times New Roman" w:hAnsi="Calibri" w:cs="Calibri"/>
                <w:color w:val="000000"/>
                <w:lang w:eastAsia="en-GB"/>
              </w:rPr>
              <w:t>)</w:t>
            </w:r>
          </w:p>
        </w:tc>
        <w:tc>
          <w:tcPr>
            <w:tcW w:w="1424" w:type="dxa"/>
            <w:tcBorders>
              <w:top w:val="nil"/>
              <w:left w:val="nil"/>
              <w:bottom w:val="single" w:sz="4" w:space="0" w:color="auto"/>
              <w:right w:val="single" w:sz="4" w:space="0" w:color="auto"/>
            </w:tcBorders>
            <w:shd w:val="clear" w:color="auto" w:fill="auto"/>
            <w:noWrap/>
            <w:vAlign w:val="center"/>
            <w:hideMark/>
          </w:tcPr>
          <w:p w14:paraId="704D6CBC"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02:25:00</w:t>
            </w:r>
          </w:p>
        </w:tc>
        <w:tc>
          <w:tcPr>
            <w:tcW w:w="1560" w:type="dxa"/>
            <w:tcBorders>
              <w:top w:val="nil"/>
              <w:left w:val="nil"/>
              <w:bottom w:val="single" w:sz="4" w:space="0" w:color="auto"/>
              <w:right w:val="single" w:sz="4" w:space="0" w:color="auto"/>
            </w:tcBorders>
            <w:shd w:val="clear" w:color="auto" w:fill="auto"/>
            <w:noWrap/>
            <w:vAlign w:val="center"/>
            <w:hideMark/>
          </w:tcPr>
          <w:p w14:paraId="655161E7"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01:43:00</w:t>
            </w:r>
          </w:p>
        </w:tc>
        <w:tc>
          <w:tcPr>
            <w:tcW w:w="1560" w:type="dxa"/>
            <w:tcBorders>
              <w:top w:val="nil"/>
              <w:left w:val="nil"/>
              <w:bottom w:val="single" w:sz="4" w:space="0" w:color="auto"/>
              <w:right w:val="single" w:sz="4" w:space="0" w:color="auto"/>
            </w:tcBorders>
            <w:shd w:val="clear" w:color="auto" w:fill="auto"/>
            <w:noWrap/>
            <w:vAlign w:val="center"/>
            <w:hideMark/>
          </w:tcPr>
          <w:p w14:paraId="7E25D3A0"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02:31:00</w:t>
            </w:r>
          </w:p>
        </w:tc>
        <w:tc>
          <w:tcPr>
            <w:tcW w:w="1605" w:type="dxa"/>
            <w:tcBorders>
              <w:top w:val="nil"/>
              <w:left w:val="nil"/>
              <w:bottom w:val="single" w:sz="4" w:space="0" w:color="auto"/>
              <w:right w:val="single" w:sz="4" w:space="0" w:color="auto"/>
            </w:tcBorders>
            <w:shd w:val="clear" w:color="auto" w:fill="auto"/>
            <w:noWrap/>
            <w:vAlign w:val="center"/>
            <w:hideMark/>
          </w:tcPr>
          <w:p w14:paraId="0C3492DF"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00:29:00</w:t>
            </w:r>
          </w:p>
        </w:tc>
      </w:tr>
      <w:tr w:rsidR="00382CE9" w:rsidRPr="00382CE9" w14:paraId="15628516" w14:textId="77777777" w:rsidTr="00382CE9">
        <w:trPr>
          <w:trHeight w:val="459"/>
        </w:trPr>
        <w:tc>
          <w:tcPr>
            <w:tcW w:w="2171" w:type="dxa"/>
            <w:tcBorders>
              <w:top w:val="nil"/>
              <w:left w:val="single" w:sz="4" w:space="0" w:color="auto"/>
              <w:bottom w:val="single" w:sz="4" w:space="0" w:color="auto"/>
              <w:right w:val="single" w:sz="4" w:space="0" w:color="auto"/>
            </w:tcBorders>
            <w:shd w:val="clear" w:color="auto" w:fill="auto"/>
            <w:vAlign w:val="bottom"/>
            <w:hideMark/>
          </w:tcPr>
          <w:p w14:paraId="24DE26AC"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Sintering Time (</w:t>
            </w:r>
            <w:proofErr w:type="spellStart"/>
            <w:proofErr w:type="gramStart"/>
            <w:r w:rsidRPr="00382CE9">
              <w:rPr>
                <w:rFonts w:ascii="Calibri" w:eastAsia="Times New Roman" w:hAnsi="Calibri" w:cs="Calibri"/>
                <w:color w:val="000000"/>
                <w:lang w:eastAsia="en-GB"/>
              </w:rPr>
              <w:t>mm:ss</w:t>
            </w:r>
            <w:proofErr w:type="spellEnd"/>
            <w:proofErr w:type="gramEnd"/>
            <w:r w:rsidRPr="00382CE9">
              <w:rPr>
                <w:rFonts w:ascii="Calibri" w:eastAsia="Times New Roman" w:hAnsi="Calibri" w:cs="Calibri"/>
                <w:color w:val="000000"/>
                <w:lang w:eastAsia="en-GB"/>
              </w:rPr>
              <w:t>)</w:t>
            </w:r>
          </w:p>
        </w:tc>
        <w:tc>
          <w:tcPr>
            <w:tcW w:w="1424" w:type="dxa"/>
            <w:tcBorders>
              <w:top w:val="nil"/>
              <w:left w:val="nil"/>
              <w:bottom w:val="single" w:sz="4" w:space="0" w:color="auto"/>
              <w:right w:val="single" w:sz="4" w:space="0" w:color="auto"/>
            </w:tcBorders>
            <w:shd w:val="clear" w:color="auto" w:fill="auto"/>
            <w:vAlign w:val="center"/>
            <w:hideMark/>
          </w:tcPr>
          <w:p w14:paraId="797E5EE3"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00:27:25</w:t>
            </w:r>
          </w:p>
        </w:tc>
        <w:tc>
          <w:tcPr>
            <w:tcW w:w="1560" w:type="dxa"/>
            <w:tcBorders>
              <w:top w:val="nil"/>
              <w:left w:val="nil"/>
              <w:bottom w:val="single" w:sz="4" w:space="0" w:color="auto"/>
              <w:right w:val="single" w:sz="4" w:space="0" w:color="auto"/>
            </w:tcBorders>
            <w:shd w:val="clear" w:color="auto" w:fill="auto"/>
            <w:vAlign w:val="center"/>
            <w:hideMark/>
          </w:tcPr>
          <w:p w14:paraId="000B1278"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00:21:55</w:t>
            </w:r>
          </w:p>
        </w:tc>
        <w:tc>
          <w:tcPr>
            <w:tcW w:w="1560" w:type="dxa"/>
            <w:tcBorders>
              <w:top w:val="nil"/>
              <w:left w:val="nil"/>
              <w:bottom w:val="single" w:sz="4" w:space="0" w:color="auto"/>
              <w:right w:val="single" w:sz="4" w:space="0" w:color="auto"/>
            </w:tcBorders>
            <w:shd w:val="clear" w:color="auto" w:fill="auto"/>
            <w:vAlign w:val="center"/>
            <w:hideMark/>
          </w:tcPr>
          <w:p w14:paraId="43D03D91"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00:23:35</w:t>
            </w:r>
          </w:p>
        </w:tc>
        <w:tc>
          <w:tcPr>
            <w:tcW w:w="1605" w:type="dxa"/>
            <w:tcBorders>
              <w:top w:val="nil"/>
              <w:left w:val="nil"/>
              <w:bottom w:val="single" w:sz="4" w:space="0" w:color="auto"/>
              <w:right w:val="single" w:sz="4" w:space="0" w:color="auto"/>
            </w:tcBorders>
            <w:shd w:val="clear" w:color="auto" w:fill="auto"/>
            <w:vAlign w:val="center"/>
            <w:hideMark/>
          </w:tcPr>
          <w:p w14:paraId="26D6B174"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00:28:50</w:t>
            </w:r>
          </w:p>
        </w:tc>
      </w:tr>
      <w:tr w:rsidR="00382CE9" w:rsidRPr="00382CE9" w14:paraId="033AA0EF" w14:textId="77777777" w:rsidTr="00382CE9">
        <w:trPr>
          <w:trHeight w:val="459"/>
        </w:trPr>
        <w:tc>
          <w:tcPr>
            <w:tcW w:w="2171" w:type="dxa"/>
            <w:tcBorders>
              <w:top w:val="nil"/>
              <w:left w:val="single" w:sz="4" w:space="0" w:color="auto"/>
              <w:bottom w:val="single" w:sz="4" w:space="0" w:color="auto"/>
              <w:right w:val="single" w:sz="4" w:space="0" w:color="auto"/>
            </w:tcBorders>
            <w:shd w:val="clear" w:color="auto" w:fill="auto"/>
            <w:vAlign w:val="bottom"/>
            <w:hideMark/>
          </w:tcPr>
          <w:p w14:paraId="7F985D94" w14:textId="77777777" w:rsidR="00382CE9" w:rsidRPr="00382CE9" w:rsidRDefault="00382CE9" w:rsidP="00382CE9">
            <w:pPr>
              <w:spacing w:after="0" w:line="240" w:lineRule="auto"/>
              <w:rPr>
                <w:rFonts w:ascii="Calibri" w:eastAsia="Times New Roman" w:hAnsi="Calibri" w:cs="Calibri"/>
                <w:color w:val="000000"/>
                <w:lang w:eastAsia="en-GB"/>
              </w:rPr>
            </w:pPr>
            <w:r w:rsidRPr="00382CE9">
              <w:rPr>
                <w:rFonts w:ascii="Calibri" w:eastAsia="Times New Roman" w:hAnsi="Calibri" w:cs="Calibri"/>
                <w:color w:val="000000"/>
                <w:lang w:eastAsia="en-GB"/>
              </w:rPr>
              <w:t>Flame Front Speed Average (mm/s)</w:t>
            </w:r>
          </w:p>
        </w:tc>
        <w:tc>
          <w:tcPr>
            <w:tcW w:w="1424" w:type="dxa"/>
            <w:tcBorders>
              <w:top w:val="nil"/>
              <w:left w:val="nil"/>
              <w:bottom w:val="single" w:sz="4" w:space="0" w:color="auto"/>
              <w:right w:val="single" w:sz="4" w:space="0" w:color="auto"/>
            </w:tcBorders>
            <w:shd w:val="clear" w:color="auto" w:fill="auto"/>
            <w:vAlign w:val="center"/>
            <w:hideMark/>
          </w:tcPr>
          <w:p w14:paraId="134AE6A3"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0.33</w:t>
            </w:r>
          </w:p>
        </w:tc>
        <w:tc>
          <w:tcPr>
            <w:tcW w:w="1560" w:type="dxa"/>
            <w:tcBorders>
              <w:top w:val="nil"/>
              <w:left w:val="nil"/>
              <w:bottom w:val="single" w:sz="4" w:space="0" w:color="auto"/>
              <w:right w:val="single" w:sz="4" w:space="0" w:color="auto"/>
            </w:tcBorders>
            <w:shd w:val="clear" w:color="auto" w:fill="auto"/>
            <w:vAlign w:val="center"/>
            <w:hideMark/>
          </w:tcPr>
          <w:p w14:paraId="3B7EB609"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0.31</w:t>
            </w:r>
          </w:p>
        </w:tc>
        <w:tc>
          <w:tcPr>
            <w:tcW w:w="1560" w:type="dxa"/>
            <w:tcBorders>
              <w:top w:val="nil"/>
              <w:left w:val="nil"/>
              <w:bottom w:val="single" w:sz="4" w:space="0" w:color="auto"/>
              <w:right w:val="single" w:sz="4" w:space="0" w:color="auto"/>
            </w:tcBorders>
            <w:shd w:val="clear" w:color="auto" w:fill="auto"/>
            <w:vAlign w:val="center"/>
            <w:hideMark/>
          </w:tcPr>
          <w:p w14:paraId="071A414D"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0.41</w:t>
            </w:r>
          </w:p>
        </w:tc>
        <w:tc>
          <w:tcPr>
            <w:tcW w:w="1605" w:type="dxa"/>
            <w:tcBorders>
              <w:top w:val="nil"/>
              <w:left w:val="nil"/>
              <w:bottom w:val="single" w:sz="4" w:space="0" w:color="auto"/>
              <w:right w:val="single" w:sz="4" w:space="0" w:color="auto"/>
            </w:tcBorders>
            <w:shd w:val="clear" w:color="auto" w:fill="auto"/>
            <w:vAlign w:val="center"/>
            <w:hideMark/>
          </w:tcPr>
          <w:p w14:paraId="1547EC22" w14:textId="73802588" w:rsidR="00382CE9" w:rsidRPr="00382CE9" w:rsidRDefault="00C95F10" w:rsidP="00382CE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0.26</w:t>
            </w:r>
          </w:p>
        </w:tc>
      </w:tr>
      <w:tr w:rsidR="00382CE9" w:rsidRPr="00382CE9" w14:paraId="14027E26" w14:textId="77777777" w:rsidTr="00382CE9">
        <w:trPr>
          <w:trHeight w:val="459"/>
        </w:trPr>
        <w:tc>
          <w:tcPr>
            <w:tcW w:w="2171" w:type="dxa"/>
            <w:tcBorders>
              <w:top w:val="nil"/>
              <w:left w:val="single" w:sz="4" w:space="0" w:color="auto"/>
              <w:bottom w:val="single" w:sz="4" w:space="0" w:color="auto"/>
              <w:right w:val="single" w:sz="4" w:space="0" w:color="auto"/>
            </w:tcBorders>
            <w:shd w:val="clear" w:color="auto" w:fill="auto"/>
            <w:vAlign w:val="center"/>
            <w:hideMark/>
          </w:tcPr>
          <w:p w14:paraId="7B3C965C"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Fraction of sinter &gt;5mm (%)</w:t>
            </w:r>
          </w:p>
        </w:tc>
        <w:tc>
          <w:tcPr>
            <w:tcW w:w="1424" w:type="dxa"/>
            <w:tcBorders>
              <w:top w:val="nil"/>
              <w:left w:val="nil"/>
              <w:bottom w:val="single" w:sz="4" w:space="0" w:color="auto"/>
              <w:right w:val="single" w:sz="4" w:space="0" w:color="auto"/>
            </w:tcBorders>
            <w:shd w:val="clear" w:color="auto" w:fill="auto"/>
            <w:vAlign w:val="center"/>
            <w:hideMark/>
          </w:tcPr>
          <w:p w14:paraId="5E6147B3"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51.19</w:t>
            </w:r>
          </w:p>
        </w:tc>
        <w:tc>
          <w:tcPr>
            <w:tcW w:w="1560" w:type="dxa"/>
            <w:tcBorders>
              <w:top w:val="nil"/>
              <w:left w:val="nil"/>
              <w:bottom w:val="single" w:sz="4" w:space="0" w:color="auto"/>
              <w:right w:val="single" w:sz="4" w:space="0" w:color="auto"/>
            </w:tcBorders>
            <w:shd w:val="clear" w:color="auto" w:fill="auto"/>
            <w:vAlign w:val="center"/>
            <w:hideMark/>
          </w:tcPr>
          <w:p w14:paraId="55088DBF"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42.79</w:t>
            </w:r>
          </w:p>
        </w:tc>
        <w:tc>
          <w:tcPr>
            <w:tcW w:w="1560" w:type="dxa"/>
            <w:tcBorders>
              <w:top w:val="nil"/>
              <w:left w:val="nil"/>
              <w:bottom w:val="single" w:sz="4" w:space="0" w:color="auto"/>
              <w:right w:val="single" w:sz="4" w:space="0" w:color="auto"/>
            </w:tcBorders>
            <w:shd w:val="clear" w:color="auto" w:fill="auto"/>
            <w:vAlign w:val="center"/>
            <w:hideMark/>
          </w:tcPr>
          <w:p w14:paraId="4432AB8F"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53.29</w:t>
            </w:r>
          </w:p>
        </w:tc>
        <w:tc>
          <w:tcPr>
            <w:tcW w:w="1605" w:type="dxa"/>
            <w:tcBorders>
              <w:top w:val="nil"/>
              <w:left w:val="nil"/>
              <w:bottom w:val="single" w:sz="4" w:space="0" w:color="auto"/>
              <w:right w:val="single" w:sz="4" w:space="0" w:color="auto"/>
            </w:tcBorders>
            <w:shd w:val="clear" w:color="auto" w:fill="auto"/>
            <w:vAlign w:val="center"/>
            <w:hideMark/>
          </w:tcPr>
          <w:p w14:paraId="66EC5840" w14:textId="77777777" w:rsidR="00382CE9" w:rsidRPr="00382CE9" w:rsidRDefault="00382CE9" w:rsidP="00382CE9">
            <w:pPr>
              <w:spacing w:after="0" w:line="240" w:lineRule="auto"/>
              <w:jc w:val="center"/>
              <w:rPr>
                <w:rFonts w:ascii="Calibri" w:eastAsia="Times New Roman" w:hAnsi="Calibri" w:cs="Calibri"/>
                <w:color w:val="000000"/>
                <w:lang w:eastAsia="en-GB"/>
              </w:rPr>
            </w:pPr>
            <w:r w:rsidRPr="00382CE9">
              <w:rPr>
                <w:rFonts w:ascii="Calibri" w:eastAsia="Times New Roman" w:hAnsi="Calibri" w:cs="Calibri"/>
                <w:color w:val="000000"/>
                <w:lang w:eastAsia="en-GB"/>
              </w:rPr>
              <w:t>38.64</w:t>
            </w:r>
          </w:p>
        </w:tc>
      </w:tr>
    </w:tbl>
    <w:p w14:paraId="7747FBBA" w14:textId="77777777" w:rsidR="00F44B0E" w:rsidRDefault="00F44B0E" w:rsidP="00F573C2">
      <w:pPr>
        <w:spacing w:line="360" w:lineRule="auto"/>
        <w:jc w:val="both"/>
      </w:pPr>
    </w:p>
    <w:p w14:paraId="0DB1C8C4" w14:textId="3A1FF6B3" w:rsidR="000B7C6C" w:rsidRDefault="002E0F19" w:rsidP="00F573C2">
      <w:pPr>
        <w:spacing w:line="360" w:lineRule="auto"/>
        <w:jc w:val="both"/>
      </w:pPr>
      <w:r>
        <w:fldChar w:fldCharType="begin"/>
      </w:r>
      <w:r>
        <w:instrText xml:space="preserve"> ADDIN ZOTERO_ITEM CSL_CITATION {"citationID":"q5xxZIp4","properties":{"formattedCitation":"(Lu et al. 2012)","plainCitation":"(Lu et al. 2012)","noteIndex":0},"citationItems":[{"id":1765,"uris":["http://zotero.org/users/local/AB2owHL2/items/PKWXSRQG"],"itemData":{"id":1765,"type":"paper-conference","source":"ResearchGate","title":"Iron ore sintering with charcoal","author":[{"family":"Lu","given":"Liming"},{"family":"Adam","given":"Matt"},{"family":"Somerville","given":"Michael"},{"family":"Sarath","given":"Hapugoda"},{"family":"Jahanshahi","given":"Sharif"},{"family":"Mathieson","given":"John"}],"issued":{"date-parts":[["2012",10,14]]}}}],"schema":"https://github.com/citation-style-language/schema/raw/master/csl-citation.json"} </w:instrText>
      </w:r>
      <w:r>
        <w:fldChar w:fldCharType="separate"/>
      </w:r>
      <w:r w:rsidRPr="002E0F19">
        <w:rPr>
          <w:rFonts w:ascii="Calibri" w:hAnsi="Calibri" w:cs="Calibri"/>
        </w:rPr>
        <w:t>(Lu et al. 2012)</w:t>
      </w:r>
      <w:r>
        <w:fldChar w:fldCharType="end"/>
      </w:r>
      <w:r>
        <w:t xml:space="preserve"> </w:t>
      </w:r>
      <w:r w:rsidR="00DC1FDE">
        <w:t xml:space="preserve">explains that </w:t>
      </w:r>
      <w:r w:rsidR="006C73EB">
        <w:t xml:space="preserve">sinter melt </w:t>
      </w:r>
      <w:r w:rsidR="009931DF">
        <w:t xml:space="preserve">starts to form </w:t>
      </w:r>
      <w:r w:rsidR="006C73EB">
        <w:t xml:space="preserve">at </w:t>
      </w:r>
      <w:r w:rsidR="009931DF">
        <w:t>~</w:t>
      </w:r>
      <w:r w:rsidR="006C73EB">
        <w:t>1100</w:t>
      </w:r>
      <w:r w:rsidR="006C73EB" w:rsidRPr="006C73EB">
        <w:rPr>
          <w:vertAlign w:val="superscript"/>
        </w:rPr>
        <w:t>0</w:t>
      </w:r>
      <w:r w:rsidR="006C73EB">
        <w:t>C</w:t>
      </w:r>
      <w:r w:rsidR="009931DF">
        <w:t xml:space="preserve"> </w:t>
      </w:r>
      <w:r w:rsidR="00C20791">
        <w:t>the sinter continues to react with nucleus particles nearby until the</w:t>
      </w:r>
      <w:r w:rsidR="00495582">
        <w:t xml:space="preserve"> reaction zone temperature falls below 1100</w:t>
      </w:r>
      <w:r w:rsidR="00495582" w:rsidRPr="006C73EB">
        <w:rPr>
          <w:vertAlign w:val="superscript"/>
        </w:rPr>
        <w:t>0</w:t>
      </w:r>
      <w:r w:rsidR="00495582">
        <w:t xml:space="preserve">C at which point the sinter </w:t>
      </w:r>
      <w:r w:rsidR="0038092D">
        <w:t xml:space="preserve">melt </w:t>
      </w:r>
      <w:r w:rsidR="00495582">
        <w:t>solidifies.</w:t>
      </w:r>
      <w:r w:rsidR="0038092D">
        <w:t xml:space="preserve"> The time at which the reaction zone </w:t>
      </w:r>
      <w:r w:rsidR="009B590D">
        <w:t>is maintained above 1100</w:t>
      </w:r>
      <w:r w:rsidR="009B590D" w:rsidRPr="006C73EB">
        <w:rPr>
          <w:vertAlign w:val="superscript"/>
        </w:rPr>
        <w:t>0</w:t>
      </w:r>
      <w:r w:rsidR="009B590D">
        <w:t>C is important</w:t>
      </w:r>
      <w:r w:rsidR="004E6E9D">
        <w:t xml:space="preserve">, more time above this temperature </w:t>
      </w:r>
      <w:r w:rsidR="002B6775">
        <w:t xml:space="preserve">leads to </w:t>
      </w:r>
      <w:r w:rsidR="00815702">
        <w:t>a better sinter structure</w:t>
      </w:r>
      <w:r w:rsidR="004651D1">
        <w:t xml:space="preserve">. </w:t>
      </w:r>
    </w:p>
    <w:p w14:paraId="3F355D76" w14:textId="33542A07" w:rsidR="0003083A" w:rsidRDefault="0003083A" w:rsidP="00F573C2">
      <w:pPr>
        <w:spacing w:line="360" w:lineRule="auto"/>
        <w:jc w:val="both"/>
      </w:pPr>
      <w:r>
        <w:t>The sinter pot software</w:t>
      </w:r>
      <w:r w:rsidR="00CF1A1A">
        <w:t xml:space="preserve"> package at port talbot displays the time above 1000</w:t>
      </w:r>
      <w:r w:rsidR="00CF1A1A" w:rsidRPr="00CF1A1A">
        <w:rPr>
          <w:vertAlign w:val="superscript"/>
        </w:rPr>
        <w:t>0</w:t>
      </w:r>
      <w:r w:rsidR="00CF1A1A">
        <w:t>C</w:t>
      </w:r>
      <w:r w:rsidR="009F42A2">
        <w:t xml:space="preserve"> so this measure is used instead.</w:t>
      </w:r>
    </w:p>
    <w:p w14:paraId="3530F41A" w14:textId="42AC438A" w:rsidR="00364531" w:rsidRDefault="0084674E" w:rsidP="00035933">
      <w:pPr>
        <w:spacing w:line="360" w:lineRule="auto"/>
        <w:jc w:val="both"/>
      </w:pPr>
      <w:r>
        <w:t xml:space="preserve">Table 15 contains the sintering characteristics for the biochar 1 tests. </w:t>
      </w:r>
      <w:r w:rsidR="005E6A37">
        <w:t>Although the base</w:t>
      </w:r>
      <w:r w:rsidR="0061339F">
        <w:t xml:space="preserve"> </w:t>
      </w:r>
      <w:r w:rsidR="005E6A37">
        <w:t xml:space="preserve">blend </w:t>
      </w:r>
      <w:r w:rsidR="0093214F">
        <w:t>had the highest peak temperature</w:t>
      </w:r>
      <w:r w:rsidR="00D26848">
        <w:t xml:space="preserve"> at 1313.05</w:t>
      </w:r>
      <w:r w:rsidR="00D26848" w:rsidRPr="00891D6F">
        <w:rPr>
          <w:vertAlign w:val="superscript"/>
        </w:rPr>
        <w:t>0</w:t>
      </w:r>
      <w:r w:rsidR="00D26848">
        <w:t>C</w:t>
      </w:r>
      <w:r w:rsidR="0093214F">
        <w:t>, th</w:t>
      </w:r>
      <w:r w:rsidR="001C432D">
        <w:t>is only occurred at one thermocouple</w:t>
      </w:r>
      <w:r w:rsidR="00D26848">
        <w:t>,</w:t>
      </w:r>
      <w:r w:rsidR="00111965">
        <w:t xml:space="preserve"> the average peak </w:t>
      </w:r>
      <w:r w:rsidR="00035933">
        <w:t>temperature was</w:t>
      </w:r>
      <w:r w:rsidR="00891D6F">
        <w:t xml:space="preserve"> 1152.76</w:t>
      </w:r>
      <w:r w:rsidR="00891D6F" w:rsidRPr="00891D6F">
        <w:rPr>
          <w:vertAlign w:val="superscript"/>
        </w:rPr>
        <w:t>0</w:t>
      </w:r>
      <w:r w:rsidR="00891D6F">
        <w:t>C</w:t>
      </w:r>
      <w:r w:rsidR="00242192">
        <w:t xml:space="preserve">, the 25% biochar 1 blend had a slightly lower max temperature and slightly </w:t>
      </w:r>
      <w:r w:rsidR="00345F6E">
        <w:t xml:space="preserve">higher average. </w:t>
      </w:r>
      <w:r w:rsidR="00164402">
        <w:t xml:space="preserve">Biochar 1 (50%) had the highest peak temperature and </w:t>
      </w:r>
      <w:r w:rsidR="00C170A5">
        <w:t xml:space="preserve">highest average temperature. </w:t>
      </w:r>
      <w:r w:rsidR="002708EE">
        <w:t>Biochar 1 (75%) had significantly lower results in both the maximum and average temperatures</w:t>
      </w:r>
      <w:r w:rsidR="00BB534F">
        <w:t>.</w:t>
      </w:r>
      <w:r w:rsidR="002708EE">
        <w:t xml:space="preserve"> </w:t>
      </w:r>
      <w:r w:rsidR="001E0BA6">
        <w:t xml:space="preserve"> </w:t>
      </w:r>
      <w:r w:rsidR="0058146A">
        <w:t>The average time above 1000</w:t>
      </w:r>
      <w:r w:rsidR="0058146A" w:rsidRPr="0058146A">
        <w:rPr>
          <w:vertAlign w:val="superscript"/>
        </w:rPr>
        <w:t>0</w:t>
      </w:r>
      <w:r w:rsidR="0058146A">
        <w:t xml:space="preserve">C </w:t>
      </w:r>
      <w:r w:rsidR="007E0AC8">
        <w:t>seems to be trending downwards as more biochar is added</w:t>
      </w:r>
      <w:r w:rsidR="00162F10">
        <w:t xml:space="preserve">, however biochar 1 50% has the longest time above </w:t>
      </w:r>
      <w:r w:rsidR="00D42D8C">
        <w:t>1000</w:t>
      </w:r>
      <w:r w:rsidR="00D42D8C" w:rsidRPr="0058146A">
        <w:rPr>
          <w:vertAlign w:val="superscript"/>
        </w:rPr>
        <w:t>0</w:t>
      </w:r>
      <w:r w:rsidR="00D42D8C">
        <w:t>C and does not follow the trend.</w:t>
      </w:r>
    </w:p>
    <w:p w14:paraId="0487998A" w14:textId="4A485E68" w:rsidR="00515F9F" w:rsidRDefault="006B0787" w:rsidP="00994C7E">
      <w:pPr>
        <w:spacing w:line="360" w:lineRule="auto"/>
        <w:jc w:val="both"/>
      </w:pPr>
      <w:r>
        <w:t xml:space="preserve">The sintering time </w:t>
      </w:r>
      <w:r w:rsidR="00661876">
        <w:t>for biochar addition 25% and 50% are</w:t>
      </w:r>
      <w:r w:rsidR="007476E4">
        <w:t xml:space="preserve"> lower than the base blend but the 75% </w:t>
      </w:r>
      <w:r w:rsidR="00745AD7">
        <w:t>biochar addition took longer.</w:t>
      </w:r>
      <w:r w:rsidR="00E133F6">
        <w:t xml:space="preserve"> The flame front speed</w:t>
      </w:r>
      <w:r w:rsidR="00026B29">
        <w:t xml:space="preserve"> (FFS)</w:t>
      </w:r>
      <w:r w:rsidR="00C91389">
        <w:t xml:space="preserve"> is</w:t>
      </w:r>
      <w:r w:rsidR="00191EBD">
        <w:t xml:space="preserve"> </w:t>
      </w:r>
      <w:r w:rsidR="005C30AF">
        <w:t xml:space="preserve">calculated by dividing the bed height (mm) by the time taken </w:t>
      </w:r>
      <w:r w:rsidR="002618CA">
        <w:t>for waste gas temperature to peak, indicating burn through</w:t>
      </w:r>
      <w:r w:rsidR="00026B29">
        <w:t>. FFS is influenced by</w:t>
      </w:r>
      <w:r w:rsidR="00915DFB">
        <w:t xml:space="preserve"> factors including</w:t>
      </w:r>
      <w:r w:rsidR="00026B29">
        <w:t xml:space="preserve"> </w:t>
      </w:r>
      <w:r w:rsidR="008A5C72">
        <w:t xml:space="preserve">bed permeability, </w:t>
      </w:r>
      <w:r w:rsidR="00915DFB">
        <w:t>permeability</w:t>
      </w:r>
      <w:r w:rsidR="008A5C72">
        <w:t xml:space="preserve"> of the reaction zone</w:t>
      </w:r>
      <w:r w:rsidR="00915DFB">
        <w:t xml:space="preserve"> and</w:t>
      </w:r>
      <w:r w:rsidR="008A5C72">
        <w:t xml:space="preserve"> fuel combustion rate</w:t>
      </w:r>
      <w:r w:rsidR="006C458F">
        <w:t xml:space="preserve"> </w:t>
      </w:r>
      <w:r w:rsidR="006C458F">
        <w:fldChar w:fldCharType="begin"/>
      </w:r>
      <w:r w:rsidR="006C458F">
        <w:instrText xml:space="preserve"> ADDIN ZOTERO_ITEM CSL_CITATION {"citationID":"5GfxEKaU","properties":{"formattedCitation":"(Lovel et al. 2009)","plainCitation":"(Lovel et al. 2009)","noteIndex":0},"citationItems":[{"id":1891,"uris":["http://zotero.org/users/local/AB2owHL2/items/FS9T3BMI"],"itemData":{"id":1891,"type":"article-journal","container-title":"ISIJ International","DOI":"10.2355/isijinternational.49.195","ISSN":"0915-1559, 1347-5460","issue":"2","journalAbbreviation":"ISIJ Int.","language":"en","page":"195-202","source":"DOI.org (Crossref)","title":"The Influence of Fuel Reactivity on Iron Ore Sintering","URL":"http://www.jstage.jst.go.jp/article/isijinternational/49/2/49_2_195/_article","volume":"49","author":[{"family":"Lovel","given":"Roy R."},{"family":"Vining","given":"Keith R."},{"family":"Dell 'amico","given":"Mark"}],"accessed":{"date-parts":[["2022",8,18]]},"issued":{"date-parts":[["2009"]]}}}],"schema":"https://github.com/citation-style-language/schema/raw/master/csl-citation.json"} </w:instrText>
      </w:r>
      <w:r w:rsidR="006C458F">
        <w:fldChar w:fldCharType="separate"/>
      </w:r>
      <w:r w:rsidR="006C458F" w:rsidRPr="006C458F">
        <w:rPr>
          <w:rFonts w:ascii="Calibri" w:hAnsi="Calibri" w:cs="Calibri"/>
        </w:rPr>
        <w:t xml:space="preserve">(Lovel </w:t>
      </w:r>
      <w:r w:rsidR="006C458F" w:rsidRPr="006C458F">
        <w:rPr>
          <w:rFonts w:ascii="Calibri" w:hAnsi="Calibri" w:cs="Calibri"/>
        </w:rPr>
        <w:lastRenderedPageBreak/>
        <w:t>et al. 2009)</w:t>
      </w:r>
      <w:r w:rsidR="006C458F">
        <w:fldChar w:fldCharType="end"/>
      </w:r>
      <w:r w:rsidR="00915DFB">
        <w:t>.</w:t>
      </w:r>
      <w:r w:rsidR="004B2CA2">
        <w:t xml:space="preserve"> The </w:t>
      </w:r>
      <w:r w:rsidR="00AD28EE">
        <w:t>FFS</w:t>
      </w:r>
      <w:r w:rsidR="004B2CA2">
        <w:t xml:space="preserve"> was 0.33 mm/s for the base</w:t>
      </w:r>
      <w:r w:rsidR="00EE3E66">
        <w:t xml:space="preserve"> </w:t>
      </w:r>
      <w:r w:rsidR="004B2CA2">
        <w:t>blend and was lower for the 25%</w:t>
      </w:r>
      <w:r w:rsidR="00E83175">
        <w:t xml:space="preserve"> and</w:t>
      </w:r>
      <w:r w:rsidR="00033480">
        <w:t xml:space="preserve"> </w:t>
      </w:r>
      <w:r w:rsidR="00E83175">
        <w:t>75%</w:t>
      </w:r>
      <w:r w:rsidR="004B2CA2">
        <w:t xml:space="preserve"> blend</w:t>
      </w:r>
      <w:r w:rsidR="00E83175">
        <w:t>s</w:t>
      </w:r>
      <w:r w:rsidR="004B2CA2">
        <w:t xml:space="preserve">. Again the 50% blend had a higher result. </w:t>
      </w:r>
    </w:p>
    <w:p w14:paraId="042C9AE7" w14:textId="295C056C" w:rsidR="00D874D1" w:rsidRDefault="00D874D1" w:rsidP="00994C7E">
      <w:pPr>
        <w:spacing w:line="360" w:lineRule="auto"/>
        <w:jc w:val="both"/>
      </w:pPr>
      <w:r>
        <w:t xml:space="preserve">Sinter </w:t>
      </w:r>
      <w:r w:rsidR="00E83175">
        <w:t xml:space="preserve">yield is calculated by </w:t>
      </w:r>
      <w:r w:rsidR="00C22E77">
        <w:t>measuring the sinter above 5mm after screening</w:t>
      </w:r>
      <w:r w:rsidR="00CA62C2">
        <w:t xml:space="preserve"> </w:t>
      </w:r>
      <w:r w:rsidR="00CA62C2">
        <w:fldChar w:fldCharType="begin"/>
      </w:r>
      <w:r w:rsidR="00CA62C2">
        <w:instrText xml:space="preserve"> ADDIN ZOTERO_ITEM CSL_CITATION {"citationID":"9fxfurYi","properties":{"formattedCitation":"(Ooi et al. 2011)","plainCitation":"(Ooi et al. 2011)","noteIndex":0},"citationItems":[{"id":1810,"uris":["http://zotero.org/users/local/AB2owHL2/items/REBK9MRP"],"itemData":{"id":1810,"type":"article-journal","abstract":"A study was carried out into the use of hardwood charcoal as a supplementary fuel in the iron-ore sintering process. The primary fuel was coke breeze with 0%, 20%, 50% and 100% replacement of the energy input with charcoal to produce raw blends with the same heat output as 4.0wt.% coke breeze. Experimental results indicate that fuel blends where 20% of the heat input was provided by charcoal may improve both the sinter yield and sintering productivity by up to 8%, under normal sintering conditions. In addition, the 20% replacement of coke energy with charcoal would mean that part of the carbon dioxide emitted from the process would be from a renewable source and could be used to offset carbon dioxide emissions from non-renewable fossil fuels. At higher rates of coke breeze energy substitution with charcoal, the lower sintering performance observed was mainly attributed to the lower fixed carbon content and higher volatile matter content of the fuel mix. At the optimum rate of 20% substitution of coke breeze energy input with charcoal, the emission of dioxins were similar to those observed with coke breeze alone as the fuel. However, sintering with 20% energy input from charcoal resulted in a slight increase in middle molecular weight and lower molecular weight PAHs, contributing to a minor increase in B[a]P-eq from 0.15μg/m3 to 0.17μg/m3. Overall the results from the laboratory scale tests suggest that it is feasible to substitute 20% of the coke breeze energy input with an equivalent amount of energy from charcoal in the iron-ore sintering process.","container-title":"Combustion and Flame","DOI":"10.1016/j.combustflame.2011.01.020","ISSN":"0010-2180","issue":"5","journalAbbreviation":"Combustion and Flame","language":"en","page":"979-987","source":"ScienceDirect","title":"The effect of charcoal combustion on iron-ore sintering performance and emission of persistent organic pollutants","URL":"https://www.sciencedirect.com/science/article/pii/S0010218011000356","volume":"158","author":[{"family":"Ooi","given":"Tze Chean"},{"family":"Thompson","given":"Dennis"},{"family":"Anderson","given":"David R."},{"family":"Fisher","given":"Ray"},{"family":"Fray","given":"Trevor"},{"family":"Zandi","given":"Mohammad"}],"accessed":{"date-parts":[["2022",7,21]]},"issued":{"date-parts":[["2011",5,1]]}}}],"schema":"https://github.com/citation-style-language/schema/raw/master/csl-citation.json"} </w:instrText>
      </w:r>
      <w:r w:rsidR="00CA62C2">
        <w:fldChar w:fldCharType="separate"/>
      </w:r>
      <w:r w:rsidR="00CA62C2" w:rsidRPr="00CA62C2">
        <w:rPr>
          <w:rFonts w:ascii="Calibri" w:hAnsi="Calibri" w:cs="Calibri"/>
        </w:rPr>
        <w:t>(Ooi et al. 2011)</w:t>
      </w:r>
      <w:r w:rsidR="00CA62C2">
        <w:fldChar w:fldCharType="end"/>
      </w:r>
      <w:r w:rsidR="00FA4835">
        <w:t>.</w:t>
      </w:r>
      <w:r w:rsidR="00CA62C2">
        <w:t xml:space="preserve"> </w:t>
      </w:r>
      <w:r w:rsidR="00100BE1">
        <w:t xml:space="preserve">The sintering tests show a </w:t>
      </w:r>
      <w:r w:rsidR="007E3254">
        <w:t xml:space="preserve">general </w:t>
      </w:r>
      <w:r w:rsidR="00100BE1">
        <w:t xml:space="preserve">decrease in yield as the </w:t>
      </w:r>
      <w:r w:rsidR="007E3254">
        <w:t>amount of biochar decreases, with the 50% biochar an exception.</w:t>
      </w:r>
    </w:p>
    <w:p w14:paraId="43CC1429" w14:textId="04845C05" w:rsidR="003F19E9" w:rsidRDefault="0099563E" w:rsidP="00994C7E">
      <w:pPr>
        <w:spacing w:line="360" w:lineRule="auto"/>
        <w:jc w:val="both"/>
      </w:pPr>
      <w:r>
        <w:t xml:space="preserve">The literature </w:t>
      </w:r>
      <w:r w:rsidR="00651896">
        <w:t xml:space="preserve">predictions of </w:t>
      </w:r>
      <w:r w:rsidR="003A2D82">
        <w:t>decreased peak temperature</w:t>
      </w:r>
      <w:r w:rsidR="004B2EC1">
        <w:t xml:space="preserve">, </w:t>
      </w:r>
      <w:r w:rsidR="003A2D82">
        <w:t>shorte</w:t>
      </w:r>
      <w:r w:rsidR="00941D8A">
        <w:t>r time held at</w:t>
      </w:r>
      <w:r w:rsidR="003A2D82">
        <w:t xml:space="preserve"> temperatures above 1000</w:t>
      </w:r>
      <w:r w:rsidR="003A2D82" w:rsidRPr="00CF1A1A">
        <w:rPr>
          <w:vertAlign w:val="superscript"/>
        </w:rPr>
        <w:t>0</w:t>
      </w:r>
      <w:r w:rsidR="003A2D82">
        <w:t>C</w:t>
      </w:r>
      <w:r w:rsidR="00F93E91">
        <w:t>,</w:t>
      </w:r>
      <w:r w:rsidR="00966F57">
        <w:t xml:space="preserve"> increased flame front speed</w:t>
      </w:r>
      <w:r w:rsidR="008B4914">
        <w:t xml:space="preserve"> </w:t>
      </w:r>
      <w:r w:rsidR="00F93E91">
        <w:t xml:space="preserve">and </w:t>
      </w:r>
      <w:r w:rsidR="00891C46">
        <w:t>decreased</w:t>
      </w:r>
      <w:r w:rsidR="00F93E91">
        <w:t xml:space="preserve"> yield are</w:t>
      </w:r>
      <w:r w:rsidR="004D7FCA">
        <w:t xml:space="preserve"> mostly</w:t>
      </w:r>
      <w:r w:rsidR="00F93E91">
        <w:t xml:space="preserve"> </w:t>
      </w:r>
      <w:r w:rsidR="00667716">
        <w:t>followed</w:t>
      </w:r>
      <w:r w:rsidR="00A768FD">
        <w:t xml:space="preserve">, </w:t>
      </w:r>
      <w:proofErr w:type="gramStart"/>
      <w:r w:rsidR="00A768FD">
        <w:t>with the exception of</w:t>
      </w:r>
      <w:proofErr w:type="gramEnd"/>
      <w:r w:rsidR="00A768FD">
        <w:t xml:space="preserve"> the 50% biochar result</w:t>
      </w:r>
      <w:r w:rsidR="006D1555">
        <w:t>s</w:t>
      </w:r>
      <w:r w:rsidR="00A768FD">
        <w:t>.</w:t>
      </w:r>
    </w:p>
    <w:p w14:paraId="6CD9D6BB" w14:textId="724EAF9C" w:rsidR="00F6096B" w:rsidRDefault="005778DF" w:rsidP="00994C7E">
      <w:pPr>
        <w:spacing w:line="360" w:lineRule="auto"/>
        <w:jc w:val="both"/>
      </w:pPr>
      <w:r w:rsidRPr="005778DF">
        <w:rPr>
          <w:noProof/>
        </w:rPr>
        <w:drawing>
          <wp:inline distT="0" distB="0" distL="0" distR="0" wp14:anchorId="4FB3F838" wp14:editId="091AA42E">
            <wp:extent cx="5731510" cy="3014345"/>
            <wp:effectExtent l="0" t="0" r="2540" b="0"/>
            <wp:docPr id="155" name="Picture 15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Chart, line chart&#10;&#10;Description automatically generated"/>
                    <pic:cNvPicPr/>
                  </pic:nvPicPr>
                  <pic:blipFill>
                    <a:blip r:embed="rId70"/>
                    <a:stretch>
                      <a:fillRect/>
                    </a:stretch>
                  </pic:blipFill>
                  <pic:spPr>
                    <a:xfrm>
                      <a:off x="0" y="0"/>
                      <a:ext cx="5731510" cy="3014345"/>
                    </a:xfrm>
                    <a:prstGeom prst="rect">
                      <a:avLst/>
                    </a:prstGeom>
                  </pic:spPr>
                </pic:pic>
              </a:graphicData>
            </a:graphic>
          </wp:inline>
        </w:drawing>
      </w:r>
    </w:p>
    <w:p w14:paraId="7AEDA946" w14:textId="0BE5F53A" w:rsidR="00461E9E" w:rsidRDefault="00F6096B" w:rsidP="00F6096B">
      <w:pPr>
        <w:pStyle w:val="Caption"/>
      </w:pPr>
      <w:bookmarkStart w:id="96" w:name="_Toc127110937"/>
      <w:r>
        <w:t xml:space="preserve">Figure </w:t>
      </w:r>
      <w:fldSimple w:instr=" SEQ Figure \* ARABIC ">
        <w:r w:rsidR="00A0212F">
          <w:rPr>
            <w:noProof/>
          </w:rPr>
          <w:t>43</w:t>
        </w:r>
      </w:fldSimple>
      <w:r>
        <w:t xml:space="preserve"> Cold and hot permeability graphs</w:t>
      </w:r>
      <w:r w:rsidR="004176F7">
        <w:t xml:space="preserve"> – Biochar 1</w:t>
      </w:r>
      <w:bookmarkEnd w:id="96"/>
    </w:p>
    <w:p w14:paraId="0D3D6134" w14:textId="1B78E8B4" w:rsidR="004E046A" w:rsidRDefault="004E046A" w:rsidP="004E046A">
      <w:pPr>
        <w:pStyle w:val="Caption"/>
        <w:jc w:val="center"/>
      </w:pPr>
      <w:r>
        <w:t xml:space="preserve">Table </w:t>
      </w:r>
      <w:fldSimple w:instr=" SEQ Table \* ARABIC ">
        <w:r w:rsidR="00DA2639">
          <w:rPr>
            <w:noProof/>
          </w:rPr>
          <w:t>16</w:t>
        </w:r>
      </w:fldSimple>
      <w:r>
        <w:t xml:space="preserve"> Sintering air flows– Biochar 1</w:t>
      </w:r>
    </w:p>
    <w:tbl>
      <w:tblPr>
        <w:tblW w:w="9037" w:type="dxa"/>
        <w:tblLook w:val="04A0" w:firstRow="1" w:lastRow="0" w:firstColumn="1" w:lastColumn="0" w:noHBand="0" w:noVBand="1"/>
      </w:tblPr>
      <w:tblGrid>
        <w:gridCol w:w="1974"/>
        <w:gridCol w:w="1752"/>
        <w:gridCol w:w="1919"/>
        <w:gridCol w:w="1919"/>
        <w:gridCol w:w="1473"/>
      </w:tblGrid>
      <w:tr w:rsidR="004E046A" w:rsidRPr="003B32EF" w14:paraId="166AB8C9" w14:textId="77777777" w:rsidTr="0063053C">
        <w:trPr>
          <w:trHeight w:val="405"/>
        </w:trPr>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6BD2B"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Process Parameters</w:t>
            </w:r>
          </w:p>
        </w:tc>
        <w:tc>
          <w:tcPr>
            <w:tcW w:w="1752" w:type="dxa"/>
            <w:tcBorders>
              <w:top w:val="single" w:sz="4" w:space="0" w:color="auto"/>
              <w:left w:val="nil"/>
              <w:bottom w:val="single" w:sz="4" w:space="0" w:color="auto"/>
              <w:right w:val="single" w:sz="4" w:space="0" w:color="auto"/>
            </w:tcBorders>
            <w:shd w:val="clear" w:color="auto" w:fill="auto"/>
            <w:vAlign w:val="center"/>
            <w:hideMark/>
          </w:tcPr>
          <w:p w14:paraId="1153D3B8"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Coke breeze 100%</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57EDFD0E"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Biochar 1 (25%)</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6011D94D"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Biochar 1 (50%)</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14:paraId="27CA494C"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Biochar 1 (75%)</w:t>
            </w:r>
          </w:p>
        </w:tc>
      </w:tr>
      <w:tr w:rsidR="004E046A" w:rsidRPr="003B32EF" w14:paraId="41FA19D9" w14:textId="77777777" w:rsidTr="0063053C">
        <w:trPr>
          <w:trHeight w:val="580"/>
        </w:trPr>
        <w:tc>
          <w:tcPr>
            <w:tcW w:w="1974" w:type="dxa"/>
            <w:tcBorders>
              <w:top w:val="nil"/>
              <w:left w:val="single" w:sz="4" w:space="0" w:color="auto"/>
              <w:bottom w:val="single" w:sz="4" w:space="0" w:color="auto"/>
              <w:right w:val="single" w:sz="4" w:space="0" w:color="auto"/>
            </w:tcBorders>
            <w:shd w:val="clear" w:color="auto" w:fill="auto"/>
            <w:vAlign w:val="center"/>
            <w:hideMark/>
          </w:tcPr>
          <w:p w14:paraId="173FB823"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Hot Flow Average (m</w:t>
            </w:r>
            <w:r w:rsidRPr="003B32EF">
              <w:rPr>
                <w:rFonts w:ascii="Calibri" w:eastAsia="Times New Roman" w:hAnsi="Calibri" w:cs="Calibri"/>
                <w:color w:val="000000"/>
                <w:vertAlign w:val="superscript"/>
                <w:lang w:eastAsia="en-GB"/>
              </w:rPr>
              <w:t>3</w:t>
            </w:r>
            <w:r w:rsidRPr="003B32EF">
              <w:rPr>
                <w:rFonts w:ascii="Calibri" w:eastAsia="Times New Roman" w:hAnsi="Calibri" w:cs="Calibri"/>
                <w:color w:val="000000"/>
                <w:lang w:eastAsia="en-GB"/>
              </w:rPr>
              <w:t>/hr)</w:t>
            </w:r>
          </w:p>
        </w:tc>
        <w:tc>
          <w:tcPr>
            <w:tcW w:w="1752" w:type="dxa"/>
            <w:tcBorders>
              <w:top w:val="nil"/>
              <w:left w:val="nil"/>
              <w:bottom w:val="single" w:sz="4" w:space="0" w:color="auto"/>
              <w:right w:val="single" w:sz="4" w:space="0" w:color="auto"/>
            </w:tcBorders>
            <w:shd w:val="clear" w:color="auto" w:fill="auto"/>
            <w:vAlign w:val="center"/>
            <w:hideMark/>
          </w:tcPr>
          <w:p w14:paraId="0287C446"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5.76</w:t>
            </w:r>
          </w:p>
        </w:tc>
        <w:tc>
          <w:tcPr>
            <w:tcW w:w="1919" w:type="dxa"/>
            <w:tcBorders>
              <w:top w:val="nil"/>
              <w:left w:val="nil"/>
              <w:bottom w:val="single" w:sz="4" w:space="0" w:color="auto"/>
              <w:right w:val="single" w:sz="4" w:space="0" w:color="auto"/>
            </w:tcBorders>
            <w:shd w:val="clear" w:color="auto" w:fill="auto"/>
            <w:vAlign w:val="center"/>
            <w:hideMark/>
          </w:tcPr>
          <w:p w14:paraId="2D8175B1"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5.41</w:t>
            </w:r>
          </w:p>
        </w:tc>
        <w:tc>
          <w:tcPr>
            <w:tcW w:w="1919" w:type="dxa"/>
            <w:tcBorders>
              <w:top w:val="nil"/>
              <w:left w:val="nil"/>
              <w:bottom w:val="single" w:sz="4" w:space="0" w:color="auto"/>
              <w:right w:val="single" w:sz="4" w:space="0" w:color="auto"/>
            </w:tcBorders>
            <w:shd w:val="clear" w:color="auto" w:fill="auto"/>
            <w:vAlign w:val="center"/>
            <w:hideMark/>
          </w:tcPr>
          <w:p w14:paraId="5A8CCCFC"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5.47</w:t>
            </w:r>
          </w:p>
        </w:tc>
        <w:tc>
          <w:tcPr>
            <w:tcW w:w="1473" w:type="dxa"/>
            <w:tcBorders>
              <w:top w:val="nil"/>
              <w:left w:val="nil"/>
              <w:bottom w:val="single" w:sz="4" w:space="0" w:color="auto"/>
              <w:right w:val="single" w:sz="4" w:space="0" w:color="auto"/>
            </w:tcBorders>
            <w:shd w:val="clear" w:color="auto" w:fill="auto"/>
            <w:vAlign w:val="center"/>
            <w:hideMark/>
          </w:tcPr>
          <w:p w14:paraId="66A0CD8A"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4.08</w:t>
            </w:r>
          </w:p>
        </w:tc>
      </w:tr>
      <w:tr w:rsidR="004E046A" w:rsidRPr="003B32EF" w14:paraId="4A4DA3D7" w14:textId="77777777" w:rsidTr="0063053C">
        <w:trPr>
          <w:trHeight w:val="580"/>
        </w:trPr>
        <w:tc>
          <w:tcPr>
            <w:tcW w:w="1974" w:type="dxa"/>
            <w:tcBorders>
              <w:top w:val="nil"/>
              <w:left w:val="single" w:sz="4" w:space="0" w:color="auto"/>
              <w:bottom w:val="single" w:sz="4" w:space="0" w:color="auto"/>
              <w:right w:val="single" w:sz="4" w:space="0" w:color="auto"/>
            </w:tcBorders>
            <w:shd w:val="clear" w:color="auto" w:fill="auto"/>
            <w:vAlign w:val="center"/>
            <w:hideMark/>
          </w:tcPr>
          <w:p w14:paraId="32BE7732"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Cold Flow Average (m</w:t>
            </w:r>
            <w:r w:rsidRPr="003B32EF">
              <w:rPr>
                <w:rFonts w:ascii="Calibri" w:eastAsia="Times New Roman" w:hAnsi="Calibri" w:cs="Calibri"/>
                <w:color w:val="000000"/>
                <w:vertAlign w:val="superscript"/>
                <w:lang w:eastAsia="en-GB"/>
              </w:rPr>
              <w:t>3</w:t>
            </w:r>
            <w:r w:rsidRPr="003B32EF">
              <w:rPr>
                <w:rFonts w:ascii="Calibri" w:eastAsia="Times New Roman" w:hAnsi="Calibri" w:cs="Calibri"/>
                <w:color w:val="000000"/>
                <w:lang w:eastAsia="en-GB"/>
              </w:rPr>
              <w:t>/hr)</w:t>
            </w:r>
          </w:p>
        </w:tc>
        <w:tc>
          <w:tcPr>
            <w:tcW w:w="1752" w:type="dxa"/>
            <w:tcBorders>
              <w:top w:val="nil"/>
              <w:left w:val="nil"/>
              <w:bottom w:val="single" w:sz="4" w:space="0" w:color="auto"/>
              <w:right w:val="single" w:sz="4" w:space="0" w:color="auto"/>
            </w:tcBorders>
            <w:shd w:val="clear" w:color="auto" w:fill="auto"/>
            <w:vAlign w:val="center"/>
            <w:hideMark/>
          </w:tcPr>
          <w:p w14:paraId="4FEF7914"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7.79</w:t>
            </w:r>
          </w:p>
        </w:tc>
        <w:tc>
          <w:tcPr>
            <w:tcW w:w="1919" w:type="dxa"/>
            <w:tcBorders>
              <w:top w:val="nil"/>
              <w:left w:val="nil"/>
              <w:bottom w:val="single" w:sz="4" w:space="0" w:color="auto"/>
              <w:right w:val="single" w:sz="4" w:space="0" w:color="auto"/>
            </w:tcBorders>
            <w:shd w:val="clear" w:color="auto" w:fill="auto"/>
            <w:vAlign w:val="center"/>
            <w:hideMark/>
          </w:tcPr>
          <w:p w14:paraId="3104CBC8"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7.79</w:t>
            </w:r>
          </w:p>
        </w:tc>
        <w:tc>
          <w:tcPr>
            <w:tcW w:w="1919" w:type="dxa"/>
            <w:tcBorders>
              <w:top w:val="nil"/>
              <w:left w:val="nil"/>
              <w:bottom w:val="single" w:sz="4" w:space="0" w:color="auto"/>
              <w:right w:val="single" w:sz="4" w:space="0" w:color="auto"/>
            </w:tcBorders>
            <w:shd w:val="clear" w:color="auto" w:fill="auto"/>
            <w:vAlign w:val="center"/>
            <w:hideMark/>
          </w:tcPr>
          <w:p w14:paraId="200A977E"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8.09</w:t>
            </w:r>
          </w:p>
        </w:tc>
        <w:tc>
          <w:tcPr>
            <w:tcW w:w="1473" w:type="dxa"/>
            <w:tcBorders>
              <w:top w:val="nil"/>
              <w:left w:val="nil"/>
              <w:bottom w:val="single" w:sz="4" w:space="0" w:color="auto"/>
              <w:right w:val="single" w:sz="4" w:space="0" w:color="auto"/>
            </w:tcBorders>
            <w:shd w:val="clear" w:color="auto" w:fill="auto"/>
            <w:vAlign w:val="center"/>
            <w:hideMark/>
          </w:tcPr>
          <w:p w14:paraId="51627C76"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6.14</w:t>
            </w:r>
          </w:p>
        </w:tc>
      </w:tr>
      <w:tr w:rsidR="004E046A" w:rsidRPr="003B32EF" w14:paraId="6F2F10E7" w14:textId="77777777" w:rsidTr="0063053C">
        <w:trPr>
          <w:trHeight w:val="396"/>
        </w:trPr>
        <w:tc>
          <w:tcPr>
            <w:tcW w:w="1974" w:type="dxa"/>
            <w:tcBorders>
              <w:top w:val="nil"/>
              <w:left w:val="single" w:sz="4" w:space="0" w:color="auto"/>
              <w:bottom w:val="single" w:sz="4" w:space="0" w:color="auto"/>
              <w:right w:val="single" w:sz="4" w:space="0" w:color="auto"/>
            </w:tcBorders>
            <w:shd w:val="clear" w:color="auto" w:fill="auto"/>
            <w:vAlign w:val="center"/>
            <w:hideMark/>
          </w:tcPr>
          <w:p w14:paraId="1F935B4E"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Sintered Air Flow (m</w:t>
            </w:r>
            <w:r w:rsidRPr="003B32EF">
              <w:rPr>
                <w:rFonts w:ascii="Calibri" w:eastAsia="Times New Roman" w:hAnsi="Calibri" w:cs="Calibri"/>
                <w:color w:val="000000"/>
                <w:vertAlign w:val="superscript"/>
                <w:lang w:eastAsia="en-GB"/>
              </w:rPr>
              <w:t>3</w:t>
            </w:r>
            <w:r w:rsidRPr="003B32EF">
              <w:rPr>
                <w:rFonts w:ascii="Calibri" w:eastAsia="Times New Roman" w:hAnsi="Calibri" w:cs="Calibri"/>
                <w:color w:val="000000"/>
                <w:lang w:eastAsia="en-GB"/>
              </w:rPr>
              <w:t>/hr)</w:t>
            </w:r>
          </w:p>
        </w:tc>
        <w:tc>
          <w:tcPr>
            <w:tcW w:w="1752" w:type="dxa"/>
            <w:tcBorders>
              <w:top w:val="nil"/>
              <w:left w:val="nil"/>
              <w:bottom w:val="single" w:sz="4" w:space="0" w:color="auto"/>
              <w:right w:val="single" w:sz="4" w:space="0" w:color="auto"/>
            </w:tcBorders>
            <w:shd w:val="clear" w:color="auto" w:fill="auto"/>
            <w:vAlign w:val="center"/>
            <w:hideMark/>
          </w:tcPr>
          <w:p w14:paraId="73227DE6"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23.92</w:t>
            </w:r>
          </w:p>
        </w:tc>
        <w:tc>
          <w:tcPr>
            <w:tcW w:w="1919" w:type="dxa"/>
            <w:tcBorders>
              <w:top w:val="nil"/>
              <w:left w:val="nil"/>
              <w:bottom w:val="single" w:sz="4" w:space="0" w:color="auto"/>
              <w:right w:val="single" w:sz="4" w:space="0" w:color="auto"/>
            </w:tcBorders>
            <w:shd w:val="clear" w:color="auto" w:fill="auto"/>
            <w:vAlign w:val="center"/>
            <w:hideMark/>
          </w:tcPr>
          <w:p w14:paraId="0D44D419"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18.23</w:t>
            </w:r>
          </w:p>
        </w:tc>
        <w:tc>
          <w:tcPr>
            <w:tcW w:w="1919" w:type="dxa"/>
            <w:tcBorders>
              <w:top w:val="nil"/>
              <w:left w:val="nil"/>
              <w:bottom w:val="single" w:sz="4" w:space="0" w:color="auto"/>
              <w:right w:val="single" w:sz="4" w:space="0" w:color="auto"/>
            </w:tcBorders>
            <w:shd w:val="clear" w:color="auto" w:fill="auto"/>
            <w:vAlign w:val="center"/>
            <w:hideMark/>
          </w:tcPr>
          <w:p w14:paraId="24897A28"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28.09</w:t>
            </w:r>
          </w:p>
        </w:tc>
        <w:tc>
          <w:tcPr>
            <w:tcW w:w="1473" w:type="dxa"/>
            <w:tcBorders>
              <w:top w:val="nil"/>
              <w:left w:val="nil"/>
              <w:bottom w:val="single" w:sz="4" w:space="0" w:color="auto"/>
              <w:right w:val="single" w:sz="4" w:space="0" w:color="auto"/>
            </w:tcBorders>
            <w:shd w:val="clear" w:color="auto" w:fill="auto"/>
            <w:vAlign w:val="center"/>
            <w:hideMark/>
          </w:tcPr>
          <w:p w14:paraId="4920176A" w14:textId="77777777" w:rsidR="004E046A" w:rsidRPr="003B32EF" w:rsidRDefault="004E046A" w:rsidP="003E3487">
            <w:pPr>
              <w:spacing w:after="0" w:line="240" w:lineRule="auto"/>
              <w:jc w:val="center"/>
              <w:rPr>
                <w:rFonts w:ascii="Calibri" w:eastAsia="Times New Roman" w:hAnsi="Calibri" w:cs="Calibri"/>
                <w:color w:val="000000"/>
                <w:lang w:eastAsia="en-GB"/>
              </w:rPr>
            </w:pPr>
            <w:r w:rsidRPr="003B32EF">
              <w:rPr>
                <w:rFonts w:ascii="Calibri" w:eastAsia="Times New Roman" w:hAnsi="Calibri" w:cs="Calibri"/>
                <w:color w:val="000000"/>
                <w:lang w:eastAsia="en-GB"/>
              </w:rPr>
              <w:t>21.26</w:t>
            </w:r>
          </w:p>
        </w:tc>
      </w:tr>
    </w:tbl>
    <w:p w14:paraId="779E4155" w14:textId="77777777" w:rsidR="004E046A" w:rsidRPr="004E046A" w:rsidRDefault="004E046A" w:rsidP="004E046A"/>
    <w:p w14:paraId="32A93056" w14:textId="2EB33276" w:rsidR="00F6096B" w:rsidRPr="00F6096B" w:rsidRDefault="00A26BD5" w:rsidP="006228A5">
      <w:pPr>
        <w:spacing w:line="360" w:lineRule="auto"/>
        <w:jc w:val="both"/>
      </w:pPr>
      <w:r>
        <w:t xml:space="preserve">An explanation </w:t>
      </w:r>
      <w:r w:rsidR="007F1019">
        <w:t xml:space="preserve">for the </w:t>
      </w:r>
      <w:r w:rsidR="005D2D5B">
        <w:t xml:space="preserve">50% biochar 1 having </w:t>
      </w:r>
      <w:r w:rsidR="00E81EB2">
        <w:t>stronger</w:t>
      </w:r>
      <w:r w:rsidR="005D2D5B">
        <w:t xml:space="preserve"> </w:t>
      </w:r>
      <w:r w:rsidR="0022528A">
        <w:t xml:space="preserve">process characteristics than the </w:t>
      </w:r>
      <w:r w:rsidR="007C6F7F">
        <w:t>base blend</w:t>
      </w:r>
      <w:r w:rsidR="009C7898">
        <w:t xml:space="preserve"> </w:t>
      </w:r>
      <w:r w:rsidR="00274C92">
        <w:t>could</w:t>
      </w:r>
      <w:r w:rsidR="00A768FD">
        <w:t xml:space="preserve"> be</w:t>
      </w:r>
      <w:r w:rsidR="008C2EB8">
        <w:t xml:space="preserve"> partly</w:t>
      </w:r>
      <w:r w:rsidR="00A768FD">
        <w:t xml:space="preserve"> explained by the permeability results</w:t>
      </w:r>
      <w:r w:rsidR="007A16F3">
        <w:t xml:space="preserve"> shown above in figure 43</w:t>
      </w:r>
      <w:r w:rsidR="008C2EB8">
        <w:t xml:space="preserve"> and table 16</w:t>
      </w:r>
      <w:r w:rsidR="007A16F3">
        <w:t>.</w:t>
      </w:r>
      <w:r w:rsidR="008C2EB8">
        <w:t xml:space="preserve"> </w:t>
      </w:r>
      <w:r w:rsidR="007A16F3">
        <w:t xml:space="preserve"> </w:t>
      </w:r>
      <w:r w:rsidR="00E57F7A">
        <w:t xml:space="preserve">The </w:t>
      </w:r>
      <w:r w:rsidR="007C6F7F">
        <w:t>base blend</w:t>
      </w:r>
      <w:r w:rsidR="00E57F7A">
        <w:t xml:space="preserve"> has the highest permeability of all the tests</w:t>
      </w:r>
      <w:r w:rsidR="00704D00">
        <w:t xml:space="preserve">. The cold </w:t>
      </w:r>
      <w:r w:rsidR="00613797">
        <w:t>permeability test was carried out on the raw sinter mix, the 50</w:t>
      </w:r>
      <w:r w:rsidR="0018355D">
        <w:t>% biochar 1 test has the highest result.</w:t>
      </w:r>
      <w:r w:rsidR="00344B49">
        <w:t xml:space="preserve"> The hot flow is taken during the sintering </w:t>
      </w:r>
      <w:r w:rsidR="00344B49">
        <w:lastRenderedPageBreak/>
        <w:t>process, again the 50% blend came out on top. The sintered air flow is taken after sintering has finished and again the 50% blend had the highest result.</w:t>
      </w:r>
      <w:r w:rsidR="000E215B">
        <w:t xml:space="preserve"> The expectation on this test would be for the </w:t>
      </w:r>
      <w:r w:rsidR="007C6F7F">
        <w:t xml:space="preserve">base blend to have the highest permeability </w:t>
      </w:r>
      <w:r w:rsidR="0010000A">
        <w:t xml:space="preserve">which would then decrease as the biochar addition increased. </w:t>
      </w:r>
      <w:r w:rsidR="00573525">
        <w:t>The reason for t</w:t>
      </w:r>
      <w:r w:rsidR="007023A1">
        <w:t xml:space="preserve">his is that charcoal is very porous and </w:t>
      </w:r>
      <w:r w:rsidR="00F767C7">
        <w:t>so has a much higher moisture saturation</w:t>
      </w:r>
      <w:r w:rsidR="00212569">
        <w:t xml:space="preserve"> value than coke breeze.</w:t>
      </w:r>
      <w:r w:rsidR="00153050">
        <w:t xml:space="preserve"> This is likely to have had an effect on the </w:t>
      </w:r>
      <w:r w:rsidR="00306A79">
        <w:t xml:space="preserve">sinter </w:t>
      </w:r>
      <w:r w:rsidR="00153050">
        <w:t>gran</w:t>
      </w:r>
      <w:r w:rsidR="00306A79">
        <w:t>ulation which in turn affects the sinter density</w:t>
      </w:r>
      <w:r w:rsidR="00565ADD">
        <w:t xml:space="preserve"> </w:t>
      </w:r>
      <w:r w:rsidR="00B10FF1">
        <w:fldChar w:fldCharType="begin"/>
      </w:r>
      <w:r w:rsidR="00B10FF1">
        <w:instrText xml:space="preserve"> ADDIN ZOTERO_ITEM CSL_CITATION {"citationID":"2GwpuFDG","properties":{"formattedCitation":"(Lu et al. 2013)","plainCitation":"(Lu et al. 2013)","noteIndex":0},"citationItems":[{"id":1788,"uris":["http://zotero.org/users/local/AB2owHL2/items/B69CWL6R"],"itemData":{"id":1788,"type":"article-journal","container-title":"ISIJ International","DOI":"10.2355/isijinternational.53.1607","ISSN":"0915-1559, 1347-5460","issue":"9","journalAbbreviation":"ISIJ Int.","language":"en","page":"1607-1616","source":"DOI.org (Crossref)","title":"Substitution of Charcoal for Coke Breeze in Iron Ore Sintering","URL":"https://www.jstage.jst.go.jp/article/isijinternational/53/9/53_1607/_article","volume":"53","author":[{"family":"Lu","given":"Liming"},{"family":"Adam","given":"Matt"},{"family":"Kilburn","given":"Matt"},{"family":"Hapugoda","given":"Sarath"},{"family":"Somerville","given":"Michael"},{"family":"Jahanshahi","given":"Sharif"},{"family":"Mathieson","given":"John Gordon"}],"accessed":{"date-parts":[["2022",7,17]]},"issued":{"date-parts":[["2013"]]}}}],"schema":"https://github.com/citation-style-language/schema/raw/master/csl-citation.json"} </w:instrText>
      </w:r>
      <w:r w:rsidR="00B10FF1">
        <w:fldChar w:fldCharType="separate"/>
      </w:r>
      <w:r w:rsidR="00B10FF1" w:rsidRPr="00B10FF1">
        <w:rPr>
          <w:rFonts w:ascii="Calibri" w:hAnsi="Calibri" w:cs="Calibri"/>
        </w:rPr>
        <w:t>(Lu et al. 2013)</w:t>
      </w:r>
      <w:r w:rsidR="00B10FF1">
        <w:fldChar w:fldCharType="end"/>
      </w:r>
      <w:r w:rsidR="00306A79">
        <w:t>.</w:t>
      </w:r>
      <w:r w:rsidR="00FF751C">
        <w:t xml:space="preserve"> The base blend had the second highest of the results across all permeability measures which otherwise did decrease as the </w:t>
      </w:r>
      <w:r w:rsidR="002E22F6">
        <w:t>biochar addition increased.</w:t>
      </w:r>
    </w:p>
    <w:p w14:paraId="6A47291A" w14:textId="47949CDE" w:rsidR="00364531" w:rsidRDefault="00B55F2B" w:rsidP="00390F02">
      <w:r w:rsidRPr="00B55F2B">
        <w:rPr>
          <w:noProof/>
        </w:rPr>
        <w:drawing>
          <wp:inline distT="0" distB="0" distL="0" distR="0" wp14:anchorId="2B52BC41" wp14:editId="1BC958AD">
            <wp:extent cx="5730759" cy="3395207"/>
            <wp:effectExtent l="0" t="0" r="3810" b="0"/>
            <wp:docPr id="151" name="Picture 15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Chart, histogram&#10;&#10;Description automatically generated"/>
                    <pic:cNvPicPr/>
                  </pic:nvPicPr>
                  <pic:blipFill>
                    <a:blip r:embed="rId71"/>
                    <a:stretch>
                      <a:fillRect/>
                    </a:stretch>
                  </pic:blipFill>
                  <pic:spPr>
                    <a:xfrm>
                      <a:off x="0" y="0"/>
                      <a:ext cx="5744919" cy="3403596"/>
                    </a:xfrm>
                    <a:prstGeom prst="rect">
                      <a:avLst/>
                    </a:prstGeom>
                  </pic:spPr>
                </pic:pic>
              </a:graphicData>
            </a:graphic>
          </wp:inline>
        </w:drawing>
      </w:r>
    </w:p>
    <w:p w14:paraId="2B859F7E" w14:textId="1BFE10C5" w:rsidR="00E87F84" w:rsidRDefault="00E87F84" w:rsidP="00390F02">
      <w:r w:rsidRPr="00E87F84">
        <w:rPr>
          <w:noProof/>
        </w:rPr>
        <w:drawing>
          <wp:inline distT="0" distB="0" distL="0" distR="0" wp14:anchorId="7CD6285C" wp14:editId="0321979C">
            <wp:extent cx="5730665" cy="3140765"/>
            <wp:effectExtent l="0" t="0" r="3810" b="2540"/>
            <wp:docPr id="152" name="Picture 15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Chart, histogram&#10;&#10;Description automatically generated"/>
                    <pic:cNvPicPr/>
                  </pic:nvPicPr>
                  <pic:blipFill>
                    <a:blip r:embed="rId72"/>
                    <a:stretch>
                      <a:fillRect/>
                    </a:stretch>
                  </pic:blipFill>
                  <pic:spPr>
                    <a:xfrm>
                      <a:off x="0" y="0"/>
                      <a:ext cx="5737224" cy="3144360"/>
                    </a:xfrm>
                    <a:prstGeom prst="rect">
                      <a:avLst/>
                    </a:prstGeom>
                  </pic:spPr>
                </pic:pic>
              </a:graphicData>
            </a:graphic>
          </wp:inline>
        </w:drawing>
      </w:r>
    </w:p>
    <w:p w14:paraId="01F2B06F" w14:textId="746EE91F" w:rsidR="00364531" w:rsidRDefault="00B52870" w:rsidP="00B52870">
      <w:pPr>
        <w:pStyle w:val="Caption"/>
      </w:pPr>
      <w:bookmarkStart w:id="97" w:name="_Toc127110938"/>
      <w:r>
        <w:t xml:space="preserve">Figure </w:t>
      </w:r>
      <w:fldSimple w:instr=" SEQ Figure \* ARABIC ">
        <w:r w:rsidR="00A0212F">
          <w:rPr>
            <w:noProof/>
          </w:rPr>
          <w:t>44</w:t>
        </w:r>
      </w:fldSimple>
      <w:r w:rsidR="004E046A">
        <w:t xml:space="preserve"> Time - temperature profiles of the biochar 2 sinter pot tests.</w:t>
      </w:r>
      <w:bookmarkEnd w:id="97"/>
    </w:p>
    <w:p w14:paraId="165BADFB" w14:textId="1AA58D83" w:rsidR="006228A5" w:rsidRPr="00521D23" w:rsidRDefault="006228A5" w:rsidP="006228A5">
      <w:pPr>
        <w:spacing w:line="360" w:lineRule="auto"/>
        <w:jc w:val="both"/>
      </w:pPr>
      <w:r>
        <w:lastRenderedPageBreak/>
        <w:t xml:space="preserve">The time – temperature graphs for biochar 2 are displayed above in figure 44, the graph peaks largely have a shape that demonstrates a high combustion rate (see figure 41). The base blend has some wider profiles at the middle to base of the profile this represents a slower cool down time. </w:t>
      </w:r>
    </w:p>
    <w:p w14:paraId="562E3473" w14:textId="77777777" w:rsidR="006228A5" w:rsidRPr="00521D23" w:rsidRDefault="006228A5" w:rsidP="006228A5">
      <w:pPr>
        <w:spacing w:line="360" w:lineRule="auto"/>
        <w:jc w:val="both"/>
      </w:pPr>
      <w:r>
        <w:t>The base blend has an average max peak temp of 1152.76</w:t>
      </w:r>
      <w:r w:rsidRPr="00FF068F">
        <w:rPr>
          <w:vertAlign w:val="superscript"/>
        </w:rPr>
        <w:t>0</w:t>
      </w:r>
      <w:r>
        <w:t>C (see table 17 for process characteristics biochar 2) with the final thermocouple peaking at 1313.03, this profile is inconsistent with the others and may be because of variation in density while packing the sinter pot. In the biochar 2 25% graph the profile peaks are at a consistent level around the average 1206</w:t>
      </w:r>
      <w:r w:rsidRPr="00114D88">
        <w:rPr>
          <w:vertAlign w:val="superscript"/>
        </w:rPr>
        <w:t>0</w:t>
      </w:r>
      <w:r>
        <w:t>C, and the max peak is not much higher at 1254</w:t>
      </w:r>
      <w:r w:rsidRPr="008668E3">
        <w:rPr>
          <w:vertAlign w:val="superscript"/>
        </w:rPr>
        <w:t>0</w:t>
      </w:r>
      <w:r>
        <w:t>C. The biochar 2 50% graph has two profiles indicating medium to slow combustion rates that do not match the rest of the thermocouple profiles in that graph, this may be due to channelling or operator error when fixing the thermocouples. The three remaining profiles in this graph peak at around 1200</w:t>
      </w:r>
      <w:r w:rsidRPr="00D86766">
        <w:rPr>
          <w:vertAlign w:val="superscript"/>
        </w:rPr>
        <w:t>0</w:t>
      </w:r>
      <w:r>
        <w:t>C. Biochar 75% has consistently lower profile peaks, with a max peak temperature of 1129</w:t>
      </w:r>
      <w:r w:rsidRPr="00B46874">
        <w:rPr>
          <w:vertAlign w:val="superscript"/>
        </w:rPr>
        <w:t>0</w:t>
      </w:r>
      <w:r>
        <w:t>C, the average max peak temperature is 1041</w:t>
      </w:r>
      <w:r w:rsidRPr="00B46874">
        <w:rPr>
          <w:vertAlign w:val="superscript"/>
        </w:rPr>
        <w:t>0</w:t>
      </w:r>
      <w:r>
        <w:t>C, although this is distorted by the middle thermocouple profile.</w:t>
      </w:r>
    </w:p>
    <w:p w14:paraId="7071E109" w14:textId="54021125" w:rsidR="00B52870" w:rsidRDefault="006228A5" w:rsidP="006228A5">
      <w:pPr>
        <w:spacing w:line="360" w:lineRule="auto"/>
        <w:jc w:val="both"/>
      </w:pPr>
      <w:r>
        <w:t>The average time above 1000</w:t>
      </w:r>
      <w:r w:rsidRPr="009160B5">
        <w:rPr>
          <w:vertAlign w:val="superscript"/>
        </w:rPr>
        <w:t>0</w:t>
      </w:r>
      <w:r>
        <w:t xml:space="preserve">C is 2mins 20 secs for the base blend, the 25% biochar 2 blend is slightly higher at 2 mins 54 secs, the following two blends are lower than the base blend at 1 min 58 secs and 1 min 12 secs respectively. The FFS and yield decrease linearly </w:t>
      </w:r>
      <w:proofErr w:type="gramStart"/>
      <w:r>
        <w:t>with the exception of</w:t>
      </w:r>
      <w:proofErr w:type="gramEnd"/>
      <w:r>
        <w:t xml:space="preserve"> the 50% blend.</w:t>
      </w:r>
    </w:p>
    <w:p w14:paraId="4C03926D" w14:textId="07CD772F" w:rsidR="00B52870" w:rsidRDefault="00042B2B" w:rsidP="002E165E">
      <w:pPr>
        <w:pStyle w:val="Caption"/>
        <w:jc w:val="center"/>
      </w:pPr>
      <w:r>
        <w:t xml:space="preserve">Table </w:t>
      </w:r>
      <w:fldSimple w:instr=" SEQ Table \* ARABIC ">
        <w:r w:rsidR="00DA2639">
          <w:rPr>
            <w:noProof/>
          </w:rPr>
          <w:t>17</w:t>
        </w:r>
      </w:fldSimple>
      <w:r w:rsidR="005242DD">
        <w:t xml:space="preserve"> </w:t>
      </w:r>
      <w:r w:rsidR="002E165E">
        <w:t>Sintering process characteristics Biochar 2</w:t>
      </w:r>
    </w:p>
    <w:tbl>
      <w:tblPr>
        <w:tblW w:w="8847" w:type="dxa"/>
        <w:tblLook w:val="04A0" w:firstRow="1" w:lastRow="0" w:firstColumn="1" w:lastColumn="0" w:noHBand="0" w:noVBand="1"/>
      </w:tblPr>
      <w:tblGrid>
        <w:gridCol w:w="2705"/>
        <w:gridCol w:w="1566"/>
        <w:gridCol w:w="1403"/>
        <w:gridCol w:w="1607"/>
        <w:gridCol w:w="1566"/>
      </w:tblGrid>
      <w:tr w:rsidR="00C220B2" w:rsidRPr="00C220B2" w14:paraId="54077548" w14:textId="77777777" w:rsidTr="00382CE9">
        <w:trPr>
          <w:trHeight w:val="539"/>
        </w:trPr>
        <w:tc>
          <w:tcPr>
            <w:tcW w:w="27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FC2B50"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 </w:t>
            </w:r>
          </w:p>
        </w:tc>
        <w:tc>
          <w:tcPr>
            <w:tcW w:w="1566" w:type="dxa"/>
            <w:tcBorders>
              <w:top w:val="single" w:sz="4" w:space="0" w:color="auto"/>
              <w:left w:val="nil"/>
              <w:bottom w:val="single" w:sz="4" w:space="0" w:color="auto"/>
              <w:right w:val="single" w:sz="4" w:space="0" w:color="auto"/>
            </w:tcBorders>
            <w:shd w:val="clear" w:color="auto" w:fill="auto"/>
            <w:vAlign w:val="bottom"/>
            <w:hideMark/>
          </w:tcPr>
          <w:p w14:paraId="07165D67"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 xml:space="preserve"> Coke breeze 100%</w:t>
            </w:r>
          </w:p>
        </w:tc>
        <w:tc>
          <w:tcPr>
            <w:tcW w:w="1403" w:type="dxa"/>
            <w:tcBorders>
              <w:top w:val="single" w:sz="4" w:space="0" w:color="auto"/>
              <w:left w:val="nil"/>
              <w:bottom w:val="single" w:sz="4" w:space="0" w:color="auto"/>
              <w:right w:val="single" w:sz="4" w:space="0" w:color="auto"/>
            </w:tcBorders>
            <w:shd w:val="clear" w:color="auto" w:fill="auto"/>
            <w:vAlign w:val="bottom"/>
            <w:hideMark/>
          </w:tcPr>
          <w:p w14:paraId="0009FAE2"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Biochar 2 (25%)</w:t>
            </w:r>
          </w:p>
        </w:tc>
        <w:tc>
          <w:tcPr>
            <w:tcW w:w="1607" w:type="dxa"/>
            <w:tcBorders>
              <w:top w:val="single" w:sz="4" w:space="0" w:color="auto"/>
              <w:left w:val="nil"/>
              <w:bottom w:val="single" w:sz="4" w:space="0" w:color="auto"/>
              <w:right w:val="single" w:sz="4" w:space="0" w:color="auto"/>
            </w:tcBorders>
            <w:shd w:val="clear" w:color="auto" w:fill="auto"/>
            <w:vAlign w:val="bottom"/>
            <w:hideMark/>
          </w:tcPr>
          <w:p w14:paraId="19EA6800"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Biochar 2 (50%)</w:t>
            </w:r>
          </w:p>
        </w:tc>
        <w:tc>
          <w:tcPr>
            <w:tcW w:w="1566" w:type="dxa"/>
            <w:tcBorders>
              <w:top w:val="single" w:sz="4" w:space="0" w:color="auto"/>
              <w:left w:val="nil"/>
              <w:bottom w:val="single" w:sz="4" w:space="0" w:color="auto"/>
              <w:right w:val="single" w:sz="4" w:space="0" w:color="auto"/>
            </w:tcBorders>
            <w:shd w:val="clear" w:color="auto" w:fill="auto"/>
            <w:vAlign w:val="bottom"/>
            <w:hideMark/>
          </w:tcPr>
          <w:p w14:paraId="50A48ECF"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Biochar 2 (75%)</w:t>
            </w:r>
          </w:p>
        </w:tc>
      </w:tr>
      <w:tr w:rsidR="00C220B2" w:rsidRPr="00C220B2" w14:paraId="73C175FF" w14:textId="77777777" w:rsidTr="00382CE9">
        <w:trPr>
          <w:trHeight w:val="527"/>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3D2B29DE"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Max Sintering Temperature (</w:t>
            </w:r>
            <w:proofErr w:type="spellStart"/>
            <w:r w:rsidRPr="00C220B2">
              <w:rPr>
                <w:rFonts w:ascii="Calibri" w:eastAsia="Times New Roman" w:hAnsi="Calibri" w:cs="Calibri"/>
                <w:color w:val="000000"/>
                <w:vertAlign w:val="superscript"/>
                <w:lang w:eastAsia="en-GB"/>
              </w:rPr>
              <w:t>o</w:t>
            </w:r>
            <w:r w:rsidRPr="00C220B2">
              <w:rPr>
                <w:rFonts w:ascii="Calibri" w:eastAsia="Times New Roman" w:hAnsi="Calibri" w:cs="Calibri"/>
                <w:color w:val="000000"/>
                <w:lang w:eastAsia="en-GB"/>
              </w:rPr>
              <w:t>C</w:t>
            </w:r>
            <w:proofErr w:type="spellEnd"/>
            <w:r w:rsidRPr="00C220B2">
              <w:rPr>
                <w:rFonts w:ascii="Calibri" w:eastAsia="Times New Roman" w:hAnsi="Calibri" w:cs="Calibri"/>
                <w:color w:val="000000"/>
                <w:lang w:eastAsia="en-GB"/>
              </w:rPr>
              <w:t>)</w:t>
            </w:r>
          </w:p>
        </w:tc>
        <w:tc>
          <w:tcPr>
            <w:tcW w:w="1566" w:type="dxa"/>
            <w:tcBorders>
              <w:top w:val="nil"/>
              <w:left w:val="nil"/>
              <w:bottom w:val="single" w:sz="4" w:space="0" w:color="auto"/>
              <w:right w:val="single" w:sz="4" w:space="0" w:color="auto"/>
            </w:tcBorders>
            <w:shd w:val="clear" w:color="auto" w:fill="auto"/>
            <w:noWrap/>
            <w:vAlign w:val="center"/>
            <w:hideMark/>
          </w:tcPr>
          <w:p w14:paraId="3BF1F3E7"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1313.05</w:t>
            </w:r>
          </w:p>
        </w:tc>
        <w:tc>
          <w:tcPr>
            <w:tcW w:w="1403" w:type="dxa"/>
            <w:tcBorders>
              <w:top w:val="nil"/>
              <w:left w:val="nil"/>
              <w:bottom w:val="single" w:sz="4" w:space="0" w:color="auto"/>
              <w:right w:val="single" w:sz="4" w:space="0" w:color="auto"/>
            </w:tcBorders>
            <w:shd w:val="clear" w:color="auto" w:fill="auto"/>
            <w:noWrap/>
            <w:vAlign w:val="center"/>
            <w:hideMark/>
          </w:tcPr>
          <w:p w14:paraId="4C26BEFB"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1254.13</w:t>
            </w:r>
          </w:p>
        </w:tc>
        <w:tc>
          <w:tcPr>
            <w:tcW w:w="1607" w:type="dxa"/>
            <w:tcBorders>
              <w:top w:val="nil"/>
              <w:left w:val="nil"/>
              <w:bottom w:val="single" w:sz="4" w:space="0" w:color="auto"/>
              <w:right w:val="single" w:sz="4" w:space="0" w:color="auto"/>
            </w:tcBorders>
            <w:shd w:val="clear" w:color="auto" w:fill="auto"/>
            <w:noWrap/>
            <w:vAlign w:val="center"/>
            <w:hideMark/>
          </w:tcPr>
          <w:p w14:paraId="057989C4"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1198.54</w:t>
            </w:r>
          </w:p>
        </w:tc>
        <w:tc>
          <w:tcPr>
            <w:tcW w:w="1566" w:type="dxa"/>
            <w:tcBorders>
              <w:top w:val="nil"/>
              <w:left w:val="nil"/>
              <w:bottom w:val="single" w:sz="4" w:space="0" w:color="auto"/>
              <w:right w:val="single" w:sz="4" w:space="0" w:color="auto"/>
            </w:tcBorders>
            <w:shd w:val="clear" w:color="auto" w:fill="auto"/>
            <w:noWrap/>
            <w:vAlign w:val="center"/>
            <w:hideMark/>
          </w:tcPr>
          <w:p w14:paraId="22A6CADE"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1129.27</w:t>
            </w:r>
          </w:p>
        </w:tc>
      </w:tr>
      <w:tr w:rsidR="00C220B2" w:rsidRPr="00C220B2" w14:paraId="4CF7BD91" w14:textId="77777777" w:rsidTr="00382CE9">
        <w:trPr>
          <w:trHeight w:val="527"/>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5FD89F30"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Average max sintering temp (</w:t>
            </w:r>
            <w:proofErr w:type="spellStart"/>
            <w:r w:rsidRPr="00C220B2">
              <w:rPr>
                <w:rFonts w:ascii="Calibri" w:eastAsia="Times New Roman" w:hAnsi="Calibri" w:cs="Calibri"/>
                <w:color w:val="000000"/>
                <w:vertAlign w:val="superscript"/>
                <w:lang w:eastAsia="en-GB"/>
              </w:rPr>
              <w:t>o</w:t>
            </w:r>
            <w:r w:rsidRPr="00C220B2">
              <w:rPr>
                <w:rFonts w:ascii="Calibri" w:eastAsia="Times New Roman" w:hAnsi="Calibri" w:cs="Calibri"/>
                <w:color w:val="000000"/>
                <w:lang w:eastAsia="en-GB"/>
              </w:rPr>
              <w:t>C</w:t>
            </w:r>
            <w:proofErr w:type="spellEnd"/>
            <w:r w:rsidRPr="00C220B2">
              <w:rPr>
                <w:rFonts w:ascii="Calibri" w:eastAsia="Times New Roman" w:hAnsi="Calibri" w:cs="Calibri"/>
                <w:color w:val="000000"/>
                <w:lang w:eastAsia="en-GB"/>
              </w:rPr>
              <w:t>)</w:t>
            </w:r>
          </w:p>
        </w:tc>
        <w:tc>
          <w:tcPr>
            <w:tcW w:w="1566" w:type="dxa"/>
            <w:tcBorders>
              <w:top w:val="nil"/>
              <w:left w:val="nil"/>
              <w:bottom w:val="single" w:sz="4" w:space="0" w:color="auto"/>
              <w:right w:val="single" w:sz="4" w:space="0" w:color="auto"/>
            </w:tcBorders>
            <w:shd w:val="clear" w:color="auto" w:fill="auto"/>
            <w:noWrap/>
            <w:vAlign w:val="center"/>
            <w:hideMark/>
          </w:tcPr>
          <w:p w14:paraId="145FCF7A"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1152.76</w:t>
            </w:r>
          </w:p>
        </w:tc>
        <w:tc>
          <w:tcPr>
            <w:tcW w:w="1403" w:type="dxa"/>
            <w:tcBorders>
              <w:top w:val="nil"/>
              <w:left w:val="nil"/>
              <w:bottom w:val="single" w:sz="4" w:space="0" w:color="auto"/>
              <w:right w:val="single" w:sz="4" w:space="0" w:color="auto"/>
            </w:tcBorders>
            <w:shd w:val="clear" w:color="auto" w:fill="auto"/>
            <w:noWrap/>
            <w:vAlign w:val="center"/>
            <w:hideMark/>
          </w:tcPr>
          <w:p w14:paraId="3AA74965"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1206.26</w:t>
            </w:r>
          </w:p>
        </w:tc>
        <w:tc>
          <w:tcPr>
            <w:tcW w:w="1607" w:type="dxa"/>
            <w:tcBorders>
              <w:top w:val="nil"/>
              <w:left w:val="nil"/>
              <w:bottom w:val="single" w:sz="4" w:space="0" w:color="auto"/>
              <w:right w:val="single" w:sz="4" w:space="0" w:color="auto"/>
            </w:tcBorders>
            <w:shd w:val="clear" w:color="auto" w:fill="auto"/>
            <w:noWrap/>
            <w:vAlign w:val="center"/>
            <w:hideMark/>
          </w:tcPr>
          <w:p w14:paraId="3EB78BDF"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1087.38</w:t>
            </w:r>
          </w:p>
        </w:tc>
        <w:tc>
          <w:tcPr>
            <w:tcW w:w="1566" w:type="dxa"/>
            <w:tcBorders>
              <w:top w:val="nil"/>
              <w:left w:val="nil"/>
              <w:bottom w:val="single" w:sz="4" w:space="0" w:color="auto"/>
              <w:right w:val="single" w:sz="4" w:space="0" w:color="auto"/>
            </w:tcBorders>
            <w:shd w:val="clear" w:color="auto" w:fill="auto"/>
            <w:noWrap/>
            <w:vAlign w:val="center"/>
            <w:hideMark/>
          </w:tcPr>
          <w:p w14:paraId="227DBE3C"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1041.73</w:t>
            </w:r>
          </w:p>
        </w:tc>
      </w:tr>
      <w:tr w:rsidR="00C220B2" w:rsidRPr="00C220B2" w14:paraId="5719DB0E" w14:textId="77777777" w:rsidTr="00382CE9">
        <w:trPr>
          <w:trHeight w:val="527"/>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57303F3D"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Average time above 1000</w:t>
            </w:r>
            <w:r w:rsidRPr="00C220B2">
              <w:rPr>
                <w:rFonts w:ascii="Calibri" w:eastAsia="Times New Roman" w:hAnsi="Calibri" w:cs="Calibri"/>
                <w:color w:val="000000"/>
                <w:vertAlign w:val="superscript"/>
                <w:lang w:eastAsia="en-GB"/>
              </w:rPr>
              <w:t>0</w:t>
            </w:r>
            <w:r w:rsidRPr="00C220B2">
              <w:rPr>
                <w:rFonts w:ascii="Calibri" w:eastAsia="Times New Roman" w:hAnsi="Calibri" w:cs="Calibri"/>
                <w:color w:val="000000"/>
                <w:lang w:eastAsia="en-GB"/>
              </w:rPr>
              <w:t>C (</w:t>
            </w:r>
            <w:proofErr w:type="spellStart"/>
            <w:proofErr w:type="gramStart"/>
            <w:r w:rsidRPr="00C220B2">
              <w:rPr>
                <w:rFonts w:ascii="Calibri" w:eastAsia="Times New Roman" w:hAnsi="Calibri" w:cs="Calibri"/>
                <w:color w:val="000000"/>
                <w:lang w:eastAsia="en-GB"/>
              </w:rPr>
              <w:t>mm:s</w:t>
            </w:r>
            <w:proofErr w:type="spellEnd"/>
            <w:proofErr w:type="gramEnd"/>
            <w:r w:rsidRPr="00C220B2">
              <w:rPr>
                <w:rFonts w:ascii="Calibri" w:eastAsia="Times New Roman" w:hAnsi="Calibri" w:cs="Calibri"/>
                <w:color w:val="000000"/>
                <w:lang w:eastAsia="en-GB"/>
              </w:rPr>
              <w:t>)</w:t>
            </w:r>
          </w:p>
        </w:tc>
        <w:tc>
          <w:tcPr>
            <w:tcW w:w="1566" w:type="dxa"/>
            <w:tcBorders>
              <w:top w:val="nil"/>
              <w:left w:val="nil"/>
              <w:bottom w:val="single" w:sz="4" w:space="0" w:color="auto"/>
              <w:right w:val="single" w:sz="4" w:space="0" w:color="auto"/>
            </w:tcBorders>
            <w:shd w:val="clear" w:color="auto" w:fill="auto"/>
            <w:noWrap/>
            <w:vAlign w:val="center"/>
            <w:hideMark/>
          </w:tcPr>
          <w:p w14:paraId="70F6DFA6"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02:20:00</w:t>
            </w:r>
          </w:p>
        </w:tc>
        <w:tc>
          <w:tcPr>
            <w:tcW w:w="1403" w:type="dxa"/>
            <w:tcBorders>
              <w:top w:val="nil"/>
              <w:left w:val="nil"/>
              <w:bottom w:val="single" w:sz="4" w:space="0" w:color="auto"/>
              <w:right w:val="single" w:sz="4" w:space="0" w:color="auto"/>
            </w:tcBorders>
            <w:shd w:val="clear" w:color="auto" w:fill="auto"/>
            <w:noWrap/>
            <w:vAlign w:val="center"/>
            <w:hideMark/>
          </w:tcPr>
          <w:p w14:paraId="49EED100"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02:54:00</w:t>
            </w:r>
          </w:p>
        </w:tc>
        <w:tc>
          <w:tcPr>
            <w:tcW w:w="1607" w:type="dxa"/>
            <w:tcBorders>
              <w:top w:val="nil"/>
              <w:left w:val="nil"/>
              <w:bottom w:val="single" w:sz="4" w:space="0" w:color="auto"/>
              <w:right w:val="single" w:sz="4" w:space="0" w:color="auto"/>
            </w:tcBorders>
            <w:shd w:val="clear" w:color="auto" w:fill="auto"/>
            <w:noWrap/>
            <w:vAlign w:val="center"/>
            <w:hideMark/>
          </w:tcPr>
          <w:p w14:paraId="69D4C3D7"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01:58:00</w:t>
            </w:r>
          </w:p>
        </w:tc>
        <w:tc>
          <w:tcPr>
            <w:tcW w:w="1566" w:type="dxa"/>
            <w:tcBorders>
              <w:top w:val="nil"/>
              <w:left w:val="nil"/>
              <w:bottom w:val="single" w:sz="4" w:space="0" w:color="auto"/>
              <w:right w:val="single" w:sz="4" w:space="0" w:color="auto"/>
            </w:tcBorders>
            <w:shd w:val="clear" w:color="auto" w:fill="auto"/>
            <w:noWrap/>
            <w:vAlign w:val="center"/>
            <w:hideMark/>
          </w:tcPr>
          <w:p w14:paraId="2269FCF4"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01:12:00</w:t>
            </w:r>
          </w:p>
        </w:tc>
      </w:tr>
      <w:tr w:rsidR="00C220B2" w:rsidRPr="00C220B2" w14:paraId="5FDC51B9" w14:textId="77777777" w:rsidTr="00382CE9">
        <w:trPr>
          <w:trHeight w:val="490"/>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15F58DB1"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Sintering Time (</w:t>
            </w:r>
            <w:proofErr w:type="spellStart"/>
            <w:proofErr w:type="gramStart"/>
            <w:r w:rsidRPr="00C220B2">
              <w:rPr>
                <w:rFonts w:ascii="Calibri" w:eastAsia="Times New Roman" w:hAnsi="Calibri" w:cs="Calibri"/>
                <w:color w:val="000000"/>
                <w:lang w:eastAsia="en-GB"/>
              </w:rPr>
              <w:t>mm:ss</w:t>
            </w:r>
            <w:proofErr w:type="spellEnd"/>
            <w:proofErr w:type="gramEnd"/>
            <w:r w:rsidRPr="00C220B2">
              <w:rPr>
                <w:rFonts w:ascii="Calibri" w:eastAsia="Times New Roman" w:hAnsi="Calibri" w:cs="Calibri"/>
                <w:color w:val="000000"/>
                <w:lang w:eastAsia="en-GB"/>
              </w:rPr>
              <w:t>)</w:t>
            </w:r>
          </w:p>
        </w:tc>
        <w:tc>
          <w:tcPr>
            <w:tcW w:w="1566" w:type="dxa"/>
            <w:tcBorders>
              <w:top w:val="nil"/>
              <w:left w:val="nil"/>
              <w:bottom w:val="single" w:sz="4" w:space="0" w:color="auto"/>
              <w:right w:val="single" w:sz="4" w:space="0" w:color="auto"/>
            </w:tcBorders>
            <w:shd w:val="clear" w:color="auto" w:fill="auto"/>
            <w:vAlign w:val="center"/>
            <w:hideMark/>
          </w:tcPr>
          <w:p w14:paraId="08497E78"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00:27:25</w:t>
            </w:r>
          </w:p>
        </w:tc>
        <w:tc>
          <w:tcPr>
            <w:tcW w:w="1403" w:type="dxa"/>
            <w:tcBorders>
              <w:top w:val="nil"/>
              <w:left w:val="nil"/>
              <w:bottom w:val="single" w:sz="4" w:space="0" w:color="auto"/>
              <w:right w:val="single" w:sz="4" w:space="0" w:color="auto"/>
            </w:tcBorders>
            <w:shd w:val="clear" w:color="auto" w:fill="auto"/>
            <w:vAlign w:val="center"/>
            <w:hideMark/>
          </w:tcPr>
          <w:p w14:paraId="068579CB"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00:28:45</w:t>
            </w:r>
          </w:p>
        </w:tc>
        <w:tc>
          <w:tcPr>
            <w:tcW w:w="1607" w:type="dxa"/>
            <w:tcBorders>
              <w:top w:val="nil"/>
              <w:left w:val="nil"/>
              <w:bottom w:val="single" w:sz="4" w:space="0" w:color="auto"/>
              <w:right w:val="single" w:sz="4" w:space="0" w:color="auto"/>
            </w:tcBorders>
            <w:shd w:val="clear" w:color="auto" w:fill="auto"/>
            <w:vAlign w:val="center"/>
            <w:hideMark/>
          </w:tcPr>
          <w:p w14:paraId="499E1D10"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00:28:55</w:t>
            </w:r>
          </w:p>
        </w:tc>
        <w:tc>
          <w:tcPr>
            <w:tcW w:w="1566" w:type="dxa"/>
            <w:tcBorders>
              <w:top w:val="nil"/>
              <w:left w:val="nil"/>
              <w:bottom w:val="single" w:sz="4" w:space="0" w:color="auto"/>
              <w:right w:val="single" w:sz="4" w:space="0" w:color="auto"/>
            </w:tcBorders>
            <w:shd w:val="clear" w:color="auto" w:fill="auto"/>
            <w:vAlign w:val="center"/>
            <w:hideMark/>
          </w:tcPr>
          <w:p w14:paraId="51CDD11E"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00:31:25</w:t>
            </w:r>
          </w:p>
        </w:tc>
      </w:tr>
      <w:tr w:rsidR="00C220B2" w:rsidRPr="00C220B2" w14:paraId="45288091" w14:textId="77777777" w:rsidTr="00382CE9">
        <w:trPr>
          <w:trHeight w:val="490"/>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223820A4"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Flame Front Speed Average (mm/s)</w:t>
            </w:r>
          </w:p>
        </w:tc>
        <w:tc>
          <w:tcPr>
            <w:tcW w:w="1566" w:type="dxa"/>
            <w:tcBorders>
              <w:top w:val="nil"/>
              <w:left w:val="nil"/>
              <w:bottom w:val="single" w:sz="4" w:space="0" w:color="auto"/>
              <w:right w:val="single" w:sz="4" w:space="0" w:color="auto"/>
            </w:tcBorders>
            <w:shd w:val="clear" w:color="auto" w:fill="auto"/>
            <w:noWrap/>
            <w:vAlign w:val="center"/>
            <w:hideMark/>
          </w:tcPr>
          <w:p w14:paraId="5E4905C6"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0.33</w:t>
            </w:r>
          </w:p>
        </w:tc>
        <w:tc>
          <w:tcPr>
            <w:tcW w:w="1403" w:type="dxa"/>
            <w:tcBorders>
              <w:top w:val="nil"/>
              <w:left w:val="nil"/>
              <w:bottom w:val="single" w:sz="4" w:space="0" w:color="auto"/>
              <w:right w:val="single" w:sz="4" w:space="0" w:color="auto"/>
            </w:tcBorders>
            <w:shd w:val="clear" w:color="auto" w:fill="auto"/>
            <w:noWrap/>
            <w:vAlign w:val="center"/>
            <w:hideMark/>
          </w:tcPr>
          <w:p w14:paraId="326F60BC"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0.26</w:t>
            </w:r>
          </w:p>
        </w:tc>
        <w:tc>
          <w:tcPr>
            <w:tcW w:w="1607" w:type="dxa"/>
            <w:tcBorders>
              <w:top w:val="nil"/>
              <w:left w:val="nil"/>
              <w:bottom w:val="single" w:sz="4" w:space="0" w:color="auto"/>
              <w:right w:val="single" w:sz="4" w:space="0" w:color="auto"/>
            </w:tcBorders>
            <w:shd w:val="clear" w:color="auto" w:fill="auto"/>
            <w:noWrap/>
            <w:vAlign w:val="center"/>
            <w:hideMark/>
          </w:tcPr>
          <w:p w14:paraId="75DEE409"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0.34</w:t>
            </w:r>
          </w:p>
        </w:tc>
        <w:tc>
          <w:tcPr>
            <w:tcW w:w="1566" w:type="dxa"/>
            <w:tcBorders>
              <w:top w:val="nil"/>
              <w:left w:val="nil"/>
              <w:bottom w:val="single" w:sz="4" w:space="0" w:color="auto"/>
              <w:right w:val="single" w:sz="4" w:space="0" w:color="auto"/>
            </w:tcBorders>
            <w:shd w:val="clear" w:color="auto" w:fill="auto"/>
            <w:noWrap/>
            <w:vAlign w:val="center"/>
            <w:hideMark/>
          </w:tcPr>
          <w:p w14:paraId="02DF2203"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0.23</w:t>
            </w:r>
          </w:p>
        </w:tc>
      </w:tr>
      <w:tr w:rsidR="00C220B2" w:rsidRPr="00C220B2" w14:paraId="1F74ACB1" w14:textId="77777777" w:rsidTr="00382CE9">
        <w:trPr>
          <w:trHeight w:val="490"/>
        </w:trPr>
        <w:tc>
          <w:tcPr>
            <w:tcW w:w="2705" w:type="dxa"/>
            <w:tcBorders>
              <w:top w:val="nil"/>
              <w:left w:val="single" w:sz="4" w:space="0" w:color="auto"/>
              <w:bottom w:val="single" w:sz="4" w:space="0" w:color="auto"/>
              <w:right w:val="single" w:sz="4" w:space="0" w:color="auto"/>
            </w:tcBorders>
            <w:shd w:val="clear" w:color="auto" w:fill="auto"/>
            <w:vAlign w:val="bottom"/>
            <w:hideMark/>
          </w:tcPr>
          <w:p w14:paraId="3DD90C5A" w14:textId="77777777" w:rsidR="00C220B2" w:rsidRPr="00C220B2" w:rsidRDefault="00C220B2" w:rsidP="00C220B2">
            <w:pPr>
              <w:spacing w:after="0" w:line="240" w:lineRule="auto"/>
              <w:rPr>
                <w:rFonts w:ascii="Calibri" w:eastAsia="Times New Roman" w:hAnsi="Calibri" w:cs="Calibri"/>
                <w:color w:val="000000"/>
                <w:lang w:eastAsia="en-GB"/>
              </w:rPr>
            </w:pPr>
            <w:r w:rsidRPr="00C220B2">
              <w:rPr>
                <w:rFonts w:ascii="Calibri" w:eastAsia="Times New Roman" w:hAnsi="Calibri" w:cs="Calibri"/>
                <w:color w:val="000000"/>
                <w:lang w:eastAsia="en-GB"/>
              </w:rPr>
              <w:t>Fraction of sinter &gt;5mm (%)</w:t>
            </w:r>
          </w:p>
        </w:tc>
        <w:tc>
          <w:tcPr>
            <w:tcW w:w="1566" w:type="dxa"/>
            <w:tcBorders>
              <w:top w:val="nil"/>
              <w:left w:val="nil"/>
              <w:bottom w:val="single" w:sz="4" w:space="0" w:color="auto"/>
              <w:right w:val="single" w:sz="4" w:space="0" w:color="auto"/>
            </w:tcBorders>
            <w:shd w:val="clear" w:color="auto" w:fill="auto"/>
            <w:noWrap/>
            <w:vAlign w:val="center"/>
            <w:hideMark/>
          </w:tcPr>
          <w:p w14:paraId="4ABBA2B9"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51.19</w:t>
            </w:r>
          </w:p>
        </w:tc>
        <w:tc>
          <w:tcPr>
            <w:tcW w:w="1403" w:type="dxa"/>
            <w:tcBorders>
              <w:top w:val="nil"/>
              <w:left w:val="nil"/>
              <w:bottom w:val="single" w:sz="4" w:space="0" w:color="auto"/>
              <w:right w:val="single" w:sz="4" w:space="0" w:color="auto"/>
            </w:tcBorders>
            <w:shd w:val="clear" w:color="auto" w:fill="auto"/>
            <w:noWrap/>
            <w:vAlign w:val="center"/>
            <w:hideMark/>
          </w:tcPr>
          <w:p w14:paraId="1B5E7EBB"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54.41</w:t>
            </w:r>
          </w:p>
        </w:tc>
        <w:tc>
          <w:tcPr>
            <w:tcW w:w="1607" w:type="dxa"/>
            <w:tcBorders>
              <w:top w:val="nil"/>
              <w:left w:val="nil"/>
              <w:bottom w:val="single" w:sz="4" w:space="0" w:color="auto"/>
              <w:right w:val="single" w:sz="4" w:space="0" w:color="auto"/>
            </w:tcBorders>
            <w:shd w:val="clear" w:color="auto" w:fill="auto"/>
            <w:noWrap/>
            <w:vAlign w:val="center"/>
            <w:hideMark/>
          </w:tcPr>
          <w:p w14:paraId="13309883"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45.43</w:t>
            </w:r>
          </w:p>
        </w:tc>
        <w:tc>
          <w:tcPr>
            <w:tcW w:w="1566" w:type="dxa"/>
            <w:tcBorders>
              <w:top w:val="nil"/>
              <w:left w:val="nil"/>
              <w:bottom w:val="single" w:sz="4" w:space="0" w:color="auto"/>
              <w:right w:val="single" w:sz="4" w:space="0" w:color="auto"/>
            </w:tcBorders>
            <w:shd w:val="clear" w:color="auto" w:fill="auto"/>
            <w:noWrap/>
            <w:vAlign w:val="center"/>
            <w:hideMark/>
          </w:tcPr>
          <w:p w14:paraId="4A57A57E" w14:textId="77777777" w:rsidR="00C220B2" w:rsidRPr="00C220B2" w:rsidRDefault="00C220B2" w:rsidP="00C220B2">
            <w:pPr>
              <w:spacing w:after="0" w:line="240" w:lineRule="auto"/>
              <w:jc w:val="center"/>
              <w:rPr>
                <w:rFonts w:ascii="Calibri" w:eastAsia="Times New Roman" w:hAnsi="Calibri" w:cs="Calibri"/>
                <w:color w:val="000000"/>
                <w:lang w:eastAsia="en-GB"/>
              </w:rPr>
            </w:pPr>
            <w:r w:rsidRPr="00C220B2">
              <w:rPr>
                <w:rFonts w:ascii="Calibri" w:eastAsia="Times New Roman" w:hAnsi="Calibri" w:cs="Calibri"/>
                <w:color w:val="000000"/>
                <w:lang w:eastAsia="en-GB"/>
              </w:rPr>
              <w:t>25.56</w:t>
            </w:r>
          </w:p>
        </w:tc>
      </w:tr>
    </w:tbl>
    <w:p w14:paraId="0CB84BE7" w14:textId="77777777" w:rsidR="00C57B0F" w:rsidRDefault="00C57B0F" w:rsidP="00390F02"/>
    <w:p w14:paraId="6BFEA04C" w14:textId="386E34D5" w:rsidR="00C57B0F" w:rsidRDefault="00EF5B75" w:rsidP="00390F02">
      <w:r w:rsidRPr="00EF5B75">
        <w:rPr>
          <w:noProof/>
        </w:rPr>
        <w:lastRenderedPageBreak/>
        <w:drawing>
          <wp:inline distT="0" distB="0" distL="0" distR="0" wp14:anchorId="76EDB068" wp14:editId="334E949F">
            <wp:extent cx="5731510" cy="3238500"/>
            <wp:effectExtent l="0" t="0" r="2540" b="0"/>
            <wp:docPr id="159" name="Picture 15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Chart&#10;&#10;Description automatically generated"/>
                    <pic:cNvPicPr/>
                  </pic:nvPicPr>
                  <pic:blipFill>
                    <a:blip r:embed="rId73"/>
                    <a:stretch>
                      <a:fillRect/>
                    </a:stretch>
                  </pic:blipFill>
                  <pic:spPr>
                    <a:xfrm>
                      <a:off x="0" y="0"/>
                      <a:ext cx="5731510" cy="3238500"/>
                    </a:xfrm>
                    <a:prstGeom prst="rect">
                      <a:avLst/>
                    </a:prstGeom>
                  </pic:spPr>
                </pic:pic>
              </a:graphicData>
            </a:graphic>
          </wp:inline>
        </w:drawing>
      </w:r>
    </w:p>
    <w:p w14:paraId="50BFF43C" w14:textId="3A7CE421" w:rsidR="00364531" w:rsidRDefault="00B52870" w:rsidP="00B52870">
      <w:pPr>
        <w:pStyle w:val="Caption"/>
      </w:pPr>
      <w:bookmarkStart w:id="98" w:name="_Toc127110939"/>
      <w:r>
        <w:t xml:space="preserve">Figure </w:t>
      </w:r>
      <w:fldSimple w:instr=" SEQ Figure \* ARABIC ">
        <w:r w:rsidR="00A0212F">
          <w:rPr>
            <w:noProof/>
          </w:rPr>
          <w:t>45</w:t>
        </w:r>
      </w:fldSimple>
      <w:r w:rsidR="002E165E">
        <w:t xml:space="preserve"> Cold and hot permeability graphs – Biochar 2</w:t>
      </w:r>
      <w:bookmarkEnd w:id="98"/>
    </w:p>
    <w:p w14:paraId="0B85F73B" w14:textId="3DB47816" w:rsidR="002F0C0B" w:rsidRPr="002F0C0B" w:rsidRDefault="002F0C0B" w:rsidP="00BC7D5B">
      <w:pPr>
        <w:spacing w:line="360" w:lineRule="auto"/>
        <w:jc w:val="both"/>
      </w:pPr>
      <w:r>
        <w:t>The permeability</w:t>
      </w:r>
      <w:r w:rsidR="004879BF">
        <w:t xml:space="preserve"> results shown in the</w:t>
      </w:r>
      <w:r>
        <w:t xml:space="preserve"> figure 45</w:t>
      </w:r>
      <w:r w:rsidR="004879BF">
        <w:t xml:space="preserve"> above</w:t>
      </w:r>
      <w:r>
        <w:t xml:space="preserve"> </w:t>
      </w:r>
      <w:r w:rsidR="008C3EC4">
        <w:t xml:space="preserve">and table 18 below </w:t>
      </w:r>
      <w:r>
        <w:t>show that the base</w:t>
      </w:r>
      <w:r w:rsidR="00727017">
        <w:t xml:space="preserve"> </w:t>
      </w:r>
      <w:r>
        <w:t xml:space="preserve">blend has the highest </w:t>
      </w:r>
      <w:r w:rsidR="008A0CA5">
        <w:t>hot</w:t>
      </w:r>
      <w:r>
        <w:t xml:space="preserve"> permeability </w:t>
      </w:r>
      <w:r w:rsidR="00727017">
        <w:t>follow</w:t>
      </w:r>
      <w:r w:rsidR="008C3EC4">
        <w:t>ed linearly by the 25%, 50%, and the 75% blends</w:t>
      </w:r>
      <w:r w:rsidR="004879BF">
        <w:t>.</w:t>
      </w:r>
      <w:r w:rsidR="006F17CF">
        <w:t xml:space="preserve"> The base blend also has the highest cold </w:t>
      </w:r>
      <w:r w:rsidR="003E60BC">
        <w:t>permeability,</w:t>
      </w:r>
      <w:r w:rsidR="006F17CF">
        <w:t xml:space="preserve"> but the </w:t>
      </w:r>
      <w:r w:rsidR="00203C7F">
        <w:t>closest result</w:t>
      </w:r>
      <w:r w:rsidR="006F17CF">
        <w:t xml:space="preserve"> is the </w:t>
      </w:r>
      <w:r w:rsidR="0094592B">
        <w:t xml:space="preserve">50% blend, </w:t>
      </w:r>
      <w:r w:rsidR="00865CA7">
        <w:t>the</w:t>
      </w:r>
      <w:r w:rsidR="0094592B">
        <w:t xml:space="preserve"> 25% and 75% blends</w:t>
      </w:r>
      <w:r w:rsidR="00865CA7">
        <w:t xml:space="preserve"> then </w:t>
      </w:r>
      <w:r w:rsidR="00746BFB">
        <w:t>follow</w:t>
      </w:r>
      <w:r w:rsidR="00865CA7">
        <w:t xml:space="preserve"> in order</w:t>
      </w:r>
      <w:r w:rsidR="0094592B">
        <w:t>.</w:t>
      </w:r>
      <w:r w:rsidR="005456E9">
        <w:t xml:space="preserve"> For the finished sinter </w:t>
      </w:r>
      <w:r w:rsidR="0085471C">
        <w:t>permeability,</w:t>
      </w:r>
      <w:r w:rsidR="005456E9">
        <w:t xml:space="preserve"> the 25% blend has the highest </w:t>
      </w:r>
      <w:r w:rsidR="00A45500">
        <w:t xml:space="preserve">result, with the base blend close behind. The 50% blend and 75% </w:t>
      </w:r>
      <w:r w:rsidR="0085471C">
        <w:t>follow with lower results.</w:t>
      </w:r>
    </w:p>
    <w:p w14:paraId="5C4E7190" w14:textId="73545433" w:rsidR="00364531" w:rsidRDefault="002E165E" w:rsidP="002E165E">
      <w:pPr>
        <w:pStyle w:val="Caption"/>
        <w:jc w:val="center"/>
      </w:pPr>
      <w:r>
        <w:t xml:space="preserve">Table </w:t>
      </w:r>
      <w:fldSimple w:instr=" SEQ Table \* ARABIC ">
        <w:r w:rsidR="00DA2639">
          <w:rPr>
            <w:noProof/>
          </w:rPr>
          <w:t>18</w:t>
        </w:r>
      </w:fldSimple>
      <w:r>
        <w:t xml:space="preserve"> Sintering air flows– Biochar </w:t>
      </w:r>
      <w:r w:rsidR="00190156">
        <w:t>2</w:t>
      </w:r>
    </w:p>
    <w:tbl>
      <w:tblPr>
        <w:tblW w:w="9209" w:type="dxa"/>
        <w:tblLook w:val="04A0" w:firstRow="1" w:lastRow="0" w:firstColumn="1" w:lastColumn="0" w:noHBand="0" w:noVBand="1"/>
      </w:tblPr>
      <w:tblGrid>
        <w:gridCol w:w="2920"/>
        <w:gridCol w:w="1690"/>
        <w:gridCol w:w="1515"/>
        <w:gridCol w:w="1525"/>
        <w:gridCol w:w="1559"/>
      </w:tblGrid>
      <w:tr w:rsidR="005242DD" w:rsidRPr="005242DD" w14:paraId="6AB4C05C" w14:textId="77777777" w:rsidTr="00E37B5B">
        <w:trPr>
          <w:trHeight w:val="424"/>
        </w:trPr>
        <w:tc>
          <w:tcPr>
            <w:tcW w:w="2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2E278"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Process Parameters</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14:paraId="4086C4CD"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Coke breeze 100%</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14:paraId="0D38B096"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Biochar 2 (25%)</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14:paraId="52DB223D" w14:textId="14FD635F"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Biochar 2 (50%)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BBD5D65"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Biochar 2 (75%)</w:t>
            </w:r>
          </w:p>
        </w:tc>
      </w:tr>
      <w:tr w:rsidR="005242DD" w:rsidRPr="005242DD" w14:paraId="4B0EC79C" w14:textId="77777777" w:rsidTr="00E37B5B">
        <w:trPr>
          <w:trHeight w:val="608"/>
        </w:trPr>
        <w:tc>
          <w:tcPr>
            <w:tcW w:w="2920" w:type="dxa"/>
            <w:tcBorders>
              <w:top w:val="nil"/>
              <w:left w:val="single" w:sz="4" w:space="0" w:color="auto"/>
              <w:bottom w:val="single" w:sz="4" w:space="0" w:color="auto"/>
              <w:right w:val="single" w:sz="4" w:space="0" w:color="auto"/>
            </w:tcBorders>
            <w:shd w:val="clear" w:color="auto" w:fill="auto"/>
            <w:vAlign w:val="center"/>
            <w:hideMark/>
          </w:tcPr>
          <w:p w14:paraId="33446D01"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Hot Flow Average (m</w:t>
            </w:r>
            <w:r w:rsidRPr="005242DD">
              <w:rPr>
                <w:rFonts w:ascii="Calibri" w:eastAsia="Times New Roman" w:hAnsi="Calibri" w:cs="Calibri"/>
                <w:color w:val="000000"/>
                <w:vertAlign w:val="superscript"/>
                <w:lang w:eastAsia="en-GB"/>
              </w:rPr>
              <w:t>3</w:t>
            </w:r>
            <w:r w:rsidRPr="005242DD">
              <w:rPr>
                <w:rFonts w:ascii="Calibri" w:eastAsia="Times New Roman" w:hAnsi="Calibri" w:cs="Calibri"/>
                <w:color w:val="000000"/>
                <w:lang w:eastAsia="en-GB"/>
              </w:rPr>
              <w:t>/hr)</w:t>
            </w:r>
          </w:p>
        </w:tc>
        <w:tc>
          <w:tcPr>
            <w:tcW w:w="1690" w:type="dxa"/>
            <w:tcBorders>
              <w:top w:val="nil"/>
              <w:left w:val="nil"/>
              <w:bottom w:val="single" w:sz="4" w:space="0" w:color="auto"/>
              <w:right w:val="single" w:sz="4" w:space="0" w:color="auto"/>
            </w:tcBorders>
            <w:shd w:val="clear" w:color="auto" w:fill="auto"/>
            <w:vAlign w:val="center"/>
            <w:hideMark/>
          </w:tcPr>
          <w:p w14:paraId="63168233"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5.76</w:t>
            </w:r>
          </w:p>
        </w:tc>
        <w:tc>
          <w:tcPr>
            <w:tcW w:w="1515" w:type="dxa"/>
            <w:tcBorders>
              <w:top w:val="nil"/>
              <w:left w:val="nil"/>
              <w:bottom w:val="single" w:sz="4" w:space="0" w:color="auto"/>
              <w:right w:val="single" w:sz="4" w:space="0" w:color="auto"/>
            </w:tcBorders>
            <w:shd w:val="clear" w:color="auto" w:fill="auto"/>
            <w:vAlign w:val="center"/>
            <w:hideMark/>
          </w:tcPr>
          <w:p w14:paraId="718DB943"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5.03</w:t>
            </w:r>
          </w:p>
        </w:tc>
        <w:tc>
          <w:tcPr>
            <w:tcW w:w="1525" w:type="dxa"/>
            <w:tcBorders>
              <w:top w:val="nil"/>
              <w:left w:val="nil"/>
              <w:bottom w:val="single" w:sz="4" w:space="0" w:color="auto"/>
              <w:right w:val="single" w:sz="4" w:space="0" w:color="auto"/>
            </w:tcBorders>
            <w:shd w:val="clear" w:color="auto" w:fill="auto"/>
            <w:vAlign w:val="center"/>
            <w:hideMark/>
          </w:tcPr>
          <w:p w14:paraId="65093E44"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4.22</w:t>
            </w:r>
          </w:p>
        </w:tc>
        <w:tc>
          <w:tcPr>
            <w:tcW w:w="1559" w:type="dxa"/>
            <w:tcBorders>
              <w:top w:val="nil"/>
              <w:left w:val="nil"/>
              <w:bottom w:val="single" w:sz="4" w:space="0" w:color="auto"/>
              <w:right w:val="single" w:sz="4" w:space="0" w:color="auto"/>
            </w:tcBorders>
            <w:shd w:val="clear" w:color="auto" w:fill="auto"/>
            <w:vAlign w:val="center"/>
            <w:hideMark/>
          </w:tcPr>
          <w:p w14:paraId="2EA6AB85"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3.98</w:t>
            </w:r>
          </w:p>
        </w:tc>
      </w:tr>
      <w:tr w:rsidR="005242DD" w:rsidRPr="005242DD" w14:paraId="2AC5D9DE" w14:textId="77777777" w:rsidTr="00E37B5B">
        <w:trPr>
          <w:trHeight w:val="608"/>
        </w:trPr>
        <w:tc>
          <w:tcPr>
            <w:tcW w:w="2920" w:type="dxa"/>
            <w:tcBorders>
              <w:top w:val="nil"/>
              <w:left w:val="single" w:sz="4" w:space="0" w:color="auto"/>
              <w:bottom w:val="single" w:sz="4" w:space="0" w:color="auto"/>
              <w:right w:val="single" w:sz="4" w:space="0" w:color="auto"/>
            </w:tcBorders>
            <w:shd w:val="clear" w:color="auto" w:fill="auto"/>
            <w:vAlign w:val="center"/>
            <w:hideMark/>
          </w:tcPr>
          <w:p w14:paraId="110C91A7"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Cold Flow Average (m</w:t>
            </w:r>
            <w:r w:rsidRPr="005242DD">
              <w:rPr>
                <w:rFonts w:ascii="Calibri" w:eastAsia="Times New Roman" w:hAnsi="Calibri" w:cs="Calibri"/>
                <w:color w:val="000000"/>
                <w:vertAlign w:val="superscript"/>
                <w:lang w:eastAsia="en-GB"/>
              </w:rPr>
              <w:t>3</w:t>
            </w:r>
            <w:r w:rsidRPr="005242DD">
              <w:rPr>
                <w:rFonts w:ascii="Calibri" w:eastAsia="Times New Roman" w:hAnsi="Calibri" w:cs="Calibri"/>
                <w:color w:val="000000"/>
                <w:lang w:eastAsia="en-GB"/>
              </w:rPr>
              <w:t>/hr)</w:t>
            </w:r>
          </w:p>
        </w:tc>
        <w:tc>
          <w:tcPr>
            <w:tcW w:w="1690" w:type="dxa"/>
            <w:tcBorders>
              <w:top w:val="nil"/>
              <w:left w:val="nil"/>
              <w:bottom w:val="single" w:sz="4" w:space="0" w:color="auto"/>
              <w:right w:val="single" w:sz="4" w:space="0" w:color="auto"/>
            </w:tcBorders>
            <w:shd w:val="clear" w:color="auto" w:fill="auto"/>
            <w:vAlign w:val="center"/>
            <w:hideMark/>
          </w:tcPr>
          <w:p w14:paraId="2A3C6F50"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7.79</w:t>
            </w:r>
          </w:p>
        </w:tc>
        <w:tc>
          <w:tcPr>
            <w:tcW w:w="1515" w:type="dxa"/>
            <w:tcBorders>
              <w:top w:val="nil"/>
              <w:left w:val="nil"/>
              <w:bottom w:val="single" w:sz="4" w:space="0" w:color="auto"/>
              <w:right w:val="single" w:sz="4" w:space="0" w:color="auto"/>
            </w:tcBorders>
            <w:shd w:val="clear" w:color="auto" w:fill="auto"/>
            <w:vAlign w:val="center"/>
            <w:hideMark/>
          </w:tcPr>
          <w:p w14:paraId="6B871A04"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7.12</w:t>
            </w:r>
          </w:p>
        </w:tc>
        <w:tc>
          <w:tcPr>
            <w:tcW w:w="1525" w:type="dxa"/>
            <w:tcBorders>
              <w:top w:val="nil"/>
              <w:left w:val="nil"/>
              <w:bottom w:val="single" w:sz="4" w:space="0" w:color="auto"/>
              <w:right w:val="single" w:sz="4" w:space="0" w:color="auto"/>
            </w:tcBorders>
            <w:shd w:val="clear" w:color="auto" w:fill="auto"/>
            <w:vAlign w:val="center"/>
            <w:hideMark/>
          </w:tcPr>
          <w:p w14:paraId="38FDF002"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7.42</w:t>
            </w:r>
          </w:p>
        </w:tc>
        <w:tc>
          <w:tcPr>
            <w:tcW w:w="1559" w:type="dxa"/>
            <w:tcBorders>
              <w:top w:val="nil"/>
              <w:left w:val="nil"/>
              <w:bottom w:val="single" w:sz="4" w:space="0" w:color="auto"/>
              <w:right w:val="single" w:sz="4" w:space="0" w:color="auto"/>
            </w:tcBorders>
            <w:shd w:val="clear" w:color="auto" w:fill="auto"/>
            <w:vAlign w:val="center"/>
            <w:hideMark/>
          </w:tcPr>
          <w:p w14:paraId="00ED4D94"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6.78</w:t>
            </w:r>
          </w:p>
        </w:tc>
      </w:tr>
      <w:tr w:rsidR="005242DD" w:rsidRPr="005242DD" w14:paraId="7E0AA1E5" w14:textId="77777777" w:rsidTr="00E37B5B">
        <w:trPr>
          <w:trHeight w:val="415"/>
        </w:trPr>
        <w:tc>
          <w:tcPr>
            <w:tcW w:w="2920" w:type="dxa"/>
            <w:tcBorders>
              <w:top w:val="nil"/>
              <w:left w:val="single" w:sz="4" w:space="0" w:color="auto"/>
              <w:bottom w:val="single" w:sz="4" w:space="0" w:color="auto"/>
              <w:right w:val="single" w:sz="4" w:space="0" w:color="auto"/>
            </w:tcBorders>
            <w:shd w:val="clear" w:color="auto" w:fill="auto"/>
            <w:vAlign w:val="center"/>
            <w:hideMark/>
          </w:tcPr>
          <w:p w14:paraId="0343EED9"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Sintered Air Flow (m</w:t>
            </w:r>
            <w:r w:rsidRPr="005242DD">
              <w:rPr>
                <w:rFonts w:ascii="Calibri" w:eastAsia="Times New Roman" w:hAnsi="Calibri" w:cs="Calibri"/>
                <w:color w:val="000000"/>
                <w:vertAlign w:val="superscript"/>
                <w:lang w:eastAsia="en-GB"/>
              </w:rPr>
              <w:t>3</w:t>
            </w:r>
            <w:r w:rsidRPr="005242DD">
              <w:rPr>
                <w:rFonts w:ascii="Calibri" w:eastAsia="Times New Roman" w:hAnsi="Calibri" w:cs="Calibri"/>
                <w:color w:val="000000"/>
                <w:lang w:eastAsia="en-GB"/>
              </w:rPr>
              <w:t>/hr)</w:t>
            </w:r>
          </w:p>
        </w:tc>
        <w:tc>
          <w:tcPr>
            <w:tcW w:w="1690" w:type="dxa"/>
            <w:tcBorders>
              <w:top w:val="nil"/>
              <w:left w:val="nil"/>
              <w:bottom w:val="single" w:sz="4" w:space="0" w:color="auto"/>
              <w:right w:val="single" w:sz="4" w:space="0" w:color="auto"/>
            </w:tcBorders>
            <w:shd w:val="clear" w:color="auto" w:fill="auto"/>
            <w:vAlign w:val="center"/>
            <w:hideMark/>
          </w:tcPr>
          <w:p w14:paraId="602EA79A"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23.92</w:t>
            </w:r>
          </w:p>
        </w:tc>
        <w:tc>
          <w:tcPr>
            <w:tcW w:w="1515" w:type="dxa"/>
            <w:tcBorders>
              <w:top w:val="nil"/>
              <w:left w:val="nil"/>
              <w:bottom w:val="single" w:sz="4" w:space="0" w:color="auto"/>
              <w:right w:val="single" w:sz="4" w:space="0" w:color="auto"/>
            </w:tcBorders>
            <w:shd w:val="clear" w:color="auto" w:fill="auto"/>
            <w:vAlign w:val="center"/>
            <w:hideMark/>
          </w:tcPr>
          <w:p w14:paraId="78E099F2"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24.64</w:t>
            </w:r>
          </w:p>
        </w:tc>
        <w:tc>
          <w:tcPr>
            <w:tcW w:w="1525" w:type="dxa"/>
            <w:tcBorders>
              <w:top w:val="nil"/>
              <w:left w:val="nil"/>
              <w:bottom w:val="single" w:sz="4" w:space="0" w:color="auto"/>
              <w:right w:val="single" w:sz="4" w:space="0" w:color="auto"/>
            </w:tcBorders>
            <w:shd w:val="clear" w:color="auto" w:fill="auto"/>
            <w:vAlign w:val="center"/>
            <w:hideMark/>
          </w:tcPr>
          <w:p w14:paraId="5B7ECDA7"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20.12</w:t>
            </w:r>
          </w:p>
        </w:tc>
        <w:tc>
          <w:tcPr>
            <w:tcW w:w="1559" w:type="dxa"/>
            <w:tcBorders>
              <w:top w:val="nil"/>
              <w:left w:val="nil"/>
              <w:bottom w:val="single" w:sz="4" w:space="0" w:color="auto"/>
              <w:right w:val="single" w:sz="4" w:space="0" w:color="auto"/>
            </w:tcBorders>
            <w:shd w:val="clear" w:color="auto" w:fill="auto"/>
            <w:vAlign w:val="center"/>
            <w:hideMark/>
          </w:tcPr>
          <w:p w14:paraId="2AA45982" w14:textId="77777777" w:rsidR="005242DD" w:rsidRPr="005242DD" w:rsidRDefault="005242DD" w:rsidP="005242DD">
            <w:pPr>
              <w:spacing w:after="0" w:line="240" w:lineRule="auto"/>
              <w:jc w:val="center"/>
              <w:rPr>
                <w:rFonts w:ascii="Calibri" w:eastAsia="Times New Roman" w:hAnsi="Calibri" w:cs="Calibri"/>
                <w:color w:val="000000"/>
                <w:lang w:eastAsia="en-GB"/>
              </w:rPr>
            </w:pPr>
            <w:r w:rsidRPr="005242DD">
              <w:rPr>
                <w:rFonts w:ascii="Calibri" w:eastAsia="Times New Roman" w:hAnsi="Calibri" w:cs="Calibri"/>
                <w:color w:val="000000"/>
                <w:lang w:eastAsia="en-GB"/>
              </w:rPr>
              <w:t>15.19</w:t>
            </w:r>
          </w:p>
        </w:tc>
      </w:tr>
    </w:tbl>
    <w:p w14:paraId="7FA3AF27" w14:textId="77777777" w:rsidR="00126ED0" w:rsidRDefault="00126ED0" w:rsidP="00721948">
      <w:pPr>
        <w:pStyle w:val="Heading3"/>
        <w:spacing w:line="360" w:lineRule="auto"/>
      </w:pPr>
    </w:p>
    <w:p w14:paraId="0CFD841D" w14:textId="77777777" w:rsidR="00BC7D5B" w:rsidRDefault="00BC7D5B" w:rsidP="00BC7D5B"/>
    <w:p w14:paraId="53B20BCD" w14:textId="77777777" w:rsidR="00BC7D5B" w:rsidRDefault="00BC7D5B" w:rsidP="00BC7D5B"/>
    <w:p w14:paraId="50FDEAAA" w14:textId="77777777" w:rsidR="00BC7D5B" w:rsidRDefault="00BC7D5B" w:rsidP="00BC7D5B"/>
    <w:p w14:paraId="4A6CACAB" w14:textId="77777777" w:rsidR="00BC7D5B" w:rsidRDefault="00BC7D5B" w:rsidP="00BC7D5B"/>
    <w:p w14:paraId="2E2B5C20" w14:textId="77777777" w:rsidR="00BC7D5B" w:rsidRPr="00BC7D5B" w:rsidRDefault="00BC7D5B" w:rsidP="00BC7D5B"/>
    <w:p w14:paraId="66C5BD9D" w14:textId="4ED9411C" w:rsidR="00721948" w:rsidRDefault="00F37B6E" w:rsidP="00721948">
      <w:pPr>
        <w:pStyle w:val="Heading3"/>
        <w:spacing w:line="360" w:lineRule="auto"/>
      </w:pPr>
      <w:bookmarkStart w:id="99" w:name="_Toc127911474"/>
      <w:r>
        <w:lastRenderedPageBreak/>
        <w:t>Sinter quality indice</w:t>
      </w:r>
      <w:r w:rsidR="009F60F0">
        <w:t>s</w:t>
      </w:r>
      <w:bookmarkEnd w:id="99"/>
    </w:p>
    <w:p w14:paraId="6CFCE29D" w14:textId="7DC16BA2" w:rsidR="009F60F0" w:rsidRPr="009F60F0" w:rsidRDefault="00BA199C" w:rsidP="00224783">
      <w:pPr>
        <w:spacing w:line="360" w:lineRule="auto"/>
        <w:jc w:val="both"/>
      </w:pPr>
      <w:r>
        <w:t xml:space="preserve">A </w:t>
      </w:r>
      <w:r w:rsidR="00180929">
        <w:t>major requirement for</w:t>
      </w:r>
      <w:r w:rsidR="006A5418">
        <w:t xml:space="preserve"> BF raw</w:t>
      </w:r>
      <w:r w:rsidR="00180929">
        <w:t xml:space="preserve"> materials</w:t>
      </w:r>
      <w:r w:rsidR="006A5418">
        <w:t xml:space="preserve"> is to limit the quantity of fines</w:t>
      </w:r>
      <w:r w:rsidR="00691B45">
        <w:t xml:space="preserve"> introduced or created</w:t>
      </w:r>
      <w:r w:rsidR="006A5418">
        <w:t xml:space="preserve"> as much as possible</w:t>
      </w:r>
      <w:r w:rsidR="00691B45">
        <w:t xml:space="preserve">. To </w:t>
      </w:r>
      <w:r w:rsidR="007B30A6">
        <w:t>support this</w:t>
      </w:r>
      <w:r w:rsidR="008076D2">
        <w:t>,</w:t>
      </w:r>
      <w:r w:rsidR="007B30A6">
        <w:t xml:space="preserve"> </w:t>
      </w:r>
      <w:r w:rsidR="008076D2">
        <w:t>all sinter</w:t>
      </w:r>
      <w:r w:rsidR="007B30A6">
        <w:t xml:space="preserve"> </w:t>
      </w:r>
      <w:r w:rsidR="00053275">
        <w:t xml:space="preserve">material </w:t>
      </w:r>
      <w:r w:rsidR="00B35A9D">
        <w:t xml:space="preserve">&gt;5mm is screened out before being charged. </w:t>
      </w:r>
      <w:r w:rsidR="00CB59EE">
        <w:t xml:space="preserve">The remaining sinter material needs to be resistant to fracture and abrasion (have cold strength) and </w:t>
      </w:r>
      <w:r w:rsidR="00A34005">
        <w:t xml:space="preserve">have good reduction – disintegration properties. These properties are measured by </w:t>
      </w:r>
      <w:r w:rsidR="0025043C">
        <w:t xml:space="preserve">the tumble and abrasion indices and the RDI indices </w:t>
      </w:r>
      <w:r w:rsidR="0025043C">
        <w:fldChar w:fldCharType="begin"/>
      </w:r>
      <w:r w:rsidR="0025043C">
        <w:instrText xml:space="preserve"> ADDIN ZOTERO_ITEM CSL_CITATION {"citationID":"ZJ3xKPoo","properties":{"formattedCitation":"(Geerdes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25043C">
        <w:fldChar w:fldCharType="separate"/>
      </w:r>
      <w:r w:rsidR="0025043C" w:rsidRPr="0025043C">
        <w:rPr>
          <w:rFonts w:ascii="Calibri" w:hAnsi="Calibri" w:cs="Calibri"/>
        </w:rPr>
        <w:t>(Geerdes et al. 2009)</w:t>
      </w:r>
      <w:r w:rsidR="0025043C">
        <w:fldChar w:fldCharType="end"/>
      </w:r>
      <w:r w:rsidR="0025043C">
        <w:t>.</w:t>
      </w:r>
    </w:p>
    <w:p w14:paraId="73527DFB" w14:textId="3085A772" w:rsidR="00B939A4" w:rsidRPr="00B939A4" w:rsidRDefault="005C1883" w:rsidP="00B939A4">
      <w:pPr>
        <w:spacing w:line="360" w:lineRule="auto"/>
      </w:pPr>
      <w:r>
        <w:rPr>
          <w:noProof/>
        </w:rPr>
        <w:drawing>
          <wp:inline distT="0" distB="0" distL="0" distR="0" wp14:anchorId="12759EC1" wp14:editId="08F22D7B">
            <wp:extent cx="5732890" cy="2798859"/>
            <wp:effectExtent l="0" t="0" r="1270" b="1905"/>
            <wp:docPr id="170" name="Chart 170">
              <a:extLst xmlns:a="http://schemas.openxmlformats.org/drawingml/2006/main">
                <a:ext uri="{FF2B5EF4-FFF2-40B4-BE49-F238E27FC236}">
                  <a16:creationId xmlns:a16="http://schemas.microsoft.com/office/drawing/2014/main" id="{00000000-0008-0000-03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42C77E32" w14:textId="13D710A0" w:rsidR="00364531" w:rsidRDefault="000C357E" w:rsidP="000C357E">
      <w:pPr>
        <w:pStyle w:val="Caption"/>
      </w:pPr>
      <w:bookmarkStart w:id="100" w:name="_Toc127110940"/>
      <w:r>
        <w:t xml:space="preserve">Figure </w:t>
      </w:r>
      <w:fldSimple w:instr=" SEQ Figure \* ARABIC ">
        <w:r w:rsidR="00A0212F">
          <w:rPr>
            <w:noProof/>
          </w:rPr>
          <w:t>46</w:t>
        </w:r>
      </w:fldSimple>
      <w:r>
        <w:t xml:space="preserve"> The Sinter quality indices for biochar 1</w:t>
      </w:r>
      <w:bookmarkEnd w:id="100"/>
    </w:p>
    <w:p w14:paraId="2DAA8F3D" w14:textId="41815F23" w:rsidR="00364531" w:rsidRDefault="00EE6313" w:rsidP="00D17A75">
      <w:pPr>
        <w:spacing w:line="360" w:lineRule="auto"/>
        <w:jc w:val="both"/>
      </w:pPr>
      <w:r>
        <w:t>The sinter quality indices</w:t>
      </w:r>
      <w:r w:rsidR="00CD5D0E">
        <w:t xml:space="preserve"> for the biochar 1 tests</w:t>
      </w:r>
      <w:r>
        <w:t xml:space="preserve"> are displayed above in figure 46. </w:t>
      </w:r>
      <w:r w:rsidR="00504842">
        <w:t>For the cold strength indices</w:t>
      </w:r>
      <w:r w:rsidR="00D17A75">
        <w:t>, the resistance to fracture</w:t>
      </w:r>
      <w:r w:rsidR="0051232D">
        <w:t>, the tumble index shows a general tre</w:t>
      </w:r>
      <w:r w:rsidR="00822F9F">
        <w:t>nd down</w:t>
      </w:r>
      <w:r w:rsidR="00AB7E18">
        <w:t xml:space="preserve">wards, the base blend starts at 44.4% </w:t>
      </w:r>
      <w:r w:rsidR="00A93B88">
        <w:t>and the 25% blend then drops to 41.8%</w:t>
      </w:r>
      <w:r w:rsidR="00062CF4">
        <w:t>, the</w:t>
      </w:r>
      <w:r w:rsidR="00CD5D0E">
        <w:t xml:space="preserve"> 50% is sl</w:t>
      </w:r>
      <w:r w:rsidR="00D05C49">
        <w:t xml:space="preserve">ightly stronger than the base blend at 44.7% then the 75% blend drops to 37.1%, a drop of </w:t>
      </w:r>
      <w:r w:rsidR="00F21A4D">
        <w:t>7.3% from the base blend.</w:t>
      </w:r>
      <w:r w:rsidR="005E0FB7">
        <w:t xml:space="preserve"> </w:t>
      </w:r>
      <w:r w:rsidR="00F21A4D">
        <w:t xml:space="preserve">The 50% biochar result </w:t>
      </w:r>
      <w:r w:rsidR="00C6522C">
        <w:t>supports the results gained from the process characteristics.</w:t>
      </w:r>
      <w:r w:rsidR="005E0FB7">
        <w:t xml:space="preserve"> The abrasion </w:t>
      </w:r>
      <w:r w:rsidR="007A2D3E">
        <w:t xml:space="preserve">index </w:t>
      </w:r>
      <w:r w:rsidR="00C70E65">
        <w:t xml:space="preserve">represents the resistance </w:t>
      </w:r>
      <w:r w:rsidR="00E84A82">
        <w:t>to</w:t>
      </w:r>
      <w:r w:rsidR="00C70E65">
        <w:t xml:space="preserve"> fines generation. </w:t>
      </w:r>
      <w:r w:rsidR="00DE370D">
        <w:t xml:space="preserve">The biochar 1 </w:t>
      </w:r>
      <w:r w:rsidR="0021473E">
        <w:t xml:space="preserve">AI </w:t>
      </w:r>
      <w:r w:rsidR="00DE370D">
        <w:t>results show a</w:t>
      </w:r>
      <w:r w:rsidR="0093578F">
        <w:t>n</w:t>
      </w:r>
      <w:r w:rsidR="00DE370D">
        <w:t xml:space="preserve"> </w:t>
      </w:r>
      <w:r w:rsidR="0048452B">
        <w:t xml:space="preserve">upward trend as more fines are created as the sinter gets weaker. The 50% </w:t>
      </w:r>
      <w:r w:rsidR="0093578F">
        <w:t xml:space="preserve">blend sinter being the exception with a </w:t>
      </w:r>
      <w:r w:rsidR="00C05914">
        <w:t>marginally lower result than the base blend.</w:t>
      </w:r>
    </w:p>
    <w:p w14:paraId="7F8E66C2" w14:textId="41C70874" w:rsidR="005A0626" w:rsidRDefault="00EB0B0A" w:rsidP="00D17A75">
      <w:pPr>
        <w:spacing w:line="360" w:lineRule="auto"/>
        <w:jc w:val="both"/>
      </w:pPr>
      <w:r>
        <w:t xml:space="preserve">The RDI is a </w:t>
      </w:r>
      <w:r w:rsidR="006F415F">
        <w:t xml:space="preserve">indicates how the sinter may </w:t>
      </w:r>
      <w:r w:rsidR="00FB541B">
        <w:t>disintegrate in the upper region of the BF</w:t>
      </w:r>
      <w:r w:rsidR="00F425C9">
        <w:t xml:space="preserve">. Sinter with a high </w:t>
      </w:r>
      <w:r w:rsidR="00426ABA">
        <w:t xml:space="preserve">RDI would generate fines at the top of the furnace </w:t>
      </w:r>
      <w:r w:rsidR="004D4703">
        <w:t xml:space="preserve">which would decrease permeability in that region. </w:t>
      </w:r>
      <w:r w:rsidR="00AE3708">
        <w:t>The RDI</w:t>
      </w:r>
      <w:r w:rsidR="005F0BBB">
        <w:t xml:space="preserve"> index results for biochar 1 are illustrated in figure 46, </w:t>
      </w:r>
      <w:r w:rsidR="009270AA">
        <w:t>it shows that as the concentration of biochar increases</w:t>
      </w:r>
      <w:r w:rsidR="000F44DC">
        <w:t>, the amount of material -2.8mm increases. Again the 50% blend is an exception with the least amount of material -2.8mm generated.</w:t>
      </w:r>
    </w:p>
    <w:p w14:paraId="2913CE86" w14:textId="0BDAC8F4" w:rsidR="00364531" w:rsidRDefault="00AE3708" w:rsidP="00390F02">
      <w:r>
        <w:rPr>
          <w:noProof/>
        </w:rPr>
        <w:lastRenderedPageBreak/>
        <w:drawing>
          <wp:inline distT="0" distB="0" distL="0" distR="0" wp14:anchorId="635BDF60" wp14:editId="6FD9933B">
            <wp:extent cx="5772647" cy="3069203"/>
            <wp:effectExtent l="0" t="0" r="0" b="17145"/>
            <wp:docPr id="171" name="Chart 171">
              <a:extLst xmlns:a="http://schemas.openxmlformats.org/drawingml/2006/main">
                <a:ext uri="{FF2B5EF4-FFF2-40B4-BE49-F238E27FC236}">
                  <a16:creationId xmlns:a16="http://schemas.microsoft.com/office/drawing/2014/main" id="{00000000-0008-0000-03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69871C94" w14:textId="5BFE4C91" w:rsidR="00364531" w:rsidRDefault="002842BA" w:rsidP="002842BA">
      <w:pPr>
        <w:pStyle w:val="Caption"/>
      </w:pPr>
      <w:bookmarkStart w:id="101" w:name="_Toc127110941"/>
      <w:r>
        <w:t xml:space="preserve">Figure </w:t>
      </w:r>
      <w:fldSimple w:instr=" SEQ Figure \* ARABIC ">
        <w:r w:rsidR="00A0212F">
          <w:rPr>
            <w:noProof/>
          </w:rPr>
          <w:t>47</w:t>
        </w:r>
      </w:fldSimple>
      <w:r>
        <w:t xml:space="preserve"> Biochar 2 sinter quality indices</w:t>
      </w:r>
      <w:bookmarkEnd w:id="101"/>
    </w:p>
    <w:p w14:paraId="2ABF3AED" w14:textId="3729EF24" w:rsidR="00364531" w:rsidRDefault="00791876" w:rsidP="00331854">
      <w:pPr>
        <w:spacing w:line="360" w:lineRule="auto"/>
        <w:jc w:val="both"/>
      </w:pPr>
      <w:r>
        <w:t xml:space="preserve">The tumble index for biochar 2 </w:t>
      </w:r>
      <w:r w:rsidR="004A12D1">
        <w:t xml:space="preserve">presented above shows that </w:t>
      </w:r>
      <w:r w:rsidR="00331854">
        <w:t xml:space="preserve">the sinter gets weaker as the biochar concentration increases. </w:t>
      </w:r>
      <w:r w:rsidR="004A12D1">
        <w:t xml:space="preserve"> </w:t>
      </w:r>
      <w:r w:rsidR="00AD3116">
        <w:t xml:space="preserve">A tumble test could not be completed on the 75% </w:t>
      </w:r>
      <w:r w:rsidR="0066553A">
        <w:t xml:space="preserve">blend as 74.5% </w:t>
      </w:r>
      <w:r w:rsidR="00983968">
        <w:t xml:space="preserve">of the material was </w:t>
      </w:r>
      <w:r w:rsidR="0066553A">
        <w:t>less than 5mm</w:t>
      </w:r>
      <w:r w:rsidR="00983968">
        <w:t xml:space="preserve"> when screened. </w:t>
      </w:r>
      <w:r w:rsidR="00700616">
        <w:t>There was not enough material</w:t>
      </w:r>
      <w:r w:rsidR="00A005CB">
        <w:t xml:space="preserve"> from the </w:t>
      </w:r>
      <w:r w:rsidR="003F684C">
        <w:t xml:space="preserve">25mm, 16mm and 10mm fractions to make up the test portion. </w:t>
      </w:r>
      <w:r w:rsidR="00FB6228">
        <w:t xml:space="preserve">This reaffirms the </w:t>
      </w:r>
      <w:r w:rsidR="00EE71DB">
        <w:t>theory</w:t>
      </w:r>
      <w:r w:rsidR="00FB6228">
        <w:t xml:space="preserve"> that the sinter gets weaker </w:t>
      </w:r>
      <w:r w:rsidR="0097226C">
        <w:t xml:space="preserve">as the biochar addition increases. </w:t>
      </w:r>
      <w:r w:rsidR="004A58D0">
        <w:t xml:space="preserve">The </w:t>
      </w:r>
      <w:r w:rsidR="0017258A">
        <w:t>AI</w:t>
      </w:r>
      <w:r w:rsidR="004A58D0">
        <w:t xml:space="preserve"> </w:t>
      </w:r>
      <w:r w:rsidR="00863B15">
        <w:t xml:space="preserve">is 5.68% for the </w:t>
      </w:r>
      <w:r w:rsidR="007E34C6">
        <w:t>base blend then falls slightly for the 25% blend before increasing significantly for the 50%</w:t>
      </w:r>
      <w:r w:rsidR="00390AAE">
        <w:t xml:space="preserve"> blend. The </w:t>
      </w:r>
      <w:r w:rsidR="0017258A">
        <w:t>prediction would be for the AI to increase as the biochar addition increases if the sinter is becoming weaker.</w:t>
      </w:r>
    </w:p>
    <w:p w14:paraId="52EAAF2C" w14:textId="0FEB9E89" w:rsidR="00E83612" w:rsidRDefault="00E83612" w:rsidP="00331854">
      <w:pPr>
        <w:spacing w:line="360" w:lineRule="auto"/>
        <w:jc w:val="both"/>
      </w:pPr>
      <w:r>
        <w:t xml:space="preserve">The RDI results </w:t>
      </w:r>
      <w:r w:rsidR="00662BC1">
        <w:t xml:space="preserve">show that the material less than </w:t>
      </w:r>
      <w:r w:rsidR="00AE6F09">
        <w:t>2.8mm increases as the biochar concentration increases</w:t>
      </w:r>
      <w:r w:rsidR="00126ED0">
        <w:t xml:space="preserve"> excluding the</w:t>
      </w:r>
      <w:r w:rsidR="000A2354">
        <w:t xml:space="preserve"> 25% blend</w:t>
      </w:r>
      <w:r w:rsidR="00126ED0">
        <w:t xml:space="preserve"> which</w:t>
      </w:r>
      <w:r w:rsidR="000A2354">
        <w:t xml:space="preserve"> </w:t>
      </w:r>
      <w:r w:rsidR="00126ED0">
        <w:t xml:space="preserve">is marginally lower. </w:t>
      </w:r>
    </w:p>
    <w:p w14:paraId="30549149" w14:textId="343F819B" w:rsidR="00126ED0" w:rsidRDefault="00126ED0" w:rsidP="00126ED0">
      <w:pPr>
        <w:spacing w:line="360" w:lineRule="auto"/>
        <w:jc w:val="both"/>
      </w:pPr>
      <w:r>
        <w:t xml:space="preserve">The results displayed above for the sintering tests do not all conform to the results gathered in similar </w:t>
      </w:r>
      <w:r w:rsidR="00481C24">
        <w:t>research</w:t>
      </w:r>
      <w:r>
        <w:t xml:space="preserve"> carried out by authors such as </w:t>
      </w:r>
      <w:r>
        <w:fldChar w:fldCharType="begin"/>
      </w:r>
      <w:r>
        <w:instrText xml:space="preserve"> ADDIN ZOTERO_ITEM CSL_CITATION {"citationID":"fhME44k7","properties":{"formattedCitation":"(Kawaguchi and Hara 2013; Gan et al. 2014; Cheng et al. 2016; Liu et al. 2020)","plainCitation":"(Kawaguchi and Hara 2013; Gan et al. 2014; Cheng et al. 2016; Liu et al. 2020)","noteIndex":0},"citationItems":[{"id":1917,"uris":["http://zotero.org/users/local/AB2owHL2/items/TDKN9GFN"],"itemData":{"id":1917,"type":"article-journal","container-title":"ISIJ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label":"page"},{"id":1701,"uris":["http://zotero.org/users/local/AB2owHL2/items/YS66955K"],"itemData":{"id":1701,"type":"article-journal","abstract":"It is of great significance for cleaner production to substitute bio-energy for fossil fuels in iron ore sintering. However, with the replacement ratio increasing, the consistency of heat front and flame front is broken, and the thermal utilizing efficiency of fuel is reduced, which results in the decrease of yield and tumble index of sinter. Circulating flue gas to sintering bed as biochar replacing 40% coke, CO in flue gas can be reused so as to increase the thermal utilizing efficiency of fuels, and the consistency of two fronts is recovered for the circulating flue gas containing certain CO2, H2O and lower O2, which contributes to increasing the maximum temperature, extending the high temperature duration time of sintering bed, and results in improving the output and quality of sinter. In the condition of circulating 40% flue gas, the sintering with biomass fuels is strengthened, and the sintering indexes with biomass fuel replacing 40% coke breeze are comparative to those of using coke breeze completely.","container-title":"Journal of Central South University","DOI":"10.1007/s11771-014-2405-6","ISSN":"2095-2899, 2227-5223","issue":"11","journalAbbreviation":"J. Cent. South Univ.","language":"en","page":"4109-4114","source":"DOI.org (Crossref)","title":"Fundamental study on iron ore sintering new process of flue gas recirculation together with using biochar as fuel","URL":"http://link.springer.com/10.1007/s11771-014-2405-6","volume":"21","author":[{"family":"Gan","given":"Min"},{"family":"Fan","given":"Xiao-hui"},{"family":"Jiang","given":"Tao"},{"family":"Chen","given":"Xu-ling"},{"family":"Yu","given":"Zhi-yuan"},{"family":"Ji","given":"Zhi-yun"}],"accessed":{"date-parts":[["2022",6,28]]},"issued":{"date-parts":[["2014",11]]}},"label":"page"},{"id":1906,"uris":["http://zotero.org/users/local/AB2owHL2/items/9H8FADEK"],"itemData":{"id":1906,"type":"article-journal","abstract":"Using biomass for partial or complete replacement of coke breeze in iron ore sintering process is an attractive technique for reducing emissions of greenhouse gas and gaseous pollutants. But one drawback of this technique is that low or medium grade charcoal may lead to the failure in achieving proper sintering performance. In this paper, the behaviors of coke combustion versus charcoal combustion in sintering bed were compared. The results of thermal profile and exhaust gas composition indicated that the sinters quality was deteriorated at high charcoal proportion. Lacking heat release in melting zone and the excessively high combustion rate were the reasons to weak sinters. In order to ensure the sintering performance when using medium grade charcoal in sintering bed, the effects of three improving measures (proposing the equivalent fixed carbon substitution approach, increasing charcoal particle size and adopting coated charcoal combustion) were experimentally tested. The results showed that equivalent fixed carbon substitution approach was more effective to produce sufficient heat in melting zone at medium grade charcoal combustion. Additionally, it was also found that increasing charcoal particles size and applying coated charcoal combustion method could reduce combustion rate to achieve a proper matching condition between flame front speed and heat transfer front speed. Consequently, with the help of equivalent fixed carbon substitution approach, coarse charcoal and coated charcoal particles, the peak temperature, holding time above 1100°C, melting quantity index and combustion efficiency were increased in the charcoal sintering process.","container-title":"Applied Energy","DOI":"10.1016/j.apenergy.2015.09.095","ISSN":"0306-2619","journalAbbreviation":"Applied Energy","language":"en","page":"364-374","source":"ScienceDirect","title":"Characteristics of charcoal combustion and its effects on iron-ore sintering performance","URL":"https://www.sciencedirect.com/science/article/pii/S0306261915012210","volume":"161","author":[{"family":"Cheng","given":"Zhilong"},{"family":"Yang","given":"Jian"},{"family":"Zhou","given":"Lang"},{"family":"Liu","given":"Yan"},{"family":"Wang","given":"Qiuwang"}],"accessed":{"date-parts":[["2022",8,22]]},"issued":{"date-parts":[["2016",1,1]]}},"label":"page"},{"id":1873,"uris":["http://zotero.org/users/local/AB2owHL2/items/H6ZYCLQC"],"itemData":{"id":1873,"type":"article-journal","abstract":"Owing to majority of sintering fuel gas pollutants comes from the coke, modified charcoal replaced coke for iron ore sintering to achieve the emissions reduction of the pollutants in this study. By modifying biomass fuel with CaO and urea, the specific surface area, pore volume and pore diameter were reduced to 12.942 m2 g−1, 1.326e-02 cc g−1 and 18.865 nm. The experimental results of sintering cup showed that the vertical sintering speed increased, the burning through point advanced, the sinter drum index decreased gradually, and the sintering yield increased initially and then decreased with the increasing of modified charcoal content. The optimum proportion of modified charcoal instead of coke powder was determined to be 40%. Meanwhile, application of the 40% modified charcoal to sintering resulted in a decrease of 45.85% for SO2 and a decrease of 54.26% for NOx emissions.","container-title":"Ironmaking &amp; Steelmaking","DOI":"10.1080/03019233.2018.1507070","ISSN":"03019233","issue":"2","note":"publisher: Taylor &amp; Francis Ltd","page":"188-194","source":"EBSCOhost","title":"Modified biomass fuel instead of coke for iron ore sintering","URL":"https://ezproxy.uwtsd.ac.uk/login?url=https://search.ebscohost.com/login.aspx?direct=true&amp;db=aph&amp;AN=142124512&amp;site=ehost-live","volume":"47","author":[{"family":"Liu","given":"Chao"},{"family":"Zhang","given":"Yu-zhu"},{"family":"Zhao","given":"Kai"},{"family":"Xing","given":"Hong-wei"},{"family":"Kang","given":"Yue"}],"accessed":{"date-parts":[["2022",8,3]]},"issued":{"date-parts":[["2020",2]]}},"label":"page"}],"schema":"https://github.com/citation-style-language/schema/raw/master/csl-citation.json"} </w:instrText>
      </w:r>
      <w:r>
        <w:fldChar w:fldCharType="separate"/>
      </w:r>
      <w:r w:rsidRPr="007F0E45">
        <w:rPr>
          <w:rFonts w:ascii="Calibri" w:hAnsi="Calibri" w:cs="Calibri"/>
        </w:rPr>
        <w:t>(Kawaguchi and Hara 2013; Gan et al. 2014; Cheng et al. 2016; Liu et al. 2020)</w:t>
      </w:r>
      <w:r>
        <w:fldChar w:fldCharType="end"/>
      </w:r>
      <w:r>
        <w:t xml:space="preserve">. The general trends are shown but there are a few exceptions. This </w:t>
      </w:r>
      <w:r w:rsidR="00481C24">
        <w:t>could be</w:t>
      </w:r>
      <w:r>
        <w:t xml:space="preserve"> due to operator </w:t>
      </w:r>
      <w:proofErr w:type="gramStart"/>
      <w:r>
        <w:t>error,</w:t>
      </w:r>
      <w:proofErr w:type="gramEnd"/>
      <w:r>
        <w:t xml:space="preserve"> the author had limited access to the sinter pot which is used a plant process quality measurement and research and development tool. The author was trained and assessed as competent in using the equipment but has a lack in experience in what is a complicated process. The author also changed roles during this time, further reducing access to the equipment. There are many variables when preparing and testing sinter, more testing would have been beneficial to get more consistent results.</w:t>
      </w:r>
      <w:r w:rsidR="006E79FE">
        <w:t xml:space="preserve"> </w:t>
      </w:r>
    </w:p>
    <w:p w14:paraId="3FF2785F" w14:textId="37E64338" w:rsidR="00481C24" w:rsidRDefault="00481C24" w:rsidP="00481C24">
      <w:pPr>
        <w:spacing w:line="360" w:lineRule="auto"/>
        <w:jc w:val="both"/>
      </w:pPr>
      <w:r>
        <w:t xml:space="preserve">The 50% biochar 1 blend and the 25% biochar 2 blend </w:t>
      </w:r>
      <w:r w:rsidR="0060324E">
        <w:t>performed</w:t>
      </w:r>
      <w:r w:rsidR="006973D6">
        <w:t xml:space="preserve"> better in the quality tests</w:t>
      </w:r>
      <w:r>
        <w:t xml:space="preserve"> than the base blend</w:t>
      </w:r>
      <w:r w:rsidR="006973D6">
        <w:t>,</w:t>
      </w:r>
      <w:r w:rsidR="00993A85">
        <w:t xml:space="preserve"> as discussed above this could be due to operator error or some form of variation</w:t>
      </w:r>
      <w:r w:rsidR="006973D6">
        <w:t>.</w:t>
      </w:r>
      <w:r w:rsidR="00F939D5">
        <w:t xml:space="preserve"> </w:t>
      </w:r>
      <w:r w:rsidR="005F3F76">
        <w:lastRenderedPageBreak/>
        <w:t>Alternatively,</w:t>
      </w:r>
      <w:r w:rsidR="00F939D5">
        <w:t xml:space="preserve"> these conditions could make stronger sinter</w:t>
      </w:r>
      <w:r w:rsidR="005F3F76">
        <w:t>.</w:t>
      </w:r>
      <w:r w:rsidR="00F939D5">
        <w:t xml:space="preserve"> </w:t>
      </w:r>
      <w:r w:rsidR="005F3F76">
        <w:t>A</w:t>
      </w:r>
      <w:r w:rsidR="00107DE8">
        <w:t>ccording to previous studies carried out in literature, the former is more likely.</w:t>
      </w:r>
    </w:p>
    <w:p w14:paraId="5DBAC3B0" w14:textId="1FE34E31" w:rsidR="00BC6784" w:rsidRDefault="00BC6784" w:rsidP="0032282B">
      <w:pPr>
        <w:pStyle w:val="Heading3"/>
        <w:spacing w:line="360" w:lineRule="auto"/>
        <w:jc w:val="both"/>
      </w:pPr>
      <w:bookmarkStart w:id="102" w:name="_Toc127911475"/>
      <w:r>
        <w:t>Photographs of the sinter produced on the sinter pot</w:t>
      </w:r>
      <w:r w:rsidR="00970B51">
        <w:t>.</w:t>
      </w:r>
      <w:bookmarkEnd w:id="102"/>
    </w:p>
    <w:p w14:paraId="3C373DBC" w14:textId="452A2579" w:rsidR="00476EA7" w:rsidRDefault="00CC15D0" w:rsidP="0032282B">
      <w:pPr>
        <w:spacing w:line="360" w:lineRule="auto"/>
        <w:jc w:val="both"/>
      </w:pPr>
      <w:r>
        <w:t xml:space="preserve">The pictures below in figure 48 </w:t>
      </w:r>
      <w:r w:rsidR="007110BC">
        <w:t xml:space="preserve">display </w:t>
      </w:r>
      <w:r w:rsidR="0060324E">
        <w:t xml:space="preserve">examples of sinter cake produced on the sinter pot. The picture on the right is of a fully formed </w:t>
      </w:r>
      <w:r w:rsidR="005329FD">
        <w:t>sinter cake, the fact that it came out whole indicates that the sinter is reasonably strong</w:t>
      </w:r>
      <w:r w:rsidR="00A174F1">
        <w:t xml:space="preserve">. A weak sinter would crumble and fall apart when </w:t>
      </w:r>
      <w:r w:rsidR="003A5C32">
        <w:t xml:space="preserve">extracted. </w:t>
      </w:r>
      <w:r w:rsidR="00B4782F">
        <w:t xml:space="preserve">The picture on the right </w:t>
      </w:r>
      <w:r w:rsidR="00D8179F">
        <w:t xml:space="preserve">is an example of a sinter cake that exhibits channelling. </w:t>
      </w:r>
      <w:r w:rsidR="005F3C66">
        <w:t>C</w:t>
      </w:r>
      <w:r w:rsidR="001A7339">
        <w:t>hannelling occurs</w:t>
      </w:r>
      <w:r w:rsidR="005F3C66">
        <w:t xml:space="preserve"> down the side of the sinter pot </w:t>
      </w:r>
      <w:r w:rsidR="002833F2">
        <w:t>where the thermocouples are inserted</w:t>
      </w:r>
      <w:r w:rsidR="001B5ACF">
        <w:t xml:space="preserve">. </w:t>
      </w:r>
      <w:r w:rsidR="009300BE">
        <w:t xml:space="preserve">The </w:t>
      </w:r>
      <w:r w:rsidR="00DC3441">
        <w:t xml:space="preserve">areas between the </w:t>
      </w:r>
      <w:r w:rsidR="009300BE">
        <w:t xml:space="preserve">thermocouple entry points </w:t>
      </w:r>
      <w:r w:rsidR="00DC3441">
        <w:t>become weak</w:t>
      </w:r>
      <w:r w:rsidR="00E21F49">
        <w:t xml:space="preserve"> and partially collapse creating a more permeable area, </w:t>
      </w:r>
      <w:r w:rsidR="00A7203B">
        <w:t xml:space="preserve">through which the air passes </w:t>
      </w:r>
      <w:r w:rsidR="008E1FF5">
        <w:t>more quickly</w:t>
      </w:r>
      <w:r w:rsidR="000A5002">
        <w:t xml:space="preserve">. </w:t>
      </w:r>
      <w:r w:rsidR="00F34056">
        <w:t xml:space="preserve">As a </w:t>
      </w:r>
      <w:r w:rsidR="00970B51">
        <w:t>result,</w:t>
      </w:r>
      <w:r w:rsidR="00F34056">
        <w:t xml:space="preserve"> the channel stays hotter for longer and reacts</w:t>
      </w:r>
      <w:r w:rsidR="00010468">
        <w:t xml:space="preserve"> for</w:t>
      </w:r>
      <w:r w:rsidR="00F34056">
        <w:t xml:space="preserve"> </w:t>
      </w:r>
      <w:r w:rsidR="00010468">
        <w:t xml:space="preserve">longer than the rest of the cake. </w:t>
      </w:r>
      <w:r w:rsidR="00F823F3">
        <w:t xml:space="preserve">Examples can be seen in figures 42 and 44 for </w:t>
      </w:r>
      <w:r w:rsidR="00933C6F">
        <w:t>Biochar 1 75% and biochar 2 50%</w:t>
      </w:r>
      <w:r w:rsidR="00F823F3">
        <w:t>.</w:t>
      </w:r>
    </w:p>
    <w:p w14:paraId="251D970B" w14:textId="6B995C50" w:rsidR="00476EA7" w:rsidRPr="00BC6784" w:rsidRDefault="00461505" w:rsidP="00FF4B5B">
      <w:r w:rsidRPr="00FF4B5B">
        <w:rPr>
          <w:noProof/>
        </w:rPr>
        <w:drawing>
          <wp:inline distT="0" distB="0" distL="0" distR="0" wp14:anchorId="7577582E" wp14:editId="715B7666">
            <wp:extent cx="2433948" cy="2815590"/>
            <wp:effectExtent l="0" t="635" r="4445" b="4445"/>
            <wp:docPr id="63" name="Picture 63" descr="A picture containing dirty, stone, c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dirty, stone, cement&#10;&#10;Description automatically generated"/>
                    <pic:cNvPicPr/>
                  </pic:nvPicPr>
                  <pic:blipFill>
                    <a:blip r:embed="rId76"/>
                    <a:stretch>
                      <a:fillRect/>
                    </a:stretch>
                  </pic:blipFill>
                  <pic:spPr>
                    <a:xfrm rot="5400000">
                      <a:off x="0" y="0"/>
                      <a:ext cx="2461889" cy="2847912"/>
                    </a:xfrm>
                    <a:prstGeom prst="rect">
                      <a:avLst/>
                    </a:prstGeom>
                  </pic:spPr>
                </pic:pic>
              </a:graphicData>
            </a:graphic>
          </wp:inline>
        </w:drawing>
      </w:r>
      <w:r>
        <w:t xml:space="preserve"> </w:t>
      </w:r>
      <w:r w:rsidR="00476EA7" w:rsidRPr="00476EA7">
        <w:rPr>
          <w:noProof/>
        </w:rPr>
        <w:drawing>
          <wp:inline distT="0" distB="0" distL="0" distR="0" wp14:anchorId="08BA1591" wp14:editId="2046AAF4">
            <wp:extent cx="2829560" cy="2433099"/>
            <wp:effectExtent l="0" t="0" r="889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77144" cy="2474016"/>
                    </a:xfrm>
                    <a:prstGeom prst="rect">
                      <a:avLst/>
                    </a:prstGeom>
                  </pic:spPr>
                </pic:pic>
              </a:graphicData>
            </a:graphic>
          </wp:inline>
        </w:drawing>
      </w:r>
      <w:r w:rsidR="00FF4B5B">
        <w:t xml:space="preserve">  </w:t>
      </w:r>
    </w:p>
    <w:p w14:paraId="6CDA65B8" w14:textId="765ADF30" w:rsidR="005C005B" w:rsidRDefault="002532FD" w:rsidP="00AF2490">
      <w:pPr>
        <w:pStyle w:val="Caption"/>
      </w:pPr>
      <w:bookmarkStart w:id="103" w:name="_Toc127110942"/>
      <w:r>
        <w:t xml:space="preserve">Figure </w:t>
      </w:r>
      <w:fldSimple w:instr=" SEQ Figure \* ARABIC ">
        <w:r w:rsidR="00A0212F">
          <w:rPr>
            <w:noProof/>
          </w:rPr>
          <w:t>48</w:t>
        </w:r>
      </w:fldSimple>
      <w:r w:rsidR="00461505">
        <w:t xml:space="preserve"> </w:t>
      </w:r>
      <w:r w:rsidR="007405C8">
        <w:t xml:space="preserve">Examples of </w:t>
      </w:r>
      <w:r w:rsidR="00A40960">
        <w:t>sinter cake produced in the sinter pot. On the left a whole sinter cake</w:t>
      </w:r>
      <w:r w:rsidR="00F039EB">
        <w:t>, on the right an example of channelling in a sinter cake.</w:t>
      </w:r>
      <w:bookmarkEnd w:id="103"/>
    </w:p>
    <w:p w14:paraId="097B0238" w14:textId="1B1B1682" w:rsidR="005C005B" w:rsidRDefault="005E6848" w:rsidP="005E2CEC">
      <w:pPr>
        <w:spacing w:line="360" w:lineRule="auto"/>
        <w:jc w:val="both"/>
      </w:pPr>
      <w:r>
        <w:t>For t</w:t>
      </w:r>
      <w:r w:rsidR="005C005B">
        <w:t xml:space="preserve">he following photographs </w:t>
      </w:r>
      <w:r>
        <w:t xml:space="preserve">the sinter cake was broken </w:t>
      </w:r>
      <w:r w:rsidR="005E2CEC">
        <w:t>at approx. 50mm from the bottom of the cake</w:t>
      </w:r>
      <w:r w:rsidR="00E77511">
        <w:t xml:space="preserve"> and a picture taken of the cross sectio</w:t>
      </w:r>
      <w:r w:rsidR="009C6B7A">
        <w:t>n</w:t>
      </w:r>
      <w:r w:rsidR="00E77511">
        <w:t xml:space="preserve">. This location was chosen as the bottom of the cake </w:t>
      </w:r>
      <w:r w:rsidR="00C450CC">
        <w:t xml:space="preserve">should have the best quality sinter </w:t>
      </w:r>
      <w:r w:rsidR="009C6B7A">
        <w:t>because</w:t>
      </w:r>
      <w:r w:rsidR="00C450CC">
        <w:t xml:space="preserve"> the sintering conditions </w:t>
      </w:r>
      <w:r w:rsidR="00377142">
        <w:t>will be stable and at an optimum at this point.</w:t>
      </w:r>
    </w:p>
    <w:p w14:paraId="462D03EA" w14:textId="2849A322" w:rsidR="00CB3682" w:rsidRPr="00CB3682" w:rsidRDefault="00B71FF2" w:rsidP="00984D1F">
      <w:r>
        <w:rPr>
          <w:noProof/>
        </w:rPr>
        <w:lastRenderedPageBreak/>
        <mc:AlternateContent>
          <mc:Choice Requires="wps">
            <w:drawing>
              <wp:anchor distT="0" distB="0" distL="114300" distR="114300" simplePos="0" relativeHeight="251674624" behindDoc="0" locked="0" layoutInCell="1" allowOverlap="1" wp14:anchorId="0FA290C9" wp14:editId="2C040899">
                <wp:simplePos x="0" y="0"/>
                <wp:positionH relativeFrom="column">
                  <wp:posOffset>850735</wp:posOffset>
                </wp:positionH>
                <wp:positionV relativeFrom="paragraph">
                  <wp:posOffset>2357727</wp:posOffset>
                </wp:positionV>
                <wp:extent cx="389614" cy="341907"/>
                <wp:effectExtent l="0" t="0" r="10795" b="20320"/>
                <wp:wrapNone/>
                <wp:docPr id="153" name="Oval 153"/>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A24F38" id="Oval 153" o:spid="_x0000_s1026" style="position:absolute;margin-left:67pt;margin-top:185.65pt;width:30.7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" filled="f" strokecolor="red" strokeweight=".5pt">
                <v:stroke joinstyle="miter"/>
              </v:oval>
            </w:pict>
          </mc:Fallback>
        </mc:AlternateContent>
      </w:r>
      <w:r w:rsidR="000A40AC">
        <w:rPr>
          <w:noProof/>
        </w:rPr>
        <mc:AlternateContent>
          <mc:Choice Requires="wps">
            <w:drawing>
              <wp:anchor distT="0" distB="0" distL="114300" distR="114300" simplePos="0" relativeHeight="251676672" behindDoc="0" locked="0" layoutInCell="1" allowOverlap="1" wp14:anchorId="3A820F05" wp14:editId="1A0780AB">
                <wp:simplePos x="0" y="0"/>
                <wp:positionH relativeFrom="column">
                  <wp:posOffset>723320</wp:posOffset>
                </wp:positionH>
                <wp:positionV relativeFrom="paragraph">
                  <wp:posOffset>918845</wp:posOffset>
                </wp:positionV>
                <wp:extent cx="389614" cy="341907"/>
                <wp:effectExtent l="0" t="0" r="10795" b="20320"/>
                <wp:wrapNone/>
                <wp:docPr id="154" name="Oval 154"/>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C3415" id="Oval 154" o:spid="_x0000_s1026" style="position:absolute;margin-left:56.95pt;margin-top:72.35pt;width:30.7pt;height:26.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" filled="f" strokecolor="red" strokeweight=".5pt">
                <v:stroke joinstyle="miter"/>
              </v:oval>
            </w:pict>
          </mc:Fallback>
        </mc:AlternateContent>
      </w:r>
      <w:r w:rsidR="00C76AE9">
        <w:rPr>
          <w:noProof/>
        </w:rPr>
        <mc:AlternateContent>
          <mc:Choice Requires="wps">
            <w:drawing>
              <wp:anchor distT="0" distB="0" distL="114300" distR="114300" simplePos="0" relativeHeight="251672576" behindDoc="0" locked="0" layoutInCell="1" allowOverlap="1" wp14:anchorId="78D6B8DD" wp14:editId="4C15A3D2">
                <wp:simplePos x="0" y="0"/>
                <wp:positionH relativeFrom="column">
                  <wp:posOffset>1653871</wp:posOffset>
                </wp:positionH>
                <wp:positionV relativeFrom="paragraph">
                  <wp:posOffset>1300839</wp:posOffset>
                </wp:positionV>
                <wp:extent cx="389614" cy="341907"/>
                <wp:effectExtent l="0" t="0" r="10795" b="20320"/>
                <wp:wrapNone/>
                <wp:docPr id="150" name="Oval 150"/>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339012" id="Oval 150" o:spid="_x0000_s1026" style="position:absolute;margin-left:130.25pt;margin-top:102.45pt;width:30.7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" filled="f" strokecolor="red" strokeweight=".5pt">
                <v:stroke joinstyle="miter"/>
              </v:oval>
            </w:pict>
          </mc:Fallback>
        </mc:AlternateContent>
      </w:r>
      <w:r w:rsidR="00AA23B1">
        <w:rPr>
          <w:noProof/>
        </w:rPr>
        <mc:AlternateContent>
          <mc:Choice Requires="wps">
            <w:drawing>
              <wp:anchor distT="0" distB="0" distL="114300" distR="114300" simplePos="0" relativeHeight="251670528" behindDoc="0" locked="0" layoutInCell="1" allowOverlap="1" wp14:anchorId="5112FDF5" wp14:editId="4F86259E">
                <wp:simplePos x="0" y="0"/>
                <wp:positionH relativeFrom="column">
                  <wp:posOffset>1622066</wp:posOffset>
                </wp:positionH>
                <wp:positionV relativeFrom="paragraph">
                  <wp:posOffset>402065</wp:posOffset>
                </wp:positionV>
                <wp:extent cx="389614" cy="341907"/>
                <wp:effectExtent l="0" t="0" r="10795" b="20320"/>
                <wp:wrapNone/>
                <wp:docPr id="148" name="Oval 148"/>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FBB696" id="Oval 148" o:spid="_x0000_s1026" style="position:absolute;margin-left:127.7pt;margin-top:31.65pt;width:30.7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" filled="f" strokecolor="red" strokeweight=".5pt">
                <v:stroke joinstyle="miter"/>
              </v:oval>
            </w:pict>
          </mc:Fallback>
        </mc:AlternateContent>
      </w:r>
      <w:r w:rsidR="003F6149" w:rsidRPr="003F6149">
        <w:rPr>
          <w:noProof/>
        </w:rPr>
        <w:drawing>
          <wp:inline distT="0" distB="0" distL="0" distR="0" wp14:anchorId="601517B4" wp14:editId="368311BB">
            <wp:extent cx="2835275" cy="2981739"/>
            <wp:effectExtent l="0" t="0" r="317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851128" cy="2998411"/>
                    </a:xfrm>
                    <a:prstGeom prst="rect">
                      <a:avLst/>
                    </a:prstGeom>
                  </pic:spPr>
                </pic:pic>
              </a:graphicData>
            </a:graphic>
          </wp:inline>
        </w:drawing>
      </w:r>
    </w:p>
    <w:p w14:paraId="5AA7A217" w14:textId="73F744D9" w:rsidR="00F823F3" w:rsidRDefault="00456167" w:rsidP="005C005B">
      <w:pPr>
        <w:pStyle w:val="Caption"/>
      </w:pPr>
      <w:bookmarkStart w:id="104" w:name="_Toc127110943"/>
      <w:r>
        <w:t xml:space="preserve">Figure </w:t>
      </w:r>
      <w:fldSimple w:instr=" SEQ Figure \* ARABIC ">
        <w:r w:rsidR="00A0212F">
          <w:rPr>
            <w:noProof/>
          </w:rPr>
          <w:t>49</w:t>
        </w:r>
      </w:fldSimple>
      <w:r>
        <w:t xml:space="preserve"> Base blend sinter.</w:t>
      </w:r>
      <w:bookmarkEnd w:id="104"/>
    </w:p>
    <w:p w14:paraId="72399881" w14:textId="2E5BB08C" w:rsidR="009C6B7A" w:rsidRPr="009C6B7A" w:rsidRDefault="00C95E06" w:rsidP="00FA2042">
      <w:pPr>
        <w:spacing w:line="360" w:lineRule="auto"/>
        <w:jc w:val="both"/>
      </w:pPr>
      <w:r>
        <w:t>F</w:t>
      </w:r>
      <w:r w:rsidR="00EF645B">
        <w:t>igure 49 is a photograph of a cross</w:t>
      </w:r>
      <w:r w:rsidR="00197A4C">
        <w:t xml:space="preserve"> section of the base blend</w:t>
      </w:r>
      <w:r w:rsidR="00A56BAF">
        <w:t xml:space="preserve">. </w:t>
      </w:r>
      <w:r w:rsidR="00A6197B">
        <w:t>There are some areas where good agglomeration can be seen</w:t>
      </w:r>
      <w:r w:rsidR="00853509">
        <w:t>, the sinter granules have bonded together</w:t>
      </w:r>
      <w:r w:rsidR="00351023">
        <w:t>.</w:t>
      </w:r>
      <w:r w:rsidR="005C53E2">
        <w:t xml:space="preserve"> Some of these areas are highlighted in red.</w:t>
      </w:r>
      <w:r w:rsidR="00351023">
        <w:t xml:space="preserve"> The cake looks porous with many holes observed. </w:t>
      </w:r>
      <w:r w:rsidR="00FA2042">
        <w:t>The quality across the cross section is consistent.</w:t>
      </w:r>
    </w:p>
    <w:p w14:paraId="6F98B078" w14:textId="09339401" w:rsidR="00591B0F" w:rsidRDefault="008179E0" w:rsidP="00591B0F">
      <w:pPr>
        <w:keepNext/>
      </w:pPr>
      <w:r>
        <w:rPr>
          <w:noProof/>
        </w:rPr>
        <mc:AlternateContent>
          <mc:Choice Requires="wps">
            <w:drawing>
              <wp:anchor distT="0" distB="0" distL="114300" distR="114300" simplePos="0" relativeHeight="251688960" behindDoc="0" locked="0" layoutInCell="1" allowOverlap="1" wp14:anchorId="66F4E7BB" wp14:editId="0FD506AB">
                <wp:simplePos x="0" y="0"/>
                <wp:positionH relativeFrom="column">
                  <wp:posOffset>3530379</wp:posOffset>
                </wp:positionH>
                <wp:positionV relativeFrom="paragraph">
                  <wp:posOffset>1481566</wp:posOffset>
                </wp:positionV>
                <wp:extent cx="492622" cy="1048882"/>
                <wp:effectExtent l="0" t="0" r="22225" b="18415"/>
                <wp:wrapNone/>
                <wp:docPr id="168" name="Oval 168"/>
                <wp:cNvGraphicFramePr/>
                <a:graphic xmlns:a="http://schemas.openxmlformats.org/drawingml/2006/main">
                  <a:graphicData uri="http://schemas.microsoft.com/office/word/2010/wordprocessingShape">
                    <wps:wsp>
                      <wps:cNvSpPr/>
                      <wps:spPr>
                        <a:xfrm>
                          <a:off x="0" y="0"/>
                          <a:ext cx="492622" cy="1048882"/>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F0862" id="Oval 168" o:spid="_x0000_s1026" style="position:absolute;margin-left:278pt;margin-top:116.65pt;width:38.8pt;height:8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" filled="f" strokecolor="yellow" strokeweight=".5pt">
                <v:stroke joinstyle="miter"/>
              </v:oval>
            </w:pict>
          </mc:Fallback>
        </mc:AlternateContent>
      </w:r>
      <w:r w:rsidR="003E6B6B">
        <w:rPr>
          <w:noProof/>
        </w:rPr>
        <mc:AlternateContent>
          <mc:Choice Requires="wps">
            <w:drawing>
              <wp:anchor distT="0" distB="0" distL="114300" distR="114300" simplePos="0" relativeHeight="251686912" behindDoc="0" locked="0" layoutInCell="1" allowOverlap="1" wp14:anchorId="6C070154" wp14:editId="6EBD2A81">
                <wp:simplePos x="0" y="0"/>
                <wp:positionH relativeFrom="column">
                  <wp:posOffset>4833814</wp:posOffset>
                </wp:positionH>
                <wp:positionV relativeFrom="paragraph">
                  <wp:posOffset>1664362</wp:posOffset>
                </wp:positionV>
                <wp:extent cx="389614" cy="341907"/>
                <wp:effectExtent l="0" t="0" r="10795" b="20320"/>
                <wp:wrapNone/>
                <wp:docPr id="167" name="Oval 167"/>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28E98E" id="Oval 167" o:spid="_x0000_s1026" style="position:absolute;margin-left:380.6pt;margin-top:131.05pt;width:30.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" filled="f" strokecolor="red" strokeweight=".5pt">
                <v:stroke joinstyle="miter"/>
              </v:oval>
            </w:pict>
          </mc:Fallback>
        </mc:AlternateContent>
      </w:r>
      <w:r w:rsidR="000F6658">
        <w:rPr>
          <w:noProof/>
        </w:rPr>
        <mc:AlternateContent>
          <mc:Choice Requires="wps">
            <w:drawing>
              <wp:anchor distT="0" distB="0" distL="114300" distR="114300" simplePos="0" relativeHeight="251684864" behindDoc="0" locked="0" layoutInCell="1" allowOverlap="1" wp14:anchorId="14562D9C" wp14:editId="1EAAC721">
                <wp:simplePos x="0" y="0"/>
                <wp:positionH relativeFrom="column">
                  <wp:posOffset>3720631</wp:posOffset>
                </wp:positionH>
                <wp:positionV relativeFrom="paragraph">
                  <wp:posOffset>837427</wp:posOffset>
                </wp:positionV>
                <wp:extent cx="389614" cy="341907"/>
                <wp:effectExtent l="0" t="0" r="10795" b="20320"/>
                <wp:wrapNone/>
                <wp:docPr id="166" name="Oval 166"/>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CD1E23" id="Oval 166" o:spid="_x0000_s1026" style="position:absolute;margin-left:292.95pt;margin-top:65.95pt;width:30.7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" filled="f" strokecolor="red" strokeweight=".5pt">
                <v:stroke joinstyle="miter"/>
              </v:oval>
            </w:pict>
          </mc:Fallback>
        </mc:AlternateContent>
      </w:r>
      <w:r w:rsidR="00B45599">
        <w:rPr>
          <w:noProof/>
        </w:rPr>
        <mc:AlternateContent>
          <mc:Choice Requires="wps">
            <w:drawing>
              <wp:anchor distT="0" distB="0" distL="114300" distR="114300" simplePos="0" relativeHeight="251682816" behindDoc="0" locked="0" layoutInCell="1" allowOverlap="1" wp14:anchorId="34597DD5" wp14:editId="057B546E">
                <wp:simplePos x="0" y="0"/>
                <wp:positionH relativeFrom="column">
                  <wp:posOffset>5088255</wp:posOffset>
                </wp:positionH>
                <wp:positionV relativeFrom="paragraph">
                  <wp:posOffset>1346311</wp:posOffset>
                </wp:positionV>
                <wp:extent cx="389614" cy="341907"/>
                <wp:effectExtent l="0" t="0" r="10795" b="20320"/>
                <wp:wrapNone/>
                <wp:docPr id="165" name="Oval 165"/>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C36115" id="Oval 165" o:spid="_x0000_s1026" style="position:absolute;margin-left:400.65pt;margin-top:106pt;width:30.7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" filled="f" strokecolor="red" strokeweight=".5pt">
                <v:stroke joinstyle="miter"/>
              </v:oval>
            </w:pict>
          </mc:Fallback>
        </mc:AlternateContent>
      </w:r>
      <w:r w:rsidR="00E37093">
        <w:rPr>
          <w:noProof/>
        </w:rPr>
        <mc:AlternateContent>
          <mc:Choice Requires="wps">
            <w:drawing>
              <wp:anchor distT="0" distB="0" distL="114300" distR="114300" simplePos="0" relativeHeight="251680768" behindDoc="0" locked="0" layoutInCell="1" allowOverlap="1" wp14:anchorId="65AC85A1" wp14:editId="6C1445CC">
                <wp:simplePos x="0" y="0"/>
                <wp:positionH relativeFrom="column">
                  <wp:posOffset>1741335</wp:posOffset>
                </wp:positionH>
                <wp:positionV relativeFrom="paragraph">
                  <wp:posOffset>630362</wp:posOffset>
                </wp:positionV>
                <wp:extent cx="389614" cy="341907"/>
                <wp:effectExtent l="0" t="0" r="10795" b="20320"/>
                <wp:wrapNone/>
                <wp:docPr id="163" name="Oval 163"/>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393A40" id="Oval 163" o:spid="_x0000_s1026" style="position:absolute;margin-left:137.1pt;margin-top:49.65pt;width:30.7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" filled="f" strokecolor="yellow" strokeweight=".5pt">
                <v:stroke joinstyle="miter"/>
              </v:oval>
            </w:pict>
          </mc:Fallback>
        </mc:AlternateContent>
      </w:r>
      <w:r w:rsidR="00E37093">
        <w:rPr>
          <w:noProof/>
        </w:rPr>
        <mc:AlternateContent>
          <mc:Choice Requires="wps">
            <w:drawing>
              <wp:anchor distT="0" distB="0" distL="114300" distR="114300" simplePos="0" relativeHeight="251678720" behindDoc="0" locked="0" layoutInCell="1" allowOverlap="1" wp14:anchorId="1B6D1975" wp14:editId="3275507B">
                <wp:simplePos x="0" y="0"/>
                <wp:positionH relativeFrom="column">
                  <wp:posOffset>1256306</wp:posOffset>
                </wp:positionH>
                <wp:positionV relativeFrom="paragraph">
                  <wp:posOffset>829145</wp:posOffset>
                </wp:positionV>
                <wp:extent cx="389614" cy="341907"/>
                <wp:effectExtent l="0" t="0" r="10795" b="20320"/>
                <wp:wrapNone/>
                <wp:docPr id="162" name="Oval 162"/>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714FA3" id="Oval 162" o:spid="_x0000_s1026" style="position:absolute;margin-left:98.9pt;margin-top:65.3pt;width:30.7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" filled="f" strokecolor="yellow" strokeweight=".5pt">
                <v:stroke joinstyle="miter"/>
              </v:oval>
            </w:pict>
          </mc:Fallback>
        </mc:AlternateContent>
      </w:r>
      <w:r w:rsidR="00591B0F" w:rsidRPr="00591B0F">
        <w:rPr>
          <w:noProof/>
        </w:rPr>
        <w:drawing>
          <wp:inline distT="0" distB="0" distL="0" distR="0" wp14:anchorId="594BF92B" wp14:editId="586D0D03">
            <wp:extent cx="2861945" cy="2733839"/>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868100" cy="2739718"/>
                    </a:xfrm>
                    <a:prstGeom prst="rect">
                      <a:avLst/>
                    </a:prstGeom>
                  </pic:spPr>
                </pic:pic>
              </a:graphicData>
            </a:graphic>
          </wp:inline>
        </w:drawing>
      </w:r>
      <w:r w:rsidR="000A6B4B">
        <w:t xml:space="preserve"> </w:t>
      </w:r>
      <w:r w:rsidR="000A6B4B" w:rsidRPr="00E71EAC">
        <w:rPr>
          <w:noProof/>
        </w:rPr>
        <w:drawing>
          <wp:inline distT="0" distB="0" distL="0" distR="0" wp14:anchorId="2B02F0CF" wp14:editId="62D4D125">
            <wp:extent cx="2814762" cy="2750820"/>
            <wp:effectExtent l="0" t="0" r="5080" b="0"/>
            <wp:docPr id="143" name="Picture 143" descr="A picture containing person, food, plant, choco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containing person, food, plant, chocolate&#10;&#10;Description automatically generated"/>
                    <pic:cNvPicPr/>
                  </pic:nvPicPr>
                  <pic:blipFill>
                    <a:blip r:embed="rId80"/>
                    <a:stretch>
                      <a:fillRect/>
                    </a:stretch>
                  </pic:blipFill>
                  <pic:spPr>
                    <a:xfrm>
                      <a:off x="0" y="0"/>
                      <a:ext cx="2823567" cy="2759425"/>
                    </a:xfrm>
                    <a:prstGeom prst="rect">
                      <a:avLst/>
                    </a:prstGeom>
                  </pic:spPr>
                </pic:pic>
              </a:graphicData>
            </a:graphic>
          </wp:inline>
        </w:drawing>
      </w:r>
    </w:p>
    <w:p w14:paraId="02E2514E" w14:textId="1EAE18E3" w:rsidR="00456167" w:rsidRDefault="00591B0F" w:rsidP="00591B0F">
      <w:pPr>
        <w:pStyle w:val="Caption"/>
      </w:pPr>
      <w:bookmarkStart w:id="105" w:name="_Toc127110944"/>
      <w:r>
        <w:t xml:space="preserve">Figure </w:t>
      </w:r>
      <w:fldSimple w:instr=" SEQ Figure \* ARABIC ">
        <w:r w:rsidR="00A0212F">
          <w:rPr>
            <w:noProof/>
          </w:rPr>
          <w:t>50</w:t>
        </w:r>
      </w:fldSimple>
      <w:r>
        <w:t xml:space="preserve"> 25%</w:t>
      </w:r>
      <w:r w:rsidR="00BE530A">
        <w:t>addition</w:t>
      </w:r>
      <w:r>
        <w:t xml:space="preserve"> biochar 1</w:t>
      </w:r>
      <w:r w:rsidR="00BE530A">
        <w:t>(left)</w:t>
      </w:r>
      <w:r w:rsidR="000A6B4B">
        <w:t xml:space="preserve"> and bio</w:t>
      </w:r>
      <w:r w:rsidR="00BE530A">
        <w:t>char 2 (right).</w:t>
      </w:r>
      <w:bookmarkEnd w:id="105"/>
    </w:p>
    <w:p w14:paraId="10379BD7" w14:textId="2F413375" w:rsidR="00E37093" w:rsidRDefault="00BA12D9" w:rsidP="00EF61FD">
      <w:pPr>
        <w:spacing w:line="360" w:lineRule="auto"/>
        <w:jc w:val="both"/>
      </w:pPr>
      <w:r>
        <w:t>The photograph on the left above in figure 50 is of the 25% biochar 1 blend</w:t>
      </w:r>
      <w:r w:rsidR="00EF61FD">
        <w:t>. The</w:t>
      </w:r>
      <w:r w:rsidR="00E37093">
        <w:t xml:space="preserve">re is noticeably less evidence of agglomeration when compared to the base blend. </w:t>
      </w:r>
      <w:r w:rsidR="000401B2">
        <w:t>Un-sintered</w:t>
      </w:r>
      <w:r w:rsidR="00E37093">
        <w:t xml:space="preserve"> </w:t>
      </w:r>
      <w:r w:rsidR="000401B2">
        <w:t>raw mix granules can be observed</w:t>
      </w:r>
      <w:r w:rsidR="0032282B">
        <w:t xml:space="preserve"> (</w:t>
      </w:r>
      <w:r w:rsidR="00384237">
        <w:t xml:space="preserve">shown in </w:t>
      </w:r>
      <w:r w:rsidR="00B45599">
        <w:t>yellow</w:t>
      </w:r>
      <w:r w:rsidR="0032282B">
        <w:t xml:space="preserve"> </w:t>
      </w:r>
      <w:r w:rsidR="00B45599">
        <w:t>circles</w:t>
      </w:r>
      <w:r w:rsidR="0032282B">
        <w:t>).</w:t>
      </w:r>
      <w:r w:rsidR="00B666AD">
        <w:t xml:space="preserve"> The </w:t>
      </w:r>
      <w:r w:rsidR="009513FA">
        <w:t xml:space="preserve">cake seems dense, </w:t>
      </w:r>
      <w:r w:rsidR="003E6B6B">
        <w:t>less</w:t>
      </w:r>
      <w:r w:rsidR="009513FA">
        <w:t xml:space="preserve"> porosity can be observed.</w:t>
      </w:r>
      <w:r w:rsidR="00530F09">
        <w:t xml:space="preserve"> Visually</w:t>
      </w:r>
      <w:r w:rsidR="00584037">
        <w:t>,</w:t>
      </w:r>
      <w:r w:rsidR="00530F09">
        <w:t xml:space="preserve"> the quality of this sinter cake </w:t>
      </w:r>
      <w:r w:rsidR="00584037">
        <w:t>is somewhat poor.</w:t>
      </w:r>
      <w:r w:rsidR="009C0E03">
        <w:t xml:space="preserve"> </w:t>
      </w:r>
    </w:p>
    <w:p w14:paraId="5231A22B" w14:textId="6A597B13" w:rsidR="000F6658" w:rsidRPr="00BA12D9" w:rsidRDefault="000F6658" w:rsidP="00EF61FD">
      <w:pPr>
        <w:spacing w:line="360" w:lineRule="auto"/>
        <w:jc w:val="both"/>
      </w:pPr>
      <w:r>
        <w:lastRenderedPageBreak/>
        <w:t>The 25% biochar 2 blend shown on the right in figure 50</w:t>
      </w:r>
      <w:r w:rsidR="006E05A5">
        <w:t xml:space="preserve"> has </w:t>
      </w:r>
      <w:r w:rsidR="00384237">
        <w:t>evidence in some areas of good agglomeration (shown in red circles)</w:t>
      </w:r>
      <w:r w:rsidR="00C14D14">
        <w:t>. There is a large crack running through the cross section shown in a yellow circle.</w:t>
      </w:r>
      <w:r w:rsidR="00C02810">
        <w:t xml:space="preserve"> There are areas that seem dense, while other area</w:t>
      </w:r>
      <w:r w:rsidR="00B72EDD">
        <w:t>s</w:t>
      </w:r>
      <w:r w:rsidR="00C02810">
        <w:t xml:space="preserve"> do exhibit some porosity.</w:t>
      </w:r>
      <w:r w:rsidR="00B72EDD">
        <w:t xml:space="preserve"> There is a mix of good quality and poor-quality sintering across this cross section.</w:t>
      </w:r>
    </w:p>
    <w:p w14:paraId="7263BD63" w14:textId="31C5EDD3" w:rsidR="00591B0F" w:rsidRPr="00591B0F" w:rsidRDefault="002424B6" w:rsidP="00591B0F">
      <w:r>
        <w:rPr>
          <w:noProof/>
        </w:rPr>
        <mc:AlternateContent>
          <mc:Choice Requires="wps">
            <w:drawing>
              <wp:anchor distT="0" distB="0" distL="114300" distR="114300" simplePos="0" relativeHeight="251703296" behindDoc="0" locked="0" layoutInCell="1" allowOverlap="1" wp14:anchorId="0A7F0BD4" wp14:editId="0B34356C">
                <wp:simplePos x="0" y="0"/>
                <wp:positionH relativeFrom="column">
                  <wp:posOffset>4786685</wp:posOffset>
                </wp:positionH>
                <wp:positionV relativeFrom="paragraph">
                  <wp:posOffset>1805360</wp:posOffset>
                </wp:positionV>
                <wp:extent cx="596348" cy="604299"/>
                <wp:effectExtent l="0" t="0" r="13335" b="24765"/>
                <wp:wrapNone/>
                <wp:docPr id="178" name="Oval 178"/>
                <wp:cNvGraphicFramePr/>
                <a:graphic xmlns:a="http://schemas.openxmlformats.org/drawingml/2006/main">
                  <a:graphicData uri="http://schemas.microsoft.com/office/word/2010/wordprocessingShape">
                    <wps:wsp>
                      <wps:cNvSpPr/>
                      <wps:spPr>
                        <a:xfrm>
                          <a:off x="0" y="0"/>
                          <a:ext cx="596348" cy="604299"/>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653833" id="Oval 178" o:spid="_x0000_s1026" style="position:absolute;margin-left:376.9pt;margin-top:142.15pt;width:46.95pt;height:47.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" filled="f" strokecolor="yellow" strokeweight=".5pt">
                <v:stroke joinstyle="miter"/>
              </v:oval>
            </w:pict>
          </mc:Fallback>
        </mc:AlternateContent>
      </w:r>
      <w:r w:rsidR="00B02D7E">
        <w:rPr>
          <w:noProof/>
        </w:rPr>
        <mc:AlternateContent>
          <mc:Choice Requires="wps">
            <w:drawing>
              <wp:anchor distT="0" distB="0" distL="114300" distR="114300" simplePos="0" relativeHeight="251701248" behindDoc="0" locked="0" layoutInCell="1" allowOverlap="1" wp14:anchorId="1B09717C" wp14:editId="62D8AE76">
                <wp:simplePos x="0" y="0"/>
                <wp:positionH relativeFrom="column">
                  <wp:posOffset>4842068</wp:posOffset>
                </wp:positionH>
                <wp:positionV relativeFrom="paragraph">
                  <wp:posOffset>620202</wp:posOffset>
                </wp:positionV>
                <wp:extent cx="389614" cy="341907"/>
                <wp:effectExtent l="0" t="0" r="10795" b="20320"/>
                <wp:wrapNone/>
                <wp:docPr id="177" name="Oval 177"/>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07CA53" id="Oval 177" o:spid="_x0000_s1026" style="position:absolute;margin-left:381.25pt;margin-top:48.85pt;width:30.7pt;height:2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" filled="f" strokecolor="red" strokeweight=".5pt">
                <v:stroke joinstyle="miter"/>
              </v:oval>
            </w:pict>
          </mc:Fallback>
        </mc:AlternateContent>
      </w:r>
      <w:r w:rsidR="00294BFE">
        <w:rPr>
          <w:noProof/>
        </w:rPr>
        <mc:AlternateContent>
          <mc:Choice Requires="wps">
            <w:drawing>
              <wp:anchor distT="0" distB="0" distL="114300" distR="114300" simplePos="0" relativeHeight="251699200" behindDoc="0" locked="0" layoutInCell="1" allowOverlap="1" wp14:anchorId="21C91BB6" wp14:editId="3A6F7201">
                <wp:simplePos x="0" y="0"/>
                <wp:positionH relativeFrom="column">
                  <wp:posOffset>3625519</wp:posOffset>
                </wp:positionH>
                <wp:positionV relativeFrom="paragraph">
                  <wp:posOffset>1828800</wp:posOffset>
                </wp:positionV>
                <wp:extent cx="389614" cy="341907"/>
                <wp:effectExtent l="0" t="0" r="10795" b="20320"/>
                <wp:wrapNone/>
                <wp:docPr id="176" name="Oval 176"/>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E586A0" id="Oval 176" o:spid="_x0000_s1026" style="position:absolute;margin-left:285.45pt;margin-top:2in;width:30.7pt;height:26.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" filled="f" strokecolor="red" strokeweight=".5pt">
                <v:stroke joinstyle="miter"/>
              </v:oval>
            </w:pict>
          </mc:Fallback>
        </mc:AlternateContent>
      </w:r>
      <w:r w:rsidR="00294BFE">
        <w:rPr>
          <w:noProof/>
        </w:rPr>
        <mc:AlternateContent>
          <mc:Choice Requires="wps">
            <w:drawing>
              <wp:anchor distT="0" distB="0" distL="114300" distR="114300" simplePos="0" relativeHeight="251697152" behindDoc="0" locked="0" layoutInCell="1" allowOverlap="1" wp14:anchorId="497891B7" wp14:editId="62B5566D">
                <wp:simplePos x="0" y="0"/>
                <wp:positionH relativeFrom="column">
                  <wp:posOffset>4818214</wp:posOffset>
                </wp:positionH>
                <wp:positionV relativeFrom="paragraph">
                  <wp:posOffset>1399430</wp:posOffset>
                </wp:positionV>
                <wp:extent cx="389614" cy="341907"/>
                <wp:effectExtent l="0" t="0" r="10795" b="20320"/>
                <wp:wrapNone/>
                <wp:docPr id="175" name="Oval 175"/>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4ED9D8" id="Oval 175" o:spid="_x0000_s1026" style="position:absolute;margin-left:379.4pt;margin-top:110.2pt;width:30.7pt;height:26.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" filled="f" strokecolor="red" strokeweight=".5pt">
                <v:stroke joinstyle="miter"/>
              </v:oval>
            </w:pict>
          </mc:Fallback>
        </mc:AlternateContent>
      </w:r>
      <w:r w:rsidR="0069541F">
        <w:rPr>
          <w:noProof/>
        </w:rPr>
        <mc:AlternateContent>
          <mc:Choice Requires="wps">
            <w:drawing>
              <wp:anchor distT="0" distB="0" distL="114300" distR="114300" simplePos="0" relativeHeight="251695104" behindDoc="0" locked="0" layoutInCell="1" allowOverlap="1" wp14:anchorId="0102DF70" wp14:editId="7B239E2C">
                <wp:simplePos x="0" y="0"/>
                <wp:positionH relativeFrom="column">
                  <wp:posOffset>1478887</wp:posOffset>
                </wp:positionH>
                <wp:positionV relativeFrom="paragraph">
                  <wp:posOffset>1463040</wp:posOffset>
                </wp:positionV>
                <wp:extent cx="389614" cy="341907"/>
                <wp:effectExtent l="0" t="0" r="10795" b="20320"/>
                <wp:wrapNone/>
                <wp:docPr id="173" name="Oval 173"/>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771030" id="Oval 173" o:spid="_x0000_s1026" style="position:absolute;margin-left:116.45pt;margin-top:115.2pt;width:30.7pt;height:26.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" filled="f" strokecolor="red" strokeweight=".5pt">
                <v:stroke joinstyle="miter"/>
              </v:oval>
            </w:pict>
          </mc:Fallback>
        </mc:AlternateContent>
      </w:r>
      <w:r w:rsidR="0069541F">
        <w:rPr>
          <w:noProof/>
        </w:rPr>
        <mc:AlternateContent>
          <mc:Choice Requires="wps">
            <w:drawing>
              <wp:anchor distT="0" distB="0" distL="114300" distR="114300" simplePos="0" relativeHeight="251693056" behindDoc="0" locked="0" layoutInCell="1" allowOverlap="1" wp14:anchorId="4BB93E21" wp14:editId="70D3751A">
                <wp:simplePos x="0" y="0"/>
                <wp:positionH relativeFrom="column">
                  <wp:posOffset>1876453</wp:posOffset>
                </wp:positionH>
                <wp:positionV relativeFrom="paragraph">
                  <wp:posOffset>1820848</wp:posOffset>
                </wp:positionV>
                <wp:extent cx="389614" cy="341907"/>
                <wp:effectExtent l="0" t="0" r="10795" b="20320"/>
                <wp:wrapNone/>
                <wp:docPr id="172" name="Oval 172"/>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257077" id="Oval 172" o:spid="_x0000_s1026" style="position:absolute;margin-left:147.75pt;margin-top:143.35pt;width:30.7pt;height:26.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" filled="f" strokecolor="red" strokeweight=".5pt">
                <v:stroke joinstyle="miter"/>
              </v:oval>
            </w:pict>
          </mc:Fallback>
        </mc:AlternateContent>
      </w:r>
      <w:r w:rsidR="0069541F">
        <w:rPr>
          <w:noProof/>
        </w:rPr>
        <mc:AlternateContent>
          <mc:Choice Requires="wps">
            <w:drawing>
              <wp:anchor distT="0" distB="0" distL="114300" distR="114300" simplePos="0" relativeHeight="251691008" behindDoc="0" locked="0" layoutInCell="1" allowOverlap="1" wp14:anchorId="2C24EC4B" wp14:editId="43BA825A">
                <wp:simplePos x="0" y="0"/>
                <wp:positionH relativeFrom="column">
                  <wp:posOffset>683757</wp:posOffset>
                </wp:positionH>
                <wp:positionV relativeFrom="paragraph">
                  <wp:posOffset>1916265</wp:posOffset>
                </wp:positionV>
                <wp:extent cx="389614" cy="341907"/>
                <wp:effectExtent l="0" t="0" r="10795" b="20320"/>
                <wp:wrapNone/>
                <wp:docPr id="169" name="Oval 169"/>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A0CE03" id="Oval 169" o:spid="_x0000_s1026" style="position:absolute;margin-left:53.85pt;margin-top:150.9pt;width:30.7pt;height:26.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" filled="f" strokecolor="red" strokeweight=".5pt">
                <v:stroke joinstyle="miter"/>
              </v:oval>
            </w:pict>
          </mc:Fallback>
        </mc:AlternateContent>
      </w:r>
      <w:r w:rsidR="00BE530A">
        <w:t xml:space="preserve"> </w:t>
      </w:r>
      <w:r w:rsidR="00BE530A" w:rsidRPr="00357B35">
        <w:rPr>
          <w:noProof/>
        </w:rPr>
        <w:drawing>
          <wp:inline distT="0" distB="0" distL="0" distR="0" wp14:anchorId="17ECBB68" wp14:editId="745E6E27">
            <wp:extent cx="2829627" cy="2773017"/>
            <wp:effectExtent l="0" t="0" r="8890" b="8890"/>
            <wp:docPr id="144" name="Picture 144" descr="A picture containing person, indoor, chocolat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picture containing person, indoor, chocolate, piece&#10;&#10;Description automatically generated"/>
                    <pic:cNvPicPr/>
                  </pic:nvPicPr>
                  <pic:blipFill>
                    <a:blip r:embed="rId81"/>
                    <a:stretch>
                      <a:fillRect/>
                    </a:stretch>
                  </pic:blipFill>
                  <pic:spPr>
                    <a:xfrm>
                      <a:off x="0" y="0"/>
                      <a:ext cx="2849888" cy="2792872"/>
                    </a:xfrm>
                    <a:prstGeom prst="rect">
                      <a:avLst/>
                    </a:prstGeom>
                  </pic:spPr>
                </pic:pic>
              </a:graphicData>
            </a:graphic>
          </wp:inline>
        </w:drawing>
      </w:r>
      <w:r w:rsidR="0053212E">
        <w:t xml:space="preserve"> </w:t>
      </w:r>
      <w:r w:rsidR="0053212E" w:rsidRPr="000A2857">
        <w:rPr>
          <w:noProof/>
        </w:rPr>
        <w:drawing>
          <wp:inline distT="0" distB="0" distL="0" distR="0" wp14:anchorId="189DA244" wp14:editId="2C6D6FCA">
            <wp:extent cx="2782957" cy="2774723"/>
            <wp:effectExtent l="0" t="0" r="0" b="6985"/>
            <wp:docPr id="141" name="Picture 141" descr="A picture containing chocolate, person, piec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picture containing chocolate, person, piece, plant&#10;&#10;Description automatically generated"/>
                    <pic:cNvPicPr/>
                  </pic:nvPicPr>
                  <pic:blipFill>
                    <a:blip r:embed="rId82"/>
                    <a:stretch>
                      <a:fillRect/>
                    </a:stretch>
                  </pic:blipFill>
                  <pic:spPr>
                    <a:xfrm>
                      <a:off x="0" y="0"/>
                      <a:ext cx="2791187" cy="2782928"/>
                    </a:xfrm>
                    <a:prstGeom prst="rect">
                      <a:avLst/>
                    </a:prstGeom>
                  </pic:spPr>
                </pic:pic>
              </a:graphicData>
            </a:graphic>
          </wp:inline>
        </w:drawing>
      </w:r>
    </w:p>
    <w:p w14:paraId="3EEB1F3D" w14:textId="70AB2345" w:rsidR="00C52918" w:rsidRDefault="00E71EAC" w:rsidP="0053212E">
      <w:pPr>
        <w:pStyle w:val="Caption"/>
      </w:pPr>
      <w:bookmarkStart w:id="106" w:name="_Toc127110945"/>
      <w:r>
        <w:t xml:space="preserve">Figure </w:t>
      </w:r>
      <w:fldSimple w:instr=" SEQ Figure \* ARABIC ">
        <w:r w:rsidR="00A0212F">
          <w:rPr>
            <w:noProof/>
          </w:rPr>
          <w:t>51</w:t>
        </w:r>
      </w:fldSimple>
      <w:r>
        <w:t xml:space="preserve"> </w:t>
      </w:r>
      <w:r w:rsidR="003769FE">
        <w:t>50</w:t>
      </w:r>
      <w:r w:rsidR="00782BC6">
        <w:t>% addition biochar 1 (left) and biochar 2 (right)</w:t>
      </w:r>
      <w:bookmarkEnd w:id="106"/>
    </w:p>
    <w:p w14:paraId="7CF39C3B" w14:textId="1490E795" w:rsidR="00B72EDD" w:rsidRDefault="00B72EDD" w:rsidP="006577B7">
      <w:pPr>
        <w:spacing w:line="360" w:lineRule="auto"/>
        <w:jc w:val="both"/>
      </w:pPr>
      <w:r>
        <w:t>The 50% biochar</w:t>
      </w:r>
      <w:r w:rsidR="0008756D">
        <w:t xml:space="preserve"> 1</w:t>
      </w:r>
      <w:r>
        <w:t xml:space="preserve"> blend is </w:t>
      </w:r>
      <w:r w:rsidR="0008756D">
        <w:t>presented in figure 51.</w:t>
      </w:r>
      <w:r w:rsidR="006577B7">
        <w:t xml:space="preserve"> This cross section demonstrates a good level of agglomeration</w:t>
      </w:r>
      <w:r w:rsidR="0069541F">
        <w:t xml:space="preserve"> (red circles)</w:t>
      </w:r>
      <w:r w:rsidR="006577B7">
        <w:t xml:space="preserve"> and porosity</w:t>
      </w:r>
      <w:r w:rsidR="00B13D69">
        <w:t>. The quality of sintering</w:t>
      </w:r>
      <w:r w:rsidR="005C358B">
        <w:t>,</w:t>
      </w:r>
      <w:r w:rsidR="00B13D69">
        <w:t xml:space="preserve"> across the cross section is consistent.</w:t>
      </w:r>
    </w:p>
    <w:p w14:paraId="24296B1E" w14:textId="6DBFC4AD" w:rsidR="005C358B" w:rsidRDefault="005C358B" w:rsidP="006577B7">
      <w:pPr>
        <w:spacing w:line="360" w:lineRule="auto"/>
        <w:jc w:val="both"/>
      </w:pPr>
      <w:r>
        <w:t xml:space="preserve">The 50% biochar 2 blend on the right </w:t>
      </w:r>
      <w:r w:rsidR="00A475A9">
        <w:t xml:space="preserve">is far </w:t>
      </w:r>
      <w:r w:rsidR="00294BFE">
        <w:t>denser</w:t>
      </w:r>
      <w:r w:rsidR="00A475A9">
        <w:t xml:space="preserve"> than the 50% biochar 1</w:t>
      </w:r>
      <w:r w:rsidR="00B02D7E">
        <w:t xml:space="preserve"> with a significant difference in porosity. There is fair </w:t>
      </w:r>
      <w:r w:rsidR="00F7773C">
        <w:t>amount</w:t>
      </w:r>
      <w:r w:rsidR="00B02D7E">
        <w:t xml:space="preserve"> of </w:t>
      </w:r>
      <w:r w:rsidR="0037568F">
        <w:t>agglomeration,</w:t>
      </w:r>
      <w:r w:rsidR="00B02D7E">
        <w:t xml:space="preserve"> however</w:t>
      </w:r>
      <w:r w:rsidR="0074648B">
        <w:t xml:space="preserve"> the</w:t>
      </w:r>
      <w:r w:rsidR="00F7773C">
        <w:t>re not much evidence of porosity</w:t>
      </w:r>
      <w:r w:rsidR="00B02D7E">
        <w:t>.</w:t>
      </w:r>
      <w:r w:rsidR="00C327DE">
        <w:t xml:space="preserve"> The area circled in yellow shows where some channelling has taken place.</w:t>
      </w:r>
    </w:p>
    <w:p w14:paraId="434BDB9C" w14:textId="361E3AB8" w:rsidR="00AC781F" w:rsidRDefault="00190156" w:rsidP="006577B7">
      <w:pPr>
        <w:spacing w:line="360" w:lineRule="auto"/>
        <w:jc w:val="both"/>
      </w:pPr>
      <w:r>
        <w:t xml:space="preserve">The 75% biochar 1 </w:t>
      </w:r>
      <w:r w:rsidR="0087633E">
        <w:t>sinter cake is shown below</w:t>
      </w:r>
      <w:r w:rsidR="001F77C7">
        <w:t xml:space="preserve"> on the left</w:t>
      </w:r>
      <w:r w:rsidR="0087633E">
        <w:t xml:space="preserve"> in figure 52, a large channel can be seen on the right side marked with a yellow circle</w:t>
      </w:r>
      <w:r w:rsidR="009019F8">
        <w:t>.</w:t>
      </w:r>
      <w:r w:rsidR="005D3629">
        <w:t xml:space="preserve"> There is evidence of some </w:t>
      </w:r>
      <w:r w:rsidR="008A7B9D">
        <w:t>agglomeration,</w:t>
      </w:r>
      <w:r w:rsidR="005D3629">
        <w:t xml:space="preserve"> and the cross section is very porous</w:t>
      </w:r>
      <w:r w:rsidR="003A5490">
        <w:t xml:space="preserve">, some of the holes are large. The cross section is </w:t>
      </w:r>
      <w:r w:rsidR="008A7B9D">
        <w:t>also misshapen</w:t>
      </w:r>
      <w:r w:rsidR="00811364">
        <w:t xml:space="preserve"> and has a relatively smaller diameter</w:t>
      </w:r>
      <w:r w:rsidR="008A7B9D">
        <w:t xml:space="preserve">. </w:t>
      </w:r>
    </w:p>
    <w:p w14:paraId="36091664" w14:textId="14AF2471" w:rsidR="00C96D02" w:rsidRPr="00B72EDD" w:rsidRDefault="001F77C7" w:rsidP="000C6916">
      <w:pPr>
        <w:spacing w:line="360" w:lineRule="auto"/>
        <w:jc w:val="both"/>
      </w:pPr>
      <w:r>
        <w:t xml:space="preserve">The photograph on the </w:t>
      </w:r>
      <w:r w:rsidR="00970B51">
        <w:t>right-hand</w:t>
      </w:r>
      <w:r>
        <w:t xml:space="preserve"> side is of the 75% biochar 2 sinter cake</w:t>
      </w:r>
      <w:r w:rsidR="003A517B">
        <w:t>. There is little evidence of agglomeration and the un-sintered raw mix granules can be clearly seen</w:t>
      </w:r>
      <w:r w:rsidR="000C6916">
        <w:t xml:space="preserve"> throughout</w:t>
      </w:r>
      <w:r w:rsidR="003A517B">
        <w:t>.</w:t>
      </w:r>
      <w:r w:rsidR="000C6916">
        <w:t xml:space="preserve"> There is a lack of </w:t>
      </w:r>
      <w:r w:rsidR="00B447F0">
        <w:t>porosity,</w:t>
      </w:r>
      <w:r w:rsidR="001708C0">
        <w:t xml:space="preserve"> and the cross section seems dense. </w:t>
      </w:r>
      <w:r w:rsidR="00CE4AD4">
        <w:t xml:space="preserve">The cross section has a red discolouration </w:t>
      </w:r>
      <w:r w:rsidR="00B447F0">
        <w:t xml:space="preserve">on it. The </w:t>
      </w:r>
      <w:r w:rsidR="00811364">
        <w:t>diameter is also smaller than the other samples.</w:t>
      </w:r>
    </w:p>
    <w:p w14:paraId="56DB356D" w14:textId="54171DBE" w:rsidR="000A2857" w:rsidRPr="000A2857" w:rsidRDefault="000C6916" w:rsidP="000A2857">
      <w:r>
        <w:rPr>
          <w:noProof/>
        </w:rPr>
        <w:lastRenderedPageBreak/>
        <mc:AlternateContent>
          <mc:Choice Requires="wps">
            <w:drawing>
              <wp:anchor distT="0" distB="0" distL="114300" distR="114300" simplePos="0" relativeHeight="251715584" behindDoc="0" locked="0" layoutInCell="1" allowOverlap="1" wp14:anchorId="372E178C" wp14:editId="4465A257">
                <wp:simplePos x="0" y="0"/>
                <wp:positionH relativeFrom="column">
                  <wp:posOffset>4086777</wp:posOffset>
                </wp:positionH>
                <wp:positionV relativeFrom="paragraph">
                  <wp:posOffset>1168842</wp:posOffset>
                </wp:positionV>
                <wp:extent cx="389614" cy="341907"/>
                <wp:effectExtent l="0" t="0" r="10795" b="20320"/>
                <wp:wrapNone/>
                <wp:docPr id="185" name="Oval 185"/>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F82A22" id="Oval 185" o:spid="_x0000_s1026" style="position:absolute;margin-left:321.8pt;margin-top:92.05pt;width:30.7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" filled="f" strokecolor="yellow" strokeweight=".5pt">
                <v:stroke joinstyle="miter"/>
              </v:oval>
            </w:pict>
          </mc:Fallback>
        </mc:AlternateContent>
      </w:r>
      <w:r>
        <w:rPr>
          <w:noProof/>
        </w:rPr>
        <mc:AlternateContent>
          <mc:Choice Requires="wps">
            <w:drawing>
              <wp:anchor distT="0" distB="0" distL="114300" distR="114300" simplePos="0" relativeHeight="251713536" behindDoc="0" locked="0" layoutInCell="1" allowOverlap="1" wp14:anchorId="7F5F9062" wp14:editId="444FCF5D">
                <wp:simplePos x="0" y="0"/>
                <wp:positionH relativeFrom="column">
                  <wp:posOffset>4221949</wp:posOffset>
                </wp:positionH>
                <wp:positionV relativeFrom="paragraph">
                  <wp:posOffset>2242268</wp:posOffset>
                </wp:positionV>
                <wp:extent cx="389614" cy="341907"/>
                <wp:effectExtent l="0" t="0" r="10795" b="20320"/>
                <wp:wrapNone/>
                <wp:docPr id="184" name="Oval 184"/>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4D48BF" id="Oval 184" o:spid="_x0000_s1026" style="position:absolute;margin-left:332.45pt;margin-top:176.55pt;width:30.7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" filled="f" strokecolor="yellow" strokeweight=".5pt">
                <v:stroke joinstyle="miter"/>
              </v:oval>
            </w:pict>
          </mc:Fallback>
        </mc:AlternateContent>
      </w:r>
      <w:r>
        <w:rPr>
          <w:noProof/>
        </w:rPr>
        <mc:AlternateContent>
          <mc:Choice Requires="wps">
            <w:drawing>
              <wp:anchor distT="0" distB="0" distL="114300" distR="114300" simplePos="0" relativeHeight="251711488" behindDoc="0" locked="0" layoutInCell="1" allowOverlap="1" wp14:anchorId="316D433A" wp14:editId="6F824BC5">
                <wp:simplePos x="0" y="0"/>
                <wp:positionH relativeFrom="column">
                  <wp:posOffset>3800530</wp:posOffset>
                </wp:positionH>
                <wp:positionV relativeFrom="paragraph">
                  <wp:posOffset>1891941</wp:posOffset>
                </wp:positionV>
                <wp:extent cx="389614" cy="341907"/>
                <wp:effectExtent l="0" t="0" r="10795" b="20320"/>
                <wp:wrapNone/>
                <wp:docPr id="182" name="Oval 182"/>
                <wp:cNvGraphicFramePr/>
                <a:graphic xmlns:a="http://schemas.openxmlformats.org/drawingml/2006/main">
                  <a:graphicData uri="http://schemas.microsoft.com/office/word/2010/wordprocessingShape">
                    <wps:wsp>
                      <wps:cNvSpPr/>
                      <wps:spPr>
                        <a:xfrm>
                          <a:off x="0" y="0"/>
                          <a:ext cx="389614" cy="341907"/>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7AD44F" id="Oval 182" o:spid="_x0000_s1026" style="position:absolute;margin-left:299.25pt;margin-top:148.95pt;width:30.7pt;height:26.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" filled="f" strokecolor="yellow" strokeweight=".5pt">
                <v:stroke joinstyle="miter"/>
              </v:oval>
            </w:pict>
          </mc:Fallback>
        </mc:AlternateContent>
      </w:r>
      <w:r w:rsidR="005D3629">
        <w:rPr>
          <w:noProof/>
        </w:rPr>
        <mc:AlternateContent>
          <mc:Choice Requires="wps">
            <w:drawing>
              <wp:anchor distT="0" distB="0" distL="114300" distR="114300" simplePos="0" relativeHeight="251709440" behindDoc="0" locked="0" layoutInCell="1" allowOverlap="1" wp14:anchorId="2CC63F04" wp14:editId="361C28B7">
                <wp:simplePos x="0" y="0"/>
                <wp:positionH relativeFrom="margin">
                  <wp:posOffset>286247</wp:posOffset>
                </wp:positionH>
                <wp:positionV relativeFrom="paragraph">
                  <wp:posOffset>1097280</wp:posOffset>
                </wp:positionV>
                <wp:extent cx="389255" cy="349857"/>
                <wp:effectExtent l="0" t="0" r="10795" b="12700"/>
                <wp:wrapNone/>
                <wp:docPr id="181" name="Oval 181"/>
                <wp:cNvGraphicFramePr/>
                <a:graphic xmlns:a="http://schemas.openxmlformats.org/drawingml/2006/main">
                  <a:graphicData uri="http://schemas.microsoft.com/office/word/2010/wordprocessingShape">
                    <wps:wsp>
                      <wps:cNvSpPr/>
                      <wps:spPr>
                        <a:xfrm>
                          <a:off x="0" y="0"/>
                          <a:ext cx="389255" cy="34985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E6B235" id="Oval 181" o:spid="_x0000_s1026" style="position:absolute;margin-left:22.55pt;margin-top:86.4pt;width:30.65pt;height:27.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" filled="f" strokecolor="red" strokeweight=".5pt">
                <v:stroke joinstyle="miter"/>
                <w10:wrap anchorx="margin"/>
              </v:oval>
            </w:pict>
          </mc:Fallback>
        </mc:AlternateContent>
      </w:r>
      <w:r w:rsidR="005D3629">
        <w:rPr>
          <w:noProof/>
        </w:rPr>
        <mc:AlternateContent>
          <mc:Choice Requires="wps">
            <w:drawing>
              <wp:anchor distT="0" distB="0" distL="114300" distR="114300" simplePos="0" relativeHeight="251707392" behindDoc="0" locked="0" layoutInCell="1" allowOverlap="1" wp14:anchorId="3F92AE98" wp14:editId="6F9A75C8">
                <wp:simplePos x="0" y="0"/>
                <wp:positionH relativeFrom="margin">
                  <wp:posOffset>747423</wp:posOffset>
                </wp:positionH>
                <wp:positionV relativeFrom="paragraph">
                  <wp:posOffset>1542691</wp:posOffset>
                </wp:positionV>
                <wp:extent cx="389255" cy="349857"/>
                <wp:effectExtent l="0" t="0" r="10795" b="12700"/>
                <wp:wrapNone/>
                <wp:docPr id="180" name="Oval 180"/>
                <wp:cNvGraphicFramePr/>
                <a:graphic xmlns:a="http://schemas.openxmlformats.org/drawingml/2006/main">
                  <a:graphicData uri="http://schemas.microsoft.com/office/word/2010/wordprocessingShape">
                    <wps:wsp>
                      <wps:cNvSpPr/>
                      <wps:spPr>
                        <a:xfrm>
                          <a:off x="0" y="0"/>
                          <a:ext cx="389255" cy="349857"/>
                        </a:xfrm>
                        <a:prstGeom prst="ellipse">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FBCD41" id="Oval 180" o:spid="_x0000_s1026" style="position:absolute;margin-left:58.85pt;margin-top:121.45pt;width:30.65pt;height:27.5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" filled="f" strokecolor="red" strokeweight=".5pt">
                <v:stroke joinstyle="miter"/>
                <w10:wrap anchorx="margin"/>
              </v:oval>
            </w:pict>
          </mc:Fallback>
        </mc:AlternateContent>
      </w:r>
      <w:r w:rsidR="0037568F">
        <w:rPr>
          <w:noProof/>
        </w:rPr>
        <mc:AlternateContent>
          <mc:Choice Requires="wps">
            <w:drawing>
              <wp:anchor distT="0" distB="0" distL="114300" distR="114300" simplePos="0" relativeHeight="251705344" behindDoc="0" locked="0" layoutInCell="1" allowOverlap="1" wp14:anchorId="2B0B92B8" wp14:editId="73F2BE89">
                <wp:simplePos x="0" y="0"/>
                <wp:positionH relativeFrom="column">
                  <wp:posOffset>1924216</wp:posOffset>
                </wp:positionH>
                <wp:positionV relativeFrom="paragraph">
                  <wp:posOffset>1073426</wp:posOffset>
                </wp:positionV>
                <wp:extent cx="803081" cy="818984"/>
                <wp:effectExtent l="0" t="0" r="16510" b="19685"/>
                <wp:wrapNone/>
                <wp:docPr id="179" name="Oval 179"/>
                <wp:cNvGraphicFramePr/>
                <a:graphic xmlns:a="http://schemas.openxmlformats.org/drawingml/2006/main">
                  <a:graphicData uri="http://schemas.microsoft.com/office/word/2010/wordprocessingShape">
                    <wps:wsp>
                      <wps:cNvSpPr/>
                      <wps:spPr>
                        <a:xfrm>
                          <a:off x="0" y="0"/>
                          <a:ext cx="803081" cy="818984"/>
                        </a:xfrm>
                        <a:prstGeom prst="ellipse">
                          <a:avLst/>
                        </a:prstGeom>
                        <a:noFill/>
                        <a:ln w="635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A91F6B" id="Oval 179" o:spid="_x0000_s1026" style="position:absolute;margin-left:151.5pt;margin-top:84.5pt;width:63.25pt;height: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" filled="f" strokecolor="yellow" strokeweight=".5pt">
                <v:stroke joinstyle="miter"/>
              </v:oval>
            </w:pict>
          </mc:Fallback>
        </mc:AlternateContent>
      </w:r>
      <w:r w:rsidR="000A6B4B" w:rsidRPr="000A6B4B">
        <w:rPr>
          <w:noProof/>
        </w:rPr>
        <w:drawing>
          <wp:inline distT="0" distB="0" distL="0" distR="0" wp14:anchorId="4758A407" wp14:editId="12390335">
            <wp:extent cx="2814320" cy="3156668"/>
            <wp:effectExtent l="0" t="0" r="5080" b="571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841053" cy="3186653"/>
                    </a:xfrm>
                    <a:prstGeom prst="rect">
                      <a:avLst/>
                    </a:prstGeom>
                  </pic:spPr>
                </pic:pic>
              </a:graphicData>
            </a:graphic>
          </wp:inline>
        </w:drawing>
      </w:r>
      <w:r w:rsidR="0053212E">
        <w:t xml:space="preserve"> </w:t>
      </w:r>
      <w:r w:rsidRPr="003769FE">
        <w:rPr>
          <w:noProof/>
        </w:rPr>
        <w:drawing>
          <wp:inline distT="0" distB="0" distL="0" distR="0" wp14:anchorId="398FF102" wp14:editId="621D9E49">
            <wp:extent cx="2780050" cy="3163960"/>
            <wp:effectExtent l="0" t="0" r="1270" b="0"/>
            <wp:docPr id="183" name="Picture 183" descr="A picture containing chocolate, piece, plant,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A picture containing chocolate, piece, plant, close&#10;&#10;Description automatically generated"/>
                    <pic:cNvPicPr/>
                  </pic:nvPicPr>
                  <pic:blipFill>
                    <a:blip r:embed="rId84"/>
                    <a:stretch>
                      <a:fillRect/>
                    </a:stretch>
                  </pic:blipFill>
                  <pic:spPr>
                    <a:xfrm>
                      <a:off x="0" y="0"/>
                      <a:ext cx="2792246" cy="3177841"/>
                    </a:xfrm>
                    <a:prstGeom prst="rect">
                      <a:avLst/>
                    </a:prstGeom>
                  </pic:spPr>
                </pic:pic>
              </a:graphicData>
            </a:graphic>
          </wp:inline>
        </w:drawing>
      </w:r>
    </w:p>
    <w:p w14:paraId="4A9242DE" w14:textId="021669E7" w:rsidR="0085471C" w:rsidRDefault="003769FE" w:rsidP="003769FE">
      <w:pPr>
        <w:pStyle w:val="Caption"/>
      </w:pPr>
      <w:bookmarkStart w:id="107" w:name="_Toc127110946"/>
      <w:r>
        <w:t xml:space="preserve">Figure </w:t>
      </w:r>
      <w:fldSimple w:instr=" SEQ Figure \* ARABIC ">
        <w:r w:rsidR="00A0212F">
          <w:rPr>
            <w:noProof/>
          </w:rPr>
          <w:t>52</w:t>
        </w:r>
      </w:fldSimple>
      <w:r>
        <w:t xml:space="preserve"> 75% addition</w:t>
      </w:r>
      <w:r w:rsidRPr="003769FE">
        <w:t xml:space="preserve"> </w:t>
      </w:r>
      <w:r>
        <w:t>biochar 1 (left) and biochar 2 (right)</w:t>
      </w:r>
      <w:bookmarkEnd w:id="107"/>
    </w:p>
    <w:p w14:paraId="198DDD74" w14:textId="643BFF2B" w:rsidR="0085471C" w:rsidRDefault="00A04869" w:rsidP="009961FE">
      <w:pPr>
        <w:spacing w:line="360" w:lineRule="auto"/>
        <w:jc w:val="both"/>
      </w:pPr>
      <w:r>
        <w:t xml:space="preserve">The </w:t>
      </w:r>
      <w:r w:rsidR="009961FE">
        <w:t>sinter quality analysis carried out on biochar 1 &amp; 2</w:t>
      </w:r>
      <w:r w:rsidR="00BC32BE">
        <w:t xml:space="preserve"> demonstrates the potential for using biochar as a partial replacement for </w:t>
      </w:r>
      <w:r w:rsidR="00204510">
        <w:t xml:space="preserve">coke breeze as a fuel in the sinter making process. </w:t>
      </w:r>
      <w:r w:rsidR="00F82CB9">
        <w:t>Using these results</w:t>
      </w:r>
      <w:r w:rsidR="00625C5C">
        <w:t>,</w:t>
      </w:r>
      <w:r w:rsidR="00F82CB9">
        <w:t xml:space="preserve"> up to 50%</w:t>
      </w:r>
      <w:r w:rsidR="00310B52">
        <w:t xml:space="preserve"> of</w:t>
      </w:r>
      <w:r w:rsidR="00F82CB9">
        <w:t xml:space="preserve"> </w:t>
      </w:r>
      <w:r w:rsidR="0021583F">
        <w:t>biochar 1</w:t>
      </w:r>
      <w:r w:rsidR="00625C5C">
        <w:t xml:space="preserve"> and 25%</w:t>
      </w:r>
      <w:r w:rsidR="00310B52">
        <w:t xml:space="preserve"> of</w:t>
      </w:r>
      <w:r w:rsidR="00625C5C">
        <w:t xml:space="preserve"> biochar 2</w:t>
      </w:r>
      <w:r w:rsidR="0021583F">
        <w:t xml:space="preserve"> could be </w:t>
      </w:r>
      <w:r w:rsidR="00625C5C">
        <w:t xml:space="preserve">substituted for coke breeze </w:t>
      </w:r>
      <w:r w:rsidR="00FD25E2">
        <w:t xml:space="preserve">before overly </w:t>
      </w:r>
      <w:r w:rsidR="00625C5C">
        <w:t>affecting quality results</w:t>
      </w:r>
      <w:r w:rsidR="00310B52">
        <w:t xml:space="preserve">. </w:t>
      </w:r>
      <w:r w:rsidR="00BA07C5">
        <w:t xml:space="preserve">In general biochar addition had the effect of </w:t>
      </w:r>
      <w:r w:rsidR="00807F82">
        <w:t>decreasing maximum temperature and the length of time</w:t>
      </w:r>
      <w:r w:rsidR="00D5115D">
        <w:t xml:space="preserve"> the sinter temperature is held</w:t>
      </w:r>
      <w:r w:rsidR="00807F82">
        <w:t xml:space="preserve"> </w:t>
      </w:r>
      <w:r w:rsidR="00D5115D">
        <w:t>over 1000</w:t>
      </w:r>
      <w:r w:rsidR="00D5115D" w:rsidRPr="00D5115D">
        <w:rPr>
          <w:vertAlign w:val="superscript"/>
        </w:rPr>
        <w:t>0</w:t>
      </w:r>
      <w:r w:rsidR="00D5115D">
        <w:t>C</w:t>
      </w:r>
      <w:r w:rsidR="00FD25E2">
        <w:t xml:space="preserve">, </w:t>
      </w:r>
      <w:r w:rsidR="0078562B">
        <w:t>decreased sinter yield</w:t>
      </w:r>
      <w:r w:rsidR="00940FA3">
        <w:t>. The tumble and abrasion and RDI indices also dropped as the level of substitution increased.</w:t>
      </w:r>
      <w:r w:rsidR="00BD5DB8">
        <w:t xml:space="preserve"> Further tests would be required as there were some inconsistencies in these results. The 50% biochar1 for example</w:t>
      </w:r>
      <w:r w:rsidR="00825EFD">
        <w:t>,</w:t>
      </w:r>
      <w:r w:rsidR="00BD5DB8">
        <w:t xml:space="preserve"> </w:t>
      </w:r>
      <w:r w:rsidR="00825EFD">
        <w:t>produced the</w:t>
      </w:r>
      <w:r w:rsidR="00BD5DB8">
        <w:t xml:space="preserve"> strongest </w:t>
      </w:r>
      <w:r w:rsidR="00825EFD">
        <w:t xml:space="preserve">sinter. </w:t>
      </w:r>
    </w:p>
    <w:p w14:paraId="222663AB" w14:textId="4DE64AB6" w:rsidR="00EC1C96" w:rsidRDefault="000A516B" w:rsidP="009961FE">
      <w:pPr>
        <w:spacing w:line="360" w:lineRule="auto"/>
        <w:jc w:val="both"/>
      </w:pPr>
      <w:r>
        <w:t xml:space="preserve">In hindsight, more fuel could have been added to the raw mix to better aid </w:t>
      </w:r>
      <w:r w:rsidR="00FB0EFA">
        <w:t xml:space="preserve">sinter agglomeration. A 4% fuel addition was tried on the base blend, which turned out to be </w:t>
      </w:r>
      <w:r w:rsidR="00F23722">
        <w:t>too</w:t>
      </w:r>
      <w:r w:rsidR="00FB0EFA">
        <w:t xml:space="preserve"> low, as the </w:t>
      </w:r>
      <w:r w:rsidR="00F23722">
        <w:t>quality of sinter produced</w:t>
      </w:r>
      <w:r w:rsidR="00FB0EFA">
        <w:t xml:space="preserve"> was very poor. The </w:t>
      </w:r>
      <w:r w:rsidR="000C0EC6">
        <w:t xml:space="preserve">fuel addition was then raised to 5% for these tests. A 6% fuel addition may have been more beneficial. </w:t>
      </w:r>
    </w:p>
    <w:p w14:paraId="6FDEC2F2" w14:textId="30C8B53A" w:rsidR="00AD4644" w:rsidRDefault="00AD4644" w:rsidP="009961FE">
      <w:pPr>
        <w:spacing w:line="360" w:lineRule="auto"/>
        <w:jc w:val="both"/>
      </w:pPr>
      <w:r>
        <w:t>The moisture level was set at 6%</w:t>
      </w:r>
      <w:r w:rsidR="00E67391">
        <w:t xml:space="preserve"> for all tests. According to </w:t>
      </w:r>
      <w:r w:rsidR="00336B19">
        <w:fldChar w:fldCharType="begin"/>
      </w:r>
      <w:r w:rsidR="00336B19">
        <w:instrText xml:space="preserve"> ADDIN ZOTERO_ITEM CSL_CITATION {"citationID":"1zsOrKRL","properties":{"formattedCitation":"(Kawaguchi and Hara 2013)","plainCitation":"(Kawaguchi and Hara 2013)","noteIndex":0},"citationItems":[{"id":1917,"uris":["http://zotero.org/users/local/AB2owHL2/items/TDKN9GFN"],"itemData":{"id":1917,"type":"article-journal","container-title":"ISIJ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schema":"https://github.com/citation-style-language/schema/raw/master/csl-citation.json"} </w:instrText>
      </w:r>
      <w:r w:rsidR="00336B19">
        <w:fldChar w:fldCharType="separate"/>
      </w:r>
      <w:r w:rsidR="00336B19" w:rsidRPr="00336B19">
        <w:rPr>
          <w:rFonts w:ascii="Calibri" w:hAnsi="Calibri" w:cs="Calibri"/>
        </w:rPr>
        <w:t>(Kawaguchi and Hara 2013)</w:t>
      </w:r>
      <w:r w:rsidR="00336B19">
        <w:fldChar w:fldCharType="end"/>
      </w:r>
      <w:r w:rsidR="00EA6CAF">
        <w:t>, due to the porous nature of biomass</w:t>
      </w:r>
      <w:r w:rsidR="00D857A4">
        <w:t>, a higher moisture addition is required to ensure appropriate granulation of the sinter mix.</w:t>
      </w:r>
      <w:r w:rsidR="00AB7925">
        <w:t xml:space="preserve"> A 7% - 8% moisture level for the </w:t>
      </w:r>
      <w:r w:rsidR="00C64A2C">
        <w:t>biochar blends may have been more suitable.</w:t>
      </w:r>
    </w:p>
    <w:p w14:paraId="6B5529F9" w14:textId="673F16DD" w:rsidR="00A9300C" w:rsidRDefault="00EC1C96" w:rsidP="00900CC1">
      <w:pPr>
        <w:spacing w:line="360" w:lineRule="auto"/>
        <w:jc w:val="both"/>
      </w:pPr>
      <w:r>
        <w:t>More tests will have also given the author more practice using the equipment</w:t>
      </w:r>
      <w:r w:rsidR="00C64A2C">
        <w:t xml:space="preserve"> and aid in achieving more consistent results. </w:t>
      </w:r>
      <w:r w:rsidR="001545A4">
        <w:t xml:space="preserve">Further trials could </w:t>
      </w:r>
      <w:r w:rsidR="000349BF">
        <w:t xml:space="preserve">examine the effect of biochar PSD, </w:t>
      </w:r>
      <w:r w:rsidR="00970B51">
        <w:t>feedstock,</w:t>
      </w:r>
      <w:r w:rsidR="00C51C3F">
        <w:t xml:space="preserve"> and pyrolysis conditions on sintering performance</w:t>
      </w:r>
      <w:r w:rsidR="001B2E2D">
        <w:t>.</w:t>
      </w:r>
    </w:p>
    <w:p w14:paraId="7A5D0D46" w14:textId="52BD37DE" w:rsidR="007E7E24" w:rsidRDefault="007E7E24" w:rsidP="00900CC1">
      <w:pPr>
        <w:spacing w:line="360" w:lineRule="auto"/>
        <w:jc w:val="both"/>
      </w:pPr>
      <w:r>
        <w:lastRenderedPageBreak/>
        <w:t>Due to the safety implications of increased volatile matter in the fuel, plant scale trial would be required.</w:t>
      </w:r>
    </w:p>
    <w:p w14:paraId="6A62CC14" w14:textId="7540FC22" w:rsidR="00A56593" w:rsidRDefault="00730D90" w:rsidP="00730D90">
      <w:pPr>
        <w:pStyle w:val="Heading3"/>
        <w:spacing w:line="360" w:lineRule="auto"/>
        <w:jc w:val="both"/>
      </w:pPr>
      <w:bookmarkStart w:id="108" w:name="_Toc127911476"/>
      <w:r>
        <w:t>Biochar comparison</w:t>
      </w:r>
      <w:bookmarkEnd w:id="108"/>
    </w:p>
    <w:p w14:paraId="5915AD2B" w14:textId="289F5766" w:rsidR="00730D90" w:rsidRDefault="00A730BE" w:rsidP="00730D90">
      <w:pPr>
        <w:spacing w:line="360" w:lineRule="auto"/>
        <w:jc w:val="both"/>
      </w:pPr>
      <w:r>
        <w:t xml:space="preserve">The results indicate that biochar 1 has superior </w:t>
      </w:r>
      <w:r w:rsidR="00E65161">
        <w:t>properties for use in steelmaking processes when compared with biochar 2.</w:t>
      </w:r>
      <w:r w:rsidR="00241095">
        <w:t xml:space="preserve"> Biochar 1 outperformed biochar 2</w:t>
      </w:r>
      <w:r>
        <w:t xml:space="preserve"> </w:t>
      </w:r>
      <w:r w:rsidR="00241095">
        <w:t xml:space="preserve">in every aspect of each process. </w:t>
      </w:r>
    </w:p>
    <w:p w14:paraId="03E8B9ED" w14:textId="717A9F26" w:rsidR="00D35C71" w:rsidRDefault="00903D52" w:rsidP="00730D90">
      <w:pPr>
        <w:spacing w:line="360" w:lineRule="auto"/>
        <w:jc w:val="both"/>
      </w:pPr>
      <w:r>
        <w:fldChar w:fldCharType="begin"/>
      </w:r>
      <w:r>
        <w:instrText xml:space="preserve"> ADDIN ZOTERO_ITEM CSL_CITATION {"citationID":"yDj3L7ey","properties":{"formattedCitation":"(Ning et al. 2022)","plainCitation":"(Ning et al. 2022)","noteIndex":0},"citationItems":[{"id":1667,"uris":["http://zotero.org/users/local/AB2owHL2/items/5FHLH8XY"],"itemData":{"id":1667,"type":"article-journal","abstract":"As a carbon–neutral fuel, biomass plays a prominent role in replacing fossil fuels. The objective of this research is to uncover the influence of pyrolysis temperature on the metallurgical properties of biochar, as well as to provide a theoretical reference for the preparation of biochar suitable for blast furnace injection. The metallurgical properties of biochar have been systematically studied through the comparative analysis of the physical and chemical properties of biochar. The results show that pyrolysis technology can effectively improve the fuel performance of biomass. As the pyrolysis temperature increases, the fuel performance of biochar increases, the carbonization degree gradually increases, and the combustion performance and reactivity gradually weaken, approaching carbonaceous materials. The Coats-Redfern kinetic equation is used for the kinetic fitting of the combustion process of biochar, and has achieved good results. This clarifies the speed control link in the combustion process of biochar.","container-title":"Fuel","DOI":"10.1016/j.fuel.2021.122648","ISSN":"0016-2361","journalAbbreviation":"Fuel","language":"en","page":"122648","source":"ScienceDirect","title":"Effect of pyrolysis temperature on blast furnace injection performance of biochar","URL":"https://www.sciencedirect.com/science/article/pii/S0016236121025151","volume":"313","author":[{"family":"Ning","given":"Xiaojun"},{"family":"Liang","given":"Wang"},{"family":"Wang","given":"Guangwei"},{"family":"Xu","given":"Runsheng"},{"family":"Wang","given":"Peng"},{"family":"Zhang","given":"Jianliang"},{"family":"Guo","given":"Xingmin"},{"family":"Jiang","given":"Chunhe"},{"family":"Li","given":"Jinhua"},{"family":"Wang","given":"Chuan"}],"accessed":{"date-parts":[["2022",6,27]]},"issued":{"date-parts":[["2022",4,1]]}}}],"schema":"https://github.com/citation-style-language/schema/raw/master/csl-citation.json"} </w:instrText>
      </w:r>
      <w:r>
        <w:fldChar w:fldCharType="separate"/>
      </w:r>
      <w:r w:rsidRPr="00903D52">
        <w:rPr>
          <w:rFonts w:ascii="Calibri" w:hAnsi="Calibri" w:cs="Calibri"/>
        </w:rPr>
        <w:t>(Ning et al. 2022)</w:t>
      </w:r>
      <w:r>
        <w:fldChar w:fldCharType="end"/>
      </w:r>
      <w:r w:rsidR="00F97B70">
        <w:t xml:space="preserve"> state that the m</w:t>
      </w:r>
      <w:r w:rsidR="005F55CB">
        <w:t xml:space="preserve">ost important </w:t>
      </w:r>
      <w:r w:rsidR="00F97B70">
        <w:t xml:space="preserve">factor affecting </w:t>
      </w:r>
      <w:r w:rsidR="005D185D">
        <w:t>biochar properties</w:t>
      </w:r>
      <w:r w:rsidR="00CD2DE7">
        <w:t xml:space="preserve"> is</w:t>
      </w:r>
      <w:r w:rsidR="005D185D">
        <w:t xml:space="preserve"> pyrolysis temperature</w:t>
      </w:r>
      <w:r w:rsidR="00CD2DE7">
        <w:t xml:space="preserve">, this determines </w:t>
      </w:r>
      <w:r w:rsidR="00163D83">
        <w:t>the yield, microstructure and chemical properties of the biochar produced.</w:t>
      </w:r>
      <w:r w:rsidR="00F6199B">
        <w:t xml:space="preserve"> As pyrolysis temperature increases the</w:t>
      </w:r>
      <w:r w:rsidR="00EF46A5">
        <w:t xml:space="preserve"> biochar</w:t>
      </w:r>
      <w:r w:rsidR="00F6199B">
        <w:t xml:space="preserve"> VM</w:t>
      </w:r>
      <w:r w:rsidR="00EF46A5">
        <w:t xml:space="preserve"> and yield decreases while carbonisation and </w:t>
      </w:r>
      <w:r w:rsidR="00867359">
        <w:t>CV increases</w:t>
      </w:r>
      <w:r w:rsidR="00FF7781">
        <w:t>,</w:t>
      </w:r>
      <w:r w:rsidR="001D4813">
        <w:t xml:space="preserve"> </w:t>
      </w:r>
      <w:r w:rsidR="001D4813">
        <w:t>as previously demonstrated in figure 8</w:t>
      </w:r>
      <w:r w:rsidR="00867359">
        <w:t>.</w:t>
      </w:r>
      <w:r w:rsidR="00245A18">
        <w:t xml:space="preserve"> The optimum value was found to be 500</w:t>
      </w:r>
      <w:r w:rsidR="00245A18" w:rsidRPr="00245A18">
        <w:rPr>
          <w:vertAlign w:val="superscript"/>
        </w:rPr>
        <w:t>0</w:t>
      </w:r>
      <w:r w:rsidR="001D4813">
        <w:t>C.</w:t>
      </w:r>
    </w:p>
    <w:p w14:paraId="0244A85A" w14:textId="014148F6" w:rsidR="00B81E7A" w:rsidRDefault="00013239" w:rsidP="00B81E7A">
      <w:pPr>
        <w:spacing w:line="360" w:lineRule="auto"/>
        <w:jc w:val="both"/>
      </w:pPr>
      <w:r>
        <w:t xml:space="preserve">The </w:t>
      </w:r>
      <w:r w:rsidR="009B0AA7">
        <w:t xml:space="preserve">process parameters used to produce biochar 1 are known while not all the </w:t>
      </w:r>
      <w:r w:rsidR="004C29C4">
        <w:t xml:space="preserve">process </w:t>
      </w:r>
      <w:r w:rsidR="009B0AA7">
        <w:t>parameters for biochar</w:t>
      </w:r>
      <w:r w:rsidR="004C29C4">
        <w:t xml:space="preserve"> 2 were disclosed. </w:t>
      </w:r>
      <w:r w:rsidR="002253E4">
        <w:t xml:space="preserve">Although </w:t>
      </w:r>
      <w:r w:rsidR="00937BE7">
        <w:t xml:space="preserve">due to </w:t>
      </w:r>
      <w:r w:rsidR="00976ECE">
        <w:t>biochar 2’s</w:t>
      </w:r>
      <w:r w:rsidR="00937BE7">
        <w:t xml:space="preserve"> lower carbon content and higher VM it can be assumed that the pyrolysis temperature and or resi</w:t>
      </w:r>
      <w:r w:rsidR="00B81E7A">
        <w:t>dence time were lower</w:t>
      </w:r>
      <w:r w:rsidR="00976ECE">
        <w:t xml:space="preserve"> than biochar 1</w:t>
      </w:r>
      <w:r w:rsidR="00B81E7A">
        <w:t xml:space="preserve">. </w:t>
      </w:r>
    </w:p>
    <w:p w14:paraId="68601625" w14:textId="21D8E173" w:rsidR="00CD539B" w:rsidRDefault="0014734F" w:rsidP="00CD539B">
      <w:pPr>
        <w:pStyle w:val="Heading2"/>
        <w:spacing w:line="360" w:lineRule="auto"/>
        <w:jc w:val="both"/>
      </w:pPr>
      <w:bookmarkStart w:id="109" w:name="_Toc127911477"/>
      <w:r>
        <w:t>Carbon Dioxide</w:t>
      </w:r>
      <w:r w:rsidR="009F6174">
        <w:t xml:space="preserve"> emission</w:t>
      </w:r>
      <w:r>
        <w:t xml:space="preserve"> </w:t>
      </w:r>
      <w:r w:rsidR="008F2495">
        <w:t>mitigation</w:t>
      </w:r>
      <w:r w:rsidR="005F332E">
        <w:t xml:space="preserve"> potential using Biochar </w:t>
      </w:r>
      <w:r w:rsidR="00784F59">
        <w:t>at Port Talbot Steelworks</w:t>
      </w:r>
      <w:bookmarkEnd w:id="109"/>
    </w:p>
    <w:p w14:paraId="6066A66F" w14:textId="36B8BE0F" w:rsidR="00813F48" w:rsidRDefault="00255F91" w:rsidP="00255F91">
      <w:pPr>
        <w:spacing w:line="360" w:lineRule="auto"/>
        <w:jc w:val="both"/>
      </w:pPr>
      <w:r>
        <w:t>In 2021 Port Talbot steelworks produced</w:t>
      </w:r>
      <w:r w:rsidR="00813F48">
        <w:t>:</w:t>
      </w:r>
    </w:p>
    <w:p w14:paraId="04CFF9F0" w14:textId="58BC5916" w:rsidR="004D3302" w:rsidRDefault="004D3302" w:rsidP="00255F91">
      <w:pPr>
        <w:spacing w:line="360" w:lineRule="auto"/>
        <w:jc w:val="both"/>
      </w:pPr>
      <w:r>
        <w:t>Approx. 3</w:t>
      </w:r>
      <w:r w:rsidR="0070207D">
        <w:t>.</w:t>
      </w:r>
      <w:r>
        <w:t xml:space="preserve">5 </w:t>
      </w:r>
      <w:r w:rsidR="00B37B60">
        <w:t>M</w:t>
      </w:r>
      <w:r>
        <w:t xml:space="preserve">t of </w:t>
      </w:r>
      <w:r w:rsidR="00F80884">
        <w:t xml:space="preserve">Iron, </w:t>
      </w:r>
      <w:r w:rsidR="005D20B7">
        <w:t>using 6</w:t>
      </w:r>
      <w:r w:rsidR="00B37B60">
        <w:t>3</w:t>
      </w:r>
      <w:r w:rsidR="00961B8C">
        <w:t>0</w:t>
      </w:r>
      <w:r w:rsidR="005D20B7">
        <w:t xml:space="preserve"> </w:t>
      </w:r>
      <w:r w:rsidR="00B37B60">
        <w:t>k</w:t>
      </w:r>
      <w:r w:rsidR="005D20B7">
        <w:t>t of PCI coal and 1</w:t>
      </w:r>
      <w:r w:rsidR="0070207D">
        <w:t>.</w:t>
      </w:r>
      <w:r w:rsidR="005D20B7">
        <w:t xml:space="preserve">12 </w:t>
      </w:r>
      <w:r w:rsidR="0070207D">
        <w:t>M</w:t>
      </w:r>
      <w:r w:rsidR="005D20B7">
        <w:t>t of coke</w:t>
      </w:r>
      <w:r w:rsidR="00F21D3E">
        <w:t xml:space="preserve"> - at the BF</w:t>
      </w:r>
      <w:r w:rsidR="00EA3D79">
        <w:t>.</w:t>
      </w:r>
    </w:p>
    <w:p w14:paraId="7C05D456" w14:textId="76D9AF22" w:rsidR="006B2D03" w:rsidRDefault="00F21D3E" w:rsidP="00255F91">
      <w:pPr>
        <w:spacing w:line="360" w:lineRule="auto"/>
        <w:jc w:val="both"/>
      </w:pPr>
      <w:r>
        <w:t xml:space="preserve">Approx. </w:t>
      </w:r>
      <w:r w:rsidR="00961B8C">
        <w:t>9</w:t>
      </w:r>
      <w:r w:rsidR="00AE3F4D">
        <w:t>00 kt of coke using 1.3 Mt of coal</w:t>
      </w:r>
      <w:r>
        <w:t xml:space="preserve"> – at the coke ovens</w:t>
      </w:r>
      <w:r w:rsidR="00A50FA9">
        <w:t>.</w:t>
      </w:r>
    </w:p>
    <w:p w14:paraId="306AFBFE" w14:textId="1820B42C" w:rsidR="003A3FE9" w:rsidRDefault="003A3FE9" w:rsidP="003A3FE9">
      <w:pPr>
        <w:spacing w:line="360" w:lineRule="auto"/>
        <w:jc w:val="both"/>
      </w:pPr>
      <w:r>
        <w:t>Approx. 3.6 Mt of sinter using 150 kt of fuel – at the sinter plant</w:t>
      </w:r>
      <w:r w:rsidR="00A50FA9">
        <w:t>.</w:t>
      </w:r>
    </w:p>
    <w:p w14:paraId="3409C664" w14:textId="364C00B1" w:rsidR="00DB416B" w:rsidRDefault="00DB416B" w:rsidP="00255F91">
      <w:pPr>
        <w:spacing w:line="360" w:lineRule="auto"/>
        <w:jc w:val="both"/>
      </w:pPr>
      <w:r>
        <w:t>6,643,838 t of CO</w:t>
      </w:r>
      <w:r w:rsidRPr="00DB416B">
        <w:rPr>
          <w:vertAlign w:val="subscript"/>
        </w:rPr>
        <w:t>2</w:t>
      </w:r>
      <w:r w:rsidR="0030587E">
        <w:t xml:space="preserve"> emitted at Port Talbo</w:t>
      </w:r>
      <w:r w:rsidR="00A50FA9">
        <w:t>t.</w:t>
      </w:r>
    </w:p>
    <w:p w14:paraId="1D030C68" w14:textId="382D879B" w:rsidR="001A1973" w:rsidRDefault="00CD539B" w:rsidP="00255F91">
      <w:pPr>
        <w:spacing w:line="360" w:lineRule="auto"/>
        <w:jc w:val="both"/>
      </w:pPr>
      <w:r>
        <w:t xml:space="preserve">The </w:t>
      </w:r>
      <w:r w:rsidR="00D912AC">
        <w:t xml:space="preserve">plant product tonnages were sourced from the </w:t>
      </w:r>
      <w:r w:rsidR="007C441B">
        <w:t>area technical managers. The CO</w:t>
      </w:r>
      <w:r w:rsidR="007C441B" w:rsidRPr="00541D5A">
        <w:rPr>
          <w:vertAlign w:val="subscript"/>
        </w:rPr>
        <w:t>2</w:t>
      </w:r>
      <w:r w:rsidR="007C441B">
        <w:t xml:space="preserve"> figure w</w:t>
      </w:r>
      <w:r w:rsidR="001F1370">
        <w:t xml:space="preserve">as from the </w:t>
      </w:r>
      <w:r w:rsidR="00B16B6E">
        <w:t xml:space="preserve">results reported </w:t>
      </w:r>
      <w:r w:rsidR="005C555D">
        <w:t>to</w:t>
      </w:r>
      <w:r w:rsidR="005E1AAB">
        <w:t xml:space="preserve"> for the</w:t>
      </w:r>
      <w:r w:rsidR="00B16B6E">
        <w:t xml:space="preserve"> EUETS</w:t>
      </w:r>
      <w:r w:rsidR="005E1AAB">
        <w:t xml:space="preserve"> report</w:t>
      </w:r>
      <w:r w:rsidR="00B16B6E">
        <w:t xml:space="preserve"> and sourced from the environmental department.</w:t>
      </w:r>
      <w:r w:rsidR="001A1973">
        <w:t xml:space="preserve"> Please see appendix. </w:t>
      </w:r>
    </w:p>
    <w:p w14:paraId="6D542020" w14:textId="0838692C" w:rsidR="00785CFD" w:rsidRDefault="00C23C6C" w:rsidP="00785CFD">
      <w:pPr>
        <w:spacing w:line="360" w:lineRule="auto"/>
        <w:jc w:val="both"/>
      </w:pPr>
      <w:r>
        <w:fldChar w:fldCharType="begin"/>
      </w:r>
      <w:r w:rsidR="004716FD">
        <w:instrText xml:space="preserve"> ADDIN ZOTERO_ITEM CSL_CITATION {"citationID":"KDHQr2vw","properties":{"formattedCitation":"(Birat 2010)","plainCitation":"(Birat 2010)","noteIndex":0},"citationItems":[{"id":1874,"uris":["http://zotero.org/users/local/AB2owHL2/items/T8DHGYTC"],"itemData":{"id":1874,"type":"report","event-place":"Amsterdam","genre":"CCS roadmap – sectoral assessment, Steel","publisher-place":"Amsterdam","title":"Global Technology  Roadmap for CCS in  Industry","URL":"https://www.globalccsinstitute.com/archive/hub/publications/15671/global-technology-roadmap-ccs-industry-steel-sectoral-report.pdf","author":[{"family":"Birat","given":"J.P"}],"accessed":{"date-parts":[["2022",8,3]]},"issued":{"date-parts":[["2010"]]}}}],"schema":"https://github.com/citation-style-language/schema/raw/master/csl-citation.json"} </w:instrText>
      </w:r>
      <w:r>
        <w:fldChar w:fldCharType="separate"/>
      </w:r>
      <w:r w:rsidRPr="00C23C6C">
        <w:rPr>
          <w:rFonts w:ascii="Calibri" w:hAnsi="Calibri" w:cs="Calibri"/>
        </w:rPr>
        <w:t>(Birat 2010)</w:t>
      </w:r>
      <w:r>
        <w:fldChar w:fldCharType="end"/>
      </w:r>
      <w:r>
        <w:t xml:space="preserve"> explains </w:t>
      </w:r>
      <w:r w:rsidR="00147BB3">
        <w:t>that CO</w:t>
      </w:r>
      <w:r w:rsidR="00147BB3" w:rsidRPr="00541D5A">
        <w:rPr>
          <w:vertAlign w:val="subscript"/>
        </w:rPr>
        <w:t>2</w:t>
      </w:r>
      <w:r w:rsidR="00147BB3">
        <w:t xml:space="preserve"> emission</w:t>
      </w:r>
      <w:r w:rsidR="00F84F7F">
        <w:t xml:space="preserve"> figures are mostly attributed to the stacks they are released from.</w:t>
      </w:r>
      <w:r w:rsidR="00237D1E">
        <w:t xml:space="preserve"> The </w:t>
      </w:r>
      <w:r w:rsidR="003B1EA9">
        <w:t>figures often do not take into account the area of steel plant that they were created</w:t>
      </w:r>
      <w:r w:rsidR="00EB5435">
        <w:t>. There is no comprehensive registry of CO</w:t>
      </w:r>
      <w:r w:rsidR="00EB5435" w:rsidRPr="00541D5A">
        <w:rPr>
          <w:vertAlign w:val="subscript"/>
        </w:rPr>
        <w:t>2</w:t>
      </w:r>
      <w:r w:rsidR="00EB5435">
        <w:rPr>
          <w:vertAlign w:val="subscript"/>
        </w:rPr>
        <w:t xml:space="preserve"> </w:t>
      </w:r>
      <w:r w:rsidR="00EB5435" w:rsidRPr="00EB5435">
        <w:t>emissions published for the steel sector.</w:t>
      </w:r>
      <w:r w:rsidR="009742DA">
        <w:t xml:space="preserve"> </w:t>
      </w:r>
      <w:r w:rsidR="008E4BEC">
        <w:t xml:space="preserve">Table 19 below uses figures calculated from </w:t>
      </w:r>
      <w:r w:rsidR="00185555">
        <w:t>emission factors</w:t>
      </w:r>
      <w:r w:rsidR="001367CE">
        <w:t>.</w:t>
      </w:r>
    </w:p>
    <w:p w14:paraId="772773E7" w14:textId="3F966A97" w:rsidR="00FF7781" w:rsidRDefault="00FF7781" w:rsidP="00785CFD">
      <w:pPr>
        <w:spacing w:line="360" w:lineRule="auto"/>
        <w:jc w:val="both"/>
      </w:pPr>
    </w:p>
    <w:p w14:paraId="0883FE7F" w14:textId="4AC7073B" w:rsidR="00FF7781" w:rsidRDefault="00FF7781" w:rsidP="00785CFD">
      <w:pPr>
        <w:spacing w:line="360" w:lineRule="auto"/>
        <w:jc w:val="both"/>
      </w:pPr>
    </w:p>
    <w:p w14:paraId="506D4C02" w14:textId="0C09BFF2" w:rsidR="00FF7781" w:rsidRDefault="00FF7781" w:rsidP="00785CFD">
      <w:pPr>
        <w:spacing w:line="360" w:lineRule="auto"/>
        <w:jc w:val="both"/>
      </w:pPr>
    </w:p>
    <w:p w14:paraId="6D156ADF" w14:textId="77777777" w:rsidR="00FF7781" w:rsidRDefault="00FF7781" w:rsidP="00785CFD">
      <w:pPr>
        <w:spacing w:line="360" w:lineRule="auto"/>
        <w:jc w:val="both"/>
      </w:pPr>
    </w:p>
    <w:p w14:paraId="09C2DCA1" w14:textId="3E9B17A0" w:rsidR="00785CFD" w:rsidRPr="00785CFD" w:rsidRDefault="00785CFD" w:rsidP="00785CFD">
      <w:pPr>
        <w:pStyle w:val="Caption"/>
      </w:pPr>
      <w:r>
        <w:lastRenderedPageBreak/>
        <w:t xml:space="preserve">Table </w:t>
      </w:r>
      <w:fldSimple w:instr=" SEQ Table \* ARABIC ">
        <w:r w:rsidR="00DA2639">
          <w:rPr>
            <w:noProof/>
          </w:rPr>
          <w:t>19</w:t>
        </w:r>
      </w:fldSimple>
      <w:r>
        <w:t xml:space="preserve"> CO</w:t>
      </w:r>
      <w:r w:rsidRPr="00541D5A">
        <w:rPr>
          <w:vertAlign w:val="subscript"/>
        </w:rPr>
        <w:t>2</w:t>
      </w:r>
      <w:r>
        <w:t xml:space="preserve"> emissions </w:t>
      </w:r>
      <w:r w:rsidR="00414253">
        <w:t xml:space="preserve">by area in a steel plant </w:t>
      </w:r>
      <w:r w:rsidR="00414253">
        <w:fldChar w:fldCharType="begin"/>
      </w:r>
      <w:r w:rsidR="004716FD">
        <w:instrText xml:space="preserve"> ADDIN ZOTERO_ITEM CSL_CITATION {"citationID":"prJD7xN2","properties":{"formattedCitation":"(Birat 2010)","plainCitation":"(Birat 2010)","noteIndex":0},"citationItems":[{"id":1874,"uris":["http://zotero.org/users/local/AB2owHL2/items/T8DHGYTC"],"itemData":{"id":1874,"type":"report","event-place":"Amsterdam","genre":"CCS roadmap – sectoral assessment, Steel","publisher-place":"Amsterdam","title":"Global Technology  Roadmap for CCS in  Industry","URL":"https://www.globalccsinstitute.com/archive/hub/publications/15671/global-technology-roadmap-ccs-industry-steel-sectoral-report.pdf","author":[{"family":"Birat","given":"J.P"}],"accessed":{"date-parts":[["2022",8,3]]},"issued":{"date-parts":[["2010"]]}}}],"schema":"https://github.com/citation-style-language/schema/raw/master/csl-citation.json"} </w:instrText>
      </w:r>
      <w:r w:rsidR="00414253">
        <w:fldChar w:fldCharType="separate"/>
      </w:r>
      <w:r w:rsidR="00414253" w:rsidRPr="00414253">
        <w:rPr>
          <w:rFonts w:ascii="Calibri" w:hAnsi="Calibri" w:cs="Calibri"/>
        </w:rPr>
        <w:t>(Birat 2010)</w:t>
      </w:r>
      <w:r w:rsidR="00414253">
        <w:fldChar w:fldCharType="end"/>
      </w:r>
      <w:r w:rsidR="00414253">
        <w:t>.</w:t>
      </w:r>
    </w:p>
    <w:p w14:paraId="5823643C" w14:textId="62388309" w:rsidR="005D3289" w:rsidRDefault="00785CFD" w:rsidP="00255F91">
      <w:pPr>
        <w:spacing w:line="360" w:lineRule="auto"/>
        <w:jc w:val="both"/>
      </w:pPr>
      <w:r w:rsidRPr="00785CFD">
        <w:rPr>
          <w:noProof/>
        </w:rPr>
        <w:drawing>
          <wp:inline distT="0" distB="0" distL="0" distR="0" wp14:anchorId="11F5BF8E" wp14:editId="2C6B274D">
            <wp:extent cx="5065035" cy="3164619"/>
            <wp:effectExtent l="0" t="0" r="2540" b="0"/>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pic:cNvPicPr/>
                  </pic:nvPicPr>
                  <pic:blipFill>
                    <a:blip r:embed="rId85"/>
                    <a:stretch>
                      <a:fillRect/>
                    </a:stretch>
                  </pic:blipFill>
                  <pic:spPr>
                    <a:xfrm>
                      <a:off x="0" y="0"/>
                      <a:ext cx="5091370" cy="3181073"/>
                    </a:xfrm>
                    <a:prstGeom prst="rect">
                      <a:avLst/>
                    </a:prstGeom>
                  </pic:spPr>
                </pic:pic>
              </a:graphicData>
            </a:graphic>
          </wp:inline>
        </w:drawing>
      </w:r>
    </w:p>
    <w:p w14:paraId="0B957939" w14:textId="7A2CA081" w:rsidR="00306EC4" w:rsidRDefault="00725730" w:rsidP="00255F91">
      <w:pPr>
        <w:spacing w:line="360" w:lineRule="auto"/>
        <w:jc w:val="both"/>
      </w:pPr>
      <w:r>
        <w:fldChar w:fldCharType="begin"/>
      </w:r>
      <w:r w:rsidR="008F6F0B">
        <w:instrText xml:space="preserve"> ADDIN ZOTERO_ITEM CSL_CITATION {"citationID":"7puy0cMH","properties":{"formattedCitation":"(Pardo and Moya 2013)","plainCitation":"(Pardo and Moya 2013)","noteIndex":0},"citationItems":[{"id":717,"uris":["http://zotero.org/users/local/AB2owHL2/items/LD2DHE4H"],"itemData":{"id":717,"type":"article-journal","abstract":"The Iron &amp; Steel industry is one of the biggest industrial CO2 emitters in the European Union. The present work analyzes the potential for the improvement of the energy efficiency and CO2 emission reduction for this sector up to 2030. Three scenarios are analyzed: baseline scenario (BS) representing the current evolution of this sector and two alternative scenarios (AS1 and AS2) to study the sensitivity of fuel and resource prices and CO2 emission prices. In the integrated production route all the scenarios highlight the importance of breakthrough technologies, such as Top Gas Recycling, to obtain performance improvement in energy consumption and CO2 emissions. In the secondary production route conditions under BS scenario are enough for a suitable incorporation of the best technologies in this route making insensitive the possible incentives due to higher prices in fuel and resources or CO2 emissions.","container-title":"Energy","DOI":"10.1016/j.energy.2013.03.015","ISSN":"0360-5442","journalAbbreviation":"Energy","language":"en","page":"113-128","source":"ScienceDirect","title":"Prospective scenarios on energy efficiency and CO2 emissions in the European Iron &amp; Steel industry","URL":"https://www.sciencedirect.com/science/article/pii/S0360544213001928","volume":"54","author":[{"family":"Pardo","given":"Nicolás"},{"family":"Moya","given":"José Antonio"}],"accessed":{"date-parts":[["2021",3,21]]},"issued":{"date-parts":[["2013",6,1]]}}}],"schema":"https://github.com/citation-style-language/schema/raw/master/csl-citation.json"} </w:instrText>
      </w:r>
      <w:r>
        <w:fldChar w:fldCharType="separate"/>
      </w:r>
      <w:r w:rsidR="008F6F0B" w:rsidRPr="008F6F0B">
        <w:rPr>
          <w:rFonts w:ascii="Calibri" w:hAnsi="Calibri" w:cs="Calibri"/>
        </w:rPr>
        <w:t>(Pardo and Moya 2013)</w:t>
      </w:r>
      <w:r>
        <w:fldChar w:fldCharType="end"/>
      </w:r>
      <w:r>
        <w:t xml:space="preserve"> </w:t>
      </w:r>
      <w:r w:rsidR="003C7BF3">
        <w:t>employ</w:t>
      </w:r>
      <w:r w:rsidR="009E4B2B">
        <w:t xml:space="preserve"> </w:t>
      </w:r>
      <w:r w:rsidR="005742D9">
        <w:t>estimated</w:t>
      </w:r>
      <w:r w:rsidR="00507CD2">
        <w:t xml:space="preserve"> </w:t>
      </w:r>
      <w:r w:rsidR="004A12F8">
        <w:t>emission factors</w:t>
      </w:r>
      <w:r w:rsidR="00507CD2">
        <w:t xml:space="preserve"> for </w:t>
      </w:r>
      <w:r w:rsidR="005742D9">
        <w:t>direct CO</w:t>
      </w:r>
      <w:r w:rsidR="005742D9" w:rsidRPr="00541D5A">
        <w:rPr>
          <w:vertAlign w:val="subscript"/>
        </w:rPr>
        <w:t>2</w:t>
      </w:r>
      <w:r w:rsidR="005742D9">
        <w:t xml:space="preserve"> </w:t>
      </w:r>
      <w:r w:rsidR="0090656D">
        <w:t>emissions</w:t>
      </w:r>
      <w:r w:rsidR="005742D9">
        <w:t xml:space="preserve"> per tonne of product</w:t>
      </w:r>
      <w:r w:rsidR="0024586A">
        <w:t xml:space="preserve"> for the different steelmaking processes.</w:t>
      </w:r>
      <w:r w:rsidR="00A00CBD">
        <w:t xml:space="preserve"> The</w:t>
      </w:r>
      <w:r w:rsidR="00142E0D">
        <w:t xml:space="preserve"> figures they reported were</w:t>
      </w:r>
      <w:r w:rsidR="00033EF8">
        <w:t>:</w:t>
      </w:r>
    </w:p>
    <w:p w14:paraId="234924C5" w14:textId="107D612F" w:rsidR="00033EF8" w:rsidRDefault="00033EF8" w:rsidP="00255F91">
      <w:pPr>
        <w:spacing w:line="360" w:lineRule="auto"/>
        <w:jc w:val="both"/>
      </w:pPr>
      <w:r>
        <w:t xml:space="preserve">Blast furnace – </w:t>
      </w:r>
      <w:r w:rsidR="00D717C2">
        <w:t>1.219</w:t>
      </w:r>
      <w:r>
        <w:t xml:space="preserve"> (</w:t>
      </w:r>
      <w:r w:rsidR="00882F1A">
        <w:t>tCO2</w:t>
      </w:r>
      <w:r w:rsidR="00BB3489">
        <w:t>) per ton of iron.</w:t>
      </w:r>
    </w:p>
    <w:p w14:paraId="0DC77B9A" w14:textId="35061181" w:rsidR="005D3289" w:rsidRDefault="00D717C2" w:rsidP="00255F91">
      <w:pPr>
        <w:spacing w:line="360" w:lineRule="auto"/>
        <w:jc w:val="both"/>
      </w:pPr>
      <w:r>
        <w:t>Coke plant – 0.794 (tCO2</w:t>
      </w:r>
      <w:r w:rsidR="00BB3489">
        <w:t>) per ton of coke.</w:t>
      </w:r>
    </w:p>
    <w:p w14:paraId="4AB1616C" w14:textId="683BB216" w:rsidR="00D717C2" w:rsidRDefault="00D717C2" w:rsidP="00255F91">
      <w:pPr>
        <w:spacing w:line="360" w:lineRule="auto"/>
        <w:jc w:val="both"/>
      </w:pPr>
      <w:r>
        <w:t>Sinter plant – 0.200 (tCO2</w:t>
      </w:r>
      <w:r w:rsidR="00BB3489">
        <w:t>) per ton of sinter.</w:t>
      </w:r>
    </w:p>
    <w:p w14:paraId="48361D36" w14:textId="78644B4C" w:rsidR="005D3289" w:rsidRDefault="0090600D" w:rsidP="00255F91">
      <w:pPr>
        <w:spacing w:line="360" w:lineRule="auto"/>
        <w:jc w:val="both"/>
      </w:pPr>
      <w:r>
        <w:t xml:space="preserve">Using the </w:t>
      </w:r>
      <w:r w:rsidR="008F6F0B">
        <w:t xml:space="preserve">figure quoted by </w:t>
      </w:r>
      <w:r w:rsidR="008F6F0B">
        <w:fldChar w:fldCharType="begin"/>
      </w:r>
      <w:r w:rsidR="008F6F0B">
        <w:instrText xml:space="preserve"> ADDIN ZOTERO_ITEM CSL_CITATION {"citationID":"g0i5EtS5","properties":{"formattedCitation":"(Pardo and Moya 2013)","plainCitation":"(Pardo and Moya 2013)","noteIndex":0},"citationItems":[{"id":717,"uris":["http://zotero.org/users/local/AB2owHL2/items/LD2DHE4H"],"itemData":{"id":717,"type":"article-journal","abstract":"The Iron &amp; Steel industry is one of the biggest industrial CO2 emitters in the European Union. The present work analyzes the potential for the improvement of the energy efficiency and CO2 emission reduction for this sector up to 2030. Three scenarios are analyzed: baseline scenario (BS) representing the current evolution of this sector and two alternative scenarios (AS1 and AS2) to study the sensitivity of fuel and resource prices and CO2 emission prices. In the integrated production route all the scenarios highlight the importance of breakthrough technologies, such as Top Gas Recycling, to obtain performance improvement in energy consumption and CO2 emissions. In the secondary production route conditions under BS scenario are enough for a suitable incorporation of the best technologies in this route making insensitive the possible incentives due to higher prices in fuel and resources or CO2 emissions.","container-title":"Energy","DOI":"10.1016/j.energy.2013.03.015","ISSN":"0360-5442","journalAbbreviation":"Energy","language":"en","page":"113-128","source":"ScienceDirect","title":"Prospective scenarios on energy efficiency and CO2 emissions in the European Iron &amp; Steel industry","URL":"https://www.sciencedirect.com/science/article/pii/S0360544213001928","volume":"54","author":[{"family":"Pardo","given":"Nicolás"},{"family":"Moya","given":"José Antonio"}],"accessed":{"date-parts":[["2021",3,21]]},"issued":{"date-parts":[["2013",6,1]]}}}],"schema":"https://github.com/citation-style-language/schema/raw/master/csl-citation.json"} </w:instrText>
      </w:r>
      <w:r w:rsidR="008F6F0B">
        <w:fldChar w:fldCharType="separate"/>
      </w:r>
      <w:r w:rsidR="008F6F0B" w:rsidRPr="008F6F0B">
        <w:rPr>
          <w:rFonts w:ascii="Calibri" w:hAnsi="Calibri" w:cs="Calibri"/>
        </w:rPr>
        <w:t>(Pardo and Moya 2013)</w:t>
      </w:r>
      <w:r w:rsidR="008F6F0B">
        <w:fldChar w:fldCharType="end"/>
      </w:r>
      <w:r w:rsidR="008F6F0B">
        <w:t xml:space="preserve"> </w:t>
      </w:r>
      <w:r w:rsidR="00873937">
        <w:t>and the product tonnage figures figure from Port Talbot in 2021</w:t>
      </w:r>
      <w:r w:rsidR="00487511">
        <w:t xml:space="preserve"> approximate CO</w:t>
      </w:r>
      <w:r w:rsidR="00487511" w:rsidRPr="00541D5A">
        <w:rPr>
          <w:vertAlign w:val="subscript"/>
        </w:rPr>
        <w:t>2</w:t>
      </w:r>
      <w:r w:rsidR="00487511">
        <w:t xml:space="preserve"> emissions can be calculated.</w:t>
      </w:r>
    </w:p>
    <w:p w14:paraId="64712F2E" w14:textId="3EBAC934" w:rsidR="00B63868" w:rsidRDefault="00B63868" w:rsidP="00255F91">
      <w:pPr>
        <w:spacing w:line="360" w:lineRule="auto"/>
        <w:jc w:val="both"/>
        <w:rPr>
          <w:rFonts w:eastAsiaTheme="minorEastAsia"/>
        </w:rPr>
      </w:pPr>
      <w:r>
        <w:t>Blast furnace</w:t>
      </w:r>
      <w:r w:rsidR="00A96FC3">
        <w:t>:</w:t>
      </w:r>
      <w:r>
        <w:t xml:space="preserve"> </w:t>
      </w:r>
      <m:oMath>
        <m:r>
          <w:rPr>
            <w:rFonts w:ascii="Cambria Math" w:hAnsi="Cambria Math"/>
          </w:rPr>
          <m:t xml:space="preserve">BFe=1.219* </m:t>
        </m:r>
      </m:oMath>
      <w:r w:rsidR="002F647F">
        <w:rPr>
          <w:rFonts w:eastAsiaTheme="minorEastAsia"/>
        </w:rPr>
        <w:t>3,500,000</w:t>
      </w:r>
      <w:r w:rsidR="007909AD">
        <w:rPr>
          <w:rFonts w:eastAsiaTheme="minorEastAsia"/>
        </w:rPr>
        <w:t>,</w:t>
      </w:r>
      <w:r w:rsidR="002F647F">
        <w:rPr>
          <w:rFonts w:eastAsiaTheme="minorEastAsia"/>
        </w:rPr>
        <w:t xml:space="preserve"> </w:t>
      </w:r>
      <w:r w:rsidR="00A37240">
        <w:rPr>
          <w:rFonts w:eastAsiaTheme="minorEastAsia"/>
        </w:rPr>
        <w:t xml:space="preserve">which </w:t>
      </w:r>
      <w:r w:rsidR="003D46B7">
        <w:rPr>
          <w:rFonts w:eastAsiaTheme="minorEastAsia"/>
        </w:rPr>
        <w:t>equates to</w:t>
      </w:r>
      <w:r w:rsidR="00A37240">
        <w:rPr>
          <w:rFonts w:eastAsiaTheme="minorEastAsia"/>
        </w:rPr>
        <w:t xml:space="preserve"> </w:t>
      </w:r>
      <w:r w:rsidR="003D46B7">
        <w:rPr>
          <w:rFonts w:eastAsiaTheme="minorEastAsia"/>
        </w:rPr>
        <w:t>4,266,500t of CO</w:t>
      </w:r>
      <w:r w:rsidR="003D46B7" w:rsidRPr="003D46B7">
        <w:rPr>
          <w:rFonts w:eastAsiaTheme="minorEastAsia"/>
          <w:vertAlign w:val="subscript"/>
        </w:rPr>
        <w:t>2</w:t>
      </w:r>
      <w:r w:rsidR="003D46B7">
        <w:rPr>
          <w:rFonts w:eastAsiaTheme="minorEastAsia"/>
        </w:rPr>
        <w:t xml:space="preserve"> emission</w:t>
      </w:r>
      <w:r w:rsidR="00A96FC3">
        <w:rPr>
          <w:rFonts w:eastAsiaTheme="minorEastAsia"/>
        </w:rPr>
        <w:t>s</w:t>
      </w:r>
      <w:r w:rsidR="00742049">
        <w:rPr>
          <w:rFonts w:eastAsiaTheme="minorEastAsia"/>
        </w:rPr>
        <w:t>. 64.2</w:t>
      </w:r>
      <w:r w:rsidR="000B4A4A">
        <w:rPr>
          <w:rFonts w:eastAsiaTheme="minorEastAsia"/>
        </w:rPr>
        <w:t>2</w:t>
      </w:r>
      <w:r w:rsidR="00742049">
        <w:rPr>
          <w:rFonts w:eastAsiaTheme="minorEastAsia"/>
        </w:rPr>
        <w:t xml:space="preserve">% of the </w:t>
      </w:r>
      <w:r w:rsidR="008D4D13">
        <w:rPr>
          <w:rFonts w:eastAsiaTheme="minorEastAsia"/>
        </w:rPr>
        <w:t xml:space="preserve">annual </w:t>
      </w:r>
      <w:r w:rsidR="009366B1">
        <w:rPr>
          <w:rFonts w:eastAsiaTheme="minorEastAsia"/>
        </w:rPr>
        <w:t>plant total</w:t>
      </w:r>
      <w:r w:rsidR="004716FD">
        <w:rPr>
          <w:rFonts w:eastAsiaTheme="minorEastAsia"/>
        </w:rPr>
        <w:t xml:space="preserve"> emissions</w:t>
      </w:r>
      <w:r w:rsidR="009366B1">
        <w:rPr>
          <w:rFonts w:eastAsiaTheme="minorEastAsia"/>
        </w:rPr>
        <w:t>.</w:t>
      </w:r>
    </w:p>
    <w:p w14:paraId="219CF2FD" w14:textId="2052823E" w:rsidR="00A96FC3" w:rsidRDefault="00A96FC3" w:rsidP="00255F91">
      <w:pPr>
        <w:spacing w:line="360" w:lineRule="auto"/>
        <w:jc w:val="both"/>
        <w:rPr>
          <w:rFonts w:eastAsiaTheme="minorEastAsia"/>
        </w:rPr>
      </w:pPr>
      <w:r>
        <w:rPr>
          <w:rFonts w:eastAsiaTheme="minorEastAsia"/>
        </w:rPr>
        <w:t xml:space="preserve">Morfa coke ovens: </w:t>
      </w:r>
      <m:oMath>
        <m:r>
          <w:rPr>
            <w:rFonts w:ascii="Cambria Math" w:eastAsiaTheme="minorEastAsia" w:hAnsi="Cambria Math"/>
          </w:rPr>
          <m:t>COe=0794*900,00</m:t>
        </m:r>
      </m:oMath>
      <w:r w:rsidR="007909AD">
        <w:rPr>
          <w:rFonts w:eastAsiaTheme="minorEastAsia"/>
        </w:rPr>
        <w:t xml:space="preserve">, </w:t>
      </w:r>
      <w:r w:rsidR="00E35A38">
        <w:rPr>
          <w:rFonts w:eastAsiaTheme="minorEastAsia"/>
        </w:rPr>
        <w:t xml:space="preserve">equals </w:t>
      </w:r>
      <w:r w:rsidR="001411DA">
        <w:rPr>
          <w:rFonts w:eastAsiaTheme="minorEastAsia"/>
        </w:rPr>
        <w:t>714,600t of CO</w:t>
      </w:r>
      <w:r w:rsidR="001411DA" w:rsidRPr="003D46B7">
        <w:rPr>
          <w:rFonts w:eastAsiaTheme="minorEastAsia"/>
          <w:vertAlign w:val="subscript"/>
        </w:rPr>
        <w:t>2</w:t>
      </w:r>
      <w:r w:rsidR="001411DA">
        <w:rPr>
          <w:rFonts w:eastAsiaTheme="minorEastAsia"/>
        </w:rPr>
        <w:t xml:space="preserve"> emissions.</w:t>
      </w:r>
      <w:r w:rsidR="009366B1">
        <w:rPr>
          <w:rFonts w:eastAsiaTheme="minorEastAsia"/>
        </w:rPr>
        <w:t xml:space="preserve"> </w:t>
      </w:r>
      <w:r w:rsidR="00AD7C9E">
        <w:rPr>
          <w:rFonts w:eastAsiaTheme="minorEastAsia"/>
        </w:rPr>
        <w:t>10.76% of the</w:t>
      </w:r>
      <w:r w:rsidR="008D4D13">
        <w:rPr>
          <w:rFonts w:eastAsiaTheme="minorEastAsia"/>
        </w:rPr>
        <w:t xml:space="preserve"> annual</w:t>
      </w:r>
      <w:r w:rsidR="00AD7C9E">
        <w:rPr>
          <w:rFonts w:eastAsiaTheme="minorEastAsia"/>
        </w:rPr>
        <w:t xml:space="preserve"> plant total</w:t>
      </w:r>
      <w:r w:rsidR="004716FD">
        <w:rPr>
          <w:rFonts w:eastAsiaTheme="minorEastAsia"/>
        </w:rPr>
        <w:t xml:space="preserve"> emissions</w:t>
      </w:r>
      <w:r w:rsidR="00AD7C9E">
        <w:rPr>
          <w:rFonts w:eastAsiaTheme="minorEastAsia"/>
        </w:rPr>
        <w:t>.</w:t>
      </w:r>
    </w:p>
    <w:p w14:paraId="4F9DA9CD" w14:textId="34745287" w:rsidR="000B4A4A" w:rsidRPr="004716FD" w:rsidRDefault="001411DA" w:rsidP="00255F91">
      <w:pPr>
        <w:spacing w:line="360" w:lineRule="auto"/>
        <w:jc w:val="both"/>
        <w:rPr>
          <w:rFonts w:eastAsiaTheme="minorEastAsia"/>
        </w:rPr>
      </w:pPr>
      <w:r>
        <w:rPr>
          <w:rFonts w:eastAsiaTheme="minorEastAsia"/>
        </w:rPr>
        <w:t xml:space="preserve">Sinter plant: </w:t>
      </w:r>
      <m:oMath>
        <m:r>
          <w:rPr>
            <w:rFonts w:ascii="Cambria Math" w:eastAsiaTheme="minorEastAsia" w:hAnsi="Cambria Math"/>
          </w:rPr>
          <m:t xml:space="preserve"> SPe=0.200*3,600,00</m:t>
        </m:r>
      </m:oMath>
      <w:r w:rsidR="006C30CF">
        <w:rPr>
          <w:rFonts w:eastAsiaTheme="minorEastAsia"/>
        </w:rPr>
        <w:t xml:space="preserve">, </w:t>
      </w:r>
      <w:r w:rsidR="00F25DF7">
        <w:rPr>
          <w:rFonts w:eastAsiaTheme="minorEastAsia"/>
        </w:rPr>
        <w:t>returning 720,000t of CO</w:t>
      </w:r>
      <w:r w:rsidR="00F25DF7" w:rsidRPr="003D46B7">
        <w:rPr>
          <w:rFonts w:eastAsiaTheme="minorEastAsia"/>
          <w:vertAlign w:val="subscript"/>
        </w:rPr>
        <w:t>2</w:t>
      </w:r>
      <w:r w:rsidR="00F25DF7">
        <w:rPr>
          <w:rFonts w:eastAsiaTheme="minorEastAsia"/>
        </w:rPr>
        <w:t xml:space="preserve"> emissions.</w:t>
      </w:r>
      <w:r w:rsidR="00AD7C9E">
        <w:rPr>
          <w:rFonts w:eastAsiaTheme="minorEastAsia"/>
        </w:rPr>
        <w:t xml:space="preserve"> </w:t>
      </w:r>
      <w:r w:rsidR="000B4A4A">
        <w:rPr>
          <w:rFonts w:eastAsiaTheme="minorEastAsia"/>
        </w:rPr>
        <w:t xml:space="preserve">10.83% of the </w:t>
      </w:r>
      <w:r w:rsidR="004716FD">
        <w:rPr>
          <w:rFonts w:eastAsiaTheme="minorEastAsia"/>
        </w:rPr>
        <w:t>plant’s</w:t>
      </w:r>
      <w:r w:rsidR="000B4A4A">
        <w:rPr>
          <w:rFonts w:eastAsiaTheme="minorEastAsia"/>
        </w:rPr>
        <w:t xml:space="preserve"> total emissions</w:t>
      </w:r>
      <w:r w:rsidR="008D4D13">
        <w:rPr>
          <w:rFonts w:eastAsiaTheme="minorEastAsia"/>
        </w:rPr>
        <w:t xml:space="preserve"> annually</w:t>
      </w:r>
      <w:r w:rsidR="000B4A4A">
        <w:rPr>
          <w:rFonts w:eastAsiaTheme="minorEastAsia"/>
        </w:rPr>
        <w:t xml:space="preserve">. </w:t>
      </w:r>
      <w:r w:rsidR="00841D6A">
        <w:rPr>
          <w:rFonts w:eastAsiaTheme="minorEastAsia"/>
        </w:rPr>
        <w:t xml:space="preserve">These </w:t>
      </w:r>
      <w:r w:rsidR="005C555D">
        <w:rPr>
          <w:rFonts w:eastAsiaTheme="minorEastAsia"/>
        </w:rPr>
        <w:t xml:space="preserve">emission </w:t>
      </w:r>
      <w:r w:rsidR="00841D6A">
        <w:rPr>
          <w:rFonts w:eastAsiaTheme="minorEastAsia"/>
        </w:rPr>
        <w:t xml:space="preserve">percentages are close to those </w:t>
      </w:r>
      <w:r w:rsidR="004716FD">
        <w:rPr>
          <w:rFonts w:eastAsiaTheme="minorEastAsia"/>
        </w:rPr>
        <w:t xml:space="preserve">presented by </w:t>
      </w:r>
      <w:r w:rsidR="004716FD">
        <w:rPr>
          <w:rFonts w:eastAsiaTheme="minorEastAsia"/>
        </w:rPr>
        <w:fldChar w:fldCharType="begin"/>
      </w:r>
      <w:r w:rsidR="004716FD">
        <w:rPr>
          <w:rFonts w:eastAsiaTheme="minorEastAsia"/>
        </w:rPr>
        <w:instrText xml:space="preserve"> ADDIN ZOTERO_ITEM CSL_CITATION {"citationID":"tEYLACnp","properties":{"formattedCitation":"(Birat 2010)","plainCitation":"(Birat 2010)","noteIndex":0},"citationItems":[{"id":1874,"uris":["http://zotero.org/users/local/AB2owHL2/items/T8DHGYTC"],"itemData":{"id":1874,"type":"report","event-place":"Amsterdam","genre":"CCS roadmap – sectoral assessment, Steel","publisher-place":"Amsterdam","title":"Global Technology  Roadmap for CCS in  Industry","URL":"https://www.globalccsinstitute.com/archive/hub/publications/15671/global-technology-roadmap-ccs-industry-steel-sectoral-report.pdf","author":[{"family":"Birat","given":"J.P"}],"accessed":{"date-parts":[["2022",8,3]]},"issued":{"date-parts":[["2010"]]}}}],"schema":"https://github.com/citation-style-language/schema/raw/master/csl-citation.json"} </w:instrText>
      </w:r>
      <w:r w:rsidR="004716FD">
        <w:rPr>
          <w:rFonts w:eastAsiaTheme="minorEastAsia"/>
        </w:rPr>
        <w:fldChar w:fldCharType="separate"/>
      </w:r>
      <w:r w:rsidR="004716FD" w:rsidRPr="004716FD">
        <w:rPr>
          <w:rFonts w:ascii="Calibri" w:hAnsi="Calibri" w:cs="Calibri"/>
        </w:rPr>
        <w:t>(Birat 2010)</w:t>
      </w:r>
      <w:r w:rsidR="004716FD">
        <w:rPr>
          <w:rFonts w:eastAsiaTheme="minorEastAsia"/>
        </w:rPr>
        <w:fldChar w:fldCharType="end"/>
      </w:r>
      <w:r w:rsidR="004716FD">
        <w:rPr>
          <w:rFonts w:eastAsiaTheme="minorEastAsia"/>
        </w:rPr>
        <w:t xml:space="preserve"> in table 19.</w:t>
      </w:r>
    </w:p>
    <w:p w14:paraId="233BAD25" w14:textId="1D373743" w:rsidR="0085471C" w:rsidRDefault="004D25D9" w:rsidP="00255F91">
      <w:pPr>
        <w:spacing w:line="360" w:lineRule="auto"/>
        <w:jc w:val="both"/>
        <w:rPr>
          <w:rFonts w:eastAsiaTheme="minorEastAsia"/>
        </w:rPr>
      </w:pPr>
      <w:r>
        <w:fldChar w:fldCharType="begin"/>
      </w:r>
      <w:r>
        <w:instrText xml:space="preserve"> ADDIN ZOTERO_ITEM CSL_CITATION {"citationID":"EtYwuKab","properties":{"formattedCitation":"(Babich et al. 2010)","plainCitation":"(Babich et al. 2010)","noteIndex":0},"citationItems":[{"id":1828,"uris":["http://zotero.org/users/local/AB2owHL2/items/ERJ5VU9V"],"itemData":{"id":1828,"type":"article-journal","abstract":"Nowadays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Furnace","volume":"50","author":[{"family":"Babich","given":"Alexander"},{"family":"Senk","given":"Dieter"},{"family":"Fernandez","given":"Miguel"}],"issued":{"date-parts":[["2010"]]}}}],"schema":"https://github.com/citation-style-language/schema/raw/master/csl-citation.json"} </w:instrText>
      </w:r>
      <w:r>
        <w:fldChar w:fldCharType="separate"/>
      </w:r>
      <w:r w:rsidRPr="004D25D9">
        <w:rPr>
          <w:rFonts w:ascii="Calibri" w:hAnsi="Calibri" w:cs="Calibri"/>
        </w:rPr>
        <w:t>(Babich et al. 2010)</w:t>
      </w:r>
      <w:r>
        <w:fldChar w:fldCharType="end"/>
      </w:r>
      <w:r>
        <w:t xml:space="preserve"> reports that</w:t>
      </w:r>
      <w:r w:rsidR="00F829BC">
        <w:t xml:space="preserve"> approximately 41% of </w:t>
      </w:r>
      <w:r w:rsidR="0092452B">
        <w:t>BF emissions can be accounted to PC</w:t>
      </w:r>
      <w:r w:rsidR="004B58B6">
        <w:t>I</w:t>
      </w:r>
      <w:r w:rsidR="0023140E">
        <w:t>. At Port Talbot t</w:t>
      </w:r>
      <w:r w:rsidR="00BB0FCA">
        <w:t>his would equal 1</w:t>
      </w:r>
      <w:r w:rsidR="00D6253E">
        <w:t xml:space="preserve">,749,265t </w:t>
      </w:r>
      <w:r w:rsidR="00D6253E">
        <w:rPr>
          <w:rFonts w:eastAsiaTheme="minorEastAsia"/>
        </w:rPr>
        <w:t>CO</w:t>
      </w:r>
      <w:r w:rsidR="00D6253E" w:rsidRPr="003D46B7">
        <w:rPr>
          <w:rFonts w:eastAsiaTheme="minorEastAsia"/>
          <w:vertAlign w:val="subscript"/>
        </w:rPr>
        <w:t>2</w:t>
      </w:r>
      <w:r w:rsidR="00F33A08">
        <w:rPr>
          <w:rFonts w:eastAsiaTheme="minorEastAsia"/>
        </w:rPr>
        <w:t xml:space="preserve"> (41% of 4,266,500t). If </w:t>
      </w:r>
      <w:r w:rsidR="00697C39">
        <w:rPr>
          <w:rFonts w:eastAsiaTheme="minorEastAsia"/>
        </w:rPr>
        <w:t xml:space="preserve">biochar was substituted for PCI at a </w:t>
      </w:r>
      <w:r w:rsidR="00A85EC2">
        <w:rPr>
          <w:rFonts w:eastAsiaTheme="minorEastAsia"/>
        </w:rPr>
        <w:t>conservative 25%, then</w:t>
      </w:r>
      <w:r w:rsidR="0089166A">
        <w:rPr>
          <w:rFonts w:eastAsiaTheme="minorEastAsia"/>
        </w:rPr>
        <w:t xml:space="preserve"> there is potential to reduce</w:t>
      </w:r>
      <w:r w:rsidR="00A85EC2">
        <w:rPr>
          <w:rFonts w:eastAsiaTheme="minorEastAsia"/>
        </w:rPr>
        <w:t xml:space="preserve"> 437</w:t>
      </w:r>
      <w:r w:rsidR="00C75942">
        <w:rPr>
          <w:rFonts w:eastAsiaTheme="minorEastAsia"/>
        </w:rPr>
        <w:t>,316t of CO</w:t>
      </w:r>
      <w:r w:rsidR="00C75942" w:rsidRPr="003D46B7">
        <w:rPr>
          <w:rFonts w:eastAsiaTheme="minorEastAsia"/>
          <w:vertAlign w:val="subscript"/>
        </w:rPr>
        <w:t>2</w:t>
      </w:r>
      <w:r w:rsidR="00C75942">
        <w:rPr>
          <w:rFonts w:eastAsiaTheme="minorEastAsia"/>
        </w:rPr>
        <w:t xml:space="preserve"> </w:t>
      </w:r>
      <w:r w:rsidR="008D4D13">
        <w:rPr>
          <w:rFonts w:eastAsiaTheme="minorEastAsia"/>
        </w:rPr>
        <w:t xml:space="preserve">annually </w:t>
      </w:r>
      <w:r w:rsidR="0089166A">
        <w:rPr>
          <w:rFonts w:eastAsiaTheme="minorEastAsia"/>
        </w:rPr>
        <w:t>at the BF</w:t>
      </w:r>
      <w:r w:rsidR="00CF4865">
        <w:rPr>
          <w:rFonts w:eastAsiaTheme="minorEastAsia"/>
        </w:rPr>
        <w:t xml:space="preserve">. </w:t>
      </w:r>
      <w:r w:rsidR="001906CF">
        <w:rPr>
          <w:rFonts w:eastAsiaTheme="minorEastAsia"/>
        </w:rPr>
        <w:t xml:space="preserve">6.58% of total </w:t>
      </w:r>
      <w:r w:rsidR="00417816">
        <w:rPr>
          <w:rFonts w:eastAsiaTheme="minorEastAsia"/>
        </w:rPr>
        <w:lastRenderedPageBreak/>
        <w:t>CO</w:t>
      </w:r>
      <w:r w:rsidR="00417816" w:rsidRPr="003D46B7">
        <w:rPr>
          <w:rFonts w:eastAsiaTheme="minorEastAsia"/>
          <w:vertAlign w:val="subscript"/>
        </w:rPr>
        <w:t>2</w:t>
      </w:r>
      <w:r w:rsidR="00417816">
        <w:rPr>
          <w:rFonts w:eastAsiaTheme="minorEastAsia"/>
          <w:vertAlign w:val="subscript"/>
        </w:rPr>
        <w:t xml:space="preserve"> </w:t>
      </w:r>
      <w:r w:rsidR="001906CF">
        <w:rPr>
          <w:rFonts w:eastAsiaTheme="minorEastAsia"/>
        </w:rPr>
        <w:t>emissions</w:t>
      </w:r>
      <w:r w:rsidR="0089166A">
        <w:rPr>
          <w:rFonts w:eastAsiaTheme="minorEastAsia"/>
        </w:rPr>
        <w:t xml:space="preserve">. </w:t>
      </w:r>
      <w:r w:rsidR="006A3C57">
        <w:rPr>
          <w:rFonts w:eastAsiaTheme="minorEastAsia"/>
        </w:rPr>
        <w:t xml:space="preserve">A 50% </w:t>
      </w:r>
      <w:r w:rsidR="009D6733">
        <w:rPr>
          <w:rFonts w:eastAsiaTheme="minorEastAsia"/>
        </w:rPr>
        <w:t>biochar substitution</w:t>
      </w:r>
      <w:r w:rsidR="006A3C57">
        <w:rPr>
          <w:rFonts w:eastAsiaTheme="minorEastAsia"/>
        </w:rPr>
        <w:t xml:space="preserve"> would save</w:t>
      </w:r>
      <w:r w:rsidR="009D6733">
        <w:rPr>
          <w:rFonts w:eastAsiaTheme="minorEastAsia"/>
        </w:rPr>
        <w:t xml:space="preserve"> 874</w:t>
      </w:r>
      <w:r w:rsidR="00C544EC">
        <w:rPr>
          <w:rFonts w:eastAsiaTheme="minorEastAsia"/>
        </w:rPr>
        <w:t>,</w:t>
      </w:r>
      <w:r w:rsidR="009D6733">
        <w:rPr>
          <w:rFonts w:eastAsiaTheme="minorEastAsia"/>
        </w:rPr>
        <w:t>632.5</w:t>
      </w:r>
      <w:r w:rsidR="008C4DBA">
        <w:rPr>
          <w:rFonts w:eastAsiaTheme="minorEastAsia"/>
        </w:rPr>
        <w:t>t CO</w:t>
      </w:r>
      <w:r w:rsidR="008C4DBA" w:rsidRPr="003D46B7">
        <w:rPr>
          <w:rFonts w:eastAsiaTheme="minorEastAsia"/>
          <w:vertAlign w:val="subscript"/>
        </w:rPr>
        <w:t>2</w:t>
      </w:r>
      <w:r w:rsidR="00FA6176">
        <w:rPr>
          <w:rFonts w:eastAsiaTheme="minorEastAsia"/>
        </w:rPr>
        <w:t>,</w:t>
      </w:r>
      <w:r w:rsidR="00417816">
        <w:rPr>
          <w:rFonts w:eastAsiaTheme="minorEastAsia"/>
        </w:rPr>
        <w:t xml:space="preserve"> 13.16</w:t>
      </w:r>
      <w:r w:rsidR="007C6406">
        <w:rPr>
          <w:rFonts w:eastAsiaTheme="minorEastAsia"/>
        </w:rPr>
        <w:t>%</w:t>
      </w:r>
      <w:r w:rsidR="00417816">
        <w:rPr>
          <w:rFonts w:eastAsiaTheme="minorEastAsia"/>
        </w:rPr>
        <w:t xml:space="preserve"> of total CO</w:t>
      </w:r>
      <w:r w:rsidR="00417816" w:rsidRPr="003D46B7">
        <w:rPr>
          <w:rFonts w:eastAsiaTheme="minorEastAsia"/>
          <w:vertAlign w:val="subscript"/>
        </w:rPr>
        <w:t>2</w:t>
      </w:r>
      <w:r w:rsidR="00417816">
        <w:rPr>
          <w:rFonts w:eastAsiaTheme="minorEastAsia"/>
          <w:vertAlign w:val="subscript"/>
        </w:rPr>
        <w:t xml:space="preserve"> </w:t>
      </w:r>
      <w:r w:rsidR="00417816">
        <w:rPr>
          <w:rFonts w:eastAsiaTheme="minorEastAsia"/>
        </w:rPr>
        <w:t>emissions.</w:t>
      </w:r>
      <w:r w:rsidR="009D6733">
        <w:rPr>
          <w:rFonts w:eastAsiaTheme="minorEastAsia"/>
        </w:rPr>
        <w:t xml:space="preserve"> A 75% substitution would save </w:t>
      </w:r>
      <w:r w:rsidR="008C4DBA">
        <w:rPr>
          <w:rFonts w:eastAsiaTheme="minorEastAsia"/>
        </w:rPr>
        <w:t>1</w:t>
      </w:r>
      <w:r w:rsidR="00C544EC">
        <w:rPr>
          <w:rFonts w:eastAsiaTheme="minorEastAsia"/>
        </w:rPr>
        <w:t>,</w:t>
      </w:r>
      <w:r w:rsidR="008C4DBA">
        <w:rPr>
          <w:rFonts w:eastAsiaTheme="minorEastAsia"/>
        </w:rPr>
        <w:t>311</w:t>
      </w:r>
      <w:r w:rsidR="00C544EC">
        <w:rPr>
          <w:rFonts w:eastAsiaTheme="minorEastAsia"/>
        </w:rPr>
        <w:t>,</w:t>
      </w:r>
      <w:r w:rsidR="008C4DBA">
        <w:rPr>
          <w:rFonts w:eastAsiaTheme="minorEastAsia"/>
        </w:rPr>
        <w:t>948.8t CO</w:t>
      </w:r>
      <w:r w:rsidR="008C4DBA" w:rsidRPr="003D46B7">
        <w:rPr>
          <w:rFonts w:eastAsiaTheme="minorEastAsia"/>
          <w:vertAlign w:val="subscript"/>
        </w:rPr>
        <w:t>2</w:t>
      </w:r>
      <w:r w:rsidR="00FA6176">
        <w:rPr>
          <w:rFonts w:eastAsiaTheme="minorEastAsia"/>
        </w:rPr>
        <w:t>,</w:t>
      </w:r>
      <w:r w:rsidR="00381473">
        <w:rPr>
          <w:rFonts w:eastAsiaTheme="minorEastAsia"/>
        </w:rPr>
        <w:t xml:space="preserve"> 19.75% of total</w:t>
      </w:r>
      <w:r w:rsidR="004D0DC3">
        <w:rPr>
          <w:rFonts w:eastAsiaTheme="minorEastAsia"/>
        </w:rPr>
        <w:t xml:space="preserve"> CO</w:t>
      </w:r>
      <w:r w:rsidR="004D0DC3" w:rsidRPr="003D46B7">
        <w:rPr>
          <w:rFonts w:eastAsiaTheme="minorEastAsia"/>
          <w:vertAlign w:val="subscript"/>
        </w:rPr>
        <w:t>2</w:t>
      </w:r>
      <w:r w:rsidR="00381473">
        <w:rPr>
          <w:rFonts w:eastAsiaTheme="minorEastAsia"/>
        </w:rPr>
        <w:t xml:space="preserve"> </w:t>
      </w:r>
      <w:r w:rsidR="004D0DC3">
        <w:rPr>
          <w:rFonts w:eastAsiaTheme="minorEastAsia"/>
        </w:rPr>
        <w:t>emissions.</w:t>
      </w:r>
    </w:p>
    <w:p w14:paraId="64613A0F" w14:textId="3E99A5FA" w:rsidR="007A7686" w:rsidRDefault="00876B84" w:rsidP="00255F91">
      <w:pPr>
        <w:spacing w:line="360" w:lineRule="auto"/>
        <w:jc w:val="both"/>
      </w:pPr>
      <w:r>
        <w:t>This report has found that</w:t>
      </w:r>
      <w:r w:rsidR="005C3C75">
        <w:t xml:space="preserve"> there is potential to replace 5% </w:t>
      </w:r>
      <w:r w:rsidR="00D3747E">
        <w:t>coal with biochar for coke making. This would reduce CO</w:t>
      </w:r>
      <w:r w:rsidR="00D3747E" w:rsidRPr="00D3747E">
        <w:rPr>
          <w:vertAlign w:val="subscript"/>
        </w:rPr>
        <w:t>2</w:t>
      </w:r>
      <w:r w:rsidR="00D3747E">
        <w:t xml:space="preserve"> emissions in this process by </w:t>
      </w:r>
      <w:r w:rsidR="00DC1BB5">
        <w:t>35,730t</w:t>
      </w:r>
      <w:r w:rsidR="008D4D13">
        <w:t xml:space="preserve"> annually. </w:t>
      </w:r>
      <w:r w:rsidR="00524538">
        <w:t>Which equates to 0.54% of the total CO2 emission</w:t>
      </w:r>
      <w:r w:rsidR="00524538">
        <w:t>s</w:t>
      </w:r>
      <w:r w:rsidR="00524538">
        <w:t>.</w:t>
      </w:r>
    </w:p>
    <w:p w14:paraId="688FEE79" w14:textId="3AEA9ADF" w:rsidR="003C24AF" w:rsidRDefault="00065D54" w:rsidP="00255F91">
      <w:pPr>
        <w:spacing w:line="360" w:lineRule="auto"/>
        <w:jc w:val="both"/>
      </w:pPr>
      <w:r>
        <w:t xml:space="preserve">In the sinter tests it was found that there is potential to replace up to 50% of the sinter fuel with biochar. </w:t>
      </w:r>
      <w:r w:rsidR="00345FD5">
        <w:t xml:space="preserve">This could save </w:t>
      </w:r>
      <w:r w:rsidR="002302F0">
        <w:t>360,000t of CO</w:t>
      </w:r>
      <w:r w:rsidR="002302F0" w:rsidRPr="002302F0">
        <w:rPr>
          <w:vertAlign w:val="subscript"/>
        </w:rPr>
        <w:t>2</w:t>
      </w:r>
      <w:r w:rsidR="002302F0">
        <w:t xml:space="preserve"> annually.</w:t>
      </w:r>
      <w:r w:rsidR="00CF4865">
        <w:t xml:space="preserve"> 5.42% of the total</w:t>
      </w:r>
      <w:r w:rsidR="00524538">
        <w:t xml:space="preserve"> </w:t>
      </w:r>
      <w:r w:rsidR="00524538">
        <w:t>CO2 emissions</w:t>
      </w:r>
      <w:r w:rsidR="00CF4865">
        <w:t xml:space="preserve">. </w:t>
      </w:r>
    </w:p>
    <w:p w14:paraId="56B8079B" w14:textId="06FE37CD" w:rsidR="00876949" w:rsidRDefault="00BC048B" w:rsidP="00255F91">
      <w:pPr>
        <w:spacing w:line="360" w:lineRule="auto"/>
        <w:jc w:val="both"/>
      </w:pPr>
      <w:r>
        <w:t xml:space="preserve">In </w:t>
      </w:r>
      <w:r w:rsidR="009F5524">
        <w:t>three scenarios</w:t>
      </w:r>
      <w:r w:rsidR="00876949">
        <w:t xml:space="preserve">, the total potential </w:t>
      </w:r>
      <w:r w:rsidR="00876949">
        <w:rPr>
          <w:rFonts w:eastAsiaTheme="minorEastAsia"/>
        </w:rPr>
        <w:t>CO</w:t>
      </w:r>
      <w:r w:rsidR="00876949" w:rsidRPr="003D46B7">
        <w:rPr>
          <w:rFonts w:eastAsiaTheme="minorEastAsia"/>
          <w:vertAlign w:val="subscript"/>
        </w:rPr>
        <w:t>2</w:t>
      </w:r>
      <w:r w:rsidR="00876949">
        <w:t xml:space="preserve"> savings</w:t>
      </w:r>
      <w:r w:rsidR="00517B84">
        <w:t xml:space="preserve"> annually</w:t>
      </w:r>
      <w:r w:rsidR="000D414F">
        <w:t xml:space="preserve"> from substituting biochar into </w:t>
      </w:r>
      <w:r w:rsidR="00F86438">
        <w:t>iron</w:t>
      </w:r>
      <w:r w:rsidR="000D414F">
        <w:t>, sinter and coke making</w:t>
      </w:r>
      <w:r w:rsidR="004C5F11">
        <w:t xml:space="preserve"> at Port Talbot</w:t>
      </w:r>
      <w:r w:rsidR="00876949">
        <w:t xml:space="preserve"> could be:</w:t>
      </w:r>
    </w:p>
    <w:p w14:paraId="2D09C6E6" w14:textId="4043CAF1" w:rsidR="006A4AA5" w:rsidRPr="006C6621" w:rsidRDefault="009F5524" w:rsidP="00255F91">
      <w:pPr>
        <w:spacing w:line="360" w:lineRule="auto"/>
        <w:jc w:val="both"/>
      </w:pPr>
      <w:r>
        <w:t>a</w:t>
      </w:r>
      <w:r w:rsidR="00876949">
        <w:t>t</w:t>
      </w:r>
      <w:r>
        <w:t xml:space="preserve"> 25% PCI substitution</w:t>
      </w:r>
      <w:r w:rsidR="00876949">
        <w:t xml:space="preserve"> </w:t>
      </w:r>
      <w:r w:rsidR="005319A1">
        <w:t>–</w:t>
      </w:r>
      <w:r w:rsidR="00876949">
        <w:t xml:space="preserve"> </w:t>
      </w:r>
      <w:r w:rsidR="005319A1">
        <w:t xml:space="preserve">833,046t </w:t>
      </w:r>
      <w:r w:rsidR="002B760F">
        <w:t>–</w:t>
      </w:r>
      <w:r w:rsidR="00A24943">
        <w:t xml:space="preserve"> </w:t>
      </w:r>
      <w:r w:rsidR="002B760F">
        <w:t>a 12.5% saving</w:t>
      </w:r>
      <w:r w:rsidR="006C6621">
        <w:t xml:space="preserve"> in total </w:t>
      </w:r>
      <w:r w:rsidR="006C6621">
        <w:rPr>
          <w:rFonts w:eastAsiaTheme="minorEastAsia"/>
        </w:rPr>
        <w:t>CO</w:t>
      </w:r>
      <w:r w:rsidR="006C6621" w:rsidRPr="003D46B7">
        <w:rPr>
          <w:rFonts w:eastAsiaTheme="minorEastAsia"/>
          <w:vertAlign w:val="subscript"/>
        </w:rPr>
        <w:t>2</w:t>
      </w:r>
      <w:r w:rsidR="006C6621">
        <w:rPr>
          <w:rFonts w:eastAsiaTheme="minorEastAsia"/>
        </w:rPr>
        <w:t xml:space="preserve"> emissions.</w:t>
      </w:r>
    </w:p>
    <w:p w14:paraId="17C4F895" w14:textId="1613D9F7" w:rsidR="00C544EC" w:rsidRDefault="00C544EC" w:rsidP="00255F91">
      <w:pPr>
        <w:spacing w:line="360" w:lineRule="auto"/>
        <w:jc w:val="both"/>
      </w:pPr>
      <w:r>
        <w:t xml:space="preserve">at 50% PCI substitution </w:t>
      </w:r>
      <w:r w:rsidR="001A7FC9">
        <w:t>–</w:t>
      </w:r>
      <w:r>
        <w:t xml:space="preserve"> </w:t>
      </w:r>
      <w:r w:rsidR="001A7FC9">
        <w:t>1,270</w:t>
      </w:r>
      <w:r w:rsidR="000044CA">
        <w:t>,362t</w:t>
      </w:r>
      <w:r w:rsidR="006C6621">
        <w:t xml:space="preserve"> </w:t>
      </w:r>
      <w:r w:rsidR="00A05FC6">
        <w:t>–</w:t>
      </w:r>
      <w:r w:rsidR="006C6621">
        <w:t xml:space="preserve"> </w:t>
      </w:r>
      <w:r w:rsidR="00A05FC6">
        <w:t xml:space="preserve">a 19.1% saving in total </w:t>
      </w:r>
      <w:r w:rsidR="00A05FC6">
        <w:rPr>
          <w:rFonts w:eastAsiaTheme="minorEastAsia"/>
        </w:rPr>
        <w:t>CO</w:t>
      </w:r>
      <w:r w:rsidR="00A05FC6" w:rsidRPr="003D46B7">
        <w:rPr>
          <w:rFonts w:eastAsiaTheme="minorEastAsia"/>
          <w:vertAlign w:val="subscript"/>
        </w:rPr>
        <w:t>2</w:t>
      </w:r>
      <w:r w:rsidR="00A05FC6">
        <w:rPr>
          <w:rFonts w:eastAsiaTheme="minorEastAsia"/>
        </w:rPr>
        <w:t xml:space="preserve"> emissions.</w:t>
      </w:r>
    </w:p>
    <w:p w14:paraId="75686C94" w14:textId="69B1E38C" w:rsidR="00CB63E2" w:rsidRDefault="000044CA" w:rsidP="007E7E24">
      <w:pPr>
        <w:spacing w:line="360" w:lineRule="auto"/>
        <w:jc w:val="both"/>
        <w:rPr>
          <w:rFonts w:eastAsiaTheme="minorEastAsia"/>
        </w:rPr>
      </w:pPr>
      <w:r>
        <w:t>a</w:t>
      </w:r>
      <w:r w:rsidR="001A3485">
        <w:t>t</w:t>
      </w:r>
      <w:r>
        <w:t xml:space="preserve"> 75% PCI substitution </w:t>
      </w:r>
      <w:r w:rsidR="00A24943">
        <w:t>–</w:t>
      </w:r>
      <w:r>
        <w:t xml:space="preserve"> </w:t>
      </w:r>
      <w:r w:rsidR="00A24943">
        <w:t>1,707,679t</w:t>
      </w:r>
      <w:r w:rsidR="00A05FC6">
        <w:t xml:space="preserve"> </w:t>
      </w:r>
      <w:r w:rsidR="00E441AA">
        <w:t>–</w:t>
      </w:r>
      <w:r w:rsidR="00A05FC6">
        <w:t xml:space="preserve"> </w:t>
      </w:r>
      <w:r w:rsidR="00E441AA">
        <w:t xml:space="preserve">a 25.7% saving in total </w:t>
      </w:r>
      <w:r w:rsidR="00E441AA">
        <w:rPr>
          <w:rFonts w:eastAsiaTheme="minorEastAsia"/>
        </w:rPr>
        <w:t>CO</w:t>
      </w:r>
      <w:r w:rsidR="00E441AA" w:rsidRPr="003D46B7">
        <w:rPr>
          <w:rFonts w:eastAsiaTheme="minorEastAsia"/>
          <w:vertAlign w:val="subscript"/>
        </w:rPr>
        <w:t>2</w:t>
      </w:r>
      <w:r w:rsidR="00E441AA">
        <w:rPr>
          <w:rFonts w:eastAsiaTheme="minorEastAsia"/>
        </w:rPr>
        <w:t xml:space="preserve"> emissions.</w:t>
      </w:r>
    </w:p>
    <w:p w14:paraId="6873597C" w14:textId="2C3CCBE8" w:rsidR="00FF7781" w:rsidRDefault="00FF7781" w:rsidP="007E7E24">
      <w:pPr>
        <w:spacing w:line="360" w:lineRule="auto"/>
        <w:jc w:val="both"/>
        <w:rPr>
          <w:rFonts w:eastAsiaTheme="minorEastAsia"/>
        </w:rPr>
      </w:pPr>
    </w:p>
    <w:p w14:paraId="33673F4D" w14:textId="2BDA9482" w:rsidR="00FF7781" w:rsidRDefault="00FF7781" w:rsidP="007E7E24">
      <w:pPr>
        <w:spacing w:line="360" w:lineRule="auto"/>
        <w:jc w:val="both"/>
        <w:rPr>
          <w:rFonts w:eastAsiaTheme="minorEastAsia"/>
        </w:rPr>
      </w:pPr>
    </w:p>
    <w:p w14:paraId="7B7FF925" w14:textId="4B488AA1" w:rsidR="00FF7781" w:rsidRDefault="00FF7781" w:rsidP="007E7E24">
      <w:pPr>
        <w:spacing w:line="360" w:lineRule="auto"/>
        <w:jc w:val="both"/>
        <w:rPr>
          <w:rFonts w:eastAsiaTheme="minorEastAsia"/>
        </w:rPr>
      </w:pPr>
    </w:p>
    <w:p w14:paraId="38FB1942" w14:textId="633990ED" w:rsidR="00FF7781" w:rsidRDefault="00FF7781" w:rsidP="007E7E24">
      <w:pPr>
        <w:spacing w:line="360" w:lineRule="auto"/>
        <w:jc w:val="both"/>
        <w:rPr>
          <w:rFonts w:eastAsiaTheme="minorEastAsia"/>
        </w:rPr>
      </w:pPr>
    </w:p>
    <w:p w14:paraId="3279BD26" w14:textId="1CC4BA74" w:rsidR="00FF7781" w:rsidRDefault="00FF7781" w:rsidP="007E7E24">
      <w:pPr>
        <w:spacing w:line="360" w:lineRule="auto"/>
        <w:jc w:val="both"/>
        <w:rPr>
          <w:rFonts w:eastAsiaTheme="minorEastAsia"/>
        </w:rPr>
      </w:pPr>
    </w:p>
    <w:p w14:paraId="4231A78B" w14:textId="7806A17B" w:rsidR="00FF7781" w:rsidRDefault="00FF7781" w:rsidP="007E7E24">
      <w:pPr>
        <w:spacing w:line="360" w:lineRule="auto"/>
        <w:jc w:val="both"/>
        <w:rPr>
          <w:rFonts w:eastAsiaTheme="minorEastAsia"/>
        </w:rPr>
      </w:pPr>
    </w:p>
    <w:p w14:paraId="316DE152" w14:textId="4939D63A" w:rsidR="00FF7781" w:rsidRDefault="00FF7781" w:rsidP="007E7E24">
      <w:pPr>
        <w:spacing w:line="360" w:lineRule="auto"/>
        <w:jc w:val="both"/>
        <w:rPr>
          <w:rFonts w:eastAsiaTheme="minorEastAsia"/>
        </w:rPr>
      </w:pPr>
    </w:p>
    <w:p w14:paraId="4ADC3979" w14:textId="42132675" w:rsidR="00FF7781" w:rsidRDefault="00FF7781" w:rsidP="007E7E24">
      <w:pPr>
        <w:spacing w:line="360" w:lineRule="auto"/>
        <w:jc w:val="both"/>
        <w:rPr>
          <w:rFonts w:eastAsiaTheme="minorEastAsia"/>
        </w:rPr>
      </w:pPr>
    </w:p>
    <w:p w14:paraId="73B725DA" w14:textId="6157D0AC" w:rsidR="00FF7781" w:rsidRDefault="00FF7781" w:rsidP="007E7E24">
      <w:pPr>
        <w:spacing w:line="360" w:lineRule="auto"/>
        <w:jc w:val="both"/>
        <w:rPr>
          <w:rFonts w:eastAsiaTheme="minorEastAsia"/>
        </w:rPr>
      </w:pPr>
    </w:p>
    <w:p w14:paraId="00ED3AAB" w14:textId="281C4CB5" w:rsidR="00FF7781" w:rsidRDefault="00FF7781" w:rsidP="007E7E24">
      <w:pPr>
        <w:spacing w:line="360" w:lineRule="auto"/>
        <w:jc w:val="both"/>
        <w:rPr>
          <w:rFonts w:eastAsiaTheme="minorEastAsia"/>
        </w:rPr>
      </w:pPr>
    </w:p>
    <w:p w14:paraId="60B77C7E" w14:textId="420CF3CB" w:rsidR="00FF7781" w:rsidRDefault="00FF7781" w:rsidP="007E7E24">
      <w:pPr>
        <w:spacing w:line="360" w:lineRule="auto"/>
        <w:jc w:val="both"/>
        <w:rPr>
          <w:rFonts w:eastAsiaTheme="minorEastAsia"/>
        </w:rPr>
      </w:pPr>
    </w:p>
    <w:p w14:paraId="05F182EC" w14:textId="77777777" w:rsidR="00FF7781" w:rsidRPr="00CB63E2" w:rsidRDefault="00FF7781" w:rsidP="007E7E24">
      <w:pPr>
        <w:spacing w:line="360" w:lineRule="auto"/>
        <w:jc w:val="both"/>
      </w:pPr>
    </w:p>
    <w:p w14:paraId="42727CC0" w14:textId="635E573A" w:rsidR="009443AA" w:rsidRDefault="009443AA" w:rsidP="00A30F1F">
      <w:pPr>
        <w:pStyle w:val="Heading1"/>
        <w:spacing w:line="360" w:lineRule="auto"/>
        <w:jc w:val="both"/>
      </w:pPr>
      <w:bookmarkStart w:id="110" w:name="_Toc127911478"/>
      <w:r>
        <w:lastRenderedPageBreak/>
        <w:t>Conclusion</w:t>
      </w:r>
      <w:bookmarkEnd w:id="110"/>
    </w:p>
    <w:p w14:paraId="49415499" w14:textId="4EC1B7E3" w:rsidR="00A30F1F" w:rsidRDefault="007F76E6" w:rsidP="00A30F1F">
      <w:pPr>
        <w:spacing w:line="360" w:lineRule="auto"/>
        <w:jc w:val="both"/>
      </w:pPr>
      <w:r>
        <w:t xml:space="preserve">The purpose of this report was to </w:t>
      </w:r>
      <w:r w:rsidR="00237F27">
        <w:t>investigate whether</w:t>
      </w:r>
      <w:r w:rsidR="00135F9E">
        <w:t xml:space="preserve"> </w:t>
      </w:r>
      <w:r w:rsidR="004D029D">
        <w:t>the fossil fuels</w:t>
      </w:r>
      <w:r w:rsidR="0061132C">
        <w:t xml:space="preserve"> used in steelmaking process could be partially replaced with </w:t>
      </w:r>
      <w:r w:rsidR="002D09F7">
        <w:t>biochar produced from sustainably sourced biomass</w:t>
      </w:r>
      <w:r w:rsidR="00681587">
        <w:t>, without</w:t>
      </w:r>
      <w:r w:rsidR="00A83243">
        <w:t xml:space="preserve"> </w:t>
      </w:r>
      <w:r w:rsidR="00FC541D">
        <w:t xml:space="preserve">adversely impacting product quality. </w:t>
      </w:r>
      <w:r w:rsidR="00AC4010">
        <w:t>Replacing these fossil fuels wi</w:t>
      </w:r>
      <w:r w:rsidR="00F55993">
        <w:t xml:space="preserve">th biochar </w:t>
      </w:r>
      <w:r w:rsidR="00B27E2B">
        <w:t>would</w:t>
      </w:r>
      <w:r w:rsidR="00F55993">
        <w:t xml:space="preserve"> potentially allow the steel industry to significantly reduce its CO</w:t>
      </w:r>
      <w:r w:rsidR="00F55993" w:rsidRPr="00F55993">
        <w:rPr>
          <w:vertAlign w:val="subscript"/>
        </w:rPr>
        <w:t>2</w:t>
      </w:r>
      <w:r w:rsidR="00F55993">
        <w:rPr>
          <w:vertAlign w:val="subscript"/>
        </w:rPr>
        <w:t xml:space="preserve"> </w:t>
      </w:r>
      <w:r w:rsidR="00F55993">
        <w:t xml:space="preserve">footprint. </w:t>
      </w:r>
    </w:p>
    <w:p w14:paraId="2CCC5289" w14:textId="5942FF5D" w:rsidR="00B4396F" w:rsidRDefault="00156154" w:rsidP="00A30F1F">
      <w:pPr>
        <w:spacing w:line="360" w:lineRule="auto"/>
        <w:jc w:val="both"/>
      </w:pPr>
      <w:r>
        <w:t xml:space="preserve">Three steelmaking process </w:t>
      </w:r>
      <w:r w:rsidR="00140FC1">
        <w:t>were</w:t>
      </w:r>
      <w:r w:rsidR="00765378">
        <w:t xml:space="preserve"> replicated at a lab scale</w:t>
      </w:r>
      <w:r w:rsidR="007705E7">
        <w:t xml:space="preserve"> and</w:t>
      </w:r>
      <w:r w:rsidR="00C1234B">
        <w:t xml:space="preserve"> </w:t>
      </w:r>
      <w:r w:rsidR="00765378">
        <w:t xml:space="preserve">the impact of </w:t>
      </w:r>
      <w:r w:rsidR="000F7EBE">
        <w:t>partially replacing the current fuel with</w:t>
      </w:r>
      <w:r w:rsidR="00765378">
        <w:t xml:space="preserve"> bioch</w:t>
      </w:r>
      <w:r w:rsidR="000F7EBE">
        <w:t xml:space="preserve">ar </w:t>
      </w:r>
      <w:r w:rsidR="00765378">
        <w:t>on product quality</w:t>
      </w:r>
      <w:r w:rsidR="00C1234B">
        <w:t xml:space="preserve"> was assessed for each process.</w:t>
      </w:r>
      <w:r w:rsidR="00214FE2">
        <w:t xml:space="preserve"> </w:t>
      </w:r>
      <w:r w:rsidR="007F12D6">
        <w:t xml:space="preserve">Two biochar feedstocks were chosen, a </w:t>
      </w:r>
      <w:proofErr w:type="spellStart"/>
      <w:r w:rsidR="007F12D6">
        <w:t>pyrolised</w:t>
      </w:r>
      <w:proofErr w:type="spellEnd"/>
      <w:r w:rsidR="007F12D6">
        <w:t xml:space="preserve"> softwood and a </w:t>
      </w:r>
      <w:proofErr w:type="spellStart"/>
      <w:r w:rsidR="007F12D6">
        <w:t>pyrolised</w:t>
      </w:r>
      <w:proofErr w:type="spellEnd"/>
      <w:r w:rsidR="007F12D6">
        <w:t xml:space="preserve"> waste hardwood</w:t>
      </w:r>
      <w:r w:rsidR="007F12D6">
        <w:t>.</w:t>
      </w:r>
    </w:p>
    <w:p w14:paraId="6E22D1AB" w14:textId="74CCC5C9" w:rsidR="00A129DA" w:rsidRPr="00AE63FA" w:rsidRDefault="00214FE2" w:rsidP="00A30F1F">
      <w:pPr>
        <w:spacing w:line="360" w:lineRule="auto"/>
        <w:jc w:val="both"/>
      </w:pPr>
      <w:r>
        <w:t>Biochar was compared to p</w:t>
      </w:r>
      <w:r w:rsidR="002D0330">
        <w:t>ulverised coal by simulating</w:t>
      </w:r>
      <w:r w:rsidR="00C1234B">
        <w:t xml:space="preserve"> </w:t>
      </w:r>
      <w:r w:rsidR="002D0330">
        <w:t>b</w:t>
      </w:r>
      <w:r w:rsidR="009D7E3D">
        <w:t>last furnace conditions</w:t>
      </w:r>
      <w:r w:rsidR="002D0330">
        <w:t>,</w:t>
      </w:r>
      <w:r w:rsidR="00E37E51">
        <w:t xml:space="preserve"> a drop tube furnace</w:t>
      </w:r>
      <w:r w:rsidR="000A4BA0">
        <w:t xml:space="preserve"> was used</w:t>
      </w:r>
      <w:r w:rsidR="00C760B0">
        <w:t xml:space="preserve"> t</w:t>
      </w:r>
      <w:r w:rsidR="002448F1">
        <w:t xml:space="preserve">o produce blast furnace char which was </w:t>
      </w:r>
      <w:r>
        <w:t xml:space="preserve">tested for its </w:t>
      </w:r>
      <w:r w:rsidR="00EE50AF">
        <w:t xml:space="preserve">chemical, </w:t>
      </w:r>
      <w:r w:rsidR="004D26EB">
        <w:t>combustion,</w:t>
      </w:r>
      <w:r>
        <w:t xml:space="preserve"> and burnout properties</w:t>
      </w:r>
      <w:r w:rsidR="00037D36">
        <w:t xml:space="preserve">. </w:t>
      </w:r>
      <w:r w:rsidR="00FB47E0">
        <w:t xml:space="preserve">The biochar had a </w:t>
      </w:r>
      <w:proofErr w:type="gramStart"/>
      <w:r w:rsidR="00FB47E0">
        <w:t xml:space="preserve">comparable </w:t>
      </w:r>
      <w:r w:rsidR="004D26EB">
        <w:t>chemical properties</w:t>
      </w:r>
      <w:proofErr w:type="gramEnd"/>
      <w:r w:rsidR="004D26EB">
        <w:t xml:space="preserve"> to pulverised coal. </w:t>
      </w:r>
      <w:r w:rsidR="00C067F3">
        <w:t xml:space="preserve">It was </w:t>
      </w:r>
      <w:r w:rsidR="001C133A">
        <w:t>established</w:t>
      </w:r>
      <w:r w:rsidR="00C067F3">
        <w:t xml:space="preserve"> that </w:t>
      </w:r>
      <w:r w:rsidR="0025696B">
        <w:t>although the biochar does contain higher concentration</w:t>
      </w:r>
      <w:r w:rsidR="002E3B17">
        <w:t>s</w:t>
      </w:r>
      <w:r w:rsidR="0025696B">
        <w:t xml:space="preserve"> of harmful alkali elements</w:t>
      </w:r>
      <w:r w:rsidR="00DD1E45">
        <w:t xml:space="preserve">, the concentrations </w:t>
      </w:r>
      <w:r w:rsidR="009C1B7D">
        <w:t>of these elements in</w:t>
      </w:r>
      <w:r w:rsidR="00DD1E45">
        <w:t xml:space="preserve"> the two </w:t>
      </w:r>
      <w:r w:rsidR="008F7762">
        <w:t>biochar’s’</w:t>
      </w:r>
      <w:r w:rsidR="00DD1E45">
        <w:t xml:space="preserve"> tested </w:t>
      </w:r>
      <w:r w:rsidR="004D2A9D">
        <w:t>was</w:t>
      </w:r>
      <w:r w:rsidR="00BD18F3">
        <w:t xml:space="preserve"> reasonably low.</w:t>
      </w:r>
      <w:r w:rsidR="00B4396F">
        <w:t xml:space="preserve"> </w:t>
      </w:r>
      <w:r w:rsidR="00AB2A78">
        <w:t>The biochar was more reactive tha</w:t>
      </w:r>
      <w:r w:rsidR="009007DF">
        <w:t>n</w:t>
      </w:r>
      <w:r w:rsidR="00AB2A78">
        <w:t xml:space="preserve"> </w:t>
      </w:r>
      <w:r w:rsidR="00021C1A">
        <w:t xml:space="preserve">the pulverised coal meaning </w:t>
      </w:r>
      <w:r w:rsidR="005C4E90">
        <w:t>any blast furnace char it produced would ignite at lower temperature</w:t>
      </w:r>
      <w:r w:rsidR="00D36400">
        <w:t xml:space="preserve"> and burnout more quickly than pulverised coal</w:t>
      </w:r>
      <w:r w:rsidR="00CD1FCF">
        <w:t xml:space="preserve"> </w:t>
      </w:r>
      <w:r w:rsidR="00DD55CA">
        <w:t>which could result</w:t>
      </w:r>
      <w:r w:rsidR="00CD1FCF">
        <w:t xml:space="preserve"> </w:t>
      </w:r>
      <w:r w:rsidR="00DD55CA">
        <w:t>in</w:t>
      </w:r>
      <w:r w:rsidR="00CD1FCF">
        <w:t xml:space="preserve"> </w:t>
      </w:r>
      <w:r w:rsidR="00341429">
        <w:t>improved blast furnace performance.</w:t>
      </w:r>
      <w:r w:rsidR="001C133A">
        <w:t xml:space="preserve"> It was determined that</w:t>
      </w:r>
      <w:r w:rsidR="006F31B2">
        <w:t xml:space="preserve"> based on combustion and burnout characteristics, measures used to assess pulverised coal,</w:t>
      </w:r>
      <w:r w:rsidR="001C133A">
        <w:t xml:space="preserve"> it would be possible to replace a substantive amount of pulverised coal with biochar at the blast furnace. </w:t>
      </w:r>
      <w:r w:rsidR="007B2FAA">
        <w:t>In 2021 Port Talbots blast furnaces consumed approximately 1.05 - 1.12 Mt of coke and 0.63 – 0.7</w:t>
      </w:r>
      <w:r w:rsidR="00AE63FA">
        <w:t>0</w:t>
      </w:r>
      <w:r w:rsidR="007B2FAA">
        <w:t xml:space="preserve"> Mt of coal producing approximately 3.5 Mt of Iron</w:t>
      </w:r>
      <w:r w:rsidR="00AE63FA">
        <w:t xml:space="preserve"> while emitting approximately 4.27Mt of C0</w:t>
      </w:r>
      <w:r w:rsidR="00AE63FA" w:rsidRPr="00AE63FA">
        <w:rPr>
          <w:vertAlign w:val="subscript"/>
        </w:rPr>
        <w:t>2</w:t>
      </w:r>
      <w:r w:rsidR="00AE63FA">
        <w:t xml:space="preserve">. If between 25% - 75% of the coal was substituted with </w:t>
      </w:r>
      <w:r w:rsidR="004D26EB">
        <w:t>biochar,</w:t>
      </w:r>
      <w:r w:rsidR="00AE63FA">
        <w:t xml:space="preserve"> then 6.</w:t>
      </w:r>
      <w:r w:rsidR="006F31B2">
        <w:t>6</w:t>
      </w:r>
      <w:r w:rsidR="00AE63FA">
        <w:t>% to 19.</w:t>
      </w:r>
      <w:r w:rsidR="006F31B2">
        <w:t>8</w:t>
      </w:r>
      <w:r w:rsidR="00AE63FA">
        <w:t xml:space="preserve">% </w:t>
      </w:r>
      <w:r w:rsidR="00AE63FA">
        <w:t>C0</w:t>
      </w:r>
      <w:r w:rsidR="00AE63FA" w:rsidRPr="00AE63FA">
        <w:rPr>
          <w:vertAlign w:val="subscript"/>
        </w:rPr>
        <w:t>2</w:t>
      </w:r>
      <w:r w:rsidR="00AE63FA">
        <w:t xml:space="preserve"> </w:t>
      </w:r>
      <w:r w:rsidR="00524538">
        <w:t xml:space="preserve">annual </w:t>
      </w:r>
      <w:r w:rsidR="00AE63FA">
        <w:t>savings could be achieved at Port Talbots blast furnaces alone.</w:t>
      </w:r>
    </w:p>
    <w:p w14:paraId="0C010BC7" w14:textId="06391ADD" w:rsidR="00604683" w:rsidRDefault="0057601B" w:rsidP="00A30F1F">
      <w:pPr>
        <w:spacing w:line="360" w:lineRule="auto"/>
        <w:jc w:val="both"/>
      </w:pPr>
      <w:r>
        <w:t xml:space="preserve">Coal was partially replaced with biochar in a lab scale pilot oven to produce </w:t>
      </w:r>
      <w:r w:rsidR="00B906D7">
        <w:t xml:space="preserve">biocoke, </w:t>
      </w:r>
      <w:r w:rsidR="001C133A">
        <w:t>which was</w:t>
      </w:r>
      <w:r w:rsidR="00B906D7">
        <w:t xml:space="preserve"> </w:t>
      </w:r>
      <w:r w:rsidR="00D64167">
        <w:t>quality assessed.</w:t>
      </w:r>
      <w:r w:rsidR="009937A8">
        <w:t xml:space="preserve"> </w:t>
      </w:r>
      <w:r w:rsidR="00D66E2A">
        <w:t>It was found that t</w:t>
      </w:r>
      <w:r w:rsidR="004D26EB">
        <w:t xml:space="preserve">he addition of biochar to coking coal adversely affects the quality of the biocoke produced. </w:t>
      </w:r>
      <w:r w:rsidR="00D66E2A">
        <w:t xml:space="preserve">Drops in the quality measures, hot and cold coke strength were observed. The nature of biochar leaves inert inclusions in the biocoke, acting as focal points for stress from which fissuring can occur. </w:t>
      </w:r>
      <w:r w:rsidR="00604683">
        <w:t>Bioc</w:t>
      </w:r>
      <w:r w:rsidR="008D3589">
        <w:t>oke</w:t>
      </w:r>
      <w:r w:rsidR="00604683">
        <w:t xml:space="preserve"> has higher concentrations of alkali metals</w:t>
      </w:r>
      <w:r w:rsidR="00D66E2A">
        <w:t xml:space="preserve"> </w:t>
      </w:r>
      <w:r w:rsidR="00604683">
        <w:t>making it more reactive in the blast furnace. These characteristics severely limit the amount of bioc</w:t>
      </w:r>
      <w:r w:rsidR="008D3589">
        <w:t>har</w:t>
      </w:r>
      <w:r w:rsidR="00604683">
        <w:t xml:space="preserve"> that can be used for </w:t>
      </w:r>
      <w:r w:rsidR="008D3589">
        <w:t>coke</w:t>
      </w:r>
      <w:r w:rsidR="00604683">
        <w:t xml:space="preserve"> making. </w:t>
      </w:r>
    </w:p>
    <w:p w14:paraId="766C54F4" w14:textId="6BD4FF2A" w:rsidR="000551A9" w:rsidRDefault="00604683" w:rsidP="000551A9">
      <w:pPr>
        <w:spacing w:line="360" w:lineRule="auto"/>
        <w:jc w:val="both"/>
      </w:pPr>
      <w:r>
        <w:t>It would be possible to use 5% of a biochar with the properties of biochar 1</w:t>
      </w:r>
      <w:r w:rsidR="004E4ACE">
        <w:t xml:space="preserve"> without overly impacting coke </w:t>
      </w:r>
      <w:r w:rsidR="00B703FC">
        <w:t>quality.</w:t>
      </w:r>
      <w:r>
        <w:t xml:space="preserve"> In 2021 the coke ovens at Port Talbot produced approximately 0.9 Mt of coke using 1.3Mt </w:t>
      </w:r>
      <w:r>
        <w:lastRenderedPageBreak/>
        <w:t>of coal while emitting approximately 0.71 Mt of CO</w:t>
      </w:r>
      <w:r w:rsidRPr="00604683">
        <w:rPr>
          <w:vertAlign w:val="subscript"/>
        </w:rPr>
        <w:t>2</w:t>
      </w:r>
      <w:r>
        <w:t xml:space="preserve">. </w:t>
      </w:r>
      <w:r w:rsidR="00524538">
        <w:t>Substituting 5% biochar into the coal blend could save 35kt of CO</w:t>
      </w:r>
      <w:r w:rsidR="00524538" w:rsidRPr="00524538">
        <w:rPr>
          <w:vertAlign w:val="subscript"/>
        </w:rPr>
        <w:t>2</w:t>
      </w:r>
      <w:r w:rsidR="00524538">
        <w:t xml:space="preserve"> annually, 0.54% of the total emissions. </w:t>
      </w:r>
    </w:p>
    <w:p w14:paraId="41BA4EE8" w14:textId="64A9C166" w:rsidR="000A0472" w:rsidRDefault="00F62E25" w:rsidP="000551A9">
      <w:pPr>
        <w:spacing w:line="360" w:lineRule="auto"/>
        <w:jc w:val="both"/>
      </w:pPr>
      <w:r>
        <w:t>Bio-sinter was produced using the sinter pot, a lab scale replication of the sinter making process. Biochar was used to partially replace coke breeze as the fuel in the process.</w:t>
      </w:r>
      <w:r w:rsidR="002D10A0">
        <w:t xml:space="preserve"> </w:t>
      </w:r>
      <w:r w:rsidR="000F11AB">
        <w:t>The tests found that as</w:t>
      </w:r>
      <w:r w:rsidR="00EE0F87">
        <w:t xml:space="preserve"> the amount of biochar increased then the quality of sinter </w:t>
      </w:r>
      <w:r w:rsidR="00374133">
        <w:t xml:space="preserve">was </w:t>
      </w:r>
      <w:r w:rsidR="00854CD8">
        <w:t>decreased</w:t>
      </w:r>
      <w:r w:rsidR="00EE0F87">
        <w:t>. Th</w:t>
      </w:r>
      <w:r w:rsidR="00891904">
        <w:t>e maximum sintering temperature</w:t>
      </w:r>
      <w:r w:rsidR="00DB4F68">
        <w:t xml:space="preserve"> d</w:t>
      </w:r>
      <w:r w:rsidR="00223C33">
        <w:t>ropped</w:t>
      </w:r>
      <w:r w:rsidR="00DB4F68">
        <w:t xml:space="preserve">, and the time </w:t>
      </w:r>
      <w:r w:rsidR="007205A2">
        <w:t>spent above 1000</w:t>
      </w:r>
      <w:r w:rsidR="007205A2" w:rsidRPr="000551A9">
        <w:rPr>
          <w:vertAlign w:val="superscript"/>
        </w:rPr>
        <w:t>0</w:t>
      </w:r>
      <w:r w:rsidR="007205A2">
        <w:t>C</w:t>
      </w:r>
      <w:r w:rsidR="00891904">
        <w:t xml:space="preserve"> </w:t>
      </w:r>
      <w:r w:rsidR="007205A2">
        <w:t>reduced</w:t>
      </w:r>
      <w:r w:rsidR="00B41728">
        <w:t xml:space="preserve">, permeability </w:t>
      </w:r>
      <w:r w:rsidR="00854CD8">
        <w:t>decreased,</w:t>
      </w:r>
      <w:r w:rsidR="00832E9C">
        <w:t xml:space="preserve"> and the yield </w:t>
      </w:r>
      <w:r w:rsidR="00157135">
        <w:t>was l</w:t>
      </w:r>
      <w:r w:rsidR="00B41728">
        <w:t xml:space="preserve">ower. </w:t>
      </w:r>
      <w:r w:rsidR="00A269A6">
        <w:t>The quality measures</w:t>
      </w:r>
      <w:r w:rsidR="00DA2772">
        <w:t xml:space="preserve">, cold strength and reducibility </w:t>
      </w:r>
      <w:r w:rsidR="00650A3B">
        <w:t>were negatively affected.</w:t>
      </w:r>
      <w:r w:rsidR="009A368F">
        <w:t xml:space="preserve"> The </w:t>
      </w:r>
      <w:r w:rsidR="000551A9">
        <w:t>quality drops were not significant however until over 50%</w:t>
      </w:r>
      <w:r w:rsidR="00DA38CC">
        <w:t xml:space="preserve"> biochar substitution. </w:t>
      </w:r>
    </w:p>
    <w:p w14:paraId="64DA3915" w14:textId="466EFAC2" w:rsidR="00755124" w:rsidRDefault="00450725" w:rsidP="00A30F1F">
      <w:pPr>
        <w:spacing w:line="360" w:lineRule="auto"/>
        <w:jc w:val="both"/>
      </w:pPr>
      <w:r>
        <w:t>The results were not perfectly linear as</w:t>
      </w:r>
      <w:r w:rsidR="00BE3C29">
        <w:t xml:space="preserve"> the tests for both biochar 1 and biochar 2 contained an outlier. The tests for biochar 1 at 50% </w:t>
      </w:r>
      <w:r w:rsidR="002B205F">
        <w:t>substitution all showed an improvement in results from the base test.</w:t>
      </w:r>
      <w:r w:rsidR="00C07508">
        <w:t xml:space="preserve"> Similarly for the 25%</w:t>
      </w:r>
      <w:r w:rsidR="0062484A">
        <w:t xml:space="preserve"> </w:t>
      </w:r>
      <w:r w:rsidR="00EE244B">
        <w:t>substitution</w:t>
      </w:r>
      <w:r w:rsidR="00C07508">
        <w:t xml:space="preserve"> test results on the biochar 2</w:t>
      </w:r>
      <w:r w:rsidR="00EE244B">
        <w:t xml:space="preserve">. </w:t>
      </w:r>
      <w:r w:rsidR="00E41657">
        <w:t xml:space="preserve">The results do though show the potential for </w:t>
      </w:r>
      <w:r w:rsidR="00623FA8">
        <w:t xml:space="preserve">biochar to be used in sinter making </w:t>
      </w:r>
      <w:r w:rsidR="009D182D">
        <w:t>with</w:t>
      </w:r>
      <w:r w:rsidR="00623FA8">
        <w:t xml:space="preserve"> a </w:t>
      </w:r>
      <w:r w:rsidR="009D182D">
        <w:t xml:space="preserve">coke breeze </w:t>
      </w:r>
      <w:r w:rsidR="00623FA8">
        <w:t>replacement rate up to 50%.</w:t>
      </w:r>
    </w:p>
    <w:p w14:paraId="2A96B912" w14:textId="080EBAA1" w:rsidR="004C3642" w:rsidRPr="004134A8" w:rsidRDefault="004C3642" w:rsidP="00A30F1F">
      <w:pPr>
        <w:spacing w:line="360" w:lineRule="auto"/>
        <w:jc w:val="both"/>
      </w:pPr>
      <w:r>
        <w:t xml:space="preserve">Of the two biochar </w:t>
      </w:r>
      <w:r w:rsidR="00C87DCE">
        <w:t xml:space="preserve">types </w:t>
      </w:r>
      <w:r w:rsidR="00E46121">
        <w:t>tested,</w:t>
      </w:r>
      <w:r w:rsidR="00C87DCE">
        <w:t xml:space="preserve"> biochar 1</w:t>
      </w:r>
      <w:r w:rsidR="006F709C">
        <w:t xml:space="preserve"> yielded the better results.</w:t>
      </w:r>
      <w:r w:rsidR="003436D3">
        <w:t xml:space="preserve"> It can be concluded that a single biochar </w:t>
      </w:r>
      <w:r w:rsidR="00475967">
        <w:t xml:space="preserve">source </w:t>
      </w:r>
      <w:r w:rsidR="003436D3">
        <w:t>could</w:t>
      </w:r>
      <w:r w:rsidR="00475967">
        <w:t xml:space="preserve"> be used in all three of the processes </w:t>
      </w:r>
      <w:r w:rsidR="00F2782D">
        <w:t>investigated</w:t>
      </w:r>
      <w:r w:rsidR="00DA59E3">
        <w:t xml:space="preserve"> in this report</w:t>
      </w:r>
      <w:r w:rsidR="00546F20">
        <w:t xml:space="preserve">. </w:t>
      </w:r>
      <w:r w:rsidR="004134A8">
        <w:t>The total potential CO</w:t>
      </w:r>
      <w:r w:rsidR="004134A8" w:rsidRPr="004134A8">
        <w:rPr>
          <w:vertAlign w:val="subscript"/>
        </w:rPr>
        <w:t>2</w:t>
      </w:r>
      <w:r w:rsidR="004134A8">
        <w:t xml:space="preserve"> savings at Port Talbot </w:t>
      </w:r>
      <w:r w:rsidR="001A5923">
        <w:t xml:space="preserve">between </w:t>
      </w:r>
      <w:r w:rsidR="008C138F">
        <w:t xml:space="preserve">0.83Mt (25% biochar substitution in PCI) and </w:t>
      </w:r>
      <w:r w:rsidR="00B101E5">
        <w:t>1.7Mt (75% biochar substitution in PCI)</w:t>
      </w:r>
      <w:r w:rsidR="00B12C9A">
        <w:t xml:space="preserve">. Which equates to savings of between 12.5% - 25.7% </w:t>
      </w:r>
      <w:r w:rsidR="00B703FC">
        <w:t>of total CO</w:t>
      </w:r>
      <w:r w:rsidR="00B703FC" w:rsidRPr="00B703FC">
        <w:rPr>
          <w:vertAlign w:val="subscript"/>
        </w:rPr>
        <w:t xml:space="preserve">2 </w:t>
      </w:r>
      <w:r w:rsidR="00B703FC">
        <w:t>emissions</w:t>
      </w:r>
      <w:r w:rsidR="00DD2D35">
        <w:t xml:space="preserve"> at Port Talbot</w:t>
      </w:r>
      <w:r w:rsidR="003252C0">
        <w:t>.</w:t>
      </w:r>
    </w:p>
    <w:p w14:paraId="1F931632" w14:textId="06AA2A49" w:rsidR="008D3589" w:rsidRDefault="003252C0" w:rsidP="003252C0">
      <w:pPr>
        <w:pStyle w:val="Heading2"/>
        <w:spacing w:line="360" w:lineRule="auto"/>
        <w:jc w:val="both"/>
      </w:pPr>
      <w:bookmarkStart w:id="111" w:name="_Toc127911479"/>
      <w:r>
        <w:t>Limitations</w:t>
      </w:r>
      <w:bookmarkEnd w:id="111"/>
    </w:p>
    <w:p w14:paraId="27F440AB" w14:textId="180B496A" w:rsidR="003252C0" w:rsidRDefault="00016ADF" w:rsidP="003252C0">
      <w:pPr>
        <w:spacing w:line="360" w:lineRule="auto"/>
        <w:jc w:val="both"/>
      </w:pPr>
      <w:r>
        <w:t xml:space="preserve">Several biochar and charcoal companies were </w:t>
      </w:r>
      <w:r w:rsidR="0063450F">
        <w:t xml:space="preserve">sent communications requesting samples for use in this report. </w:t>
      </w:r>
      <w:r w:rsidR="00D96197">
        <w:t>Many did not reply and those that did were only interested in supplying large quantities of charcoal</w:t>
      </w:r>
      <w:r w:rsidR="00DB49D4">
        <w:t>.</w:t>
      </w:r>
      <w:r w:rsidR="00F161D1">
        <w:t xml:space="preserve"> Edinburgh University Biochar research centre supplied Biochar 1 and </w:t>
      </w:r>
      <w:r w:rsidR="00E05696">
        <w:t>the data for</w:t>
      </w:r>
      <w:r w:rsidR="00F161D1">
        <w:t xml:space="preserve"> its processing parameters. Biochar 2 was purchased from a </w:t>
      </w:r>
      <w:r w:rsidR="003B7F6B">
        <w:t xml:space="preserve">supplier of charcoal </w:t>
      </w:r>
      <w:r w:rsidR="00991556">
        <w:t>used</w:t>
      </w:r>
      <w:r w:rsidR="003B7F6B">
        <w:t xml:space="preserve"> </w:t>
      </w:r>
      <w:r w:rsidR="00991556">
        <w:t>for</w:t>
      </w:r>
      <w:r w:rsidR="003B7F6B">
        <w:t xml:space="preserve"> gardening</w:t>
      </w:r>
      <w:r w:rsidR="00991556">
        <w:t xml:space="preserve"> purposes</w:t>
      </w:r>
      <w:r w:rsidR="003B7F6B">
        <w:t>. Several requests</w:t>
      </w:r>
      <w:r w:rsidR="00991556">
        <w:t xml:space="preserve"> to the supplier</w:t>
      </w:r>
      <w:r w:rsidR="003B7F6B">
        <w:t xml:space="preserve"> for </w:t>
      </w:r>
      <w:r w:rsidR="004D4456">
        <w:t>the processing parameter</w:t>
      </w:r>
      <w:r w:rsidR="000D729B">
        <w:t>s</w:t>
      </w:r>
      <w:r w:rsidR="004D4456">
        <w:t xml:space="preserve"> used to make the charcoal were ignored.</w:t>
      </w:r>
      <w:r w:rsidR="001309DF">
        <w:t xml:space="preserve"> This information would have been beneficial when comparing and analysing the </w:t>
      </w:r>
      <w:r w:rsidR="00C57704">
        <w:t>biochar’s</w:t>
      </w:r>
      <w:r w:rsidR="00E05696">
        <w:t>.</w:t>
      </w:r>
    </w:p>
    <w:p w14:paraId="581843D2" w14:textId="03301BAA" w:rsidR="001D22BA" w:rsidRDefault="00FE1197" w:rsidP="003252C0">
      <w:pPr>
        <w:spacing w:line="360" w:lineRule="auto"/>
        <w:jc w:val="both"/>
      </w:pPr>
      <w:r>
        <w:t xml:space="preserve">Access to the </w:t>
      </w:r>
      <w:r w:rsidR="0012022F">
        <w:t xml:space="preserve">drop tube furnace at Cardiff university </w:t>
      </w:r>
      <w:r>
        <w:t>was limited</w:t>
      </w:r>
      <w:r w:rsidR="009C5B26">
        <w:t xml:space="preserve">, there were several </w:t>
      </w:r>
      <w:r w:rsidR="0059162A">
        <w:t>students that were using the facility for their own projects,</w:t>
      </w:r>
      <w:r w:rsidR="009C5B26">
        <w:t xml:space="preserve"> supervision using the equipment was also required</w:t>
      </w:r>
      <w:r w:rsidR="0059162A">
        <w:t xml:space="preserve">. The </w:t>
      </w:r>
      <w:r w:rsidR="005B5773">
        <w:t xml:space="preserve">materials lecturer (Dr Steer) was very generous with </w:t>
      </w:r>
      <w:r w:rsidR="00C24E59">
        <w:t>their</w:t>
      </w:r>
      <w:r w:rsidR="005B5773">
        <w:t xml:space="preserve"> time</w:t>
      </w:r>
      <w:r w:rsidR="0074637A">
        <w:t>, but he had other responsibilities</w:t>
      </w:r>
      <w:r w:rsidR="00DD75FA">
        <w:t xml:space="preserve"> and could only offer so much</w:t>
      </w:r>
      <w:r w:rsidR="00973EF3">
        <w:t xml:space="preserve"> of his</w:t>
      </w:r>
      <w:r w:rsidR="00DD75FA">
        <w:t xml:space="preserve"> time</w:t>
      </w:r>
      <w:r w:rsidR="0074637A">
        <w:t>.</w:t>
      </w:r>
      <w:r w:rsidR="006F38EB">
        <w:t xml:space="preserve"> More tests with coal/ biochar blends would have provided valuable information and given a better understanding of how much biochar could be </w:t>
      </w:r>
      <w:r w:rsidR="00C57704">
        <w:t xml:space="preserve">substituted for PCI in the blast furnace. </w:t>
      </w:r>
    </w:p>
    <w:p w14:paraId="4229A0EC" w14:textId="00E312D0" w:rsidR="00147A02" w:rsidRDefault="00B17E1D" w:rsidP="003252C0">
      <w:pPr>
        <w:spacing w:line="360" w:lineRule="auto"/>
        <w:jc w:val="both"/>
      </w:pPr>
      <w:r>
        <w:lastRenderedPageBreak/>
        <w:t>There were plans to analyse the waste gases from the sinter po</w:t>
      </w:r>
      <w:r w:rsidR="00621D40">
        <w:t>t tests</w:t>
      </w:r>
      <w:r w:rsidR="00662D43">
        <w:t xml:space="preserve"> but the author required training on the equipment. The availability of the training did not align with the availability of the sinter pot</w:t>
      </w:r>
      <w:r w:rsidR="00346F81">
        <w:t>. This testing therefore had to be abandoned</w:t>
      </w:r>
      <w:r w:rsidR="001F679B">
        <w:t xml:space="preserve"> as time ran short</w:t>
      </w:r>
      <w:r w:rsidR="00346F81">
        <w:t xml:space="preserve">. It was hoped that the tests would demonstrate that biochar addition would reduce </w:t>
      </w:r>
      <w:r w:rsidR="005F4431">
        <w:t>GHG emissions during sinter making.</w:t>
      </w:r>
    </w:p>
    <w:p w14:paraId="25601F13" w14:textId="4AD794F2" w:rsidR="00C40509" w:rsidRDefault="007353C1" w:rsidP="003252C0">
      <w:pPr>
        <w:spacing w:line="360" w:lineRule="auto"/>
        <w:jc w:val="both"/>
      </w:pPr>
      <w:r>
        <w:t>Other</w:t>
      </w:r>
      <w:r w:rsidR="00C40509">
        <w:t xml:space="preserve"> test</w:t>
      </w:r>
      <w:r>
        <w:t>s</w:t>
      </w:r>
      <w:r w:rsidR="00C40509">
        <w:t xml:space="preserve"> that w</w:t>
      </w:r>
      <w:r w:rsidR="008E2092">
        <w:t>ere</w:t>
      </w:r>
      <w:r>
        <w:t xml:space="preserve"> not completed were dilation and fluidity of the coal and coal/biochar blends. These tests would have demonstrated the effect of biochar on </w:t>
      </w:r>
      <w:r w:rsidR="00031BF6">
        <w:t xml:space="preserve">vital </w:t>
      </w:r>
      <w:r>
        <w:t>coking c</w:t>
      </w:r>
      <w:r w:rsidR="00031BF6">
        <w:t xml:space="preserve">haracteristics. </w:t>
      </w:r>
      <w:r w:rsidR="004D73D3">
        <w:t>Again,</w:t>
      </w:r>
      <w:r w:rsidR="00031BF6">
        <w:t xml:space="preserve"> the author required training on the instruments. Th</w:t>
      </w:r>
      <w:r w:rsidR="004D73D3">
        <w:t xml:space="preserve">e availability of the training and the time taken to carry out the tests </w:t>
      </w:r>
      <w:r w:rsidR="00144C13">
        <w:t>would have made th</w:t>
      </w:r>
      <w:r w:rsidR="00A85021">
        <w:t xml:space="preserve">is tests difficult to complete within a </w:t>
      </w:r>
      <w:r w:rsidR="004B67E4">
        <w:t xml:space="preserve">sensible time frame. It was felt that </w:t>
      </w:r>
      <w:r w:rsidR="008E2092">
        <w:t>possibly</w:t>
      </w:r>
      <w:r w:rsidR="004B67E4">
        <w:t xml:space="preserve"> to</w:t>
      </w:r>
      <w:r w:rsidR="00A42840">
        <w:t>o</w:t>
      </w:r>
      <w:r w:rsidR="004B67E4">
        <w:t xml:space="preserve"> many tests would have been included in the report.</w:t>
      </w:r>
    </w:p>
    <w:p w14:paraId="1D5DC038" w14:textId="4A1727E4" w:rsidR="00A42840" w:rsidRDefault="00CA1E39" w:rsidP="003252C0">
      <w:pPr>
        <w:spacing w:line="360" w:lineRule="auto"/>
        <w:jc w:val="both"/>
      </w:pPr>
      <w:r>
        <w:t>To</w:t>
      </w:r>
      <w:r w:rsidR="000B4E74">
        <w:t xml:space="preserve"> ensure that these results are adequately repeatable</w:t>
      </w:r>
      <w:r w:rsidR="000F503A">
        <w:t xml:space="preserve">, more tests would have been preferable. However, </w:t>
      </w:r>
      <w:r w:rsidR="003B228B">
        <w:t xml:space="preserve">the process of making blast furnace char with a drop tube, </w:t>
      </w:r>
      <w:r w:rsidR="00D719D7">
        <w:t>making coke with a pilot oven and sinter with a sinter pot are time consuming activities</w:t>
      </w:r>
      <w:r w:rsidR="00825A1A">
        <w:t xml:space="preserve">. </w:t>
      </w:r>
      <w:r w:rsidR="00B33A34">
        <w:t xml:space="preserve">One sample through the drop tube took </w:t>
      </w:r>
      <w:r w:rsidR="001062A1">
        <w:t>3</w:t>
      </w:r>
      <w:r w:rsidR="000C443E">
        <w:t xml:space="preserve"> hours. </w:t>
      </w:r>
      <w:r w:rsidR="00FD5338">
        <w:t>A sinter</w:t>
      </w:r>
      <w:r w:rsidR="001062A1">
        <w:t xml:space="preserve"> pot test t</w:t>
      </w:r>
      <w:r w:rsidR="00D47483">
        <w:t xml:space="preserve">ook </w:t>
      </w:r>
      <w:r w:rsidR="00B72A96">
        <w:t>3</w:t>
      </w:r>
      <w:r w:rsidR="00D47483">
        <w:t xml:space="preserve"> hours to run produce</w:t>
      </w:r>
      <w:r w:rsidR="00B72A96">
        <w:t xml:space="preserve"> 1 sinter cake</w:t>
      </w:r>
      <w:r w:rsidR="00D47483">
        <w:t xml:space="preserve">. One pilot oven test takes 24 hours to produce </w:t>
      </w:r>
      <w:r w:rsidR="002066BD">
        <w:t xml:space="preserve">1 </w:t>
      </w:r>
      <w:r w:rsidR="00D47483">
        <w:t>coke</w:t>
      </w:r>
      <w:r w:rsidR="002066BD">
        <w:t xml:space="preserve"> </w:t>
      </w:r>
      <w:r w:rsidR="00FD5338">
        <w:t>batch</w:t>
      </w:r>
      <w:r w:rsidR="00D47483">
        <w:t>.</w:t>
      </w:r>
      <w:r w:rsidR="001062A1">
        <w:t xml:space="preserve"> </w:t>
      </w:r>
      <w:r w:rsidR="00FD5338">
        <w:t xml:space="preserve"> These activities</w:t>
      </w:r>
      <w:r w:rsidR="00443C61">
        <w:t xml:space="preserve"> also</w:t>
      </w:r>
      <w:r w:rsidR="00FD5338">
        <w:t xml:space="preserve"> had to be </w:t>
      </w:r>
      <w:r w:rsidR="007F0FAC">
        <w:t>planned around the regular use of the equipment.</w:t>
      </w:r>
    </w:p>
    <w:p w14:paraId="453ABE6A" w14:textId="5B7BABDE" w:rsidR="00C317FC" w:rsidRDefault="00C317FC" w:rsidP="003252C0">
      <w:pPr>
        <w:spacing w:line="360" w:lineRule="auto"/>
        <w:jc w:val="both"/>
      </w:pPr>
      <w:r>
        <w:t xml:space="preserve">Some tests were completed by laboratory staff at Port Talbot </w:t>
      </w:r>
      <w:r w:rsidR="00AD3D91">
        <w:t>laboratories</w:t>
      </w:r>
      <w:r w:rsidR="00EF23AF">
        <w:t xml:space="preserve">, some level of variation will have been introduced by this fact. </w:t>
      </w:r>
      <w:r w:rsidR="00356248">
        <w:t>Dependent on</w:t>
      </w:r>
      <w:r w:rsidR="00487119">
        <w:t xml:space="preserve"> the</w:t>
      </w:r>
      <w:r w:rsidR="00356248">
        <w:t xml:space="preserve"> level of training</w:t>
      </w:r>
      <w:r w:rsidR="00FC5362">
        <w:t xml:space="preserve">, </w:t>
      </w:r>
      <w:proofErr w:type="gramStart"/>
      <w:r w:rsidR="00FC5362">
        <w:t>competency</w:t>
      </w:r>
      <w:proofErr w:type="gramEnd"/>
      <w:r w:rsidR="00356248">
        <w:t xml:space="preserve"> and experience of the technician. </w:t>
      </w:r>
    </w:p>
    <w:p w14:paraId="45B5FF0B" w14:textId="7AD7DEB2" w:rsidR="00CC391C" w:rsidRDefault="00CC391C" w:rsidP="003252C0">
      <w:pPr>
        <w:spacing w:line="360" w:lineRule="auto"/>
        <w:jc w:val="both"/>
      </w:pPr>
      <w:r>
        <w:t xml:space="preserve">The author’s level of training, competency and experience using </w:t>
      </w:r>
      <w:r w:rsidR="00DE5C7F">
        <w:t xml:space="preserve">some of the equipment may have also introduced variation to the results. </w:t>
      </w:r>
      <w:r w:rsidR="00361CE2">
        <w:t>Although trained and signed off as competent using the equipment.</w:t>
      </w:r>
      <w:r w:rsidR="00DE5C7F">
        <w:t xml:space="preserve"> </w:t>
      </w:r>
      <w:r w:rsidR="00361CE2">
        <w:t>For some of the tests it was the authors first time using the pilot oven and sinter pot alone</w:t>
      </w:r>
      <w:r w:rsidR="008A4AA9">
        <w:t xml:space="preserve"> and unsupervised following training. </w:t>
      </w:r>
    </w:p>
    <w:p w14:paraId="3D17CB76" w14:textId="77777777" w:rsidR="005F4431" w:rsidRPr="003252C0" w:rsidRDefault="005F4431" w:rsidP="003252C0">
      <w:pPr>
        <w:spacing w:line="360" w:lineRule="auto"/>
        <w:jc w:val="both"/>
      </w:pPr>
    </w:p>
    <w:p w14:paraId="50D9AC36" w14:textId="77777777" w:rsidR="00A30F1F" w:rsidRDefault="00A30F1F" w:rsidP="003252C0">
      <w:pPr>
        <w:spacing w:line="360" w:lineRule="auto"/>
        <w:jc w:val="both"/>
      </w:pPr>
    </w:p>
    <w:p w14:paraId="5EA3AF6B" w14:textId="77777777" w:rsidR="00A30F1F" w:rsidRDefault="00A30F1F" w:rsidP="00A30F1F"/>
    <w:p w14:paraId="4918FED9" w14:textId="77777777" w:rsidR="00A30F1F" w:rsidRDefault="00A30F1F" w:rsidP="00A30F1F"/>
    <w:p w14:paraId="65E4B297" w14:textId="77777777" w:rsidR="00A30F1F" w:rsidRDefault="00A30F1F" w:rsidP="00A30F1F"/>
    <w:p w14:paraId="11752386" w14:textId="77777777" w:rsidR="00A30F1F" w:rsidRDefault="00A30F1F" w:rsidP="00A30F1F"/>
    <w:p w14:paraId="72E109D6" w14:textId="77777777" w:rsidR="00A30F1F" w:rsidRDefault="00A30F1F" w:rsidP="00A30F1F"/>
    <w:p w14:paraId="649859FA" w14:textId="77777777" w:rsidR="00A30F1F" w:rsidRPr="00A30F1F" w:rsidRDefault="00A30F1F" w:rsidP="00A30F1F"/>
    <w:p w14:paraId="42727CC1" w14:textId="77777777" w:rsidR="009443AA" w:rsidRDefault="009443AA" w:rsidP="009443AA">
      <w:pPr>
        <w:pStyle w:val="Heading1"/>
      </w:pPr>
      <w:bookmarkStart w:id="112" w:name="_Toc127911480"/>
      <w:r w:rsidRPr="009443AA">
        <w:lastRenderedPageBreak/>
        <w:t>Recommendations</w:t>
      </w:r>
      <w:bookmarkEnd w:id="112"/>
    </w:p>
    <w:p w14:paraId="42727CC3" w14:textId="77777777" w:rsidR="009443AA" w:rsidRDefault="009443AA" w:rsidP="009443AA"/>
    <w:p w14:paraId="42727CC4" w14:textId="77777777" w:rsidR="009443AA" w:rsidRDefault="009443AA" w:rsidP="009443AA"/>
    <w:p w14:paraId="42727CC5" w14:textId="77777777" w:rsidR="009443AA" w:rsidRDefault="009443AA">
      <w:r>
        <w:br w:type="page"/>
      </w:r>
    </w:p>
    <w:p w14:paraId="42727CC6" w14:textId="77777777" w:rsidR="009443AA" w:rsidRDefault="009443AA" w:rsidP="009443AA">
      <w:pPr>
        <w:pStyle w:val="Heading1"/>
      </w:pPr>
      <w:bookmarkStart w:id="113" w:name="_Toc127911481"/>
      <w:r w:rsidRPr="009443AA">
        <w:lastRenderedPageBreak/>
        <w:t>Reference list</w:t>
      </w:r>
      <w:bookmarkEnd w:id="113"/>
    </w:p>
    <w:p w14:paraId="69633D42" w14:textId="7D472DCF" w:rsidR="00A86D09" w:rsidRPr="00A86D09" w:rsidRDefault="00A86D09" w:rsidP="003E5DEE">
      <w:pPr>
        <w:pStyle w:val="Bibliography"/>
        <w:rPr>
          <w:rFonts w:ascii="Calibri" w:hAnsi="Calibri" w:cs="Calibri"/>
        </w:rPr>
      </w:pPr>
    </w:p>
    <w:p w14:paraId="42727CC8" w14:textId="7E4A23AA" w:rsidR="009443AA" w:rsidRDefault="009443AA">
      <w:r>
        <w:br w:type="page"/>
      </w:r>
    </w:p>
    <w:p w14:paraId="42727CC9" w14:textId="77777777" w:rsidR="009443AA" w:rsidRDefault="009443AA" w:rsidP="009443AA">
      <w:pPr>
        <w:pStyle w:val="Heading1"/>
      </w:pPr>
      <w:bookmarkStart w:id="114" w:name="_Toc127911482"/>
      <w:r>
        <w:lastRenderedPageBreak/>
        <w:t>Appendix</w:t>
      </w:r>
      <w:bookmarkEnd w:id="114"/>
    </w:p>
    <w:p w14:paraId="42727CCA" w14:textId="77777777" w:rsidR="009443AA" w:rsidRPr="009443AA" w:rsidRDefault="009443AA" w:rsidP="009443AA">
      <w:r>
        <w:t>Supporting documentation</w:t>
      </w:r>
    </w:p>
    <w:p w14:paraId="42727CCB" w14:textId="77777777" w:rsidR="009443AA" w:rsidRPr="009443AA" w:rsidRDefault="009443AA" w:rsidP="009443AA"/>
    <w:sectPr w:rsidR="009443AA" w:rsidRPr="009443AA" w:rsidSect="00196715">
      <w:headerReference w:type="default" r:id="rId86"/>
      <w:footerReference w:type="default" r:id="rId87"/>
      <w:headerReference w:type="first" r:id="rId88"/>
      <w:footerReference w:type="first" r:id="rId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51A03" w14:textId="77777777" w:rsidR="00477054" w:rsidRDefault="00477054" w:rsidP="00225BF7">
      <w:pPr>
        <w:spacing w:after="0" w:line="240" w:lineRule="auto"/>
      </w:pPr>
      <w:r>
        <w:separator/>
      </w:r>
    </w:p>
  </w:endnote>
  <w:endnote w:type="continuationSeparator" w:id="0">
    <w:p w14:paraId="7DEB4F52" w14:textId="77777777" w:rsidR="00477054" w:rsidRDefault="00477054" w:rsidP="00225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15139"/>
      <w:docPartObj>
        <w:docPartGallery w:val="Page Numbers (Bottom of Page)"/>
        <w:docPartUnique/>
      </w:docPartObj>
    </w:sdtPr>
    <w:sdtEndPr>
      <w:rPr>
        <w:noProof/>
      </w:rPr>
    </w:sdtEndPr>
    <w:sdtContent>
      <w:p w14:paraId="59EFE8A5" w14:textId="5EDDFE1D" w:rsidR="00B778EE" w:rsidRDefault="00B778E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0A6DA63" w14:textId="3AFEB023" w:rsidR="00225BF7" w:rsidRDefault="00225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72BE1" w14:textId="2768D2A6" w:rsidR="006553BA" w:rsidRDefault="00DB20AA">
    <w:pPr>
      <w:pStyle w:val="Footer"/>
    </w:pPr>
    <w:r>
      <w:rPr>
        <w:noProof/>
      </w:rPr>
      <mc:AlternateContent>
        <mc:Choice Requires="wpg">
          <w:drawing>
            <wp:anchor distT="0" distB="0" distL="114300" distR="114300" simplePos="0" relativeHeight="251659264" behindDoc="0" locked="0" layoutInCell="1" allowOverlap="1" wp14:anchorId="4F4B96F5" wp14:editId="37A3F132">
              <wp:simplePos x="0" y="0"/>
              <wp:positionH relativeFrom="page">
                <wp:align>left</wp:align>
              </wp:positionH>
              <wp:positionV relativeFrom="bottomMargin">
                <wp:align>center</wp:align>
              </wp:positionV>
              <wp:extent cx="5943600" cy="27432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93555" w14:textId="566365DC" w:rsidR="006553BA" w:rsidRDefault="006553BA">
                            <w:pPr>
                              <w:pStyle w:val="Footer"/>
                              <w:rPr>
                                <w:caps/>
                                <w:color w:val="808080" w:themeColor="background1" w:themeShade="80"/>
                                <w:sz w:val="20"/>
                                <w:szCs w:val="20"/>
                              </w:rPr>
                            </w:pPr>
                            <w:r>
                              <w:rPr>
                                <w:color w:val="808080" w:themeColor="background1" w:themeShade="80"/>
                                <w:sz w:val="20"/>
                                <w:szCs w:val="20"/>
                              </w:rPr>
                              <w:t>Jamie Waters (1551425)</w:t>
                            </w:r>
                            <w:r>
                              <w:rPr>
                                <w:color w:val="808080" w:themeColor="background1" w:themeShade="80"/>
                                <w:sz w:val="20"/>
                                <w:szCs w:val="20"/>
                              </w:rPr>
                              <w:tab/>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F4B96F5" id="Group 46" o:spid="_x0000_s1033"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I81x3VuAwAApQoAAA4AAAAAAAAAAAAAAAAALgIAAGRycy9lMm9Eb2MueG1sUEsBAi0AFAAGAAgA&#10;AAAhAFQQeSvbAAAABAEAAA8AAAAAAAAAAAAAAAAAyAUAAGRycy9kb3ducmV2LnhtbFBLBQYAAAAA&#10;BAAEAPMAAADQBgAAAAA=&#10;">
              <v:rect id="Rectangle 156" o:spid="_x0000_s1034"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5"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19693555" w14:textId="566365DC" w:rsidR="006553BA" w:rsidRDefault="006553BA">
                      <w:pPr>
                        <w:pStyle w:val="Footer"/>
                        <w:rPr>
                          <w:caps/>
                          <w:color w:val="808080" w:themeColor="background1" w:themeShade="80"/>
                          <w:sz w:val="20"/>
                          <w:szCs w:val="20"/>
                        </w:rPr>
                      </w:pPr>
                      <w:r>
                        <w:rPr>
                          <w:color w:val="808080" w:themeColor="background1" w:themeShade="80"/>
                          <w:sz w:val="20"/>
                          <w:szCs w:val="20"/>
                        </w:rPr>
                        <w:t>Jamie Waters (1551425)</w:t>
                      </w:r>
                      <w:r>
                        <w:rPr>
                          <w:color w:val="808080" w:themeColor="background1" w:themeShade="80"/>
                          <w:sz w:val="20"/>
                          <w:szCs w:val="20"/>
                        </w:rPr>
                        <w:tab/>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543FA" w14:textId="77777777" w:rsidR="00477054" w:rsidRDefault="00477054" w:rsidP="00225BF7">
      <w:pPr>
        <w:spacing w:after="0" w:line="240" w:lineRule="auto"/>
      </w:pPr>
      <w:r>
        <w:separator/>
      </w:r>
    </w:p>
  </w:footnote>
  <w:footnote w:type="continuationSeparator" w:id="0">
    <w:p w14:paraId="5DC94305" w14:textId="77777777" w:rsidR="00477054" w:rsidRDefault="00477054" w:rsidP="00225B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92E62" w14:textId="77777777" w:rsidR="00B778EE" w:rsidRDefault="00B778EE" w:rsidP="00B778EE">
    <w:pPr>
      <w:pStyle w:val="Header"/>
    </w:pPr>
    <w:r>
      <w:t>M.Sc. Thesis - Lean &amp; Agile Operations</w:t>
    </w:r>
    <w:r>
      <w:ptab w:relativeTo="margin" w:alignment="right" w:leader="none"/>
    </w:r>
    <w:r>
      <w:t xml:space="preserve">  University of Wales Trinity Saint David</w:t>
    </w:r>
  </w:p>
  <w:p w14:paraId="3DDDD7EA" w14:textId="4719F718" w:rsidR="00B778EE" w:rsidRPr="00B778EE" w:rsidRDefault="00B778EE" w:rsidP="00B778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AD2F7" w14:textId="25C3C186" w:rsidR="006553BA" w:rsidRDefault="006553BA">
    <w:pPr>
      <w:pStyle w:val="Header"/>
    </w:pPr>
    <w:r>
      <w:t>M.Sc. Thesis - Lean &amp; Agile Operations</w:t>
    </w:r>
    <w:r>
      <w:ptab w:relativeTo="margin" w:alignment="right" w:leader="none"/>
    </w:r>
    <w:r>
      <w:t xml:space="preserve">  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6B9D"/>
    <w:multiLevelType w:val="hybridMultilevel"/>
    <w:tmpl w:val="8C26371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003767A"/>
    <w:multiLevelType w:val="hybridMultilevel"/>
    <w:tmpl w:val="D73A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9073B"/>
    <w:multiLevelType w:val="hybridMultilevel"/>
    <w:tmpl w:val="47EC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5333F"/>
    <w:multiLevelType w:val="hybridMultilevel"/>
    <w:tmpl w:val="86DE772C"/>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4" w15:restartNumberingAfterBreak="0">
    <w:nsid w:val="23E96481"/>
    <w:multiLevelType w:val="hybridMultilevel"/>
    <w:tmpl w:val="D0A864C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5EE59F4"/>
    <w:multiLevelType w:val="hybridMultilevel"/>
    <w:tmpl w:val="4592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47046"/>
    <w:multiLevelType w:val="hybridMultilevel"/>
    <w:tmpl w:val="0470763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305E4BFD"/>
    <w:multiLevelType w:val="hybridMultilevel"/>
    <w:tmpl w:val="C784C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055BB5"/>
    <w:multiLevelType w:val="hybridMultilevel"/>
    <w:tmpl w:val="383012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6D0B49"/>
    <w:multiLevelType w:val="hybridMultilevel"/>
    <w:tmpl w:val="EC2037AC"/>
    <w:lvl w:ilvl="0" w:tplc="6D2CAC42">
      <w:start w:val="1"/>
      <w:numFmt w:val="upp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0" w15:restartNumberingAfterBreak="0">
    <w:nsid w:val="40460BE1"/>
    <w:multiLevelType w:val="hybridMultilevel"/>
    <w:tmpl w:val="847E6392"/>
    <w:lvl w:ilvl="0" w:tplc="FE64C5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724971"/>
    <w:multiLevelType w:val="hybridMultilevel"/>
    <w:tmpl w:val="4FC23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D468D0"/>
    <w:multiLevelType w:val="hybridMultilevel"/>
    <w:tmpl w:val="8D4E5ED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3" w15:restartNumberingAfterBreak="0">
    <w:nsid w:val="474A3533"/>
    <w:multiLevelType w:val="hybridMultilevel"/>
    <w:tmpl w:val="379CE182"/>
    <w:lvl w:ilvl="0" w:tplc="1C540A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512FB0"/>
    <w:multiLevelType w:val="hybridMultilevel"/>
    <w:tmpl w:val="3E7A1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9234F"/>
    <w:multiLevelType w:val="hybridMultilevel"/>
    <w:tmpl w:val="8528E256"/>
    <w:lvl w:ilvl="0" w:tplc="78CA47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11035D"/>
    <w:multiLevelType w:val="hybridMultilevel"/>
    <w:tmpl w:val="6C88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61201"/>
    <w:multiLevelType w:val="hybridMultilevel"/>
    <w:tmpl w:val="E1307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787EDC"/>
    <w:multiLevelType w:val="hybridMultilevel"/>
    <w:tmpl w:val="23CA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FA7FE4"/>
    <w:multiLevelType w:val="hybridMultilevel"/>
    <w:tmpl w:val="379CE18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2475A49"/>
    <w:multiLevelType w:val="hybridMultilevel"/>
    <w:tmpl w:val="8528E25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3D3316"/>
    <w:multiLevelType w:val="hybridMultilevel"/>
    <w:tmpl w:val="19E8181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2" w15:restartNumberingAfterBreak="0">
    <w:nsid w:val="738B7CC5"/>
    <w:multiLevelType w:val="hybridMultilevel"/>
    <w:tmpl w:val="1CD8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0467208">
    <w:abstractNumId w:val="13"/>
  </w:num>
  <w:num w:numId="2" w16cid:durableId="1501432480">
    <w:abstractNumId w:val="15"/>
  </w:num>
  <w:num w:numId="3" w16cid:durableId="1969388977">
    <w:abstractNumId w:val="20"/>
  </w:num>
  <w:num w:numId="4" w16cid:durableId="1761441288">
    <w:abstractNumId w:val="14"/>
  </w:num>
  <w:num w:numId="5" w16cid:durableId="550729345">
    <w:abstractNumId w:val="10"/>
  </w:num>
  <w:num w:numId="6" w16cid:durableId="372576724">
    <w:abstractNumId w:val="19"/>
  </w:num>
  <w:num w:numId="7" w16cid:durableId="512183431">
    <w:abstractNumId w:val="0"/>
  </w:num>
  <w:num w:numId="8" w16cid:durableId="1233084092">
    <w:abstractNumId w:val="6"/>
  </w:num>
  <w:num w:numId="9" w16cid:durableId="957301340">
    <w:abstractNumId w:val="22"/>
  </w:num>
  <w:num w:numId="10" w16cid:durableId="1190994778">
    <w:abstractNumId w:val="16"/>
  </w:num>
  <w:num w:numId="11" w16cid:durableId="473984154">
    <w:abstractNumId w:val="2"/>
  </w:num>
  <w:num w:numId="12" w16cid:durableId="1680153780">
    <w:abstractNumId w:val="7"/>
  </w:num>
  <w:num w:numId="13" w16cid:durableId="322122358">
    <w:abstractNumId w:val="8"/>
  </w:num>
  <w:num w:numId="14" w16cid:durableId="179130257">
    <w:abstractNumId w:val="9"/>
  </w:num>
  <w:num w:numId="15" w16cid:durableId="1823622490">
    <w:abstractNumId w:val="11"/>
  </w:num>
  <w:num w:numId="16" w16cid:durableId="1689674991">
    <w:abstractNumId w:val="17"/>
  </w:num>
  <w:num w:numId="17" w16cid:durableId="727458565">
    <w:abstractNumId w:val="4"/>
  </w:num>
  <w:num w:numId="18" w16cid:durableId="119150198">
    <w:abstractNumId w:val="21"/>
  </w:num>
  <w:num w:numId="19" w16cid:durableId="37819945">
    <w:abstractNumId w:val="12"/>
  </w:num>
  <w:num w:numId="20" w16cid:durableId="18774031">
    <w:abstractNumId w:val="3"/>
  </w:num>
  <w:num w:numId="21" w16cid:durableId="1424062185">
    <w:abstractNumId w:val="1"/>
  </w:num>
  <w:num w:numId="22" w16cid:durableId="834026964">
    <w:abstractNumId w:val="5"/>
  </w:num>
  <w:num w:numId="23" w16cid:durableId="4742256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715"/>
    <w:rsid w:val="000003CA"/>
    <w:rsid w:val="00001558"/>
    <w:rsid w:val="00002A16"/>
    <w:rsid w:val="000034FA"/>
    <w:rsid w:val="00003CCD"/>
    <w:rsid w:val="0000415D"/>
    <w:rsid w:val="000044CA"/>
    <w:rsid w:val="00005B89"/>
    <w:rsid w:val="000066E2"/>
    <w:rsid w:val="00007542"/>
    <w:rsid w:val="000076DE"/>
    <w:rsid w:val="000079F1"/>
    <w:rsid w:val="00010468"/>
    <w:rsid w:val="000105C9"/>
    <w:rsid w:val="00010982"/>
    <w:rsid w:val="000111FF"/>
    <w:rsid w:val="000115FC"/>
    <w:rsid w:val="0001187D"/>
    <w:rsid w:val="00011FCF"/>
    <w:rsid w:val="0001285E"/>
    <w:rsid w:val="00013239"/>
    <w:rsid w:val="00014658"/>
    <w:rsid w:val="00014962"/>
    <w:rsid w:val="00015ADC"/>
    <w:rsid w:val="00015D27"/>
    <w:rsid w:val="00016933"/>
    <w:rsid w:val="00016ADF"/>
    <w:rsid w:val="00017125"/>
    <w:rsid w:val="000178D7"/>
    <w:rsid w:val="000203A6"/>
    <w:rsid w:val="0002055C"/>
    <w:rsid w:val="00020F96"/>
    <w:rsid w:val="0002109E"/>
    <w:rsid w:val="00021638"/>
    <w:rsid w:val="000216EF"/>
    <w:rsid w:val="00021853"/>
    <w:rsid w:val="00021C1A"/>
    <w:rsid w:val="000231DD"/>
    <w:rsid w:val="000234DE"/>
    <w:rsid w:val="00023A15"/>
    <w:rsid w:val="00024818"/>
    <w:rsid w:val="00026B29"/>
    <w:rsid w:val="00026B32"/>
    <w:rsid w:val="00026B35"/>
    <w:rsid w:val="00026FE9"/>
    <w:rsid w:val="00027416"/>
    <w:rsid w:val="00030191"/>
    <w:rsid w:val="000307F5"/>
    <w:rsid w:val="0003083A"/>
    <w:rsid w:val="00031BF6"/>
    <w:rsid w:val="00031C29"/>
    <w:rsid w:val="00033480"/>
    <w:rsid w:val="00033EF8"/>
    <w:rsid w:val="000349BF"/>
    <w:rsid w:val="00035933"/>
    <w:rsid w:val="00035CB2"/>
    <w:rsid w:val="000379C5"/>
    <w:rsid w:val="00037D36"/>
    <w:rsid w:val="000401B2"/>
    <w:rsid w:val="00040EFA"/>
    <w:rsid w:val="0004143B"/>
    <w:rsid w:val="00041D18"/>
    <w:rsid w:val="000421E1"/>
    <w:rsid w:val="00042B2B"/>
    <w:rsid w:val="00043DA2"/>
    <w:rsid w:val="00043E7E"/>
    <w:rsid w:val="00044722"/>
    <w:rsid w:val="0004521A"/>
    <w:rsid w:val="00045769"/>
    <w:rsid w:val="0004601A"/>
    <w:rsid w:val="00046072"/>
    <w:rsid w:val="00046456"/>
    <w:rsid w:val="000465D9"/>
    <w:rsid w:val="00047751"/>
    <w:rsid w:val="000478A1"/>
    <w:rsid w:val="00047FF9"/>
    <w:rsid w:val="000515B9"/>
    <w:rsid w:val="000517A4"/>
    <w:rsid w:val="000519BA"/>
    <w:rsid w:val="00053275"/>
    <w:rsid w:val="00053383"/>
    <w:rsid w:val="000540C3"/>
    <w:rsid w:val="000547EC"/>
    <w:rsid w:val="00054C16"/>
    <w:rsid w:val="000551A9"/>
    <w:rsid w:val="00055329"/>
    <w:rsid w:val="0005552B"/>
    <w:rsid w:val="00055C10"/>
    <w:rsid w:val="000568ED"/>
    <w:rsid w:val="00056E66"/>
    <w:rsid w:val="00057511"/>
    <w:rsid w:val="000601DB"/>
    <w:rsid w:val="000601E7"/>
    <w:rsid w:val="00060286"/>
    <w:rsid w:val="00060527"/>
    <w:rsid w:val="0006201C"/>
    <w:rsid w:val="00062997"/>
    <w:rsid w:val="00062CF4"/>
    <w:rsid w:val="0006305F"/>
    <w:rsid w:val="00063AD2"/>
    <w:rsid w:val="00063E6F"/>
    <w:rsid w:val="000640EC"/>
    <w:rsid w:val="000653CF"/>
    <w:rsid w:val="00065D54"/>
    <w:rsid w:val="000662C9"/>
    <w:rsid w:val="00066814"/>
    <w:rsid w:val="000675D8"/>
    <w:rsid w:val="00067E0D"/>
    <w:rsid w:val="000701D5"/>
    <w:rsid w:val="00070558"/>
    <w:rsid w:val="0007122F"/>
    <w:rsid w:val="00071C96"/>
    <w:rsid w:val="00071EE3"/>
    <w:rsid w:val="00074087"/>
    <w:rsid w:val="00074CFB"/>
    <w:rsid w:val="00074EA4"/>
    <w:rsid w:val="000765AC"/>
    <w:rsid w:val="000768C3"/>
    <w:rsid w:val="00076930"/>
    <w:rsid w:val="00077AE1"/>
    <w:rsid w:val="00077B95"/>
    <w:rsid w:val="000819B3"/>
    <w:rsid w:val="000820C5"/>
    <w:rsid w:val="00083212"/>
    <w:rsid w:val="00083525"/>
    <w:rsid w:val="00083B88"/>
    <w:rsid w:val="00083D15"/>
    <w:rsid w:val="00084608"/>
    <w:rsid w:val="00085C00"/>
    <w:rsid w:val="00086DD7"/>
    <w:rsid w:val="00086EBD"/>
    <w:rsid w:val="0008756D"/>
    <w:rsid w:val="0009044C"/>
    <w:rsid w:val="000908AA"/>
    <w:rsid w:val="0009090A"/>
    <w:rsid w:val="00090A93"/>
    <w:rsid w:val="0009107F"/>
    <w:rsid w:val="0009115B"/>
    <w:rsid w:val="00091697"/>
    <w:rsid w:val="0009261D"/>
    <w:rsid w:val="000929F4"/>
    <w:rsid w:val="00093130"/>
    <w:rsid w:val="00094FA9"/>
    <w:rsid w:val="0009542D"/>
    <w:rsid w:val="00096C39"/>
    <w:rsid w:val="00097B87"/>
    <w:rsid w:val="00097DFA"/>
    <w:rsid w:val="000A0472"/>
    <w:rsid w:val="000A06EC"/>
    <w:rsid w:val="000A0B29"/>
    <w:rsid w:val="000A10E5"/>
    <w:rsid w:val="000A1ADB"/>
    <w:rsid w:val="000A2216"/>
    <w:rsid w:val="000A2354"/>
    <w:rsid w:val="000A2649"/>
    <w:rsid w:val="000A2857"/>
    <w:rsid w:val="000A40AC"/>
    <w:rsid w:val="000A4426"/>
    <w:rsid w:val="000A4BA0"/>
    <w:rsid w:val="000A5002"/>
    <w:rsid w:val="000A516B"/>
    <w:rsid w:val="000A6358"/>
    <w:rsid w:val="000A6903"/>
    <w:rsid w:val="000A6AE5"/>
    <w:rsid w:val="000A6B4B"/>
    <w:rsid w:val="000B03D3"/>
    <w:rsid w:val="000B04C4"/>
    <w:rsid w:val="000B147B"/>
    <w:rsid w:val="000B16CD"/>
    <w:rsid w:val="000B20F6"/>
    <w:rsid w:val="000B26F1"/>
    <w:rsid w:val="000B2D04"/>
    <w:rsid w:val="000B38F1"/>
    <w:rsid w:val="000B4629"/>
    <w:rsid w:val="000B49E2"/>
    <w:rsid w:val="000B4A4A"/>
    <w:rsid w:val="000B4E74"/>
    <w:rsid w:val="000B5B1A"/>
    <w:rsid w:val="000B651A"/>
    <w:rsid w:val="000B6671"/>
    <w:rsid w:val="000B6A88"/>
    <w:rsid w:val="000B7328"/>
    <w:rsid w:val="000B734C"/>
    <w:rsid w:val="000B7711"/>
    <w:rsid w:val="000B7C6C"/>
    <w:rsid w:val="000C088B"/>
    <w:rsid w:val="000C0EC6"/>
    <w:rsid w:val="000C126B"/>
    <w:rsid w:val="000C1C4E"/>
    <w:rsid w:val="000C1CC8"/>
    <w:rsid w:val="000C1E16"/>
    <w:rsid w:val="000C2B27"/>
    <w:rsid w:val="000C2B9C"/>
    <w:rsid w:val="000C2F06"/>
    <w:rsid w:val="000C357E"/>
    <w:rsid w:val="000C443E"/>
    <w:rsid w:val="000C4831"/>
    <w:rsid w:val="000C48D3"/>
    <w:rsid w:val="000C4CFC"/>
    <w:rsid w:val="000C56D1"/>
    <w:rsid w:val="000C5EBB"/>
    <w:rsid w:val="000C6374"/>
    <w:rsid w:val="000C6487"/>
    <w:rsid w:val="000C6588"/>
    <w:rsid w:val="000C65DA"/>
    <w:rsid w:val="000C67EA"/>
    <w:rsid w:val="000C6916"/>
    <w:rsid w:val="000C771B"/>
    <w:rsid w:val="000D01F0"/>
    <w:rsid w:val="000D0BA6"/>
    <w:rsid w:val="000D0BE7"/>
    <w:rsid w:val="000D1D62"/>
    <w:rsid w:val="000D1D6D"/>
    <w:rsid w:val="000D1EDD"/>
    <w:rsid w:val="000D20E9"/>
    <w:rsid w:val="000D282F"/>
    <w:rsid w:val="000D2BC6"/>
    <w:rsid w:val="000D2C8E"/>
    <w:rsid w:val="000D2E82"/>
    <w:rsid w:val="000D30A1"/>
    <w:rsid w:val="000D3891"/>
    <w:rsid w:val="000D3D37"/>
    <w:rsid w:val="000D414F"/>
    <w:rsid w:val="000D4166"/>
    <w:rsid w:val="000D43D1"/>
    <w:rsid w:val="000D43DC"/>
    <w:rsid w:val="000D6D63"/>
    <w:rsid w:val="000D7227"/>
    <w:rsid w:val="000D729B"/>
    <w:rsid w:val="000E0243"/>
    <w:rsid w:val="000E10C6"/>
    <w:rsid w:val="000E13C9"/>
    <w:rsid w:val="000E1E67"/>
    <w:rsid w:val="000E215B"/>
    <w:rsid w:val="000E288B"/>
    <w:rsid w:val="000E2953"/>
    <w:rsid w:val="000E3DD5"/>
    <w:rsid w:val="000E4158"/>
    <w:rsid w:val="000E4BD2"/>
    <w:rsid w:val="000E4DC1"/>
    <w:rsid w:val="000E4E31"/>
    <w:rsid w:val="000E562B"/>
    <w:rsid w:val="000E59FA"/>
    <w:rsid w:val="000E60F0"/>
    <w:rsid w:val="000E656B"/>
    <w:rsid w:val="000E6D1B"/>
    <w:rsid w:val="000E722B"/>
    <w:rsid w:val="000F11AB"/>
    <w:rsid w:val="000F2F6F"/>
    <w:rsid w:val="000F3DD4"/>
    <w:rsid w:val="000F44DC"/>
    <w:rsid w:val="000F4FD5"/>
    <w:rsid w:val="000F503A"/>
    <w:rsid w:val="000F5E4A"/>
    <w:rsid w:val="000F6453"/>
    <w:rsid w:val="000F6658"/>
    <w:rsid w:val="000F7103"/>
    <w:rsid w:val="000F734F"/>
    <w:rsid w:val="000F7B9E"/>
    <w:rsid w:val="000F7CDF"/>
    <w:rsid w:val="000F7EBE"/>
    <w:rsid w:val="0010000A"/>
    <w:rsid w:val="0010052A"/>
    <w:rsid w:val="0010063C"/>
    <w:rsid w:val="00100798"/>
    <w:rsid w:val="00100BE1"/>
    <w:rsid w:val="00101337"/>
    <w:rsid w:val="00101938"/>
    <w:rsid w:val="0010227F"/>
    <w:rsid w:val="001040EA"/>
    <w:rsid w:val="00105A39"/>
    <w:rsid w:val="00105F1A"/>
    <w:rsid w:val="001062A1"/>
    <w:rsid w:val="0010636B"/>
    <w:rsid w:val="0010754B"/>
    <w:rsid w:val="00107705"/>
    <w:rsid w:val="0010778F"/>
    <w:rsid w:val="00107DE8"/>
    <w:rsid w:val="0011049D"/>
    <w:rsid w:val="00110CEA"/>
    <w:rsid w:val="00111965"/>
    <w:rsid w:val="00111C5A"/>
    <w:rsid w:val="0011275F"/>
    <w:rsid w:val="00112CBA"/>
    <w:rsid w:val="00113187"/>
    <w:rsid w:val="00113AE5"/>
    <w:rsid w:val="00114680"/>
    <w:rsid w:val="00114D88"/>
    <w:rsid w:val="0011666F"/>
    <w:rsid w:val="00117DA4"/>
    <w:rsid w:val="0012022F"/>
    <w:rsid w:val="001202C5"/>
    <w:rsid w:val="00120A03"/>
    <w:rsid w:val="00120E49"/>
    <w:rsid w:val="001218A8"/>
    <w:rsid w:val="001226A1"/>
    <w:rsid w:val="00122AFF"/>
    <w:rsid w:val="00123224"/>
    <w:rsid w:val="0012330A"/>
    <w:rsid w:val="00123698"/>
    <w:rsid w:val="001238F1"/>
    <w:rsid w:val="001239C9"/>
    <w:rsid w:val="00123C07"/>
    <w:rsid w:val="001240A7"/>
    <w:rsid w:val="00124441"/>
    <w:rsid w:val="00125C2E"/>
    <w:rsid w:val="00126ED0"/>
    <w:rsid w:val="00126F9E"/>
    <w:rsid w:val="00127DEC"/>
    <w:rsid w:val="00127E41"/>
    <w:rsid w:val="001306EC"/>
    <w:rsid w:val="001309DF"/>
    <w:rsid w:val="00130AA1"/>
    <w:rsid w:val="00130FBA"/>
    <w:rsid w:val="0013255A"/>
    <w:rsid w:val="00132B72"/>
    <w:rsid w:val="001330B8"/>
    <w:rsid w:val="00133213"/>
    <w:rsid w:val="00133287"/>
    <w:rsid w:val="001338CA"/>
    <w:rsid w:val="00133A12"/>
    <w:rsid w:val="00133CE9"/>
    <w:rsid w:val="00134841"/>
    <w:rsid w:val="00134E9B"/>
    <w:rsid w:val="001354C2"/>
    <w:rsid w:val="00135611"/>
    <w:rsid w:val="00135F9E"/>
    <w:rsid w:val="001367CE"/>
    <w:rsid w:val="00136E84"/>
    <w:rsid w:val="0013737A"/>
    <w:rsid w:val="00137758"/>
    <w:rsid w:val="00140FC1"/>
    <w:rsid w:val="001411DA"/>
    <w:rsid w:val="00141552"/>
    <w:rsid w:val="0014267E"/>
    <w:rsid w:val="00142E0D"/>
    <w:rsid w:val="00143238"/>
    <w:rsid w:val="0014412F"/>
    <w:rsid w:val="00144248"/>
    <w:rsid w:val="001443DB"/>
    <w:rsid w:val="00144455"/>
    <w:rsid w:val="00144670"/>
    <w:rsid w:val="00144C13"/>
    <w:rsid w:val="00145855"/>
    <w:rsid w:val="00145A76"/>
    <w:rsid w:val="00146439"/>
    <w:rsid w:val="00146AA0"/>
    <w:rsid w:val="0014734F"/>
    <w:rsid w:val="00147A02"/>
    <w:rsid w:val="00147BB3"/>
    <w:rsid w:val="00147E84"/>
    <w:rsid w:val="00150501"/>
    <w:rsid w:val="001517CC"/>
    <w:rsid w:val="00151A13"/>
    <w:rsid w:val="00151DDE"/>
    <w:rsid w:val="00152293"/>
    <w:rsid w:val="00152510"/>
    <w:rsid w:val="00152573"/>
    <w:rsid w:val="00153050"/>
    <w:rsid w:val="001545A4"/>
    <w:rsid w:val="0015479E"/>
    <w:rsid w:val="0015504F"/>
    <w:rsid w:val="00155B89"/>
    <w:rsid w:val="00156154"/>
    <w:rsid w:val="00156805"/>
    <w:rsid w:val="00156992"/>
    <w:rsid w:val="00157135"/>
    <w:rsid w:val="001579E7"/>
    <w:rsid w:val="00157AEE"/>
    <w:rsid w:val="00157FC5"/>
    <w:rsid w:val="0016017B"/>
    <w:rsid w:val="00160B99"/>
    <w:rsid w:val="00161F67"/>
    <w:rsid w:val="001621E9"/>
    <w:rsid w:val="001629FC"/>
    <w:rsid w:val="00162F10"/>
    <w:rsid w:val="00163D83"/>
    <w:rsid w:val="001641C8"/>
    <w:rsid w:val="00164402"/>
    <w:rsid w:val="00164B14"/>
    <w:rsid w:val="001651AF"/>
    <w:rsid w:val="001651D8"/>
    <w:rsid w:val="00165DEF"/>
    <w:rsid w:val="001669F8"/>
    <w:rsid w:val="00166E13"/>
    <w:rsid w:val="00167006"/>
    <w:rsid w:val="001678C3"/>
    <w:rsid w:val="00167F9C"/>
    <w:rsid w:val="00170628"/>
    <w:rsid w:val="001708C0"/>
    <w:rsid w:val="001719B3"/>
    <w:rsid w:val="00171B2F"/>
    <w:rsid w:val="00171F60"/>
    <w:rsid w:val="0017258A"/>
    <w:rsid w:val="0017473A"/>
    <w:rsid w:val="00174BC2"/>
    <w:rsid w:val="001755CC"/>
    <w:rsid w:val="00175C17"/>
    <w:rsid w:val="00176638"/>
    <w:rsid w:val="001767F7"/>
    <w:rsid w:val="00176A89"/>
    <w:rsid w:val="00180929"/>
    <w:rsid w:val="00180B9D"/>
    <w:rsid w:val="00180ECC"/>
    <w:rsid w:val="00181554"/>
    <w:rsid w:val="0018355D"/>
    <w:rsid w:val="00183E00"/>
    <w:rsid w:val="00184583"/>
    <w:rsid w:val="00184F4C"/>
    <w:rsid w:val="00185395"/>
    <w:rsid w:val="00185555"/>
    <w:rsid w:val="00186B7B"/>
    <w:rsid w:val="00186EA5"/>
    <w:rsid w:val="00187F0A"/>
    <w:rsid w:val="00190156"/>
    <w:rsid w:val="001906CF"/>
    <w:rsid w:val="00191A30"/>
    <w:rsid w:val="00191EBD"/>
    <w:rsid w:val="00191F92"/>
    <w:rsid w:val="00191FA9"/>
    <w:rsid w:val="001937C2"/>
    <w:rsid w:val="00194350"/>
    <w:rsid w:val="001950A4"/>
    <w:rsid w:val="00195369"/>
    <w:rsid w:val="0019554B"/>
    <w:rsid w:val="0019563C"/>
    <w:rsid w:val="0019632C"/>
    <w:rsid w:val="00196715"/>
    <w:rsid w:val="001968C7"/>
    <w:rsid w:val="001970CB"/>
    <w:rsid w:val="00197469"/>
    <w:rsid w:val="00197A4C"/>
    <w:rsid w:val="001A1973"/>
    <w:rsid w:val="001A26E1"/>
    <w:rsid w:val="001A2744"/>
    <w:rsid w:val="001A2BEE"/>
    <w:rsid w:val="001A346C"/>
    <w:rsid w:val="001A3485"/>
    <w:rsid w:val="001A3A1D"/>
    <w:rsid w:val="001A3F2B"/>
    <w:rsid w:val="001A4B7D"/>
    <w:rsid w:val="001A4D93"/>
    <w:rsid w:val="001A5327"/>
    <w:rsid w:val="001A53A1"/>
    <w:rsid w:val="001A5923"/>
    <w:rsid w:val="001A5B82"/>
    <w:rsid w:val="001A5C33"/>
    <w:rsid w:val="001A5F5A"/>
    <w:rsid w:val="001A6D3E"/>
    <w:rsid w:val="001A7339"/>
    <w:rsid w:val="001A7E34"/>
    <w:rsid w:val="001A7FC9"/>
    <w:rsid w:val="001B0C3C"/>
    <w:rsid w:val="001B0ED1"/>
    <w:rsid w:val="001B11ED"/>
    <w:rsid w:val="001B1A11"/>
    <w:rsid w:val="001B25D8"/>
    <w:rsid w:val="001B2E2D"/>
    <w:rsid w:val="001B3812"/>
    <w:rsid w:val="001B482D"/>
    <w:rsid w:val="001B4886"/>
    <w:rsid w:val="001B4B6D"/>
    <w:rsid w:val="001B51E3"/>
    <w:rsid w:val="001B5ACF"/>
    <w:rsid w:val="001B68BA"/>
    <w:rsid w:val="001C0C82"/>
    <w:rsid w:val="001C1291"/>
    <w:rsid w:val="001C133A"/>
    <w:rsid w:val="001C1763"/>
    <w:rsid w:val="001C1D27"/>
    <w:rsid w:val="001C28F8"/>
    <w:rsid w:val="001C2A1C"/>
    <w:rsid w:val="001C2B95"/>
    <w:rsid w:val="001C3676"/>
    <w:rsid w:val="001C3E00"/>
    <w:rsid w:val="001C432D"/>
    <w:rsid w:val="001C4E64"/>
    <w:rsid w:val="001C5559"/>
    <w:rsid w:val="001C5BC1"/>
    <w:rsid w:val="001C6466"/>
    <w:rsid w:val="001C6B95"/>
    <w:rsid w:val="001C713B"/>
    <w:rsid w:val="001C75D3"/>
    <w:rsid w:val="001D059C"/>
    <w:rsid w:val="001D09DC"/>
    <w:rsid w:val="001D0AC9"/>
    <w:rsid w:val="001D1846"/>
    <w:rsid w:val="001D1A4B"/>
    <w:rsid w:val="001D22BA"/>
    <w:rsid w:val="001D256A"/>
    <w:rsid w:val="001D3043"/>
    <w:rsid w:val="001D30D9"/>
    <w:rsid w:val="001D3235"/>
    <w:rsid w:val="001D334A"/>
    <w:rsid w:val="001D33EC"/>
    <w:rsid w:val="001D425D"/>
    <w:rsid w:val="001D4320"/>
    <w:rsid w:val="001D4324"/>
    <w:rsid w:val="001D45FD"/>
    <w:rsid w:val="001D4813"/>
    <w:rsid w:val="001D4DD9"/>
    <w:rsid w:val="001D53D6"/>
    <w:rsid w:val="001D5456"/>
    <w:rsid w:val="001D6378"/>
    <w:rsid w:val="001D66F0"/>
    <w:rsid w:val="001D715D"/>
    <w:rsid w:val="001D78A5"/>
    <w:rsid w:val="001D79F7"/>
    <w:rsid w:val="001E0BA6"/>
    <w:rsid w:val="001E1E80"/>
    <w:rsid w:val="001E2C4A"/>
    <w:rsid w:val="001E2CCD"/>
    <w:rsid w:val="001E3465"/>
    <w:rsid w:val="001E43C8"/>
    <w:rsid w:val="001E5675"/>
    <w:rsid w:val="001E76EA"/>
    <w:rsid w:val="001F1370"/>
    <w:rsid w:val="001F1434"/>
    <w:rsid w:val="001F1E77"/>
    <w:rsid w:val="001F342F"/>
    <w:rsid w:val="001F3C75"/>
    <w:rsid w:val="001F3CC5"/>
    <w:rsid w:val="001F3E26"/>
    <w:rsid w:val="001F3FDA"/>
    <w:rsid w:val="001F4382"/>
    <w:rsid w:val="001F479E"/>
    <w:rsid w:val="001F51E4"/>
    <w:rsid w:val="001F679B"/>
    <w:rsid w:val="001F6FFD"/>
    <w:rsid w:val="001F71E0"/>
    <w:rsid w:val="001F77C7"/>
    <w:rsid w:val="0020019E"/>
    <w:rsid w:val="00200BCD"/>
    <w:rsid w:val="00202AEF"/>
    <w:rsid w:val="00203343"/>
    <w:rsid w:val="002037EA"/>
    <w:rsid w:val="00203C7F"/>
    <w:rsid w:val="00204510"/>
    <w:rsid w:val="00204E67"/>
    <w:rsid w:val="002050E6"/>
    <w:rsid w:val="00205556"/>
    <w:rsid w:val="00205DCD"/>
    <w:rsid w:val="0020646B"/>
    <w:rsid w:val="002066BD"/>
    <w:rsid w:val="0020700A"/>
    <w:rsid w:val="00207379"/>
    <w:rsid w:val="00210D52"/>
    <w:rsid w:val="00211CE9"/>
    <w:rsid w:val="00211D70"/>
    <w:rsid w:val="0021218A"/>
    <w:rsid w:val="0021221B"/>
    <w:rsid w:val="00212569"/>
    <w:rsid w:val="002132BF"/>
    <w:rsid w:val="00213324"/>
    <w:rsid w:val="00213561"/>
    <w:rsid w:val="002137D6"/>
    <w:rsid w:val="002141EB"/>
    <w:rsid w:val="0021473E"/>
    <w:rsid w:val="00214A46"/>
    <w:rsid w:val="00214FE2"/>
    <w:rsid w:val="0021583F"/>
    <w:rsid w:val="00215E35"/>
    <w:rsid w:val="00215E95"/>
    <w:rsid w:val="002165E0"/>
    <w:rsid w:val="00216726"/>
    <w:rsid w:val="00216EDF"/>
    <w:rsid w:val="0022042C"/>
    <w:rsid w:val="002204F2"/>
    <w:rsid w:val="00221436"/>
    <w:rsid w:val="00221D7E"/>
    <w:rsid w:val="00221EB3"/>
    <w:rsid w:val="002234A4"/>
    <w:rsid w:val="00223790"/>
    <w:rsid w:val="00223B86"/>
    <w:rsid w:val="00223C33"/>
    <w:rsid w:val="00224783"/>
    <w:rsid w:val="00224908"/>
    <w:rsid w:val="00224B09"/>
    <w:rsid w:val="00224D8A"/>
    <w:rsid w:val="0022528A"/>
    <w:rsid w:val="002253E4"/>
    <w:rsid w:val="00225533"/>
    <w:rsid w:val="00225BAE"/>
    <w:rsid w:val="00225BF7"/>
    <w:rsid w:val="00225EF6"/>
    <w:rsid w:val="0022782C"/>
    <w:rsid w:val="00227875"/>
    <w:rsid w:val="002301B6"/>
    <w:rsid w:val="002302F0"/>
    <w:rsid w:val="00230BB3"/>
    <w:rsid w:val="0023140E"/>
    <w:rsid w:val="00232902"/>
    <w:rsid w:val="00233523"/>
    <w:rsid w:val="002336CB"/>
    <w:rsid w:val="00234447"/>
    <w:rsid w:val="00234A7B"/>
    <w:rsid w:val="002350C9"/>
    <w:rsid w:val="002354B0"/>
    <w:rsid w:val="002359F8"/>
    <w:rsid w:val="00235CFB"/>
    <w:rsid w:val="00237D1E"/>
    <w:rsid w:val="00237F27"/>
    <w:rsid w:val="002402EA"/>
    <w:rsid w:val="00240D69"/>
    <w:rsid w:val="00240FF0"/>
    <w:rsid w:val="00241095"/>
    <w:rsid w:val="00241246"/>
    <w:rsid w:val="0024127E"/>
    <w:rsid w:val="00241C2D"/>
    <w:rsid w:val="00241E9D"/>
    <w:rsid w:val="00242192"/>
    <w:rsid w:val="002424B6"/>
    <w:rsid w:val="00242F56"/>
    <w:rsid w:val="0024337D"/>
    <w:rsid w:val="00243C77"/>
    <w:rsid w:val="002448F1"/>
    <w:rsid w:val="00245701"/>
    <w:rsid w:val="0024586A"/>
    <w:rsid w:val="00245A18"/>
    <w:rsid w:val="00245B6D"/>
    <w:rsid w:val="00246D38"/>
    <w:rsid w:val="00247C8D"/>
    <w:rsid w:val="0025043C"/>
    <w:rsid w:val="00252481"/>
    <w:rsid w:val="002524A7"/>
    <w:rsid w:val="00252655"/>
    <w:rsid w:val="00252C45"/>
    <w:rsid w:val="00252F6F"/>
    <w:rsid w:val="002532FD"/>
    <w:rsid w:val="00253DD9"/>
    <w:rsid w:val="0025454A"/>
    <w:rsid w:val="0025471C"/>
    <w:rsid w:val="002550B9"/>
    <w:rsid w:val="002555C1"/>
    <w:rsid w:val="00255D0E"/>
    <w:rsid w:val="00255F91"/>
    <w:rsid w:val="002561EF"/>
    <w:rsid w:val="002567A8"/>
    <w:rsid w:val="0025696B"/>
    <w:rsid w:val="0025792D"/>
    <w:rsid w:val="00257C8A"/>
    <w:rsid w:val="00257DAF"/>
    <w:rsid w:val="0026096C"/>
    <w:rsid w:val="002618CA"/>
    <w:rsid w:val="00261F93"/>
    <w:rsid w:val="0026320E"/>
    <w:rsid w:val="00263273"/>
    <w:rsid w:val="00263283"/>
    <w:rsid w:val="0026379F"/>
    <w:rsid w:val="0026393C"/>
    <w:rsid w:val="00263F88"/>
    <w:rsid w:val="00264115"/>
    <w:rsid w:val="0026554D"/>
    <w:rsid w:val="00266712"/>
    <w:rsid w:val="0026676A"/>
    <w:rsid w:val="002679F7"/>
    <w:rsid w:val="00267BFC"/>
    <w:rsid w:val="0027051A"/>
    <w:rsid w:val="00270648"/>
    <w:rsid w:val="002708EE"/>
    <w:rsid w:val="00270E94"/>
    <w:rsid w:val="00271DA4"/>
    <w:rsid w:val="0027226B"/>
    <w:rsid w:val="0027281A"/>
    <w:rsid w:val="00272FCF"/>
    <w:rsid w:val="00273860"/>
    <w:rsid w:val="0027475E"/>
    <w:rsid w:val="002749F8"/>
    <w:rsid w:val="00274C92"/>
    <w:rsid w:val="00274FE3"/>
    <w:rsid w:val="00275887"/>
    <w:rsid w:val="00276287"/>
    <w:rsid w:val="00276302"/>
    <w:rsid w:val="00276B9F"/>
    <w:rsid w:val="00277039"/>
    <w:rsid w:val="00277CEA"/>
    <w:rsid w:val="00280626"/>
    <w:rsid w:val="002807EF"/>
    <w:rsid w:val="00280D3B"/>
    <w:rsid w:val="00281028"/>
    <w:rsid w:val="00281276"/>
    <w:rsid w:val="002815FD"/>
    <w:rsid w:val="00282053"/>
    <w:rsid w:val="00282C22"/>
    <w:rsid w:val="00282E3B"/>
    <w:rsid w:val="002831DC"/>
    <w:rsid w:val="002833F2"/>
    <w:rsid w:val="002841D9"/>
    <w:rsid w:val="002842BA"/>
    <w:rsid w:val="0028590E"/>
    <w:rsid w:val="00286853"/>
    <w:rsid w:val="00286A66"/>
    <w:rsid w:val="00287016"/>
    <w:rsid w:val="002872EB"/>
    <w:rsid w:val="00290D1E"/>
    <w:rsid w:val="00290ECF"/>
    <w:rsid w:val="002912D0"/>
    <w:rsid w:val="00291A37"/>
    <w:rsid w:val="0029241E"/>
    <w:rsid w:val="00292842"/>
    <w:rsid w:val="00293F4B"/>
    <w:rsid w:val="002943E7"/>
    <w:rsid w:val="00294BFE"/>
    <w:rsid w:val="0029575E"/>
    <w:rsid w:val="00295827"/>
    <w:rsid w:val="0029586F"/>
    <w:rsid w:val="0029607C"/>
    <w:rsid w:val="0029636D"/>
    <w:rsid w:val="002963E4"/>
    <w:rsid w:val="002964EE"/>
    <w:rsid w:val="00296921"/>
    <w:rsid w:val="00296BA3"/>
    <w:rsid w:val="00297DC9"/>
    <w:rsid w:val="002A0479"/>
    <w:rsid w:val="002A0B20"/>
    <w:rsid w:val="002A0CA6"/>
    <w:rsid w:val="002A168D"/>
    <w:rsid w:val="002A1B46"/>
    <w:rsid w:val="002A1C4D"/>
    <w:rsid w:val="002A1DBC"/>
    <w:rsid w:val="002A1F2D"/>
    <w:rsid w:val="002A20F3"/>
    <w:rsid w:val="002A33AE"/>
    <w:rsid w:val="002A33EA"/>
    <w:rsid w:val="002A5837"/>
    <w:rsid w:val="002A5A27"/>
    <w:rsid w:val="002A5CD7"/>
    <w:rsid w:val="002A6426"/>
    <w:rsid w:val="002A6523"/>
    <w:rsid w:val="002A75F7"/>
    <w:rsid w:val="002A7F68"/>
    <w:rsid w:val="002B02E0"/>
    <w:rsid w:val="002B034D"/>
    <w:rsid w:val="002B08E2"/>
    <w:rsid w:val="002B0BCE"/>
    <w:rsid w:val="002B205F"/>
    <w:rsid w:val="002B2614"/>
    <w:rsid w:val="002B4F4F"/>
    <w:rsid w:val="002B6185"/>
    <w:rsid w:val="002B6775"/>
    <w:rsid w:val="002B7419"/>
    <w:rsid w:val="002B760F"/>
    <w:rsid w:val="002C02EC"/>
    <w:rsid w:val="002C0B59"/>
    <w:rsid w:val="002C1F0D"/>
    <w:rsid w:val="002C37F2"/>
    <w:rsid w:val="002C393E"/>
    <w:rsid w:val="002C3F27"/>
    <w:rsid w:val="002C4411"/>
    <w:rsid w:val="002C4A2C"/>
    <w:rsid w:val="002C5A42"/>
    <w:rsid w:val="002C5FFE"/>
    <w:rsid w:val="002C6097"/>
    <w:rsid w:val="002C7019"/>
    <w:rsid w:val="002C76A9"/>
    <w:rsid w:val="002C7E4E"/>
    <w:rsid w:val="002D0330"/>
    <w:rsid w:val="002D04C5"/>
    <w:rsid w:val="002D09F7"/>
    <w:rsid w:val="002D10A0"/>
    <w:rsid w:val="002D1E4B"/>
    <w:rsid w:val="002D213A"/>
    <w:rsid w:val="002D24DB"/>
    <w:rsid w:val="002D2989"/>
    <w:rsid w:val="002D3595"/>
    <w:rsid w:val="002D449C"/>
    <w:rsid w:val="002D4714"/>
    <w:rsid w:val="002D4E26"/>
    <w:rsid w:val="002D5DC4"/>
    <w:rsid w:val="002D72ED"/>
    <w:rsid w:val="002D7488"/>
    <w:rsid w:val="002D7671"/>
    <w:rsid w:val="002D79BA"/>
    <w:rsid w:val="002D7D91"/>
    <w:rsid w:val="002D7E18"/>
    <w:rsid w:val="002E0115"/>
    <w:rsid w:val="002E0221"/>
    <w:rsid w:val="002E0D91"/>
    <w:rsid w:val="002E0F19"/>
    <w:rsid w:val="002E165E"/>
    <w:rsid w:val="002E1677"/>
    <w:rsid w:val="002E22F6"/>
    <w:rsid w:val="002E23F0"/>
    <w:rsid w:val="002E2A19"/>
    <w:rsid w:val="002E34AE"/>
    <w:rsid w:val="002E3B17"/>
    <w:rsid w:val="002E4442"/>
    <w:rsid w:val="002E48B3"/>
    <w:rsid w:val="002E5314"/>
    <w:rsid w:val="002E54C6"/>
    <w:rsid w:val="002E5C7B"/>
    <w:rsid w:val="002E605F"/>
    <w:rsid w:val="002E6D38"/>
    <w:rsid w:val="002E6E56"/>
    <w:rsid w:val="002F07CD"/>
    <w:rsid w:val="002F0C0B"/>
    <w:rsid w:val="002F1B66"/>
    <w:rsid w:val="002F1C31"/>
    <w:rsid w:val="002F1CB4"/>
    <w:rsid w:val="002F2C33"/>
    <w:rsid w:val="002F2DA2"/>
    <w:rsid w:val="002F2FE6"/>
    <w:rsid w:val="002F357D"/>
    <w:rsid w:val="002F35E2"/>
    <w:rsid w:val="002F36D6"/>
    <w:rsid w:val="002F41B3"/>
    <w:rsid w:val="002F43AB"/>
    <w:rsid w:val="002F571F"/>
    <w:rsid w:val="002F5754"/>
    <w:rsid w:val="002F613C"/>
    <w:rsid w:val="002F647F"/>
    <w:rsid w:val="002F6CED"/>
    <w:rsid w:val="002F73BE"/>
    <w:rsid w:val="0030065C"/>
    <w:rsid w:val="00300984"/>
    <w:rsid w:val="00301850"/>
    <w:rsid w:val="00301A4F"/>
    <w:rsid w:val="003038F5"/>
    <w:rsid w:val="00303A21"/>
    <w:rsid w:val="00304862"/>
    <w:rsid w:val="0030587E"/>
    <w:rsid w:val="00305E53"/>
    <w:rsid w:val="00306A79"/>
    <w:rsid w:val="00306ABA"/>
    <w:rsid w:val="00306EC4"/>
    <w:rsid w:val="003072C5"/>
    <w:rsid w:val="003079AF"/>
    <w:rsid w:val="00310616"/>
    <w:rsid w:val="00310692"/>
    <w:rsid w:val="00310B52"/>
    <w:rsid w:val="00311F30"/>
    <w:rsid w:val="003120B5"/>
    <w:rsid w:val="003120E7"/>
    <w:rsid w:val="003128A7"/>
    <w:rsid w:val="00312EB3"/>
    <w:rsid w:val="00313332"/>
    <w:rsid w:val="00314AFE"/>
    <w:rsid w:val="00314D2D"/>
    <w:rsid w:val="003150C2"/>
    <w:rsid w:val="00315278"/>
    <w:rsid w:val="0031663D"/>
    <w:rsid w:val="003176A2"/>
    <w:rsid w:val="00317A14"/>
    <w:rsid w:val="00317A26"/>
    <w:rsid w:val="00317AF5"/>
    <w:rsid w:val="00317FCD"/>
    <w:rsid w:val="0032018E"/>
    <w:rsid w:val="00320917"/>
    <w:rsid w:val="00320C49"/>
    <w:rsid w:val="00320D9A"/>
    <w:rsid w:val="0032113B"/>
    <w:rsid w:val="003215F9"/>
    <w:rsid w:val="003227D8"/>
    <w:rsid w:val="0032282B"/>
    <w:rsid w:val="0032282E"/>
    <w:rsid w:val="00322DEB"/>
    <w:rsid w:val="00323B6D"/>
    <w:rsid w:val="00323E7D"/>
    <w:rsid w:val="00324683"/>
    <w:rsid w:val="003249B0"/>
    <w:rsid w:val="00324BB6"/>
    <w:rsid w:val="003252C0"/>
    <w:rsid w:val="00325851"/>
    <w:rsid w:val="00326507"/>
    <w:rsid w:val="00326898"/>
    <w:rsid w:val="00326BCA"/>
    <w:rsid w:val="00326E85"/>
    <w:rsid w:val="00326EC8"/>
    <w:rsid w:val="0032705F"/>
    <w:rsid w:val="0032739C"/>
    <w:rsid w:val="00327631"/>
    <w:rsid w:val="00330784"/>
    <w:rsid w:val="00330FF8"/>
    <w:rsid w:val="00331854"/>
    <w:rsid w:val="003322C3"/>
    <w:rsid w:val="00332687"/>
    <w:rsid w:val="00332B30"/>
    <w:rsid w:val="00332E59"/>
    <w:rsid w:val="00333015"/>
    <w:rsid w:val="003333A0"/>
    <w:rsid w:val="00334227"/>
    <w:rsid w:val="00334524"/>
    <w:rsid w:val="00334616"/>
    <w:rsid w:val="00335444"/>
    <w:rsid w:val="00335B25"/>
    <w:rsid w:val="00336B19"/>
    <w:rsid w:val="00340408"/>
    <w:rsid w:val="003406A8"/>
    <w:rsid w:val="0034105E"/>
    <w:rsid w:val="00341429"/>
    <w:rsid w:val="0034217D"/>
    <w:rsid w:val="00342228"/>
    <w:rsid w:val="003436D3"/>
    <w:rsid w:val="00343DB4"/>
    <w:rsid w:val="003444F2"/>
    <w:rsid w:val="00344B49"/>
    <w:rsid w:val="0034554F"/>
    <w:rsid w:val="00345F6E"/>
    <w:rsid w:val="00345FD5"/>
    <w:rsid w:val="003460E3"/>
    <w:rsid w:val="00346975"/>
    <w:rsid w:val="00346F81"/>
    <w:rsid w:val="003503E7"/>
    <w:rsid w:val="00350870"/>
    <w:rsid w:val="00350AB6"/>
    <w:rsid w:val="00351023"/>
    <w:rsid w:val="003513EF"/>
    <w:rsid w:val="003514A6"/>
    <w:rsid w:val="003517EB"/>
    <w:rsid w:val="00351A20"/>
    <w:rsid w:val="00351D51"/>
    <w:rsid w:val="003522BB"/>
    <w:rsid w:val="00352688"/>
    <w:rsid w:val="003538F6"/>
    <w:rsid w:val="0035599F"/>
    <w:rsid w:val="00356248"/>
    <w:rsid w:val="0035664A"/>
    <w:rsid w:val="00356851"/>
    <w:rsid w:val="00356CEC"/>
    <w:rsid w:val="00357B35"/>
    <w:rsid w:val="0036056A"/>
    <w:rsid w:val="00360AE8"/>
    <w:rsid w:val="00360BD6"/>
    <w:rsid w:val="0036151B"/>
    <w:rsid w:val="0036156C"/>
    <w:rsid w:val="00361CE2"/>
    <w:rsid w:val="003625F1"/>
    <w:rsid w:val="00362BEC"/>
    <w:rsid w:val="00364531"/>
    <w:rsid w:val="00364FAE"/>
    <w:rsid w:val="003657DF"/>
    <w:rsid w:val="00367B61"/>
    <w:rsid w:val="00370B80"/>
    <w:rsid w:val="00371188"/>
    <w:rsid w:val="003725F7"/>
    <w:rsid w:val="00372A1D"/>
    <w:rsid w:val="0037379D"/>
    <w:rsid w:val="00373920"/>
    <w:rsid w:val="00373C34"/>
    <w:rsid w:val="00374133"/>
    <w:rsid w:val="003749A4"/>
    <w:rsid w:val="00375039"/>
    <w:rsid w:val="0037568F"/>
    <w:rsid w:val="00376591"/>
    <w:rsid w:val="003768AA"/>
    <w:rsid w:val="003769FE"/>
    <w:rsid w:val="00377142"/>
    <w:rsid w:val="00377F6C"/>
    <w:rsid w:val="003801AE"/>
    <w:rsid w:val="003801EE"/>
    <w:rsid w:val="003806CC"/>
    <w:rsid w:val="00380728"/>
    <w:rsid w:val="0038092D"/>
    <w:rsid w:val="00380BA1"/>
    <w:rsid w:val="00380C28"/>
    <w:rsid w:val="00381238"/>
    <w:rsid w:val="0038126F"/>
    <w:rsid w:val="00381473"/>
    <w:rsid w:val="00381481"/>
    <w:rsid w:val="003822D2"/>
    <w:rsid w:val="00382CE9"/>
    <w:rsid w:val="00383358"/>
    <w:rsid w:val="00383AD0"/>
    <w:rsid w:val="00383FEF"/>
    <w:rsid w:val="00384237"/>
    <w:rsid w:val="00384958"/>
    <w:rsid w:val="00387E7C"/>
    <w:rsid w:val="0039017A"/>
    <w:rsid w:val="00390745"/>
    <w:rsid w:val="00390AAE"/>
    <w:rsid w:val="00390F02"/>
    <w:rsid w:val="00391731"/>
    <w:rsid w:val="0039221C"/>
    <w:rsid w:val="00392A47"/>
    <w:rsid w:val="00392D5A"/>
    <w:rsid w:val="00392E31"/>
    <w:rsid w:val="00393D81"/>
    <w:rsid w:val="003942C1"/>
    <w:rsid w:val="0039433E"/>
    <w:rsid w:val="00397357"/>
    <w:rsid w:val="00397380"/>
    <w:rsid w:val="00397535"/>
    <w:rsid w:val="003977E2"/>
    <w:rsid w:val="0039786C"/>
    <w:rsid w:val="00397DB6"/>
    <w:rsid w:val="003A0DC2"/>
    <w:rsid w:val="003A1D5D"/>
    <w:rsid w:val="003A1EE9"/>
    <w:rsid w:val="003A20D9"/>
    <w:rsid w:val="003A2D82"/>
    <w:rsid w:val="003A3408"/>
    <w:rsid w:val="003A3431"/>
    <w:rsid w:val="003A3B5C"/>
    <w:rsid w:val="003A3BFE"/>
    <w:rsid w:val="003A3FE9"/>
    <w:rsid w:val="003A4C09"/>
    <w:rsid w:val="003A4EF5"/>
    <w:rsid w:val="003A517B"/>
    <w:rsid w:val="003A5490"/>
    <w:rsid w:val="003A5C32"/>
    <w:rsid w:val="003A5F80"/>
    <w:rsid w:val="003A71EF"/>
    <w:rsid w:val="003A7A43"/>
    <w:rsid w:val="003B026B"/>
    <w:rsid w:val="003B06F1"/>
    <w:rsid w:val="003B1EA9"/>
    <w:rsid w:val="003B221D"/>
    <w:rsid w:val="003B228B"/>
    <w:rsid w:val="003B32EF"/>
    <w:rsid w:val="003B37D9"/>
    <w:rsid w:val="003B4DC5"/>
    <w:rsid w:val="003B4FEF"/>
    <w:rsid w:val="003B5C56"/>
    <w:rsid w:val="003B5E92"/>
    <w:rsid w:val="003B5EAE"/>
    <w:rsid w:val="003B67E4"/>
    <w:rsid w:val="003B72AF"/>
    <w:rsid w:val="003B7DFA"/>
    <w:rsid w:val="003B7F6B"/>
    <w:rsid w:val="003C09F1"/>
    <w:rsid w:val="003C1227"/>
    <w:rsid w:val="003C1DCC"/>
    <w:rsid w:val="003C2443"/>
    <w:rsid w:val="003C24AF"/>
    <w:rsid w:val="003C37E6"/>
    <w:rsid w:val="003C3838"/>
    <w:rsid w:val="003C3C07"/>
    <w:rsid w:val="003C4372"/>
    <w:rsid w:val="003C5697"/>
    <w:rsid w:val="003C590C"/>
    <w:rsid w:val="003C59CF"/>
    <w:rsid w:val="003C5A40"/>
    <w:rsid w:val="003C64F1"/>
    <w:rsid w:val="003C6585"/>
    <w:rsid w:val="003C761E"/>
    <w:rsid w:val="003C7BF3"/>
    <w:rsid w:val="003C7E1C"/>
    <w:rsid w:val="003D061D"/>
    <w:rsid w:val="003D0970"/>
    <w:rsid w:val="003D1877"/>
    <w:rsid w:val="003D1B49"/>
    <w:rsid w:val="003D1C23"/>
    <w:rsid w:val="003D205C"/>
    <w:rsid w:val="003D2122"/>
    <w:rsid w:val="003D29ED"/>
    <w:rsid w:val="003D340E"/>
    <w:rsid w:val="003D342E"/>
    <w:rsid w:val="003D3D03"/>
    <w:rsid w:val="003D4691"/>
    <w:rsid w:val="003D46B7"/>
    <w:rsid w:val="003D4DA4"/>
    <w:rsid w:val="003D4F09"/>
    <w:rsid w:val="003D534A"/>
    <w:rsid w:val="003D59BD"/>
    <w:rsid w:val="003D5C98"/>
    <w:rsid w:val="003D6188"/>
    <w:rsid w:val="003D6DC5"/>
    <w:rsid w:val="003D73E4"/>
    <w:rsid w:val="003E0587"/>
    <w:rsid w:val="003E0FED"/>
    <w:rsid w:val="003E1762"/>
    <w:rsid w:val="003E1B9C"/>
    <w:rsid w:val="003E256E"/>
    <w:rsid w:val="003E2760"/>
    <w:rsid w:val="003E294E"/>
    <w:rsid w:val="003E2D7A"/>
    <w:rsid w:val="003E3440"/>
    <w:rsid w:val="003E41D2"/>
    <w:rsid w:val="003E518B"/>
    <w:rsid w:val="003E5DEE"/>
    <w:rsid w:val="003E5E12"/>
    <w:rsid w:val="003E5FDE"/>
    <w:rsid w:val="003E60BC"/>
    <w:rsid w:val="003E62B2"/>
    <w:rsid w:val="003E6824"/>
    <w:rsid w:val="003E6B6B"/>
    <w:rsid w:val="003E6DD6"/>
    <w:rsid w:val="003F036B"/>
    <w:rsid w:val="003F07BF"/>
    <w:rsid w:val="003F098E"/>
    <w:rsid w:val="003F0B14"/>
    <w:rsid w:val="003F1948"/>
    <w:rsid w:val="003F19E9"/>
    <w:rsid w:val="003F1C49"/>
    <w:rsid w:val="003F275E"/>
    <w:rsid w:val="003F29A9"/>
    <w:rsid w:val="003F2C98"/>
    <w:rsid w:val="003F31D3"/>
    <w:rsid w:val="003F37E0"/>
    <w:rsid w:val="003F38AB"/>
    <w:rsid w:val="003F426B"/>
    <w:rsid w:val="003F450B"/>
    <w:rsid w:val="003F591B"/>
    <w:rsid w:val="003F5D02"/>
    <w:rsid w:val="003F5EEC"/>
    <w:rsid w:val="003F602E"/>
    <w:rsid w:val="003F6149"/>
    <w:rsid w:val="003F684C"/>
    <w:rsid w:val="003F731E"/>
    <w:rsid w:val="004000CB"/>
    <w:rsid w:val="00400F38"/>
    <w:rsid w:val="00401834"/>
    <w:rsid w:val="0040248C"/>
    <w:rsid w:val="0040268F"/>
    <w:rsid w:val="00402E12"/>
    <w:rsid w:val="0040357B"/>
    <w:rsid w:val="004044CD"/>
    <w:rsid w:val="00404F8C"/>
    <w:rsid w:val="0040526F"/>
    <w:rsid w:val="00406142"/>
    <w:rsid w:val="00406618"/>
    <w:rsid w:val="00406E24"/>
    <w:rsid w:val="00407402"/>
    <w:rsid w:val="004117CA"/>
    <w:rsid w:val="00411911"/>
    <w:rsid w:val="00411988"/>
    <w:rsid w:val="00411C1E"/>
    <w:rsid w:val="00411C61"/>
    <w:rsid w:val="00412716"/>
    <w:rsid w:val="004134A8"/>
    <w:rsid w:val="00413B0A"/>
    <w:rsid w:val="00413D40"/>
    <w:rsid w:val="00414253"/>
    <w:rsid w:val="00414580"/>
    <w:rsid w:val="004146B1"/>
    <w:rsid w:val="00415C6C"/>
    <w:rsid w:val="00415D72"/>
    <w:rsid w:val="00416EB8"/>
    <w:rsid w:val="004176F7"/>
    <w:rsid w:val="00417816"/>
    <w:rsid w:val="00417F5D"/>
    <w:rsid w:val="00420B82"/>
    <w:rsid w:val="0042106B"/>
    <w:rsid w:val="004210DA"/>
    <w:rsid w:val="00421C70"/>
    <w:rsid w:val="00421F3B"/>
    <w:rsid w:val="004225C8"/>
    <w:rsid w:val="00422F67"/>
    <w:rsid w:val="00423C8C"/>
    <w:rsid w:val="00423D2B"/>
    <w:rsid w:val="00425540"/>
    <w:rsid w:val="00425863"/>
    <w:rsid w:val="004258FC"/>
    <w:rsid w:val="00426ABA"/>
    <w:rsid w:val="00427DDC"/>
    <w:rsid w:val="00430828"/>
    <w:rsid w:val="00430AAA"/>
    <w:rsid w:val="00431153"/>
    <w:rsid w:val="00431796"/>
    <w:rsid w:val="00431F86"/>
    <w:rsid w:val="0043233B"/>
    <w:rsid w:val="00432D60"/>
    <w:rsid w:val="00432D9B"/>
    <w:rsid w:val="004335A3"/>
    <w:rsid w:val="00434918"/>
    <w:rsid w:val="004350DB"/>
    <w:rsid w:val="004351B8"/>
    <w:rsid w:val="004353D3"/>
    <w:rsid w:val="00435785"/>
    <w:rsid w:val="00435833"/>
    <w:rsid w:val="00437106"/>
    <w:rsid w:val="00437998"/>
    <w:rsid w:val="00437B54"/>
    <w:rsid w:val="00441484"/>
    <w:rsid w:val="004416C6"/>
    <w:rsid w:val="00441C6B"/>
    <w:rsid w:val="00442080"/>
    <w:rsid w:val="004421D3"/>
    <w:rsid w:val="00442547"/>
    <w:rsid w:val="004429EB"/>
    <w:rsid w:val="00442DCE"/>
    <w:rsid w:val="00443539"/>
    <w:rsid w:val="00443C61"/>
    <w:rsid w:val="00443D0C"/>
    <w:rsid w:val="004446B2"/>
    <w:rsid w:val="0044506A"/>
    <w:rsid w:val="0044515D"/>
    <w:rsid w:val="00445AF9"/>
    <w:rsid w:val="00446E34"/>
    <w:rsid w:val="004473DD"/>
    <w:rsid w:val="004479A1"/>
    <w:rsid w:val="00447A7D"/>
    <w:rsid w:val="0045027D"/>
    <w:rsid w:val="004503FE"/>
    <w:rsid w:val="00450725"/>
    <w:rsid w:val="004510DA"/>
    <w:rsid w:val="004511D9"/>
    <w:rsid w:val="00451378"/>
    <w:rsid w:val="00451ADF"/>
    <w:rsid w:val="00452084"/>
    <w:rsid w:val="00452787"/>
    <w:rsid w:val="004528CE"/>
    <w:rsid w:val="004529C8"/>
    <w:rsid w:val="00452F4A"/>
    <w:rsid w:val="0045366E"/>
    <w:rsid w:val="00453F9B"/>
    <w:rsid w:val="0045458D"/>
    <w:rsid w:val="00455ABF"/>
    <w:rsid w:val="00455C94"/>
    <w:rsid w:val="00456167"/>
    <w:rsid w:val="00457F6F"/>
    <w:rsid w:val="0046052A"/>
    <w:rsid w:val="0046094F"/>
    <w:rsid w:val="00460F74"/>
    <w:rsid w:val="004611FB"/>
    <w:rsid w:val="00461505"/>
    <w:rsid w:val="00461612"/>
    <w:rsid w:val="00461E9E"/>
    <w:rsid w:val="00463081"/>
    <w:rsid w:val="0046400F"/>
    <w:rsid w:val="0046421C"/>
    <w:rsid w:val="00465187"/>
    <w:rsid w:val="004651D1"/>
    <w:rsid w:val="0046537C"/>
    <w:rsid w:val="00466328"/>
    <w:rsid w:val="0046666D"/>
    <w:rsid w:val="004671BB"/>
    <w:rsid w:val="004671FD"/>
    <w:rsid w:val="00467746"/>
    <w:rsid w:val="00467CB8"/>
    <w:rsid w:val="004703A3"/>
    <w:rsid w:val="00470C47"/>
    <w:rsid w:val="00470C71"/>
    <w:rsid w:val="00470EA4"/>
    <w:rsid w:val="004716FD"/>
    <w:rsid w:val="00472328"/>
    <w:rsid w:val="004725E3"/>
    <w:rsid w:val="00472D78"/>
    <w:rsid w:val="00472F13"/>
    <w:rsid w:val="00473F41"/>
    <w:rsid w:val="004744FC"/>
    <w:rsid w:val="00475879"/>
    <w:rsid w:val="00475967"/>
    <w:rsid w:val="00475A13"/>
    <w:rsid w:val="00475B4E"/>
    <w:rsid w:val="0047645D"/>
    <w:rsid w:val="00476AD2"/>
    <w:rsid w:val="00476ADB"/>
    <w:rsid w:val="00476EA7"/>
    <w:rsid w:val="00477054"/>
    <w:rsid w:val="004812FD"/>
    <w:rsid w:val="00481C24"/>
    <w:rsid w:val="004822C3"/>
    <w:rsid w:val="00482973"/>
    <w:rsid w:val="00483B39"/>
    <w:rsid w:val="0048452B"/>
    <w:rsid w:val="004846AD"/>
    <w:rsid w:val="00484887"/>
    <w:rsid w:val="00484DE3"/>
    <w:rsid w:val="004852FC"/>
    <w:rsid w:val="004857E8"/>
    <w:rsid w:val="00486388"/>
    <w:rsid w:val="00486C3B"/>
    <w:rsid w:val="00486C4E"/>
    <w:rsid w:val="00486F38"/>
    <w:rsid w:val="00487119"/>
    <w:rsid w:val="00487511"/>
    <w:rsid w:val="004875DD"/>
    <w:rsid w:val="004879BF"/>
    <w:rsid w:val="00487B13"/>
    <w:rsid w:val="00490296"/>
    <w:rsid w:val="004912A3"/>
    <w:rsid w:val="00491533"/>
    <w:rsid w:val="00491C34"/>
    <w:rsid w:val="00491FE4"/>
    <w:rsid w:val="004924E2"/>
    <w:rsid w:val="00492633"/>
    <w:rsid w:val="00493872"/>
    <w:rsid w:val="0049391E"/>
    <w:rsid w:val="0049492B"/>
    <w:rsid w:val="00494C69"/>
    <w:rsid w:val="0049524D"/>
    <w:rsid w:val="004952A9"/>
    <w:rsid w:val="004952AC"/>
    <w:rsid w:val="00495582"/>
    <w:rsid w:val="004963DD"/>
    <w:rsid w:val="00496B89"/>
    <w:rsid w:val="0049720C"/>
    <w:rsid w:val="00497AD0"/>
    <w:rsid w:val="00497B74"/>
    <w:rsid w:val="004A0117"/>
    <w:rsid w:val="004A02D2"/>
    <w:rsid w:val="004A12D1"/>
    <w:rsid w:val="004A12F8"/>
    <w:rsid w:val="004A1385"/>
    <w:rsid w:val="004A1CC0"/>
    <w:rsid w:val="004A1CEE"/>
    <w:rsid w:val="004A1DCF"/>
    <w:rsid w:val="004A2566"/>
    <w:rsid w:val="004A40B9"/>
    <w:rsid w:val="004A44EC"/>
    <w:rsid w:val="004A509C"/>
    <w:rsid w:val="004A5636"/>
    <w:rsid w:val="004A5647"/>
    <w:rsid w:val="004A58D0"/>
    <w:rsid w:val="004A6272"/>
    <w:rsid w:val="004A6531"/>
    <w:rsid w:val="004A6DDB"/>
    <w:rsid w:val="004B04C3"/>
    <w:rsid w:val="004B1410"/>
    <w:rsid w:val="004B1777"/>
    <w:rsid w:val="004B261E"/>
    <w:rsid w:val="004B2B5E"/>
    <w:rsid w:val="004B2CA2"/>
    <w:rsid w:val="004B2EC1"/>
    <w:rsid w:val="004B5296"/>
    <w:rsid w:val="004B58B6"/>
    <w:rsid w:val="004B5CBF"/>
    <w:rsid w:val="004B6126"/>
    <w:rsid w:val="004B6475"/>
    <w:rsid w:val="004B66FF"/>
    <w:rsid w:val="004B67E4"/>
    <w:rsid w:val="004B6C82"/>
    <w:rsid w:val="004B7326"/>
    <w:rsid w:val="004B7B17"/>
    <w:rsid w:val="004B7BF8"/>
    <w:rsid w:val="004C1247"/>
    <w:rsid w:val="004C29C4"/>
    <w:rsid w:val="004C2EB1"/>
    <w:rsid w:val="004C3642"/>
    <w:rsid w:val="004C38A7"/>
    <w:rsid w:val="004C3A7A"/>
    <w:rsid w:val="004C4033"/>
    <w:rsid w:val="004C44A4"/>
    <w:rsid w:val="004C4539"/>
    <w:rsid w:val="004C4842"/>
    <w:rsid w:val="004C4D87"/>
    <w:rsid w:val="004C587D"/>
    <w:rsid w:val="004C5F11"/>
    <w:rsid w:val="004C5F31"/>
    <w:rsid w:val="004C63D8"/>
    <w:rsid w:val="004C6815"/>
    <w:rsid w:val="004C69CB"/>
    <w:rsid w:val="004C7052"/>
    <w:rsid w:val="004C705F"/>
    <w:rsid w:val="004C73B8"/>
    <w:rsid w:val="004C74D9"/>
    <w:rsid w:val="004C778E"/>
    <w:rsid w:val="004C7CFB"/>
    <w:rsid w:val="004D029D"/>
    <w:rsid w:val="004D0667"/>
    <w:rsid w:val="004D0BBA"/>
    <w:rsid w:val="004D0D73"/>
    <w:rsid w:val="004D0DC3"/>
    <w:rsid w:val="004D172C"/>
    <w:rsid w:val="004D25D9"/>
    <w:rsid w:val="004D26EB"/>
    <w:rsid w:val="004D298A"/>
    <w:rsid w:val="004D2A9D"/>
    <w:rsid w:val="004D32D2"/>
    <w:rsid w:val="004D3302"/>
    <w:rsid w:val="004D3340"/>
    <w:rsid w:val="004D3DCC"/>
    <w:rsid w:val="004D4456"/>
    <w:rsid w:val="004D4703"/>
    <w:rsid w:val="004D4AD7"/>
    <w:rsid w:val="004D4C4D"/>
    <w:rsid w:val="004D607F"/>
    <w:rsid w:val="004D66C0"/>
    <w:rsid w:val="004D68DB"/>
    <w:rsid w:val="004D73D3"/>
    <w:rsid w:val="004D75E4"/>
    <w:rsid w:val="004D7FCA"/>
    <w:rsid w:val="004E046A"/>
    <w:rsid w:val="004E0841"/>
    <w:rsid w:val="004E0A8F"/>
    <w:rsid w:val="004E2395"/>
    <w:rsid w:val="004E2A61"/>
    <w:rsid w:val="004E2ED0"/>
    <w:rsid w:val="004E3667"/>
    <w:rsid w:val="004E38FA"/>
    <w:rsid w:val="004E3C50"/>
    <w:rsid w:val="004E3E18"/>
    <w:rsid w:val="004E43D7"/>
    <w:rsid w:val="004E45AD"/>
    <w:rsid w:val="004E47E7"/>
    <w:rsid w:val="004E4ACE"/>
    <w:rsid w:val="004E4B63"/>
    <w:rsid w:val="004E543F"/>
    <w:rsid w:val="004E6467"/>
    <w:rsid w:val="004E6707"/>
    <w:rsid w:val="004E6827"/>
    <w:rsid w:val="004E6E9D"/>
    <w:rsid w:val="004F074E"/>
    <w:rsid w:val="004F09D7"/>
    <w:rsid w:val="004F0C3D"/>
    <w:rsid w:val="004F0D86"/>
    <w:rsid w:val="004F1494"/>
    <w:rsid w:val="004F1C9B"/>
    <w:rsid w:val="004F1DC7"/>
    <w:rsid w:val="004F1F0E"/>
    <w:rsid w:val="004F1F39"/>
    <w:rsid w:val="004F245C"/>
    <w:rsid w:val="004F25EE"/>
    <w:rsid w:val="004F266D"/>
    <w:rsid w:val="004F2D0A"/>
    <w:rsid w:val="004F3024"/>
    <w:rsid w:val="004F32FF"/>
    <w:rsid w:val="004F467B"/>
    <w:rsid w:val="004F51AA"/>
    <w:rsid w:val="004F5E8B"/>
    <w:rsid w:val="004F738D"/>
    <w:rsid w:val="004F7511"/>
    <w:rsid w:val="004F75B3"/>
    <w:rsid w:val="00500F92"/>
    <w:rsid w:val="005010C6"/>
    <w:rsid w:val="00501445"/>
    <w:rsid w:val="00501612"/>
    <w:rsid w:val="00502A9B"/>
    <w:rsid w:val="00502F16"/>
    <w:rsid w:val="005031CC"/>
    <w:rsid w:val="00503F4F"/>
    <w:rsid w:val="005042B3"/>
    <w:rsid w:val="005043E5"/>
    <w:rsid w:val="00504842"/>
    <w:rsid w:val="00505B8B"/>
    <w:rsid w:val="00506703"/>
    <w:rsid w:val="0050739B"/>
    <w:rsid w:val="00507AEA"/>
    <w:rsid w:val="00507C46"/>
    <w:rsid w:val="00507CD2"/>
    <w:rsid w:val="00507DFB"/>
    <w:rsid w:val="005105E4"/>
    <w:rsid w:val="00510DBF"/>
    <w:rsid w:val="00510FEA"/>
    <w:rsid w:val="0051232D"/>
    <w:rsid w:val="005124F7"/>
    <w:rsid w:val="00512908"/>
    <w:rsid w:val="00513D2A"/>
    <w:rsid w:val="005140F8"/>
    <w:rsid w:val="00514945"/>
    <w:rsid w:val="00514A04"/>
    <w:rsid w:val="00515F9F"/>
    <w:rsid w:val="005161BF"/>
    <w:rsid w:val="00517B84"/>
    <w:rsid w:val="005213F3"/>
    <w:rsid w:val="0052145F"/>
    <w:rsid w:val="0052187A"/>
    <w:rsid w:val="00521D23"/>
    <w:rsid w:val="00522785"/>
    <w:rsid w:val="00522C1F"/>
    <w:rsid w:val="005237F0"/>
    <w:rsid w:val="005242DD"/>
    <w:rsid w:val="00524538"/>
    <w:rsid w:val="0052487A"/>
    <w:rsid w:val="0052498E"/>
    <w:rsid w:val="00524DF8"/>
    <w:rsid w:val="00525F99"/>
    <w:rsid w:val="0052678A"/>
    <w:rsid w:val="0052761D"/>
    <w:rsid w:val="00527944"/>
    <w:rsid w:val="005279AA"/>
    <w:rsid w:val="00527AF7"/>
    <w:rsid w:val="0053044A"/>
    <w:rsid w:val="00530917"/>
    <w:rsid w:val="00530CCA"/>
    <w:rsid w:val="00530F09"/>
    <w:rsid w:val="00531078"/>
    <w:rsid w:val="005319A1"/>
    <w:rsid w:val="0053212E"/>
    <w:rsid w:val="00532342"/>
    <w:rsid w:val="00532775"/>
    <w:rsid w:val="00532846"/>
    <w:rsid w:val="005329FD"/>
    <w:rsid w:val="00532C54"/>
    <w:rsid w:val="005335CA"/>
    <w:rsid w:val="0053410E"/>
    <w:rsid w:val="0053496F"/>
    <w:rsid w:val="00534F3F"/>
    <w:rsid w:val="00535340"/>
    <w:rsid w:val="00537527"/>
    <w:rsid w:val="005379EE"/>
    <w:rsid w:val="005405C4"/>
    <w:rsid w:val="0054067A"/>
    <w:rsid w:val="005408BF"/>
    <w:rsid w:val="00540B64"/>
    <w:rsid w:val="00540DEE"/>
    <w:rsid w:val="00540E5F"/>
    <w:rsid w:val="00541003"/>
    <w:rsid w:val="005415BC"/>
    <w:rsid w:val="00541D5A"/>
    <w:rsid w:val="00542208"/>
    <w:rsid w:val="0054293F"/>
    <w:rsid w:val="00543A69"/>
    <w:rsid w:val="00543D70"/>
    <w:rsid w:val="005453EA"/>
    <w:rsid w:val="005456E9"/>
    <w:rsid w:val="00545C63"/>
    <w:rsid w:val="00545FAE"/>
    <w:rsid w:val="005460A6"/>
    <w:rsid w:val="00546A28"/>
    <w:rsid w:val="00546CD5"/>
    <w:rsid w:val="00546F20"/>
    <w:rsid w:val="0054789E"/>
    <w:rsid w:val="00550B57"/>
    <w:rsid w:val="0055115F"/>
    <w:rsid w:val="0055177B"/>
    <w:rsid w:val="005531DC"/>
    <w:rsid w:val="00553246"/>
    <w:rsid w:val="00553506"/>
    <w:rsid w:val="00553824"/>
    <w:rsid w:val="00553BC4"/>
    <w:rsid w:val="00553FBB"/>
    <w:rsid w:val="00554F73"/>
    <w:rsid w:val="005558B0"/>
    <w:rsid w:val="00555DB3"/>
    <w:rsid w:val="0055703B"/>
    <w:rsid w:val="0055763E"/>
    <w:rsid w:val="00557CC8"/>
    <w:rsid w:val="005609FC"/>
    <w:rsid w:val="00560D39"/>
    <w:rsid w:val="00561018"/>
    <w:rsid w:val="00561052"/>
    <w:rsid w:val="00561B82"/>
    <w:rsid w:val="0056207E"/>
    <w:rsid w:val="00562F64"/>
    <w:rsid w:val="005648CF"/>
    <w:rsid w:val="00564D2E"/>
    <w:rsid w:val="005651C7"/>
    <w:rsid w:val="00565314"/>
    <w:rsid w:val="005654A4"/>
    <w:rsid w:val="00565ADD"/>
    <w:rsid w:val="005662F8"/>
    <w:rsid w:val="00566370"/>
    <w:rsid w:val="00567BE1"/>
    <w:rsid w:val="00567ECF"/>
    <w:rsid w:val="00570F4D"/>
    <w:rsid w:val="0057142C"/>
    <w:rsid w:val="0057200E"/>
    <w:rsid w:val="005721DD"/>
    <w:rsid w:val="00572D55"/>
    <w:rsid w:val="00573525"/>
    <w:rsid w:val="00573674"/>
    <w:rsid w:val="005742D9"/>
    <w:rsid w:val="00574DE6"/>
    <w:rsid w:val="0057558B"/>
    <w:rsid w:val="00575729"/>
    <w:rsid w:val="00575990"/>
    <w:rsid w:val="00575D8E"/>
    <w:rsid w:val="0057601B"/>
    <w:rsid w:val="00576DD3"/>
    <w:rsid w:val="00576ECB"/>
    <w:rsid w:val="00576F0A"/>
    <w:rsid w:val="005778DF"/>
    <w:rsid w:val="00577DC0"/>
    <w:rsid w:val="005813CA"/>
    <w:rsid w:val="0058146A"/>
    <w:rsid w:val="0058164D"/>
    <w:rsid w:val="0058196D"/>
    <w:rsid w:val="00581B09"/>
    <w:rsid w:val="0058246F"/>
    <w:rsid w:val="005831C5"/>
    <w:rsid w:val="005838B0"/>
    <w:rsid w:val="00583931"/>
    <w:rsid w:val="00583E0C"/>
    <w:rsid w:val="00584037"/>
    <w:rsid w:val="005849D3"/>
    <w:rsid w:val="00584C34"/>
    <w:rsid w:val="00584C8E"/>
    <w:rsid w:val="0058592D"/>
    <w:rsid w:val="00585E21"/>
    <w:rsid w:val="00586176"/>
    <w:rsid w:val="00586630"/>
    <w:rsid w:val="00586DBA"/>
    <w:rsid w:val="00590646"/>
    <w:rsid w:val="00591600"/>
    <w:rsid w:val="0059162A"/>
    <w:rsid w:val="00591B0F"/>
    <w:rsid w:val="00591FF8"/>
    <w:rsid w:val="005926E3"/>
    <w:rsid w:val="005927BA"/>
    <w:rsid w:val="00592CFA"/>
    <w:rsid w:val="005940F1"/>
    <w:rsid w:val="005954B6"/>
    <w:rsid w:val="00596383"/>
    <w:rsid w:val="005968AB"/>
    <w:rsid w:val="00596CDF"/>
    <w:rsid w:val="00597391"/>
    <w:rsid w:val="00597C83"/>
    <w:rsid w:val="005A03CC"/>
    <w:rsid w:val="005A0626"/>
    <w:rsid w:val="005A12DE"/>
    <w:rsid w:val="005A1444"/>
    <w:rsid w:val="005A1A28"/>
    <w:rsid w:val="005A3510"/>
    <w:rsid w:val="005A3C04"/>
    <w:rsid w:val="005A4505"/>
    <w:rsid w:val="005A53EA"/>
    <w:rsid w:val="005A5DCE"/>
    <w:rsid w:val="005A5DD0"/>
    <w:rsid w:val="005A5E74"/>
    <w:rsid w:val="005A5FEB"/>
    <w:rsid w:val="005A67DD"/>
    <w:rsid w:val="005A7217"/>
    <w:rsid w:val="005A7987"/>
    <w:rsid w:val="005B0C79"/>
    <w:rsid w:val="005B1A9A"/>
    <w:rsid w:val="005B2726"/>
    <w:rsid w:val="005B30D7"/>
    <w:rsid w:val="005B32D0"/>
    <w:rsid w:val="005B466E"/>
    <w:rsid w:val="005B4B50"/>
    <w:rsid w:val="005B517F"/>
    <w:rsid w:val="005B5773"/>
    <w:rsid w:val="005B5BC5"/>
    <w:rsid w:val="005B62BF"/>
    <w:rsid w:val="005B702F"/>
    <w:rsid w:val="005B757A"/>
    <w:rsid w:val="005B7CBE"/>
    <w:rsid w:val="005C005B"/>
    <w:rsid w:val="005C12B9"/>
    <w:rsid w:val="005C1419"/>
    <w:rsid w:val="005C1883"/>
    <w:rsid w:val="005C2240"/>
    <w:rsid w:val="005C30AF"/>
    <w:rsid w:val="005C358B"/>
    <w:rsid w:val="005C3C75"/>
    <w:rsid w:val="005C3DAC"/>
    <w:rsid w:val="005C42FA"/>
    <w:rsid w:val="005C4939"/>
    <w:rsid w:val="005C4E90"/>
    <w:rsid w:val="005C53E2"/>
    <w:rsid w:val="005C555D"/>
    <w:rsid w:val="005C631F"/>
    <w:rsid w:val="005C6353"/>
    <w:rsid w:val="005C64C2"/>
    <w:rsid w:val="005C6816"/>
    <w:rsid w:val="005C6D5E"/>
    <w:rsid w:val="005C77FA"/>
    <w:rsid w:val="005C7CC4"/>
    <w:rsid w:val="005D107A"/>
    <w:rsid w:val="005D185D"/>
    <w:rsid w:val="005D1F8A"/>
    <w:rsid w:val="005D20B7"/>
    <w:rsid w:val="005D2361"/>
    <w:rsid w:val="005D2C82"/>
    <w:rsid w:val="005D2D5B"/>
    <w:rsid w:val="005D3289"/>
    <w:rsid w:val="005D3629"/>
    <w:rsid w:val="005D39FB"/>
    <w:rsid w:val="005D5436"/>
    <w:rsid w:val="005D57D2"/>
    <w:rsid w:val="005D5CEE"/>
    <w:rsid w:val="005D5F7C"/>
    <w:rsid w:val="005D651D"/>
    <w:rsid w:val="005D6DD5"/>
    <w:rsid w:val="005D798F"/>
    <w:rsid w:val="005D7EDE"/>
    <w:rsid w:val="005E07D9"/>
    <w:rsid w:val="005E07E6"/>
    <w:rsid w:val="005E0FB7"/>
    <w:rsid w:val="005E111B"/>
    <w:rsid w:val="005E1AAB"/>
    <w:rsid w:val="005E1E33"/>
    <w:rsid w:val="005E2CEC"/>
    <w:rsid w:val="005E320C"/>
    <w:rsid w:val="005E38A6"/>
    <w:rsid w:val="005E3EBB"/>
    <w:rsid w:val="005E4053"/>
    <w:rsid w:val="005E4510"/>
    <w:rsid w:val="005E487F"/>
    <w:rsid w:val="005E4F06"/>
    <w:rsid w:val="005E4F40"/>
    <w:rsid w:val="005E52E1"/>
    <w:rsid w:val="005E5D30"/>
    <w:rsid w:val="005E623A"/>
    <w:rsid w:val="005E6848"/>
    <w:rsid w:val="005E6A37"/>
    <w:rsid w:val="005E6BB7"/>
    <w:rsid w:val="005E72CE"/>
    <w:rsid w:val="005E78C4"/>
    <w:rsid w:val="005E7EC9"/>
    <w:rsid w:val="005F09DD"/>
    <w:rsid w:val="005F0BBB"/>
    <w:rsid w:val="005F11EB"/>
    <w:rsid w:val="005F1519"/>
    <w:rsid w:val="005F2003"/>
    <w:rsid w:val="005F314C"/>
    <w:rsid w:val="005F332E"/>
    <w:rsid w:val="005F387B"/>
    <w:rsid w:val="005F3C66"/>
    <w:rsid w:val="005F3D1D"/>
    <w:rsid w:val="005F3F76"/>
    <w:rsid w:val="005F4431"/>
    <w:rsid w:val="005F44D9"/>
    <w:rsid w:val="005F4ECC"/>
    <w:rsid w:val="005F4F16"/>
    <w:rsid w:val="005F55CB"/>
    <w:rsid w:val="005F5D6C"/>
    <w:rsid w:val="005F6186"/>
    <w:rsid w:val="005F6D72"/>
    <w:rsid w:val="005F7882"/>
    <w:rsid w:val="005F79F2"/>
    <w:rsid w:val="005F7ADF"/>
    <w:rsid w:val="0060043A"/>
    <w:rsid w:val="00600F1B"/>
    <w:rsid w:val="006017DA"/>
    <w:rsid w:val="00602B9E"/>
    <w:rsid w:val="00602D73"/>
    <w:rsid w:val="0060324E"/>
    <w:rsid w:val="00603322"/>
    <w:rsid w:val="00603DE2"/>
    <w:rsid w:val="0060465D"/>
    <w:rsid w:val="00604683"/>
    <w:rsid w:val="006046A8"/>
    <w:rsid w:val="00604972"/>
    <w:rsid w:val="00604B25"/>
    <w:rsid w:val="006054A8"/>
    <w:rsid w:val="006056A0"/>
    <w:rsid w:val="006057AD"/>
    <w:rsid w:val="006058F3"/>
    <w:rsid w:val="00606EBB"/>
    <w:rsid w:val="00606EE2"/>
    <w:rsid w:val="00607B48"/>
    <w:rsid w:val="00610845"/>
    <w:rsid w:val="00610B9A"/>
    <w:rsid w:val="00610E34"/>
    <w:rsid w:val="0061132C"/>
    <w:rsid w:val="0061339F"/>
    <w:rsid w:val="00613797"/>
    <w:rsid w:val="006140F6"/>
    <w:rsid w:val="00615BD7"/>
    <w:rsid w:val="006176C3"/>
    <w:rsid w:val="0062002D"/>
    <w:rsid w:val="00620964"/>
    <w:rsid w:val="00621D40"/>
    <w:rsid w:val="006220C6"/>
    <w:rsid w:val="006228A5"/>
    <w:rsid w:val="00622A0F"/>
    <w:rsid w:val="00622D35"/>
    <w:rsid w:val="006238A1"/>
    <w:rsid w:val="00623C1D"/>
    <w:rsid w:val="00623FA8"/>
    <w:rsid w:val="00624011"/>
    <w:rsid w:val="0062484A"/>
    <w:rsid w:val="00624F51"/>
    <w:rsid w:val="00625C5C"/>
    <w:rsid w:val="00626522"/>
    <w:rsid w:val="0062723B"/>
    <w:rsid w:val="00627371"/>
    <w:rsid w:val="006279E6"/>
    <w:rsid w:val="00627C40"/>
    <w:rsid w:val="0063015E"/>
    <w:rsid w:val="0063053C"/>
    <w:rsid w:val="00630969"/>
    <w:rsid w:val="00631885"/>
    <w:rsid w:val="00631910"/>
    <w:rsid w:val="00634096"/>
    <w:rsid w:val="00634386"/>
    <w:rsid w:val="0063450F"/>
    <w:rsid w:val="00635983"/>
    <w:rsid w:val="00636172"/>
    <w:rsid w:val="006369CD"/>
    <w:rsid w:val="00637698"/>
    <w:rsid w:val="00637C96"/>
    <w:rsid w:val="00637D8E"/>
    <w:rsid w:val="0064013E"/>
    <w:rsid w:val="00640637"/>
    <w:rsid w:val="0064165D"/>
    <w:rsid w:val="0064298B"/>
    <w:rsid w:val="006446CC"/>
    <w:rsid w:val="006452BA"/>
    <w:rsid w:val="006459CB"/>
    <w:rsid w:val="00646836"/>
    <w:rsid w:val="00646A57"/>
    <w:rsid w:val="00650A3B"/>
    <w:rsid w:val="00651896"/>
    <w:rsid w:val="00651F67"/>
    <w:rsid w:val="00652466"/>
    <w:rsid w:val="00653322"/>
    <w:rsid w:val="00653698"/>
    <w:rsid w:val="00653E9D"/>
    <w:rsid w:val="00654600"/>
    <w:rsid w:val="00654D21"/>
    <w:rsid w:val="006553BA"/>
    <w:rsid w:val="0065541E"/>
    <w:rsid w:val="006557BE"/>
    <w:rsid w:val="00655BAC"/>
    <w:rsid w:val="00655DD1"/>
    <w:rsid w:val="00656507"/>
    <w:rsid w:val="00656AAF"/>
    <w:rsid w:val="0065744C"/>
    <w:rsid w:val="006577B7"/>
    <w:rsid w:val="00661876"/>
    <w:rsid w:val="00661ACA"/>
    <w:rsid w:val="006623BC"/>
    <w:rsid w:val="006626CC"/>
    <w:rsid w:val="00662B85"/>
    <w:rsid w:val="00662BC1"/>
    <w:rsid w:val="00662D43"/>
    <w:rsid w:val="006633EF"/>
    <w:rsid w:val="006635F7"/>
    <w:rsid w:val="006641FD"/>
    <w:rsid w:val="00664DE8"/>
    <w:rsid w:val="0066553A"/>
    <w:rsid w:val="00665931"/>
    <w:rsid w:val="00665F0C"/>
    <w:rsid w:val="006664B8"/>
    <w:rsid w:val="00666BCA"/>
    <w:rsid w:val="00667716"/>
    <w:rsid w:val="00667BF0"/>
    <w:rsid w:val="0067050C"/>
    <w:rsid w:val="006707C2"/>
    <w:rsid w:val="006725D3"/>
    <w:rsid w:val="006727EE"/>
    <w:rsid w:val="00672B11"/>
    <w:rsid w:val="00674647"/>
    <w:rsid w:val="00674BF0"/>
    <w:rsid w:val="006753D1"/>
    <w:rsid w:val="0067733C"/>
    <w:rsid w:val="00677DAC"/>
    <w:rsid w:val="006802DE"/>
    <w:rsid w:val="00680DF9"/>
    <w:rsid w:val="006812A1"/>
    <w:rsid w:val="00681587"/>
    <w:rsid w:val="006817B1"/>
    <w:rsid w:val="00681DFD"/>
    <w:rsid w:val="006823CF"/>
    <w:rsid w:val="006829F5"/>
    <w:rsid w:val="00682B58"/>
    <w:rsid w:val="006832C5"/>
    <w:rsid w:val="006833D2"/>
    <w:rsid w:val="00683A40"/>
    <w:rsid w:val="006843E4"/>
    <w:rsid w:val="006844C6"/>
    <w:rsid w:val="00684707"/>
    <w:rsid w:val="00684B53"/>
    <w:rsid w:val="00684D87"/>
    <w:rsid w:val="00685568"/>
    <w:rsid w:val="006858FD"/>
    <w:rsid w:val="00686197"/>
    <w:rsid w:val="006870D7"/>
    <w:rsid w:val="006900E0"/>
    <w:rsid w:val="00690947"/>
    <w:rsid w:val="0069098A"/>
    <w:rsid w:val="00691705"/>
    <w:rsid w:val="0069195F"/>
    <w:rsid w:val="00691B45"/>
    <w:rsid w:val="00692775"/>
    <w:rsid w:val="00692900"/>
    <w:rsid w:val="00692E61"/>
    <w:rsid w:val="0069404C"/>
    <w:rsid w:val="00694273"/>
    <w:rsid w:val="00694655"/>
    <w:rsid w:val="00694786"/>
    <w:rsid w:val="006949BC"/>
    <w:rsid w:val="0069541F"/>
    <w:rsid w:val="006959B1"/>
    <w:rsid w:val="0069618B"/>
    <w:rsid w:val="006965E6"/>
    <w:rsid w:val="006973D6"/>
    <w:rsid w:val="00697C39"/>
    <w:rsid w:val="00697E9D"/>
    <w:rsid w:val="006A01C9"/>
    <w:rsid w:val="006A0BA1"/>
    <w:rsid w:val="006A13B0"/>
    <w:rsid w:val="006A1C09"/>
    <w:rsid w:val="006A3C57"/>
    <w:rsid w:val="006A3EE8"/>
    <w:rsid w:val="006A3F2E"/>
    <w:rsid w:val="006A4104"/>
    <w:rsid w:val="006A4AA5"/>
    <w:rsid w:val="006A5038"/>
    <w:rsid w:val="006A50F8"/>
    <w:rsid w:val="006A5117"/>
    <w:rsid w:val="006A51CC"/>
    <w:rsid w:val="006A5410"/>
    <w:rsid w:val="006A5418"/>
    <w:rsid w:val="006A6C37"/>
    <w:rsid w:val="006A730B"/>
    <w:rsid w:val="006B0227"/>
    <w:rsid w:val="006B0787"/>
    <w:rsid w:val="006B1F47"/>
    <w:rsid w:val="006B1FF8"/>
    <w:rsid w:val="006B2020"/>
    <w:rsid w:val="006B2159"/>
    <w:rsid w:val="006B21E6"/>
    <w:rsid w:val="006B233D"/>
    <w:rsid w:val="006B24A8"/>
    <w:rsid w:val="006B2D03"/>
    <w:rsid w:val="006B33EF"/>
    <w:rsid w:val="006B5615"/>
    <w:rsid w:val="006B5F4A"/>
    <w:rsid w:val="006B5FE0"/>
    <w:rsid w:val="006B69D1"/>
    <w:rsid w:val="006B6E69"/>
    <w:rsid w:val="006B7191"/>
    <w:rsid w:val="006C0937"/>
    <w:rsid w:val="006C10CD"/>
    <w:rsid w:val="006C1370"/>
    <w:rsid w:val="006C18D7"/>
    <w:rsid w:val="006C2072"/>
    <w:rsid w:val="006C2468"/>
    <w:rsid w:val="006C2676"/>
    <w:rsid w:val="006C2845"/>
    <w:rsid w:val="006C30CF"/>
    <w:rsid w:val="006C32A9"/>
    <w:rsid w:val="006C3634"/>
    <w:rsid w:val="006C3A48"/>
    <w:rsid w:val="006C458F"/>
    <w:rsid w:val="006C4F36"/>
    <w:rsid w:val="006C5777"/>
    <w:rsid w:val="006C5CA8"/>
    <w:rsid w:val="006C620D"/>
    <w:rsid w:val="006C64DF"/>
    <w:rsid w:val="006C6621"/>
    <w:rsid w:val="006C73EB"/>
    <w:rsid w:val="006C7611"/>
    <w:rsid w:val="006C76B5"/>
    <w:rsid w:val="006C775D"/>
    <w:rsid w:val="006D02C3"/>
    <w:rsid w:val="006D0AD2"/>
    <w:rsid w:val="006D1115"/>
    <w:rsid w:val="006D1555"/>
    <w:rsid w:val="006D1690"/>
    <w:rsid w:val="006D21A2"/>
    <w:rsid w:val="006D2636"/>
    <w:rsid w:val="006D33F9"/>
    <w:rsid w:val="006D3814"/>
    <w:rsid w:val="006D3C10"/>
    <w:rsid w:val="006D4180"/>
    <w:rsid w:val="006D432E"/>
    <w:rsid w:val="006D4C65"/>
    <w:rsid w:val="006D51DC"/>
    <w:rsid w:val="006D548C"/>
    <w:rsid w:val="006D6840"/>
    <w:rsid w:val="006D697D"/>
    <w:rsid w:val="006D6F51"/>
    <w:rsid w:val="006D7615"/>
    <w:rsid w:val="006E0333"/>
    <w:rsid w:val="006E05A5"/>
    <w:rsid w:val="006E0BBC"/>
    <w:rsid w:val="006E10C6"/>
    <w:rsid w:val="006E1A43"/>
    <w:rsid w:val="006E1ECB"/>
    <w:rsid w:val="006E2AB7"/>
    <w:rsid w:val="006E3B91"/>
    <w:rsid w:val="006E4416"/>
    <w:rsid w:val="006E480F"/>
    <w:rsid w:val="006E4BAD"/>
    <w:rsid w:val="006E55BC"/>
    <w:rsid w:val="006E58AE"/>
    <w:rsid w:val="006E6A91"/>
    <w:rsid w:val="006E7039"/>
    <w:rsid w:val="006E7420"/>
    <w:rsid w:val="006E79FE"/>
    <w:rsid w:val="006F0613"/>
    <w:rsid w:val="006F14A7"/>
    <w:rsid w:val="006F17CF"/>
    <w:rsid w:val="006F17EE"/>
    <w:rsid w:val="006F2A5E"/>
    <w:rsid w:val="006F2E5C"/>
    <w:rsid w:val="006F31B2"/>
    <w:rsid w:val="006F38EB"/>
    <w:rsid w:val="006F415F"/>
    <w:rsid w:val="006F62A8"/>
    <w:rsid w:val="006F709C"/>
    <w:rsid w:val="006F7684"/>
    <w:rsid w:val="006F7BEA"/>
    <w:rsid w:val="006F7E05"/>
    <w:rsid w:val="0070004F"/>
    <w:rsid w:val="00700616"/>
    <w:rsid w:val="00700E38"/>
    <w:rsid w:val="0070207D"/>
    <w:rsid w:val="0070209C"/>
    <w:rsid w:val="007023A1"/>
    <w:rsid w:val="0070271A"/>
    <w:rsid w:val="007039F3"/>
    <w:rsid w:val="007046B5"/>
    <w:rsid w:val="00704B25"/>
    <w:rsid w:val="00704BE6"/>
    <w:rsid w:val="00704D00"/>
    <w:rsid w:val="007063BE"/>
    <w:rsid w:val="00706694"/>
    <w:rsid w:val="0070750C"/>
    <w:rsid w:val="00707AEC"/>
    <w:rsid w:val="00710BD2"/>
    <w:rsid w:val="007110BC"/>
    <w:rsid w:val="00711C73"/>
    <w:rsid w:val="00712097"/>
    <w:rsid w:val="007121C9"/>
    <w:rsid w:val="00712399"/>
    <w:rsid w:val="007123AC"/>
    <w:rsid w:val="00712531"/>
    <w:rsid w:val="00715441"/>
    <w:rsid w:val="00715B4D"/>
    <w:rsid w:val="0071652E"/>
    <w:rsid w:val="0071657D"/>
    <w:rsid w:val="00716668"/>
    <w:rsid w:val="00717A5D"/>
    <w:rsid w:val="0072037B"/>
    <w:rsid w:val="007205A2"/>
    <w:rsid w:val="00720956"/>
    <w:rsid w:val="00721948"/>
    <w:rsid w:val="00721A34"/>
    <w:rsid w:val="00721BCC"/>
    <w:rsid w:val="00721C29"/>
    <w:rsid w:val="00721D6E"/>
    <w:rsid w:val="007224CD"/>
    <w:rsid w:val="007227D4"/>
    <w:rsid w:val="007229A1"/>
    <w:rsid w:val="00722D0D"/>
    <w:rsid w:val="00723F8F"/>
    <w:rsid w:val="00725730"/>
    <w:rsid w:val="00727017"/>
    <w:rsid w:val="00730D90"/>
    <w:rsid w:val="00731071"/>
    <w:rsid w:val="00731326"/>
    <w:rsid w:val="0073181E"/>
    <w:rsid w:val="00732ACB"/>
    <w:rsid w:val="00732C4E"/>
    <w:rsid w:val="007332FC"/>
    <w:rsid w:val="00733397"/>
    <w:rsid w:val="007353C1"/>
    <w:rsid w:val="00736F10"/>
    <w:rsid w:val="0073704C"/>
    <w:rsid w:val="0073714B"/>
    <w:rsid w:val="0073757A"/>
    <w:rsid w:val="007405C8"/>
    <w:rsid w:val="0074103C"/>
    <w:rsid w:val="00742049"/>
    <w:rsid w:val="00742263"/>
    <w:rsid w:val="00742D3B"/>
    <w:rsid w:val="0074333B"/>
    <w:rsid w:val="007436EA"/>
    <w:rsid w:val="00744514"/>
    <w:rsid w:val="00744D1A"/>
    <w:rsid w:val="00745957"/>
    <w:rsid w:val="00745AD7"/>
    <w:rsid w:val="00745E55"/>
    <w:rsid w:val="0074637A"/>
    <w:rsid w:val="0074648B"/>
    <w:rsid w:val="00746BFB"/>
    <w:rsid w:val="007476E4"/>
    <w:rsid w:val="00747F72"/>
    <w:rsid w:val="00750844"/>
    <w:rsid w:val="00750F35"/>
    <w:rsid w:val="00751684"/>
    <w:rsid w:val="00753C9A"/>
    <w:rsid w:val="00754533"/>
    <w:rsid w:val="00754AB4"/>
    <w:rsid w:val="00755124"/>
    <w:rsid w:val="00755D6D"/>
    <w:rsid w:val="00756388"/>
    <w:rsid w:val="00756598"/>
    <w:rsid w:val="00756608"/>
    <w:rsid w:val="00757963"/>
    <w:rsid w:val="00757D59"/>
    <w:rsid w:val="00757DA4"/>
    <w:rsid w:val="00760428"/>
    <w:rsid w:val="00760635"/>
    <w:rsid w:val="0076148B"/>
    <w:rsid w:val="00761FE4"/>
    <w:rsid w:val="00762B9A"/>
    <w:rsid w:val="00763783"/>
    <w:rsid w:val="00763D00"/>
    <w:rsid w:val="0076426F"/>
    <w:rsid w:val="00765378"/>
    <w:rsid w:val="007654D0"/>
    <w:rsid w:val="007655F8"/>
    <w:rsid w:val="007658DD"/>
    <w:rsid w:val="00765BE2"/>
    <w:rsid w:val="00767562"/>
    <w:rsid w:val="007677DD"/>
    <w:rsid w:val="00767E04"/>
    <w:rsid w:val="00767F30"/>
    <w:rsid w:val="007705E7"/>
    <w:rsid w:val="0077078A"/>
    <w:rsid w:val="007710EA"/>
    <w:rsid w:val="00771155"/>
    <w:rsid w:val="0077135F"/>
    <w:rsid w:val="00772254"/>
    <w:rsid w:val="00773EF9"/>
    <w:rsid w:val="007755A8"/>
    <w:rsid w:val="00776BF5"/>
    <w:rsid w:val="00777B4B"/>
    <w:rsid w:val="00780141"/>
    <w:rsid w:val="00780165"/>
    <w:rsid w:val="0078077E"/>
    <w:rsid w:val="007807CF"/>
    <w:rsid w:val="00780CDF"/>
    <w:rsid w:val="00780E7F"/>
    <w:rsid w:val="00780F49"/>
    <w:rsid w:val="00780FA1"/>
    <w:rsid w:val="007818CB"/>
    <w:rsid w:val="00781B5E"/>
    <w:rsid w:val="00782BC6"/>
    <w:rsid w:val="00782FCD"/>
    <w:rsid w:val="00783231"/>
    <w:rsid w:val="007837EA"/>
    <w:rsid w:val="00784093"/>
    <w:rsid w:val="00784CE8"/>
    <w:rsid w:val="00784F59"/>
    <w:rsid w:val="0078562B"/>
    <w:rsid w:val="00785CFD"/>
    <w:rsid w:val="00785D9A"/>
    <w:rsid w:val="00786355"/>
    <w:rsid w:val="00786410"/>
    <w:rsid w:val="00786A9D"/>
    <w:rsid w:val="00786F79"/>
    <w:rsid w:val="00787C75"/>
    <w:rsid w:val="00790785"/>
    <w:rsid w:val="007909AD"/>
    <w:rsid w:val="00790FE3"/>
    <w:rsid w:val="00791876"/>
    <w:rsid w:val="00791B28"/>
    <w:rsid w:val="00792274"/>
    <w:rsid w:val="007924D9"/>
    <w:rsid w:val="0079271A"/>
    <w:rsid w:val="00792D9C"/>
    <w:rsid w:val="0079300D"/>
    <w:rsid w:val="007933C1"/>
    <w:rsid w:val="007934BD"/>
    <w:rsid w:val="00793619"/>
    <w:rsid w:val="0079369E"/>
    <w:rsid w:val="007947E6"/>
    <w:rsid w:val="00794CAE"/>
    <w:rsid w:val="00795641"/>
    <w:rsid w:val="00795FB2"/>
    <w:rsid w:val="007965D9"/>
    <w:rsid w:val="007966CA"/>
    <w:rsid w:val="00796C28"/>
    <w:rsid w:val="007973F5"/>
    <w:rsid w:val="0079766D"/>
    <w:rsid w:val="007A0064"/>
    <w:rsid w:val="007A0754"/>
    <w:rsid w:val="007A0C14"/>
    <w:rsid w:val="007A11C1"/>
    <w:rsid w:val="007A16F3"/>
    <w:rsid w:val="007A1FEC"/>
    <w:rsid w:val="007A261A"/>
    <w:rsid w:val="007A26E3"/>
    <w:rsid w:val="007A2D3E"/>
    <w:rsid w:val="007A36DE"/>
    <w:rsid w:val="007A3B0B"/>
    <w:rsid w:val="007A4148"/>
    <w:rsid w:val="007A42C4"/>
    <w:rsid w:val="007A4B15"/>
    <w:rsid w:val="007A4F75"/>
    <w:rsid w:val="007A6299"/>
    <w:rsid w:val="007A6CFA"/>
    <w:rsid w:val="007A7686"/>
    <w:rsid w:val="007A7E59"/>
    <w:rsid w:val="007B1247"/>
    <w:rsid w:val="007B16AC"/>
    <w:rsid w:val="007B2853"/>
    <w:rsid w:val="007B29E1"/>
    <w:rsid w:val="007B2F0C"/>
    <w:rsid w:val="007B2FAA"/>
    <w:rsid w:val="007B30A6"/>
    <w:rsid w:val="007B3542"/>
    <w:rsid w:val="007B3A42"/>
    <w:rsid w:val="007B4455"/>
    <w:rsid w:val="007B4671"/>
    <w:rsid w:val="007B475A"/>
    <w:rsid w:val="007B4CB2"/>
    <w:rsid w:val="007B52FA"/>
    <w:rsid w:val="007B6077"/>
    <w:rsid w:val="007B68AD"/>
    <w:rsid w:val="007B6C26"/>
    <w:rsid w:val="007B6C88"/>
    <w:rsid w:val="007B7125"/>
    <w:rsid w:val="007B768F"/>
    <w:rsid w:val="007C00B4"/>
    <w:rsid w:val="007C0900"/>
    <w:rsid w:val="007C10CA"/>
    <w:rsid w:val="007C185C"/>
    <w:rsid w:val="007C1FA6"/>
    <w:rsid w:val="007C238C"/>
    <w:rsid w:val="007C2B87"/>
    <w:rsid w:val="007C3AA0"/>
    <w:rsid w:val="007C3DE5"/>
    <w:rsid w:val="007C441B"/>
    <w:rsid w:val="007C568D"/>
    <w:rsid w:val="007C58F8"/>
    <w:rsid w:val="007C5F20"/>
    <w:rsid w:val="007C6406"/>
    <w:rsid w:val="007C6BC0"/>
    <w:rsid w:val="007C6C11"/>
    <w:rsid w:val="007C6D32"/>
    <w:rsid w:val="007C6F7F"/>
    <w:rsid w:val="007C7580"/>
    <w:rsid w:val="007C7F91"/>
    <w:rsid w:val="007D0D46"/>
    <w:rsid w:val="007D1204"/>
    <w:rsid w:val="007D2039"/>
    <w:rsid w:val="007D2141"/>
    <w:rsid w:val="007D2B49"/>
    <w:rsid w:val="007D34CB"/>
    <w:rsid w:val="007D3C70"/>
    <w:rsid w:val="007D3D51"/>
    <w:rsid w:val="007D3D82"/>
    <w:rsid w:val="007D44D0"/>
    <w:rsid w:val="007D4A84"/>
    <w:rsid w:val="007D5042"/>
    <w:rsid w:val="007D57C2"/>
    <w:rsid w:val="007D7855"/>
    <w:rsid w:val="007D7856"/>
    <w:rsid w:val="007E0AC8"/>
    <w:rsid w:val="007E0FC2"/>
    <w:rsid w:val="007E1B97"/>
    <w:rsid w:val="007E24A7"/>
    <w:rsid w:val="007E2DA3"/>
    <w:rsid w:val="007E3254"/>
    <w:rsid w:val="007E34C6"/>
    <w:rsid w:val="007E3CFF"/>
    <w:rsid w:val="007E48CE"/>
    <w:rsid w:val="007E4C8B"/>
    <w:rsid w:val="007E6065"/>
    <w:rsid w:val="007E61DA"/>
    <w:rsid w:val="007E7A3D"/>
    <w:rsid w:val="007E7CEF"/>
    <w:rsid w:val="007E7E24"/>
    <w:rsid w:val="007F0120"/>
    <w:rsid w:val="007F0E45"/>
    <w:rsid w:val="007F0FAC"/>
    <w:rsid w:val="007F1019"/>
    <w:rsid w:val="007F12D6"/>
    <w:rsid w:val="007F18D1"/>
    <w:rsid w:val="007F2092"/>
    <w:rsid w:val="007F2F21"/>
    <w:rsid w:val="007F4D21"/>
    <w:rsid w:val="007F5AF0"/>
    <w:rsid w:val="007F5C5E"/>
    <w:rsid w:val="007F703B"/>
    <w:rsid w:val="007F7116"/>
    <w:rsid w:val="007F76E6"/>
    <w:rsid w:val="007F7828"/>
    <w:rsid w:val="007F7A43"/>
    <w:rsid w:val="00800985"/>
    <w:rsid w:val="008014C2"/>
    <w:rsid w:val="008024E1"/>
    <w:rsid w:val="0080265A"/>
    <w:rsid w:val="00802FE7"/>
    <w:rsid w:val="00803022"/>
    <w:rsid w:val="008037D7"/>
    <w:rsid w:val="00803A10"/>
    <w:rsid w:val="00804D4D"/>
    <w:rsid w:val="00805437"/>
    <w:rsid w:val="00805DF7"/>
    <w:rsid w:val="00806BCB"/>
    <w:rsid w:val="00806E10"/>
    <w:rsid w:val="00806E7D"/>
    <w:rsid w:val="00807323"/>
    <w:rsid w:val="008076D2"/>
    <w:rsid w:val="00807F82"/>
    <w:rsid w:val="00810B3E"/>
    <w:rsid w:val="00810CC5"/>
    <w:rsid w:val="00811364"/>
    <w:rsid w:val="008113C0"/>
    <w:rsid w:val="00811575"/>
    <w:rsid w:val="008118A2"/>
    <w:rsid w:val="008122C1"/>
    <w:rsid w:val="008127AE"/>
    <w:rsid w:val="0081285D"/>
    <w:rsid w:val="00812A91"/>
    <w:rsid w:val="00812FE8"/>
    <w:rsid w:val="0081306F"/>
    <w:rsid w:val="00813315"/>
    <w:rsid w:val="00813719"/>
    <w:rsid w:val="00813B30"/>
    <w:rsid w:val="00813DDB"/>
    <w:rsid w:val="00813F48"/>
    <w:rsid w:val="00814C8C"/>
    <w:rsid w:val="00815140"/>
    <w:rsid w:val="00815702"/>
    <w:rsid w:val="0081571D"/>
    <w:rsid w:val="008159FC"/>
    <w:rsid w:val="00815C0F"/>
    <w:rsid w:val="0081605D"/>
    <w:rsid w:val="00816982"/>
    <w:rsid w:val="00816C25"/>
    <w:rsid w:val="008174FD"/>
    <w:rsid w:val="008179E0"/>
    <w:rsid w:val="00817C88"/>
    <w:rsid w:val="00820772"/>
    <w:rsid w:val="00820C4E"/>
    <w:rsid w:val="00820F79"/>
    <w:rsid w:val="008211B3"/>
    <w:rsid w:val="008211CA"/>
    <w:rsid w:val="00821B82"/>
    <w:rsid w:val="00821BE5"/>
    <w:rsid w:val="00822024"/>
    <w:rsid w:val="00822F9F"/>
    <w:rsid w:val="008238C8"/>
    <w:rsid w:val="00824312"/>
    <w:rsid w:val="008245DC"/>
    <w:rsid w:val="00824705"/>
    <w:rsid w:val="00825658"/>
    <w:rsid w:val="00825896"/>
    <w:rsid w:val="00825A1A"/>
    <w:rsid w:val="00825EA1"/>
    <w:rsid w:val="00825EFD"/>
    <w:rsid w:val="008262C3"/>
    <w:rsid w:val="00826643"/>
    <w:rsid w:val="008266F7"/>
    <w:rsid w:val="008275C2"/>
    <w:rsid w:val="00827ACD"/>
    <w:rsid w:val="0083035C"/>
    <w:rsid w:val="0083052E"/>
    <w:rsid w:val="00831A13"/>
    <w:rsid w:val="00831B69"/>
    <w:rsid w:val="00832E9C"/>
    <w:rsid w:val="00833731"/>
    <w:rsid w:val="00833A21"/>
    <w:rsid w:val="008340B1"/>
    <w:rsid w:val="008345A5"/>
    <w:rsid w:val="008359AF"/>
    <w:rsid w:val="00836209"/>
    <w:rsid w:val="00836DBD"/>
    <w:rsid w:val="00836FB8"/>
    <w:rsid w:val="008379A6"/>
    <w:rsid w:val="00837A4C"/>
    <w:rsid w:val="00837A97"/>
    <w:rsid w:val="00837D41"/>
    <w:rsid w:val="00840164"/>
    <w:rsid w:val="00840953"/>
    <w:rsid w:val="00840A13"/>
    <w:rsid w:val="00840B05"/>
    <w:rsid w:val="00841397"/>
    <w:rsid w:val="00841D6A"/>
    <w:rsid w:val="00842C45"/>
    <w:rsid w:val="008447C8"/>
    <w:rsid w:val="00845CD9"/>
    <w:rsid w:val="00846634"/>
    <w:rsid w:val="0084674E"/>
    <w:rsid w:val="00851293"/>
    <w:rsid w:val="00851AB3"/>
    <w:rsid w:val="00851D1B"/>
    <w:rsid w:val="00852868"/>
    <w:rsid w:val="00852B83"/>
    <w:rsid w:val="008533F5"/>
    <w:rsid w:val="00853509"/>
    <w:rsid w:val="00853BE5"/>
    <w:rsid w:val="00853DE4"/>
    <w:rsid w:val="0085471C"/>
    <w:rsid w:val="00854CD8"/>
    <w:rsid w:val="00855568"/>
    <w:rsid w:val="0085621F"/>
    <w:rsid w:val="00856990"/>
    <w:rsid w:val="008575CB"/>
    <w:rsid w:val="008602DE"/>
    <w:rsid w:val="008620E6"/>
    <w:rsid w:val="00862D45"/>
    <w:rsid w:val="00863B15"/>
    <w:rsid w:val="008643FB"/>
    <w:rsid w:val="00865BFD"/>
    <w:rsid w:val="00865CA7"/>
    <w:rsid w:val="00865E68"/>
    <w:rsid w:val="00865F85"/>
    <w:rsid w:val="008668E3"/>
    <w:rsid w:val="0086711E"/>
    <w:rsid w:val="00867359"/>
    <w:rsid w:val="00867FA6"/>
    <w:rsid w:val="00870666"/>
    <w:rsid w:val="00870E7C"/>
    <w:rsid w:val="00871ABA"/>
    <w:rsid w:val="00871CFB"/>
    <w:rsid w:val="008722BB"/>
    <w:rsid w:val="00872743"/>
    <w:rsid w:val="00873937"/>
    <w:rsid w:val="00873961"/>
    <w:rsid w:val="008743DF"/>
    <w:rsid w:val="008744C8"/>
    <w:rsid w:val="008757D5"/>
    <w:rsid w:val="00875A61"/>
    <w:rsid w:val="00876121"/>
    <w:rsid w:val="008762D9"/>
    <w:rsid w:val="0087633E"/>
    <w:rsid w:val="008764B9"/>
    <w:rsid w:val="00876949"/>
    <w:rsid w:val="00876B84"/>
    <w:rsid w:val="00877444"/>
    <w:rsid w:val="00877FFA"/>
    <w:rsid w:val="00880012"/>
    <w:rsid w:val="0088005A"/>
    <w:rsid w:val="00880DB2"/>
    <w:rsid w:val="008821D8"/>
    <w:rsid w:val="00882D17"/>
    <w:rsid w:val="00882F1A"/>
    <w:rsid w:val="008836BC"/>
    <w:rsid w:val="0088412E"/>
    <w:rsid w:val="008845FB"/>
    <w:rsid w:val="008855A3"/>
    <w:rsid w:val="00885A6D"/>
    <w:rsid w:val="008865ED"/>
    <w:rsid w:val="00890B25"/>
    <w:rsid w:val="00891389"/>
    <w:rsid w:val="0089166A"/>
    <w:rsid w:val="00891904"/>
    <w:rsid w:val="00891A16"/>
    <w:rsid w:val="00891A2E"/>
    <w:rsid w:val="00891C46"/>
    <w:rsid w:val="00891C54"/>
    <w:rsid w:val="00891D6F"/>
    <w:rsid w:val="0089298A"/>
    <w:rsid w:val="0089351C"/>
    <w:rsid w:val="00893B20"/>
    <w:rsid w:val="00893BDE"/>
    <w:rsid w:val="008940F4"/>
    <w:rsid w:val="008957E5"/>
    <w:rsid w:val="00895F08"/>
    <w:rsid w:val="00896306"/>
    <w:rsid w:val="008A0523"/>
    <w:rsid w:val="008A0BB8"/>
    <w:rsid w:val="008A0CA5"/>
    <w:rsid w:val="008A13A8"/>
    <w:rsid w:val="008A1927"/>
    <w:rsid w:val="008A22F3"/>
    <w:rsid w:val="008A28C6"/>
    <w:rsid w:val="008A28DF"/>
    <w:rsid w:val="008A2E3A"/>
    <w:rsid w:val="008A3161"/>
    <w:rsid w:val="008A3C0E"/>
    <w:rsid w:val="008A3D2D"/>
    <w:rsid w:val="008A3DFE"/>
    <w:rsid w:val="008A4AA9"/>
    <w:rsid w:val="008A509F"/>
    <w:rsid w:val="008A524F"/>
    <w:rsid w:val="008A553C"/>
    <w:rsid w:val="008A5C72"/>
    <w:rsid w:val="008A6D8D"/>
    <w:rsid w:val="008A7A69"/>
    <w:rsid w:val="008A7B9D"/>
    <w:rsid w:val="008B01FF"/>
    <w:rsid w:val="008B04DF"/>
    <w:rsid w:val="008B0E9B"/>
    <w:rsid w:val="008B1168"/>
    <w:rsid w:val="008B19BA"/>
    <w:rsid w:val="008B1B18"/>
    <w:rsid w:val="008B1E61"/>
    <w:rsid w:val="008B2A8C"/>
    <w:rsid w:val="008B2C36"/>
    <w:rsid w:val="008B2F47"/>
    <w:rsid w:val="008B3133"/>
    <w:rsid w:val="008B3923"/>
    <w:rsid w:val="008B4491"/>
    <w:rsid w:val="008B4914"/>
    <w:rsid w:val="008B4B2B"/>
    <w:rsid w:val="008B50A3"/>
    <w:rsid w:val="008B550F"/>
    <w:rsid w:val="008B5516"/>
    <w:rsid w:val="008B5EB0"/>
    <w:rsid w:val="008B5F65"/>
    <w:rsid w:val="008B62C3"/>
    <w:rsid w:val="008B7260"/>
    <w:rsid w:val="008B761B"/>
    <w:rsid w:val="008C138F"/>
    <w:rsid w:val="008C190E"/>
    <w:rsid w:val="008C1A93"/>
    <w:rsid w:val="008C2D34"/>
    <w:rsid w:val="008C2DBB"/>
    <w:rsid w:val="008C2EB8"/>
    <w:rsid w:val="008C3EC4"/>
    <w:rsid w:val="008C4298"/>
    <w:rsid w:val="008C45B0"/>
    <w:rsid w:val="008C4DBA"/>
    <w:rsid w:val="008C5F3E"/>
    <w:rsid w:val="008C643E"/>
    <w:rsid w:val="008C705B"/>
    <w:rsid w:val="008C75E9"/>
    <w:rsid w:val="008C7F1A"/>
    <w:rsid w:val="008D0362"/>
    <w:rsid w:val="008D05AC"/>
    <w:rsid w:val="008D09CA"/>
    <w:rsid w:val="008D09D2"/>
    <w:rsid w:val="008D1B06"/>
    <w:rsid w:val="008D1DEE"/>
    <w:rsid w:val="008D290C"/>
    <w:rsid w:val="008D2F53"/>
    <w:rsid w:val="008D33E5"/>
    <w:rsid w:val="008D3589"/>
    <w:rsid w:val="008D47A8"/>
    <w:rsid w:val="008D4AA5"/>
    <w:rsid w:val="008D4D13"/>
    <w:rsid w:val="008D5A59"/>
    <w:rsid w:val="008D5E0E"/>
    <w:rsid w:val="008D6245"/>
    <w:rsid w:val="008D62A5"/>
    <w:rsid w:val="008D63B0"/>
    <w:rsid w:val="008D685D"/>
    <w:rsid w:val="008D6A48"/>
    <w:rsid w:val="008D6D16"/>
    <w:rsid w:val="008D723B"/>
    <w:rsid w:val="008E0B4B"/>
    <w:rsid w:val="008E1C91"/>
    <w:rsid w:val="008E1FF5"/>
    <w:rsid w:val="008E2092"/>
    <w:rsid w:val="008E2C29"/>
    <w:rsid w:val="008E4122"/>
    <w:rsid w:val="008E4BEC"/>
    <w:rsid w:val="008E4C8B"/>
    <w:rsid w:val="008E5066"/>
    <w:rsid w:val="008E5D23"/>
    <w:rsid w:val="008E6161"/>
    <w:rsid w:val="008E72B8"/>
    <w:rsid w:val="008E74EE"/>
    <w:rsid w:val="008F0217"/>
    <w:rsid w:val="008F045F"/>
    <w:rsid w:val="008F04D7"/>
    <w:rsid w:val="008F064E"/>
    <w:rsid w:val="008F081B"/>
    <w:rsid w:val="008F2495"/>
    <w:rsid w:val="008F2D05"/>
    <w:rsid w:val="008F2E95"/>
    <w:rsid w:val="008F43C0"/>
    <w:rsid w:val="008F4A0F"/>
    <w:rsid w:val="008F4BA5"/>
    <w:rsid w:val="008F5C12"/>
    <w:rsid w:val="008F5D67"/>
    <w:rsid w:val="008F5E39"/>
    <w:rsid w:val="008F60E9"/>
    <w:rsid w:val="008F65D4"/>
    <w:rsid w:val="008F6F0B"/>
    <w:rsid w:val="008F7762"/>
    <w:rsid w:val="0090021C"/>
    <w:rsid w:val="009007DF"/>
    <w:rsid w:val="009007F8"/>
    <w:rsid w:val="00900CC1"/>
    <w:rsid w:val="009019F8"/>
    <w:rsid w:val="00901DF1"/>
    <w:rsid w:val="00902018"/>
    <w:rsid w:val="0090208D"/>
    <w:rsid w:val="0090224D"/>
    <w:rsid w:val="0090290B"/>
    <w:rsid w:val="009029BA"/>
    <w:rsid w:val="00902E7C"/>
    <w:rsid w:val="00903670"/>
    <w:rsid w:val="00903D52"/>
    <w:rsid w:val="00904281"/>
    <w:rsid w:val="00904810"/>
    <w:rsid w:val="00904DC1"/>
    <w:rsid w:val="00904F8C"/>
    <w:rsid w:val="00905352"/>
    <w:rsid w:val="00905BCF"/>
    <w:rsid w:val="0090600D"/>
    <w:rsid w:val="0090656D"/>
    <w:rsid w:val="00906A88"/>
    <w:rsid w:val="009100F1"/>
    <w:rsid w:val="0091168C"/>
    <w:rsid w:val="00911955"/>
    <w:rsid w:val="00912797"/>
    <w:rsid w:val="00912AD5"/>
    <w:rsid w:val="00913250"/>
    <w:rsid w:val="0091350E"/>
    <w:rsid w:val="00913BA1"/>
    <w:rsid w:val="00913DAF"/>
    <w:rsid w:val="00913EF8"/>
    <w:rsid w:val="00914552"/>
    <w:rsid w:val="00915DFB"/>
    <w:rsid w:val="009160B5"/>
    <w:rsid w:val="009176C3"/>
    <w:rsid w:val="009176E2"/>
    <w:rsid w:val="009202E7"/>
    <w:rsid w:val="0092156C"/>
    <w:rsid w:val="009220FA"/>
    <w:rsid w:val="009227CE"/>
    <w:rsid w:val="00922BA3"/>
    <w:rsid w:val="00922CF9"/>
    <w:rsid w:val="00923388"/>
    <w:rsid w:val="0092452B"/>
    <w:rsid w:val="009246D3"/>
    <w:rsid w:val="0092551E"/>
    <w:rsid w:val="009261DE"/>
    <w:rsid w:val="009264A3"/>
    <w:rsid w:val="009264FE"/>
    <w:rsid w:val="00926E28"/>
    <w:rsid w:val="009270AA"/>
    <w:rsid w:val="00927218"/>
    <w:rsid w:val="009279EE"/>
    <w:rsid w:val="00927EF3"/>
    <w:rsid w:val="009300BE"/>
    <w:rsid w:val="0093214F"/>
    <w:rsid w:val="0093217A"/>
    <w:rsid w:val="009323CA"/>
    <w:rsid w:val="00932652"/>
    <w:rsid w:val="00932E61"/>
    <w:rsid w:val="00933092"/>
    <w:rsid w:val="009332F6"/>
    <w:rsid w:val="00933C6F"/>
    <w:rsid w:val="00933D85"/>
    <w:rsid w:val="0093578F"/>
    <w:rsid w:val="009366B1"/>
    <w:rsid w:val="00936E37"/>
    <w:rsid w:val="0093716A"/>
    <w:rsid w:val="009371C6"/>
    <w:rsid w:val="009376C1"/>
    <w:rsid w:val="00937BE7"/>
    <w:rsid w:val="00937D26"/>
    <w:rsid w:val="00940FA3"/>
    <w:rsid w:val="00941132"/>
    <w:rsid w:val="0094129C"/>
    <w:rsid w:val="00941D8A"/>
    <w:rsid w:val="00942A72"/>
    <w:rsid w:val="00943760"/>
    <w:rsid w:val="00943C72"/>
    <w:rsid w:val="0094408F"/>
    <w:rsid w:val="009440AF"/>
    <w:rsid w:val="009443AA"/>
    <w:rsid w:val="00944E8A"/>
    <w:rsid w:val="00944ECA"/>
    <w:rsid w:val="0094546C"/>
    <w:rsid w:val="009456D1"/>
    <w:rsid w:val="0094592B"/>
    <w:rsid w:val="00945DBB"/>
    <w:rsid w:val="00946DD6"/>
    <w:rsid w:val="0095101B"/>
    <w:rsid w:val="0095121A"/>
    <w:rsid w:val="009513FA"/>
    <w:rsid w:val="009517F3"/>
    <w:rsid w:val="00951AF0"/>
    <w:rsid w:val="009521E4"/>
    <w:rsid w:val="009525F5"/>
    <w:rsid w:val="0095262A"/>
    <w:rsid w:val="00954848"/>
    <w:rsid w:val="009548C8"/>
    <w:rsid w:val="00954D71"/>
    <w:rsid w:val="009567C6"/>
    <w:rsid w:val="00956886"/>
    <w:rsid w:val="009569A7"/>
    <w:rsid w:val="00957C21"/>
    <w:rsid w:val="00960035"/>
    <w:rsid w:val="009605DF"/>
    <w:rsid w:val="009605F5"/>
    <w:rsid w:val="00960D46"/>
    <w:rsid w:val="00961560"/>
    <w:rsid w:val="00961B8C"/>
    <w:rsid w:val="00962421"/>
    <w:rsid w:val="009625B5"/>
    <w:rsid w:val="00962A1B"/>
    <w:rsid w:val="0096361C"/>
    <w:rsid w:val="009636CA"/>
    <w:rsid w:val="009653F5"/>
    <w:rsid w:val="009657ED"/>
    <w:rsid w:val="009658A0"/>
    <w:rsid w:val="00965F69"/>
    <w:rsid w:val="009662AB"/>
    <w:rsid w:val="009662DE"/>
    <w:rsid w:val="009663B3"/>
    <w:rsid w:val="009664EA"/>
    <w:rsid w:val="00966DDB"/>
    <w:rsid w:val="00966F57"/>
    <w:rsid w:val="00967BF7"/>
    <w:rsid w:val="00967E0A"/>
    <w:rsid w:val="00967F97"/>
    <w:rsid w:val="009706FC"/>
    <w:rsid w:val="009709A1"/>
    <w:rsid w:val="00970AA6"/>
    <w:rsid w:val="00970B51"/>
    <w:rsid w:val="00970D0E"/>
    <w:rsid w:val="00970F40"/>
    <w:rsid w:val="009712B1"/>
    <w:rsid w:val="00971613"/>
    <w:rsid w:val="0097183C"/>
    <w:rsid w:val="0097226C"/>
    <w:rsid w:val="00973441"/>
    <w:rsid w:val="00973D7B"/>
    <w:rsid w:val="00973EF3"/>
    <w:rsid w:val="009742DA"/>
    <w:rsid w:val="00974588"/>
    <w:rsid w:val="009745A5"/>
    <w:rsid w:val="00974ED2"/>
    <w:rsid w:val="009751D4"/>
    <w:rsid w:val="009755D2"/>
    <w:rsid w:val="009757CE"/>
    <w:rsid w:val="00975C19"/>
    <w:rsid w:val="00976934"/>
    <w:rsid w:val="00976ECE"/>
    <w:rsid w:val="00977216"/>
    <w:rsid w:val="00977A12"/>
    <w:rsid w:val="00977CAD"/>
    <w:rsid w:val="00980208"/>
    <w:rsid w:val="00980F74"/>
    <w:rsid w:val="0098116E"/>
    <w:rsid w:val="0098124F"/>
    <w:rsid w:val="00981813"/>
    <w:rsid w:val="009823F6"/>
    <w:rsid w:val="009830B6"/>
    <w:rsid w:val="009832CC"/>
    <w:rsid w:val="009832FD"/>
    <w:rsid w:val="00983968"/>
    <w:rsid w:val="009839A9"/>
    <w:rsid w:val="00983B8F"/>
    <w:rsid w:val="00984468"/>
    <w:rsid w:val="00984D1F"/>
    <w:rsid w:val="0098505F"/>
    <w:rsid w:val="0098528C"/>
    <w:rsid w:val="00985541"/>
    <w:rsid w:val="00985B7A"/>
    <w:rsid w:val="009862EF"/>
    <w:rsid w:val="00986765"/>
    <w:rsid w:val="00986D25"/>
    <w:rsid w:val="009879BA"/>
    <w:rsid w:val="00991556"/>
    <w:rsid w:val="00991953"/>
    <w:rsid w:val="0099230D"/>
    <w:rsid w:val="009930DE"/>
    <w:rsid w:val="009931DF"/>
    <w:rsid w:val="009937A8"/>
    <w:rsid w:val="009939BB"/>
    <w:rsid w:val="00993A85"/>
    <w:rsid w:val="00993C66"/>
    <w:rsid w:val="00993E9D"/>
    <w:rsid w:val="009941BA"/>
    <w:rsid w:val="009942D6"/>
    <w:rsid w:val="00994C7E"/>
    <w:rsid w:val="00994CEB"/>
    <w:rsid w:val="00994E13"/>
    <w:rsid w:val="009952C8"/>
    <w:rsid w:val="0099563E"/>
    <w:rsid w:val="00995E1A"/>
    <w:rsid w:val="009961FE"/>
    <w:rsid w:val="009967D7"/>
    <w:rsid w:val="00996CC7"/>
    <w:rsid w:val="0099718A"/>
    <w:rsid w:val="00997196"/>
    <w:rsid w:val="009A05C6"/>
    <w:rsid w:val="009A05CF"/>
    <w:rsid w:val="009A13B4"/>
    <w:rsid w:val="009A15CE"/>
    <w:rsid w:val="009A2532"/>
    <w:rsid w:val="009A29D7"/>
    <w:rsid w:val="009A3018"/>
    <w:rsid w:val="009A328C"/>
    <w:rsid w:val="009A368F"/>
    <w:rsid w:val="009A40E1"/>
    <w:rsid w:val="009A598F"/>
    <w:rsid w:val="009A5A9C"/>
    <w:rsid w:val="009A634B"/>
    <w:rsid w:val="009A6BA5"/>
    <w:rsid w:val="009A743F"/>
    <w:rsid w:val="009A77AA"/>
    <w:rsid w:val="009A78CB"/>
    <w:rsid w:val="009A7D31"/>
    <w:rsid w:val="009A7DC5"/>
    <w:rsid w:val="009B0AA7"/>
    <w:rsid w:val="009B0B15"/>
    <w:rsid w:val="009B2321"/>
    <w:rsid w:val="009B24EB"/>
    <w:rsid w:val="009B2BEE"/>
    <w:rsid w:val="009B2D6C"/>
    <w:rsid w:val="009B3A9B"/>
    <w:rsid w:val="009B40EB"/>
    <w:rsid w:val="009B42D2"/>
    <w:rsid w:val="009B46F4"/>
    <w:rsid w:val="009B4C4A"/>
    <w:rsid w:val="009B53B1"/>
    <w:rsid w:val="009B53C7"/>
    <w:rsid w:val="009B590D"/>
    <w:rsid w:val="009B5E0A"/>
    <w:rsid w:val="009B6698"/>
    <w:rsid w:val="009B72C6"/>
    <w:rsid w:val="009B7904"/>
    <w:rsid w:val="009B7CEB"/>
    <w:rsid w:val="009C0E03"/>
    <w:rsid w:val="009C11C3"/>
    <w:rsid w:val="009C1B7D"/>
    <w:rsid w:val="009C2C64"/>
    <w:rsid w:val="009C2ED6"/>
    <w:rsid w:val="009C3C4E"/>
    <w:rsid w:val="009C3CBF"/>
    <w:rsid w:val="009C3EFF"/>
    <w:rsid w:val="009C4659"/>
    <w:rsid w:val="009C4799"/>
    <w:rsid w:val="009C54DA"/>
    <w:rsid w:val="009C5694"/>
    <w:rsid w:val="009C5923"/>
    <w:rsid w:val="009C59F6"/>
    <w:rsid w:val="009C5B26"/>
    <w:rsid w:val="009C621F"/>
    <w:rsid w:val="009C65A8"/>
    <w:rsid w:val="009C6B2A"/>
    <w:rsid w:val="009C6B7A"/>
    <w:rsid w:val="009C704A"/>
    <w:rsid w:val="009C7898"/>
    <w:rsid w:val="009C78A8"/>
    <w:rsid w:val="009C7CE3"/>
    <w:rsid w:val="009C7D09"/>
    <w:rsid w:val="009D058C"/>
    <w:rsid w:val="009D0985"/>
    <w:rsid w:val="009D141E"/>
    <w:rsid w:val="009D182D"/>
    <w:rsid w:val="009D1EA2"/>
    <w:rsid w:val="009D2248"/>
    <w:rsid w:val="009D2EC4"/>
    <w:rsid w:val="009D2EC5"/>
    <w:rsid w:val="009D426F"/>
    <w:rsid w:val="009D43EC"/>
    <w:rsid w:val="009D5BAD"/>
    <w:rsid w:val="009D6733"/>
    <w:rsid w:val="009D7182"/>
    <w:rsid w:val="009D752C"/>
    <w:rsid w:val="009D78B7"/>
    <w:rsid w:val="009D7E3D"/>
    <w:rsid w:val="009E027C"/>
    <w:rsid w:val="009E0339"/>
    <w:rsid w:val="009E03E9"/>
    <w:rsid w:val="009E0AD5"/>
    <w:rsid w:val="009E184E"/>
    <w:rsid w:val="009E1A65"/>
    <w:rsid w:val="009E3B86"/>
    <w:rsid w:val="009E4B2B"/>
    <w:rsid w:val="009E4CCD"/>
    <w:rsid w:val="009E4D67"/>
    <w:rsid w:val="009E569D"/>
    <w:rsid w:val="009E56D4"/>
    <w:rsid w:val="009E5F74"/>
    <w:rsid w:val="009E5FD4"/>
    <w:rsid w:val="009E63E9"/>
    <w:rsid w:val="009E65E1"/>
    <w:rsid w:val="009F0144"/>
    <w:rsid w:val="009F04E4"/>
    <w:rsid w:val="009F0E73"/>
    <w:rsid w:val="009F156C"/>
    <w:rsid w:val="009F16F9"/>
    <w:rsid w:val="009F1FEB"/>
    <w:rsid w:val="009F29ED"/>
    <w:rsid w:val="009F2B65"/>
    <w:rsid w:val="009F2C4A"/>
    <w:rsid w:val="009F3114"/>
    <w:rsid w:val="009F42A2"/>
    <w:rsid w:val="009F4D71"/>
    <w:rsid w:val="009F5524"/>
    <w:rsid w:val="009F60F0"/>
    <w:rsid w:val="009F6174"/>
    <w:rsid w:val="009F6D49"/>
    <w:rsid w:val="009F73F1"/>
    <w:rsid w:val="009F78AE"/>
    <w:rsid w:val="009F7A51"/>
    <w:rsid w:val="009F7B5D"/>
    <w:rsid w:val="009F7EC6"/>
    <w:rsid w:val="00A00469"/>
    <w:rsid w:val="00A005CB"/>
    <w:rsid w:val="00A005FF"/>
    <w:rsid w:val="00A00668"/>
    <w:rsid w:val="00A00CBD"/>
    <w:rsid w:val="00A00F22"/>
    <w:rsid w:val="00A0110F"/>
    <w:rsid w:val="00A01C12"/>
    <w:rsid w:val="00A0212F"/>
    <w:rsid w:val="00A03C1E"/>
    <w:rsid w:val="00A03D4B"/>
    <w:rsid w:val="00A04869"/>
    <w:rsid w:val="00A04A92"/>
    <w:rsid w:val="00A04CD4"/>
    <w:rsid w:val="00A04DD9"/>
    <w:rsid w:val="00A05769"/>
    <w:rsid w:val="00A05896"/>
    <w:rsid w:val="00A05FC6"/>
    <w:rsid w:val="00A0636B"/>
    <w:rsid w:val="00A07DC2"/>
    <w:rsid w:val="00A10408"/>
    <w:rsid w:val="00A10551"/>
    <w:rsid w:val="00A10E86"/>
    <w:rsid w:val="00A117F4"/>
    <w:rsid w:val="00A12258"/>
    <w:rsid w:val="00A129DA"/>
    <w:rsid w:val="00A1335D"/>
    <w:rsid w:val="00A13454"/>
    <w:rsid w:val="00A134E3"/>
    <w:rsid w:val="00A136D4"/>
    <w:rsid w:val="00A13B9E"/>
    <w:rsid w:val="00A13D13"/>
    <w:rsid w:val="00A14AD7"/>
    <w:rsid w:val="00A14D8F"/>
    <w:rsid w:val="00A14EB3"/>
    <w:rsid w:val="00A15F7E"/>
    <w:rsid w:val="00A16097"/>
    <w:rsid w:val="00A16FB4"/>
    <w:rsid w:val="00A17357"/>
    <w:rsid w:val="00A174B4"/>
    <w:rsid w:val="00A174F1"/>
    <w:rsid w:val="00A204D4"/>
    <w:rsid w:val="00A2051C"/>
    <w:rsid w:val="00A2174F"/>
    <w:rsid w:val="00A21995"/>
    <w:rsid w:val="00A21BCB"/>
    <w:rsid w:val="00A224E8"/>
    <w:rsid w:val="00A23FBC"/>
    <w:rsid w:val="00A24943"/>
    <w:rsid w:val="00A25547"/>
    <w:rsid w:val="00A262A4"/>
    <w:rsid w:val="00A269A6"/>
    <w:rsid w:val="00A26BD5"/>
    <w:rsid w:val="00A271B9"/>
    <w:rsid w:val="00A27364"/>
    <w:rsid w:val="00A3004A"/>
    <w:rsid w:val="00A30F1F"/>
    <w:rsid w:val="00A31101"/>
    <w:rsid w:val="00A3135F"/>
    <w:rsid w:val="00A32808"/>
    <w:rsid w:val="00A332F3"/>
    <w:rsid w:val="00A3347E"/>
    <w:rsid w:val="00A33799"/>
    <w:rsid w:val="00A33EA2"/>
    <w:rsid w:val="00A34005"/>
    <w:rsid w:val="00A34C6F"/>
    <w:rsid w:val="00A35543"/>
    <w:rsid w:val="00A35C62"/>
    <w:rsid w:val="00A35EE0"/>
    <w:rsid w:val="00A363A6"/>
    <w:rsid w:val="00A366A7"/>
    <w:rsid w:val="00A37240"/>
    <w:rsid w:val="00A373B5"/>
    <w:rsid w:val="00A37568"/>
    <w:rsid w:val="00A40960"/>
    <w:rsid w:val="00A40E67"/>
    <w:rsid w:val="00A41961"/>
    <w:rsid w:val="00A421D8"/>
    <w:rsid w:val="00A42840"/>
    <w:rsid w:val="00A429C8"/>
    <w:rsid w:val="00A439E5"/>
    <w:rsid w:val="00A43EE7"/>
    <w:rsid w:val="00A4439D"/>
    <w:rsid w:val="00A44950"/>
    <w:rsid w:val="00A45500"/>
    <w:rsid w:val="00A45D71"/>
    <w:rsid w:val="00A4711F"/>
    <w:rsid w:val="00A47285"/>
    <w:rsid w:val="00A475A9"/>
    <w:rsid w:val="00A50FA9"/>
    <w:rsid w:val="00A5145C"/>
    <w:rsid w:val="00A51F41"/>
    <w:rsid w:val="00A522D0"/>
    <w:rsid w:val="00A529BB"/>
    <w:rsid w:val="00A52DDC"/>
    <w:rsid w:val="00A5308E"/>
    <w:rsid w:val="00A53452"/>
    <w:rsid w:val="00A53F3D"/>
    <w:rsid w:val="00A54038"/>
    <w:rsid w:val="00A5501B"/>
    <w:rsid w:val="00A5505B"/>
    <w:rsid w:val="00A553F9"/>
    <w:rsid w:val="00A55980"/>
    <w:rsid w:val="00A55D6F"/>
    <w:rsid w:val="00A55FDA"/>
    <w:rsid w:val="00A564C9"/>
    <w:rsid w:val="00A56593"/>
    <w:rsid w:val="00A568DE"/>
    <w:rsid w:val="00A56905"/>
    <w:rsid w:val="00A56990"/>
    <w:rsid w:val="00A56AD8"/>
    <w:rsid w:val="00A56BAF"/>
    <w:rsid w:val="00A57057"/>
    <w:rsid w:val="00A57FB5"/>
    <w:rsid w:val="00A60BF5"/>
    <w:rsid w:val="00A60EC1"/>
    <w:rsid w:val="00A6124F"/>
    <w:rsid w:val="00A6197B"/>
    <w:rsid w:val="00A62F4B"/>
    <w:rsid w:val="00A642DF"/>
    <w:rsid w:val="00A65C7C"/>
    <w:rsid w:val="00A66A1D"/>
    <w:rsid w:val="00A67191"/>
    <w:rsid w:val="00A67F6A"/>
    <w:rsid w:val="00A707E2"/>
    <w:rsid w:val="00A71F8F"/>
    <w:rsid w:val="00A7203B"/>
    <w:rsid w:val="00A72CE7"/>
    <w:rsid w:val="00A730BE"/>
    <w:rsid w:val="00A74466"/>
    <w:rsid w:val="00A74548"/>
    <w:rsid w:val="00A75314"/>
    <w:rsid w:val="00A75B37"/>
    <w:rsid w:val="00A75E17"/>
    <w:rsid w:val="00A75EF6"/>
    <w:rsid w:val="00A75F63"/>
    <w:rsid w:val="00A76869"/>
    <w:rsid w:val="00A768FD"/>
    <w:rsid w:val="00A769ED"/>
    <w:rsid w:val="00A778ED"/>
    <w:rsid w:val="00A77BC9"/>
    <w:rsid w:val="00A800BF"/>
    <w:rsid w:val="00A81B07"/>
    <w:rsid w:val="00A82293"/>
    <w:rsid w:val="00A831DD"/>
    <w:rsid w:val="00A83243"/>
    <w:rsid w:val="00A83A68"/>
    <w:rsid w:val="00A8404C"/>
    <w:rsid w:val="00A85021"/>
    <w:rsid w:val="00A85417"/>
    <w:rsid w:val="00A85EC2"/>
    <w:rsid w:val="00A86D09"/>
    <w:rsid w:val="00A87609"/>
    <w:rsid w:val="00A909CA"/>
    <w:rsid w:val="00A9199A"/>
    <w:rsid w:val="00A92F61"/>
    <w:rsid w:val="00A9300C"/>
    <w:rsid w:val="00A93B88"/>
    <w:rsid w:val="00A950D6"/>
    <w:rsid w:val="00A9533D"/>
    <w:rsid w:val="00A959F2"/>
    <w:rsid w:val="00A95A8C"/>
    <w:rsid w:val="00A95B5A"/>
    <w:rsid w:val="00A96406"/>
    <w:rsid w:val="00A967C6"/>
    <w:rsid w:val="00A96810"/>
    <w:rsid w:val="00A96DD9"/>
    <w:rsid w:val="00A96FC3"/>
    <w:rsid w:val="00A97364"/>
    <w:rsid w:val="00A9743B"/>
    <w:rsid w:val="00A97876"/>
    <w:rsid w:val="00AA078E"/>
    <w:rsid w:val="00AA0B10"/>
    <w:rsid w:val="00AA12A8"/>
    <w:rsid w:val="00AA1C02"/>
    <w:rsid w:val="00AA23B1"/>
    <w:rsid w:val="00AA2D13"/>
    <w:rsid w:val="00AA31F2"/>
    <w:rsid w:val="00AA37A0"/>
    <w:rsid w:val="00AA3FCA"/>
    <w:rsid w:val="00AA7B4F"/>
    <w:rsid w:val="00AB0817"/>
    <w:rsid w:val="00AB2019"/>
    <w:rsid w:val="00AB2A78"/>
    <w:rsid w:val="00AB2C33"/>
    <w:rsid w:val="00AB441A"/>
    <w:rsid w:val="00AB4945"/>
    <w:rsid w:val="00AB4FD8"/>
    <w:rsid w:val="00AB5FBF"/>
    <w:rsid w:val="00AB6090"/>
    <w:rsid w:val="00AB6829"/>
    <w:rsid w:val="00AB6B62"/>
    <w:rsid w:val="00AB6ED7"/>
    <w:rsid w:val="00AB710F"/>
    <w:rsid w:val="00AB7925"/>
    <w:rsid w:val="00AB7E18"/>
    <w:rsid w:val="00AC036F"/>
    <w:rsid w:val="00AC0ABD"/>
    <w:rsid w:val="00AC32E9"/>
    <w:rsid w:val="00AC3415"/>
    <w:rsid w:val="00AC4010"/>
    <w:rsid w:val="00AC554C"/>
    <w:rsid w:val="00AC688D"/>
    <w:rsid w:val="00AC6944"/>
    <w:rsid w:val="00AC6B13"/>
    <w:rsid w:val="00AC7719"/>
    <w:rsid w:val="00AC781F"/>
    <w:rsid w:val="00AD1974"/>
    <w:rsid w:val="00AD1C72"/>
    <w:rsid w:val="00AD1EF7"/>
    <w:rsid w:val="00AD224F"/>
    <w:rsid w:val="00AD2629"/>
    <w:rsid w:val="00AD2886"/>
    <w:rsid w:val="00AD28EE"/>
    <w:rsid w:val="00AD3116"/>
    <w:rsid w:val="00AD31FD"/>
    <w:rsid w:val="00AD35A7"/>
    <w:rsid w:val="00AD3D91"/>
    <w:rsid w:val="00AD3F18"/>
    <w:rsid w:val="00AD4397"/>
    <w:rsid w:val="00AD4644"/>
    <w:rsid w:val="00AD51B0"/>
    <w:rsid w:val="00AD5249"/>
    <w:rsid w:val="00AD6121"/>
    <w:rsid w:val="00AD7204"/>
    <w:rsid w:val="00AD7474"/>
    <w:rsid w:val="00AD7603"/>
    <w:rsid w:val="00AD780C"/>
    <w:rsid w:val="00AD7C9E"/>
    <w:rsid w:val="00AE042D"/>
    <w:rsid w:val="00AE12D3"/>
    <w:rsid w:val="00AE16C1"/>
    <w:rsid w:val="00AE1AB2"/>
    <w:rsid w:val="00AE1C80"/>
    <w:rsid w:val="00AE1E09"/>
    <w:rsid w:val="00AE274C"/>
    <w:rsid w:val="00AE3160"/>
    <w:rsid w:val="00AE3708"/>
    <w:rsid w:val="00AE3893"/>
    <w:rsid w:val="00AE3F2F"/>
    <w:rsid w:val="00AE3F4D"/>
    <w:rsid w:val="00AE4C90"/>
    <w:rsid w:val="00AE4F14"/>
    <w:rsid w:val="00AE53F1"/>
    <w:rsid w:val="00AE53F7"/>
    <w:rsid w:val="00AE60B2"/>
    <w:rsid w:val="00AE622C"/>
    <w:rsid w:val="00AE63FA"/>
    <w:rsid w:val="00AE6583"/>
    <w:rsid w:val="00AE6726"/>
    <w:rsid w:val="00AE6F09"/>
    <w:rsid w:val="00AE7BAD"/>
    <w:rsid w:val="00AE7EC3"/>
    <w:rsid w:val="00AF0599"/>
    <w:rsid w:val="00AF0750"/>
    <w:rsid w:val="00AF08D6"/>
    <w:rsid w:val="00AF0D09"/>
    <w:rsid w:val="00AF1961"/>
    <w:rsid w:val="00AF219B"/>
    <w:rsid w:val="00AF2490"/>
    <w:rsid w:val="00AF3466"/>
    <w:rsid w:val="00AF4DBB"/>
    <w:rsid w:val="00AF5CA4"/>
    <w:rsid w:val="00AF6048"/>
    <w:rsid w:val="00AF6491"/>
    <w:rsid w:val="00AF6FC8"/>
    <w:rsid w:val="00B00637"/>
    <w:rsid w:val="00B009E4"/>
    <w:rsid w:val="00B01834"/>
    <w:rsid w:val="00B01890"/>
    <w:rsid w:val="00B01BBF"/>
    <w:rsid w:val="00B01F40"/>
    <w:rsid w:val="00B023BA"/>
    <w:rsid w:val="00B02D7E"/>
    <w:rsid w:val="00B02EE4"/>
    <w:rsid w:val="00B031B2"/>
    <w:rsid w:val="00B03EA1"/>
    <w:rsid w:val="00B0491F"/>
    <w:rsid w:val="00B04BCF"/>
    <w:rsid w:val="00B04F05"/>
    <w:rsid w:val="00B04F3E"/>
    <w:rsid w:val="00B05908"/>
    <w:rsid w:val="00B05DE6"/>
    <w:rsid w:val="00B06C72"/>
    <w:rsid w:val="00B0787B"/>
    <w:rsid w:val="00B07C6E"/>
    <w:rsid w:val="00B101E5"/>
    <w:rsid w:val="00B10A39"/>
    <w:rsid w:val="00B10FF1"/>
    <w:rsid w:val="00B1100E"/>
    <w:rsid w:val="00B11135"/>
    <w:rsid w:val="00B12305"/>
    <w:rsid w:val="00B12A6B"/>
    <w:rsid w:val="00B12B2C"/>
    <w:rsid w:val="00B12C9A"/>
    <w:rsid w:val="00B13532"/>
    <w:rsid w:val="00B1373C"/>
    <w:rsid w:val="00B13A58"/>
    <w:rsid w:val="00B13D69"/>
    <w:rsid w:val="00B14101"/>
    <w:rsid w:val="00B15303"/>
    <w:rsid w:val="00B154E4"/>
    <w:rsid w:val="00B16473"/>
    <w:rsid w:val="00B164FD"/>
    <w:rsid w:val="00B166BC"/>
    <w:rsid w:val="00B16B6E"/>
    <w:rsid w:val="00B1768A"/>
    <w:rsid w:val="00B17E1D"/>
    <w:rsid w:val="00B17EED"/>
    <w:rsid w:val="00B20206"/>
    <w:rsid w:val="00B2058F"/>
    <w:rsid w:val="00B205A9"/>
    <w:rsid w:val="00B20B69"/>
    <w:rsid w:val="00B21620"/>
    <w:rsid w:val="00B21756"/>
    <w:rsid w:val="00B21BAB"/>
    <w:rsid w:val="00B228A5"/>
    <w:rsid w:val="00B236EE"/>
    <w:rsid w:val="00B2416D"/>
    <w:rsid w:val="00B2494F"/>
    <w:rsid w:val="00B24AA5"/>
    <w:rsid w:val="00B254B9"/>
    <w:rsid w:val="00B25525"/>
    <w:rsid w:val="00B25883"/>
    <w:rsid w:val="00B2678B"/>
    <w:rsid w:val="00B27096"/>
    <w:rsid w:val="00B27E2B"/>
    <w:rsid w:val="00B302D0"/>
    <w:rsid w:val="00B3126C"/>
    <w:rsid w:val="00B31753"/>
    <w:rsid w:val="00B32F24"/>
    <w:rsid w:val="00B33A34"/>
    <w:rsid w:val="00B33FF2"/>
    <w:rsid w:val="00B340F3"/>
    <w:rsid w:val="00B3424C"/>
    <w:rsid w:val="00B347E0"/>
    <w:rsid w:val="00B34960"/>
    <w:rsid w:val="00B34E3C"/>
    <w:rsid w:val="00B35A9D"/>
    <w:rsid w:val="00B35EB3"/>
    <w:rsid w:val="00B36EB0"/>
    <w:rsid w:val="00B37598"/>
    <w:rsid w:val="00B37B60"/>
    <w:rsid w:val="00B40114"/>
    <w:rsid w:val="00B406D8"/>
    <w:rsid w:val="00B40893"/>
    <w:rsid w:val="00B409D8"/>
    <w:rsid w:val="00B41728"/>
    <w:rsid w:val="00B417BF"/>
    <w:rsid w:val="00B41E3A"/>
    <w:rsid w:val="00B41FE9"/>
    <w:rsid w:val="00B4279C"/>
    <w:rsid w:val="00B428A1"/>
    <w:rsid w:val="00B42EC1"/>
    <w:rsid w:val="00B43128"/>
    <w:rsid w:val="00B4396F"/>
    <w:rsid w:val="00B43BC9"/>
    <w:rsid w:val="00B440FA"/>
    <w:rsid w:val="00B4470F"/>
    <w:rsid w:val="00B447F0"/>
    <w:rsid w:val="00B44B04"/>
    <w:rsid w:val="00B451A8"/>
    <w:rsid w:val="00B45599"/>
    <w:rsid w:val="00B457F2"/>
    <w:rsid w:val="00B45A47"/>
    <w:rsid w:val="00B46874"/>
    <w:rsid w:val="00B46B29"/>
    <w:rsid w:val="00B46B59"/>
    <w:rsid w:val="00B4717D"/>
    <w:rsid w:val="00B473DD"/>
    <w:rsid w:val="00B4782F"/>
    <w:rsid w:val="00B50800"/>
    <w:rsid w:val="00B5189E"/>
    <w:rsid w:val="00B525ED"/>
    <w:rsid w:val="00B527F0"/>
    <w:rsid w:val="00B52870"/>
    <w:rsid w:val="00B52B66"/>
    <w:rsid w:val="00B52F70"/>
    <w:rsid w:val="00B52FAA"/>
    <w:rsid w:val="00B53131"/>
    <w:rsid w:val="00B531A4"/>
    <w:rsid w:val="00B540E5"/>
    <w:rsid w:val="00B5464F"/>
    <w:rsid w:val="00B555F9"/>
    <w:rsid w:val="00B55F2B"/>
    <w:rsid w:val="00B5683D"/>
    <w:rsid w:val="00B57D81"/>
    <w:rsid w:val="00B57EFC"/>
    <w:rsid w:val="00B6026C"/>
    <w:rsid w:val="00B606EF"/>
    <w:rsid w:val="00B616B5"/>
    <w:rsid w:val="00B6198F"/>
    <w:rsid w:val="00B61CCF"/>
    <w:rsid w:val="00B62E3E"/>
    <w:rsid w:val="00B63868"/>
    <w:rsid w:val="00B6409A"/>
    <w:rsid w:val="00B641FA"/>
    <w:rsid w:val="00B64291"/>
    <w:rsid w:val="00B646CC"/>
    <w:rsid w:val="00B6501E"/>
    <w:rsid w:val="00B6519B"/>
    <w:rsid w:val="00B65761"/>
    <w:rsid w:val="00B6584F"/>
    <w:rsid w:val="00B65C7C"/>
    <w:rsid w:val="00B66082"/>
    <w:rsid w:val="00B666AD"/>
    <w:rsid w:val="00B667A3"/>
    <w:rsid w:val="00B66B18"/>
    <w:rsid w:val="00B6753A"/>
    <w:rsid w:val="00B67DEB"/>
    <w:rsid w:val="00B703FC"/>
    <w:rsid w:val="00B704C5"/>
    <w:rsid w:val="00B71FF2"/>
    <w:rsid w:val="00B72108"/>
    <w:rsid w:val="00B72433"/>
    <w:rsid w:val="00B72529"/>
    <w:rsid w:val="00B72A96"/>
    <w:rsid w:val="00B72EDD"/>
    <w:rsid w:val="00B7367B"/>
    <w:rsid w:val="00B73FB9"/>
    <w:rsid w:val="00B7470A"/>
    <w:rsid w:val="00B74DFD"/>
    <w:rsid w:val="00B755D0"/>
    <w:rsid w:val="00B7657A"/>
    <w:rsid w:val="00B778EE"/>
    <w:rsid w:val="00B80EA6"/>
    <w:rsid w:val="00B811F0"/>
    <w:rsid w:val="00B818E6"/>
    <w:rsid w:val="00B81E7A"/>
    <w:rsid w:val="00B8229F"/>
    <w:rsid w:val="00B82D46"/>
    <w:rsid w:val="00B83568"/>
    <w:rsid w:val="00B847AB"/>
    <w:rsid w:val="00B84D74"/>
    <w:rsid w:val="00B85E7A"/>
    <w:rsid w:val="00B8604A"/>
    <w:rsid w:val="00B873F6"/>
    <w:rsid w:val="00B87D9E"/>
    <w:rsid w:val="00B9022B"/>
    <w:rsid w:val="00B906D7"/>
    <w:rsid w:val="00B91348"/>
    <w:rsid w:val="00B921F5"/>
    <w:rsid w:val="00B92925"/>
    <w:rsid w:val="00B939A4"/>
    <w:rsid w:val="00B9483C"/>
    <w:rsid w:val="00B95995"/>
    <w:rsid w:val="00B95E25"/>
    <w:rsid w:val="00B96D46"/>
    <w:rsid w:val="00B975A7"/>
    <w:rsid w:val="00B97C37"/>
    <w:rsid w:val="00BA0493"/>
    <w:rsid w:val="00BA07C5"/>
    <w:rsid w:val="00BA08AD"/>
    <w:rsid w:val="00BA0CC1"/>
    <w:rsid w:val="00BA12C2"/>
    <w:rsid w:val="00BA12D9"/>
    <w:rsid w:val="00BA199C"/>
    <w:rsid w:val="00BA1BBB"/>
    <w:rsid w:val="00BA4C53"/>
    <w:rsid w:val="00BA5460"/>
    <w:rsid w:val="00BA573E"/>
    <w:rsid w:val="00BA58BD"/>
    <w:rsid w:val="00BA5CDC"/>
    <w:rsid w:val="00BA5DFC"/>
    <w:rsid w:val="00BA606A"/>
    <w:rsid w:val="00BA62AD"/>
    <w:rsid w:val="00BA64D2"/>
    <w:rsid w:val="00BA672E"/>
    <w:rsid w:val="00BA6A37"/>
    <w:rsid w:val="00BB016B"/>
    <w:rsid w:val="00BB0BDE"/>
    <w:rsid w:val="00BB0DD5"/>
    <w:rsid w:val="00BB0EE8"/>
    <w:rsid w:val="00BB0FCA"/>
    <w:rsid w:val="00BB3489"/>
    <w:rsid w:val="00BB3C03"/>
    <w:rsid w:val="00BB3FBF"/>
    <w:rsid w:val="00BB4846"/>
    <w:rsid w:val="00BB5269"/>
    <w:rsid w:val="00BB534F"/>
    <w:rsid w:val="00BB54AB"/>
    <w:rsid w:val="00BB5963"/>
    <w:rsid w:val="00BB5EBA"/>
    <w:rsid w:val="00BB634F"/>
    <w:rsid w:val="00BB64E0"/>
    <w:rsid w:val="00BB6E68"/>
    <w:rsid w:val="00BB6F7A"/>
    <w:rsid w:val="00BC0104"/>
    <w:rsid w:val="00BC01AF"/>
    <w:rsid w:val="00BC048B"/>
    <w:rsid w:val="00BC074A"/>
    <w:rsid w:val="00BC0E3F"/>
    <w:rsid w:val="00BC142C"/>
    <w:rsid w:val="00BC1EC0"/>
    <w:rsid w:val="00BC1F7D"/>
    <w:rsid w:val="00BC21D0"/>
    <w:rsid w:val="00BC283B"/>
    <w:rsid w:val="00BC298C"/>
    <w:rsid w:val="00BC30AC"/>
    <w:rsid w:val="00BC32BE"/>
    <w:rsid w:val="00BC32FC"/>
    <w:rsid w:val="00BC3324"/>
    <w:rsid w:val="00BC3521"/>
    <w:rsid w:val="00BC473C"/>
    <w:rsid w:val="00BC4AB6"/>
    <w:rsid w:val="00BC5BDE"/>
    <w:rsid w:val="00BC6312"/>
    <w:rsid w:val="00BC6784"/>
    <w:rsid w:val="00BC6E3A"/>
    <w:rsid w:val="00BC71BD"/>
    <w:rsid w:val="00BC779C"/>
    <w:rsid w:val="00BC7D5B"/>
    <w:rsid w:val="00BD0664"/>
    <w:rsid w:val="00BD0855"/>
    <w:rsid w:val="00BD18F3"/>
    <w:rsid w:val="00BD229F"/>
    <w:rsid w:val="00BD25B9"/>
    <w:rsid w:val="00BD2658"/>
    <w:rsid w:val="00BD2DBB"/>
    <w:rsid w:val="00BD313C"/>
    <w:rsid w:val="00BD34CE"/>
    <w:rsid w:val="00BD38E2"/>
    <w:rsid w:val="00BD3BA2"/>
    <w:rsid w:val="00BD3F7D"/>
    <w:rsid w:val="00BD4E59"/>
    <w:rsid w:val="00BD59D9"/>
    <w:rsid w:val="00BD5A32"/>
    <w:rsid w:val="00BD5C1B"/>
    <w:rsid w:val="00BD5DB8"/>
    <w:rsid w:val="00BD5DF0"/>
    <w:rsid w:val="00BD68FA"/>
    <w:rsid w:val="00BD6FE8"/>
    <w:rsid w:val="00BD7803"/>
    <w:rsid w:val="00BE0C5F"/>
    <w:rsid w:val="00BE1D98"/>
    <w:rsid w:val="00BE2BD1"/>
    <w:rsid w:val="00BE3995"/>
    <w:rsid w:val="00BE3BEE"/>
    <w:rsid w:val="00BE3C29"/>
    <w:rsid w:val="00BE4083"/>
    <w:rsid w:val="00BE530A"/>
    <w:rsid w:val="00BE58D4"/>
    <w:rsid w:val="00BE6822"/>
    <w:rsid w:val="00BE6A2B"/>
    <w:rsid w:val="00BE7515"/>
    <w:rsid w:val="00BF0B78"/>
    <w:rsid w:val="00BF12EA"/>
    <w:rsid w:val="00BF131B"/>
    <w:rsid w:val="00BF1844"/>
    <w:rsid w:val="00BF188B"/>
    <w:rsid w:val="00BF1896"/>
    <w:rsid w:val="00BF1C28"/>
    <w:rsid w:val="00BF2707"/>
    <w:rsid w:val="00BF435C"/>
    <w:rsid w:val="00BF49D1"/>
    <w:rsid w:val="00BF4CDD"/>
    <w:rsid w:val="00BF620B"/>
    <w:rsid w:val="00BF6B87"/>
    <w:rsid w:val="00BF72CE"/>
    <w:rsid w:val="00C00570"/>
    <w:rsid w:val="00C00922"/>
    <w:rsid w:val="00C00A49"/>
    <w:rsid w:val="00C0194C"/>
    <w:rsid w:val="00C027A6"/>
    <w:rsid w:val="00C02810"/>
    <w:rsid w:val="00C03387"/>
    <w:rsid w:val="00C0441C"/>
    <w:rsid w:val="00C044F0"/>
    <w:rsid w:val="00C045F0"/>
    <w:rsid w:val="00C05914"/>
    <w:rsid w:val="00C05CF0"/>
    <w:rsid w:val="00C062FE"/>
    <w:rsid w:val="00C065FA"/>
    <w:rsid w:val="00C067F3"/>
    <w:rsid w:val="00C06A29"/>
    <w:rsid w:val="00C06C22"/>
    <w:rsid w:val="00C07508"/>
    <w:rsid w:val="00C0775A"/>
    <w:rsid w:val="00C10C56"/>
    <w:rsid w:val="00C10DAE"/>
    <w:rsid w:val="00C11068"/>
    <w:rsid w:val="00C1234B"/>
    <w:rsid w:val="00C12C4E"/>
    <w:rsid w:val="00C12C86"/>
    <w:rsid w:val="00C12F81"/>
    <w:rsid w:val="00C135D3"/>
    <w:rsid w:val="00C1371E"/>
    <w:rsid w:val="00C13ED5"/>
    <w:rsid w:val="00C14070"/>
    <w:rsid w:val="00C14694"/>
    <w:rsid w:val="00C14D14"/>
    <w:rsid w:val="00C15B39"/>
    <w:rsid w:val="00C16023"/>
    <w:rsid w:val="00C16360"/>
    <w:rsid w:val="00C16B5C"/>
    <w:rsid w:val="00C16C46"/>
    <w:rsid w:val="00C16C9F"/>
    <w:rsid w:val="00C170A5"/>
    <w:rsid w:val="00C17146"/>
    <w:rsid w:val="00C17A81"/>
    <w:rsid w:val="00C17F33"/>
    <w:rsid w:val="00C20102"/>
    <w:rsid w:val="00C2013A"/>
    <w:rsid w:val="00C20227"/>
    <w:rsid w:val="00C20791"/>
    <w:rsid w:val="00C207F0"/>
    <w:rsid w:val="00C2129D"/>
    <w:rsid w:val="00C21C52"/>
    <w:rsid w:val="00C220B2"/>
    <w:rsid w:val="00C2280D"/>
    <w:rsid w:val="00C22E77"/>
    <w:rsid w:val="00C23C6C"/>
    <w:rsid w:val="00C23DB2"/>
    <w:rsid w:val="00C24C29"/>
    <w:rsid w:val="00C24CA4"/>
    <w:rsid w:val="00C24E59"/>
    <w:rsid w:val="00C2500D"/>
    <w:rsid w:val="00C2643E"/>
    <w:rsid w:val="00C264F1"/>
    <w:rsid w:val="00C27DD5"/>
    <w:rsid w:val="00C30171"/>
    <w:rsid w:val="00C304A6"/>
    <w:rsid w:val="00C307E9"/>
    <w:rsid w:val="00C30809"/>
    <w:rsid w:val="00C30BE5"/>
    <w:rsid w:val="00C30D8F"/>
    <w:rsid w:val="00C317FC"/>
    <w:rsid w:val="00C32434"/>
    <w:rsid w:val="00C32653"/>
    <w:rsid w:val="00C327DE"/>
    <w:rsid w:val="00C34085"/>
    <w:rsid w:val="00C349E9"/>
    <w:rsid w:val="00C34EBC"/>
    <w:rsid w:val="00C35F0E"/>
    <w:rsid w:val="00C3721C"/>
    <w:rsid w:val="00C3766F"/>
    <w:rsid w:val="00C40509"/>
    <w:rsid w:val="00C4054E"/>
    <w:rsid w:val="00C40B19"/>
    <w:rsid w:val="00C40FD4"/>
    <w:rsid w:val="00C410DA"/>
    <w:rsid w:val="00C41277"/>
    <w:rsid w:val="00C42174"/>
    <w:rsid w:val="00C427B2"/>
    <w:rsid w:val="00C42F48"/>
    <w:rsid w:val="00C42F76"/>
    <w:rsid w:val="00C43695"/>
    <w:rsid w:val="00C437F6"/>
    <w:rsid w:val="00C44553"/>
    <w:rsid w:val="00C450CC"/>
    <w:rsid w:val="00C4569E"/>
    <w:rsid w:val="00C456DF"/>
    <w:rsid w:val="00C45933"/>
    <w:rsid w:val="00C45F08"/>
    <w:rsid w:val="00C463AC"/>
    <w:rsid w:val="00C472B1"/>
    <w:rsid w:val="00C475FB"/>
    <w:rsid w:val="00C50286"/>
    <w:rsid w:val="00C507FA"/>
    <w:rsid w:val="00C50B6A"/>
    <w:rsid w:val="00C5153C"/>
    <w:rsid w:val="00C51BD6"/>
    <w:rsid w:val="00C51C3F"/>
    <w:rsid w:val="00C51EE6"/>
    <w:rsid w:val="00C522A6"/>
    <w:rsid w:val="00C52918"/>
    <w:rsid w:val="00C52EC4"/>
    <w:rsid w:val="00C5352E"/>
    <w:rsid w:val="00C54167"/>
    <w:rsid w:val="00C544EC"/>
    <w:rsid w:val="00C54615"/>
    <w:rsid w:val="00C54E19"/>
    <w:rsid w:val="00C55080"/>
    <w:rsid w:val="00C5520B"/>
    <w:rsid w:val="00C5565E"/>
    <w:rsid w:val="00C55877"/>
    <w:rsid w:val="00C55896"/>
    <w:rsid w:val="00C55B59"/>
    <w:rsid w:val="00C56203"/>
    <w:rsid w:val="00C57704"/>
    <w:rsid w:val="00C57B0F"/>
    <w:rsid w:val="00C57D84"/>
    <w:rsid w:val="00C609F0"/>
    <w:rsid w:val="00C61391"/>
    <w:rsid w:val="00C61C14"/>
    <w:rsid w:val="00C630E1"/>
    <w:rsid w:val="00C63A42"/>
    <w:rsid w:val="00C64462"/>
    <w:rsid w:val="00C64482"/>
    <w:rsid w:val="00C64837"/>
    <w:rsid w:val="00C64974"/>
    <w:rsid w:val="00C64A2C"/>
    <w:rsid w:val="00C6522C"/>
    <w:rsid w:val="00C659E3"/>
    <w:rsid w:val="00C65F11"/>
    <w:rsid w:val="00C65F23"/>
    <w:rsid w:val="00C67381"/>
    <w:rsid w:val="00C67FDB"/>
    <w:rsid w:val="00C705C9"/>
    <w:rsid w:val="00C70655"/>
    <w:rsid w:val="00C7077C"/>
    <w:rsid w:val="00C70A66"/>
    <w:rsid w:val="00C70E65"/>
    <w:rsid w:val="00C712B0"/>
    <w:rsid w:val="00C7311D"/>
    <w:rsid w:val="00C732BD"/>
    <w:rsid w:val="00C734DF"/>
    <w:rsid w:val="00C73BA5"/>
    <w:rsid w:val="00C73EBF"/>
    <w:rsid w:val="00C74A90"/>
    <w:rsid w:val="00C74DEF"/>
    <w:rsid w:val="00C74DFD"/>
    <w:rsid w:val="00C750A0"/>
    <w:rsid w:val="00C754B5"/>
    <w:rsid w:val="00C75942"/>
    <w:rsid w:val="00C760B0"/>
    <w:rsid w:val="00C76AE9"/>
    <w:rsid w:val="00C7713C"/>
    <w:rsid w:val="00C77518"/>
    <w:rsid w:val="00C7760C"/>
    <w:rsid w:val="00C77A84"/>
    <w:rsid w:val="00C77CC1"/>
    <w:rsid w:val="00C80683"/>
    <w:rsid w:val="00C808CD"/>
    <w:rsid w:val="00C81128"/>
    <w:rsid w:val="00C817AD"/>
    <w:rsid w:val="00C81870"/>
    <w:rsid w:val="00C81CCC"/>
    <w:rsid w:val="00C82DCF"/>
    <w:rsid w:val="00C83DEC"/>
    <w:rsid w:val="00C840A8"/>
    <w:rsid w:val="00C8604B"/>
    <w:rsid w:val="00C861F2"/>
    <w:rsid w:val="00C86529"/>
    <w:rsid w:val="00C86D01"/>
    <w:rsid w:val="00C87972"/>
    <w:rsid w:val="00C87DCE"/>
    <w:rsid w:val="00C904B5"/>
    <w:rsid w:val="00C909FB"/>
    <w:rsid w:val="00C90A49"/>
    <w:rsid w:val="00C91389"/>
    <w:rsid w:val="00C9178B"/>
    <w:rsid w:val="00C91DF1"/>
    <w:rsid w:val="00C922C4"/>
    <w:rsid w:val="00C92E32"/>
    <w:rsid w:val="00C92EC7"/>
    <w:rsid w:val="00C92F9A"/>
    <w:rsid w:val="00C9371E"/>
    <w:rsid w:val="00C945A1"/>
    <w:rsid w:val="00C950BD"/>
    <w:rsid w:val="00C954AD"/>
    <w:rsid w:val="00C95884"/>
    <w:rsid w:val="00C95E06"/>
    <w:rsid w:val="00C95EF3"/>
    <w:rsid w:val="00C95F10"/>
    <w:rsid w:val="00C96D02"/>
    <w:rsid w:val="00C96E5A"/>
    <w:rsid w:val="00CA0347"/>
    <w:rsid w:val="00CA058D"/>
    <w:rsid w:val="00CA06DA"/>
    <w:rsid w:val="00CA15EA"/>
    <w:rsid w:val="00CA19C0"/>
    <w:rsid w:val="00CA1E39"/>
    <w:rsid w:val="00CA2124"/>
    <w:rsid w:val="00CA2D82"/>
    <w:rsid w:val="00CA3164"/>
    <w:rsid w:val="00CA3481"/>
    <w:rsid w:val="00CA3B14"/>
    <w:rsid w:val="00CA3BEC"/>
    <w:rsid w:val="00CA4EE7"/>
    <w:rsid w:val="00CA5437"/>
    <w:rsid w:val="00CA5B1B"/>
    <w:rsid w:val="00CA5C83"/>
    <w:rsid w:val="00CA62C2"/>
    <w:rsid w:val="00CA64F0"/>
    <w:rsid w:val="00CA6509"/>
    <w:rsid w:val="00CA65F4"/>
    <w:rsid w:val="00CA6755"/>
    <w:rsid w:val="00CA6BDA"/>
    <w:rsid w:val="00CA6DB4"/>
    <w:rsid w:val="00CA7C6F"/>
    <w:rsid w:val="00CB0153"/>
    <w:rsid w:val="00CB0AE4"/>
    <w:rsid w:val="00CB0D93"/>
    <w:rsid w:val="00CB1024"/>
    <w:rsid w:val="00CB17EF"/>
    <w:rsid w:val="00CB2055"/>
    <w:rsid w:val="00CB23B6"/>
    <w:rsid w:val="00CB24AC"/>
    <w:rsid w:val="00CB27A2"/>
    <w:rsid w:val="00CB29E3"/>
    <w:rsid w:val="00CB3040"/>
    <w:rsid w:val="00CB3209"/>
    <w:rsid w:val="00CB33E6"/>
    <w:rsid w:val="00CB3682"/>
    <w:rsid w:val="00CB3E4A"/>
    <w:rsid w:val="00CB3E75"/>
    <w:rsid w:val="00CB3EFE"/>
    <w:rsid w:val="00CB47B4"/>
    <w:rsid w:val="00CB4A89"/>
    <w:rsid w:val="00CB4AB6"/>
    <w:rsid w:val="00CB4F7B"/>
    <w:rsid w:val="00CB5482"/>
    <w:rsid w:val="00CB59EE"/>
    <w:rsid w:val="00CB6226"/>
    <w:rsid w:val="00CB63E2"/>
    <w:rsid w:val="00CB6490"/>
    <w:rsid w:val="00CB7190"/>
    <w:rsid w:val="00CB7A87"/>
    <w:rsid w:val="00CB7DBA"/>
    <w:rsid w:val="00CC0424"/>
    <w:rsid w:val="00CC05DF"/>
    <w:rsid w:val="00CC0979"/>
    <w:rsid w:val="00CC15D0"/>
    <w:rsid w:val="00CC1AE9"/>
    <w:rsid w:val="00CC1C9B"/>
    <w:rsid w:val="00CC2196"/>
    <w:rsid w:val="00CC2D98"/>
    <w:rsid w:val="00CC2DAC"/>
    <w:rsid w:val="00CC391C"/>
    <w:rsid w:val="00CC3A73"/>
    <w:rsid w:val="00CC49C3"/>
    <w:rsid w:val="00CC4C86"/>
    <w:rsid w:val="00CC4CD1"/>
    <w:rsid w:val="00CC4E04"/>
    <w:rsid w:val="00CC5DD5"/>
    <w:rsid w:val="00CC628B"/>
    <w:rsid w:val="00CC64CA"/>
    <w:rsid w:val="00CC66DB"/>
    <w:rsid w:val="00CC6CBD"/>
    <w:rsid w:val="00CC7547"/>
    <w:rsid w:val="00CC79C0"/>
    <w:rsid w:val="00CC7E4C"/>
    <w:rsid w:val="00CD0348"/>
    <w:rsid w:val="00CD0718"/>
    <w:rsid w:val="00CD1F9A"/>
    <w:rsid w:val="00CD1FCF"/>
    <w:rsid w:val="00CD2627"/>
    <w:rsid w:val="00CD27CB"/>
    <w:rsid w:val="00CD2A4F"/>
    <w:rsid w:val="00CD2DE7"/>
    <w:rsid w:val="00CD38AF"/>
    <w:rsid w:val="00CD4008"/>
    <w:rsid w:val="00CD4ACF"/>
    <w:rsid w:val="00CD539B"/>
    <w:rsid w:val="00CD5621"/>
    <w:rsid w:val="00CD5D0E"/>
    <w:rsid w:val="00CD7F50"/>
    <w:rsid w:val="00CD7F65"/>
    <w:rsid w:val="00CE0181"/>
    <w:rsid w:val="00CE04F8"/>
    <w:rsid w:val="00CE0797"/>
    <w:rsid w:val="00CE082B"/>
    <w:rsid w:val="00CE0C0D"/>
    <w:rsid w:val="00CE1151"/>
    <w:rsid w:val="00CE1314"/>
    <w:rsid w:val="00CE1B05"/>
    <w:rsid w:val="00CE229D"/>
    <w:rsid w:val="00CE2EEC"/>
    <w:rsid w:val="00CE302A"/>
    <w:rsid w:val="00CE33CF"/>
    <w:rsid w:val="00CE35DD"/>
    <w:rsid w:val="00CE3862"/>
    <w:rsid w:val="00CE38D5"/>
    <w:rsid w:val="00CE4411"/>
    <w:rsid w:val="00CE448C"/>
    <w:rsid w:val="00CE4AD4"/>
    <w:rsid w:val="00CE4BBF"/>
    <w:rsid w:val="00CE508A"/>
    <w:rsid w:val="00CE6178"/>
    <w:rsid w:val="00CE65CA"/>
    <w:rsid w:val="00CE6EC8"/>
    <w:rsid w:val="00CE71FC"/>
    <w:rsid w:val="00CE7474"/>
    <w:rsid w:val="00CE768B"/>
    <w:rsid w:val="00CE792D"/>
    <w:rsid w:val="00CF00C2"/>
    <w:rsid w:val="00CF0248"/>
    <w:rsid w:val="00CF0811"/>
    <w:rsid w:val="00CF1A1A"/>
    <w:rsid w:val="00CF20EC"/>
    <w:rsid w:val="00CF276A"/>
    <w:rsid w:val="00CF2A74"/>
    <w:rsid w:val="00CF3318"/>
    <w:rsid w:val="00CF3CFA"/>
    <w:rsid w:val="00CF3FEB"/>
    <w:rsid w:val="00CF423D"/>
    <w:rsid w:val="00CF4865"/>
    <w:rsid w:val="00CF5427"/>
    <w:rsid w:val="00CF6408"/>
    <w:rsid w:val="00CF7F28"/>
    <w:rsid w:val="00D00216"/>
    <w:rsid w:val="00D0342B"/>
    <w:rsid w:val="00D03511"/>
    <w:rsid w:val="00D038B2"/>
    <w:rsid w:val="00D04CD0"/>
    <w:rsid w:val="00D04E02"/>
    <w:rsid w:val="00D05170"/>
    <w:rsid w:val="00D05C49"/>
    <w:rsid w:val="00D06C79"/>
    <w:rsid w:val="00D06E3D"/>
    <w:rsid w:val="00D06E9D"/>
    <w:rsid w:val="00D07BAF"/>
    <w:rsid w:val="00D07CCB"/>
    <w:rsid w:val="00D101AB"/>
    <w:rsid w:val="00D1057E"/>
    <w:rsid w:val="00D10A48"/>
    <w:rsid w:val="00D11628"/>
    <w:rsid w:val="00D1197D"/>
    <w:rsid w:val="00D11EC5"/>
    <w:rsid w:val="00D11F7F"/>
    <w:rsid w:val="00D12027"/>
    <w:rsid w:val="00D12776"/>
    <w:rsid w:val="00D12785"/>
    <w:rsid w:val="00D128E6"/>
    <w:rsid w:val="00D12917"/>
    <w:rsid w:val="00D12E0B"/>
    <w:rsid w:val="00D1371B"/>
    <w:rsid w:val="00D138F4"/>
    <w:rsid w:val="00D140D6"/>
    <w:rsid w:val="00D14E53"/>
    <w:rsid w:val="00D1512F"/>
    <w:rsid w:val="00D15281"/>
    <w:rsid w:val="00D156C0"/>
    <w:rsid w:val="00D157BB"/>
    <w:rsid w:val="00D159E1"/>
    <w:rsid w:val="00D15A0A"/>
    <w:rsid w:val="00D15AD4"/>
    <w:rsid w:val="00D1618E"/>
    <w:rsid w:val="00D16D67"/>
    <w:rsid w:val="00D17A75"/>
    <w:rsid w:val="00D206DB"/>
    <w:rsid w:val="00D20BFC"/>
    <w:rsid w:val="00D20F78"/>
    <w:rsid w:val="00D215D0"/>
    <w:rsid w:val="00D21B7D"/>
    <w:rsid w:val="00D22445"/>
    <w:rsid w:val="00D25BC1"/>
    <w:rsid w:val="00D25D02"/>
    <w:rsid w:val="00D267DA"/>
    <w:rsid w:val="00D26848"/>
    <w:rsid w:val="00D26BDC"/>
    <w:rsid w:val="00D27C55"/>
    <w:rsid w:val="00D303FA"/>
    <w:rsid w:val="00D305FB"/>
    <w:rsid w:val="00D310BC"/>
    <w:rsid w:val="00D3117C"/>
    <w:rsid w:val="00D315C9"/>
    <w:rsid w:val="00D325D3"/>
    <w:rsid w:val="00D32E9A"/>
    <w:rsid w:val="00D32FF6"/>
    <w:rsid w:val="00D33078"/>
    <w:rsid w:val="00D33BCE"/>
    <w:rsid w:val="00D33CE8"/>
    <w:rsid w:val="00D34647"/>
    <w:rsid w:val="00D346C1"/>
    <w:rsid w:val="00D35C71"/>
    <w:rsid w:val="00D36400"/>
    <w:rsid w:val="00D36D5F"/>
    <w:rsid w:val="00D3745F"/>
    <w:rsid w:val="00D3747E"/>
    <w:rsid w:val="00D374EC"/>
    <w:rsid w:val="00D41137"/>
    <w:rsid w:val="00D42427"/>
    <w:rsid w:val="00D42A7C"/>
    <w:rsid w:val="00D42D8C"/>
    <w:rsid w:val="00D42F5A"/>
    <w:rsid w:val="00D43075"/>
    <w:rsid w:val="00D43C42"/>
    <w:rsid w:val="00D44139"/>
    <w:rsid w:val="00D44525"/>
    <w:rsid w:val="00D4452F"/>
    <w:rsid w:val="00D4470B"/>
    <w:rsid w:val="00D448CE"/>
    <w:rsid w:val="00D459CC"/>
    <w:rsid w:val="00D462C8"/>
    <w:rsid w:val="00D47483"/>
    <w:rsid w:val="00D47C17"/>
    <w:rsid w:val="00D5115D"/>
    <w:rsid w:val="00D51664"/>
    <w:rsid w:val="00D5186A"/>
    <w:rsid w:val="00D51CB5"/>
    <w:rsid w:val="00D52C07"/>
    <w:rsid w:val="00D546D5"/>
    <w:rsid w:val="00D554B7"/>
    <w:rsid w:val="00D55A11"/>
    <w:rsid w:val="00D55A4F"/>
    <w:rsid w:val="00D55AF4"/>
    <w:rsid w:val="00D5699A"/>
    <w:rsid w:val="00D571E8"/>
    <w:rsid w:val="00D5748F"/>
    <w:rsid w:val="00D600CC"/>
    <w:rsid w:val="00D60418"/>
    <w:rsid w:val="00D60470"/>
    <w:rsid w:val="00D606D4"/>
    <w:rsid w:val="00D61A98"/>
    <w:rsid w:val="00D6253E"/>
    <w:rsid w:val="00D63123"/>
    <w:rsid w:val="00D63F91"/>
    <w:rsid w:val="00D64167"/>
    <w:rsid w:val="00D64278"/>
    <w:rsid w:val="00D6536E"/>
    <w:rsid w:val="00D65F80"/>
    <w:rsid w:val="00D66E2A"/>
    <w:rsid w:val="00D6750B"/>
    <w:rsid w:val="00D67A61"/>
    <w:rsid w:val="00D67AE3"/>
    <w:rsid w:val="00D71635"/>
    <w:rsid w:val="00D7169C"/>
    <w:rsid w:val="00D717C2"/>
    <w:rsid w:val="00D718C9"/>
    <w:rsid w:val="00D719D7"/>
    <w:rsid w:val="00D71A90"/>
    <w:rsid w:val="00D73D3B"/>
    <w:rsid w:val="00D73DC8"/>
    <w:rsid w:val="00D73F25"/>
    <w:rsid w:val="00D7452C"/>
    <w:rsid w:val="00D74B97"/>
    <w:rsid w:val="00D75893"/>
    <w:rsid w:val="00D75B00"/>
    <w:rsid w:val="00D75C27"/>
    <w:rsid w:val="00D75F95"/>
    <w:rsid w:val="00D76096"/>
    <w:rsid w:val="00D7627C"/>
    <w:rsid w:val="00D762DF"/>
    <w:rsid w:val="00D76A86"/>
    <w:rsid w:val="00D772E9"/>
    <w:rsid w:val="00D7776C"/>
    <w:rsid w:val="00D77788"/>
    <w:rsid w:val="00D77D04"/>
    <w:rsid w:val="00D8179F"/>
    <w:rsid w:val="00D81BE2"/>
    <w:rsid w:val="00D8243D"/>
    <w:rsid w:val="00D828C9"/>
    <w:rsid w:val="00D82D9A"/>
    <w:rsid w:val="00D83D33"/>
    <w:rsid w:val="00D84085"/>
    <w:rsid w:val="00D84308"/>
    <w:rsid w:val="00D8455A"/>
    <w:rsid w:val="00D8473F"/>
    <w:rsid w:val="00D84B32"/>
    <w:rsid w:val="00D84B3C"/>
    <w:rsid w:val="00D857A4"/>
    <w:rsid w:val="00D85DA7"/>
    <w:rsid w:val="00D85EB9"/>
    <w:rsid w:val="00D8654A"/>
    <w:rsid w:val="00D86601"/>
    <w:rsid w:val="00D86766"/>
    <w:rsid w:val="00D86D1D"/>
    <w:rsid w:val="00D872C7"/>
    <w:rsid w:val="00D8745D"/>
    <w:rsid w:val="00D874D1"/>
    <w:rsid w:val="00D900BA"/>
    <w:rsid w:val="00D903F9"/>
    <w:rsid w:val="00D90708"/>
    <w:rsid w:val="00D9074D"/>
    <w:rsid w:val="00D90805"/>
    <w:rsid w:val="00D912AC"/>
    <w:rsid w:val="00D91A52"/>
    <w:rsid w:val="00D91BAE"/>
    <w:rsid w:val="00D927D4"/>
    <w:rsid w:val="00D92E5C"/>
    <w:rsid w:val="00D931E1"/>
    <w:rsid w:val="00D93ED7"/>
    <w:rsid w:val="00D943C6"/>
    <w:rsid w:val="00D947F9"/>
    <w:rsid w:val="00D94920"/>
    <w:rsid w:val="00D950DC"/>
    <w:rsid w:val="00D954AC"/>
    <w:rsid w:val="00D96197"/>
    <w:rsid w:val="00D96312"/>
    <w:rsid w:val="00D97232"/>
    <w:rsid w:val="00D9745A"/>
    <w:rsid w:val="00D97688"/>
    <w:rsid w:val="00DA02F9"/>
    <w:rsid w:val="00DA0678"/>
    <w:rsid w:val="00DA0B2C"/>
    <w:rsid w:val="00DA1817"/>
    <w:rsid w:val="00DA1A37"/>
    <w:rsid w:val="00DA1BAF"/>
    <w:rsid w:val="00DA2639"/>
    <w:rsid w:val="00DA2772"/>
    <w:rsid w:val="00DA3208"/>
    <w:rsid w:val="00DA3329"/>
    <w:rsid w:val="00DA38CC"/>
    <w:rsid w:val="00DA3BF9"/>
    <w:rsid w:val="00DA4573"/>
    <w:rsid w:val="00DA5485"/>
    <w:rsid w:val="00DA59E3"/>
    <w:rsid w:val="00DA6848"/>
    <w:rsid w:val="00DA6971"/>
    <w:rsid w:val="00DA7928"/>
    <w:rsid w:val="00DB050F"/>
    <w:rsid w:val="00DB06BD"/>
    <w:rsid w:val="00DB0781"/>
    <w:rsid w:val="00DB0CDF"/>
    <w:rsid w:val="00DB15CB"/>
    <w:rsid w:val="00DB1E6C"/>
    <w:rsid w:val="00DB1FF6"/>
    <w:rsid w:val="00DB20AA"/>
    <w:rsid w:val="00DB273C"/>
    <w:rsid w:val="00DB2CE3"/>
    <w:rsid w:val="00DB2EB5"/>
    <w:rsid w:val="00DB2EC1"/>
    <w:rsid w:val="00DB2F47"/>
    <w:rsid w:val="00DB381B"/>
    <w:rsid w:val="00DB3952"/>
    <w:rsid w:val="00DB3A60"/>
    <w:rsid w:val="00DB3DCC"/>
    <w:rsid w:val="00DB416B"/>
    <w:rsid w:val="00DB427D"/>
    <w:rsid w:val="00DB49D4"/>
    <w:rsid w:val="00DB4F68"/>
    <w:rsid w:val="00DB55F6"/>
    <w:rsid w:val="00DB5BE8"/>
    <w:rsid w:val="00DB6BA0"/>
    <w:rsid w:val="00DB6E85"/>
    <w:rsid w:val="00DB7142"/>
    <w:rsid w:val="00DB7828"/>
    <w:rsid w:val="00DB7DDF"/>
    <w:rsid w:val="00DB7F86"/>
    <w:rsid w:val="00DC0A48"/>
    <w:rsid w:val="00DC0D1E"/>
    <w:rsid w:val="00DC1127"/>
    <w:rsid w:val="00DC1469"/>
    <w:rsid w:val="00DC1489"/>
    <w:rsid w:val="00DC1502"/>
    <w:rsid w:val="00DC173B"/>
    <w:rsid w:val="00DC1A1A"/>
    <w:rsid w:val="00DC1BB5"/>
    <w:rsid w:val="00DC1FDE"/>
    <w:rsid w:val="00DC2A76"/>
    <w:rsid w:val="00DC2CCF"/>
    <w:rsid w:val="00DC3441"/>
    <w:rsid w:val="00DC5000"/>
    <w:rsid w:val="00DC5050"/>
    <w:rsid w:val="00DC5AF5"/>
    <w:rsid w:val="00DC5DCE"/>
    <w:rsid w:val="00DC74E1"/>
    <w:rsid w:val="00DC7C8C"/>
    <w:rsid w:val="00DD0385"/>
    <w:rsid w:val="00DD0541"/>
    <w:rsid w:val="00DD19BC"/>
    <w:rsid w:val="00DD1E45"/>
    <w:rsid w:val="00DD25CA"/>
    <w:rsid w:val="00DD27E4"/>
    <w:rsid w:val="00DD2D06"/>
    <w:rsid w:val="00DD2D35"/>
    <w:rsid w:val="00DD30BD"/>
    <w:rsid w:val="00DD4BFC"/>
    <w:rsid w:val="00DD55CA"/>
    <w:rsid w:val="00DD5CBF"/>
    <w:rsid w:val="00DD75FA"/>
    <w:rsid w:val="00DD77F8"/>
    <w:rsid w:val="00DE06D3"/>
    <w:rsid w:val="00DE07B3"/>
    <w:rsid w:val="00DE1A99"/>
    <w:rsid w:val="00DE2262"/>
    <w:rsid w:val="00DE2440"/>
    <w:rsid w:val="00DE2AB6"/>
    <w:rsid w:val="00DE2D85"/>
    <w:rsid w:val="00DE33CF"/>
    <w:rsid w:val="00DE370D"/>
    <w:rsid w:val="00DE3ABD"/>
    <w:rsid w:val="00DE3B3F"/>
    <w:rsid w:val="00DE4D1F"/>
    <w:rsid w:val="00DE52FC"/>
    <w:rsid w:val="00DE5575"/>
    <w:rsid w:val="00DE5736"/>
    <w:rsid w:val="00DE58CA"/>
    <w:rsid w:val="00DE5C7F"/>
    <w:rsid w:val="00DE5F57"/>
    <w:rsid w:val="00DE66D9"/>
    <w:rsid w:val="00DE6DEE"/>
    <w:rsid w:val="00DE706A"/>
    <w:rsid w:val="00DE7474"/>
    <w:rsid w:val="00DE7D25"/>
    <w:rsid w:val="00DE7D71"/>
    <w:rsid w:val="00DE7E8E"/>
    <w:rsid w:val="00DF00CA"/>
    <w:rsid w:val="00DF0261"/>
    <w:rsid w:val="00DF0555"/>
    <w:rsid w:val="00DF1D24"/>
    <w:rsid w:val="00DF3969"/>
    <w:rsid w:val="00DF4A81"/>
    <w:rsid w:val="00DF4D9D"/>
    <w:rsid w:val="00DF4E4C"/>
    <w:rsid w:val="00DF564F"/>
    <w:rsid w:val="00DF5FF2"/>
    <w:rsid w:val="00DF6D71"/>
    <w:rsid w:val="00DF7385"/>
    <w:rsid w:val="00DF7514"/>
    <w:rsid w:val="00DF7E76"/>
    <w:rsid w:val="00E00822"/>
    <w:rsid w:val="00E00FAF"/>
    <w:rsid w:val="00E01217"/>
    <w:rsid w:val="00E01345"/>
    <w:rsid w:val="00E015A3"/>
    <w:rsid w:val="00E01A35"/>
    <w:rsid w:val="00E01A48"/>
    <w:rsid w:val="00E02BB2"/>
    <w:rsid w:val="00E03373"/>
    <w:rsid w:val="00E03F90"/>
    <w:rsid w:val="00E04302"/>
    <w:rsid w:val="00E0453E"/>
    <w:rsid w:val="00E0463D"/>
    <w:rsid w:val="00E04E90"/>
    <w:rsid w:val="00E05696"/>
    <w:rsid w:val="00E057D2"/>
    <w:rsid w:val="00E05DE7"/>
    <w:rsid w:val="00E06C53"/>
    <w:rsid w:val="00E06D50"/>
    <w:rsid w:val="00E07616"/>
    <w:rsid w:val="00E076CC"/>
    <w:rsid w:val="00E076CE"/>
    <w:rsid w:val="00E07A7A"/>
    <w:rsid w:val="00E10346"/>
    <w:rsid w:val="00E10387"/>
    <w:rsid w:val="00E10504"/>
    <w:rsid w:val="00E1061D"/>
    <w:rsid w:val="00E11104"/>
    <w:rsid w:val="00E11938"/>
    <w:rsid w:val="00E11A27"/>
    <w:rsid w:val="00E11B26"/>
    <w:rsid w:val="00E12739"/>
    <w:rsid w:val="00E12AAB"/>
    <w:rsid w:val="00E12EBE"/>
    <w:rsid w:val="00E13191"/>
    <w:rsid w:val="00E133F6"/>
    <w:rsid w:val="00E13926"/>
    <w:rsid w:val="00E13E35"/>
    <w:rsid w:val="00E1406A"/>
    <w:rsid w:val="00E14654"/>
    <w:rsid w:val="00E14F40"/>
    <w:rsid w:val="00E154BA"/>
    <w:rsid w:val="00E2048C"/>
    <w:rsid w:val="00E204B4"/>
    <w:rsid w:val="00E20868"/>
    <w:rsid w:val="00E20ECE"/>
    <w:rsid w:val="00E21343"/>
    <w:rsid w:val="00E21D64"/>
    <w:rsid w:val="00E21F49"/>
    <w:rsid w:val="00E22DD7"/>
    <w:rsid w:val="00E22EC4"/>
    <w:rsid w:val="00E22FB4"/>
    <w:rsid w:val="00E24369"/>
    <w:rsid w:val="00E245B3"/>
    <w:rsid w:val="00E24920"/>
    <w:rsid w:val="00E24F3A"/>
    <w:rsid w:val="00E25218"/>
    <w:rsid w:val="00E258D0"/>
    <w:rsid w:val="00E25935"/>
    <w:rsid w:val="00E2667B"/>
    <w:rsid w:val="00E2668C"/>
    <w:rsid w:val="00E268A3"/>
    <w:rsid w:val="00E26B95"/>
    <w:rsid w:val="00E27CF8"/>
    <w:rsid w:val="00E30262"/>
    <w:rsid w:val="00E30B02"/>
    <w:rsid w:val="00E31B20"/>
    <w:rsid w:val="00E31C53"/>
    <w:rsid w:val="00E3251F"/>
    <w:rsid w:val="00E33924"/>
    <w:rsid w:val="00E33A8D"/>
    <w:rsid w:val="00E343E3"/>
    <w:rsid w:val="00E35268"/>
    <w:rsid w:val="00E3585A"/>
    <w:rsid w:val="00E35A38"/>
    <w:rsid w:val="00E35D72"/>
    <w:rsid w:val="00E36283"/>
    <w:rsid w:val="00E367CB"/>
    <w:rsid w:val="00E37093"/>
    <w:rsid w:val="00E3732E"/>
    <w:rsid w:val="00E37B5B"/>
    <w:rsid w:val="00E37E51"/>
    <w:rsid w:val="00E37FE6"/>
    <w:rsid w:val="00E40832"/>
    <w:rsid w:val="00E40AB7"/>
    <w:rsid w:val="00E41657"/>
    <w:rsid w:val="00E418AF"/>
    <w:rsid w:val="00E41C43"/>
    <w:rsid w:val="00E42ACE"/>
    <w:rsid w:val="00E42B1F"/>
    <w:rsid w:val="00E42F17"/>
    <w:rsid w:val="00E433C7"/>
    <w:rsid w:val="00E43B8F"/>
    <w:rsid w:val="00E441AA"/>
    <w:rsid w:val="00E44A94"/>
    <w:rsid w:val="00E44DBC"/>
    <w:rsid w:val="00E44E2C"/>
    <w:rsid w:val="00E45B6E"/>
    <w:rsid w:val="00E46121"/>
    <w:rsid w:val="00E4662C"/>
    <w:rsid w:val="00E46FED"/>
    <w:rsid w:val="00E47AC0"/>
    <w:rsid w:val="00E47E8B"/>
    <w:rsid w:val="00E515C9"/>
    <w:rsid w:val="00E51C82"/>
    <w:rsid w:val="00E5248E"/>
    <w:rsid w:val="00E53FBB"/>
    <w:rsid w:val="00E54493"/>
    <w:rsid w:val="00E547C0"/>
    <w:rsid w:val="00E551BC"/>
    <w:rsid w:val="00E555A6"/>
    <w:rsid w:val="00E56B91"/>
    <w:rsid w:val="00E56CCC"/>
    <w:rsid w:val="00E57364"/>
    <w:rsid w:val="00E57F7A"/>
    <w:rsid w:val="00E57FEA"/>
    <w:rsid w:val="00E6067A"/>
    <w:rsid w:val="00E606EB"/>
    <w:rsid w:val="00E61024"/>
    <w:rsid w:val="00E61228"/>
    <w:rsid w:val="00E6356C"/>
    <w:rsid w:val="00E6489B"/>
    <w:rsid w:val="00E64B18"/>
    <w:rsid w:val="00E64C9D"/>
    <w:rsid w:val="00E65161"/>
    <w:rsid w:val="00E65811"/>
    <w:rsid w:val="00E659BD"/>
    <w:rsid w:val="00E66A18"/>
    <w:rsid w:val="00E67076"/>
    <w:rsid w:val="00E67391"/>
    <w:rsid w:val="00E67C46"/>
    <w:rsid w:val="00E70A4B"/>
    <w:rsid w:val="00E7142A"/>
    <w:rsid w:val="00E719A3"/>
    <w:rsid w:val="00E71D8B"/>
    <w:rsid w:val="00E71E33"/>
    <w:rsid w:val="00E71EAC"/>
    <w:rsid w:val="00E720D8"/>
    <w:rsid w:val="00E73143"/>
    <w:rsid w:val="00E73E7F"/>
    <w:rsid w:val="00E755E1"/>
    <w:rsid w:val="00E75C88"/>
    <w:rsid w:val="00E76D17"/>
    <w:rsid w:val="00E77511"/>
    <w:rsid w:val="00E77545"/>
    <w:rsid w:val="00E80083"/>
    <w:rsid w:val="00E802B4"/>
    <w:rsid w:val="00E80534"/>
    <w:rsid w:val="00E8090C"/>
    <w:rsid w:val="00E80A21"/>
    <w:rsid w:val="00E810C9"/>
    <w:rsid w:val="00E81D96"/>
    <w:rsid w:val="00E81EB2"/>
    <w:rsid w:val="00E83175"/>
    <w:rsid w:val="00E83612"/>
    <w:rsid w:val="00E84A82"/>
    <w:rsid w:val="00E84F9C"/>
    <w:rsid w:val="00E8513E"/>
    <w:rsid w:val="00E85618"/>
    <w:rsid w:val="00E86F1D"/>
    <w:rsid w:val="00E8723C"/>
    <w:rsid w:val="00E87B91"/>
    <w:rsid w:val="00E87E07"/>
    <w:rsid w:val="00E87F84"/>
    <w:rsid w:val="00E90D2E"/>
    <w:rsid w:val="00E90E31"/>
    <w:rsid w:val="00E91A2D"/>
    <w:rsid w:val="00E91EC4"/>
    <w:rsid w:val="00E920E6"/>
    <w:rsid w:val="00E92C0A"/>
    <w:rsid w:val="00E9415D"/>
    <w:rsid w:val="00E94D74"/>
    <w:rsid w:val="00E9558E"/>
    <w:rsid w:val="00E956DB"/>
    <w:rsid w:val="00E95820"/>
    <w:rsid w:val="00E95DA4"/>
    <w:rsid w:val="00E95FB8"/>
    <w:rsid w:val="00E96F35"/>
    <w:rsid w:val="00E97240"/>
    <w:rsid w:val="00E9736C"/>
    <w:rsid w:val="00EA0782"/>
    <w:rsid w:val="00EA12AD"/>
    <w:rsid w:val="00EA1BB7"/>
    <w:rsid w:val="00EA1D5F"/>
    <w:rsid w:val="00EA2334"/>
    <w:rsid w:val="00EA3197"/>
    <w:rsid w:val="00EA3D79"/>
    <w:rsid w:val="00EA4720"/>
    <w:rsid w:val="00EA5FA1"/>
    <w:rsid w:val="00EA610D"/>
    <w:rsid w:val="00EA68A6"/>
    <w:rsid w:val="00EA6CAF"/>
    <w:rsid w:val="00EB028C"/>
    <w:rsid w:val="00EB0B0A"/>
    <w:rsid w:val="00EB155E"/>
    <w:rsid w:val="00EB416E"/>
    <w:rsid w:val="00EB454C"/>
    <w:rsid w:val="00EB4EEF"/>
    <w:rsid w:val="00EB5435"/>
    <w:rsid w:val="00EB5CE8"/>
    <w:rsid w:val="00EB6C90"/>
    <w:rsid w:val="00EB6D3A"/>
    <w:rsid w:val="00EB70ED"/>
    <w:rsid w:val="00EC158F"/>
    <w:rsid w:val="00EC1772"/>
    <w:rsid w:val="00EC1C96"/>
    <w:rsid w:val="00EC1D4D"/>
    <w:rsid w:val="00EC250C"/>
    <w:rsid w:val="00EC2799"/>
    <w:rsid w:val="00EC325B"/>
    <w:rsid w:val="00EC337F"/>
    <w:rsid w:val="00EC4264"/>
    <w:rsid w:val="00EC433A"/>
    <w:rsid w:val="00EC45F2"/>
    <w:rsid w:val="00EC4FF6"/>
    <w:rsid w:val="00EC52C0"/>
    <w:rsid w:val="00EC5642"/>
    <w:rsid w:val="00EC6237"/>
    <w:rsid w:val="00EC71A2"/>
    <w:rsid w:val="00EC74AD"/>
    <w:rsid w:val="00EC786A"/>
    <w:rsid w:val="00ED0F8C"/>
    <w:rsid w:val="00ED14A2"/>
    <w:rsid w:val="00ED1A00"/>
    <w:rsid w:val="00ED24ED"/>
    <w:rsid w:val="00ED2598"/>
    <w:rsid w:val="00ED35A8"/>
    <w:rsid w:val="00ED3D0E"/>
    <w:rsid w:val="00ED3DA2"/>
    <w:rsid w:val="00ED4808"/>
    <w:rsid w:val="00ED4FA9"/>
    <w:rsid w:val="00ED4FEC"/>
    <w:rsid w:val="00ED557D"/>
    <w:rsid w:val="00ED5E88"/>
    <w:rsid w:val="00ED6768"/>
    <w:rsid w:val="00ED6E12"/>
    <w:rsid w:val="00ED7B33"/>
    <w:rsid w:val="00EE0F87"/>
    <w:rsid w:val="00EE0F9B"/>
    <w:rsid w:val="00EE244B"/>
    <w:rsid w:val="00EE2B00"/>
    <w:rsid w:val="00EE3E66"/>
    <w:rsid w:val="00EE4244"/>
    <w:rsid w:val="00EE4CB9"/>
    <w:rsid w:val="00EE4E51"/>
    <w:rsid w:val="00EE50AF"/>
    <w:rsid w:val="00EE5210"/>
    <w:rsid w:val="00EE5BB4"/>
    <w:rsid w:val="00EE608D"/>
    <w:rsid w:val="00EE6313"/>
    <w:rsid w:val="00EE682E"/>
    <w:rsid w:val="00EE71DB"/>
    <w:rsid w:val="00EE7358"/>
    <w:rsid w:val="00EE7573"/>
    <w:rsid w:val="00EE7E8C"/>
    <w:rsid w:val="00EF0510"/>
    <w:rsid w:val="00EF114F"/>
    <w:rsid w:val="00EF125A"/>
    <w:rsid w:val="00EF17FC"/>
    <w:rsid w:val="00EF1F17"/>
    <w:rsid w:val="00EF23AF"/>
    <w:rsid w:val="00EF24DA"/>
    <w:rsid w:val="00EF2FC6"/>
    <w:rsid w:val="00EF34DF"/>
    <w:rsid w:val="00EF4103"/>
    <w:rsid w:val="00EF43B1"/>
    <w:rsid w:val="00EF46A5"/>
    <w:rsid w:val="00EF5B75"/>
    <w:rsid w:val="00EF61FD"/>
    <w:rsid w:val="00EF645B"/>
    <w:rsid w:val="00EF704A"/>
    <w:rsid w:val="00EF71F7"/>
    <w:rsid w:val="00F0066D"/>
    <w:rsid w:val="00F01B47"/>
    <w:rsid w:val="00F02127"/>
    <w:rsid w:val="00F028FF"/>
    <w:rsid w:val="00F03522"/>
    <w:rsid w:val="00F039EB"/>
    <w:rsid w:val="00F041D9"/>
    <w:rsid w:val="00F04B97"/>
    <w:rsid w:val="00F04D7C"/>
    <w:rsid w:val="00F0583B"/>
    <w:rsid w:val="00F0607A"/>
    <w:rsid w:val="00F0671F"/>
    <w:rsid w:val="00F06AB2"/>
    <w:rsid w:val="00F06C1C"/>
    <w:rsid w:val="00F06FB8"/>
    <w:rsid w:val="00F07D03"/>
    <w:rsid w:val="00F104D1"/>
    <w:rsid w:val="00F10547"/>
    <w:rsid w:val="00F10B28"/>
    <w:rsid w:val="00F10FAF"/>
    <w:rsid w:val="00F11103"/>
    <w:rsid w:val="00F11347"/>
    <w:rsid w:val="00F1161F"/>
    <w:rsid w:val="00F117F9"/>
    <w:rsid w:val="00F11CD9"/>
    <w:rsid w:val="00F11D87"/>
    <w:rsid w:val="00F120F2"/>
    <w:rsid w:val="00F13469"/>
    <w:rsid w:val="00F13AF1"/>
    <w:rsid w:val="00F13E2F"/>
    <w:rsid w:val="00F145D9"/>
    <w:rsid w:val="00F14B54"/>
    <w:rsid w:val="00F15501"/>
    <w:rsid w:val="00F15821"/>
    <w:rsid w:val="00F15FCC"/>
    <w:rsid w:val="00F15FD9"/>
    <w:rsid w:val="00F161D1"/>
    <w:rsid w:val="00F1663A"/>
    <w:rsid w:val="00F16BA0"/>
    <w:rsid w:val="00F16F40"/>
    <w:rsid w:val="00F17DB6"/>
    <w:rsid w:val="00F17F3A"/>
    <w:rsid w:val="00F205A4"/>
    <w:rsid w:val="00F20AFF"/>
    <w:rsid w:val="00F210F2"/>
    <w:rsid w:val="00F21587"/>
    <w:rsid w:val="00F21A4D"/>
    <w:rsid w:val="00F21C30"/>
    <w:rsid w:val="00F21D3E"/>
    <w:rsid w:val="00F22780"/>
    <w:rsid w:val="00F22C5A"/>
    <w:rsid w:val="00F23722"/>
    <w:rsid w:val="00F23F49"/>
    <w:rsid w:val="00F246CE"/>
    <w:rsid w:val="00F24C4E"/>
    <w:rsid w:val="00F25DF7"/>
    <w:rsid w:val="00F25F39"/>
    <w:rsid w:val="00F25F3A"/>
    <w:rsid w:val="00F2669C"/>
    <w:rsid w:val="00F266D7"/>
    <w:rsid w:val="00F2782D"/>
    <w:rsid w:val="00F27BDD"/>
    <w:rsid w:val="00F3036A"/>
    <w:rsid w:val="00F30DBE"/>
    <w:rsid w:val="00F310DF"/>
    <w:rsid w:val="00F31124"/>
    <w:rsid w:val="00F329CB"/>
    <w:rsid w:val="00F33688"/>
    <w:rsid w:val="00F33A08"/>
    <w:rsid w:val="00F33B59"/>
    <w:rsid w:val="00F34056"/>
    <w:rsid w:val="00F35600"/>
    <w:rsid w:val="00F3579D"/>
    <w:rsid w:val="00F35B6E"/>
    <w:rsid w:val="00F36A16"/>
    <w:rsid w:val="00F37930"/>
    <w:rsid w:val="00F37B6E"/>
    <w:rsid w:val="00F405B0"/>
    <w:rsid w:val="00F4086B"/>
    <w:rsid w:val="00F40E11"/>
    <w:rsid w:val="00F40F9A"/>
    <w:rsid w:val="00F41397"/>
    <w:rsid w:val="00F413CC"/>
    <w:rsid w:val="00F420B7"/>
    <w:rsid w:val="00F4215D"/>
    <w:rsid w:val="00F425C9"/>
    <w:rsid w:val="00F43E69"/>
    <w:rsid w:val="00F44B0E"/>
    <w:rsid w:val="00F44D09"/>
    <w:rsid w:val="00F453ED"/>
    <w:rsid w:val="00F45617"/>
    <w:rsid w:val="00F46BFF"/>
    <w:rsid w:val="00F46E56"/>
    <w:rsid w:val="00F472DC"/>
    <w:rsid w:val="00F4787A"/>
    <w:rsid w:val="00F47F3F"/>
    <w:rsid w:val="00F503AF"/>
    <w:rsid w:val="00F50EB5"/>
    <w:rsid w:val="00F517B0"/>
    <w:rsid w:val="00F51AFD"/>
    <w:rsid w:val="00F51D0B"/>
    <w:rsid w:val="00F528F6"/>
    <w:rsid w:val="00F52F9C"/>
    <w:rsid w:val="00F5346E"/>
    <w:rsid w:val="00F537B1"/>
    <w:rsid w:val="00F5409C"/>
    <w:rsid w:val="00F542EC"/>
    <w:rsid w:val="00F554C9"/>
    <w:rsid w:val="00F5557F"/>
    <w:rsid w:val="00F55993"/>
    <w:rsid w:val="00F559F2"/>
    <w:rsid w:val="00F573C2"/>
    <w:rsid w:val="00F6096B"/>
    <w:rsid w:val="00F60A50"/>
    <w:rsid w:val="00F6144E"/>
    <w:rsid w:val="00F6197D"/>
    <w:rsid w:val="00F6199B"/>
    <w:rsid w:val="00F6204B"/>
    <w:rsid w:val="00F62E25"/>
    <w:rsid w:val="00F631BC"/>
    <w:rsid w:val="00F64CDC"/>
    <w:rsid w:val="00F65225"/>
    <w:rsid w:val="00F656A6"/>
    <w:rsid w:val="00F664BE"/>
    <w:rsid w:val="00F677A0"/>
    <w:rsid w:val="00F67C65"/>
    <w:rsid w:val="00F704C6"/>
    <w:rsid w:val="00F70530"/>
    <w:rsid w:val="00F716E8"/>
    <w:rsid w:val="00F7193C"/>
    <w:rsid w:val="00F725B1"/>
    <w:rsid w:val="00F72682"/>
    <w:rsid w:val="00F734FD"/>
    <w:rsid w:val="00F735E7"/>
    <w:rsid w:val="00F73FB6"/>
    <w:rsid w:val="00F74036"/>
    <w:rsid w:val="00F74416"/>
    <w:rsid w:val="00F745B2"/>
    <w:rsid w:val="00F753AE"/>
    <w:rsid w:val="00F75935"/>
    <w:rsid w:val="00F7593E"/>
    <w:rsid w:val="00F75F5E"/>
    <w:rsid w:val="00F76378"/>
    <w:rsid w:val="00F7643F"/>
    <w:rsid w:val="00F76682"/>
    <w:rsid w:val="00F767C7"/>
    <w:rsid w:val="00F7689A"/>
    <w:rsid w:val="00F7773C"/>
    <w:rsid w:val="00F77978"/>
    <w:rsid w:val="00F77B7E"/>
    <w:rsid w:val="00F77E45"/>
    <w:rsid w:val="00F77FE7"/>
    <w:rsid w:val="00F8055E"/>
    <w:rsid w:val="00F80884"/>
    <w:rsid w:val="00F80DC1"/>
    <w:rsid w:val="00F813F6"/>
    <w:rsid w:val="00F823F3"/>
    <w:rsid w:val="00F829BC"/>
    <w:rsid w:val="00F82CB9"/>
    <w:rsid w:val="00F8306E"/>
    <w:rsid w:val="00F83695"/>
    <w:rsid w:val="00F8468C"/>
    <w:rsid w:val="00F84F7F"/>
    <w:rsid w:val="00F862B6"/>
    <w:rsid w:val="00F86438"/>
    <w:rsid w:val="00F873CC"/>
    <w:rsid w:val="00F8741B"/>
    <w:rsid w:val="00F9079B"/>
    <w:rsid w:val="00F91BDC"/>
    <w:rsid w:val="00F92934"/>
    <w:rsid w:val="00F92E64"/>
    <w:rsid w:val="00F938B5"/>
    <w:rsid w:val="00F939D5"/>
    <w:rsid w:val="00F93E91"/>
    <w:rsid w:val="00F941AD"/>
    <w:rsid w:val="00F95848"/>
    <w:rsid w:val="00F96138"/>
    <w:rsid w:val="00F96C05"/>
    <w:rsid w:val="00F97258"/>
    <w:rsid w:val="00F97945"/>
    <w:rsid w:val="00F97B70"/>
    <w:rsid w:val="00F97F63"/>
    <w:rsid w:val="00FA00DC"/>
    <w:rsid w:val="00FA079F"/>
    <w:rsid w:val="00FA0E6F"/>
    <w:rsid w:val="00FA2042"/>
    <w:rsid w:val="00FA20BB"/>
    <w:rsid w:val="00FA323F"/>
    <w:rsid w:val="00FA3481"/>
    <w:rsid w:val="00FA34BD"/>
    <w:rsid w:val="00FA3EFF"/>
    <w:rsid w:val="00FA3F28"/>
    <w:rsid w:val="00FA440F"/>
    <w:rsid w:val="00FA4835"/>
    <w:rsid w:val="00FA48D3"/>
    <w:rsid w:val="00FA6176"/>
    <w:rsid w:val="00FA6183"/>
    <w:rsid w:val="00FA6489"/>
    <w:rsid w:val="00FA677A"/>
    <w:rsid w:val="00FA6C9A"/>
    <w:rsid w:val="00FA7463"/>
    <w:rsid w:val="00FA7C5A"/>
    <w:rsid w:val="00FA7FB2"/>
    <w:rsid w:val="00FB0501"/>
    <w:rsid w:val="00FB0EFA"/>
    <w:rsid w:val="00FB12B3"/>
    <w:rsid w:val="00FB192B"/>
    <w:rsid w:val="00FB19E0"/>
    <w:rsid w:val="00FB29B4"/>
    <w:rsid w:val="00FB378F"/>
    <w:rsid w:val="00FB3E93"/>
    <w:rsid w:val="00FB410A"/>
    <w:rsid w:val="00FB47E0"/>
    <w:rsid w:val="00FB4A36"/>
    <w:rsid w:val="00FB541B"/>
    <w:rsid w:val="00FB58A2"/>
    <w:rsid w:val="00FB6211"/>
    <w:rsid w:val="00FB6228"/>
    <w:rsid w:val="00FB634B"/>
    <w:rsid w:val="00FB6910"/>
    <w:rsid w:val="00FB7C05"/>
    <w:rsid w:val="00FC0A35"/>
    <w:rsid w:val="00FC0BC9"/>
    <w:rsid w:val="00FC0CF8"/>
    <w:rsid w:val="00FC1C5D"/>
    <w:rsid w:val="00FC24B6"/>
    <w:rsid w:val="00FC3D9C"/>
    <w:rsid w:val="00FC519F"/>
    <w:rsid w:val="00FC5362"/>
    <w:rsid w:val="00FC541D"/>
    <w:rsid w:val="00FC576D"/>
    <w:rsid w:val="00FC5E8A"/>
    <w:rsid w:val="00FC65EC"/>
    <w:rsid w:val="00FC6F4C"/>
    <w:rsid w:val="00FC772E"/>
    <w:rsid w:val="00FC7E7C"/>
    <w:rsid w:val="00FD0CA2"/>
    <w:rsid w:val="00FD15E8"/>
    <w:rsid w:val="00FD176D"/>
    <w:rsid w:val="00FD1B7E"/>
    <w:rsid w:val="00FD2213"/>
    <w:rsid w:val="00FD25E2"/>
    <w:rsid w:val="00FD2AD7"/>
    <w:rsid w:val="00FD3700"/>
    <w:rsid w:val="00FD4D81"/>
    <w:rsid w:val="00FD506C"/>
    <w:rsid w:val="00FD5338"/>
    <w:rsid w:val="00FD5C1D"/>
    <w:rsid w:val="00FD65C7"/>
    <w:rsid w:val="00FD7028"/>
    <w:rsid w:val="00FD7A4A"/>
    <w:rsid w:val="00FE04F5"/>
    <w:rsid w:val="00FE06CA"/>
    <w:rsid w:val="00FE0BB2"/>
    <w:rsid w:val="00FE114A"/>
    <w:rsid w:val="00FE1197"/>
    <w:rsid w:val="00FE165C"/>
    <w:rsid w:val="00FE166F"/>
    <w:rsid w:val="00FE2DEA"/>
    <w:rsid w:val="00FE3EF8"/>
    <w:rsid w:val="00FE40AC"/>
    <w:rsid w:val="00FE5F23"/>
    <w:rsid w:val="00FE65EF"/>
    <w:rsid w:val="00FE6EC9"/>
    <w:rsid w:val="00FE7CB6"/>
    <w:rsid w:val="00FF0242"/>
    <w:rsid w:val="00FF02BC"/>
    <w:rsid w:val="00FF02C2"/>
    <w:rsid w:val="00FF068F"/>
    <w:rsid w:val="00FF19A5"/>
    <w:rsid w:val="00FF2C41"/>
    <w:rsid w:val="00FF3C68"/>
    <w:rsid w:val="00FF3D2D"/>
    <w:rsid w:val="00FF3E66"/>
    <w:rsid w:val="00FF4430"/>
    <w:rsid w:val="00FF46CA"/>
    <w:rsid w:val="00FF4B5B"/>
    <w:rsid w:val="00FF5238"/>
    <w:rsid w:val="00FF530F"/>
    <w:rsid w:val="00FF5C7C"/>
    <w:rsid w:val="00FF6829"/>
    <w:rsid w:val="00FF6872"/>
    <w:rsid w:val="00FF6E0F"/>
    <w:rsid w:val="00FF751C"/>
    <w:rsid w:val="00FF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727CA9"/>
  <w15:docId w15:val="{177414AA-0A36-4A58-8C6B-EEFA2409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BB"/>
  </w:style>
  <w:style w:type="paragraph" w:styleId="Heading1">
    <w:name w:val="heading 1"/>
    <w:basedOn w:val="Normal"/>
    <w:next w:val="Normal"/>
    <w:link w:val="Heading1Char"/>
    <w:uiPriority w:val="9"/>
    <w:qFormat/>
    <w:rsid w:val="001967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43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A31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937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67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6715"/>
    <w:rPr>
      <w:rFonts w:eastAsiaTheme="minorEastAsia"/>
      <w:lang w:val="en-US"/>
    </w:rPr>
  </w:style>
  <w:style w:type="character" w:customStyle="1" w:styleId="Heading1Char">
    <w:name w:val="Heading 1 Char"/>
    <w:basedOn w:val="DefaultParagraphFont"/>
    <w:link w:val="Heading1"/>
    <w:uiPriority w:val="9"/>
    <w:rsid w:val="001967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6715"/>
    <w:pPr>
      <w:outlineLvl w:val="9"/>
    </w:pPr>
    <w:rPr>
      <w:lang w:val="en-US"/>
    </w:rPr>
  </w:style>
  <w:style w:type="paragraph" w:styleId="TOC1">
    <w:name w:val="toc 1"/>
    <w:basedOn w:val="Normal"/>
    <w:next w:val="Normal"/>
    <w:autoRedefine/>
    <w:uiPriority w:val="39"/>
    <w:unhideWhenUsed/>
    <w:rsid w:val="00196715"/>
    <w:pPr>
      <w:spacing w:after="100"/>
    </w:pPr>
  </w:style>
  <w:style w:type="character" w:styleId="Hyperlink">
    <w:name w:val="Hyperlink"/>
    <w:basedOn w:val="DefaultParagraphFont"/>
    <w:uiPriority w:val="99"/>
    <w:unhideWhenUsed/>
    <w:rsid w:val="00196715"/>
    <w:rPr>
      <w:color w:val="0563C1" w:themeColor="hyperlink"/>
      <w:u w:val="single"/>
    </w:rPr>
  </w:style>
  <w:style w:type="character" w:customStyle="1" w:styleId="Heading2Char">
    <w:name w:val="Heading 2 Char"/>
    <w:basedOn w:val="DefaultParagraphFont"/>
    <w:link w:val="Heading2"/>
    <w:uiPriority w:val="9"/>
    <w:rsid w:val="009443A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54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533"/>
    <w:rPr>
      <w:rFonts w:ascii="Tahoma" w:hAnsi="Tahoma" w:cs="Tahoma"/>
      <w:sz w:val="16"/>
      <w:szCs w:val="16"/>
    </w:rPr>
  </w:style>
  <w:style w:type="paragraph" w:styleId="Header">
    <w:name w:val="header"/>
    <w:basedOn w:val="Normal"/>
    <w:link w:val="HeaderChar"/>
    <w:uiPriority w:val="99"/>
    <w:unhideWhenUsed/>
    <w:rsid w:val="0022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BF7"/>
  </w:style>
  <w:style w:type="paragraph" w:styleId="Footer">
    <w:name w:val="footer"/>
    <w:basedOn w:val="Normal"/>
    <w:link w:val="FooterChar"/>
    <w:uiPriority w:val="99"/>
    <w:unhideWhenUsed/>
    <w:rsid w:val="0022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BF7"/>
  </w:style>
  <w:style w:type="paragraph" w:styleId="TOC2">
    <w:name w:val="toc 2"/>
    <w:basedOn w:val="Normal"/>
    <w:next w:val="Normal"/>
    <w:autoRedefine/>
    <w:uiPriority w:val="39"/>
    <w:unhideWhenUsed/>
    <w:rsid w:val="003B72AF"/>
    <w:pPr>
      <w:spacing w:after="100"/>
      <w:ind w:left="220"/>
    </w:pPr>
  </w:style>
  <w:style w:type="paragraph" w:styleId="Caption">
    <w:name w:val="caption"/>
    <w:basedOn w:val="Normal"/>
    <w:next w:val="Normal"/>
    <w:uiPriority w:val="35"/>
    <w:unhideWhenUsed/>
    <w:qFormat/>
    <w:rsid w:val="006B1F4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86D09"/>
    <w:pPr>
      <w:spacing w:after="240" w:line="240" w:lineRule="auto"/>
    </w:pPr>
  </w:style>
  <w:style w:type="paragraph" w:styleId="ListParagraph">
    <w:name w:val="List Paragraph"/>
    <w:basedOn w:val="Normal"/>
    <w:uiPriority w:val="34"/>
    <w:qFormat/>
    <w:rsid w:val="00553FBB"/>
    <w:pPr>
      <w:ind w:left="720"/>
      <w:contextualSpacing/>
    </w:pPr>
  </w:style>
  <w:style w:type="character" w:customStyle="1" w:styleId="Heading3Char">
    <w:name w:val="Heading 3 Char"/>
    <w:basedOn w:val="DefaultParagraphFont"/>
    <w:link w:val="Heading3"/>
    <w:uiPriority w:val="9"/>
    <w:rsid w:val="00CA316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37C96"/>
    <w:pPr>
      <w:spacing w:after="100"/>
      <w:ind w:left="440"/>
    </w:pPr>
  </w:style>
  <w:style w:type="character" w:customStyle="1" w:styleId="Heading4Char">
    <w:name w:val="Heading 4 Char"/>
    <w:basedOn w:val="DefaultParagraphFont"/>
    <w:link w:val="Heading4"/>
    <w:uiPriority w:val="9"/>
    <w:rsid w:val="001937C2"/>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3C2443"/>
    <w:rPr>
      <w:color w:val="808080"/>
    </w:rPr>
  </w:style>
  <w:style w:type="character" w:styleId="UnresolvedMention">
    <w:name w:val="Unresolved Mention"/>
    <w:basedOn w:val="DefaultParagraphFont"/>
    <w:uiPriority w:val="99"/>
    <w:semiHidden/>
    <w:unhideWhenUsed/>
    <w:rsid w:val="00097B87"/>
    <w:rPr>
      <w:color w:val="605E5C"/>
      <w:shd w:val="clear" w:color="auto" w:fill="E1DFDD"/>
    </w:rPr>
  </w:style>
  <w:style w:type="paragraph" w:styleId="TableofFigures">
    <w:name w:val="table of figures"/>
    <w:basedOn w:val="Normal"/>
    <w:next w:val="Normal"/>
    <w:uiPriority w:val="99"/>
    <w:unhideWhenUsed/>
    <w:rsid w:val="00EA0782"/>
    <w:pPr>
      <w:spacing w:after="0"/>
    </w:pPr>
  </w:style>
  <w:style w:type="paragraph" w:styleId="NormalWeb">
    <w:name w:val="Normal (Web)"/>
    <w:basedOn w:val="Normal"/>
    <w:uiPriority w:val="99"/>
    <w:unhideWhenUsed/>
    <w:rsid w:val="003D3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3D340E"/>
  </w:style>
  <w:style w:type="character" w:customStyle="1" w:styleId="mjxassistivemathml">
    <w:name w:val="mjx_assistive_mathml"/>
    <w:basedOn w:val="DefaultParagraphFont"/>
    <w:rsid w:val="003D3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5056">
      <w:bodyDiv w:val="1"/>
      <w:marLeft w:val="0"/>
      <w:marRight w:val="0"/>
      <w:marTop w:val="0"/>
      <w:marBottom w:val="0"/>
      <w:divBdr>
        <w:top w:val="none" w:sz="0" w:space="0" w:color="auto"/>
        <w:left w:val="none" w:sz="0" w:space="0" w:color="auto"/>
        <w:bottom w:val="none" w:sz="0" w:space="0" w:color="auto"/>
        <w:right w:val="none" w:sz="0" w:space="0" w:color="auto"/>
      </w:divBdr>
    </w:div>
    <w:div w:id="33699286">
      <w:bodyDiv w:val="1"/>
      <w:marLeft w:val="0"/>
      <w:marRight w:val="0"/>
      <w:marTop w:val="0"/>
      <w:marBottom w:val="0"/>
      <w:divBdr>
        <w:top w:val="none" w:sz="0" w:space="0" w:color="auto"/>
        <w:left w:val="none" w:sz="0" w:space="0" w:color="auto"/>
        <w:bottom w:val="none" w:sz="0" w:space="0" w:color="auto"/>
        <w:right w:val="none" w:sz="0" w:space="0" w:color="auto"/>
      </w:divBdr>
    </w:div>
    <w:div w:id="83915938">
      <w:bodyDiv w:val="1"/>
      <w:marLeft w:val="0"/>
      <w:marRight w:val="0"/>
      <w:marTop w:val="0"/>
      <w:marBottom w:val="0"/>
      <w:divBdr>
        <w:top w:val="none" w:sz="0" w:space="0" w:color="auto"/>
        <w:left w:val="none" w:sz="0" w:space="0" w:color="auto"/>
        <w:bottom w:val="none" w:sz="0" w:space="0" w:color="auto"/>
        <w:right w:val="none" w:sz="0" w:space="0" w:color="auto"/>
      </w:divBdr>
    </w:div>
    <w:div w:id="142089213">
      <w:bodyDiv w:val="1"/>
      <w:marLeft w:val="0"/>
      <w:marRight w:val="0"/>
      <w:marTop w:val="0"/>
      <w:marBottom w:val="0"/>
      <w:divBdr>
        <w:top w:val="none" w:sz="0" w:space="0" w:color="auto"/>
        <w:left w:val="none" w:sz="0" w:space="0" w:color="auto"/>
        <w:bottom w:val="none" w:sz="0" w:space="0" w:color="auto"/>
        <w:right w:val="none" w:sz="0" w:space="0" w:color="auto"/>
      </w:divBdr>
    </w:div>
    <w:div w:id="230122312">
      <w:bodyDiv w:val="1"/>
      <w:marLeft w:val="0"/>
      <w:marRight w:val="0"/>
      <w:marTop w:val="0"/>
      <w:marBottom w:val="0"/>
      <w:divBdr>
        <w:top w:val="none" w:sz="0" w:space="0" w:color="auto"/>
        <w:left w:val="none" w:sz="0" w:space="0" w:color="auto"/>
        <w:bottom w:val="none" w:sz="0" w:space="0" w:color="auto"/>
        <w:right w:val="none" w:sz="0" w:space="0" w:color="auto"/>
      </w:divBdr>
    </w:div>
    <w:div w:id="263458369">
      <w:bodyDiv w:val="1"/>
      <w:marLeft w:val="0"/>
      <w:marRight w:val="0"/>
      <w:marTop w:val="0"/>
      <w:marBottom w:val="0"/>
      <w:divBdr>
        <w:top w:val="none" w:sz="0" w:space="0" w:color="auto"/>
        <w:left w:val="none" w:sz="0" w:space="0" w:color="auto"/>
        <w:bottom w:val="none" w:sz="0" w:space="0" w:color="auto"/>
        <w:right w:val="none" w:sz="0" w:space="0" w:color="auto"/>
      </w:divBdr>
    </w:div>
    <w:div w:id="422530420">
      <w:bodyDiv w:val="1"/>
      <w:marLeft w:val="0"/>
      <w:marRight w:val="0"/>
      <w:marTop w:val="0"/>
      <w:marBottom w:val="0"/>
      <w:divBdr>
        <w:top w:val="none" w:sz="0" w:space="0" w:color="auto"/>
        <w:left w:val="none" w:sz="0" w:space="0" w:color="auto"/>
        <w:bottom w:val="none" w:sz="0" w:space="0" w:color="auto"/>
        <w:right w:val="none" w:sz="0" w:space="0" w:color="auto"/>
      </w:divBdr>
    </w:div>
    <w:div w:id="442071414">
      <w:bodyDiv w:val="1"/>
      <w:marLeft w:val="0"/>
      <w:marRight w:val="0"/>
      <w:marTop w:val="0"/>
      <w:marBottom w:val="0"/>
      <w:divBdr>
        <w:top w:val="none" w:sz="0" w:space="0" w:color="auto"/>
        <w:left w:val="none" w:sz="0" w:space="0" w:color="auto"/>
        <w:bottom w:val="none" w:sz="0" w:space="0" w:color="auto"/>
        <w:right w:val="none" w:sz="0" w:space="0" w:color="auto"/>
      </w:divBdr>
    </w:div>
    <w:div w:id="447743385">
      <w:bodyDiv w:val="1"/>
      <w:marLeft w:val="0"/>
      <w:marRight w:val="0"/>
      <w:marTop w:val="0"/>
      <w:marBottom w:val="0"/>
      <w:divBdr>
        <w:top w:val="none" w:sz="0" w:space="0" w:color="auto"/>
        <w:left w:val="none" w:sz="0" w:space="0" w:color="auto"/>
        <w:bottom w:val="none" w:sz="0" w:space="0" w:color="auto"/>
        <w:right w:val="none" w:sz="0" w:space="0" w:color="auto"/>
      </w:divBdr>
    </w:div>
    <w:div w:id="497843375">
      <w:bodyDiv w:val="1"/>
      <w:marLeft w:val="0"/>
      <w:marRight w:val="0"/>
      <w:marTop w:val="0"/>
      <w:marBottom w:val="0"/>
      <w:divBdr>
        <w:top w:val="none" w:sz="0" w:space="0" w:color="auto"/>
        <w:left w:val="none" w:sz="0" w:space="0" w:color="auto"/>
        <w:bottom w:val="none" w:sz="0" w:space="0" w:color="auto"/>
        <w:right w:val="none" w:sz="0" w:space="0" w:color="auto"/>
      </w:divBdr>
    </w:div>
    <w:div w:id="533351000">
      <w:bodyDiv w:val="1"/>
      <w:marLeft w:val="0"/>
      <w:marRight w:val="0"/>
      <w:marTop w:val="0"/>
      <w:marBottom w:val="0"/>
      <w:divBdr>
        <w:top w:val="none" w:sz="0" w:space="0" w:color="auto"/>
        <w:left w:val="none" w:sz="0" w:space="0" w:color="auto"/>
        <w:bottom w:val="none" w:sz="0" w:space="0" w:color="auto"/>
        <w:right w:val="none" w:sz="0" w:space="0" w:color="auto"/>
      </w:divBdr>
    </w:div>
    <w:div w:id="577251465">
      <w:bodyDiv w:val="1"/>
      <w:marLeft w:val="0"/>
      <w:marRight w:val="0"/>
      <w:marTop w:val="0"/>
      <w:marBottom w:val="0"/>
      <w:divBdr>
        <w:top w:val="none" w:sz="0" w:space="0" w:color="auto"/>
        <w:left w:val="none" w:sz="0" w:space="0" w:color="auto"/>
        <w:bottom w:val="none" w:sz="0" w:space="0" w:color="auto"/>
        <w:right w:val="none" w:sz="0" w:space="0" w:color="auto"/>
      </w:divBdr>
    </w:div>
    <w:div w:id="607197010">
      <w:bodyDiv w:val="1"/>
      <w:marLeft w:val="0"/>
      <w:marRight w:val="0"/>
      <w:marTop w:val="0"/>
      <w:marBottom w:val="0"/>
      <w:divBdr>
        <w:top w:val="none" w:sz="0" w:space="0" w:color="auto"/>
        <w:left w:val="none" w:sz="0" w:space="0" w:color="auto"/>
        <w:bottom w:val="none" w:sz="0" w:space="0" w:color="auto"/>
        <w:right w:val="none" w:sz="0" w:space="0" w:color="auto"/>
      </w:divBdr>
    </w:div>
    <w:div w:id="640233958">
      <w:bodyDiv w:val="1"/>
      <w:marLeft w:val="0"/>
      <w:marRight w:val="0"/>
      <w:marTop w:val="0"/>
      <w:marBottom w:val="0"/>
      <w:divBdr>
        <w:top w:val="none" w:sz="0" w:space="0" w:color="auto"/>
        <w:left w:val="none" w:sz="0" w:space="0" w:color="auto"/>
        <w:bottom w:val="none" w:sz="0" w:space="0" w:color="auto"/>
        <w:right w:val="none" w:sz="0" w:space="0" w:color="auto"/>
      </w:divBdr>
    </w:div>
    <w:div w:id="826476454">
      <w:bodyDiv w:val="1"/>
      <w:marLeft w:val="0"/>
      <w:marRight w:val="0"/>
      <w:marTop w:val="0"/>
      <w:marBottom w:val="0"/>
      <w:divBdr>
        <w:top w:val="none" w:sz="0" w:space="0" w:color="auto"/>
        <w:left w:val="none" w:sz="0" w:space="0" w:color="auto"/>
        <w:bottom w:val="none" w:sz="0" w:space="0" w:color="auto"/>
        <w:right w:val="none" w:sz="0" w:space="0" w:color="auto"/>
      </w:divBdr>
    </w:div>
    <w:div w:id="864100518">
      <w:bodyDiv w:val="1"/>
      <w:marLeft w:val="0"/>
      <w:marRight w:val="0"/>
      <w:marTop w:val="0"/>
      <w:marBottom w:val="0"/>
      <w:divBdr>
        <w:top w:val="none" w:sz="0" w:space="0" w:color="auto"/>
        <w:left w:val="none" w:sz="0" w:space="0" w:color="auto"/>
        <w:bottom w:val="none" w:sz="0" w:space="0" w:color="auto"/>
        <w:right w:val="none" w:sz="0" w:space="0" w:color="auto"/>
      </w:divBdr>
    </w:div>
    <w:div w:id="882445875">
      <w:bodyDiv w:val="1"/>
      <w:marLeft w:val="0"/>
      <w:marRight w:val="0"/>
      <w:marTop w:val="0"/>
      <w:marBottom w:val="0"/>
      <w:divBdr>
        <w:top w:val="none" w:sz="0" w:space="0" w:color="auto"/>
        <w:left w:val="none" w:sz="0" w:space="0" w:color="auto"/>
        <w:bottom w:val="none" w:sz="0" w:space="0" w:color="auto"/>
        <w:right w:val="none" w:sz="0" w:space="0" w:color="auto"/>
      </w:divBdr>
    </w:div>
    <w:div w:id="889153167">
      <w:bodyDiv w:val="1"/>
      <w:marLeft w:val="0"/>
      <w:marRight w:val="0"/>
      <w:marTop w:val="0"/>
      <w:marBottom w:val="0"/>
      <w:divBdr>
        <w:top w:val="none" w:sz="0" w:space="0" w:color="auto"/>
        <w:left w:val="none" w:sz="0" w:space="0" w:color="auto"/>
        <w:bottom w:val="none" w:sz="0" w:space="0" w:color="auto"/>
        <w:right w:val="none" w:sz="0" w:space="0" w:color="auto"/>
      </w:divBdr>
    </w:div>
    <w:div w:id="928847950">
      <w:bodyDiv w:val="1"/>
      <w:marLeft w:val="0"/>
      <w:marRight w:val="0"/>
      <w:marTop w:val="0"/>
      <w:marBottom w:val="0"/>
      <w:divBdr>
        <w:top w:val="none" w:sz="0" w:space="0" w:color="auto"/>
        <w:left w:val="none" w:sz="0" w:space="0" w:color="auto"/>
        <w:bottom w:val="none" w:sz="0" w:space="0" w:color="auto"/>
        <w:right w:val="none" w:sz="0" w:space="0" w:color="auto"/>
      </w:divBdr>
    </w:div>
    <w:div w:id="929922598">
      <w:bodyDiv w:val="1"/>
      <w:marLeft w:val="0"/>
      <w:marRight w:val="0"/>
      <w:marTop w:val="0"/>
      <w:marBottom w:val="0"/>
      <w:divBdr>
        <w:top w:val="none" w:sz="0" w:space="0" w:color="auto"/>
        <w:left w:val="none" w:sz="0" w:space="0" w:color="auto"/>
        <w:bottom w:val="none" w:sz="0" w:space="0" w:color="auto"/>
        <w:right w:val="none" w:sz="0" w:space="0" w:color="auto"/>
      </w:divBdr>
    </w:div>
    <w:div w:id="959264464">
      <w:bodyDiv w:val="1"/>
      <w:marLeft w:val="0"/>
      <w:marRight w:val="0"/>
      <w:marTop w:val="0"/>
      <w:marBottom w:val="0"/>
      <w:divBdr>
        <w:top w:val="none" w:sz="0" w:space="0" w:color="auto"/>
        <w:left w:val="none" w:sz="0" w:space="0" w:color="auto"/>
        <w:bottom w:val="none" w:sz="0" w:space="0" w:color="auto"/>
        <w:right w:val="none" w:sz="0" w:space="0" w:color="auto"/>
      </w:divBdr>
    </w:div>
    <w:div w:id="1032534101">
      <w:bodyDiv w:val="1"/>
      <w:marLeft w:val="0"/>
      <w:marRight w:val="0"/>
      <w:marTop w:val="0"/>
      <w:marBottom w:val="0"/>
      <w:divBdr>
        <w:top w:val="none" w:sz="0" w:space="0" w:color="auto"/>
        <w:left w:val="none" w:sz="0" w:space="0" w:color="auto"/>
        <w:bottom w:val="none" w:sz="0" w:space="0" w:color="auto"/>
        <w:right w:val="none" w:sz="0" w:space="0" w:color="auto"/>
      </w:divBdr>
    </w:div>
    <w:div w:id="1166938411">
      <w:bodyDiv w:val="1"/>
      <w:marLeft w:val="0"/>
      <w:marRight w:val="0"/>
      <w:marTop w:val="0"/>
      <w:marBottom w:val="0"/>
      <w:divBdr>
        <w:top w:val="none" w:sz="0" w:space="0" w:color="auto"/>
        <w:left w:val="none" w:sz="0" w:space="0" w:color="auto"/>
        <w:bottom w:val="none" w:sz="0" w:space="0" w:color="auto"/>
        <w:right w:val="none" w:sz="0" w:space="0" w:color="auto"/>
      </w:divBdr>
      <w:divsChild>
        <w:div w:id="1997151759">
          <w:marLeft w:val="480"/>
          <w:marRight w:val="0"/>
          <w:marTop w:val="0"/>
          <w:marBottom w:val="0"/>
          <w:divBdr>
            <w:top w:val="none" w:sz="0" w:space="0" w:color="auto"/>
            <w:left w:val="none" w:sz="0" w:space="0" w:color="auto"/>
            <w:bottom w:val="none" w:sz="0" w:space="0" w:color="auto"/>
            <w:right w:val="none" w:sz="0" w:space="0" w:color="auto"/>
          </w:divBdr>
          <w:divsChild>
            <w:div w:id="102455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01747">
      <w:bodyDiv w:val="1"/>
      <w:marLeft w:val="0"/>
      <w:marRight w:val="0"/>
      <w:marTop w:val="0"/>
      <w:marBottom w:val="0"/>
      <w:divBdr>
        <w:top w:val="none" w:sz="0" w:space="0" w:color="auto"/>
        <w:left w:val="none" w:sz="0" w:space="0" w:color="auto"/>
        <w:bottom w:val="none" w:sz="0" w:space="0" w:color="auto"/>
        <w:right w:val="none" w:sz="0" w:space="0" w:color="auto"/>
      </w:divBdr>
    </w:div>
    <w:div w:id="1234200672">
      <w:bodyDiv w:val="1"/>
      <w:marLeft w:val="0"/>
      <w:marRight w:val="0"/>
      <w:marTop w:val="0"/>
      <w:marBottom w:val="0"/>
      <w:divBdr>
        <w:top w:val="none" w:sz="0" w:space="0" w:color="auto"/>
        <w:left w:val="none" w:sz="0" w:space="0" w:color="auto"/>
        <w:bottom w:val="none" w:sz="0" w:space="0" w:color="auto"/>
        <w:right w:val="none" w:sz="0" w:space="0" w:color="auto"/>
      </w:divBdr>
    </w:div>
    <w:div w:id="1341270925">
      <w:bodyDiv w:val="1"/>
      <w:marLeft w:val="0"/>
      <w:marRight w:val="0"/>
      <w:marTop w:val="0"/>
      <w:marBottom w:val="0"/>
      <w:divBdr>
        <w:top w:val="none" w:sz="0" w:space="0" w:color="auto"/>
        <w:left w:val="none" w:sz="0" w:space="0" w:color="auto"/>
        <w:bottom w:val="none" w:sz="0" w:space="0" w:color="auto"/>
        <w:right w:val="none" w:sz="0" w:space="0" w:color="auto"/>
      </w:divBdr>
    </w:div>
    <w:div w:id="1356030718">
      <w:bodyDiv w:val="1"/>
      <w:marLeft w:val="0"/>
      <w:marRight w:val="0"/>
      <w:marTop w:val="0"/>
      <w:marBottom w:val="0"/>
      <w:divBdr>
        <w:top w:val="none" w:sz="0" w:space="0" w:color="auto"/>
        <w:left w:val="none" w:sz="0" w:space="0" w:color="auto"/>
        <w:bottom w:val="none" w:sz="0" w:space="0" w:color="auto"/>
        <w:right w:val="none" w:sz="0" w:space="0" w:color="auto"/>
      </w:divBdr>
    </w:div>
    <w:div w:id="1381826883">
      <w:bodyDiv w:val="1"/>
      <w:marLeft w:val="0"/>
      <w:marRight w:val="0"/>
      <w:marTop w:val="0"/>
      <w:marBottom w:val="0"/>
      <w:divBdr>
        <w:top w:val="none" w:sz="0" w:space="0" w:color="auto"/>
        <w:left w:val="none" w:sz="0" w:space="0" w:color="auto"/>
        <w:bottom w:val="none" w:sz="0" w:space="0" w:color="auto"/>
        <w:right w:val="none" w:sz="0" w:space="0" w:color="auto"/>
      </w:divBdr>
    </w:div>
    <w:div w:id="1386443810">
      <w:bodyDiv w:val="1"/>
      <w:marLeft w:val="0"/>
      <w:marRight w:val="0"/>
      <w:marTop w:val="0"/>
      <w:marBottom w:val="0"/>
      <w:divBdr>
        <w:top w:val="none" w:sz="0" w:space="0" w:color="auto"/>
        <w:left w:val="none" w:sz="0" w:space="0" w:color="auto"/>
        <w:bottom w:val="none" w:sz="0" w:space="0" w:color="auto"/>
        <w:right w:val="none" w:sz="0" w:space="0" w:color="auto"/>
      </w:divBdr>
    </w:div>
    <w:div w:id="1396466959">
      <w:bodyDiv w:val="1"/>
      <w:marLeft w:val="0"/>
      <w:marRight w:val="0"/>
      <w:marTop w:val="0"/>
      <w:marBottom w:val="0"/>
      <w:divBdr>
        <w:top w:val="none" w:sz="0" w:space="0" w:color="auto"/>
        <w:left w:val="none" w:sz="0" w:space="0" w:color="auto"/>
        <w:bottom w:val="none" w:sz="0" w:space="0" w:color="auto"/>
        <w:right w:val="none" w:sz="0" w:space="0" w:color="auto"/>
      </w:divBdr>
    </w:div>
    <w:div w:id="1405302888">
      <w:bodyDiv w:val="1"/>
      <w:marLeft w:val="0"/>
      <w:marRight w:val="0"/>
      <w:marTop w:val="0"/>
      <w:marBottom w:val="0"/>
      <w:divBdr>
        <w:top w:val="none" w:sz="0" w:space="0" w:color="auto"/>
        <w:left w:val="none" w:sz="0" w:space="0" w:color="auto"/>
        <w:bottom w:val="none" w:sz="0" w:space="0" w:color="auto"/>
        <w:right w:val="none" w:sz="0" w:space="0" w:color="auto"/>
      </w:divBdr>
    </w:div>
    <w:div w:id="1414160523">
      <w:bodyDiv w:val="1"/>
      <w:marLeft w:val="0"/>
      <w:marRight w:val="0"/>
      <w:marTop w:val="0"/>
      <w:marBottom w:val="0"/>
      <w:divBdr>
        <w:top w:val="none" w:sz="0" w:space="0" w:color="auto"/>
        <w:left w:val="none" w:sz="0" w:space="0" w:color="auto"/>
        <w:bottom w:val="none" w:sz="0" w:space="0" w:color="auto"/>
        <w:right w:val="none" w:sz="0" w:space="0" w:color="auto"/>
      </w:divBdr>
    </w:div>
    <w:div w:id="1468545084">
      <w:bodyDiv w:val="1"/>
      <w:marLeft w:val="0"/>
      <w:marRight w:val="0"/>
      <w:marTop w:val="0"/>
      <w:marBottom w:val="0"/>
      <w:divBdr>
        <w:top w:val="none" w:sz="0" w:space="0" w:color="auto"/>
        <w:left w:val="none" w:sz="0" w:space="0" w:color="auto"/>
        <w:bottom w:val="none" w:sz="0" w:space="0" w:color="auto"/>
        <w:right w:val="none" w:sz="0" w:space="0" w:color="auto"/>
      </w:divBdr>
    </w:div>
    <w:div w:id="1502692934">
      <w:bodyDiv w:val="1"/>
      <w:marLeft w:val="0"/>
      <w:marRight w:val="0"/>
      <w:marTop w:val="0"/>
      <w:marBottom w:val="0"/>
      <w:divBdr>
        <w:top w:val="none" w:sz="0" w:space="0" w:color="auto"/>
        <w:left w:val="none" w:sz="0" w:space="0" w:color="auto"/>
        <w:bottom w:val="none" w:sz="0" w:space="0" w:color="auto"/>
        <w:right w:val="none" w:sz="0" w:space="0" w:color="auto"/>
      </w:divBdr>
    </w:div>
    <w:div w:id="1515195216">
      <w:bodyDiv w:val="1"/>
      <w:marLeft w:val="0"/>
      <w:marRight w:val="0"/>
      <w:marTop w:val="0"/>
      <w:marBottom w:val="0"/>
      <w:divBdr>
        <w:top w:val="none" w:sz="0" w:space="0" w:color="auto"/>
        <w:left w:val="none" w:sz="0" w:space="0" w:color="auto"/>
        <w:bottom w:val="none" w:sz="0" w:space="0" w:color="auto"/>
        <w:right w:val="none" w:sz="0" w:space="0" w:color="auto"/>
      </w:divBdr>
    </w:div>
    <w:div w:id="1613123323">
      <w:bodyDiv w:val="1"/>
      <w:marLeft w:val="0"/>
      <w:marRight w:val="0"/>
      <w:marTop w:val="0"/>
      <w:marBottom w:val="0"/>
      <w:divBdr>
        <w:top w:val="none" w:sz="0" w:space="0" w:color="auto"/>
        <w:left w:val="none" w:sz="0" w:space="0" w:color="auto"/>
        <w:bottom w:val="none" w:sz="0" w:space="0" w:color="auto"/>
        <w:right w:val="none" w:sz="0" w:space="0" w:color="auto"/>
      </w:divBdr>
    </w:div>
    <w:div w:id="1626427042">
      <w:bodyDiv w:val="1"/>
      <w:marLeft w:val="0"/>
      <w:marRight w:val="0"/>
      <w:marTop w:val="0"/>
      <w:marBottom w:val="0"/>
      <w:divBdr>
        <w:top w:val="none" w:sz="0" w:space="0" w:color="auto"/>
        <w:left w:val="none" w:sz="0" w:space="0" w:color="auto"/>
        <w:bottom w:val="none" w:sz="0" w:space="0" w:color="auto"/>
        <w:right w:val="none" w:sz="0" w:space="0" w:color="auto"/>
      </w:divBdr>
    </w:div>
    <w:div w:id="1644657752">
      <w:bodyDiv w:val="1"/>
      <w:marLeft w:val="0"/>
      <w:marRight w:val="0"/>
      <w:marTop w:val="0"/>
      <w:marBottom w:val="0"/>
      <w:divBdr>
        <w:top w:val="none" w:sz="0" w:space="0" w:color="auto"/>
        <w:left w:val="none" w:sz="0" w:space="0" w:color="auto"/>
        <w:bottom w:val="none" w:sz="0" w:space="0" w:color="auto"/>
        <w:right w:val="none" w:sz="0" w:space="0" w:color="auto"/>
      </w:divBdr>
    </w:div>
    <w:div w:id="1689066328">
      <w:bodyDiv w:val="1"/>
      <w:marLeft w:val="0"/>
      <w:marRight w:val="0"/>
      <w:marTop w:val="0"/>
      <w:marBottom w:val="0"/>
      <w:divBdr>
        <w:top w:val="none" w:sz="0" w:space="0" w:color="auto"/>
        <w:left w:val="none" w:sz="0" w:space="0" w:color="auto"/>
        <w:bottom w:val="none" w:sz="0" w:space="0" w:color="auto"/>
        <w:right w:val="none" w:sz="0" w:space="0" w:color="auto"/>
      </w:divBdr>
    </w:div>
    <w:div w:id="1699888214">
      <w:bodyDiv w:val="1"/>
      <w:marLeft w:val="0"/>
      <w:marRight w:val="0"/>
      <w:marTop w:val="0"/>
      <w:marBottom w:val="0"/>
      <w:divBdr>
        <w:top w:val="none" w:sz="0" w:space="0" w:color="auto"/>
        <w:left w:val="none" w:sz="0" w:space="0" w:color="auto"/>
        <w:bottom w:val="none" w:sz="0" w:space="0" w:color="auto"/>
        <w:right w:val="none" w:sz="0" w:space="0" w:color="auto"/>
      </w:divBdr>
    </w:div>
    <w:div w:id="1786577810">
      <w:bodyDiv w:val="1"/>
      <w:marLeft w:val="0"/>
      <w:marRight w:val="0"/>
      <w:marTop w:val="0"/>
      <w:marBottom w:val="0"/>
      <w:divBdr>
        <w:top w:val="none" w:sz="0" w:space="0" w:color="auto"/>
        <w:left w:val="none" w:sz="0" w:space="0" w:color="auto"/>
        <w:bottom w:val="none" w:sz="0" w:space="0" w:color="auto"/>
        <w:right w:val="none" w:sz="0" w:space="0" w:color="auto"/>
      </w:divBdr>
    </w:div>
    <w:div w:id="1870334047">
      <w:bodyDiv w:val="1"/>
      <w:marLeft w:val="0"/>
      <w:marRight w:val="0"/>
      <w:marTop w:val="0"/>
      <w:marBottom w:val="0"/>
      <w:divBdr>
        <w:top w:val="none" w:sz="0" w:space="0" w:color="auto"/>
        <w:left w:val="none" w:sz="0" w:space="0" w:color="auto"/>
        <w:bottom w:val="none" w:sz="0" w:space="0" w:color="auto"/>
        <w:right w:val="none" w:sz="0" w:space="0" w:color="auto"/>
      </w:divBdr>
    </w:div>
    <w:div w:id="1885602831">
      <w:bodyDiv w:val="1"/>
      <w:marLeft w:val="0"/>
      <w:marRight w:val="0"/>
      <w:marTop w:val="0"/>
      <w:marBottom w:val="0"/>
      <w:divBdr>
        <w:top w:val="none" w:sz="0" w:space="0" w:color="auto"/>
        <w:left w:val="none" w:sz="0" w:space="0" w:color="auto"/>
        <w:bottom w:val="none" w:sz="0" w:space="0" w:color="auto"/>
        <w:right w:val="none" w:sz="0" w:space="0" w:color="auto"/>
      </w:divBdr>
    </w:div>
    <w:div w:id="1901936498">
      <w:bodyDiv w:val="1"/>
      <w:marLeft w:val="0"/>
      <w:marRight w:val="0"/>
      <w:marTop w:val="0"/>
      <w:marBottom w:val="0"/>
      <w:divBdr>
        <w:top w:val="none" w:sz="0" w:space="0" w:color="auto"/>
        <w:left w:val="none" w:sz="0" w:space="0" w:color="auto"/>
        <w:bottom w:val="none" w:sz="0" w:space="0" w:color="auto"/>
        <w:right w:val="none" w:sz="0" w:space="0" w:color="auto"/>
      </w:divBdr>
    </w:div>
    <w:div w:id="1904178947">
      <w:bodyDiv w:val="1"/>
      <w:marLeft w:val="0"/>
      <w:marRight w:val="0"/>
      <w:marTop w:val="0"/>
      <w:marBottom w:val="0"/>
      <w:divBdr>
        <w:top w:val="none" w:sz="0" w:space="0" w:color="auto"/>
        <w:left w:val="none" w:sz="0" w:space="0" w:color="auto"/>
        <w:bottom w:val="none" w:sz="0" w:space="0" w:color="auto"/>
        <w:right w:val="none" w:sz="0" w:space="0" w:color="auto"/>
      </w:divBdr>
    </w:div>
    <w:div w:id="1917473380">
      <w:bodyDiv w:val="1"/>
      <w:marLeft w:val="0"/>
      <w:marRight w:val="0"/>
      <w:marTop w:val="0"/>
      <w:marBottom w:val="0"/>
      <w:divBdr>
        <w:top w:val="none" w:sz="0" w:space="0" w:color="auto"/>
        <w:left w:val="none" w:sz="0" w:space="0" w:color="auto"/>
        <w:bottom w:val="none" w:sz="0" w:space="0" w:color="auto"/>
        <w:right w:val="none" w:sz="0" w:space="0" w:color="auto"/>
      </w:divBdr>
    </w:div>
    <w:div w:id="1931815651">
      <w:bodyDiv w:val="1"/>
      <w:marLeft w:val="0"/>
      <w:marRight w:val="0"/>
      <w:marTop w:val="0"/>
      <w:marBottom w:val="0"/>
      <w:divBdr>
        <w:top w:val="none" w:sz="0" w:space="0" w:color="auto"/>
        <w:left w:val="none" w:sz="0" w:space="0" w:color="auto"/>
        <w:bottom w:val="none" w:sz="0" w:space="0" w:color="auto"/>
        <w:right w:val="none" w:sz="0" w:space="0" w:color="auto"/>
      </w:divBdr>
    </w:div>
    <w:div w:id="1953366420">
      <w:bodyDiv w:val="1"/>
      <w:marLeft w:val="0"/>
      <w:marRight w:val="0"/>
      <w:marTop w:val="0"/>
      <w:marBottom w:val="0"/>
      <w:divBdr>
        <w:top w:val="none" w:sz="0" w:space="0" w:color="auto"/>
        <w:left w:val="none" w:sz="0" w:space="0" w:color="auto"/>
        <w:bottom w:val="none" w:sz="0" w:space="0" w:color="auto"/>
        <w:right w:val="none" w:sz="0" w:space="0" w:color="auto"/>
      </w:divBdr>
    </w:div>
    <w:div w:id="1968077118">
      <w:bodyDiv w:val="1"/>
      <w:marLeft w:val="0"/>
      <w:marRight w:val="0"/>
      <w:marTop w:val="0"/>
      <w:marBottom w:val="0"/>
      <w:divBdr>
        <w:top w:val="none" w:sz="0" w:space="0" w:color="auto"/>
        <w:left w:val="none" w:sz="0" w:space="0" w:color="auto"/>
        <w:bottom w:val="none" w:sz="0" w:space="0" w:color="auto"/>
        <w:right w:val="none" w:sz="0" w:space="0" w:color="auto"/>
      </w:divBdr>
    </w:div>
    <w:div w:id="1996259019">
      <w:bodyDiv w:val="1"/>
      <w:marLeft w:val="0"/>
      <w:marRight w:val="0"/>
      <w:marTop w:val="0"/>
      <w:marBottom w:val="0"/>
      <w:divBdr>
        <w:top w:val="none" w:sz="0" w:space="0" w:color="auto"/>
        <w:left w:val="none" w:sz="0" w:space="0" w:color="auto"/>
        <w:bottom w:val="none" w:sz="0" w:space="0" w:color="auto"/>
        <w:right w:val="none" w:sz="0" w:space="0" w:color="auto"/>
      </w:divBdr>
    </w:div>
    <w:div w:id="2003116882">
      <w:bodyDiv w:val="1"/>
      <w:marLeft w:val="0"/>
      <w:marRight w:val="0"/>
      <w:marTop w:val="0"/>
      <w:marBottom w:val="0"/>
      <w:divBdr>
        <w:top w:val="none" w:sz="0" w:space="0" w:color="auto"/>
        <w:left w:val="none" w:sz="0" w:space="0" w:color="auto"/>
        <w:bottom w:val="none" w:sz="0" w:space="0" w:color="auto"/>
        <w:right w:val="none" w:sz="0" w:space="0" w:color="auto"/>
      </w:divBdr>
    </w:div>
    <w:div w:id="2011365645">
      <w:bodyDiv w:val="1"/>
      <w:marLeft w:val="0"/>
      <w:marRight w:val="0"/>
      <w:marTop w:val="0"/>
      <w:marBottom w:val="0"/>
      <w:divBdr>
        <w:top w:val="none" w:sz="0" w:space="0" w:color="auto"/>
        <w:left w:val="none" w:sz="0" w:space="0" w:color="auto"/>
        <w:bottom w:val="none" w:sz="0" w:space="0" w:color="auto"/>
        <w:right w:val="none" w:sz="0" w:space="0" w:color="auto"/>
      </w:divBdr>
    </w:div>
    <w:div w:id="2039305751">
      <w:bodyDiv w:val="1"/>
      <w:marLeft w:val="0"/>
      <w:marRight w:val="0"/>
      <w:marTop w:val="0"/>
      <w:marBottom w:val="0"/>
      <w:divBdr>
        <w:top w:val="none" w:sz="0" w:space="0" w:color="auto"/>
        <w:left w:val="none" w:sz="0" w:space="0" w:color="auto"/>
        <w:bottom w:val="none" w:sz="0" w:space="0" w:color="auto"/>
        <w:right w:val="none" w:sz="0" w:space="0" w:color="auto"/>
      </w:divBdr>
    </w:div>
    <w:div w:id="2073117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68.png"/><Relationship Id="rId89" Type="http://schemas.openxmlformats.org/officeDocument/2006/relationships/footer" Target="footer2.xml"/><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4.png"/><Relationship Id="rId58" Type="http://schemas.openxmlformats.org/officeDocument/2006/relationships/chart" Target="charts/chart5.xml"/><Relationship Id="rId74" Type="http://schemas.openxmlformats.org/officeDocument/2006/relationships/chart" Target="charts/chart6.xml"/><Relationship Id="rId79" Type="http://schemas.openxmlformats.org/officeDocument/2006/relationships/image" Target="media/image63.png"/><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chart" Target="charts/chart3.xml"/><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58.png"/><Relationship Id="rId80" Type="http://schemas.openxmlformats.org/officeDocument/2006/relationships/image" Target="media/image64.png"/><Relationship Id="rId85" Type="http://schemas.openxmlformats.org/officeDocument/2006/relationships/image" Target="media/image69.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jpe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chart" Target="charts/chart1.xml"/><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chart" Target="charts/chart7.xml"/><Relationship Id="rId83" Type="http://schemas.openxmlformats.org/officeDocument/2006/relationships/image" Target="media/image67.png"/><Relationship Id="rId88" Type="http://schemas.openxmlformats.org/officeDocument/2006/relationships/header" Target="header2.xml"/><Relationship Id="rId9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chart" Target="charts/chart4.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cid:image001.png@01D8C68F.1CDC1D00" TargetMode="External"/><Relationship Id="rId34" Type="http://schemas.openxmlformats.org/officeDocument/2006/relationships/image" Target="media/image26.png"/><Relationship Id="rId50" Type="http://schemas.openxmlformats.org/officeDocument/2006/relationships/image" Target="media/image41.png"/><Relationship Id="rId55" Type="http://schemas.openxmlformats.org/officeDocument/2006/relationships/chart" Target="charts/chart2.xml"/><Relationship Id="rId76" Type="http://schemas.openxmlformats.org/officeDocument/2006/relationships/image" Target="media/image60.png"/><Relationship Id="rId7" Type="http://schemas.openxmlformats.org/officeDocument/2006/relationships/footnotes" Target="footnotes.xml"/><Relationship Id="rId71" Type="http://schemas.openxmlformats.org/officeDocument/2006/relationships/image" Target="media/image57.png"/><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2.png"/><Relationship Id="rId87" Type="http://schemas.openxmlformats.org/officeDocument/2006/relationships/footer" Target="footer1.xml"/><Relationship Id="rId61" Type="http://schemas.openxmlformats.org/officeDocument/2006/relationships/image" Target="media/image47.png"/><Relationship Id="rId82" Type="http://schemas.openxmlformats.org/officeDocument/2006/relationships/image" Target="media/image66.png"/><Relationship Id="rId19"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1" Type="http://schemas.openxmlformats.org/officeDocument/2006/relationships/oleObject" Target="https://d.docs.live.net/6a0dd0e7ac25d7b2/Desktop/University/Masters%20final%20project/Biochar%20analysis/Biochar%20analysi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d.docs.live.net/6a0dd0e7ac25d7b2/Desktop/University/Masters%20final%20project/Biochar%20analysis/Biochar%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Burnout efficiency</a:t>
            </a:r>
          </a:p>
        </c:rich>
      </c:tx>
      <c:layout>
        <c:manualLayout>
          <c:xMode val="edge"/>
          <c:yMode val="edge"/>
          <c:x val="0.27159011373578307"/>
          <c:y val="2.7777777777777776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1"/>
          <c:order val="0"/>
          <c:tx>
            <c:strRef>
              <c:f>'[Biochar analysis.xlsx]GCI'!$O$3</c:f>
              <c:strCache>
                <c:ptCount val="1"/>
                <c:pt idx="0">
                  <c:v>T - Coal</c:v>
                </c:pt>
              </c:strCache>
            </c:strRef>
          </c:tx>
          <c:spPr>
            <a:ln w="38100" cap="rnd">
              <a:solidFill>
                <a:schemeClr val="accent2"/>
              </a:solidFill>
              <a:round/>
            </a:ln>
            <a:effectLst/>
          </c:spPr>
          <c:marker>
            <c:symbol val="none"/>
          </c:marker>
          <c:cat>
            <c:strRef>
              <c:f>'[Biochar analysis.xlsx]GCI'!$N$4:$N$5</c:f>
              <c:strCache>
                <c:ptCount val="2"/>
                <c:pt idx="0">
                  <c:v>35ms</c:v>
                </c:pt>
                <c:pt idx="1">
                  <c:v>700ms</c:v>
                </c:pt>
              </c:strCache>
            </c:strRef>
          </c:cat>
          <c:val>
            <c:numRef>
              <c:f>'[Biochar analysis.xlsx]GCI'!$O$4:$O$5</c:f>
              <c:numCache>
                <c:formatCode>General</c:formatCode>
                <c:ptCount val="2"/>
                <c:pt idx="0">
                  <c:v>13.3</c:v>
                </c:pt>
                <c:pt idx="1">
                  <c:v>58.7</c:v>
                </c:pt>
              </c:numCache>
            </c:numRef>
          </c:val>
          <c:smooth val="0"/>
          <c:extLst>
            <c:ext xmlns:c16="http://schemas.microsoft.com/office/drawing/2014/chart" uri="{C3380CC4-5D6E-409C-BE32-E72D297353CC}">
              <c16:uniqueId val="{00000000-444D-42F5-9080-2BBCB41BA72C}"/>
            </c:ext>
          </c:extLst>
        </c:ser>
        <c:ser>
          <c:idx val="2"/>
          <c:order val="1"/>
          <c:tx>
            <c:strRef>
              <c:f>'[Biochar analysis.xlsx]GCI'!$P$3</c:f>
              <c:strCache>
                <c:ptCount val="1"/>
                <c:pt idx="0">
                  <c:v>Biochar 1</c:v>
                </c:pt>
              </c:strCache>
            </c:strRef>
          </c:tx>
          <c:spPr>
            <a:ln w="38100" cap="rnd">
              <a:solidFill>
                <a:schemeClr val="accent3"/>
              </a:solidFill>
              <a:round/>
            </a:ln>
            <a:effectLst/>
          </c:spPr>
          <c:marker>
            <c:symbol val="none"/>
          </c:marker>
          <c:cat>
            <c:strRef>
              <c:f>'[Biochar analysis.xlsx]GCI'!$N$4:$N$5</c:f>
              <c:strCache>
                <c:ptCount val="2"/>
                <c:pt idx="0">
                  <c:v>35ms</c:v>
                </c:pt>
                <c:pt idx="1">
                  <c:v>700ms</c:v>
                </c:pt>
              </c:strCache>
            </c:strRef>
          </c:cat>
          <c:val>
            <c:numRef>
              <c:f>'[Biochar analysis.xlsx]GCI'!$P$4:$P$5</c:f>
              <c:numCache>
                <c:formatCode>General</c:formatCode>
                <c:ptCount val="2"/>
                <c:pt idx="0">
                  <c:v>46.09</c:v>
                </c:pt>
                <c:pt idx="1">
                  <c:v>86.01</c:v>
                </c:pt>
              </c:numCache>
            </c:numRef>
          </c:val>
          <c:smooth val="0"/>
          <c:extLst>
            <c:ext xmlns:c16="http://schemas.microsoft.com/office/drawing/2014/chart" uri="{C3380CC4-5D6E-409C-BE32-E72D297353CC}">
              <c16:uniqueId val="{00000001-444D-42F5-9080-2BBCB41BA72C}"/>
            </c:ext>
          </c:extLst>
        </c:ser>
        <c:ser>
          <c:idx val="0"/>
          <c:order val="2"/>
          <c:tx>
            <c:strRef>
              <c:f>'[Biochar analysis.xlsx]GCI'!$Q$3</c:f>
              <c:strCache>
                <c:ptCount val="1"/>
                <c:pt idx="0">
                  <c:v>Biochar 2</c:v>
                </c:pt>
              </c:strCache>
            </c:strRef>
          </c:tx>
          <c:spPr>
            <a:ln w="38100" cap="rnd">
              <a:solidFill>
                <a:schemeClr val="accent1"/>
              </a:solidFill>
              <a:round/>
            </a:ln>
            <a:effectLst/>
          </c:spPr>
          <c:marker>
            <c:symbol val="none"/>
          </c:marker>
          <c:cat>
            <c:strRef>
              <c:f>'[Biochar analysis.xlsx]GCI'!$N$4:$N$5</c:f>
              <c:strCache>
                <c:ptCount val="2"/>
                <c:pt idx="0">
                  <c:v>35ms</c:v>
                </c:pt>
                <c:pt idx="1">
                  <c:v>700ms</c:v>
                </c:pt>
              </c:strCache>
            </c:strRef>
          </c:cat>
          <c:val>
            <c:numRef>
              <c:f>'[Biochar analysis.xlsx]GCI'!$Q$4:$Q$5</c:f>
              <c:numCache>
                <c:formatCode>General</c:formatCode>
                <c:ptCount val="2"/>
                <c:pt idx="0">
                  <c:v>71.97</c:v>
                </c:pt>
                <c:pt idx="1">
                  <c:v>91.47</c:v>
                </c:pt>
              </c:numCache>
            </c:numRef>
          </c:val>
          <c:smooth val="0"/>
          <c:extLst>
            <c:ext xmlns:c16="http://schemas.microsoft.com/office/drawing/2014/chart" uri="{C3380CC4-5D6E-409C-BE32-E72D297353CC}">
              <c16:uniqueId val="{00000002-444D-42F5-9080-2BBCB41BA72C}"/>
            </c:ext>
          </c:extLst>
        </c:ser>
        <c:dLbls>
          <c:showLegendKey val="0"/>
          <c:showVal val="0"/>
          <c:showCatName val="0"/>
          <c:showSerName val="0"/>
          <c:showPercent val="0"/>
          <c:showBubbleSize val="0"/>
        </c:dLbls>
        <c:smooth val="0"/>
        <c:axId val="1713679216"/>
        <c:axId val="1713676720"/>
      </c:lineChart>
      <c:catAx>
        <c:axId val="17136792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Residence time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13676720"/>
        <c:crosses val="autoZero"/>
        <c:auto val="1"/>
        <c:lblAlgn val="ctr"/>
        <c:lblOffset val="100"/>
        <c:noMultiLvlLbl val="0"/>
      </c:catAx>
      <c:valAx>
        <c:axId val="17136767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Burnout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3679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Cold</a:t>
            </a:r>
            <a:r>
              <a:rPr lang="en-GB" baseline="0"/>
              <a:t> strength and abrasion index - Biochar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'[Biochar analysis.xlsx]Pilot oven'!$B$36</c:f>
              <c:strCache>
                <c:ptCount val="1"/>
                <c:pt idx="0">
                  <c:v>M10</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'[Biochar analysis.xlsx]Pilot oven'!$C$34:$F$34</c:f>
              <c:strCache>
                <c:ptCount val="4"/>
                <c:pt idx="0">
                  <c:v>Riverside 100%</c:v>
                </c:pt>
                <c:pt idx="1">
                  <c:v>Biochar 3%</c:v>
                </c:pt>
                <c:pt idx="2">
                  <c:v>Biochar 5%</c:v>
                </c:pt>
                <c:pt idx="3">
                  <c:v>Biochar 7.5%</c:v>
                </c:pt>
              </c:strCache>
            </c:strRef>
          </c:cat>
          <c:val>
            <c:numRef>
              <c:f>'[Biochar analysis.xlsx]Pilot oven'!$C$36:$F$36</c:f>
              <c:numCache>
                <c:formatCode>General</c:formatCode>
                <c:ptCount val="4"/>
                <c:pt idx="0">
                  <c:v>7</c:v>
                </c:pt>
                <c:pt idx="1">
                  <c:v>7.06</c:v>
                </c:pt>
                <c:pt idx="2">
                  <c:v>7.38</c:v>
                </c:pt>
                <c:pt idx="3">
                  <c:v>8.34</c:v>
                </c:pt>
              </c:numCache>
            </c:numRef>
          </c:val>
          <c:smooth val="0"/>
          <c:extLst>
            <c:ext xmlns:c16="http://schemas.microsoft.com/office/drawing/2014/chart" uri="{C3380CC4-5D6E-409C-BE32-E72D297353CC}">
              <c16:uniqueId val="{00000000-0EB7-40C2-BF36-D4CEAA34AE89}"/>
            </c:ext>
          </c:extLst>
        </c:ser>
        <c:dLbls>
          <c:showLegendKey val="0"/>
          <c:showVal val="0"/>
          <c:showCatName val="0"/>
          <c:showSerName val="0"/>
          <c:showPercent val="0"/>
          <c:showBubbleSize val="0"/>
        </c:dLbls>
        <c:marker val="1"/>
        <c:smooth val="0"/>
        <c:axId val="1719927503"/>
        <c:axId val="1719927919"/>
      </c:lineChart>
      <c:lineChart>
        <c:grouping val="standard"/>
        <c:varyColors val="0"/>
        <c:ser>
          <c:idx val="0"/>
          <c:order val="0"/>
          <c:tx>
            <c:strRef>
              <c:f>'[Biochar analysis.xlsx]Pilot oven'!$B$35</c:f>
              <c:strCache>
                <c:ptCount val="1"/>
                <c:pt idx="0">
                  <c:v>M40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analysis.xlsx]Pilot oven'!$C$34:$F$34</c:f>
              <c:strCache>
                <c:ptCount val="4"/>
                <c:pt idx="0">
                  <c:v>Riverside 100%</c:v>
                </c:pt>
                <c:pt idx="1">
                  <c:v>Biochar 3%</c:v>
                </c:pt>
                <c:pt idx="2">
                  <c:v>Biochar 5%</c:v>
                </c:pt>
                <c:pt idx="3">
                  <c:v>Biochar 7.5%</c:v>
                </c:pt>
              </c:strCache>
            </c:strRef>
          </c:cat>
          <c:val>
            <c:numRef>
              <c:f>'[Biochar analysis.xlsx]Pilot oven'!$C$35:$F$35</c:f>
              <c:numCache>
                <c:formatCode>General</c:formatCode>
                <c:ptCount val="4"/>
                <c:pt idx="0">
                  <c:v>77.75</c:v>
                </c:pt>
                <c:pt idx="1">
                  <c:v>76.2</c:v>
                </c:pt>
                <c:pt idx="2">
                  <c:v>76.760000000000005</c:v>
                </c:pt>
                <c:pt idx="3">
                  <c:v>72.599999999999994</c:v>
                </c:pt>
              </c:numCache>
            </c:numRef>
          </c:val>
          <c:smooth val="0"/>
          <c:extLst>
            <c:ext xmlns:c16="http://schemas.microsoft.com/office/drawing/2014/chart" uri="{C3380CC4-5D6E-409C-BE32-E72D297353CC}">
              <c16:uniqueId val="{00000001-0EB7-40C2-BF36-D4CEAA34AE89}"/>
            </c:ext>
          </c:extLst>
        </c:ser>
        <c:dLbls>
          <c:showLegendKey val="0"/>
          <c:showVal val="0"/>
          <c:showCatName val="0"/>
          <c:showSerName val="0"/>
          <c:showPercent val="0"/>
          <c:showBubbleSize val="0"/>
        </c:dLbls>
        <c:marker val="1"/>
        <c:smooth val="0"/>
        <c:axId val="1719930831"/>
        <c:axId val="1719922927"/>
      </c:lineChart>
      <c:catAx>
        <c:axId val="17199275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Coke</a:t>
                </a:r>
                <a:r>
                  <a:rPr lang="en-GB" baseline="0"/>
                  <a:t> quality indices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9927919"/>
        <c:crosses val="autoZero"/>
        <c:auto val="1"/>
        <c:lblAlgn val="ctr"/>
        <c:lblOffset val="100"/>
        <c:noMultiLvlLbl val="0"/>
      </c:catAx>
      <c:valAx>
        <c:axId val="1719927919"/>
        <c:scaling>
          <c:orientation val="minMax"/>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M10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9927503"/>
        <c:crosses val="autoZero"/>
        <c:crossBetween val="between"/>
      </c:valAx>
      <c:valAx>
        <c:axId val="1719922927"/>
        <c:scaling>
          <c:orientation val="minMax"/>
          <c:min val="71"/>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M40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9930831"/>
        <c:crosses val="max"/>
        <c:crossBetween val="between"/>
      </c:valAx>
      <c:catAx>
        <c:axId val="1719930831"/>
        <c:scaling>
          <c:orientation val="minMax"/>
        </c:scaling>
        <c:delete val="1"/>
        <c:axPos val="b"/>
        <c:numFmt formatCode="General" sourceLinked="1"/>
        <c:majorTickMark val="out"/>
        <c:minorTickMark val="none"/>
        <c:tickLblPos val="nextTo"/>
        <c:crossAx val="171992292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Cold strength</a:t>
            </a:r>
            <a:r>
              <a:rPr lang="en-GB" baseline="0"/>
              <a:t> and abrasion index - Biochar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'[Biochar analysis.xlsx]Pilot oven'!$H$36</c:f>
              <c:strCache>
                <c:ptCount val="1"/>
                <c:pt idx="0">
                  <c:v>M10</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'[Biochar analysis.xlsx]Pilot oven'!$I$34:$L$34</c:f>
              <c:strCache>
                <c:ptCount val="4"/>
                <c:pt idx="0">
                  <c:v>Riverside 100%</c:v>
                </c:pt>
                <c:pt idx="1">
                  <c:v>Biochar 3%</c:v>
                </c:pt>
                <c:pt idx="2">
                  <c:v>Biochar 5%</c:v>
                </c:pt>
                <c:pt idx="3">
                  <c:v>Biochar 7.5%</c:v>
                </c:pt>
              </c:strCache>
            </c:strRef>
          </c:cat>
          <c:val>
            <c:numRef>
              <c:f>'[Biochar analysis.xlsx]Pilot oven'!$I$36:$L$36</c:f>
              <c:numCache>
                <c:formatCode>General</c:formatCode>
                <c:ptCount val="4"/>
                <c:pt idx="0">
                  <c:v>7</c:v>
                </c:pt>
                <c:pt idx="1">
                  <c:v>7.28</c:v>
                </c:pt>
                <c:pt idx="2">
                  <c:v>8.64</c:v>
                </c:pt>
                <c:pt idx="3">
                  <c:v>19.989999999999998</c:v>
                </c:pt>
              </c:numCache>
            </c:numRef>
          </c:val>
          <c:smooth val="0"/>
          <c:extLst>
            <c:ext xmlns:c16="http://schemas.microsoft.com/office/drawing/2014/chart" uri="{C3380CC4-5D6E-409C-BE32-E72D297353CC}">
              <c16:uniqueId val="{00000000-D42C-4583-B6EA-D3A4F60DFF9E}"/>
            </c:ext>
          </c:extLst>
        </c:ser>
        <c:dLbls>
          <c:showLegendKey val="0"/>
          <c:showVal val="0"/>
          <c:showCatName val="0"/>
          <c:showSerName val="0"/>
          <c:showPercent val="0"/>
          <c:showBubbleSize val="0"/>
        </c:dLbls>
        <c:marker val="1"/>
        <c:smooth val="0"/>
        <c:axId val="1686159759"/>
        <c:axId val="1686161423"/>
      </c:lineChart>
      <c:lineChart>
        <c:grouping val="standard"/>
        <c:varyColors val="0"/>
        <c:ser>
          <c:idx val="0"/>
          <c:order val="0"/>
          <c:tx>
            <c:strRef>
              <c:f>'[Biochar analysis.xlsx]Pilot oven'!$H$35</c:f>
              <c:strCache>
                <c:ptCount val="1"/>
                <c:pt idx="0">
                  <c:v>M40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analysis.xlsx]Pilot oven'!$I$34:$L$34</c:f>
              <c:strCache>
                <c:ptCount val="4"/>
                <c:pt idx="0">
                  <c:v>Riverside 100%</c:v>
                </c:pt>
                <c:pt idx="1">
                  <c:v>Biochar 3%</c:v>
                </c:pt>
                <c:pt idx="2">
                  <c:v>Biochar 5%</c:v>
                </c:pt>
                <c:pt idx="3">
                  <c:v>Biochar 7.5%</c:v>
                </c:pt>
              </c:strCache>
            </c:strRef>
          </c:cat>
          <c:val>
            <c:numRef>
              <c:f>'[Biochar analysis.xlsx]Pilot oven'!$I$35:$L$35</c:f>
              <c:numCache>
                <c:formatCode>General</c:formatCode>
                <c:ptCount val="4"/>
                <c:pt idx="0">
                  <c:v>77.75</c:v>
                </c:pt>
                <c:pt idx="1">
                  <c:v>78.180000000000007</c:v>
                </c:pt>
                <c:pt idx="2">
                  <c:v>73.099999999999994</c:v>
                </c:pt>
                <c:pt idx="3">
                  <c:v>61.8</c:v>
                </c:pt>
              </c:numCache>
            </c:numRef>
          </c:val>
          <c:smooth val="0"/>
          <c:extLst>
            <c:ext xmlns:c16="http://schemas.microsoft.com/office/drawing/2014/chart" uri="{C3380CC4-5D6E-409C-BE32-E72D297353CC}">
              <c16:uniqueId val="{00000001-D42C-4583-B6EA-D3A4F60DFF9E}"/>
            </c:ext>
          </c:extLst>
        </c:ser>
        <c:dLbls>
          <c:showLegendKey val="0"/>
          <c:showVal val="0"/>
          <c:showCatName val="0"/>
          <c:showSerName val="0"/>
          <c:showPercent val="0"/>
          <c:showBubbleSize val="0"/>
        </c:dLbls>
        <c:marker val="1"/>
        <c:smooth val="0"/>
        <c:axId val="1705886047"/>
        <c:axId val="1705891871"/>
      </c:lineChart>
      <c:catAx>
        <c:axId val="16861597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Coke quality indices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161423"/>
        <c:crosses val="autoZero"/>
        <c:auto val="1"/>
        <c:lblAlgn val="ctr"/>
        <c:lblOffset val="100"/>
        <c:noMultiLvlLbl val="0"/>
      </c:catAx>
      <c:valAx>
        <c:axId val="1686161423"/>
        <c:scaling>
          <c:orientation val="minMax"/>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M10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159759"/>
        <c:crosses val="autoZero"/>
        <c:crossBetween val="between"/>
      </c:valAx>
      <c:valAx>
        <c:axId val="1705891871"/>
        <c:scaling>
          <c:orientation val="minMax"/>
          <c:min val="5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M40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886047"/>
        <c:crosses val="max"/>
        <c:crossBetween val="between"/>
      </c:valAx>
      <c:catAx>
        <c:axId val="1705886047"/>
        <c:scaling>
          <c:orientation val="minMax"/>
        </c:scaling>
        <c:delete val="1"/>
        <c:axPos val="b"/>
        <c:numFmt formatCode="General" sourceLinked="1"/>
        <c:majorTickMark val="out"/>
        <c:minorTickMark val="none"/>
        <c:tickLblPos val="nextTo"/>
        <c:crossAx val="1705891871"/>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Hot strength and reactivity - Biochar</a:t>
            </a:r>
            <a:r>
              <a:rPr lang="en-GB" baseline="0"/>
              <a:t>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'[Biochar analysis.xlsx]Pilot oven'!$B$17</c:f>
              <c:strCache>
                <c:ptCount val="1"/>
                <c:pt idx="0">
                  <c:v>CRI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'[Biochar analysis.xlsx]Pilot oven'!$C$15:$F$15</c:f>
              <c:strCache>
                <c:ptCount val="4"/>
                <c:pt idx="0">
                  <c:v>Riverside 100%</c:v>
                </c:pt>
                <c:pt idx="1">
                  <c:v>Biochar 3%</c:v>
                </c:pt>
                <c:pt idx="2">
                  <c:v>Biochar 5%</c:v>
                </c:pt>
                <c:pt idx="3">
                  <c:v>Biochar 7.5%</c:v>
                </c:pt>
              </c:strCache>
            </c:strRef>
          </c:cat>
          <c:val>
            <c:numRef>
              <c:f>'[Biochar analysis.xlsx]Pilot oven'!$C$17:$F$17</c:f>
              <c:numCache>
                <c:formatCode>General</c:formatCode>
                <c:ptCount val="4"/>
                <c:pt idx="0">
                  <c:v>29.1</c:v>
                </c:pt>
                <c:pt idx="1">
                  <c:v>30.2</c:v>
                </c:pt>
                <c:pt idx="2">
                  <c:v>32.5</c:v>
                </c:pt>
                <c:pt idx="3">
                  <c:v>39.9</c:v>
                </c:pt>
              </c:numCache>
            </c:numRef>
          </c:val>
          <c:smooth val="0"/>
          <c:extLst>
            <c:ext xmlns:c16="http://schemas.microsoft.com/office/drawing/2014/chart" uri="{C3380CC4-5D6E-409C-BE32-E72D297353CC}">
              <c16:uniqueId val="{00000000-696F-47A5-9AD7-126992231081}"/>
            </c:ext>
          </c:extLst>
        </c:ser>
        <c:dLbls>
          <c:showLegendKey val="0"/>
          <c:showVal val="0"/>
          <c:showCatName val="0"/>
          <c:showSerName val="0"/>
          <c:showPercent val="0"/>
          <c:showBubbleSize val="0"/>
        </c:dLbls>
        <c:marker val="1"/>
        <c:smooth val="0"/>
        <c:axId val="1666797391"/>
        <c:axId val="1666799471"/>
      </c:lineChart>
      <c:lineChart>
        <c:grouping val="standard"/>
        <c:varyColors val="0"/>
        <c:ser>
          <c:idx val="0"/>
          <c:order val="0"/>
          <c:tx>
            <c:strRef>
              <c:f>'[Biochar analysis.xlsx]Pilot oven'!$B$16</c:f>
              <c:strCache>
                <c:ptCount val="1"/>
                <c:pt idx="0">
                  <c:v>CSR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analysis.xlsx]Pilot oven'!$C$15:$F$15</c:f>
              <c:strCache>
                <c:ptCount val="4"/>
                <c:pt idx="0">
                  <c:v>Riverside 100%</c:v>
                </c:pt>
                <c:pt idx="1">
                  <c:v>Biochar 3%</c:v>
                </c:pt>
                <c:pt idx="2">
                  <c:v>Biochar 5%</c:v>
                </c:pt>
                <c:pt idx="3">
                  <c:v>Biochar 7.5%</c:v>
                </c:pt>
              </c:strCache>
            </c:strRef>
          </c:cat>
          <c:val>
            <c:numRef>
              <c:f>'[Biochar analysis.xlsx]Pilot oven'!$C$16:$F$16</c:f>
              <c:numCache>
                <c:formatCode>General</c:formatCode>
                <c:ptCount val="4"/>
                <c:pt idx="0">
                  <c:v>62.2</c:v>
                </c:pt>
                <c:pt idx="1">
                  <c:v>60.5</c:v>
                </c:pt>
                <c:pt idx="2">
                  <c:v>59.1</c:v>
                </c:pt>
                <c:pt idx="3">
                  <c:v>40.9</c:v>
                </c:pt>
              </c:numCache>
            </c:numRef>
          </c:val>
          <c:smooth val="0"/>
          <c:extLst>
            <c:ext xmlns:c16="http://schemas.microsoft.com/office/drawing/2014/chart" uri="{C3380CC4-5D6E-409C-BE32-E72D297353CC}">
              <c16:uniqueId val="{00000001-696F-47A5-9AD7-126992231081}"/>
            </c:ext>
          </c:extLst>
        </c:ser>
        <c:dLbls>
          <c:showLegendKey val="0"/>
          <c:showVal val="0"/>
          <c:showCatName val="0"/>
          <c:showSerName val="0"/>
          <c:showPercent val="0"/>
          <c:showBubbleSize val="0"/>
        </c:dLbls>
        <c:marker val="1"/>
        <c:smooth val="0"/>
        <c:axId val="1550593439"/>
        <c:axId val="1550579295"/>
      </c:lineChart>
      <c:catAx>
        <c:axId val="1666797391"/>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6799471"/>
        <c:crosses val="autoZero"/>
        <c:auto val="1"/>
        <c:lblAlgn val="ctr"/>
        <c:lblOffset val="100"/>
        <c:noMultiLvlLbl val="0"/>
      </c:catAx>
      <c:valAx>
        <c:axId val="1666799471"/>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6797391"/>
        <c:crosses val="autoZero"/>
        <c:crossBetween val="between"/>
      </c:valAx>
      <c:valAx>
        <c:axId val="1550579295"/>
        <c:scaling>
          <c:orientation val="minMax"/>
          <c:min val="3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CSR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593439"/>
        <c:crosses val="max"/>
        <c:crossBetween val="between"/>
      </c:valAx>
      <c:catAx>
        <c:axId val="1550593439"/>
        <c:scaling>
          <c:orientation val="minMax"/>
        </c:scaling>
        <c:delete val="1"/>
        <c:axPos val="b"/>
        <c:numFmt formatCode="General" sourceLinked="1"/>
        <c:majorTickMark val="out"/>
        <c:minorTickMark val="none"/>
        <c:tickLblPos val="nextTo"/>
        <c:crossAx val="1550579295"/>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Hot strength and reactivity - Biochar 2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'[Biochar analysis.xlsx]Pilot oven'!$H$20</c:f>
              <c:strCache>
                <c:ptCount val="1"/>
                <c:pt idx="0">
                  <c:v>CRI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'[Biochar analysis.xlsx]Pilot oven'!$I$18:$L$18</c:f>
              <c:strCache>
                <c:ptCount val="4"/>
                <c:pt idx="0">
                  <c:v>Riverside 100%</c:v>
                </c:pt>
                <c:pt idx="1">
                  <c:v>Biochar 3%</c:v>
                </c:pt>
                <c:pt idx="2">
                  <c:v>Biochar 5%</c:v>
                </c:pt>
                <c:pt idx="3">
                  <c:v>Biochar 7.5%</c:v>
                </c:pt>
              </c:strCache>
            </c:strRef>
          </c:cat>
          <c:val>
            <c:numRef>
              <c:f>'[Biochar analysis.xlsx]Pilot oven'!$I$20:$L$20</c:f>
              <c:numCache>
                <c:formatCode>General</c:formatCode>
                <c:ptCount val="4"/>
                <c:pt idx="0">
                  <c:v>29.1</c:v>
                </c:pt>
                <c:pt idx="1">
                  <c:v>29.9</c:v>
                </c:pt>
                <c:pt idx="2">
                  <c:v>39.799999999999997</c:v>
                </c:pt>
                <c:pt idx="3">
                  <c:v>38.5</c:v>
                </c:pt>
              </c:numCache>
            </c:numRef>
          </c:val>
          <c:smooth val="0"/>
          <c:extLst>
            <c:ext xmlns:c16="http://schemas.microsoft.com/office/drawing/2014/chart" uri="{C3380CC4-5D6E-409C-BE32-E72D297353CC}">
              <c16:uniqueId val="{00000000-E426-45A8-854F-1BF40EF905F2}"/>
            </c:ext>
          </c:extLst>
        </c:ser>
        <c:dLbls>
          <c:showLegendKey val="0"/>
          <c:showVal val="0"/>
          <c:showCatName val="0"/>
          <c:showSerName val="0"/>
          <c:showPercent val="0"/>
          <c:showBubbleSize val="0"/>
        </c:dLbls>
        <c:marker val="1"/>
        <c:smooth val="0"/>
        <c:axId val="1711313007"/>
        <c:axId val="1711312591"/>
      </c:lineChart>
      <c:lineChart>
        <c:grouping val="standard"/>
        <c:varyColors val="0"/>
        <c:ser>
          <c:idx val="0"/>
          <c:order val="0"/>
          <c:tx>
            <c:strRef>
              <c:f>'[Biochar analysis.xlsx]Pilot oven'!$H$19</c:f>
              <c:strCache>
                <c:ptCount val="1"/>
                <c:pt idx="0">
                  <c:v>CSR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analysis.xlsx]Pilot oven'!$I$18:$L$18</c:f>
              <c:strCache>
                <c:ptCount val="4"/>
                <c:pt idx="0">
                  <c:v>Riverside 100%</c:v>
                </c:pt>
                <c:pt idx="1">
                  <c:v>Biochar 3%</c:v>
                </c:pt>
                <c:pt idx="2">
                  <c:v>Biochar 5%</c:v>
                </c:pt>
                <c:pt idx="3">
                  <c:v>Biochar 7.5%</c:v>
                </c:pt>
              </c:strCache>
            </c:strRef>
          </c:cat>
          <c:val>
            <c:numRef>
              <c:f>'[Biochar analysis.xlsx]Pilot oven'!$I$19:$L$19</c:f>
              <c:numCache>
                <c:formatCode>General</c:formatCode>
                <c:ptCount val="4"/>
                <c:pt idx="0">
                  <c:v>62.2</c:v>
                </c:pt>
                <c:pt idx="1">
                  <c:v>62.3</c:v>
                </c:pt>
                <c:pt idx="2">
                  <c:v>39.1</c:v>
                </c:pt>
                <c:pt idx="3">
                  <c:v>41.2</c:v>
                </c:pt>
              </c:numCache>
            </c:numRef>
          </c:val>
          <c:smooth val="0"/>
          <c:extLst>
            <c:ext xmlns:c16="http://schemas.microsoft.com/office/drawing/2014/chart" uri="{C3380CC4-5D6E-409C-BE32-E72D297353CC}">
              <c16:uniqueId val="{00000001-E426-45A8-854F-1BF40EF905F2}"/>
            </c:ext>
          </c:extLst>
        </c:ser>
        <c:dLbls>
          <c:showLegendKey val="0"/>
          <c:showVal val="0"/>
          <c:showCatName val="0"/>
          <c:showSerName val="0"/>
          <c:showPercent val="0"/>
          <c:showBubbleSize val="0"/>
        </c:dLbls>
        <c:marker val="1"/>
        <c:smooth val="0"/>
        <c:axId val="1706942607"/>
        <c:axId val="1711209711"/>
      </c:lineChart>
      <c:catAx>
        <c:axId val="1711313007"/>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312591"/>
        <c:crosses val="autoZero"/>
        <c:auto val="1"/>
        <c:lblAlgn val="ctr"/>
        <c:lblOffset val="100"/>
        <c:noMultiLvlLbl val="0"/>
      </c:catAx>
      <c:valAx>
        <c:axId val="1711312591"/>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313007"/>
        <c:crosses val="autoZero"/>
        <c:crossBetween val="between"/>
      </c:valAx>
      <c:valAx>
        <c:axId val="1711209711"/>
        <c:scaling>
          <c:orientation val="minMax"/>
          <c:min val="3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CSR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6942607"/>
        <c:crosses val="max"/>
        <c:crossBetween val="between"/>
      </c:valAx>
      <c:catAx>
        <c:axId val="1706942607"/>
        <c:scaling>
          <c:orientation val="minMax"/>
        </c:scaling>
        <c:delete val="1"/>
        <c:axPos val="b"/>
        <c:numFmt formatCode="General" sourceLinked="1"/>
        <c:majorTickMark val="out"/>
        <c:minorTickMark val="none"/>
        <c:tickLblPos val="nextTo"/>
        <c:crossAx val="1711209711"/>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Sinter indices Biochar 1</a:t>
            </a:r>
          </a:p>
        </c:rich>
      </c:tx>
      <c:overlay val="0"/>
      <c:spPr>
        <a:noFill/>
        <a:ln>
          <a:noFill/>
        </a:ln>
        <a:effectLst/>
      </c:spPr>
    </c:title>
    <c:autoTitleDeleted val="0"/>
    <c:plotArea>
      <c:layout>
        <c:manualLayout>
          <c:layoutTarget val="inner"/>
          <c:xMode val="edge"/>
          <c:yMode val="edge"/>
          <c:x val="0.25452014554893088"/>
          <c:y val="0.1274790106648514"/>
          <c:w val="0.74547985445106912"/>
          <c:h val="0.49277723878796975"/>
        </c:manualLayout>
      </c:layout>
      <c:lineChart>
        <c:grouping val="standard"/>
        <c:varyColors val="0"/>
        <c:ser>
          <c:idx val="2"/>
          <c:order val="0"/>
          <c:tx>
            <c:strRef>
              <c:f>'[Biochar analysis.xlsx]Sinter pot'!$J$19</c:f>
              <c:strCache>
                <c:ptCount val="1"/>
                <c:pt idx="0">
                  <c:v>Tumble index (%)</c:v>
                </c:pt>
              </c:strCache>
            </c:strRef>
          </c:tx>
          <c:cat>
            <c:strRef>
              <c:f>'[Biochar analysis.xlsx]Sinter pot'!$K$18:$L$18,'[Biochar analysis.xlsx]Sinter pot'!$N$18,'[Biochar analysis.xlsx]Sinter pot'!$P$18</c:f>
              <c:strCache>
                <c:ptCount val="4"/>
                <c:pt idx="0">
                  <c:v>Baseblend</c:v>
                </c:pt>
                <c:pt idx="1">
                  <c:v>Biochar 1 25%</c:v>
                </c:pt>
                <c:pt idx="2">
                  <c:v>Biochar 1 50%</c:v>
                </c:pt>
                <c:pt idx="3">
                  <c:v>Biochar 1 75%</c:v>
                </c:pt>
              </c:strCache>
            </c:strRef>
          </c:cat>
          <c:val>
            <c:numRef>
              <c:f>'[Biochar analysis.xlsx]Sinter pot'!$K$19:$L$19,'[Biochar analysis.xlsx]Sinter pot'!$N$19,'[Biochar analysis.xlsx]Sinter pot'!$P$19</c:f>
              <c:numCache>
                <c:formatCode>General</c:formatCode>
                <c:ptCount val="4"/>
                <c:pt idx="0">
                  <c:v>44.4</c:v>
                </c:pt>
                <c:pt idx="1">
                  <c:v>41.8</c:v>
                </c:pt>
                <c:pt idx="2">
                  <c:v>44.7</c:v>
                </c:pt>
                <c:pt idx="3">
                  <c:v>37.1</c:v>
                </c:pt>
              </c:numCache>
            </c:numRef>
          </c:val>
          <c:smooth val="0"/>
          <c:extLst>
            <c:ext xmlns:c16="http://schemas.microsoft.com/office/drawing/2014/chart" uri="{C3380CC4-5D6E-409C-BE32-E72D297353CC}">
              <c16:uniqueId val="{00000000-D427-43B2-8712-5D54D3CC9DF0}"/>
            </c:ext>
          </c:extLst>
        </c:ser>
        <c:ser>
          <c:idx val="3"/>
          <c:order val="1"/>
          <c:tx>
            <c:strRef>
              <c:f>'[Biochar analysis.xlsx]Sinter pot'!$J$20</c:f>
              <c:strCache>
                <c:ptCount val="1"/>
                <c:pt idx="0">
                  <c:v>Abrasion index (%)</c:v>
                </c:pt>
              </c:strCache>
            </c:strRef>
          </c:tx>
          <c:cat>
            <c:strRef>
              <c:f>'[Biochar analysis.xlsx]Sinter pot'!$K$18:$L$18,'[Biochar analysis.xlsx]Sinter pot'!$N$18,'[Biochar analysis.xlsx]Sinter pot'!$P$18</c:f>
              <c:strCache>
                <c:ptCount val="4"/>
                <c:pt idx="0">
                  <c:v>Baseblend</c:v>
                </c:pt>
                <c:pt idx="1">
                  <c:v>Biochar 1 25%</c:v>
                </c:pt>
                <c:pt idx="2">
                  <c:v>Biochar 1 50%</c:v>
                </c:pt>
                <c:pt idx="3">
                  <c:v>Biochar 1 75%</c:v>
                </c:pt>
              </c:strCache>
            </c:strRef>
          </c:cat>
          <c:val>
            <c:numRef>
              <c:f>'[Biochar analysis.xlsx]Sinter pot'!$K$20:$L$20,'[Biochar analysis.xlsx]Sinter pot'!$N$20,'[Biochar analysis.xlsx]Sinter pot'!$P$20</c:f>
              <c:numCache>
                <c:formatCode>General</c:formatCode>
                <c:ptCount val="4"/>
                <c:pt idx="0">
                  <c:v>5.68</c:v>
                </c:pt>
                <c:pt idx="1">
                  <c:v>6.71</c:v>
                </c:pt>
                <c:pt idx="2">
                  <c:v>5.01</c:v>
                </c:pt>
                <c:pt idx="3">
                  <c:v>8.7899999999999991</c:v>
                </c:pt>
              </c:numCache>
            </c:numRef>
          </c:val>
          <c:smooth val="0"/>
          <c:extLst>
            <c:ext xmlns:c16="http://schemas.microsoft.com/office/drawing/2014/chart" uri="{C3380CC4-5D6E-409C-BE32-E72D297353CC}">
              <c16:uniqueId val="{00000001-D427-43B2-8712-5D54D3CC9DF0}"/>
            </c:ext>
          </c:extLst>
        </c:ser>
        <c:ser>
          <c:idx val="0"/>
          <c:order val="2"/>
          <c:tx>
            <c:strRef>
              <c:f>'[Biochar analysis.xlsx]Sinter pot'!$J$23</c:f>
              <c:strCache>
                <c:ptCount val="1"/>
                <c:pt idx="0">
                  <c:v>RDI -2.8 mm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analysis.xlsx]Sinter pot'!$K$22:$L$22,'[Biochar analysis.xlsx]Sinter pot'!$N$22,'[Biochar analysis.xlsx]Sinter pot'!$P$22</c:f>
              <c:strCache>
                <c:ptCount val="4"/>
                <c:pt idx="0">
                  <c:v>Baseblend</c:v>
                </c:pt>
                <c:pt idx="1">
                  <c:v>Biochar 1 25%</c:v>
                </c:pt>
                <c:pt idx="2">
                  <c:v>Biochar 1 50%</c:v>
                </c:pt>
                <c:pt idx="3">
                  <c:v>Biochar 1 75%</c:v>
                </c:pt>
              </c:strCache>
            </c:strRef>
          </c:cat>
          <c:val>
            <c:numRef>
              <c:f>'[Biochar analysis.xlsx]Sinter pot'!$K$23:$L$23,'[Biochar analysis.xlsx]Sinter pot'!$N$23,'[Biochar analysis.xlsx]Sinter pot'!$P$23</c:f>
              <c:numCache>
                <c:formatCode>General</c:formatCode>
                <c:ptCount val="4"/>
                <c:pt idx="0">
                  <c:v>33.61</c:v>
                </c:pt>
                <c:pt idx="1">
                  <c:v>34.94</c:v>
                </c:pt>
                <c:pt idx="2">
                  <c:v>27.86</c:v>
                </c:pt>
                <c:pt idx="3">
                  <c:v>44.32</c:v>
                </c:pt>
              </c:numCache>
            </c:numRef>
          </c:val>
          <c:smooth val="0"/>
          <c:extLst>
            <c:ext xmlns:c16="http://schemas.microsoft.com/office/drawing/2014/chart" uri="{C3380CC4-5D6E-409C-BE32-E72D297353CC}">
              <c16:uniqueId val="{00000002-D427-43B2-8712-5D54D3CC9DF0}"/>
            </c:ext>
          </c:extLst>
        </c:ser>
        <c:dLbls>
          <c:showLegendKey val="0"/>
          <c:showVal val="0"/>
          <c:showCatName val="0"/>
          <c:showSerName val="0"/>
          <c:showPercent val="0"/>
          <c:showBubbleSize val="0"/>
        </c:dLbls>
        <c:marker val="1"/>
        <c:smooth val="0"/>
        <c:axId val="1275474639"/>
        <c:axId val="1275481295"/>
      </c:lineChart>
      <c:catAx>
        <c:axId val="1275474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481295"/>
        <c:crosses val="autoZero"/>
        <c:auto val="1"/>
        <c:lblAlgn val="ctr"/>
        <c:lblOffset val="100"/>
        <c:noMultiLvlLbl val="0"/>
      </c:catAx>
      <c:valAx>
        <c:axId val="1275481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474639"/>
        <c:crosses val="autoZero"/>
        <c:crossBetween val="between"/>
      </c:valAx>
      <c:dTable>
        <c:showHorzBorder val="1"/>
        <c:showVertBorder val="1"/>
        <c:showOutline val="1"/>
        <c:showKeys val="1"/>
      </c:dTable>
    </c:plotArea>
    <c:plotVisOnly val="1"/>
    <c:dispBlanksAs val="gap"/>
    <c:showDLblsOverMax val="0"/>
    <c:extLst/>
  </c:chart>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Sinter indices Biochar</a:t>
            </a:r>
            <a:r>
              <a:rPr lang="en-GB" baseline="0"/>
              <a:t> 2</a:t>
            </a:r>
            <a:endParaRPr lang="en-GB"/>
          </a:p>
        </c:rich>
      </c:tx>
      <c:overlay val="0"/>
      <c:spPr>
        <a:noFill/>
        <a:ln>
          <a:noFill/>
        </a:ln>
        <a:effectLst/>
      </c:spPr>
    </c:title>
    <c:autoTitleDeleted val="0"/>
    <c:plotArea>
      <c:layout>
        <c:manualLayout>
          <c:layoutTarget val="inner"/>
          <c:xMode val="edge"/>
          <c:yMode val="edge"/>
          <c:x val="0.25278414455618792"/>
          <c:y val="9.2126147173875142E-2"/>
          <c:w val="0.74721585544381208"/>
          <c:h val="0.5759413220461036"/>
        </c:manualLayout>
      </c:layout>
      <c:lineChart>
        <c:grouping val="standard"/>
        <c:varyColors val="0"/>
        <c:ser>
          <c:idx val="2"/>
          <c:order val="0"/>
          <c:tx>
            <c:strRef>
              <c:f>'[Biochar analysis.xlsx]Sinter pot'!$J$19</c:f>
              <c:strCache>
                <c:ptCount val="1"/>
                <c:pt idx="0">
                  <c:v>Tumble index (%)</c:v>
                </c:pt>
              </c:strCache>
            </c:strRef>
          </c:tx>
          <c:cat>
            <c:strRef>
              <c:f>'[Biochar analysis.xlsx]Sinter pot'!$K$18,'[Biochar analysis.xlsx]Sinter pot'!$M$18,'[Biochar analysis.xlsx]Sinter pot'!$O$18,'[Biochar analysis.xlsx]Sinter pot'!$Q$18</c:f>
              <c:strCache>
                <c:ptCount val="4"/>
                <c:pt idx="0">
                  <c:v>Baseblend</c:v>
                </c:pt>
                <c:pt idx="1">
                  <c:v>Biochar 2 25%</c:v>
                </c:pt>
                <c:pt idx="2">
                  <c:v>Biochar 2 50%</c:v>
                </c:pt>
                <c:pt idx="3">
                  <c:v>Biochar 2 75%</c:v>
                </c:pt>
              </c:strCache>
            </c:strRef>
          </c:cat>
          <c:val>
            <c:numRef>
              <c:f>'[Biochar analysis.xlsx]Sinter pot'!$K$19,'[Biochar analysis.xlsx]Sinter pot'!$M$19,'[Biochar analysis.xlsx]Sinter pot'!$O$19,'[Biochar analysis.xlsx]Sinter pot'!$Q$19</c:f>
              <c:numCache>
                <c:formatCode>General</c:formatCode>
                <c:ptCount val="4"/>
                <c:pt idx="0">
                  <c:v>44.4</c:v>
                </c:pt>
                <c:pt idx="1">
                  <c:v>43.2</c:v>
                </c:pt>
                <c:pt idx="2">
                  <c:v>37.200000000000003</c:v>
                </c:pt>
              </c:numCache>
            </c:numRef>
          </c:val>
          <c:smooth val="0"/>
          <c:extLst>
            <c:ext xmlns:c16="http://schemas.microsoft.com/office/drawing/2014/chart" uri="{C3380CC4-5D6E-409C-BE32-E72D297353CC}">
              <c16:uniqueId val="{00000000-D507-4B7E-AFAE-A674998061FA}"/>
            </c:ext>
          </c:extLst>
        </c:ser>
        <c:ser>
          <c:idx val="3"/>
          <c:order val="1"/>
          <c:tx>
            <c:strRef>
              <c:f>'[Biochar analysis.xlsx]Sinter pot'!$J$20</c:f>
              <c:strCache>
                <c:ptCount val="1"/>
                <c:pt idx="0">
                  <c:v>Abrasion index (%)</c:v>
                </c:pt>
              </c:strCache>
            </c:strRef>
          </c:tx>
          <c:cat>
            <c:strRef>
              <c:f>'[Biochar analysis.xlsx]Sinter pot'!$K$18,'[Biochar analysis.xlsx]Sinter pot'!$M$18,'[Biochar analysis.xlsx]Sinter pot'!$O$18,'[Biochar analysis.xlsx]Sinter pot'!$Q$18</c:f>
              <c:strCache>
                <c:ptCount val="4"/>
                <c:pt idx="0">
                  <c:v>Baseblend</c:v>
                </c:pt>
                <c:pt idx="1">
                  <c:v>Biochar 2 25%</c:v>
                </c:pt>
                <c:pt idx="2">
                  <c:v>Biochar 2 50%</c:v>
                </c:pt>
                <c:pt idx="3">
                  <c:v>Biochar 2 75%</c:v>
                </c:pt>
              </c:strCache>
            </c:strRef>
          </c:cat>
          <c:val>
            <c:numRef>
              <c:f>'[Biochar analysis.xlsx]Sinter pot'!$K$20,'[Biochar analysis.xlsx]Sinter pot'!$M$20,'[Biochar analysis.xlsx]Sinter pot'!$O$20,'[Biochar analysis.xlsx]Sinter pot'!$Q$20</c:f>
              <c:numCache>
                <c:formatCode>General</c:formatCode>
                <c:ptCount val="4"/>
                <c:pt idx="0">
                  <c:v>5.68</c:v>
                </c:pt>
                <c:pt idx="1">
                  <c:v>5.21</c:v>
                </c:pt>
                <c:pt idx="2">
                  <c:v>7.86</c:v>
                </c:pt>
              </c:numCache>
            </c:numRef>
          </c:val>
          <c:smooth val="0"/>
          <c:extLst>
            <c:ext xmlns:c16="http://schemas.microsoft.com/office/drawing/2014/chart" uri="{C3380CC4-5D6E-409C-BE32-E72D297353CC}">
              <c16:uniqueId val="{00000001-D507-4B7E-AFAE-A674998061FA}"/>
            </c:ext>
          </c:extLst>
        </c:ser>
        <c:ser>
          <c:idx val="0"/>
          <c:order val="2"/>
          <c:tx>
            <c:strRef>
              <c:f>'[Biochar analysis.xlsx]Sinter pot'!$J$23</c:f>
              <c:strCache>
                <c:ptCount val="1"/>
                <c:pt idx="0">
                  <c:v>RDI -2.8 mm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'[Biochar analysis.xlsx]Sinter pot'!$K$22,'[Biochar analysis.xlsx]Sinter pot'!$M$22,'[Biochar analysis.xlsx]Sinter pot'!$O$22,'[Biochar analysis.xlsx]Sinter pot'!$Q$22</c:f>
              <c:strCache>
                <c:ptCount val="4"/>
                <c:pt idx="0">
                  <c:v>Baseblend</c:v>
                </c:pt>
                <c:pt idx="1">
                  <c:v>Biochar 2 25%</c:v>
                </c:pt>
                <c:pt idx="2">
                  <c:v>Biochar 2 50%</c:v>
                </c:pt>
                <c:pt idx="3">
                  <c:v>Biochar 2 75%</c:v>
                </c:pt>
              </c:strCache>
            </c:strRef>
          </c:cat>
          <c:val>
            <c:numRef>
              <c:f>'[Biochar analysis.xlsx]Sinter pot'!$K$23,'[Biochar analysis.xlsx]Sinter pot'!$M$23,'[Biochar analysis.xlsx]Sinter pot'!$O$23,'[Biochar analysis.xlsx]Sinter pot'!$Q$23</c:f>
              <c:numCache>
                <c:formatCode>General</c:formatCode>
                <c:ptCount val="4"/>
                <c:pt idx="0">
                  <c:v>33.61</c:v>
                </c:pt>
                <c:pt idx="1">
                  <c:v>33.35</c:v>
                </c:pt>
                <c:pt idx="2">
                  <c:v>42.33</c:v>
                </c:pt>
                <c:pt idx="3">
                  <c:v>52.48</c:v>
                </c:pt>
              </c:numCache>
            </c:numRef>
          </c:val>
          <c:smooth val="0"/>
          <c:extLst>
            <c:ext xmlns:c16="http://schemas.microsoft.com/office/drawing/2014/chart" uri="{C3380CC4-5D6E-409C-BE32-E72D297353CC}">
              <c16:uniqueId val="{00000002-D507-4B7E-AFAE-A674998061FA}"/>
            </c:ext>
          </c:extLst>
        </c:ser>
        <c:dLbls>
          <c:showLegendKey val="0"/>
          <c:showVal val="0"/>
          <c:showCatName val="0"/>
          <c:showSerName val="0"/>
          <c:showPercent val="0"/>
          <c:showBubbleSize val="0"/>
        </c:dLbls>
        <c:marker val="1"/>
        <c:smooth val="0"/>
        <c:axId val="1275473391"/>
        <c:axId val="1275464655"/>
      </c:lineChart>
      <c:catAx>
        <c:axId val="1275473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464655"/>
        <c:crosses val="autoZero"/>
        <c:auto val="1"/>
        <c:lblAlgn val="ctr"/>
        <c:lblOffset val="100"/>
        <c:noMultiLvlLbl val="0"/>
      </c:catAx>
      <c:valAx>
        <c:axId val="1275464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5473391"/>
        <c:crosses val="autoZero"/>
        <c:crossBetween val="between"/>
      </c:valAx>
      <c:dTable>
        <c:showHorzBorder val="1"/>
        <c:showVertBorder val="1"/>
        <c:showOutline val="1"/>
        <c:showKeys val="1"/>
      </c:dTable>
    </c:plotArea>
    <c:plotVisOnly val="1"/>
    <c:dispBlanksAs val="gap"/>
    <c:showDLblsOverMax val="0"/>
    <c:extLst/>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F1E639146D4490966658BBC1828E96"/>
        <w:category>
          <w:name w:val="General"/>
          <w:gallery w:val="placeholder"/>
        </w:category>
        <w:types>
          <w:type w:val="bbPlcHdr"/>
        </w:types>
        <w:behaviors>
          <w:behavior w:val="content"/>
        </w:behaviors>
        <w:guid w:val="{A4E0F055-D30D-4CDA-9141-B27ED9EDD897}"/>
      </w:docPartPr>
      <w:docPartBody>
        <w:p w:rsidR="005941D2" w:rsidRDefault="00943136" w:rsidP="00943136">
          <w:pPr>
            <w:pStyle w:val="3EF1E639146D4490966658BBC1828E96"/>
          </w:pPr>
          <w:r>
            <w:rPr>
              <w:rFonts w:asciiTheme="majorHAnsi" w:hAnsiTheme="majorHAnsi"/>
              <w:color w:val="FFFFFF" w:themeColor="background1"/>
              <w:sz w:val="96"/>
              <w:szCs w:val="96"/>
            </w:rPr>
            <w:t>[Document title]</w:t>
          </w:r>
        </w:p>
      </w:docPartBody>
    </w:docPart>
    <w:docPart>
      <w:docPartPr>
        <w:name w:val="CA9335657DAF49679A17106271C7812F"/>
        <w:category>
          <w:name w:val="General"/>
          <w:gallery w:val="placeholder"/>
        </w:category>
        <w:types>
          <w:type w:val="bbPlcHdr"/>
        </w:types>
        <w:behaviors>
          <w:behavior w:val="content"/>
        </w:behaviors>
        <w:guid w:val="{A245C040-1ED2-4545-BF2E-B2F8E646AF37}"/>
      </w:docPartPr>
      <w:docPartBody>
        <w:p w:rsidR="005941D2" w:rsidRDefault="00943136" w:rsidP="00943136">
          <w:pPr>
            <w:pStyle w:val="CA9335657DAF49679A17106271C7812F"/>
          </w:pPr>
          <w:r>
            <w:rPr>
              <w:color w:val="FFFFFF" w:themeColor="background1"/>
              <w:sz w:val="32"/>
              <w:szCs w:val="32"/>
            </w:rPr>
            <w:t>[Document subtitle]</w:t>
          </w:r>
        </w:p>
      </w:docPartBody>
    </w:docPart>
    <w:docPart>
      <w:docPartPr>
        <w:name w:val="E199B85B042C479FBF10073968473063"/>
        <w:category>
          <w:name w:val="General"/>
          <w:gallery w:val="placeholder"/>
        </w:category>
        <w:types>
          <w:type w:val="bbPlcHdr"/>
        </w:types>
        <w:behaviors>
          <w:behavior w:val="content"/>
        </w:behaviors>
        <w:guid w:val="{3C6FDC75-B62C-430F-B39F-5BD28FD520C0}"/>
      </w:docPartPr>
      <w:docPartBody>
        <w:p w:rsidR="005941D2" w:rsidRDefault="00943136" w:rsidP="00943136">
          <w:pPr>
            <w:pStyle w:val="E199B85B042C479FBF10073968473063"/>
          </w:pPr>
          <w:r>
            <w:rPr>
              <w:color w:val="FFFFFF" w:themeColor="background1"/>
            </w:rPr>
            <w:t>[Author name]</w:t>
          </w:r>
        </w:p>
      </w:docPartBody>
    </w:docPart>
    <w:docPart>
      <w:docPartPr>
        <w:name w:val="9B03B7CEC2FA45EB9EE495D67D815D18"/>
        <w:category>
          <w:name w:val="General"/>
          <w:gallery w:val="placeholder"/>
        </w:category>
        <w:types>
          <w:type w:val="bbPlcHdr"/>
        </w:types>
        <w:behaviors>
          <w:behavior w:val="content"/>
        </w:behaviors>
        <w:guid w:val="{A5EFA756-E389-4B72-B40A-4E0184EA2E00}"/>
      </w:docPartPr>
      <w:docPartBody>
        <w:p w:rsidR="005941D2" w:rsidRDefault="00943136" w:rsidP="00943136">
          <w:pPr>
            <w:pStyle w:val="9B03B7CEC2FA45EB9EE495D67D815D18"/>
          </w:pPr>
          <w:r>
            <w:rPr>
              <w:color w:val="FFFFFF" w:themeColor="background1"/>
            </w:rPr>
            <w:t>[Date]</w:t>
          </w:r>
        </w:p>
      </w:docPartBody>
    </w:docPart>
    <w:docPart>
      <w:docPartPr>
        <w:name w:val="784B233B45F647E5B84CA2948984A770"/>
        <w:category>
          <w:name w:val="General"/>
          <w:gallery w:val="placeholder"/>
        </w:category>
        <w:types>
          <w:type w:val="bbPlcHdr"/>
        </w:types>
        <w:behaviors>
          <w:behavior w:val="content"/>
        </w:behaviors>
        <w:guid w:val="{13AEAE57-2B73-4144-93D3-A46CBFD59E2F}"/>
      </w:docPartPr>
      <w:docPartBody>
        <w:p w:rsidR="005941D2" w:rsidRDefault="00943136" w:rsidP="00943136">
          <w:pPr>
            <w:pStyle w:val="784B233B45F647E5B84CA2948984A770"/>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136"/>
    <w:rsid w:val="001122AD"/>
    <w:rsid w:val="00193F98"/>
    <w:rsid w:val="002024DE"/>
    <w:rsid w:val="002A2964"/>
    <w:rsid w:val="002C4AAC"/>
    <w:rsid w:val="002F7F9B"/>
    <w:rsid w:val="00341678"/>
    <w:rsid w:val="0034579E"/>
    <w:rsid w:val="00377330"/>
    <w:rsid w:val="00385777"/>
    <w:rsid w:val="0039421F"/>
    <w:rsid w:val="004427A3"/>
    <w:rsid w:val="00497FC5"/>
    <w:rsid w:val="004C1055"/>
    <w:rsid w:val="004C172B"/>
    <w:rsid w:val="004C70DA"/>
    <w:rsid w:val="00525B7D"/>
    <w:rsid w:val="00530929"/>
    <w:rsid w:val="0053763D"/>
    <w:rsid w:val="005941D2"/>
    <w:rsid w:val="005C3EB0"/>
    <w:rsid w:val="005E0844"/>
    <w:rsid w:val="0062067E"/>
    <w:rsid w:val="006E5AEF"/>
    <w:rsid w:val="00716FA5"/>
    <w:rsid w:val="00755955"/>
    <w:rsid w:val="00764931"/>
    <w:rsid w:val="008A4FC0"/>
    <w:rsid w:val="008C3FED"/>
    <w:rsid w:val="008D2832"/>
    <w:rsid w:val="008E4FB4"/>
    <w:rsid w:val="008F2E0D"/>
    <w:rsid w:val="009034F2"/>
    <w:rsid w:val="0091250F"/>
    <w:rsid w:val="00915495"/>
    <w:rsid w:val="009244F1"/>
    <w:rsid w:val="00943136"/>
    <w:rsid w:val="009736D2"/>
    <w:rsid w:val="00983B87"/>
    <w:rsid w:val="00A21D6E"/>
    <w:rsid w:val="00A27637"/>
    <w:rsid w:val="00A744CA"/>
    <w:rsid w:val="00A86E42"/>
    <w:rsid w:val="00AC590F"/>
    <w:rsid w:val="00AF27B2"/>
    <w:rsid w:val="00B10447"/>
    <w:rsid w:val="00B3076A"/>
    <w:rsid w:val="00B32A32"/>
    <w:rsid w:val="00BB21AC"/>
    <w:rsid w:val="00BE6940"/>
    <w:rsid w:val="00C65347"/>
    <w:rsid w:val="00D40664"/>
    <w:rsid w:val="00DE54CF"/>
    <w:rsid w:val="00E053B4"/>
    <w:rsid w:val="00E1165C"/>
    <w:rsid w:val="00E51CB7"/>
    <w:rsid w:val="00EA256B"/>
    <w:rsid w:val="00F47919"/>
    <w:rsid w:val="00F901B6"/>
    <w:rsid w:val="00F9476E"/>
    <w:rsid w:val="00FD1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F1E639146D4490966658BBC1828E96">
    <w:name w:val="3EF1E639146D4490966658BBC1828E96"/>
    <w:rsid w:val="00943136"/>
  </w:style>
  <w:style w:type="paragraph" w:customStyle="1" w:styleId="CA9335657DAF49679A17106271C7812F">
    <w:name w:val="CA9335657DAF49679A17106271C7812F"/>
    <w:rsid w:val="00943136"/>
  </w:style>
  <w:style w:type="paragraph" w:customStyle="1" w:styleId="E199B85B042C479FBF10073968473063">
    <w:name w:val="E199B85B042C479FBF10073968473063"/>
    <w:rsid w:val="00943136"/>
  </w:style>
  <w:style w:type="paragraph" w:customStyle="1" w:styleId="9B03B7CEC2FA45EB9EE495D67D815D18">
    <w:name w:val="9B03B7CEC2FA45EB9EE495D67D815D18"/>
    <w:rsid w:val="00943136"/>
  </w:style>
  <w:style w:type="paragraph" w:customStyle="1" w:styleId="784B233B45F647E5B84CA2948984A770">
    <w:name w:val="784B233B45F647E5B84CA2948984A770"/>
    <w:rsid w:val="00943136"/>
  </w:style>
  <w:style w:type="character" w:styleId="PlaceholderText">
    <w:name w:val="Placeholder Text"/>
    <w:basedOn w:val="DefaultParagraphFont"/>
    <w:uiPriority w:val="99"/>
    <w:semiHidden/>
    <w:rsid w:val="00AF27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Hil05</b:Tag>
    <b:SourceType>Misc</b:SourceType>
    <b:Guid>{47A0F3AD-5077-4A83-AA70-775CB6765129}</b:Guid>
    <b:Author>
      <b:Author>
        <b:NameList>
          <b:Person>
            <b:Last>Hilding</b:Last>
            <b:First>Tobias</b:First>
          </b:Person>
        </b:NameList>
      </b:Author>
    </b:Author>
    <b:Title>Evolution of Coke Properties while Descending through a Blast Furnace</b:Title>
    <b:Year>2005</b:Year>
    <b:Publisher>Luleå University of Technology Department of Chemical Engineering and Geosciences Division of Process Metallurgy </b:Publisher>
    <b:CountryRegion>Sweden</b:CountryRegion>
    <b:RefOrder>15</b:RefOrder>
  </b:Source>
  <b:Source>
    <b:Tag>Lun10</b:Tag>
    <b:SourceType>JournalArticle</b:SourceType>
    <b:Guid>{23E8BCF1-99F7-4606-A2A9-B3C7E472AB5C}</b:Guid>
    <b:Author>
      <b:Author>
        <b:NameList>
          <b:Person>
            <b:Last>Lundgren</b:Last>
            <b:First>M.</b:First>
          </b:Person>
        </b:NameList>
      </b:Author>
    </b:Author>
    <b:Title>Blast Furnace Coke Properties and the Influence on Off-gas Dust</b:Title>
    <b:JournalName>Licentiate Thesis</b:JournalName>
    <b:Year>2010</b:Year>
    <b:Publisher>Luleå University of Technology </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8ACD3C-CB22-4126-BDED-6882A078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3174</TotalTime>
  <Pages>90</Pages>
  <Words>78256</Words>
  <Characters>446064</Characters>
  <Application>Microsoft Office Word</Application>
  <DocSecurity>0</DocSecurity>
  <Lines>3717</Lines>
  <Paragraphs>1046</Paragraphs>
  <ScaleCrop>false</ScaleCrop>
  <HeadingPairs>
    <vt:vector size="2" baseType="variant">
      <vt:variant>
        <vt:lpstr>Title</vt:lpstr>
      </vt:variant>
      <vt:variant>
        <vt:i4>1</vt:i4>
      </vt:variant>
    </vt:vector>
  </HeadingPairs>
  <TitlesOfParts>
    <vt:vector size="1" baseType="lpstr">
      <vt:lpstr>Reducing net CO2 emissions in steelmaking using Biochar</vt:lpstr>
    </vt:vector>
  </TitlesOfParts>
  <Company>148170</Company>
  <LinksUpToDate>false</LinksUpToDate>
  <CharactersWithSpaces>523274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Reducing net CO2 emissions in steelmaking using Biochar</dc:title>
  <dc:subject>Jamie Waters</dc:subject>
  <dc:creator>Jamie Waters (1551425)</dc:creator>
  <cp:keywords/>
  <dc:description/>
  <cp:lastModifiedBy>Jamie Waters</cp:lastModifiedBy>
  <cp:revision>224</cp:revision>
  <dcterms:created xsi:type="dcterms:W3CDTF">2023-02-18T17:24:00Z</dcterms:created>
  <dcterms:modified xsi:type="dcterms:W3CDTF">2023-02-21T22:37:00Z</dcterms:modified>
  <cp:category>Lean &amp; Agile Operations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id="cyqvnHYd"/&gt;&lt;style id="http://www.zotero.org/styles/cardiff-university-harvard" locale="en-GB" hasBibliography="1" bibliographyStyleHasBeenSet="1"/&gt;&lt;prefs&gt;&lt;pref name="fieldType" value="Field"/&gt;&lt;pr</vt:lpwstr>
  </property>
  <property fmtid="{D5CDD505-2E9C-101B-9397-08002B2CF9AE}" pid="3" name="ZOTERO_PREF_2">
    <vt:lpwstr>ef name="automaticJournalAbbreviations" value="true"/&gt;&lt;/prefs&gt;&lt;/data&gt;</vt:lpwstr>
  </property>
</Properties>
</file>