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33A95" w14:textId="6369DCB7" w:rsidR="00FD4FAD" w:rsidRPr="006B2DC6" w:rsidRDefault="00FD4FAD" w:rsidP="005F5297">
      <w:pPr>
        <w:rPr>
          <w:rFonts w:ascii="Calibri" w:hAnsi="Calibri" w:cs="Calibri"/>
          <w:b/>
          <w:bCs/>
          <w:color w:val="000000" w:themeColor="text1"/>
          <w:u w:val="single"/>
        </w:rPr>
      </w:pPr>
      <w:r w:rsidRPr="006B2DC6">
        <w:rPr>
          <w:rFonts w:ascii="Calibri" w:hAnsi="Calibri" w:cs="Calibri"/>
          <w:b/>
          <w:bCs/>
          <w:color w:val="000000" w:themeColor="text1"/>
          <w:u w:val="single"/>
        </w:rPr>
        <w:t>INTERNAL MEMORANDUM</w:t>
      </w:r>
    </w:p>
    <w:p w14:paraId="584EC4BB" w14:textId="2032D4E8" w:rsidR="00FD4FAD" w:rsidRPr="006B2DC6" w:rsidRDefault="005F5297">
      <w:pPr>
        <w:rPr>
          <w:rFonts w:ascii="Calibri" w:hAnsi="Calibri" w:cs="Calibri"/>
          <w:color w:val="000000" w:themeColor="text1"/>
        </w:rPr>
      </w:pPr>
      <w:r w:rsidRPr="006B2DC6">
        <w:rPr>
          <w:rFonts w:ascii="Calibri" w:hAnsi="Calibri" w:cs="Calibri"/>
          <w:color w:val="000000" w:themeColor="text1"/>
        </w:rPr>
        <w:t xml:space="preserve">To: Ada Adebayo </w:t>
      </w:r>
    </w:p>
    <w:p w14:paraId="0BABE5A3" w14:textId="78B1C84D" w:rsidR="006B2DC6" w:rsidRPr="006B2DC6" w:rsidRDefault="006B2DC6">
      <w:pPr>
        <w:rPr>
          <w:rFonts w:ascii="Calibri" w:hAnsi="Calibri" w:cs="Calibri"/>
          <w:color w:val="000000" w:themeColor="text1"/>
        </w:rPr>
      </w:pPr>
      <w:r w:rsidRPr="006B2DC6">
        <w:rPr>
          <w:rFonts w:ascii="Calibri" w:hAnsi="Calibri" w:cs="Calibri"/>
          <w:color w:val="000000" w:themeColor="text1"/>
        </w:rPr>
        <w:t>From: Gabrial Harris</w:t>
      </w:r>
    </w:p>
    <w:p w14:paraId="5198729C" w14:textId="38652B64" w:rsidR="006B2DC6" w:rsidRPr="006B2DC6" w:rsidRDefault="006B2DC6">
      <w:pPr>
        <w:rPr>
          <w:rFonts w:ascii="Calibri" w:hAnsi="Calibri" w:cs="Calibri"/>
          <w:color w:val="000000" w:themeColor="text1"/>
        </w:rPr>
      </w:pPr>
      <w:r w:rsidRPr="006B2DC6">
        <w:rPr>
          <w:rFonts w:ascii="Calibri" w:hAnsi="Calibri" w:cs="Calibri"/>
          <w:color w:val="000000" w:themeColor="text1"/>
        </w:rPr>
        <w:t>Matter: Case of Kim Cottrell</w:t>
      </w:r>
    </w:p>
    <w:p w14:paraId="2019A737" w14:textId="29F07583" w:rsidR="006B2DC6" w:rsidRPr="006B2DC6" w:rsidRDefault="006B2DC6">
      <w:pPr>
        <w:rPr>
          <w:rFonts w:ascii="Calibri" w:hAnsi="Calibri" w:cs="Calibri"/>
          <w:color w:val="000000" w:themeColor="text1"/>
        </w:rPr>
      </w:pPr>
      <w:r w:rsidRPr="006B2DC6">
        <w:rPr>
          <w:rFonts w:ascii="Calibri" w:hAnsi="Calibri" w:cs="Calibri"/>
          <w:color w:val="000000" w:themeColor="text1"/>
        </w:rPr>
        <w:t>Date: 15</w:t>
      </w:r>
      <w:r w:rsidRPr="006B2DC6">
        <w:rPr>
          <w:rFonts w:ascii="Calibri" w:hAnsi="Calibri" w:cs="Calibri"/>
          <w:color w:val="000000" w:themeColor="text1"/>
          <w:vertAlign w:val="superscript"/>
        </w:rPr>
        <w:t>th</w:t>
      </w:r>
      <w:r w:rsidRPr="006B2DC6">
        <w:rPr>
          <w:rFonts w:ascii="Calibri" w:hAnsi="Calibri" w:cs="Calibri"/>
          <w:color w:val="000000" w:themeColor="text1"/>
        </w:rPr>
        <w:t xml:space="preserve"> March 2024</w:t>
      </w:r>
    </w:p>
    <w:p w14:paraId="4341BDBF" w14:textId="77777777" w:rsidR="00FD4FAD" w:rsidRPr="006B2DC6" w:rsidRDefault="00FD4FAD">
      <w:pPr>
        <w:rPr>
          <w:rFonts w:ascii="Calibri" w:hAnsi="Calibri" w:cs="Calibri"/>
          <w:color w:val="000000" w:themeColor="text1"/>
        </w:rPr>
      </w:pPr>
    </w:p>
    <w:p w14:paraId="01B90436" w14:textId="60DE17BE" w:rsidR="00A50A58" w:rsidRPr="006B2DC6" w:rsidRDefault="005828F5">
      <w:pPr>
        <w:rPr>
          <w:rFonts w:ascii="Calibri" w:hAnsi="Calibri" w:cs="Calibri"/>
          <w:color w:val="000000" w:themeColor="text1"/>
        </w:rPr>
      </w:pPr>
      <w:r w:rsidRPr="006B2DC6">
        <w:rPr>
          <w:rFonts w:ascii="Calibri" w:hAnsi="Calibri" w:cs="Calibri"/>
          <w:color w:val="000000" w:themeColor="text1"/>
        </w:rPr>
        <w:t xml:space="preserve">The client, Kim Cottrell is charged with assault occasioning actual bodily harm under section 47 of the Offences Against the Person Act 1861. The client, Ms. Cottrell is accused of slapping the </w:t>
      </w:r>
      <w:r w:rsidR="00DF055E" w:rsidRPr="006B2DC6">
        <w:rPr>
          <w:rFonts w:ascii="Calibri" w:hAnsi="Calibri" w:cs="Calibri"/>
          <w:color w:val="000000" w:themeColor="text1"/>
        </w:rPr>
        <w:t>victim</w:t>
      </w:r>
      <w:r w:rsidRPr="006B2DC6">
        <w:rPr>
          <w:rFonts w:ascii="Calibri" w:hAnsi="Calibri" w:cs="Calibri"/>
          <w:color w:val="000000" w:themeColor="text1"/>
        </w:rPr>
        <w:t xml:space="preserve">, Bob Branning, for making inappropriate comments about a dead relative of the client. This incident caused bruising of Mr. Branning’s face. </w:t>
      </w:r>
    </w:p>
    <w:p w14:paraId="5559FD08" w14:textId="0782B5BA" w:rsidR="00405F8A" w:rsidRPr="006B2DC6" w:rsidRDefault="005828F5">
      <w:pPr>
        <w:rPr>
          <w:rFonts w:ascii="Calibri" w:hAnsi="Calibri" w:cs="Calibri"/>
          <w:color w:val="000000" w:themeColor="text1"/>
        </w:rPr>
      </w:pPr>
      <w:r w:rsidRPr="006B2DC6">
        <w:rPr>
          <w:rFonts w:ascii="Calibri" w:hAnsi="Calibri" w:cs="Calibri"/>
          <w:color w:val="000000" w:themeColor="text1"/>
        </w:rPr>
        <w:t xml:space="preserve">Assault occasioning actual bodily harm is a crime of basic intent. Due to this both mens rea and actus reus must be present for a prosecution of the client to be successful. Kate likely meets both the actus reus and mens rea of this crime, as the actus reus requires that an act be undertaken by the defendant (the client), that unlawful violence was inflicted upon the victim, and that the violence was inflicted </w:t>
      </w:r>
      <w:proofErr w:type="gramStart"/>
      <w:r w:rsidRPr="006B2DC6">
        <w:rPr>
          <w:rFonts w:ascii="Calibri" w:hAnsi="Calibri" w:cs="Calibri"/>
          <w:color w:val="000000" w:themeColor="text1"/>
        </w:rPr>
        <w:t>as a result of</w:t>
      </w:r>
      <w:proofErr w:type="gramEnd"/>
      <w:r w:rsidRPr="006B2DC6">
        <w:rPr>
          <w:rFonts w:ascii="Calibri" w:hAnsi="Calibri" w:cs="Calibri"/>
          <w:color w:val="000000" w:themeColor="text1"/>
        </w:rPr>
        <w:t xml:space="preserve"> the act undertaken by the defendant, all of which are true in the case of the client. The mens rea of this crime is that of basic intent</w:t>
      </w:r>
      <w:r w:rsidR="00DF055E" w:rsidRPr="006B2DC6">
        <w:rPr>
          <w:rFonts w:ascii="Calibri" w:hAnsi="Calibri" w:cs="Calibri"/>
          <w:color w:val="000000" w:themeColor="text1"/>
        </w:rPr>
        <w:t xml:space="preserve">, as is clarified in </w:t>
      </w:r>
      <w:r w:rsidR="00FD1123" w:rsidRPr="006B2DC6">
        <w:rPr>
          <w:rFonts w:ascii="Calibri" w:hAnsi="Calibri" w:cs="Calibri"/>
          <w:color w:val="000000" w:themeColor="text1"/>
        </w:rPr>
        <w:t>R</w:t>
      </w:r>
      <w:r w:rsidR="00022E2B" w:rsidRPr="006B2DC6">
        <w:rPr>
          <w:rFonts w:ascii="Calibri" w:hAnsi="Calibri" w:cs="Calibri"/>
          <w:color w:val="000000" w:themeColor="text1"/>
        </w:rPr>
        <w:t xml:space="preserve"> v Parmenter (1992)</w:t>
      </w:r>
      <w:r w:rsidR="00DF055E" w:rsidRPr="006B2DC6">
        <w:rPr>
          <w:rFonts w:ascii="Calibri" w:hAnsi="Calibri" w:cs="Calibri"/>
          <w:color w:val="000000" w:themeColor="text1"/>
        </w:rPr>
        <w:t>. As it is a crime of basic intent, it would not explicitly require the intent of the defendant, as recklessness as to the results of the act would suffice. It is clear, however, from the description of events that it was the defendant’s aim or purpose in undertaking the act for some harm to befall the victi</w:t>
      </w:r>
      <w:r w:rsidR="00022E2B" w:rsidRPr="006B2DC6">
        <w:rPr>
          <w:rFonts w:ascii="Calibri" w:hAnsi="Calibri" w:cs="Calibri"/>
          <w:color w:val="000000" w:themeColor="text1"/>
        </w:rPr>
        <w:t xml:space="preserve">m, meaning she would satisfy direct intent. Assault occasioning actual bodily harm also requires that some level of harm be inflicted on the victim </w:t>
      </w:r>
      <w:r w:rsidR="00405F8A" w:rsidRPr="006B2DC6">
        <w:rPr>
          <w:rFonts w:ascii="Calibri" w:hAnsi="Calibri" w:cs="Calibri"/>
          <w:color w:val="000000" w:themeColor="text1"/>
        </w:rPr>
        <w:t xml:space="preserve">that is not seen as trifling or insignificant, as per DPP v Smith (2006), which clarifies that bruising is considered as actual bodily harm. Under all elements of the offence, the client would be found guilty. Due to this, the client should be advised to plead guilty at the hearing in hopes of securing a lesser sentence. </w:t>
      </w:r>
    </w:p>
    <w:p w14:paraId="243D2810" w14:textId="361674C9" w:rsidR="00405F8A" w:rsidRPr="006B2DC6" w:rsidRDefault="00405F8A">
      <w:pPr>
        <w:rPr>
          <w:rFonts w:ascii="Calibri" w:hAnsi="Calibri" w:cs="Calibri"/>
          <w:color w:val="000000" w:themeColor="text1"/>
        </w:rPr>
      </w:pPr>
      <w:r w:rsidRPr="006B2DC6">
        <w:rPr>
          <w:rFonts w:ascii="Calibri" w:hAnsi="Calibri" w:cs="Calibri"/>
          <w:color w:val="000000" w:themeColor="text1"/>
        </w:rPr>
        <w:t>The Act states in S.47 that assault occasioning actual bodily harm is punishable by a maximum of 5 years imprisonment and a fine, however provides no minimum sentence</w:t>
      </w:r>
      <w:r w:rsidR="00FD1123" w:rsidRPr="006B2DC6">
        <w:rPr>
          <w:rFonts w:ascii="Calibri" w:hAnsi="Calibri" w:cs="Calibri"/>
          <w:color w:val="000000" w:themeColor="text1"/>
        </w:rPr>
        <w:t xml:space="preserve"> (Offences Against the Person Act 1861)</w:t>
      </w:r>
      <w:r w:rsidRPr="006B2DC6">
        <w:rPr>
          <w:rFonts w:ascii="Calibri" w:hAnsi="Calibri" w:cs="Calibri"/>
          <w:color w:val="000000" w:themeColor="text1"/>
        </w:rPr>
        <w:t>. This would make the crime triable either way, meaning it could be tried in either the crown or magistrate’s court. If tried in the magistrate</w:t>
      </w:r>
      <w:r w:rsidR="000D23EB" w:rsidRPr="006B2DC6">
        <w:rPr>
          <w:rFonts w:ascii="Calibri" w:hAnsi="Calibri" w:cs="Calibri"/>
          <w:color w:val="000000" w:themeColor="text1"/>
        </w:rPr>
        <w:t>’</w:t>
      </w:r>
      <w:r w:rsidRPr="006B2DC6">
        <w:rPr>
          <w:rFonts w:ascii="Calibri" w:hAnsi="Calibri" w:cs="Calibri"/>
          <w:color w:val="000000" w:themeColor="text1"/>
        </w:rPr>
        <w:t xml:space="preserve">s court, the penalty would be capped at </w:t>
      </w:r>
      <w:r w:rsidR="000D23EB" w:rsidRPr="006B2DC6">
        <w:rPr>
          <w:rFonts w:ascii="Calibri" w:hAnsi="Calibri" w:cs="Calibri"/>
          <w:color w:val="000000" w:themeColor="text1"/>
        </w:rPr>
        <w:t>six months</w:t>
      </w:r>
      <w:r w:rsidRPr="006B2DC6">
        <w:rPr>
          <w:rFonts w:ascii="Calibri" w:hAnsi="Calibri" w:cs="Calibri"/>
          <w:color w:val="000000" w:themeColor="text1"/>
        </w:rPr>
        <w:t xml:space="preserve"> of imprisonment </w:t>
      </w:r>
      <w:r w:rsidR="000D23EB" w:rsidRPr="006B2DC6">
        <w:rPr>
          <w:rFonts w:ascii="Calibri" w:hAnsi="Calibri" w:cs="Calibri"/>
          <w:color w:val="000000" w:themeColor="text1"/>
        </w:rPr>
        <w:t xml:space="preserve">due to s.133 of the Magistrate’s Courts Acts (1980) </w:t>
      </w:r>
      <w:r w:rsidRPr="006B2DC6">
        <w:rPr>
          <w:rFonts w:ascii="Calibri" w:hAnsi="Calibri" w:cs="Calibri"/>
          <w:color w:val="000000" w:themeColor="text1"/>
        </w:rPr>
        <w:t>and a fine, whereas in the crown court, the penalty would be capped at its full 5 years</w:t>
      </w:r>
      <w:r w:rsidR="00B75493" w:rsidRPr="006B2DC6">
        <w:rPr>
          <w:rFonts w:ascii="Calibri" w:hAnsi="Calibri" w:cs="Calibri"/>
          <w:color w:val="000000" w:themeColor="text1"/>
        </w:rPr>
        <w:t xml:space="preserve">. Upon first hearing, the defendant will be required to make a plea, either of guilty, or not guilty. In the event of guilty plea, the defendant will be tried as if they had already </w:t>
      </w:r>
      <w:r w:rsidR="00FD1123" w:rsidRPr="006B2DC6">
        <w:rPr>
          <w:rFonts w:ascii="Calibri" w:hAnsi="Calibri" w:cs="Calibri"/>
          <w:color w:val="000000" w:themeColor="text1"/>
        </w:rPr>
        <w:t>been</w:t>
      </w:r>
      <w:r w:rsidR="00B75493" w:rsidRPr="006B2DC6">
        <w:rPr>
          <w:rFonts w:ascii="Calibri" w:hAnsi="Calibri" w:cs="Calibri"/>
          <w:color w:val="000000" w:themeColor="text1"/>
        </w:rPr>
        <w:t xml:space="preserve"> found guilty, and all evidence is used in finding a sufficient punishment, however, in the case that the magistrate’s court decides its power is </w:t>
      </w:r>
      <w:r w:rsidR="00634C1F" w:rsidRPr="006B2DC6">
        <w:rPr>
          <w:rFonts w:ascii="Calibri" w:hAnsi="Calibri" w:cs="Calibri"/>
          <w:color w:val="000000" w:themeColor="text1"/>
        </w:rPr>
        <w:t>insufficient</w:t>
      </w:r>
      <w:r w:rsidR="00B75493" w:rsidRPr="006B2DC6">
        <w:rPr>
          <w:rFonts w:ascii="Calibri" w:hAnsi="Calibri" w:cs="Calibri"/>
          <w:color w:val="000000" w:themeColor="text1"/>
        </w:rPr>
        <w:t xml:space="preserve"> to pass a just sentence, then it will be committed to the crown court. In the event of a not guilty plea, both the defendant and prosecution will be given time to provide evidence </w:t>
      </w:r>
      <w:r w:rsidR="00634C1F" w:rsidRPr="006B2DC6">
        <w:rPr>
          <w:rFonts w:ascii="Calibri" w:hAnsi="Calibri" w:cs="Calibri"/>
          <w:color w:val="000000" w:themeColor="text1"/>
        </w:rPr>
        <w:t xml:space="preserve">and argue as to which court the case should be hard in as per the Magistrate’s Court Act (1980). this evidence includes prior convictions, which the client has, although this is unlikely to significantly impact proceedings due to the low severity of the previous conviction and its circumstances. However, due to the possibility of this prior conviction being used as ‘bad character evidence’, the client should be informed of the duty to present this to the court, </w:t>
      </w:r>
      <w:r w:rsidR="00F221AC" w:rsidRPr="006B2DC6">
        <w:rPr>
          <w:rFonts w:ascii="Calibri" w:hAnsi="Calibri" w:cs="Calibri"/>
          <w:color w:val="000000" w:themeColor="text1"/>
        </w:rPr>
        <w:t xml:space="preserve">as well as being advised to plead guilty as to avoid the possibility of an indictment mode of trial. </w:t>
      </w:r>
    </w:p>
    <w:p w14:paraId="66AD3071" w14:textId="0A26ED94" w:rsidR="00F221AC" w:rsidRPr="006B2DC6" w:rsidRDefault="00F221AC">
      <w:pPr>
        <w:rPr>
          <w:rFonts w:ascii="Calibri" w:hAnsi="Calibri" w:cs="Calibri"/>
          <w:color w:val="000000" w:themeColor="text1"/>
        </w:rPr>
      </w:pPr>
      <w:r w:rsidRPr="006B2DC6">
        <w:rPr>
          <w:rFonts w:ascii="Calibri" w:hAnsi="Calibri" w:cs="Calibri"/>
          <w:color w:val="000000" w:themeColor="text1"/>
        </w:rPr>
        <w:t xml:space="preserve">The client also brings to our attention </w:t>
      </w:r>
      <w:r w:rsidR="00FD1123" w:rsidRPr="006B2DC6">
        <w:rPr>
          <w:rFonts w:ascii="Calibri" w:hAnsi="Calibri" w:cs="Calibri"/>
          <w:color w:val="000000" w:themeColor="text1"/>
        </w:rPr>
        <w:t>several</w:t>
      </w:r>
      <w:r w:rsidRPr="006B2DC6">
        <w:rPr>
          <w:rFonts w:ascii="Calibri" w:hAnsi="Calibri" w:cs="Calibri"/>
          <w:color w:val="000000" w:themeColor="text1"/>
        </w:rPr>
        <w:t xml:space="preserve"> alleged acts of misconduct by the police who interviewed and acquired samples from herself. The client claims that she did not consent to her </w:t>
      </w:r>
      <w:r w:rsidRPr="006B2DC6">
        <w:rPr>
          <w:rFonts w:ascii="Calibri" w:hAnsi="Calibri" w:cs="Calibri"/>
          <w:color w:val="000000" w:themeColor="text1"/>
        </w:rPr>
        <w:lastRenderedPageBreak/>
        <w:t>fingerprints being taken.</w:t>
      </w:r>
      <w:r w:rsidR="00126DD8" w:rsidRPr="006B2DC6">
        <w:rPr>
          <w:rFonts w:ascii="Calibri" w:hAnsi="Calibri" w:cs="Calibri"/>
          <w:color w:val="000000" w:themeColor="text1"/>
        </w:rPr>
        <w:t xml:space="preserve"> Under S.61 of the Police and Criminal Evidence Act (1984), consent is not required to take fingerprints if the subject has been arrested or detained following a recordable offence. Due to this, the force used to acquire prints may be justified, and the client should be advised accordingly. The client also alleges that the police did not inform her of her right to </w:t>
      </w:r>
      <w:r w:rsidR="000F7E04" w:rsidRPr="006B2DC6">
        <w:rPr>
          <w:rFonts w:ascii="Calibri" w:hAnsi="Calibri" w:cs="Calibri"/>
          <w:color w:val="000000" w:themeColor="text1"/>
        </w:rPr>
        <w:t xml:space="preserve">a legal professional while being interviewed. </w:t>
      </w:r>
      <w:r w:rsidR="00D961B0" w:rsidRPr="006B2DC6">
        <w:rPr>
          <w:rFonts w:ascii="Calibri" w:hAnsi="Calibri" w:cs="Calibri"/>
          <w:color w:val="000000" w:themeColor="text1"/>
        </w:rPr>
        <w:t xml:space="preserve">This right is provided by </w:t>
      </w:r>
      <w:proofErr w:type="gramStart"/>
      <w:r w:rsidR="00D961B0" w:rsidRPr="006B2DC6">
        <w:rPr>
          <w:rFonts w:ascii="Calibri" w:hAnsi="Calibri" w:cs="Calibri"/>
          <w:color w:val="000000" w:themeColor="text1"/>
        </w:rPr>
        <w:t>a number of</w:t>
      </w:r>
      <w:proofErr w:type="gramEnd"/>
      <w:r w:rsidR="00D961B0" w:rsidRPr="006B2DC6">
        <w:rPr>
          <w:rFonts w:ascii="Calibri" w:hAnsi="Calibri" w:cs="Calibri"/>
          <w:color w:val="000000" w:themeColor="text1"/>
        </w:rPr>
        <w:t xml:space="preserve"> legal authorities, including S.58(1) of PACE, which requires that before an interview, the detainee be reminded of their legal right to a solicitor. This right, in the case of the client this right would have been breached, making the interview unlawful, and thus possibly removable from evidence. </w:t>
      </w:r>
      <w:r w:rsidR="00A531BF" w:rsidRPr="006B2DC6">
        <w:rPr>
          <w:rFonts w:ascii="Calibri" w:hAnsi="Calibri" w:cs="Calibri"/>
          <w:color w:val="000000" w:themeColor="text1"/>
        </w:rPr>
        <w:t>This right is similarly provided by the PACE codes of practice</w:t>
      </w:r>
      <w:r w:rsidR="002F7A8C" w:rsidRPr="006B2DC6">
        <w:rPr>
          <w:rFonts w:ascii="Calibri" w:hAnsi="Calibri" w:cs="Calibri"/>
          <w:color w:val="000000" w:themeColor="text1"/>
        </w:rPr>
        <w:t xml:space="preserve"> (Home Office 2019)</w:t>
      </w:r>
      <w:r w:rsidR="00A531BF" w:rsidRPr="006B2DC6">
        <w:rPr>
          <w:rFonts w:ascii="Calibri" w:hAnsi="Calibri" w:cs="Calibri"/>
          <w:color w:val="000000" w:themeColor="text1"/>
        </w:rPr>
        <w:t xml:space="preserve">, Code C.6, which confirms this right, and Code C.11.2, which requires officers before an interview to state the right to representation to the detainee being questioned. </w:t>
      </w:r>
      <w:r w:rsidR="00D961B0" w:rsidRPr="006B2DC6">
        <w:rPr>
          <w:rFonts w:ascii="Calibri" w:hAnsi="Calibri" w:cs="Calibri"/>
          <w:color w:val="000000" w:themeColor="text1"/>
        </w:rPr>
        <w:t>The most important authority that provides this right however, is the Human Rights Act (1998)</w:t>
      </w:r>
      <w:r w:rsidR="00A531BF" w:rsidRPr="006B2DC6">
        <w:rPr>
          <w:rFonts w:ascii="Calibri" w:hAnsi="Calibri" w:cs="Calibri"/>
          <w:color w:val="000000" w:themeColor="text1"/>
        </w:rPr>
        <w:t xml:space="preserve">, which in article 6, right to fair trial, subsection 3 states that all people that are tried for a crime must be  allowed the legal representation of their choosing or be provided with free legal representation if they so choose, and it is in the interests of justice to do so. The client may be able to have anything said in interview excluded as evidence due to this breech, however this is not certain. While this may not cause any substantive impact to this case, it may allow a new case to be brought against the state on the grounds that the police had failed in their duties and had thus breeched the client’s human rights. The client should be advised as to the breech of their rights, and what steps can be taken to remedy this breech going forward. </w:t>
      </w:r>
    </w:p>
    <w:p w14:paraId="043DAD7E" w14:textId="0117DBBB" w:rsidR="00A531BF" w:rsidRPr="006B2DC6" w:rsidRDefault="00A531BF">
      <w:pPr>
        <w:rPr>
          <w:rFonts w:ascii="Calibri" w:hAnsi="Calibri" w:cs="Calibri"/>
          <w:color w:val="000000" w:themeColor="text1"/>
        </w:rPr>
      </w:pPr>
      <w:r w:rsidRPr="006B2DC6">
        <w:rPr>
          <w:rFonts w:ascii="Calibri" w:hAnsi="Calibri" w:cs="Calibri"/>
          <w:color w:val="000000" w:themeColor="text1"/>
        </w:rPr>
        <w:t xml:space="preserve">In conclusion, it is likely that the client will be convicted of ABH due to her acts adhering to statutory guidelines on the mens rea and actus reus of the </w:t>
      </w:r>
      <w:r w:rsidR="00A17F7E" w:rsidRPr="006B2DC6">
        <w:rPr>
          <w:rFonts w:ascii="Calibri" w:hAnsi="Calibri" w:cs="Calibri"/>
          <w:color w:val="000000" w:themeColor="text1"/>
        </w:rPr>
        <w:t>crime and should be advised to plead guilty. This case will likely be brought to the magistrate</w:t>
      </w:r>
      <w:r w:rsidR="002F7A8C" w:rsidRPr="006B2DC6">
        <w:rPr>
          <w:rFonts w:ascii="Calibri" w:hAnsi="Calibri" w:cs="Calibri"/>
          <w:color w:val="000000" w:themeColor="text1"/>
        </w:rPr>
        <w:t>’</w:t>
      </w:r>
      <w:r w:rsidR="00A17F7E" w:rsidRPr="006B2DC6">
        <w:rPr>
          <w:rFonts w:ascii="Calibri" w:hAnsi="Calibri" w:cs="Calibri"/>
          <w:color w:val="000000" w:themeColor="text1"/>
        </w:rPr>
        <w:t xml:space="preserve">s </w:t>
      </w:r>
      <w:r w:rsidR="002F7A8C" w:rsidRPr="006B2DC6">
        <w:rPr>
          <w:rFonts w:ascii="Calibri" w:hAnsi="Calibri" w:cs="Calibri"/>
          <w:color w:val="000000" w:themeColor="text1"/>
        </w:rPr>
        <w:t>court;</w:t>
      </w:r>
      <w:r w:rsidR="00A17F7E" w:rsidRPr="006B2DC6">
        <w:rPr>
          <w:rFonts w:ascii="Calibri" w:hAnsi="Calibri" w:cs="Calibri"/>
          <w:color w:val="000000" w:themeColor="text1"/>
        </w:rPr>
        <w:t xml:space="preserve"> </w:t>
      </w:r>
      <w:r w:rsidR="002F7A8C" w:rsidRPr="006B2DC6">
        <w:rPr>
          <w:rFonts w:ascii="Calibri" w:hAnsi="Calibri" w:cs="Calibri"/>
          <w:color w:val="000000" w:themeColor="text1"/>
        </w:rPr>
        <w:t>however,</w:t>
      </w:r>
      <w:r w:rsidR="00A17F7E" w:rsidRPr="006B2DC6">
        <w:rPr>
          <w:rFonts w:ascii="Calibri" w:hAnsi="Calibri" w:cs="Calibri"/>
          <w:color w:val="000000" w:themeColor="text1"/>
        </w:rPr>
        <w:t xml:space="preserve"> the client’s previous convictions will be </w:t>
      </w:r>
      <w:proofErr w:type="gramStart"/>
      <w:r w:rsidR="00A17F7E" w:rsidRPr="006B2DC6">
        <w:rPr>
          <w:rFonts w:ascii="Calibri" w:hAnsi="Calibri" w:cs="Calibri"/>
          <w:color w:val="000000" w:themeColor="text1"/>
        </w:rPr>
        <w:t>taken into account</w:t>
      </w:r>
      <w:proofErr w:type="gramEnd"/>
      <w:r w:rsidR="00A17F7E" w:rsidRPr="006B2DC6">
        <w:rPr>
          <w:rFonts w:ascii="Calibri" w:hAnsi="Calibri" w:cs="Calibri"/>
          <w:color w:val="000000" w:themeColor="text1"/>
        </w:rPr>
        <w:t xml:space="preserve"> in this allocation of mode of trial, alongside all evidence, making this uncertain. The client should be advised accordingly. Finally, while the police did not breech their powers in the taking of the fingerprints, they did breech the rights of the client under PACE 1984</w:t>
      </w:r>
      <w:r w:rsidR="002F7A8C" w:rsidRPr="006B2DC6">
        <w:rPr>
          <w:rFonts w:ascii="Calibri" w:hAnsi="Calibri" w:cs="Calibri"/>
          <w:color w:val="000000" w:themeColor="text1"/>
        </w:rPr>
        <w:t xml:space="preserve"> (Police and Criminal Evidence Act 1984)</w:t>
      </w:r>
      <w:r w:rsidR="00A17F7E" w:rsidRPr="006B2DC6">
        <w:rPr>
          <w:rFonts w:ascii="Calibri" w:hAnsi="Calibri" w:cs="Calibri"/>
          <w:color w:val="000000" w:themeColor="text1"/>
        </w:rPr>
        <w:t>, The codes of practice Code C.6 and C.11.2</w:t>
      </w:r>
      <w:r w:rsidR="002F7A8C" w:rsidRPr="006B2DC6">
        <w:rPr>
          <w:rFonts w:ascii="Calibri" w:hAnsi="Calibri" w:cs="Calibri"/>
          <w:color w:val="000000" w:themeColor="text1"/>
        </w:rPr>
        <w:t xml:space="preserve"> </w:t>
      </w:r>
      <w:r w:rsidR="002F7A8C" w:rsidRPr="006B2DC6">
        <w:rPr>
          <w:rFonts w:ascii="Calibri" w:hAnsi="Calibri" w:cs="Calibri"/>
          <w:color w:val="000000" w:themeColor="text1"/>
        </w:rPr>
        <w:t>(Home Office 2019)</w:t>
      </w:r>
      <w:r w:rsidR="00A17F7E" w:rsidRPr="006B2DC6">
        <w:rPr>
          <w:rFonts w:ascii="Calibri" w:hAnsi="Calibri" w:cs="Calibri"/>
          <w:color w:val="000000" w:themeColor="text1"/>
        </w:rPr>
        <w:t xml:space="preserve">, as well as her human right to a fair trial under the Human Rights Act 1998, Article 6, specifically subsection 3, in reference to the right to legal representation. The client should be informed of their right to bring a trial against the state </w:t>
      </w:r>
      <w:proofErr w:type="gramStart"/>
      <w:r w:rsidR="00A17F7E" w:rsidRPr="006B2DC6">
        <w:rPr>
          <w:rFonts w:ascii="Calibri" w:hAnsi="Calibri" w:cs="Calibri"/>
          <w:color w:val="000000" w:themeColor="text1"/>
        </w:rPr>
        <w:t>with regard to</w:t>
      </w:r>
      <w:proofErr w:type="gramEnd"/>
      <w:r w:rsidR="00A17F7E" w:rsidRPr="006B2DC6">
        <w:rPr>
          <w:rFonts w:ascii="Calibri" w:hAnsi="Calibri" w:cs="Calibri"/>
          <w:color w:val="000000" w:themeColor="text1"/>
        </w:rPr>
        <w:t xml:space="preserve"> these breeches of her rights. </w:t>
      </w:r>
    </w:p>
    <w:p w14:paraId="05903588" w14:textId="77777777" w:rsidR="00FD1123" w:rsidRPr="006B2DC6" w:rsidRDefault="00FD1123">
      <w:pPr>
        <w:rPr>
          <w:rFonts w:ascii="Calibri" w:hAnsi="Calibri" w:cs="Calibri"/>
          <w:color w:val="000000" w:themeColor="text1"/>
        </w:rPr>
      </w:pPr>
    </w:p>
    <w:p w14:paraId="411ADE8A" w14:textId="77777777" w:rsidR="00FD1123" w:rsidRPr="006B2DC6" w:rsidRDefault="00FD1123">
      <w:pPr>
        <w:rPr>
          <w:rFonts w:ascii="Calibri" w:hAnsi="Calibri" w:cs="Calibri"/>
          <w:color w:val="000000" w:themeColor="text1"/>
        </w:rPr>
      </w:pPr>
    </w:p>
    <w:p w14:paraId="057FA59C" w14:textId="77777777" w:rsidR="00FD1123" w:rsidRPr="006B2DC6" w:rsidRDefault="00FD1123">
      <w:pPr>
        <w:rPr>
          <w:rFonts w:ascii="Calibri" w:hAnsi="Calibri" w:cs="Calibri"/>
          <w:color w:val="000000" w:themeColor="text1"/>
        </w:rPr>
      </w:pPr>
    </w:p>
    <w:p w14:paraId="79664909" w14:textId="77777777" w:rsidR="00FD1123" w:rsidRPr="006B2DC6" w:rsidRDefault="00FD1123">
      <w:pPr>
        <w:rPr>
          <w:rFonts w:ascii="Calibri" w:hAnsi="Calibri" w:cs="Calibri"/>
          <w:color w:val="000000" w:themeColor="text1"/>
        </w:rPr>
      </w:pPr>
    </w:p>
    <w:p w14:paraId="5D243540" w14:textId="77777777" w:rsidR="00FD1123" w:rsidRDefault="00FD1123">
      <w:pPr>
        <w:rPr>
          <w:rFonts w:ascii="Calibri" w:hAnsi="Calibri" w:cs="Calibri"/>
          <w:color w:val="000000" w:themeColor="text1"/>
        </w:rPr>
      </w:pPr>
    </w:p>
    <w:p w14:paraId="50E0D400" w14:textId="77777777" w:rsidR="006B2DC6" w:rsidRDefault="006B2DC6">
      <w:pPr>
        <w:rPr>
          <w:rFonts w:ascii="Calibri" w:hAnsi="Calibri" w:cs="Calibri"/>
          <w:color w:val="000000" w:themeColor="text1"/>
        </w:rPr>
      </w:pPr>
    </w:p>
    <w:p w14:paraId="5A0F4D30" w14:textId="77777777" w:rsidR="006B2DC6" w:rsidRDefault="006B2DC6">
      <w:pPr>
        <w:rPr>
          <w:rFonts w:ascii="Calibri" w:hAnsi="Calibri" w:cs="Calibri"/>
          <w:color w:val="000000" w:themeColor="text1"/>
        </w:rPr>
      </w:pPr>
    </w:p>
    <w:p w14:paraId="5F203200" w14:textId="77777777" w:rsidR="006B2DC6" w:rsidRDefault="006B2DC6">
      <w:pPr>
        <w:rPr>
          <w:rFonts w:ascii="Calibri" w:hAnsi="Calibri" w:cs="Calibri"/>
          <w:color w:val="000000" w:themeColor="text1"/>
        </w:rPr>
      </w:pPr>
    </w:p>
    <w:p w14:paraId="1AB21B9B" w14:textId="77777777" w:rsidR="006B2DC6" w:rsidRDefault="006B2DC6">
      <w:pPr>
        <w:rPr>
          <w:rFonts w:ascii="Calibri" w:hAnsi="Calibri" w:cs="Calibri"/>
          <w:color w:val="000000" w:themeColor="text1"/>
        </w:rPr>
      </w:pPr>
    </w:p>
    <w:p w14:paraId="692B8EA6" w14:textId="77777777" w:rsidR="006B2DC6" w:rsidRDefault="006B2DC6">
      <w:pPr>
        <w:rPr>
          <w:rFonts w:ascii="Calibri" w:hAnsi="Calibri" w:cs="Calibri"/>
          <w:color w:val="000000" w:themeColor="text1"/>
        </w:rPr>
      </w:pPr>
    </w:p>
    <w:p w14:paraId="42B57BB6" w14:textId="77777777" w:rsidR="006B2DC6" w:rsidRDefault="006B2DC6">
      <w:pPr>
        <w:rPr>
          <w:rFonts w:ascii="Calibri" w:hAnsi="Calibri" w:cs="Calibri"/>
          <w:color w:val="000000" w:themeColor="text1"/>
        </w:rPr>
      </w:pPr>
    </w:p>
    <w:p w14:paraId="155B2986" w14:textId="7B098C6C" w:rsidR="006B2DC6" w:rsidRPr="006B2DC6" w:rsidRDefault="006B2DC6">
      <w:pPr>
        <w:rPr>
          <w:rFonts w:ascii="Calibri" w:hAnsi="Calibri" w:cs="Calibri"/>
          <w:color w:val="000000" w:themeColor="text1"/>
        </w:rPr>
      </w:pPr>
    </w:p>
    <w:p w14:paraId="31F2E6D8" w14:textId="2CCDD384" w:rsidR="00FD1123" w:rsidRPr="006B2DC6" w:rsidRDefault="00FD1123">
      <w:pPr>
        <w:rPr>
          <w:rFonts w:ascii="Calibri" w:hAnsi="Calibri" w:cs="Calibri"/>
          <w:color w:val="000000" w:themeColor="text1"/>
        </w:rPr>
      </w:pPr>
      <w:r w:rsidRPr="006B2DC6">
        <w:rPr>
          <w:rFonts w:ascii="Calibri" w:hAnsi="Calibri" w:cs="Calibri"/>
          <w:color w:val="000000" w:themeColor="text1"/>
        </w:rPr>
        <w:lastRenderedPageBreak/>
        <w:t>References</w:t>
      </w:r>
      <w:r w:rsidR="006B2DC6">
        <w:rPr>
          <w:rFonts w:ascii="Calibri" w:hAnsi="Calibri" w:cs="Calibri"/>
          <w:color w:val="000000" w:themeColor="text1"/>
        </w:rPr>
        <w:t>:</w:t>
      </w:r>
    </w:p>
    <w:p w14:paraId="20575191" w14:textId="611B581C" w:rsidR="00FD1123" w:rsidRPr="006B2DC6" w:rsidRDefault="00FD1123">
      <w:pPr>
        <w:rPr>
          <w:rFonts w:ascii="Calibri" w:hAnsi="Calibri" w:cs="Calibri"/>
          <w:color w:val="000000" w:themeColor="text1"/>
        </w:rPr>
      </w:pPr>
      <w:r w:rsidRPr="006B2DC6">
        <w:rPr>
          <w:rFonts w:ascii="Calibri" w:hAnsi="Calibri" w:cs="Calibri"/>
          <w:color w:val="000000" w:themeColor="text1"/>
        </w:rPr>
        <w:t xml:space="preserve">‘DPP v Smith (Michael Ross)’ (2006). Divisional Court. Available at: </w:t>
      </w:r>
      <w:hyperlink r:id="rId4" w:history="1">
        <w:r w:rsidRPr="006B2DC6">
          <w:rPr>
            <w:rStyle w:val="Hyperlink"/>
            <w:rFonts w:ascii="Calibri" w:hAnsi="Calibri" w:cs="Calibri"/>
            <w:color w:val="000000" w:themeColor="text1"/>
          </w:rPr>
          <w:t>https://plus-lexis-com.ezproxy.uwtsd.ac.uk/uk/cases-uk/dpp-v-smith-michael-ross/?crid=35d1bb6d-ebaa-4955-bd39-15e56caaf225</w:t>
        </w:r>
      </w:hyperlink>
      <w:r w:rsidRPr="006B2DC6">
        <w:rPr>
          <w:rFonts w:ascii="Calibri" w:hAnsi="Calibri" w:cs="Calibri"/>
          <w:color w:val="000000" w:themeColor="text1"/>
        </w:rPr>
        <w:t xml:space="preserve"> (Accessed 15/03/2024)</w:t>
      </w:r>
    </w:p>
    <w:p w14:paraId="7B9B49F9" w14:textId="77777777" w:rsidR="00A574AD" w:rsidRPr="006B2DC6" w:rsidRDefault="00A574AD" w:rsidP="00A574AD">
      <w:pPr>
        <w:rPr>
          <w:rFonts w:ascii="Calibri" w:hAnsi="Calibri" w:cs="Calibri"/>
          <w:color w:val="000000" w:themeColor="text1"/>
        </w:rPr>
      </w:pPr>
      <w:r w:rsidRPr="006B2DC6">
        <w:rPr>
          <w:rFonts w:ascii="Calibri" w:hAnsi="Calibri" w:cs="Calibri"/>
          <w:color w:val="000000" w:themeColor="text1"/>
        </w:rPr>
        <w:t xml:space="preserve">Home Office (2019). </w:t>
      </w:r>
      <w:r w:rsidRPr="006B2DC6">
        <w:rPr>
          <w:rFonts w:ascii="Calibri" w:hAnsi="Calibri" w:cs="Calibri"/>
          <w:i/>
          <w:iCs/>
          <w:color w:val="000000" w:themeColor="text1"/>
        </w:rPr>
        <w:t>Police and Criminal Evidence Act 1984 Code C</w:t>
      </w:r>
      <w:r w:rsidRPr="006B2DC6">
        <w:rPr>
          <w:rFonts w:ascii="Calibri" w:hAnsi="Calibri" w:cs="Calibri"/>
          <w:color w:val="000000" w:themeColor="text1"/>
        </w:rPr>
        <w:t xml:space="preserve">. Available at: </w:t>
      </w:r>
      <w:hyperlink r:id="rId5" w:history="1">
        <w:r w:rsidRPr="006B2DC6">
          <w:rPr>
            <w:rStyle w:val="Hyperlink"/>
            <w:rFonts w:ascii="Calibri" w:hAnsi="Calibri" w:cs="Calibri"/>
            <w:color w:val="000000" w:themeColor="text1"/>
          </w:rPr>
          <w:t>https://www.gov.uk/government/publications/pace-code-c-2019/pace-code-c-2019-accessible</w:t>
        </w:r>
      </w:hyperlink>
      <w:r w:rsidRPr="006B2DC6">
        <w:rPr>
          <w:rFonts w:ascii="Calibri" w:hAnsi="Calibri" w:cs="Calibri"/>
          <w:color w:val="000000" w:themeColor="text1"/>
        </w:rPr>
        <w:t xml:space="preserve"> (Accessed 15/03/2024)</w:t>
      </w:r>
    </w:p>
    <w:p w14:paraId="0A97C633" w14:textId="1BD4DED8" w:rsidR="00A574AD" w:rsidRPr="006B2DC6" w:rsidRDefault="00A574AD">
      <w:pPr>
        <w:rPr>
          <w:rFonts w:ascii="Calibri" w:hAnsi="Calibri" w:cs="Calibri"/>
          <w:color w:val="000000" w:themeColor="text1"/>
        </w:rPr>
      </w:pPr>
      <w:r w:rsidRPr="006B2DC6">
        <w:rPr>
          <w:rFonts w:ascii="Calibri" w:hAnsi="Calibri" w:cs="Calibri"/>
          <w:color w:val="000000" w:themeColor="text1"/>
        </w:rPr>
        <w:t xml:space="preserve">Magistrate’s Courts Act 1980, c.43. Available at: </w:t>
      </w:r>
      <w:hyperlink r:id="rId6" w:history="1">
        <w:r w:rsidRPr="006B2DC6">
          <w:rPr>
            <w:rStyle w:val="Hyperlink"/>
            <w:rFonts w:ascii="Calibri" w:hAnsi="Calibri" w:cs="Calibri"/>
            <w:color w:val="000000" w:themeColor="text1"/>
          </w:rPr>
          <w:t>https://www.legislation.gov.uk/ukpga/1980/43</w:t>
        </w:r>
      </w:hyperlink>
      <w:r w:rsidRPr="006B2DC6">
        <w:rPr>
          <w:rFonts w:ascii="Calibri" w:hAnsi="Calibri" w:cs="Calibri"/>
          <w:color w:val="000000" w:themeColor="text1"/>
        </w:rPr>
        <w:t xml:space="preserve"> (Accessed 15/03/2024)</w:t>
      </w:r>
    </w:p>
    <w:p w14:paraId="42835E3C" w14:textId="77777777" w:rsidR="00FD1123" w:rsidRPr="006B2DC6" w:rsidRDefault="00FD1123" w:rsidP="00FD1123">
      <w:pPr>
        <w:rPr>
          <w:rFonts w:ascii="Calibri" w:hAnsi="Calibri" w:cs="Calibri"/>
          <w:color w:val="000000" w:themeColor="text1"/>
        </w:rPr>
      </w:pPr>
      <w:r w:rsidRPr="006B2DC6">
        <w:rPr>
          <w:rFonts w:ascii="Calibri" w:hAnsi="Calibri" w:cs="Calibri"/>
          <w:color w:val="000000" w:themeColor="text1"/>
        </w:rPr>
        <w:t xml:space="preserve">Offences Against the Person Act 1861, c.100. Available at: </w:t>
      </w:r>
      <w:hyperlink r:id="rId7" w:history="1">
        <w:r w:rsidRPr="006B2DC6">
          <w:rPr>
            <w:rStyle w:val="Hyperlink"/>
            <w:rFonts w:ascii="Calibri" w:hAnsi="Calibri" w:cs="Calibri"/>
            <w:color w:val="000000" w:themeColor="text1"/>
          </w:rPr>
          <w:t>https://www.legislation.gov.uk/ukpga/Vict/24-25/100/contents</w:t>
        </w:r>
      </w:hyperlink>
      <w:r w:rsidRPr="006B2DC6">
        <w:rPr>
          <w:rFonts w:ascii="Calibri" w:hAnsi="Calibri" w:cs="Calibri"/>
          <w:color w:val="000000" w:themeColor="text1"/>
        </w:rPr>
        <w:t xml:space="preserve"> (Accessed 15/03/2024)</w:t>
      </w:r>
    </w:p>
    <w:p w14:paraId="52B2B435" w14:textId="369981C1" w:rsidR="00A574AD" w:rsidRPr="006B2DC6" w:rsidRDefault="00A574AD" w:rsidP="00FD1123">
      <w:pPr>
        <w:rPr>
          <w:rFonts w:ascii="Calibri" w:hAnsi="Calibri" w:cs="Calibri"/>
          <w:color w:val="000000" w:themeColor="text1"/>
        </w:rPr>
      </w:pPr>
      <w:r w:rsidRPr="006B2DC6">
        <w:rPr>
          <w:rFonts w:ascii="Calibri" w:hAnsi="Calibri" w:cs="Calibri"/>
          <w:color w:val="000000" w:themeColor="text1"/>
        </w:rPr>
        <w:t xml:space="preserve">Police and Criminal Evidence Act 1984, c.60. Available at: </w:t>
      </w:r>
      <w:hyperlink r:id="rId8" w:history="1">
        <w:r w:rsidRPr="006B2DC6">
          <w:rPr>
            <w:rStyle w:val="Hyperlink"/>
            <w:rFonts w:ascii="Calibri" w:hAnsi="Calibri" w:cs="Calibri"/>
            <w:color w:val="000000" w:themeColor="text1"/>
          </w:rPr>
          <w:t>https://www.legislation.gov.uk/ukpga/1984/60/contents</w:t>
        </w:r>
      </w:hyperlink>
      <w:r w:rsidRPr="006B2DC6">
        <w:rPr>
          <w:rFonts w:ascii="Calibri" w:hAnsi="Calibri" w:cs="Calibri"/>
          <w:color w:val="000000" w:themeColor="text1"/>
        </w:rPr>
        <w:t xml:space="preserve"> </w:t>
      </w:r>
      <w:r w:rsidRPr="006B2DC6">
        <w:rPr>
          <w:rFonts w:ascii="Calibri" w:hAnsi="Calibri" w:cs="Calibri"/>
          <w:color w:val="000000" w:themeColor="text1"/>
        </w:rPr>
        <w:t xml:space="preserve">Police and Criminal Evidence Act 1984, c.60. Available at: </w:t>
      </w:r>
      <w:hyperlink r:id="rId9" w:history="1">
        <w:r w:rsidRPr="006B2DC6">
          <w:rPr>
            <w:rStyle w:val="Hyperlink"/>
            <w:rFonts w:ascii="Calibri" w:hAnsi="Calibri" w:cs="Calibri"/>
            <w:color w:val="000000" w:themeColor="text1"/>
          </w:rPr>
          <w:t>https://www.legislation.gov.uk/ukpga/1984/60/contents</w:t>
        </w:r>
      </w:hyperlink>
    </w:p>
    <w:p w14:paraId="4EFA02B6" w14:textId="77777777" w:rsidR="00FD1123" w:rsidRPr="006B2DC6" w:rsidRDefault="00FD1123" w:rsidP="00FD1123">
      <w:pPr>
        <w:rPr>
          <w:rFonts w:ascii="Calibri" w:hAnsi="Calibri" w:cs="Calibri"/>
          <w:color w:val="000000" w:themeColor="text1"/>
        </w:rPr>
      </w:pPr>
      <w:r w:rsidRPr="006B2DC6">
        <w:rPr>
          <w:rFonts w:ascii="Calibri" w:hAnsi="Calibri" w:cs="Calibri"/>
          <w:color w:val="000000" w:themeColor="text1"/>
        </w:rPr>
        <w:t xml:space="preserve">‘R v Savage, R v Parmenter’ (1992), House of Lords. Available at: </w:t>
      </w:r>
      <w:hyperlink r:id="rId10" w:history="1">
        <w:r w:rsidRPr="006B2DC6">
          <w:rPr>
            <w:rStyle w:val="Hyperlink"/>
            <w:rFonts w:ascii="Calibri" w:hAnsi="Calibri" w:cs="Calibri"/>
            <w:color w:val="000000" w:themeColor="text1"/>
          </w:rPr>
          <w:t>https://plus-lexis-com.ezproxy.uwtsd.ac.uk/uk/cases-uk/r-v-savage-r-v-parmenter/?crid=d5378fca-f5cd-4b39-8880-7b2bfdb48534</w:t>
        </w:r>
      </w:hyperlink>
      <w:r w:rsidRPr="006B2DC6">
        <w:rPr>
          <w:rFonts w:ascii="Calibri" w:hAnsi="Calibri" w:cs="Calibri"/>
          <w:color w:val="000000" w:themeColor="text1"/>
        </w:rPr>
        <w:t xml:space="preserve"> (Accessed 15/03/2024)</w:t>
      </w:r>
    </w:p>
    <w:p w14:paraId="53DF71D5" w14:textId="77777777" w:rsidR="002F7A8C" w:rsidRPr="006B2DC6" w:rsidRDefault="002F7A8C">
      <w:pPr>
        <w:rPr>
          <w:rFonts w:ascii="Calibri" w:hAnsi="Calibri" w:cs="Calibri"/>
          <w:color w:val="000000" w:themeColor="text1"/>
        </w:rPr>
      </w:pPr>
    </w:p>
    <w:p w14:paraId="27877AF3" w14:textId="1D0B714A" w:rsidR="002F7A8C" w:rsidRPr="006B2DC6" w:rsidRDefault="00F82DD4">
      <w:pPr>
        <w:rPr>
          <w:rFonts w:ascii="Calibri" w:hAnsi="Calibri" w:cs="Calibri"/>
          <w:color w:val="000000" w:themeColor="text1"/>
        </w:rPr>
      </w:pPr>
      <w:r w:rsidRPr="006B2DC6">
        <w:rPr>
          <w:rFonts w:ascii="Calibri" w:hAnsi="Calibri" w:cs="Calibri"/>
          <w:color w:val="000000" w:themeColor="text1"/>
        </w:rPr>
        <w:t>Gabrial Harris</w:t>
      </w:r>
    </w:p>
    <w:p w14:paraId="0B266A75" w14:textId="2E119F17" w:rsidR="00F82DD4" w:rsidRPr="006B2DC6" w:rsidRDefault="00F82DD4">
      <w:pPr>
        <w:rPr>
          <w:rFonts w:ascii="Calibri" w:hAnsi="Calibri" w:cs="Calibri"/>
          <w:color w:val="000000" w:themeColor="text1"/>
        </w:rPr>
      </w:pPr>
      <w:r w:rsidRPr="006B2DC6">
        <w:rPr>
          <w:rFonts w:ascii="Calibri" w:hAnsi="Calibri" w:cs="Calibri"/>
          <w:color w:val="000000" w:themeColor="text1"/>
        </w:rPr>
        <w:t>2305593</w:t>
      </w:r>
    </w:p>
    <w:sectPr w:rsidR="00F82DD4" w:rsidRPr="006B2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828F5"/>
    <w:rsid w:val="00022E2B"/>
    <w:rsid w:val="000C1A69"/>
    <w:rsid w:val="000D23EB"/>
    <w:rsid w:val="000F7E04"/>
    <w:rsid w:val="00126DD8"/>
    <w:rsid w:val="002F7A8C"/>
    <w:rsid w:val="003627AF"/>
    <w:rsid w:val="003B3A3D"/>
    <w:rsid w:val="00405F8A"/>
    <w:rsid w:val="005828F5"/>
    <w:rsid w:val="005F5297"/>
    <w:rsid w:val="00600F50"/>
    <w:rsid w:val="00634C1F"/>
    <w:rsid w:val="006B2DC6"/>
    <w:rsid w:val="006D4435"/>
    <w:rsid w:val="00A17F7E"/>
    <w:rsid w:val="00A50A58"/>
    <w:rsid w:val="00A531BF"/>
    <w:rsid w:val="00A574AD"/>
    <w:rsid w:val="00B75493"/>
    <w:rsid w:val="00C85290"/>
    <w:rsid w:val="00CF2555"/>
    <w:rsid w:val="00D961B0"/>
    <w:rsid w:val="00DF055E"/>
    <w:rsid w:val="00E533AC"/>
    <w:rsid w:val="00F221AC"/>
    <w:rsid w:val="00F82DD4"/>
    <w:rsid w:val="00FD1123"/>
    <w:rsid w:val="00FD4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CFA3"/>
  <w15:chartTrackingRefBased/>
  <w15:docId w15:val="{BB9C1B73-5024-4FD2-8AAF-AB2156D5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8F5"/>
    <w:rPr>
      <w:rFonts w:eastAsiaTheme="majorEastAsia" w:cstheme="majorBidi"/>
      <w:color w:val="272727" w:themeColor="text1" w:themeTint="D8"/>
    </w:rPr>
  </w:style>
  <w:style w:type="paragraph" w:styleId="Title">
    <w:name w:val="Title"/>
    <w:basedOn w:val="Normal"/>
    <w:next w:val="Normal"/>
    <w:link w:val="TitleChar"/>
    <w:uiPriority w:val="10"/>
    <w:qFormat/>
    <w:rsid w:val="00582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8F5"/>
    <w:pPr>
      <w:spacing w:before="160"/>
      <w:jc w:val="center"/>
    </w:pPr>
    <w:rPr>
      <w:i/>
      <w:iCs/>
      <w:color w:val="404040" w:themeColor="text1" w:themeTint="BF"/>
    </w:rPr>
  </w:style>
  <w:style w:type="character" w:customStyle="1" w:styleId="QuoteChar">
    <w:name w:val="Quote Char"/>
    <w:basedOn w:val="DefaultParagraphFont"/>
    <w:link w:val="Quote"/>
    <w:uiPriority w:val="29"/>
    <w:rsid w:val="005828F5"/>
    <w:rPr>
      <w:i/>
      <w:iCs/>
      <w:color w:val="404040" w:themeColor="text1" w:themeTint="BF"/>
    </w:rPr>
  </w:style>
  <w:style w:type="paragraph" w:styleId="ListParagraph">
    <w:name w:val="List Paragraph"/>
    <w:basedOn w:val="Normal"/>
    <w:uiPriority w:val="34"/>
    <w:qFormat/>
    <w:rsid w:val="005828F5"/>
    <w:pPr>
      <w:ind w:left="720"/>
      <w:contextualSpacing/>
    </w:pPr>
  </w:style>
  <w:style w:type="character" w:styleId="IntenseEmphasis">
    <w:name w:val="Intense Emphasis"/>
    <w:basedOn w:val="DefaultParagraphFont"/>
    <w:uiPriority w:val="21"/>
    <w:qFormat/>
    <w:rsid w:val="005828F5"/>
    <w:rPr>
      <w:i/>
      <w:iCs/>
      <w:color w:val="0F4761" w:themeColor="accent1" w:themeShade="BF"/>
    </w:rPr>
  </w:style>
  <w:style w:type="paragraph" w:styleId="IntenseQuote">
    <w:name w:val="Intense Quote"/>
    <w:basedOn w:val="Normal"/>
    <w:next w:val="Normal"/>
    <w:link w:val="IntenseQuoteChar"/>
    <w:uiPriority w:val="30"/>
    <w:qFormat/>
    <w:rsid w:val="00582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8F5"/>
    <w:rPr>
      <w:i/>
      <w:iCs/>
      <w:color w:val="0F4761" w:themeColor="accent1" w:themeShade="BF"/>
    </w:rPr>
  </w:style>
  <w:style w:type="character" w:styleId="IntenseReference">
    <w:name w:val="Intense Reference"/>
    <w:basedOn w:val="DefaultParagraphFont"/>
    <w:uiPriority w:val="32"/>
    <w:qFormat/>
    <w:rsid w:val="005828F5"/>
    <w:rPr>
      <w:b/>
      <w:bCs/>
      <w:smallCaps/>
      <w:color w:val="0F4761" w:themeColor="accent1" w:themeShade="BF"/>
      <w:spacing w:val="5"/>
    </w:rPr>
  </w:style>
  <w:style w:type="character" w:styleId="Hyperlink">
    <w:name w:val="Hyperlink"/>
    <w:basedOn w:val="DefaultParagraphFont"/>
    <w:uiPriority w:val="99"/>
    <w:unhideWhenUsed/>
    <w:rsid w:val="00FD1123"/>
    <w:rPr>
      <w:color w:val="467886" w:themeColor="hyperlink"/>
      <w:u w:val="single"/>
    </w:rPr>
  </w:style>
  <w:style w:type="character" w:styleId="UnresolvedMention">
    <w:name w:val="Unresolved Mention"/>
    <w:basedOn w:val="DefaultParagraphFont"/>
    <w:uiPriority w:val="99"/>
    <w:semiHidden/>
    <w:unhideWhenUsed/>
    <w:rsid w:val="00FD1123"/>
    <w:rPr>
      <w:color w:val="605E5C"/>
      <w:shd w:val="clear" w:color="auto" w:fill="E1DFDD"/>
    </w:rPr>
  </w:style>
  <w:style w:type="character" w:styleId="FollowedHyperlink">
    <w:name w:val="FollowedHyperlink"/>
    <w:basedOn w:val="DefaultParagraphFont"/>
    <w:uiPriority w:val="99"/>
    <w:semiHidden/>
    <w:unhideWhenUsed/>
    <w:rsid w:val="002F7A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4/60/contents" TargetMode="External"/><Relationship Id="rId3" Type="http://schemas.openxmlformats.org/officeDocument/2006/relationships/webSettings" Target="webSettings.xml"/><Relationship Id="rId7" Type="http://schemas.openxmlformats.org/officeDocument/2006/relationships/hyperlink" Target="https://www.legislation.gov.uk/ukpga/Vict/24-25/100/conten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80/43" TargetMode="External"/><Relationship Id="rId11" Type="http://schemas.openxmlformats.org/officeDocument/2006/relationships/fontTable" Target="fontTable.xml"/><Relationship Id="rId5" Type="http://schemas.openxmlformats.org/officeDocument/2006/relationships/hyperlink" Target="https://www.gov.uk/government/publications/pace-code-c-2019/pace-code-c-2019-accessible" TargetMode="External"/><Relationship Id="rId10" Type="http://schemas.openxmlformats.org/officeDocument/2006/relationships/hyperlink" Target="https://plus-lexis-com.ezproxy.uwtsd.ac.uk/uk/cases-uk/r-v-savage-r-v-parmenter/?crid=d5378fca-f5cd-4b39-8880-7b2bfdb48534" TargetMode="External"/><Relationship Id="rId4" Type="http://schemas.openxmlformats.org/officeDocument/2006/relationships/hyperlink" Target="https://plus-lexis-com.ezproxy.uwtsd.ac.uk/uk/cases-uk/dpp-v-smith-michael-ross/?crid=35d1bb6d-ebaa-4955-bd39-15e56caaf225" TargetMode="External"/><Relationship Id="rId9" Type="http://schemas.openxmlformats.org/officeDocument/2006/relationships/hyperlink" Target="https://www.legislation.gov.uk/ukpga/1984/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1245</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Gabrial Harris</dc:creator>
  <cp:keywords/>
  <dc:description/>
  <cp:lastModifiedBy>Gabrial Harris</cp:lastModifiedBy>
  <cp:revision>2</cp:revision>
  <dcterms:created xsi:type="dcterms:W3CDTF">2024-03-15T23:12:00Z</dcterms:created>
  <dcterms:modified xsi:type="dcterms:W3CDTF">2024-03-15T23:12:00Z</dcterms:modified>
</cp:coreProperties>
</file>