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ajorHAnsi" w:hAnsiTheme="majorHAnsi" w:eastAsiaTheme="majorEastAsia" w:cstheme="majorBidi"/>
          <w:caps/>
          <w:lang w:val="en-IN" w:eastAsia="en-IN"/>
        </w:rPr>
      </w:pPr>
      <w:r>
        <w:rPr>
          <w:rFonts w:asciiTheme="majorHAnsi" w:hAnsiTheme="majorHAnsi" w:eastAsiaTheme="majorEastAsia" w:cstheme="majorBidi"/>
          <w:caps/>
          <w:lang w:val="en-IN" w:eastAsia="en-IN"/>
        </w:rPr>
        <w:drawing>
          <wp:inline distT="0" distB="0" distL="0" distR="0">
            <wp:extent cx="2143125" cy="2143125"/>
            <wp:effectExtent l="0" t="0" r="9525" b="9525"/>
            <wp:docPr id="4"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0" descr="download.jpg"/>
                    <pic:cNvPicPr>
                      <a:picLocks noChangeAspect="1"/>
                    </pic:cNvPicPr>
                  </pic:nvPicPr>
                  <pic:blipFill>
                    <a:blip r:embed="rId4"/>
                    <a:stretch>
                      <a:fillRect/>
                    </a:stretch>
                  </pic:blipFill>
                  <pic:spPr>
                    <a:xfrm>
                      <a:off x="0" y="0"/>
                      <a:ext cx="2143125" cy="2143125"/>
                    </a:xfrm>
                    <a:prstGeom prst="rect">
                      <a:avLst/>
                    </a:prstGeom>
                  </pic:spPr>
                </pic:pic>
              </a:graphicData>
            </a:graphic>
          </wp:inline>
        </w:drawing>
      </w:r>
    </w:p>
    <w:p>
      <w:pPr>
        <w:jc w:val="center"/>
        <w:rPr>
          <w:rFonts w:asciiTheme="majorHAnsi" w:hAnsiTheme="majorHAnsi" w:eastAsiaTheme="majorEastAsia" w:cstheme="majorBidi"/>
          <w:caps/>
          <w:lang w:val="en-IN" w:eastAsia="en-IN"/>
        </w:rPr>
      </w:pPr>
    </w:p>
    <w:p>
      <w:pPr>
        <w:jc w:val="center"/>
        <w:rPr>
          <w:rFonts w:hint="default" w:ascii="Times New Roman" w:hAnsi="Times New Roman" w:cs="Times New Roman" w:eastAsiaTheme="majorEastAsia"/>
          <w:caps/>
          <w:sz w:val="72"/>
          <w:szCs w:val="72"/>
          <w:lang w:val="en-US" w:eastAsia="en-IN"/>
        </w:rPr>
      </w:pPr>
      <w:r>
        <w:rPr>
          <w:rFonts w:hint="default" w:ascii="Times New Roman" w:hAnsi="Times New Roman" w:cs="Times New Roman" w:eastAsiaTheme="majorEastAsia"/>
          <w:caps/>
          <w:sz w:val="72"/>
          <w:szCs w:val="72"/>
          <w:lang w:val="en-US" w:eastAsia="en-IN"/>
        </w:rPr>
        <w:t>BUSINESS DECISION MAKING</w:t>
      </w:r>
    </w:p>
    <w:p>
      <w:pPr>
        <w:jc w:val="center"/>
        <w:rPr>
          <w:rFonts w:hint="default" w:ascii="Times New Roman" w:hAnsi="Times New Roman" w:cs="Times New Roman" w:eastAsiaTheme="majorEastAsia"/>
          <w:caps/>
          <w:sz w:val="56"/>
          <w:szCs w:val="56"/>
          <w:lang w:val="en-US" w:eastAsia="en-IN"/>
        </w:rPr>
      </w:pPr>
      <w:r>
        <w:rPr>
          <w:rFonts w:hint="default" w:ascii="Times New Roman" w:hAnsi="Times New Roman" w:cs="Times New Roman" w:eastAsiaTheme="majorEastAsia"/>
          <w:caps/>
          <w:sz w:val="44"/>
          <w:szCs w:val="44"/>
          <w:lang w:val="en-US" w:eastAsia="en-IN"/>
        </w:rPr>
        <w:t>(SBMA7113_LON)</w:t>
      </w:r>
    </w:p>
    <w:p>
      <w:pPr>
        <w:jc w:val="center"/>
        <w:rPr>
          <w:rFonts w:hint="default" w:ascii="Times New Roman" w:hAnsi="Times New Roman" w:cs="Times New Roman"/>
          <w:sz w:val="24"/>
          <w:szCs w:val="24"/>
          <w:lang w:val="en-US" w:eastAsia="en-IN"/>
        </w:rPr>
      </w:pPr>
      <w:r>
        <w:rPr>
          <w:rFonts w:hint="default" w:ascii="Times New Roman" w:hAnsi="Times New Roman" w:cs="Times New Roman"/>
          <w:sz w:val="24"/>
          <w:szCs w:val="24"/>
          <w:lang w:val="en-US" w:eastAsia="en-IN"/>
        </w:rPr>
        <w:t>BY</w:t>
      </w:r>
    </w:p>
    <w:p>
      <w:pPr>
        <w:jc w:val="center"/>
        <w:rPr>
          <w:rFonts w:hint="default" w:ascii="Times New Roman" w:hAnsi="Times New Roman" w:cs="Times New Roman"/>
          <w:sz w:val="40"/>
          <w:szCs w:val="40"/>
          <w:lang w:val="en-US" w:eastAsia="en-IN"/>
        </w:rPr>
      </w:pPr>
      <w:r>
        <w:rPr>
          <w:rFonts w:hint="default" w:ascii="Times New Roman" w:hAnsi="Times New Roman" w:cs="Times New Roman"/>
          <w:sz w:val="40"/>
          <w:szCs w:val="40"/>
          <w:lang w:val="en-US" w:eastAsia="en-IN"/>
        </w:rPr>
        <w:t>SHILPABEN SHARMA</w:t>
      </w:r>
    </w:p>
    <w:p>
      <w:pPr>
        <w:jc w:val="center"/>
        <w:rPr>
          <w:rFonts w:hint="default" w:ascii="Times New Roman" w:hAnsi="Times New Roman" w:cs="Times New Roman"/>
          <w:sz w:val="40"/>
          <w:szCs w:val="40"/>
          <w:lang w:val="en-US" w:eastAsia="en-IN"/>
        </w:rPr>
      </w:pPr>
      <w:r>
        <w:rPr>
          <w:rFonts w:hint="default" w:ascii="Times New Roman" w:hAnsi="Times New Roman" w:cs="Times New Roman"/>
          <w:sz w:val="40"/>
          <w:szCs w:val="40"/>
          <w:lang w:val="en-US" w:eastAsia="en-IN"/>
        </w:rPr>
        <w:t>(1704927)</w:t>
      </w:r>
    </w:p>
    <w:p>
      <w:pPr>
        <w:jc w:val="center"/>
        <w:rPr>
          <w:rFonts w:hint="default" w:ascii="Times New Roman" w:hAnsi="Times New Roman" w:cs="Times New Roman"/>
          <w:sz w:val="24"/>
          <w:szCs w:val="24"/>
          <w:lang w:val="en-US" w:eastAsia="en-IN"/>
        </w:rPr>
      </w:pPr>
    </w:p>
    <w:p>
      <w:pPr>
        <w:jc w:val="center"/>
        <w:rPr>
          <w:rFonts w:hint="default" w:ascii="Times New Roman" w:hAnsi="Times New Roman" w:cs="Times New Roman"/>
          <w:sz w:val="24"/>
          <w:szCs w:val="24"/>
          <w:lang w:val="en-US" w:eastAsia="en-IN"/>
        </w:rPr>
      </w:pPr>
      <w:r>
        <w:rPr>
          <w:rFonts w:hint="default" w:ascii="Times New Roman" w:hAnsi="Times New Roman" w:cs="Times New Roman"/>
          <w:sz w:val="24"/>
          <w:szCs w:val="24"/>
          <w:lang w:val="en-US" w:eastAsia="en-IN"/>
        </w:rPr>
        <w:t>LACTURER</w:t>
      </w:r>
    </w:p>
    <w:p>
      <w:pPr>
        <w:jc w:val="center"/>
        <w:rPr>
          <w:rFonts w:hint="default" w:ascii="Times New Roman" w:hAnsi="Times New Roman" w:cs="Times New Roman"/>
          <w:sz w:val="40"/>
          <w:szCs w:val="40"/>
          <w:lang w:val="en-US" w:eastAsia="en-IN"/>
        </w:rPr>
      </w:pPr>
      <w:r>
        <w:rPr>
          <w:rFonts w:hint="default" w:ascii="Times New Roman" w:hAnsi="Times New Roman" w:cs="Times New Roman"/>
          <w:sz w:val="40"/>
          <w:szCs w:val="40"/>
          <w:lang w:val="en-US" w:eastAsia="en-IN"/>
        </w:rPr>
        <w:t>TANJA NATHAN</w:t>
      </w:r>
    </w:p>
    <w:p>
      <w:pPr>
        <w:pStyle w:val="5"/>
      </w:pPr>
    </w:p>
    <w:p>
      <w:pPr>
        <w:spacing w:line="276" w:lineRule="auto"/>
        <w:jc w:val="left"/>
        <w:rPr>
          <w:rFonts w:eastAsiaTheme="majorEastAsia" w:cstheme="majorBidi"/>
          <w:color w:val="17365D" w:themeColor="text2" w:themeShade="BF"/>
          <w:spacing w:val="5"/>
          <w:kern w:val="28"/>
          <w:sz w:val="52"/>
          <w:szCs w:val="52"/>
        </w:rPr>
      </w:pPr>
      <w:r>
        <w:br w:type="page"/>
      </w:r>
    </w:p>
    <w:sdt>
      <w:sdtPr>
        <w:id w:val="20865602"/>
        <w:docPartObj>
          <w:docPartGallery w:val="Table of Contents"/>
          <w:docPartUnique/>
        </w:docPartObj>
      </w:sdtPr>
      <w:sdtEndPr>
        <w:rPr>
          <w:rFonts w:ascii="Times New Roman" w:hAnsi="Times New Roman" w:eastAsiaTheme="minorEastAsia" w:cstheme="minorBidi"/>
          <w:b w:val="0"/>
          <w:bCs w:val="0"/>
          <w:color w:val="auto"/>
          <w:sz w:val="24"/>
          <w:szCs w:val="22"/>
          <w:lang w:val="en-GB" w:eastAsia="en-GB"/>
        </w:rPr>
      </w:sdtEndPr>
      <w:sdtContent>
        <w:p>
          <w:pPr>
            <w:pStyle w:val="19"/>
            <w:rPr>
              <w:rFonts w:hint="default" w:ascii="Times New Roman" w:hAnsi="Times New Roman" w:cs="Times New Roman"/>
              <w:color w:val="auto"/>
              <w:u w:val="single"/>
              <w:lang w:val="en-US"/>
            </w:rPr>
          </w:pPr>
          <w:r>
            <w:rPr>
              <w:rFonts w:hint="default" w:ascii="Times New Roman" w:hAnsi="Times New Roman" w:cs="Times New Roman"/>
              <w:color w:val="auto"/>
              <w:u w:val="single"/>
            </w:rPr>
            <w:t>Table of Contents</w:t>
          </w:r>
          <w:r>
            <w:rPr>
              <w:rFonts w:hint="default" w:ascii="Times New Roman" w:hAnsi="Times New Roman" w:cs="Times New Roman"/>
              <w:color w:val="auto"/>
              <w:u w:val="single"/>
              <w:lang w:val="en-US"/>
            </w:rPr>
            <w:t>:</w:t>
          </w:r>
        </w:p>
        <w:p/>
        <w:p>
          <w:pPr>
            <w:pStyle w:val="9"/>
            <w:ind w:left="0" w:leftChars="0" w:firstLine="0" w:firstLineChars="0"/>
          </w:pPr>
          <w:r>
            <w:fldChar w:fldCharType="begin"/>
          </w:r>
          <w:r>
            <w:instrText xml:space="preserve"> TOC \o "1-3" \h \z \u </w:instrText>
          </w:r>
          <w:r>
            <w:fldChar w:fldCharType="separate"/>
          </w:r>
          <w:r>
            <w:fldChar w:fldCharType="begin"/>
          </w:r>
          <w:r>
            <w:instrText xml:space="preserve"> HYPERLINK \l "_Toc513048337" </w:instrText>
          </w:r>
          <w:r>
            <w:fldChar w:fldCharType="separate"/>
          </w:r>
          <w:r>
            <w:rPr>
              <w:rStyle w:val="11"/>
            </w:rPr>
            <w:t>Stage</w:t>
          </w:r>
          <w:r>
            <w:rPr>
              <w:rStyle w:val="11"/>
              <w:lang w:val="en-US"/>
            </w:rPr>
            <w:t>-</w:t>
          </w:r>
          <w:r>
            <w:rPr>
              <w:rStyle w:val="11"/>
            </w:rPr>
            <w:t>1</w:t>
          </w:r>
          <w:r>
            <w:rPr>
              <w:rStyle w:val="11"/>
              <w:lang w:val="en-US"/>
            </w:rPr>
            <w:t>........................................................................................................................................</w:t>
          </w:r>
          <w:r>
            <w:fldChar w:fldCharType="begin"/>
          </w:r>
          <w:r>
            <w:instrText xml:space="preserve"> PAGEREF _Toc513048337 \h </w:instrText>
          </w:r>
          <w:r>
            <w:fldChar w:fldCharType="separate"/>
          </w:r>
          <w:r>
            <w:t>3</w:t>
          </w:r>
          <w:r>
            <w:fldChar w:fldCharType="end"/>
          </w:r>
          <w:r>
            <w:fldChar w:fldCharType="end"/>
          </w:r>
        </w:p>
        <w:p>
          <w:pPr>
            <w:pStyle w:val="9"/>
          </w:pPr>
          <w:r>
            <w:fldChar w:fldCharType="begin"/>
          </w:r>
          <w:r>
            <w:instrText xml:space="preserve"> HYPERLINK \l "_Toc513048338" </w:instrText>
          </w:r>
          <w:r>
            <w:fldChar w:fldCharType="separate"/>
          </w:r>
          <w:r>
            <w:rPr>
              <w:rStyle w:val="11"/>
            </w:rPr>
            <w:t>Introduction</w:t>
          </w:r>
          <w:r>
            <w:tab/>
          </w:r>
          <w:r>
            <w:rPr>
              <w:lang w:val="en-US"/>
            </w:rPr>
            <w:t>............................................................................................................................</w:t>
          </w:r>
          <w:r>
            <w:fldChar w:fldCharType="begin"/>
          </w:r>
          <w:r>
            <w:instrText xml:space="preserve"> PAGEREF _Toc513048338 \h </w:instrText>
          </w:r>
          <w:r>
            <w:fldChar w:fldCharType="separate"/>
          </w:r>
          <w:r>
            <w:t>3</w:t>
          </w:r>
          <w:r>
            <w:fldChar w:fldCharType="end"/>
          </w:r>
          <w:r>
            <w:fldChar w:fldCharType="end"/>
          </w:r>
        </w:p>
        <w:p>
          <w:pPr>
            <w:pStyle w:val="9"/>
          </w:pPr>
          <w:r>
            <w:fldChar w:fldCharType="begin"/>
          </w:r>
          <w:r>
            <w:instrText xml:space="preserve"> HYPERLINK \l "_Toc513048339" </w:instrText>
          </w:r>
          <w:r>
            <w:fldChar w:fldCharType="separate"/>
          </w:r>
          <w:r>
            <w:rPr>
              <w:rStyle w:val="11"/>
            </w:rPr>
            <w:t>Company background</w:t>
          </w:r>
          <w:r>
            <w:rPr>
              <w:rStyle w:val="11"/>
              <w:lang w:val="en-US"/>
            </w:rPr>
            <w:t>............................................................................................................</w:t>
          </w:r>
          <w:bookmarkStart w:id="13" w:name="_GoBack"/>
          <w:bookmarkEnd w:id="13"/>
          <w:r>
            <w:fldChar w:fldCharType="begin"/>
          </w:r>
          <w:r>
            <w:instrText xml:space="preserve"> PAGEREF _Toc513048339 \h </w:instrText>
          </w:r>
          <w:r>
            <w:fldChar w:fldCharType="separate"/>
          </w:r>
          <w:r>
            <w:t>3</w:t>
          </w:r>
          <w:r>
            <w:fldChar w:fldCharType="end"/>
          </w:r>
          <w:r>
            <w:fldChar w:fldCharType="end"/>
          </w:r>
        </w:p>
        <w:p>
          <w:pPr>
            <w:pStyle w:val="8"/>
            <w:tabs>
              <w:tab w:val="right" w:leader="dot" w:pos="9016"/>
            </w:tabs>
          </w:pPr>
          <w:r>
            <w:fldChar w:fldCharType="begin"/>
          </w:r>
          <w:r>
            <w:instrText xml:space="preserve"> HYPERLINK \l "_Toc513048340" </w:instrText>
          </w:r>
          <w:r>
            <w:fldChar w:fldCharType="separate"/>
          </w:r>
          <w:r>
            <w:rPr>
              <w:rStyle w:val="11"/>
            </w:rPr>
            <w:t>Stage-2</w:t>
          </w:r>
          <w:r>
            <w:tab/>
          </w:r>
          <w:r>
            <w:fldChar w:fldCharType="begin"/>
          </w:r>
          <w:r>
            <w:instrText xml:space="preserve"> PAGEREF _Toc513048340 \h </w:instrText>
          </w:r>
          <w:r>
            <w:fldChar w:fldCharType="separate"/>
          </w:r>
          <w:r>
            <w:t>4</w:t>
          </w:r>
          <w:r>
            <w:fldChar w:fldCharType="end"/>
          </w:r>
          <w:r>
            <w:fldChar w:fldCharType="end"/>
          </w:r>
        </w:p>
        <w:p>
          <w:pPr>
            <w:pStyle w:val="9"/>
            <w:tabs>
              <w:tab w:val="right" w:leader="dot" w:pos="9016"/>
            </w:tabs>
          </w:pPr>
          <w:r>
            <w:fldChar w:fldCharType="begin"/>
          </w:r>
          <w:r>
            <w:instrText xml:space="preserve"> HYPERLINK \l "_Toc513048341" </w:instrText>
          </w:r>
          <w:r>
            <w:fldChar w:fldCharType="separate"/>
          </w:r>
          <w:r>
            <w:rPr>
              <w:rStyle w:val="11"/>
            </w:rPr>
            <w:t>Explanation of indentified problem and how that is effecting the business</w:t>
          </w:r>
          <w:r>
            <w:tab/>
          </w:r>
          <w:r>
            <w:fldChar w:fldCharType="begin"/>
          </w:r>
          <w:r>
            <w:instrText xml:space="preserve"> PAGEREF _Toc513048341 \h </w:instrText>
          </w:r>
          <w:r>
            <w:fldChar w:fldCharType="separate"/>
          </w:r>
          <w:r>
            <w:t>4</w:t>
          </w:r>
          <w:r>
            <w:fldChar w:fldCharType="end"/>
          </w:r>
          <w:r>
            <w:fldChar w:fldCharType="end"/>
          </w:r>
        </w:p>
        <w:p>
          <w:pPr>
            <w:pStyle w:val="9"/>
            <w:tabs>
              <w:tab w:val="right" w:leader="dot" w:pos="9016"/>
            </w:tabs>
          </w:pPr>
          <w:r>
            <w:fldChar w:fldCharType="begin"/>
          </w:r>
          <w:r>
            <w:instrText xml:space="preserve"> HYPERLINK \l "_Toc513048342" </w:instrText>
          </w:r>
          <w:r>
            <w:fldChar w:fldCharType="separate"/>
          </w:r>
          <w:r>
            <w:rPr>
              <w:rStyle w:val="11"/>
            </w:rPr>
            <w:t>Use of information system for the decision making</w:t>
          </w:r>
          <w:r>
            <w:tab/>
          </w:r>
          <w:r>
            <w:fldChar w:fldCharType="begin"/>
          </w:r>
          <w:r>
            <w:instrText xml:space="preserve"> PAGEREF _Toc513048342 \h </w:instrText>
          </w:r>
          <w:r>
            <w:fldChar w:fldCharType="separate"/>
          </w:r>
          <w:r>
            <w:t>5</w:t>
          </w:r>
          <w:r>
            <w:fldChar w:fldCharType="end"/>
          </w:r>
          <w:r>
            <w:fldChar w:fldCharType="end"/>
          </w:r>
        </w:p>
        <w:p>
          <w:pPr>
            <w:pStyle w:val="9"/>
          </w:pPr>
          <w:r>
            <w:fldChar w:fldCharType="begin"/>
          </w:r>
          <w:r>
            <w:instrText xml:space="preserve"> HYPERLINK \l "_Toc513048343" </w:instrText>
          </w:r>
          <w:r>
            <w:fldChar w:fldCharType="separate"/>
          </w:r>
          <w:r>
            <w:rPr>
              <w:rStyle w:val="11"/>
            </w:rPr>
            <w:t>The applied approach for solving the problem of complex nature</w:t>
          </w:r>
          <w:r>
            <w:rPr>
              <w:rStyle w:val="11"/>
              <w:lang w:val="en-US"/>
            </w:rPr>
            <w:t>........................................</w:t>
          </w:r>
          <w:r>
            <w:fldChar w:fldCharType="begin"/>
          </w:r>
          <w:r>
            <w:instrText xml:space="preserve"> PAGEREF _Toc513048343 \h </w:instrText>
          </w:r>
          <w:r>
            <w:fldChar w:fldCharType="separate"/>
          </w:r>
          <w:r>
            <w:t>7</w:t>
          </w:r>
          <w:r>
            <w:fldChar w:fldCharType="end"/>
          </w:r>
          <w:r>
            <w:fldChar w:fldCharType="end"/>
          </w:r>
        </w:p>
        <w:p>
          <w:pPr>
            <w:pStyle w:val="9"/>
            <w:tabs>
              <w:tab w:val="right" w:leader="dot" w:pos="9016"/>
            </w:tabs>
          </w:pPr>
          <w:r>
            <w:fldChar w:fldCharType="begin"/>
          </w:r>
          <w:r>
            <w:instrText xml:space="preserve"> HYPERLINK \l "_Toc513048344" </w:instrText>
          </w:r>
          <w:r>
            <w:fldChar w:fldCharType="separate"/>
          </w:r>
          <w:r>
            <w:rPr>
              <w:rStyle w:val="11"/>
              <w:rFonts w:cs="Times New Roman"/>
            </w:rPr>
            <w:t>The techniques used by the organization for complex decision making</w:t>
          </w:r>
          <w:r>
            <w:tab/>
          </w:r>
          <w:r>
            <w:fldChar w:fldCharType="begin"/>
          </w:r>
          <w:r>
            <w:instrText xml:space="preserve"> PAGEREF _Toc513048344 \h </w:instrText>
          </w:r>
          <w:r>
            <w:fldChar w:fldCharType="separate"/>
          </w:r>
          <w:r>
            <w:t>9</w:t>
          </w:r>
          <w:r>
            <w:fldChar w:fldCharType="end"/>
          </w:r>
          <w:r>
            <w:fldChar w:fldCharType="end"/>
          </w:r>
        </w:p>
        <w:p>
          <w:pPr>
            <w:pStyle w:val="9"/>
            <w:tabs>
              <w:tab w:val="right" w:leader="dot" w:pos="9016"/>
            </w:tabs>
          </w:pPr>
          <w:r>
            <w:fldChar w:fldCharType="begin"/>
          </w:r>
          <w:r>
            <w:instrText xml:space="preserve"> HYPERLINK \l "_Toc513048345" </w:instrText>
          </w:r>
          <w:r>
            <w:fldChar w:fldCharType="separate"/>
          </w:r>
          <w:r>
            <w:rPr>
              <w:rStyle w:val="11"/>
            </w:rPr>
            <w:t>Recommendation for the further process improvement</w:t>
          </w:r>
          <w:r>
            <w:tab/>
          </w:r>
          <w:r>
            <w:fldChar w:fldCharType="begin"/>
          </w:r>
          <w:r>
            <w:instrText xml:space="preserve"> PAGEREF _Toc513048345 \h </w:instrText>
          </w:r>
          <w:r>
            <w:fldChar w:fldCharType="separate"/>
          </w:r>
          <w:r>
            <w:t>18</w:t>
          </w:r>
          <w:r>
            <w:fldChar w:fldCharType="end"/>
          </w:r>
          <w:r>
            <w:fldChar w:fldCharType="end"/>
          </w:r>
        </w:p>
        <w:p>
          <w:pPr>
            <w:pStyle w:val="9"/>
            <w:tabs>
              <w:tab w:val="right" w:leader="dot" w:pos="9016"/>
            </w:tabs>
          </w:pPr>
          <w:r>
            <w:fldChar w:fldCharType="begin"/>
          </w:r>
          <w:r>
            <w:instrText xml:space="preserve"> HYPERLINK \l "_Toc513048346" </w:instrText>
          </w:r>
          <w:r>
            <w:fldChar w:fldCharType="separate"/>
          </w:r>
          <w:r>
            <w:rPr>
              <w:rStyle w:val="11"/>
            </w:rPr>
            <w:t>Justification of the recommendation</w:t>
          </w:r>
          <w:r>
            <w:tab/>
          </w:r>
          <w:r>
            <w:fldChar w:fldCharType="begin"/>
          </w:r>
          <w:r>
            <w:instrText xml:space="preserve"> PAGEREF _Toc513048346 \h </w:instrText>
          </w:r>
          <w:r>
            <w:fldChar w:fldCharType="separate"/>
          </w:r>
          <w:r>
            <w:t>19</w:t>
          </w:r>
          <w:r>
            <w:fldChar w:fldCharType="end"/>
          </w:r>
          <w:r>
            <w:fldChar w:fldCharType="end"/>
          </w:r>
        </w:p>
        <w:p>
          <w:pPr>
            <w:pStyle w:val="9"/>
            <w:tabs>
              <w:tab w:val="right" w:leader="dot" w:pos="9016"/>
            </w:tabs>
          </w:pPr>
          <w:r>
            <w:fldChar w:fldCharType="begin"/>
          </w:r>
          <w:r>
            <w:instrText xml:space="preserve"> HYPERLINK \l "_Toc513048347" </w:instrText>
          </w:r>
          <w:r>
            <w:fldChar w:fldCharType="separate"/>
          </w:r>
          <w:r>
            <w:rPr>
              <w:rStyle w:val="11"/>
            </w:rPr>
            <w:t>Recommendation model identification and the improvement direction explanation</w:t>
          </w:r>
          <w:r>
            <w:tab/>
          </w:r>
          <w:r>
            <w:fldChar w:fldCharType="begin"/>
          </w:r>
          <w:r>
            <w:instrText xml:space="preserve"> PAGEREF _Toc513048347 \h </w:instrText>
          </w:r>
          <w:r>
            <w:fldChar w:fldCharType="separate"/>
          </w:r>
          <w:r>
            <w:t>20</w:t>
          </w:r>
          <w:r>
            <w:fldChar w:fldCharType="end"/>
          </w:r>
          <w:r>
            <w:fldChar w:fldCharType="end"/>
          </w:r>
        </w:p>
        <w:p>
          <w:pPr>
            <w:pStyle w:val="8"/>
            <w:tabs>
              <w:tab w:val="right" w:leader="dot" w:pos="9016"/>
            </w:tabs>
          </w:pPr>
          <w:r>
            <w:fldChar w:fldCharType="begin"/>
          </w:r>
          <w:r>
            <w:instrText xml:space="preserve"> HYPERLINK \l "_Toc513048348" </w:instrText>
          </w:r>
          <w:r>
            <w:fldChar w:fldCharType="separate"/>
          </w:r>
          <w:r>
            <w:rPr>
              <w:rStyle w:val="11"/>
            </w:rPr>
            <w:t>Conclusion</w:t>
          </w:r>
          <w:r>
            <w:tab/>
          </w:r>
          <w:r>
            <w:fldChar w:fldCharType="begin"/>
          </w:r>
          <w:r>
            <w:instrText xml:space="preserve"> PAGEREF _Toc513048348 \h </w:instrText>
          </w:r>
          <w:r>
            <w:fldChar w:fldCharType="separate"/>
          </w:r>
          <w:r>
            <w:t>20</w:t>
          </w:r>
          <w:r>
            <w:fldChar w:fldCharType="end"/>
          </w:r>
          <w:r>
            <w:fldChar w:fldCharType="end"/>
          </w:r>
        </w:p>
        <w:p>
          <w:pPr>
            <w:pStyle w:val="8"/>
            <w:tabs>
              <w:tab w:val="right" w:leader="dot" w:pos="9016"/>
            </w:tabs>
          </w:pPr>
          <w:r>
            <w:fldChar w:fldCharType="begin"/>
          </w:r>
          <w:r>
            <w:instrText xml:space="preserve"> HYPERLINK \l "_Toc513048349" </w:instrText>
          </w:r>
          <w:r>
            <w:fldChar w:fldCharType="separate"/>
          </w:r>
          <w:r>
            <w:rPr>
              <w:rStyle w:val="11"/>
            </w:rPr>
            <w:t>Reference</w:t>
          </w:r>
          <w:r>
            <w:tab/>
          </w:r>
          <w:r>
            <w:fldChar w:fldCharType="begin"/>
          </w:r>
          <w:r>
            <w:instrText xml:space="preserve"> PAGEREF _Toc513048349 \h </w:instrText>
          </w:r>
          <w:r>
            <w:fldChar w:fldCharType="separate"/>
          </w:r>
          <w:r>
            <w:t>21</w:t>
          </w:r>
          <w:r>
            <w:fldChar w:fldCharType="end"/>
          </w:r>
          <w:r>
            <w:fldChar w:fldCharType="end"/>
          </w:r>
        </w:p>
        <w:p>
          <w:r>
            <w:fldChar w:fldCharType="end"/>
          </w:r>
        </w:p>
      </w:sdtContent>
    </w:sdt>
    <w:p>
      <w:pPr>
        <w:pStyle w:val="7"/>
        <w:rPr>
          <w:b/>
          <w:bCs/>
          <w:color w:val="366091" w:themeColor="accent1" w:themeShade="BF"/>
          <w:sz w:val="28"/>
          <w:szCs w:val="28"/>
        </w:rPr>
      </w:pPr>
      <w:r>
        <w:br w:type="page"/>
      </w:r>
    </w:p>
    <w:p>
      <w:pPr>
        <w:pStyle w:val="2"/>
        <w:rPr>
          <w:color w:val="auto"/>
          <w:u w:val="single"/>
        </w:rPr>
      </w:pPr>
      <w:bookmarkStart w:id="0" w:name="_Toc513048337"/>
      <w:r>
        <w:rPr>
          <w:color w:val="auto"/>
          <w:u w:val="single"/>
        </w:rPr>
        <w:t>Stage-1</w:t>
      </w:r>
      <w:bookmarkEnd w:id="0"/>
    </w:p>
    <w:p>
      <w:pPr>
        <w:pStyle w:val="3"/>
        <w:rPr>
          <w:color w:val="auto"/>
          <w:u w:val="single"/>
        </w:rPr>
      </w:pPr>
      <w:bookmarkStart w:id="1" w:name="_Toc513048338"/>
      <w:r>
        <w:rPr>
          <w:color w:val="auto"/>
          <w:u w:val="single"/>
        </w:rPr>
        <w:t>Introduction</w:t>
      </w:r>
      <w:bookmarkEnd w:id="1"/>
      <w:r>
        <w:rPr>
          <w:color w:val="auto"/>
          <w:u w:val="single"/>
          <w:lang w:val="en-US"/>
        </w:rPr>
        <w:t>:</w:t>
      </w:r>
    </w:p>
    <w:p>
      <w:pPr>
        <w:rPr>
          <w:lang w:val="en-IN"/>
        </w:rPr>
      </w:pPr>
      <w:r>
        <w:t>The businesses are operating in the highly competitive environment of the market. There are lot of different forces at play on the business which are impacting their performance. Under this circumstances the proper decision making for the business become paramount important to gain the competitive advantage and also become sustainable for the future operation (Easey, 2009). For the SME organisation the situation is much more challenging as the lack of large resource base provides several obstacles to the business to effectively cope with the business external situations. SME organisation cam is considered from the very start up phase to medium size organisation. During this journey many organisations parishes because of improper business decision making. In the current business process the business related decision making process would be investigated for the ‘</w:t>
      </w:r>
      <w:r>
        <w:rPr>
          <w:bCs/>
          <w:lang w:val="en-IN"/>
        </w:rPr>
        <w:t xml:space="preserve">SecretSales’ which is e-marketing and sales platform for the fashion products and accessories </w:t>
      </w:r>
      <w:r>
        <w:rPr>
          <w:bCs/>
        </w:rPr>
        <w:t>(Singh</w:t>
      </w:r>
      <w:r>
        <w:t>, 2015).</w:t>
      </w:r>
      <w:r>
        <w:rPr>
          <w:bCs/>
          <w:lang w:val="en-IN"/>
        </w:rPr>
        <w:t xml:space="preserve"> The organisation basically conducts flash sales of the designer fashion products through their e-commerce website. The product generally goes on sales for few day with heavy discount of around 70% on the maximum retail price of the designer products (</w:t>
      </w:r>
      <w:r>
        <w:t xml:space="preserve">COOK, 2015). The organisation relies heavily on the sales promotion technique of the overall promotional mix of the marketing promotion for the business growth. In this context the investigation of the business would be done to find the problem first and how that is impacting the business then proper technical approach would find the possible reason for the problem before recommending the solution for that. At the end before concluding the justification of the recommendation and possible improvement in the recommendation approach would be discussed. </w:t>
      </w:r>
    </w:p>
    <w:p/>
    <w:p>
      <w:pPr>
        <w:pStyle w:val="3"/>
      </w:pPr>
      <w:bookmarkStart w:id="2" w:name="_Toc513048339"/>
      <w:r>
        <w:rPr>
          <w:color w:val="auto"/>
          <w:u w:val="single"/>
        </w:rPr>
        <w:t>Company background</w:t>
      </w:r>
      <w:bookmarkEnd w:id="2"/>
      <w:r>
        <w:rPr>
          <w:color w:val="auto"/>
          <w:u w:val="single"/>
          <w:lang w:val="en-US"/>
        </w:rPr>
        <w:t>:</w:t>
      </w:r>
      <w:r>
        <w:t xml:space="preserve"> </w:t>
      </w:r>
    </w:p>
    <w:p>
      <w:r>
        <w:t>‘</w:t>
      </w:r>
      <w:r>
        <w:rPr>
          <w:bCs/>
          <w:lang w:val="en-IN"/>
        </w:rPr>
        <w:t xml:space="preserve">SecretSales’ is a SME sector organisation which is offering the fashion related products to the general public in the UK the organisation is in the business from the year 2007 through their daily sale of designer fashion clothing product. The sales platform is their ecommerce platform where the 70% level of discounts of these products for limited time attracts lot of consumer within short period of time. This is the flash sale concept in the fashion clothing designer products. The organisation from its start up phase has now have grown to around 129 staffs. The organisation has been able to collect around </w:t>
      </w:r>
      <w:r>
        <w:rPr>
          <w:bCs/>
        </w:rPr>
        <w:t xml:space="preserve">£11.2 m for their business in recent time </w:t>
      </w:r>
      <w:r>
        <w:rPr>
          <w:bCs/>
          <w:lang w:val="en-IN"/>
        </w:rPr>
        <w:t>(</w:t>
      </w:r>
      <w:r>
        <w:t>COOK, 2015).</w:t>
      </w:r>
      <w:r>
        <w:rPr>
          <w:bCs/>
        </w:rPr>
        <w:t xml:space="preserve"> In the year 2015 the business signed new contract with 300 brands in the industry for their business. In recent time the business took the mobile first strategy to improve their business revenue generation and that worked for them as around 60% of the total revenue of the business is coming from the consumers who are ordering through their mobile apps (Singh</w:t>
      </w:r>
      <w:r>
        <w:t>, 2015). This is one of the important business decisions that the business took in their strategy and that worked effectively for the business growth. The organisation gained popularity among the customer groups and their business grew but the impact is not always positive for the business. The organisation took the decision to invest in the operation and technology aspect of the business for the future growth of the business. But the result is that the business did not achieve the sufficient revenue position after this investment process to make it into the profit for the business. The losses of the business were mounting in the past years. In the 2015’s operation the business registered a loss of £3.6 million at the operation level and that is a increment from the £2.2 million from the previous year (</w:t>
      </w:r>
      <w:r>
        <w:rPr>
          <w:bCs/>
        </w:rPr>
        <w:t>Geoghegan</w:t>
      </w:r>
      <w:r>
        <w:t xml:space="preserve">, 2017). In the current situation of effective business decision making process the process of loss would be investigated to develop proper future decision of the business. </w:t>
      </w:r>
    </w:p>
    <w:p/>
    <w:p>
      <w:pPr>
        <w:pStyle w:val="2"/>
        <w:rPr>
          <w:color w:val="auto"/>
          <w:u w:val="single"/>
        </w:rPr>
      </w:pPr>
      <w:bookmarkStart w:id="3" w:name="_Toc513048340"/>
      <w:r>
        <w:rPr>
          <w:color w:val="auto"/>
          <w:u w:val="single"/>
        </w:rPr>
        <w:t>Stage-2</w:t>
      </w:r>
      <w:bookmarkEnd w:id="3"/>
    </w:p>
    <w:p>
      <w:pPr>
        <w:pStyle w:val="3"/>
        <w:rPr>
          <w:color w:val="auto"/>
          <w:u w:val="single"/>
        </w:rPr>
      </w:pPr>
      <w:bookmarkStart w:id="4" w:name="_Toc513048341"/>
      <w:r>
        <w:rPr>
          <w:color w:val="auto"/>
          <w:u w:val="single"/>
        </w:rPr>
        <w:t>Explanation of indentified problem and how that is effecting the business</w:t>
      </w:r>
      <w:bookmarkEnd w:id="4"/>
      <w:r>
        <w:rPr>
          <w:color w:val="auto"/>
          <w:u w:val="single"/>
          <w:lang w:val="en-US"/>
        </w:rPr>
        <w:t>:</w:t>
      </w:r>
    </w:p>
    <w:p>
      <w:pPr>
        <w:rPr>
          <w:bCs/>
          <w:lang w:val="en-IN"/>
        </w:rPr>
      </w:pPr>
      <w:r>
        <w:t>The situation of ‘</w:t>
      </w:r>
      <w:r>
        <w:rPr>
          <w:bCs/>
          <w:lang w:val="en-IN"/>
        </w:rPr>
        <w:t>SecretSales’ is difficult in terms of business financial sustainability. The organisation is in operation for lat almost 1 year.</w:t>
      </w:r>
      <w:r>
        <w:t xml:space="preserve"> The heavy loss incurred in the operation is worried some for the business and need proper investigation to solve that. Before solving any problem, defining the problem properly becomes an important aspect in the process. ‘</w:t>
      </w:r>
      <w:r>
        <w:rPr>
          <w:bCs/>
          <w:lang w:val="en-IN"/>
        </w:rPr>
        <w:t xml:space="preserve">SecretSales’ has different business model to attract the customer in the highly competitive fashion retail market. There are lot of businesses are operating in the fashion retail industry through their different differentiation points. </w:t>
      </w:r>
      <w:r>
        <w:t>‘</w:t>
      </w:r>
      <w:r>
        <w:rPr>
          <w:bCs/>
          <w:lang w:val="en-IN"/>
        </w:rPr>
        <w:t>SecretSales’ here took the cost leadership approach in their e-retailing process of business. Here the selling price of the products is slashed by around 30% to 70% level to attract the customer in the market (</w:t>
      </w:r>
      <w:r>
        <w:rPr>
          <w:bCs/>
        </w:rPr>
        <w:t>Singh</w:t>
      </w:r>
      <w:r>
        <w:t>, 2015).</w:t>
      </w:r>
      <w:r>
        <w:rPr>
          <w:bCs/>
          <w:lang w:val="en-IN"/>
        </w:rPr>
        <w:t xml:space="preserve"> The reach to the prospective customer the organisation mainly applied two different marketing promotional approaches. One is the heavy sales discounts of the product which are generally designer clothing products to attract customers and achieve sales of the products in short period of time. Another tool is the direct marketing process. The organisation used 70K different types of direct mail marketing process to develop their customer base and also selling the product through them (</w:t>
      </w:r>
      <w:r>
        <w:t>COOK, 2015).</w:t>
      </w:r>
      <w:r>
        <w:rPr>
          <w:bCs/>
          <w:lang w:val="en-IN"/>
        </w:rPr>
        <w:t xml:space="preserve"> this approach was highly effective for the business to attract large number of customer to this new business. But here the margin of the designer clothing products gets limited for the business and a large volume can only justify the business profitability. </w:t>
      </w:r>
    </w:p>
    <w:p>
      <w:r>
        <w:rPr>
          <w:bCs/>
          <w:lang w:val="en-IN"/>
        </w:rPr>
        <w:t xml:space="preserve">The organisation took some effective decision in their business like mobile first strategy which provided great source growth prospect to the business and the business was able to capitalise on that. Based on the success factor the management of the business though that improvement of service delivery and technological features would make the customers loyally and other customer sources can be explored by the business </w:t>
      </w:r>
      <w:r>
        <w:t>(Hwang and Masud, 2012).</w:t>
      </w:r>
      <w:r>
        <w:rPr>
          <w:bCs/>
          <w:lang w:val="en-IN"/>
        </w:rPr>
        <w:t xml:space="preserve"> Because of this reason the business invested in the business operation and the technology aspect of the business. But the already squeezed business margined along with the new investment put more pressure of business profitability and sustainability. The result is the mounting loss for the subsequent years.</w:t>
      </w:r>
      <w:r>
        <w:t xml:space="preserve">this is the problem from the broader perspective of the business but the further investigation would reveal the actual reason of the problem. It is clear that the reduced profit margined of the business needs to have larger volume of sale to become profitable. But the business was unable to achieve that volume in the current business situation. The reason is not that the products or services were not attractive for the customer. The actual reason of this problem lies in the ineffective marketing promotional approach of the business. The main USP of the business was the heavy discounts of the branded designer fashion clothing products. But the customer need to know about the short window based heavy discounted product sales information to come to the ecommerce platform of the business to make purchase. Lack of information is the cause of limited customer number. The customer and sales growth was encouraging for the business but not sufficient for the business to become profitable (Hwang and Masud, 2012). Only the creative direct mailing promotional approach of the business is sufficient to reach wide range of customer base in the UK market. a more effective marketing strategy and planning approach was required from the business to reach the desired level of sales revenue for the business to become profitable. </w:t>
      </w:r>
    </w:p>
    <w:p/>
    <w:p>
      <w:pPr>
        <w:pStyle w:val="3"/>
        <w:rPr>
          <w:color w:val="auto"/>
          <w:u w:val="single"/>
        </w:rPr>
      </w:pPr>
      <w:bookmarkStart w:id="5" w:name="_Toc513048342"/>
      <w:r>
        <w:rPr>
          <w:color w:val="auto"/>
          <w:u w:val="single"/>
        </w:rPr>
        <w:t>Use of information system for the decision making</w:t>
      </w:r>
      <w:bookmarkEnd w:id="5"/>
      <w:r>
        <w:rPr>
          <w:color w:val="auto"/>
          <w:u w:val="single"/>
          <w:lang w:val="en-US"/>
        </w:rPr>
        <w:t>:</w:t>
      </w:r>
    </w:p>
    <w:p>
      <w:r>
        <w:t>The SME business organisation functions differently than the large business organisation. Compared to the large business organisation the SME organisations have much lower size, scope and complexity. The main aims of the SME business are to retain the customer through their quality products and the developed services. In the current case of ‘</w:t>
      </w:r>
      <w:r>
        <w:rPr>
          <w:bCs/>
          <w:lang w:val="en-IN"/>
        </w:rPr>
        <w:t>SecretSales’ the organisation also took the similar approach where they invested heavily in the business operation and technology aspect. This was done to keep the customer satisfied with their service and grow the business with few differentiation aspects. The difficulty these businesses faces is the management and making sense of these data to make appropriate decision for the business.</w:t>
      </w:r>
      <w:r>
        <w:t xml:space="preserve"> ‘</w:t>
      </w:r>
      <w:r>
        <w:rPr>
          <w:bCs/>
          <w:lang w:val="en-IN"/>
        </w:rPr>
        <w:t>SecretSales’ was growing their business first and lot of investment also came in the business.</w:t>
      </w:r>
      <w:r>
        <w:t xml:space="preserve"> Therefore information like customer base, sale, finances and investments, inventory levels, contracts with the different designer brands, product delivery and others become important for the business to management properly to make effective decision in the process </w:t>
      </w:r>
      <w:r>
        <w:rPr>
          <w:bCs/>
          <w:lang w:val="en-IN"/>
        </w:rPr>
        <w:t>(</w:t>
      </w:r>
      <w:r>
        <w:t xml:space="preserve">Saaty, 2008). For this reason the organisation employed the following approach to manage the information properly. </w:t>
      </w:r>
    </w:p>
    <w:p>
      <w:pPr>
        <w:rPr>
          <w:b/>
        </w:rPr>
      </w:pPr>
      <w:r>
        <w:rPr>
          <w:b/>
        </w:rPr>
        <w:t>System for transaction processing</w:t>
      </w:r>
    </w:p>
    <w:p>
      <w:pPr>
        <w:rPr>
          <w:bCs/>
          <w:lang w:val="en-IN"/>
        </w:rPr>
      </w:pPr>
      <w:r>
        <w:t>In ‘</w:t>
      </w:r>
      <w:r>
        <w:rPr>
          <w:bCs/>
          <w:lang w:val="en-IN"/>
        </w:rPr>
        <w:t>SecretSales’ there are daily sales discounts on the products and large volume of sales were happening every day. The information of the sales transaction is stored in this process. Then there is inventory information and also the specific contract based different banded designer clothing supplies information (</w:t>
      </w:r>
      <w:r>
        <w:t xml:space="preserve">Power </w:t>
      </w:r>
      <w:r>
        <w:rPr>
          <w:i/>
        </w:rPr>
        <w:t>et al.,</w:t>
      </w:r>
      <w:r>
        <w:t xml:space="preserve"> 2015)</w:t>
      </w:r>
      <w:r>
        <w:rPr>
          <w:bCs/>
          <w:lang w:val="en-IN"/>
        </w:rPr>
        <w:t>. All of these types of information are received, stored, modified, displays and updated under the circumstances of cancellation or return. The database is created in this process to store and manage the data.</w:t>
      </w:r>
      <w:r>
        <w:t>this is a great source of information in ‘</w:t>
      </w:r>
      <w:r>
        <w:rPr>
          <w:bCs/>
          <w:lang w:val="en-IN"/>
        </w:rPr>
        <w:t xml:space="preserve">SecretSales’. </w:t>
      </w:r>
    </w:p>
    <w:p>
      <w:pPr>
        <w:rPr>
          <w:b/>
          <w:bCs/>
          <w:lang w:val="en-IN"/>
        </w:rPr>
      </w:pPr>
      <w:r>
        <w:rPr>
          <w:b/>
          <w:bCs/>
          <w:lang w:val="en-IN"/>
        </w:rPr>
        <w:t>Management information system</w:t>
      </w:r>
    </w:p>
    <w:p>
      <w:pPr>
        <w:rPr>
          <w:bCs/>
          <w:lang w:val="en-IN"/>
        </w:rPr>
      </w:pPr>
      <w:r>
        <w:rPr>
          <w:bCs/>
          <w:lang w:val="en-IN"/>
        </w:rPr>
        <w:t xml:space="preserve">The raw data in the transaction system is not useful for the management decision making as that remains there in vast quantity. Here the management information system of </w:t>
      </w:r>
      <w:r>
        <w:t>‘</w:t>
      </w:r>
      <w:r>
        <w:rPr>
          <w:bCs/>
          <w:lang w:val="en-IN"/>
        </w:rPr>
        <w:t xml:space="preserve">SecretSales’ becomes helpful for processing and developing proper report for the management to gather specific insight from the processes in their decision making process of </w:t>
      </w:r>
      <w:r>
        <w:t>‘</w:t>
      </w:r>
      <w:r>
        <w:rPr>
          <w:bCs/>
          <w:lang w:val="en-IN"/>
        </w:rPr>
        <w:t>Secret Sale’s’  business operation (</w:t>
      </w:r>
      <w:r>
        <w:t>Saaty, 2008).</w:t>
      </w:r>
      <w:r>
        <w:rPr>
          <w:bCs/>
          <w:lang w:val="en-IN"/>
        </w:rPr>
        <w:t xml:space="preserve"> The exception, summery and ad hock report was prepared for the decision making process. </w:t>
      </w:r>
    </w:p>
    <w:p>
      <w:pPr>
        <w:rPr>
          <w:b/>
          <w:bCs/>
          <w:lang w:val="en-IN"/>
        </w:rPr>
      </w:pPr>
      <w:r>
        <w:rPr>
          <w:b/>
          <w:bCs/>
          <w:lang w:val="en-IN"/>
        </w:rPr>
        <w:t>System for decision support</w:t>
      </w:r>
    </w:p>
    <w:p>
      <w:r>
        <w:rPr>
          <w:bCs/>
          <w:lang w:val="en-IN"/>
        </w:rPr>
        <w:t>The decision support system or the DSS is another information system tools that helps in further simplifying the information of the business operation for the better decision making (</w:t>
      </w:r>
      <w:r>
        <w:t xml:space="preserve">Power </w:t>
      </w:r>
      <w:r>
        <w:rPr>
          <w:i/>
        </w:rPr>
        <w:t>et al.,</w:t>
      </w:r>
      <w:r>
        <w:t xml:space="preserve"> 2015)</w:t>
      </w:r>
      <w:r>
        <w:rPr>
          <w:bCs/>
          <w:lang w:val="en-IN"/>
        </w:rPr>
        <w:t>.</w:t>
      </w:r>
      <w:r>
        <w:t xml:space="preserve"> The system analyses the business operational data through different models and represent the statistically projected and current data through help of graph and charts. From this system the management if ‘</w:t>
      </w:r>
      <w:r>
        <w:rPr>
          <w:bCs/>
          <w:lang w:val="en-IN"/>
        </w:rPr>
        <w:t xml:space="preserve">SecretSales’ makes the report on the aspect like the quarter sales, revenue growth or future sales forecast and so on. based on the visual and other information the management of </w:t>
      </w:r>
      <w:r>
        <w:t>‘</w:t>
      </w:r>
      <w:r>
        <w:rPr>
          <w:bCs/>
          <w:lang w:val="en-IN"/>
        </w:rPr>
        <w:t>SecretSales’ makes the decision for the aspect like the supplies, inventory, delivery management,</w:t>
      </w:r>
      <w:r>
        <w:t xml:space="preserve">sales promotion and so on. </w:t>
      </w:r>
    </w:p>
    <w:p>
      <w:pPr>
        <w:rPr>
          <w:b/>
        </w:rPr>
      </w:pPr>
      <w:r>
        <w:rPr>
          <w:b/>
        </w:rPr>
        <w:t>Executive support system</w:t>
      </w:r>
    </w:p>
    <w:p>
      <w:pPr>
        <w:rPr>
          <w:bCs/>
          <w:lang w:val="en-IN"/>
        </w:rPr>
      </w:pPr>
      <w:r>
        <w:t xml:space="preserve">In this process the current and the business long term future trend are analysed and produced to the management of the business for the strategic and business decision making. based on the projection and the expectation the management took the vital decision like investing in the business technology and operation </w:t>
      </w:r>
      <w:r>
        <w:rPr>
          <w:bCs/>
          <w:lang w:val="en-IN"/>
        </w:rPr>
        <w:t>(</w:t>
      </w:r>
      <w:r>
        <w:t>Zsambok and Klein, 2014). This system is based on the knowledge of the business, sector, and market and so on. The analysis and recommendation produced by the system is utilised by the management of ‘</w:t>
      </w:r>
      <w:r>
        <w:rPr>
          <w:bCs/>
          <w:lang w:val="en-IN"/>
        </w:rPr>
        <w:t xml:space="preserve">SecretSales’ to take strategic decision for the business. </w:t>
      </w:r>
    </w:p>
    <w:p>
      <w:r>
        <w:t xml:space="preserve">These information system was the main tool that the management used in their decision making process. The ecommerce segment and especial the fashion clothing market changes fast and is highly competitive. Here keep track of the business and having idea of the expected future makes all the different in the business decision making </w:t>
      </w:r>
      <w:r>
        <w:rPr>
          <w:bCs/>
          <w:lang w:val="en-IN"/>
        </w:rPr>
        <w:t>(</w:t>
      </w:r>
      <w:r>
        <w:t xml:space="preserve">Black, 2009). All the above system is useful in that manger. The business fundamental decisions are supported by those systems and the current investigation would use some of the system’s inputs. </w:t>
      </w:r>
    </w:p>
    <w:p/>
    <w:p/>
    <w:p>
      <w:pPr>
        <w:pStyle w:val="3"/>
        <w:rPr>
          <w:color w:val="auto"/>
          <w:u w:val="single"/>
        </w:rPr>
      </w:pPr>
      <w:bookmarkStart w:id="6" w:name="_Toc513048343"/>
      <w:r>
        <w:rPr>
          <w:color w:val="auto"/>
          <w:u w:val="single"/>
        </w:rPr>
        <w:t>The applied approach for solving the problem of complex nature</w:t>
      </w:r>
      <w:bookmarkEnd w:id="6"/>
      <w:r>
        <w:rPr>
          <w:color w:val="auto"/>
          <w:u w:val="single"/>
          <w:lang w:val="en-US"/>
        </w:rPr>
        <w:t>:</w:t>
      </w:r>
    </w:p>
    <w:p>
      <w:pPr>
        <w:rPr>
          <w:bCs/>
          <w:lang w:val="en-IN"/>
        </w:rPr>
      </w:pPr>
      <w:r>
        <w:t>The main problem in the ‘</w:t>
      </w:r>
      <w:r>
        <w:rPr>
          <w:bCs/>
          <w:lang w:val="en-IN"/>
        </w:rPr>
        <w:t>SecretSales’ is the inappropriate approach for the effective marketing promotion of the products and the flash sales done by the organisation. One of the was having good growth in the revenue and customer generation but that was not appropriate for making profit from the current operation of the business. The solution of the problem needs to be done in an effective manner so that the business can recover from the loss making situation and able to return health profit for the future operation (</w:t>
      </w:r>
      <w:r>
        <w:t>Vercellis, 2011). </w:t>
      </w:r>
      <w:r>
        <w:rPr>
          <w:bCs/>
          <w:lang w:val="en-IN"/>
        </w:rPr>
        <w:t>The solution development would be done in different stages and those are explained below.</w:t>
      </w:r>
    </w:p>
    <w:p>
      <w:pPr>
        <w:rPr>
          <w:b/>
          <w:bCs/>
          <w:lang w:val="en-IN"/>
        </w:rPr>
      </w:pPr>
      <w:r>
        <w:rPr>
          <w:b/>
          <w:bCs/>
          <w:lang w:val="en-IN"/>
        </w:rPr>
        <w:t>Problem defining for solution development</w:t>
      </w:r>
    </w:p>
    <w:p>
      <w:r>
        <w:rPr>
          <w:bCs/>
          <w:lang w:val="en-IN"/>
        </w:rPr>
        <w:t xml:space="preserve">Properly identifying the problem and then expressing it in appropriate manner becomes important for effective solution development. The solution cannot be found only in the problem but needs to consider the business situation and also the business types and goals. In the current situation of the </w:t>
      </w:r>
      <w:r>
        <w:t>‘</w:t>
      </w:r>
      <w:r>
        <w:rPr>
          <w:bCs/>
          <w:lang w:val="en-IN"/>
        </w:rPr>
        <w:t>SecretSales’ the main issue is the lack of effective marketing promotion that is limiting the message to reach to the prospective customers (</w:t>
      </w:r>
      <w:r>
        <w:t>Zsambok and Klein, 2014). </w:t>
      </w:r>
      <w:r>
        <w:rPr>
          <w:bCs/>
          <w:lang w:val="en-IN"/>
        </w:rPr>
        <w:t>Greater knowledge about the business and the flash sale opportunity to the customer would make them visit the website of the business. This would provide lot of new leads who can be targeted through the effective direct mailing marketing promotion. But the narrow view of the business in the marketing promotion has developed the situation of sale revenue which is unable to produce the proper profitability. The advertising and marketing promotional budget of the business is limited but there were occasion when the business for the short period of time went for the integrated marketing communication by investing more in the process (</w:t>
      </w:r>
      <w:r>
        <w:t xml:space="preserve">Black, 2009). In this stage all of this information about the problem would be combined to analyse the situation to find out the solution in border sense. </w:t>
      </w:r>
    </w:p>
    <w:p>
      <w:pPr>
        <w:rPr>
          <w:b/>
        </w:rPr>
      </w:pPr>
      <w:r>
        <w:rPr>
          <w:b/>
        </w:rPr>
        <w:t>Solution of the problem</w:t>
      </w:r>
    </w:p>
    <w:p>
      <w:pPr>
        <w:rPr>
          <w:bCs/>
          <w:lang w:val="en-IN"/>
        </w:rPr>
      </w:pPr>
      <w:r>
        <w:t>After correctly identification of the problem and approach defying the solution in broader sense the specific solution would be found out from the analysis. In the current situation ‘SecretSales’</w:t>
      </w:r>
      <w:r>
        <w:rPr>
          <w:bCs/>
          <w:lang w:val="en-IN"/>
        </w:rPr>
        <w:t xml:space="preserve"> can have different solution of the inappropriate marketing promotional approach. Just direct increment in the marketing promotional investment would not work here. The investment needs to be channelizing through proper selection of marketing channels and marketing promotional models for the ecommerce of fashion retail products (</w:t>
      </w:r>
      <w:r>
        <w:t>Black, 2009). </w:t>
      </w:r>
      <w:r>
        <w:rPr>
          <w:bCs/>
          <w:lang w:val="en-IN"/>
        </w:rPr>
        <w:t>in this stage the proper identification of that would be important for the further business decision making process to improve sale revenue further for the profitability of the business.</w:t>
      </w:r>
    </w:p>
    <w:p>
      <w:pPr>
        <w:rPr>
          <w:b/>
          <w:bCs/>
          <w:lang w:val="en-IN"/>
        </w:rPr>
      </w:pPr>
      <w:r>
        <w:rPr>
          <w:b/>
          <w:bCs/>
          <w:lang w:val="en-IN"/>
        </w:rPr>
        <w:t>Decision making criteria selection</w:t>
      </w:r>
    </w:p>
    <w:p>
      <w:pPr>
        <w:rPr>
          <w:bCs/>
          <w:lang w:val="en-IN"/>
        </w:rPr>
      </w:pPr>
      <w:r>
        <w:rPr>
          <w:bCs/>
          <w:lang w:val="en-IN"/>
        </w:rPr>
        <w:t xml:space="preserve">In this stage different portion selection approach would be defined through the development of the criteria to select the approach for the </w:t>
      </w:r>
      <w:r>
        <w:t>‘</w:t>
      </w:r>
      <w:r>
        <w:rPr>
          <w:bCs/>
          <w:lang w:val="en-IN"/>
        </w:rPr>
        <w:t>SecretSales’ current problem (</w:t>
      </w:r>
      <w:r>
        <w:t>Vercellis, 2011). </w:t>
      </w:r>
      <w:r>
        <w:rPr>
          <w:bCs/>
          <w:lang w:val="en-IN"/>
        </w:rPr>
        <w:t xml:space="preserve"> The criteria would help the management of </w:t>
      </w:r>
      <w:r>
        <w:t>‘</w:t>
      </w:r>
      <w:r>
        <w:rPr>
          <w:bCs/>
          <w:lang w:val="en-IN"/>
        </w:rPr>
        <w:t xml:space="preserve">SecretSales’ find the approach model and also provide the further improvement direction. </w:t>
      </w:r>
    </w:p>
    <w:p>
      <w:pPr>
        <w:rPr>
          <w:b/>
        </w:rPr>
      </w:pPr>
      <w:r>
        <w:rPr>
          <w:b/>
        </w:rPr>
        <w:t>Alternative development</w:t>
      </w:r>
    </w:p>
    <w:p>
      <w:pPr>
        <w:rPr>
          <w:bCs/>
          <w:lang w:val="en-IN"/>
        </w:rPr>
      </w:pPr>
      <w:r>
        <w:t>The solution should be produces in alternative numbers in the business. Only one solution may not be the right choice for the current problem of ‘</w:t>
      </w:r>
      <w:r>
        <w:rPr>
          <w:bCs/>
          <w:lang w:val="en-IN"/>
        </w:rPr>
        <w:t xml:space="preserve">SecretSales’. The multiple solutions would be developed based on different perspective of the business. Proper selection based on the criteria would provide the right solution to the business. </w:t>
      </w:r>
    </w:p>
    <w:p>
      <w:pPr>
        <w:rPr>
          <w:b/>
          <w:bCs/>
          <w:lang w:val="en-IN"/>
        </w:rPr>
      </w:pPr>
      <w:r>
        <w:rPr>
          <w:b/>
          <w:bCs/>
          <w:lang w:val="en-IN"/>
        </w:rPr>
        <w:t>Selection of alternative</w:t>
      </w:r>
    </w:p>
    <w:p>
      <w:pPr>
        <w:rPr>
          <w:bCs/>
          <w:lang w:val="en-IN"/>
        </w:rPr>
      </w:pPr>
      <w:r>
        <w:rPr>
          <w:bCs/>
          <w:lang w:val="en-IN"/>
        </w:rPr>
        <w:t>The selection of the alternative would be done on the basis of the developed criteria. This approach of selection of the alternatives on the basis of the defined criteria would help in the right choice selection (</w:t>
      </w:r>
      <w:r>
        <w:t>Vercellis, 2011). </w:t>
      </w:r>
      <w:r>
        <w:rPr>
          <w:bCs/>
          <w:lang w:val="en-IN"/>
        </w:rPr>
        <w:t xml:space="preserve">The best choice may not meet all the criteria and there the future improvement approaches would be produced. </w:t>
      </w:r>
    </w:p>
    <w:p>
      <w:pPr>
        <w:pStyle w:val="3"/>
        <w:rPr>
          <w:rFonts w:cs="Times New Roman"/>
          <w:color w:val="auto"/>
          <w:sz w:val="24"/>
          <w:szCs w:val="24"/>
          <w:u w:val="single"/>
        </w:rPr>
      </w:pPr>
      <w:bookmarkStart w:id="7" w:name="_Toc513048344"/>
      <w:r>
        <w:rPr>
          <w:rFonts w:cs="Times New Roman"/>
          <w:color w:val="auto"/>
          <w:sz w:val="24"/>
          <w:szCs w:val="24"/>
          <w:u w:val="single"/>
        </w:rPr>
        <w:t>The techniques used by the organization for complex decision making</w:t>
      </w:r>
      <w:bookmarkEnd w:id="7"/>
      <w:r>
        <w:rPr>
          <w:rFonts w:cs="Times New Roman"/>
          <w:color w:val="auto"/>
          <w:sz w:val="24"/>
          <w:szCs w:val="24"/>
          <w:u w:val="single"/>
          <w:lang w:val="en-US"/>
        </w:rPr>
        <w:t>:</w:t>
      </w:r>
    </w:p>
    <w:p>
      <w:pPr>
        <w:rPr>
          <w:rFonts w:cs="Times New Roman"/>
          <w:szCs w:val="24"/>
        </w:rPr>
      </w:pPr>
      <w:r>
        <w:rPr>
          <w:rFonts w:cs="Times New Roman"/>
          <w:szCs w:val="24"/>
        </w:rPr>
        <w:t xml:space="preserve">In present technology market, with the increasingly fierce market competition, several organizations adopts an effective sales promotional strategies for purpose of attracting and motivating customers towards their products and services, so as to enhance performance and increase their sales volume. The analysis shows that the ultimate objective of an organization is to increase sales performance and revenues. Moreover from the company background and present situation analysis it can be found that the performance of the sales in degraded from past years and for this reason the organization also suffered from the sustainability problems in market. While analysing the present saturation it can be found that the organization is mainly suffered from the marketing and sales issues. The below figure represented the performance of the organization of sales for last ten years.                       </w:t>
      </w:r>
    </w:p>
    <w:p>
      <w:pPr>
        <w:rPr>
          <w:rFonts w:cs="Times New Roman"/>
          <w:b/>
          <w:szCs w:val="24"/>
        </w:rPr>
      </w:pPr>
    </w:p>
    <w:p>
      <w:pPr>
        <w:rPr>
          <w:rFonts w:cs="Times New Roman"/>
          <w:b/>
          <w:szCs w:val="24"/>
        </w:rPr>
      </w:pPr>
      <w:r>
        <w:rPr>
          <w:rFonts w:cs="Times New Roman"/>
          <w:b/>
          <w:szCs w:val="24"/>
        </w:rPr>
        <w:t>Organization sales performance for last ten years</w:t>
      </w:r>
    </w:p>
    <w:tbl>
      <w:tblPr>
        <w:tblStyle w:val="12"/>
        <w:tblW w:w="3540" w:type="dxa"/>
        <w:tblInd w:w="103" w:type="dxa"/>
        <w:tblLayout w:type="fixed"/>
        <w:tblCellMar>
          <w:top w:w="0" w:type="dxa"/>
          <w:left w:w="108" w:type="dxa"/>
          <w:bottom w:w="0" w:type="dxa"/>
          <w:right w:w="108" w:type="dxa"/>
        </w:tblCellMar>
      </w:tblPr>
      <w:tblGrid>
        <w:gridCol w:w="960"/>
        <w:gridCol w:w="2580"/>
      </w:tblGrid>
      <w:tr>
        <w:tblPrEx>
          <w:tblLayout w:type="fixed"/>
          <w:tblCellMar>
            <w:top w:w="0" w:type="dxa"/>
            <w:left w:w="108" w:type="dxa"/>
            <w:bottom w:w="0" w:type="dxa"/>
            <w:right w:w="108" w:type="dxa"/>
          </w:tblCellMar>
        </w:tblPrEx>
        <w:trPr>
          <w:trHeight w:val="300" w:hRule="atLeast"/>
        </w:trPr>
        <w:tc>
          <w:tcPr>
            <w:tcW w:w="960"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ml:space="preserve">years </w:t>
            </w:r>
          </w:p>
        </w:tc>
        <w:tc>
          <w:tcPr>
            <w:tcW w:w="258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sales performance (£000)</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2006</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2007</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435</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2008</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320</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2009</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455</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2010</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640</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2011</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595</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2012</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2013</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358</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2014</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678</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2015</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601</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2016</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609</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2017</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660</w:t>
            </w:r>
          </w:p>
        </w:tc>
      </w:tr>
    </w:tbl>
    <w:p>
      <w:pPr>
        <w:rPr>
          <w:rFonts w:cs="Times New Roman"/>
          <w:szCs w:val="24"/>
        </w:rPr>
      </w:pPr>
    </w:p>
    <w:p>
      <w:pPr>
        <w:rPr>
          <w:rFonts w:cs="Times New Roman"/>
          <w:szCs w:val="24"/>
        </w:rPr>
      </w:pPr>
      <w:r>
        <w:rPr>
          <w:rFonts w:cs="Times New Roman"/>
          <w:szCs w:val="24"/>
        </w:rPr>
        <w:t xml:space="preserve">From the observation and findings it can be seen that performance of the organization in last ten years is not satisfactory level. In year of 2014, the organization accomplished higher sales performance but after the performance is slightly decreased. Therefore, in this section, the main objective is to find out the main factors that help the organization to increase performance in satisfactory level. Before findings the main factors that positively impact the sales performance, it is most vital to find out that the upcoming performance of the organization in market. Therefore to find out the upcoming performance of the organization moving average techniques is adopted. The main benefit of the implementation of this technique is that it effectively provides the performance of sales in upcoming years and aids the management in strategic planning procedures.                     </w:t>
      </w:r>
    </w:p>
    <w:p>
      <w:pPr>
        <w:rPr>
          <w:rFonts w:cs="Times New Roman"/>
          <w:b/>
          <w:szCs w:val="24"/>
        </w:rPr>
      </w:pPr>
      <w:r>
        <w:rPr>
          <w:rFonts w:cs="Times New Roman"/>
          <w:b/>
          <w:szCs w:val="24"/>
        </w:rPr>
        <w:t xml:space="preserve">3- Yrs moving average performance of an organization </w:t>
      </w:r>
    </w:p>
    <w:p>
      <w:pPr>
        <w:rPr>
          <w:rFonts w:cs="Times New Roman"/>
          <w:szCs w:val="24"/>
        </w:rPr>
      </w:pPr>
      <w:r>
        <w:rPr>
          <w:rFonts w:cs="Times New Roman"/>
          <w:szCs w:val="24"/>
        </w:rPr>
        <w:t xml:space="preserve"> </w:t>
      </w:r>
    </w:p>
    <w:tbl>
      <w:tblPr>
        <w:tblStyle w:val="12"/>
        <w:tblW w:w="6380" w:type="dxa"/>
        <w:tblInd w:w="103" w:type="dxa"/>
        <w:tblLayout w:type="fixed"/>
        <w:tblCellMar>
          <w:top w:w="0" w:type="dxa"/>
          <w:left w:w="108" w:type="dxa"/>
          <w:bottom w:w="0" w:type="dxa"/>
          <w:right w:w="108" w:type="dxa"/>
        </w:tblCellMar>
      </w:tblPr>
      <w:tblGrid>
        <w:gridCol w:w="960"/>
        <w:gridCol w:w="2580"/>
        <w:gridCol w:w="1460"/>
        <w:gridCol w:w="1380"/>
      </w:tblGrid>
      <w:tr>
        <w:tblPrEx>
          <w:tblLayout w:type="fixed"/>
          <w:tblCellMar>
            <w:top w:w="0" w:type="dxa"/>
            <w:left w:w="108" w:type="dxa"/>
            <w:bottom w:w="0" w:type="dxa"/>
            <w:right w:w="108" w:type="dxa"/>
          </w:tblCellMar>
        </w:tblPrEx>
        <w:trPr>
          <w:trHeight w:val="300" w:hRule="atLeast"/>
        </w:trPr>
        <w:tc>
          <w:tcPr>
            <w:tcW w:w="960"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ml:space="preserve">years </w:t>
            </w:r>
          </w:p>
        </w:tc>
        <w:tc>
          <w:tcPr>
            <w:tcW w:w="258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sales performance (£000)</w:t>
            </w:r>
          </w:p>
        </w:tc>
        <w:tc>
          <w:tcPr>
            <w:tcW w:w="146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3-yrs sum</w:t>
            </w:r>
          </w:p>
        </w:tc>
        <w:tc>
          <w:tcPr>
            <w:tcW w:w="138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3-yrs mov avg</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2006</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2007</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435</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2008</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320</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1290</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430</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2009</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455</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1210</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403</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2010</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640</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1415</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472</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2011</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595</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1690</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563</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2012</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1770</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590</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2013</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358</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1488</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496</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2014</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678</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1571</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524</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2015</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601</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1637</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546</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2016</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609</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1888</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629</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2017</w:t>
            </w:r>
          </w:p>
        </w:tc>
        <w:tc>
          <w:tcPr>
            <w:tcW w:w="25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660</w:t>
            </w:r>
          </w:p>
        </w:tc>
        <w:tc>
          <w:tcPr>
            <w:tcW w:w="14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1870</w:t>
            </w:r>
          </w:p>
        </w:tc>
        <w:tc>
          <w:tcPr>
            <w:tcW w:w="1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623</w:t>
            </w:r>
          </w:p>
        </w:tc>
      </w:tr>
    </w:tbl>
    <w:p>
      <w:pPr>
        <w:rPr>
          <w:rFonts w:cs="Times New Roman"/>
          <w:szCs w:val="24"/>
        </w:rPr>
      </w:pPr>
    </w:p>
    <w:p>
      <w:pPr>
        <w:rPr>
          <w:rFonts w:cs="Times New Roman"/>
          <w:b/>
          <w:szCs w:val="24"/>
        </w:rPr>
      </w:pPr>
      <w:r>
        <w:rPr>
          <w:rFonts w:cs="Times New Roman"/>
          <w:b/>
          <w:szCs w:val="24"/>
        </w:rPr>
        <w:t xml:space="preserve">Graphical presentation of 3-yrs moving sales performance of an organization </w:t>
      </w:r>
    </w:p>
    <w:p>
      <w:pPr>
        <w:rPr>
          <w:rFonts w:cs="Times New Roman"/>
          <w:szCs w:val="24"/>
        </w:rPr>
      </w:pPr>
      <w:r>
        <w:rPr>
          <w:rFonts w:cs="Times New Roman"/>
          <w:szCs w:val="24"/>
          <w:lang w:val="en-IN" w:eastAsia="en-IN"/>
        </w:rPr>
        <w:drawing>
          <wp:inline distT="0" distB="0" distL="0" distR="0">
            <wp:extent cx="5731510" cy="2620010"/>
            <wp:effectExtent l="19050" t="0" r="21590" b="8694"/>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rPr>
          <w:rFonts w:cs="Times New Roman"/>
          <w:szCs w:val="24"/>
        </w:rPr>
      </w:pPr>
      <w:r>
        <w:rPr>
          <w:rFonts w:cs="Times New Roman"/>
          <w:szCs w:val="24"/>
        </w:rPr>
        <w:t xml:space="preserve">From the findings and analysis it can be seen that the performance of the organization in upcoming years in satisfactory level.      </w:t>
      </w:r>
    </w:p>
    <w:p>
      <w:pPr>
        <w:rPr>
          <w:rFonts w:cs="Times New Roman"/>
          <w:b/>
          <w:szCs w:val="24"/>
        </w:rPr>
      </w:pPr>
      <w:r>
        <w:rPr>
          <w:rFonts w:cs="Times New Roman"/>
          <w:b/>
          <w:szCs w:val="24"/>
        </w:rPr>
        <w:t>Graphical presentation of upcoming performance of an organization (in sales)</w:t>
      </w:r>
    </w:p>
    <w:p>
      <w:pPr>
        <w:rPr>
          <w:rFonts w:cs="Times New Roman"/>
          <w:szCs w:val="24"/>
        </w:rPr>
      </w:pPr>
      <w:r>
        <w:rPr>
          <w:rFonts w:cs="Times New Roman"/>
          <w:szCs w:val="24"/>
          <w:lang w:val="en-IN" w:eastAsia="en-IN"/>
        </w:rPr>
        <w:drawing>
          <wp:inline distT="0" distB="0" distL="0" distR="0">
            <wp:extent cx="5731510" cy="2400300"/>
            <wp:effectExtent l="19050" t="0" r="2159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rPr>
          <w:rFonts w:cs="Times New Roman"/>
          <w:szCs w:val="24"/>
        </w:rPr>
      </w:pPr>
      <w:r>
        <w:rPr>
          <w:rFonts w:cs="Times New Roman"/>
          <w:szCs w:val="24"/>
        </w:rPr>
        <w:t xml:space="preserve">The above graph represented that in upcoming year performance of the organization is in increasing orders which signifies that if a management can build an effective strategies regarding the performance of the company then they achieve higher profits with higher customer’s satisfaction level.     </w:t>
      </w:r>
    </w:p>
    <w:p>
      <w:pPr>
        <w:rPr>
          <w:rFonts w:cs="Times New Roman"/>
          <w:szCs w:val="24"/>
        </w:rPr>
      </w:pPr>
      <w:r>
        <w:rPr>
          <w:rFonts w:cs="Times New Roman"/>
          <w:szCs w:val="24"/>
        </w:rPr>
        <w:t xml:space="preserve">From the analysis and evaluation it can be observed that the main factors that impact the sales performance of the company is sales promotional activities that helps to promote products and services in effective manner. Therefore in this section, the main objective is to find out the relationship between sales promotional activities and sales performance using statistical analysis techniques. In order to find out the relationship both correlation and regression analysis techniques have been used.              </w:t>
      </w:r>
    </w:p>
    <w:p>
      <w:pPr>
        <w:rPr>
          <w:rFonts w:cs="Times New Roman"/>
          <w:szCs w:val="24"/>
        </w:rPr>
      </w:pPr>
    </w:p>
    <w:p>
      <w:pPr>
        <w:rPr>
          <w:rFonts w:cs="Times New Roman"/>
          <w:b/>
          <w:szCs w:val="24"/>
        </w:rPr>
      </w:pPr>
      <w:r>
        <w:rPr>
          <w:rFonts w:cs="Times New Roman"/>
          <w:b/>
          <w:szCs w:val="24"/>
        </w:rPr>
        <w:t xml:space="preserve">Relationship between sales promotional activities and sales performance </w:t>
      </w:r>
    </w:p>
    <w:p>
      <w:pPr>
        <w:rPr>
          <w:rFonts w:cs="Times New Roman"/>
          <w:b/>
          <w:szCs w:val="24"/>
        </w:rPr>
      </w:pPr>
      <w:r>
        <w:rPr>
          <w:rFonts w:cs="Times New Roman"/>
          <w:b/>
          <w:szCs w:val="24"/>
        </w:rPr>
        <w:t xml:space="preserve">Correlation analysis between sales promotional activities and sales performance </w:t>
      </w:r>
    </w:p>
    <w:p>
      <w:pPr>
        <w:rPr>
          <w:rFonts w:cs="Times New Roman"/>
          <w:szCs w:val="24"/>
        </w:rPr>
      </w:pPr>
      <w:r>
        <w:rPr>
          <w:rFonts w:cs="Times New Roman"/>
          <w:szCs w:val="24"/>
        </w:rPr>
        <w:t xml:space="preserve">The main objective of use of correlation techniques is that it provides the values which signifies that variables i.e. independent and dependent are positively related with each other’s of not.      </w:t>
      </w:r>
    </w:p>
    <w:p>
      <w:pPr>
        <w:rPr>
          <w:rFonts w:cs="Times New Roman"/>
          <w:szCs w:val="24"/>
        </w:rPr>
      </w:pPr>
      <w:r>
        <w:rPr>
          <w:rFonts w:cs="Times New Roman"/>
          <w:szCs w:val="24"/>
        </w:rPr>
        <w:t xml:space="preserve">Amount spend in sales promotional activities by organization to promote products </w:t>
      </w:r>
    </w:p>
    <w:tbl>
      <w:tblPr>
        <w:tblStyle w:val="12"/>
        <w:tblW w:w="9030" w:type="dxa"/>
        <w:tblInd w:w="103" w:type="dxa"/>
        <w:tblLayout w:type="fixed"/>
        <w:tblCellMar>
          <w:top w:w="0" w:type="dxa"/>
          <w:left w:w="108" w:type="dxa"/>
          <w:bottom w:w="0" w:type="dxa"/>
          <w:right w:w="108" w:type="dxa"/>
        </w:tblCellMar>
      </w:tblPr>
      <w:tblGrid>
        <w:gridCol w:w="960"/>
        <w:gridCol w:w="2380"/>
        <w:gridCol w:w="1895"/>
        <w:gridCol w:w="1900"/>
        <w:gridCol w:w="1895"/>
      </w:tblGrid>
      <w:tr>
        <w:tblPrEx>
          <w:tblLayout w:type="fixed"/>
          <w:tblCellMar>
            <w:top w:w="0" w:type="dxa"/>
            <w:left w:w="108" w:type="dxa"/>
            <w:bottom w:w="0" w:type="dxa"/>
            <w:right w:w="108" w:type="dxa"/>
          </w:tblCellMar>
        </w:tblPrEx>
        <w:trPr>
          <w:trHeight w:val="1500" w:hRule="atLeast"/>
        </w:trPr>
        <w:tc>
          <w:tcPr>
            <w:tcW w:w="960"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ml:space="preserve">years </w:t>
            </w:r>
          </w:p>
        </w:tc>
        <w:tc>
          <w:tcPr>
            <w:tcW w:w="238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sales performance (£000)</w:t>
            </w:r>
          </w:p>
        </w:tc>
        <w:tc>
          <w:tcPr>
            <w:tcW w:w="1895"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increase/decrease sales performance</w:t>
            </w:r>
          </w:p>
        </w:tc>
        <w:tc>
          <w:tcPr>
            <w:tcW w:w="190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sales promotional (£000)</w:t>
            </w:r>
          </w:p>
        </w:tc>
        <w:tc>
          <w:tcPr>
            <w:tcW w:w="1895"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ml:space="preserve">increase/decrease sales promotional </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2006</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456</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2007</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435</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-18.69</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405</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-11.18</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2008</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320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-26.44</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250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-38.27</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2009</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455</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42.19</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410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64.00</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2010</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640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40.66</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520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26.83</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2011</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595</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-7.03</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512</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-1.54</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2012</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-10.08</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510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-0.39</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2013</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358</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-33.08</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350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-31.37</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2014</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678</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89.39</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14.29</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2015</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601</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-11.36</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510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27.50</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2016</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609</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1.33</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520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1.96</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2017</w:t>
            </w:r>
          </w:p>
        </w:tc>
        <w:tc>
          <w:tcPr>
            <w:tcW w:w="23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660</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8.37</w:t>
            </w:r>
          </w:p>
        </w:tc>
        <w:tc>
          <w:tcPr>
            <w:tcW w:w="190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541</w:t>
            </w:r>
          </w:p>
        </w:tc>
        <w:tc>
          <w:tcPr>
            <w:tcW w:w="1895"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4.04</w:t>
            </w:r>
          </w:p>
        </w:tc>
      </w:tr>
    </w:tbl>
    <w:p>
      <w:pPr>
        <w:rPr>
          <w:rFonts w:cs="Times New Roman"/>
          <w:szCs w:val="24"/>
        </w:rPr>
      </w:pPr>
    </w:p>
    <w:p>
      <w:pPr>
        <w:rPr>
          <w:rFonts w:cs="Times New Roman"/>
          <w:szCs w:val="24"/>
        </w:rPr>
      </w:pPr>
      <w:r>
        <w:rPr>
          <w:rFonts w:cs="Times New Roman"/>
          <w:szCs w:val="24"/>
        </w:rPr>
        <w:t xml:space="preserve">Correlation between sales performance and sales promotional </w:t>
      </w:r>
    </w:p>
    <w:tbl>
      <w:tblPr>
        <w:tblStyle w:val="13"/>
        <w:tblW w:w="9242"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810"/>
        <w:gridCol w:w="1223"/>
        <w:gridCol w:w="1224"/>
        <w:gridCol w:w="840"/>
        <w:gridCol w:w="840"/>
        <w:gridCol w:w="1291"/>
        <w:gridCol w:w="1275"/>
        <w:gridCol w:w="1739"/>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45"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 X Values</w:t>
            </w:r>
          </w:p>
        </w:tc>
        <w:tc>
          <w:tcPr>
            <w:tcW w:w="1224" w:type="dxa"/>
          </w:tcPr>
          <w:p>
            <w:pPr>
              <w:spacing w:after="0"/>
              <w:rPr>
                <w:rFonts w:cs="Times New Roman"/>
                <w:sz w:val="24"/>
                <w:szCs w:val="24"/>
              </w:rPr>
            </w:pPr>
            <w:r>
              <w:rPr>
                <w:rFonts w:cs="Times New Roman"/>
                <w:sz w:val="24"/>
                <w:szCs w:val="24"/>
              </w:rPr>
              <w:t>Y Values</w:t>
            </w:r>
          </w:p>
        </w:tc>
        <w:tc>
          <w:tcPr>
            <w:tcW w:w="840" w:type="dxa"/>
          </w:tcPr>
          <w:p>
            <w:pPr>
              <w:spacing w:after="0"/>
              <w:rPr>
                <w:rFonts w:cs="Times New Roman"/>
                <w:sz w:val="24"/>
                <w:szCs w:val="24"/>
              </w:rPr>
            </w:pPr>
            <w:r>
              <w:rPr>
                <w:rFonts w:cs="Times New Roman"/>
                <w:sz w:val="24"/>
                <w:szCs w:val="24"/>
              </w:rPr>
              <w:t> X - M</w:t>
            </w:r>
            <w:r>
              <w:rPr>
                <w:rFonts w:cs="Times New Roman"/>
                <w:sz w:val="24"/>
                <w:szCs w:val="24"/>
                <w:vertAlign w:val="subscript"/>
              </w:rPr>
              <w:t>x</w:t>
            </w:r>
          </w:p>
        </w:tc>
        <w:tc>
          <w:tcPr>
            <w:tcW w:w="840" w:type="dxa"/>
          </w:tcPr>
          <w:p>
            <w:pPr>
              <w:spacing w:after="0"/>
              <w:rPr>
                <w:rFonts w:cs="Times New Roman"/>
                <w:sz w:val="24"/>
                <w:szCs w:val="24"/>
              </w:rPr>
            </w:pPr>
            <w:r>
              <w:rPr>
                <w:rFonts w:cs="Times New Roman"/>
                <w:sz w:val="24"/>
                <w:szCs w:val="24"/>
              </w:rPr>
              <w:t> Y - M</w:t>
            </w:r>
            <w:r>
              <w:rPr>
                <w:rFonts w:cs="Times New Roman"/>
                <w:sz w:val="24"/>
                <w:szCs w:val="24"/>
                <w:vertAlign w:val="subscript"/>
              </w:rPr>
              <w:t>y</w:t>
            </w:r>
          </w:p>
        </w:tc>
        <w:tc>
          <w:tcPr>
            <w:tcW w:w="1291" w:type="dxa"/>
          </w:tcPr>
          <w:p>
            <w:pPr>
              <w:spacing w:after="0"/>
              <w:rPr>
                <w:rFonts w:cs="Times New Roman"/>
                <w:sz w:val="24"/>
                <w:szCs w:val="24"/>
              </w:rPr>
            </w:pPr>
            <w:r>
              <w:rPr>
                <w:rFonts w:cs="Times New Roman"/>
                <w:sz w:val="24"/>
                <w:szCs w:val="24"/>
              </w:rPr>
              <w:t> (X - M</w:t>
            </w:r>
            <w:r>
              <w:rPr>
                <w:rFonts w:cs="Times New Roman"/>
                <w:sz w:val="24"/>
                <w:szCs w:val="24"/>
                <w:vertAlign w:val="subscript"/>
              </w:rPr>
              <w:t>x</w:t>
            </w:r>
            <w:r>
              <w:rPr>
                <w:rFonts w:cs="Times New Roman"/>
                <w:sz w:val="24"/>
                <w:szCs w:val="24"/>
              </w:rPr>
              <w:t>)</w:t>
            </w:r>
            <w:r>
              <w:rPr>
                <w:rFonts w:cs="Times New Roman"/>
                <w:sz w:val="24"/>
                <w:szCs w:val="24"/>
                <w:vertAlign w:val="superscript"/>
              </w:rPr>
              <w:t>2</w:t>
            </w:r>
          </w:p>
        </w:tc>
        <w:tc>
          <w:tcPr>
            <w:tcW w:w="1275" w:type="dxa"/>
          </w:tcPr>
          <w:p>
            <w:pPr>
              <w:spacing w:after="0"/>
              <w:rPr>
                <w:rFonts w:cs="Times New Roman"/>
                <w:sz w:val="24"/>
                <w:szCs w:val="24"/>
              </w:rPr>
            </w:pPr>
            <w:r>
              <w:rPr>
                <w:rFonts w:cs="Times New Roman"/>
                <w:sz w:val="24"/>
                <w:szCs w:val="24"/>
              </w:rPr>
              <w:t>(Y - M</w:t>
            </w:r>
            <w:r>
              <w:rPr>
                <w:rFonts w:cs="Times New Roman"/>
                <w:sz w:val="24"/>
                <w:szCs w:val="24"/>
                <w:vertAlign w:val="subscript"/>
              </w:rPr>
              <w:t>y</w:t>
            </w:r>
            <w:r>
              <w:rPr>
                <w:rFonts w:cs="Times New Roman"/>
                <w:sz w:val="24"/>
                <w:szCs w:val="24"/>
              </w:rPr>
              <w:t>)</w:t>
            </w:r>
            <w:r>
              <w:rPr>
                <w:rFonts w:cs="Times New Roman"/>
                <w:sz w:val="24"/>
                <w:szCs w:val="24"/>
                <w:vertAlign w:val="superscript"/>
              </w:rPr>
              <w:t>2</w:t>
            </w:r>
          </w:p>
        </w:tc>
        <w:tc>
          <w:tcPr>
            <w:tcW w:w="1739" w:type="dxa"/>
          </w:tcPr>
          <w:p>
            <w:pPr>
              <w:spacing w:after="0"/>
              <w:rPr>
                <w:rFonts w:cs="Times New Roman"/>
                <w:sz w:val="24"/>
                <w:szCs w:val="24"/>
              </w:rPr>
            </w:pPr>
            <w:r>
              <w:rPr>
                <w:rFonts w:cs="Times New Roman"/>
                <w:sz w:val="24"/>
                <w:szCs w:val="24"/>
              </w:rPr>
              <w:t> (X - M</w:t>
            </w:r>
            <w:r>
              <w:rPr>
                <w:rFonts w:cs="Times New Roman"/>
                <w:sz w:val="24"/>
                <w:szCs w:val="24"/>
                <w:vertAlign w:val="subscript"/>
              </w:rPr>
              <w:t>x</w:t>
            </w:r>
            <w:r>
              <w:rPr>
                <w:rFonts w:cs="Times New Roman"/>
                <w:sz w:val="24"/>
                <w:szCs w:val="24"/>
              </w:rPr>
              <w:t>)(Y - M</w:t>
            </w:r>
            <w:r>
              <w:rPr>
                <w:rFonts w:cs="Times New Roman"/>
                <w:sz w:val="24"/>
                <w:szCs w:val="24"/>
                <w:vertAlign w:val="subscript"/>
              </w:rPr>
              <w:t>y</w:t>
            </w:r>
            <w:r>
              <w:rPr>
                <w:rFonts w:cs="Times New Roman"/>
                <w:sz w:val="24"/>
                <w:szCs w:val="24"/>
              </w:rPr>
              <w: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535</w:t>
            </w:r>
          </w:p>
        </w:tc>
        <w:tc>
          <w:tcPr>
            <w:tcW w:w="1224" w:type="dxa"/>
          </w:tcPr>
          <w:p>
            <w:pPr>
              <w:spacing w:after="0"/>
              <w:rPr>
                <w:rFonts w:cs="Times New Roman"/>
                <w:sz w:val="24"/>
                <w:szCs w:val="24"/>
              </w:rPr>
            </w:pPr>
            <w:r>
              <w:rPr>
                <w:rFonts w:cs="Times New Roman"/>
                <w:sz w:val="24"/>
                <w:szCs w:val="24"/>
              </w:rPr>
              <w:t>456</w:t>
            </w:r>
          </w:p>
        </w:tc>
        <w:tc>
          <w:tcPr>
            <w:tcW w:w="840" w:type="dxa"/>
          </w:tcPr>
          <w:p>
            <w:pPr>
              <w:spacing w:after="0"/>
              <w:rPr>
                <w:rFonts w:cs="Times New Roman"/>
                <w:sz w:val="24"/>
                <w:szCs w:val="24"/>
              </w:rPr>
            </w:pPr>
            <w:r>
              <w:rPr>
                <w:rFonts w:cs="Times New Roman"/>
                <w:sz w:val="24"/>
                <w:szCs w:val="24"/>
              </w:rPr>
              <w:t>0.083</w:t>
            </w:r>
          </w:p>
        </w:tc>
        <w:tc>
          <w:tcPr>
            <w:tcW w:w="840" w:type="dxa"/>
          </w:tcPr>
          <w:p>
            <w:pPr>
              <w:spacing w:after="0"/>
              <w:rPr>
                <w:rFonts w:cs="Times New Roman"/>
                <w:sz w:val="24"/>
                <w:szCs w:val="24"/>
              </w:rPr>
            </w:pPr>
            <w:r>
              <w:rPr>
                <w:rFonts w:cs="Times New Roman"/>
                <w:sz w:val="24"/>
                <w:szCs w:val="24"/>
              </w:rPr>
              <w:t>7.333</w:t>
            </w:r>
          </w:p>
        </w:tc>
        <w:tc>
          <w:tcPr>
            <w:tcW w:w="1291" w:type="dxa"/>
          </w:tcPr>
          <w:p>
            <w:pPr>
              <w:spacing w:after="0"/>
              <w:rPr>
                <w:rFonts w:cs="Times New Roman"/>
                <w:sz w:val="24"/>
                <w:szCs w:val="24"/>
              </w:rPr>
            </w:pPr>
            <w:r>
              <w:rPr>
                <w:rFonts w:cs="Times New Roman"/>
                <w:sz w:val="24"/>
                <w:szCs w:val="24"/>
              </w:rPr>
              <w:t>0.007</w:t>
            </w:r>
          </w:p>
        </w:tc>
        <w:tc>
          <w:tcPr>
            <w:tcW w:w="1275" w:type="dxa"/>
          </w:tcPr>
          <w:p>
            <w:pPr>
              <w:spacing w:after="0"/>
              <w:rPr>
                <w:rFonts w:cs="Times New Roman"/>
                <w:sz w:val="24"/>
                <w:szCs w:val="24"/>
              </w:rPr>
            </w:pPr>
            <w:r>
              <w:rPr>
                <w:rFonts w:cs="Times New Roman"/>
                <w:sz w:val="24"/>
                <w:szCs w:val="24"/>
              </w:rPr>
              <w:t>53.778</w:t>
            </w:r>
          </w:p>
        </w:tc>
        <w:tc>
          <w:tcPr>
            <w:tcW w:w="1739" w:type="dxa"/>
          </w:tcPr>
          <w:p>
            <w:pPr>
              <w:spacing w:after="0"/>
              <w:rPr>
                <w:rFonts w:cs="Times New Roman"/>
                <w:sz w:val="24"/>
                <w:szCs w:val="24"/>
              </w:rPr>
            </w:pPr>
            <w:r>
              <w:rPr>
                <w:rFonts w:cs="Times New Roman"/>
                <w:sz w:val="24"/>
                <w:szCs w:val="24"/>
              </w:rPr>
              <w:t>0.611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435</w:t>
            </w:r>
          </w:p>
        </w:tc>
        <w:tc>
          <w:tcPr>
            <w:tcW w:w="1224" w:type="dxa"/>
          </w:tcPr>
          <w:p>
            <w:pPr>
              <w:spacing w:after="0"/>
              <w:rPr>
                <w:rFonts w:cs="Times New Roman"/>
                <w:sz w:val="24"/>
                <w:szCs w:val="24"/>
              </w:rPr>
            </w:pPr>
            <w:r>
              <w:rPr>
                <w:rFonts w:cs="Times New Roman"/>
                <w:sz w:val="24"/>
                <w:szCs w:val="24"/>
              </w:rPr>
              <w:t>405</w:t>
            </w:r>
          </w:p>
        </w:tc>
        <w:tc>
          <w:tcPr>
            <w:tcW w:w="840" w:type="dxa"/>
          </w:tcPr>
          <w:p>
            <w:pPr>
              <w:spacing w:after="0"/>
              <w:rPr>
                <w:rFonts w:cs="Times New Roman"/>
                <w:sz w:val="24"/>
                <w:szCs w:val="24"/>
              </w:rPr>
            </w:pPr>
            <w:r>
              <w:rPr>
                <w:rFonts w:cs="Times New Roman"/>
                <w:sz w:val="24"/>
                <w:szCs w:val="24"/>
              </w:rPr>
              <w:t>-100.083</w:t>
            </w:r>
          </w:p>
        </w:tc>
        <w:tc>
          <w:tcPr>
            <w:tcW w:w="840" w:type="dxa"/>
          </w:tcPr>
          <w:p>
            <w:pPr>
              <w:spacing w:after="0"/>
              <w:rPr>
                <w:rFonts w:cs="Times New Roman"/>
                <w:sz w:val="24"/>
                <w:szCs w:val="24"/>
              </w:rPr>
            </w:pPr>
            <w:r>
              <w:rPr>
                <w:rFonts w:cs="Times New Roman"/>
                <w:sz w:val="24"/>
                <w:szCs w:val="24"/>
              </w:rPr>
              <w:t>-43.667</w:t>
            </w:r>
          </w:p>
        </w:tc>
        <w:tc>
          <w:tcPr>
            <w:tcW w:w="1291" w:type="dxa"/>
          </w:tcPr>
          <w:p>
            <w:pPr>
              <w:spacing w:after="0"/>
              <w:rPr>
                <w:rFonts w:cs="Times New Roman"/>
                <w:sz w:val="24"/>
                <w:szCs w:val="24"/>
              </w:rPr>
            </w:pPr>
            <w:r>
              <w:rPr>
                <w:rFonts w:cs="Times New Roman"/>
                <w:sz w:val="24"/>
                <w:szCs w:val="24"/>
              </w:rPr>
              <w:t>10016.674</w:t>
            </w:r>
          </w:p>
        </w:tc>
        <w:tc>
          <w:tcPr>
            <w:tcW w:w="1275" w:type="dxa"/>
          </w:tcPr>
          <w:p>
            <w:pPr>
              <w:spacing w:after="0"/>
              <w:rPr>
                <w:rFonts w:cs="Times New Roman"/>
                <w:sz w:val="24"/>
                <w:szCs w:val="24"/>
              </w:rPr>
            </w:pPr>
            <w:r>
              <w:rPr>
                <w:rFonts w:cs="Times New Roman"/>
                <w:sz w:val="24"/>
                <w:szCs w:val="24"/>
              </w:rPr>
              <w:t>1906.778</w:t>
            </w:r>
          </w:p>
        </w:tc>
        <w:tc>
          <w:tcPr>
            <w:tcW w:w="1739" w:type="dxa"/>
          </w:tcPr>
          <w:p>
            <w:pPr>
              <w:spacing w:after="0"/>
              <w:rPr>
                <w:rFonts w:cs="Times New Roman"/>
                <w:sz w:val="24"/>
                <w:szCs w:val="24"/>
              </w:rPr>
            </w:pPr>
            <w:r>
              <w:rPr>
                <w:rFonts w:cs="Times New Roman"/>
                <w:sz w:val="24"/>
                <w:szCs w:val="24"/>
              </w:rPr>
              <w:t>4370.306</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320</w:t>
            </w:r>
          </w:p>
        </w:tc>
        <w:tc>
          <w:tcPr>
            <w:tcW w:w="1224" w:type="dxa"/>
          </w:tcPr>
          <w:p>
            <w:pPr>
              <w:spacing w:after="0"/>
              <w:rPr>
                <w:rFonts w:cs="Times New Roman"/>
                <w:sz w:val="24"/>
                <w:szCs w:val="24"/>
              </w:rPr>
            </w:pPr>
            <w:r>
              <w:rPr>
                <w:rFonts w:cs="Times New Roman"/>
                <w:sz w:val="24"/>
                <w:szCs w:val="24"/>
              </w:rPr>
              <w:t>250</w:t>
            </w:r>
          </w:p>
        </w:tc>
        <w:tc>
          <w:tcPr>
            <w:tcW w:w="840" w:type="dxa"/>
          </w:tcPr>
          <w:p>
            <w:pPr>
              <w:spacing w:after="0"/>
              <w:rPr>
                <w:rFonts w:cs="Times New Roman"/>
                <w:sz w:val="24"/>
                <w:szCs w:val="24"/>
              </w:rPr>
            </w:pPr>
            <w:r>
              <w:rPr>
                <w:rFonts w:cs="Times New Roman"/>
                <w:sz w:val="24"/>
                <w:szCs w:val="24"/>
              </w:rPr>
              <w:t>-215.083</w:t>
            </w:r>
          </w:p>
        </w:tc>
        <w:tc>
          <w:tcPr>
            <w:tcW w:w="840" w:type="dxa"/>
          </w:tcPr>
          <w:p>
            <w:pPr>
              <w:spacing w:after="0"/>
              <w:rPr>
                <w:rFonts w:cs="Times New Roman"/>
                <w:sz w:val="24"/>
                <w:szCs w:val="24"/>
              </w:rPr>
            </w:pPr>
            <w:r>
              <w:rPr>
                <w:rFonts w:cs="Times New Roman"/>
                <w:sz w:val="24"/>
                <w:szCs w:val="24"/>
              </w:rPr>
              <w:t>-198.667</w:t>
            </w:r>
          </w:p>
        </w:tc>
        <w:tc>
          <w:tcPr>
            <w:tcW w:w="1291" w:type="dxa"/>
          </w:tcPr>
          <w:p>
            <w:pPr>
              <w:spacing w:after="0"/>
              <w:rPr>
                <w:rFonts w:cs="Times New Roman"/>
                <w:sz w:val="24"/>
                <w:szCs w:val="24"/>
              </w:rPr>
            </w:pPr>
            <w:r>
              <w:rPr>
                <w:rFonts w:cs="Times New Roman"/>
                <w:sz w:val="24"/>
                <w:szCs w:val="24"/>
              </w:rPr>
              <w:t>46260.84</w:t>
            </w:r>
          </w:p>
        </w:tc>
        <w:tc>
          <w:tcPr>
            <w:tcW w:w="1275" w:type="dxa"/>
          </w:tcPr>
          <w:p>
            <w:pPr>
              <w:spacing w:after="0"/>
              <w:rPr>
                <w:rFonts w:cs="Times New Roman"/>
                <w:sz w:val="24"/>
                <w:szCs w:val="24"/>
              </w:rPr>
            </w:pPr>
            <w:r>
              <w:rPr>
                <w:rFonts w:cs="Times New Roman"/>
                <w:sz w:val="24"/>
                <w:szCs w:val="24"/>
              </w:rPr>
              <w:t>39468.444</w:t>
            </w:r>
          </w:p>
        </w:tc>
        <w:tc>
          <w:tcPr>
            <w:tcW w:w="1739" w:type="dxa"/>
          </w:tcPr>
          <w:p>
            <w:pPr>
              <w:spacing w:after="0"/>
              <w:rPr>
                <w:rFonts w:cs="Times New Roman"/>
                <w:sz w:val="24"/>
                <w:szCs w:val="24"/>
              </w:rPr>
            </w:pPr>
            <w:r>
              <w:rPr>
                <w:rFonts w:cs="Times New Roman"/>
                <w:sz w:val="24"/>
                <w:szCs w:val="24"/>
              </w:rPr>
              <w:t>42729.889</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455</w:t>
            </w:r>
          </w:p>
        </w:tc>
        <w:tc>
          <w:tcPr>
            <w:tcW w:w="1224" w:type="dxa"/>
          </w:tcPr>
          <w:p>
            <w:pPr>
              <w:spacing w:after="0"/>
              <w:rPr>
                <w:rFonts w:cs="Times New Roman"/>
                <w:sz w:val="24"/>
                <w:szCs w:val="24"/>
              </w:rPr>
            </w:pPr>
            <w:r>
              <w:rPr>
                <w:rFonts w:cs="Times New Roman"/>
                <w:sz w:val="24"/>
                <w:szCs w:val="24"/>
              </w:rPr>
              <w:t>410</w:t>
            </w:r>
          </w:p>
        </w:tc>
        <w:tc>
          <w:tcPr>
            <w:tcW w:w="840" w:type="dxa"/>
          </w:tcPr>
          <w:p>
            <w:pPr>
              <w:spacing w:after="0"/>
              <w:rPr>
                <w:rFonts w:cs="Times New Roman"/>
                <w:sz w:val="24"/>
                <w:szCs w:val="24"/>
              </w:rPr>
            </w:pPr>
            <w:r>
              <w:rPr>
                <w:rFonts w:cs="Times New Roman"/>
                <w:sz w:val="24"/>
                <w:szCs w:val="24"/>
              </w:rPr>
              <w:t>-80.083</w:t>
            </w:r>
          </w:p>
        </w:tc>
        <w:tc>
          <w:tcPr>
            <w:tcW w:w="840" w:type="dxa"/>
          </w:tcPr>
          <w:p>
            <w:pPr>
              <w:spacing w:after="0"/>
              <w:rPr>
                <w:rFonts w:cs="Times New Roman"/>
                <w:sz w:val="24"/>
                <w:szCs w:val="24"/>
              </w:rPr>
            </w:pPr>
            <w:r>
              <w:rPr>
                <w:rFonts w:cs="Times New Roman"/>
                <w:sz w:val="24"/>
                <w:szCs w:val="24"/>
              </w:rPr>
              <w:t>-38.667</w:t>
            </w:r>
          </w:p>
        </w:tc>
        <w:tc>
          <w:tcPr>
            <w:tcW w:w="1291" w:type="dxa"/>
          </w:tcPr>
          <w:p>
            <w:pPr>
              <w:spacing w:after="0"/>
              <w:rPr>
                <w:rFonts w:cs="Times New Roman"/>
                <w:sz w:val="24"/>
                <w:szCs w:val="24"/>
              </w:rPr>
            </w:pPr>
            <w:r>
              <w:rPr>
                <w:rFonts w:cs="Times New Roman"/>
                <w:sz w:val="24"/>
                <w:szCs w:val="24"/>
              </w:rPr>
              <w:t>6413.34</w:t>
            </w:r>
          </w:p>
        </w:tc>
        <w:tc>
          <w:tcPr>
            <w:tcW w:w="1275" w:type="dxa"/>
          </w:tcPr>
          <w:p>
            <w:pPr>
              <w:spacing w:after="0"/>
              <w:rPr>
                <w:rFonts w:cs="Times New Roman"/>
                <w:sz w:val="24"/>
                <w:szCs w:val="24"/>
              </w:rPr>
            </w:pPr>
            <w:r>
              <w:rPr>
                <w:rFonts w:cs="Times New Roman"/>
                <w:sz w:val="24"/>
                <w:szCs w:val="24"/>
              </w:rPr>
              <w:t>1495.111</w:t>
            </w:r>
          </w:p>
        </w:tc>
        <w:tc>
          <w:tcPr>
            <w:tcW w:w="1739" w:type="dxa"/>
          </w:tcPr>
          <w:p>
            <w:pPr>
              <w:spacing w:after="0"/>
              <w:rPr>
                <w:rFonts w:cs="Times New Roman"/>
                <w:sz w:val="24"/>
                <w:szCs w:val="24"/>
              </w:rPr>
            </w:pPr>
            <w:r>
              <w:rPr>
                <w:rFonts w:cs="Times New Roman"/>
                <w:sz w:val="24"/>
                <w:szCs w:val="24"/>
              </w:rPr>
              <w:t>3096.556</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640</w:t>
            </w:r>
          </w:p>
        </w:tc>
        <w:tc>
          <w:tcPr>
            <w:tcW w:w="1224" w:type="dxa"/>
          </w:tcPr>
          <w:p>
            <w:pPr>
              <w:spacing w:after="0"/>
              <w:rPr>
                <w:rFonts w:cs="Times New Roman"/>
                <w:sz w:val="24"/>
                <w:szCs w:val="24"/>
              </w:rPr>
            </w:pPr>
            <w:r>
              <w:rPr>
                <w:rFonts w:cs="Times New Roman"/>
                <w:sz w:val="24"/>
                <w:szCs w:val="24"/>
              </w:rPr>
              <w:t>520</w:t>
            </w:r>
          </w:p>
        </w:tc>
        <w:tc>
          <w:tcPr>
            <w:tcW w:w="840" w:type="dxa"/>
          </w:tcPr>
          <w:p>
            <w:pPr>
              <w:spacing w:after="0"/>
              <w:rPr>
                <w:rFonts w:cs="Times New Roman"/>
                <w:sz w:val="24"/>
                <w:szCs w:val="24"/>
              </w:rPr>
            </w:pPr>
            <w:r>
              <w:rPr>
                <w:rFonts w:cs="Times New Roman"/>
                <w:sz w:val="24"/>
                <w:szCs w:val="24"/>
              </w:rPr>
              <w:t>104.917</w:t>
            </w:r>
          </w:p>
        </w:tc>
        <w:tc>
          <w:tcPr>
            <w:tcW w:w="840" w:type="dxa"/>
          </w:tcPr>
          <w:p>
            <w:pPr>
              <w:spacing w:after="0"/>
              <w:rPr>
                <w:rFonts w:cs="Times New Roman"/>
                <w:sz w:val="24"/>
                <w:szCs w:val="24"/>
              </w:rPr>
            </w:pPr>
            <w:r>
              <w:rPr>
                <w:rFonts w:cs="Times New Roman"/>
                <w:sz w:val="24"/>
                <w:szCs w:val="24"/>
              </w:rPr>
              <w:t>71.333</w:t>
            </w:r>
          </w:p>
        </w:tc>
        <w:tc>
          <w:tcPr>
            <w:tcW w:w="1291" w:type="dxa"/>
          </w:tcPr>
          <w:p>
            <w:pPr>
              <w:spacing w:after="0"/>
              <w:rPr>
                <w:rFonts w:cs="Times New Roman"/>
                <w:sz w:val="24"/>
                <w:szCs w:val="24"/>
              </w:rPr>
            </w:pPr>
            <w:r>
              <w:rPr>
                <w:rFonts w:cs="Times New Roman"/>
                <w:sz w:val="24"/>
                <w:szCs w:val="24"/>
              </w:rPr>
              <w:t>11007.507</w:t>
            </w:r>
          </w:p>
        </w:tc>
        <w:tc>
          <w:tcPr>
            <w:tcW w:w="1275" w:type="dxa"/>
          </w:tcPr>
          <w:p>
            <w:pPr>
              <w:spacing w:after="0"/>
              <w:rPr>
                <w:rFonts w:cs="Times New Roman"/>
                <w:sz w:val="24"/>
                <w:szCs w:val="24"/>
              </w:rPr>
            </w:pPr>
            <w:r>
              <w:rPr>
                <w:rFonts w:cs="Times New Roman"/>
                <w:sz w:val="24"/>
                <w:szCs w:val="24"/>
              </w:rPr>
              <w:t>5088.444</w:t>
            </w:r>
          </w:p>
        </w:tc>
        <w:tc>
          <w:tcPr>
            <w:tcW w:w="1739" w:type="dxa"/>
          </w:tcPr>
          <w:p>
            <w:pPr>
              <w:spacing w:after="0"/>
              <w:rPr>
                <w:rFonts w:cs="Times New Roman"/>
                <w:sz w:val="24"/>
                <w:szCs w:val="24"/>
              </w:rPr>
            </w:pPr>
            <w:r>
              <w:rPr>
                <w:rFonts w:cs="Times New Roman"/>
                <w:sz w:val="24"/>
                <w:szCs w:val="24"/>
              </w:rPr>
              <w:t>7484.056</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595</w:t>
            </w:r>
          </w:p>
        </w:tc>
        <w:tc>
          <w:tcPr>
            <w:tcW w:w="1224" w:type="dxa"/>
          </w:tcPr>
          <w:p>
            <w:pPr>
              <w:spacing w:after="0"/>
              <w:rPr>
                <w:rFonts w:cs="Times New Roman"/>
                <w:sz w:val="24"/>
                <w:szCs w:val="24"/>
              </w:rPr>
            </w:pPr>
            <w:r>
              <w:rPr>
                <w:rFonts w:cs="Times New Roman"/>
                <w:sz w:val="24"/>
                <w:szCs w:val="24"/>
              </w:rPr>
              <w:t>512</w:t>
            </w:r>
          </w:p>
        </w:tc>
        <w:tc>
          <w:tcPr>
            <w:tcW w:w="840" w:type="dxa"/>
          </w:tcPr>
          <w:p>
            <w:pPr>
              <w:spacing w:after="0"/>
              <w:rPr>
                <w:rFonts w:cs="Times New Roman"/>
                <w:sz w:val="24"/>
                <w:szCs w:val="24"/>
              </w:rPr>
            </w:pPr>
            <w:r>
              <w:rPr>
                <w:rFonts w:cs="Times New Roman"/>
                <w:sz w:val="24"/>
                <w:szCs w:val="24"/>
              </w:rPr>
              <w:t>59.917</w:t>
            </w:r>
          </w:p>
        </w:tc>
        <w:tc>
          <w:tcPr>
            <w:tcW w:w="840" w:type="dxa"/>
          </w:tcPr>
          <w:p>
            <w:pPr>
              <w:spacing w:after="0"/>
              <w:rPr>
                <w:rFonts w:cs="Times New Roman"/>
                <w:sz w:val="24"/>
                <w:szCs w:val="24"/>
              </w:rPr>
            </w:pPr>
            <w:r>
              <w:rPr>
                <w:rFonts w:cs="Times New Roman"/>
                <w:sz w:val="24"/>
                <w:szCs w:val="24"/>
              </w:rPr>
              <w:t>63.333</w:t>
            </w:r>
          </w:p>
        </w:tc>
        <w:tc>
          <w:tcPr>
            <w:tcW w:w="1291" w:type="dxa"/>
          </w:tcPr>
          <w:p>
            <w:pPr>
              <w:spacing w:after="0"/>
              <w:rPr>
                <w:rFonts w:cs="Times New Roman"/>
                <w:sz w:val="24"/>
                <w:szCs w:val="24"/>
              </w:rPr>
            </w:pPr>
            <w:r>
              <w:rPr>
                <w:rFonts w:cs="Times New Roman"/>
                <w:sz w:val="24"/>
                <w:szCs w:val="24"/>
              </w:rPr>
              <w:t>3590.007</w:t>
            </w:r>
          </w:p>
        </w:tc>
        <w:tc>
          <w:tcPr>
            <w:tcW w:w="1275" w:type="dxa"/>
          </w:tcPr>
          <w:p>
            <w:pPr>
              <w:spacing w:after="0"/>
              <w:rPr>
                <w:rFonts w:cs="Times New Roman"/>
                <w:sz w:val="24"/>
                <w:szCs w:val="24"/>
              </w:rPr>
            </w:pPr>
            <w:r>
              <w:rPr>
                <w:rFonts w:cs="Times New Roman"/>
                <w:sz w:val="24"/>
                <w:szCs w:val="24"/>
              </w:rPr>
              <w:t>4011.111</w:t>
            </w:r>
          </w:p>
        </w:tc>
        <w:tc>
          <w:tcPr>
            <w:tcW w:w="1739" w:type="dxa"/>
          </w:tcPr>
          <w:p>
            <w:pPr>
              <w:spacing w:after="0"/>
              <w:rPr>
                <w:rFonts w:cs="Times New Roman"/>
                <w:sz w:val="24"/>
                <w:szCs w:val="24"/>
              </w:rPr>
            </w:pPr>
            <w:r>
              <w:rPr>
                <w:rFonts w:cs="Times New Roman"/>
                <w:sz w:val="24"/>
                <w:szCs w:val="24"/>
              </w:rPr>
              <w:t>3794.722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535</w:t>
            </w:r>
          </w:p>
        </w:tc>
        <w:tc>
          <w:tcPr>
            <w:tcW w:w="1224" w:type="dxa"/>
          </w:tcPr>
          <w:p>
            <w:pPr>
              <w:spacing w:after="0"/>
              <w:rPr>
                <w:rFonts w:cs="Times New Roman"/>
                <w:sz w:val="24"/>
                <w:szCs w:val="24"/>
              </w:rPr>
            </w:pPr>
            <w:r>
              <w:rPr>
                <w:rFonts w:cs="Times New Roman"/>
                <w:sz w:val="24"/>
                <w:szCs w:val="24"/>
              </w:rPr>
              <w:t>510</w:t>
            </w:r>
          </w:p>
        </w:tc>
        <w:tc>
          <w:tcPr>
            <w:tcW w:w="840" w:type="dxa"/>
          </w:tcPr>
          <w:p>
            <w:pPr>
              <w:spacing w:after="0"/>
              <w:rPr>
                <w:rFonts w:cs="Times New Roman"/>
                <w:sz w:val="24"/>
                <w:szCs w:val="24"/>
              </w:rPr>
            </w:pPr>
            <w:r>
              <w:rPr>
                <w:rFonts w:cs="Times New Roman"/>
                <w:sz w:val="24"/>
                <w:szCs w:val="24"/>
              </w:rPr>
              <w:t>-0.083</w:t>
            </w:r>
          </w:p>
        </w:tc>
        <w:tc>
          <w:tcPr>
            <w:tcW w:w="840" w:type="dxa"/>
          </w:tcPr>
          <w:p>
            <w:pPr>
              <w:spacing w:after="0"/>
              <w:rPr>
                <w:rFonts w:cs="Times New Roman"/>
                <w:sz w:val="24"/>
                <w:szCs w:val="24"/>
              </w:rPr>
            </w:pPr>
            <w:r>
              <w:rPr>
                <w:rFonts w:cs="Times New Roman"/>
                <w:sz w:val="24"/>
                <w:szCs w:val="24"/>
              </w:rPr>
              <w:t>61.333</w:t>
            </w:r>
          </w:p>
        </w:tc>
        <w:tc>
          <w:tcPr>
            <w:tcW w:w="1291" w:type="dxa"/>
          </w:tcPr>
          <w:p>
            <w:pPr>
              <w:spacing w:after="0"/>
              <w:rPr>
                <w:rFonts w:cs="Times New Roman"/>
                <w:sz w:val="24"/>
                <w:szCs w:val="24"/>
              </w:rPr>
            </w:pPr>
            <w:r>
              <w:rPr>
                <w:rFonts w:cs="Times New Roman"/>
                <w:sz w:val="24"/>
                <w:szCs w:val="24"/>
              </w:rPr>
              <w:t>0.007</w:t>
            </w:r>
          </w:p>
        </w:tc>
        <w:tc>
          <w:tcPr>
            <w:tcW w:w="1275" w:type="dxa"/>
          </w:tcPr>
          <w:p>
            <w:pPr>
              <w:spacing w:after="0"/>
              <w:rPr>
                <w:rFonts w:cs="Times New Roman"/>
                <w:sz w:val="24"/>
                <w:szCs w:val="24"/>
              </w:rPr>
            </w:pPr>
            <w:r>
              <w:rPr>
                <w:rFonts w:cs="Times New Roman"/>
                <w:sz w:val="24"/>
                <w:szCs w:val="24"/>
              </w:rPr>
              <w:t>3761.778</w:t>
            </w:r>
          </w:p>
        </w:tc>
        <w:tc>
          <w:tcPr>
            <w:tcW w:w="1739" w:type="dxa"/>
          </w:tcPr>
          <w:p>
            <w:pPr>
              <w:spacing w:after="0"/>
              <w:rPr>
                <w:rFonts w:cs="Times New Roman"/>
                <w:sz w:val="24"/>
                <w:szCs w:val="24"/>
              </w:rPr>
            </w:pPr>
            <w:r>
              <w:rPr>
                <w:rFonts w:cs="Times New Roman"/>
                <w:sz w:val="24"/>
                <w:szCs w:val="24"/>
              </w:rPr>
              <w:t>-5.111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358</w:t>
            </w:r>
          </w:p>
        </w:tc>
        <w:tc>
          <w:tcPr>
            <w:tcW w:w="1224" w:type="dxa"/>
          </w:tcPr>
          <w:p>
            <w:pPr>
              <w:spacing w:after="0"/>
              <w:rPr>
                <w:rFonts w:cs="Times New Roman"/>
                <w:sz w:val="24"/>
                <w:szCs w:val="24"/>
              </w:rPr>
            </w:pPr>
            <w:r>
              <w:rPr>
                <w:rFonts w:cs="Times New Roman"/>
                <w:sz w:val="24"/>
                <w:szCs w:val="24"/>
              </w:rPr>
              <w:t>350</w:t>
            </w:r>
          </w:p>
        </w:tc>
        <w:tc>
          <w:tcPr>
            <w:tcW w:w="840" w:type="dxa"/>
          </w:tcPr>
          <w:p>
            <w:pPr>
              <w:spacing w:after="0"/>
              <w:rPr>
                <w:rFonts w:cs="Times New Roman"/>
                <w:sz w:val="24"/>
                <w:szCs w:val="24"/>
              </w:rPr>
            </w:pPr>
            <w:r>
              <w:rPr>
                <w:rFonts w:cs="Times New Roman"/>
                <w:sz w:val="24"/>
                <w:szCs w:val="24"/>
              </w:rPr>
              <w:t>-177.083</w:t>
            </w:r>
          </w:p>
        </w:tc>
        <w:tc>
          <w:tcPr>
            <w:tcW w:w="840" w:type="dxa"/>
          </w:tcPr>
          <w:p>
            <w:pPr>
              <w:spacing w:after="0"/>
              <w:rPr>
                <w:rFonts w:cs="Times New Roman"/>
                <w:sz w:val="24"/>
                <w:szCs w:val="24"/>
              </w:rPr>
            </w:pPr>
            <w:r>
              <w:rPr>
                <w:rFonts w:cs="Times New Roman"/>
                <w:sz w:val="24"/>
                <w:szCs w:val="24"/>
              </w:rPr>
              <w:t>-98.667</w:t>
            </w:r>
          </w:p>
        </w:tc>
        <w:tc>
          <w:tcPr>
            <w:tcW w:w="1291" w:type="dxa"/>
          </w:tcPr>
          <w:p>
            <w:pPr>
              <w:spacing w:after="0"/>
              <w:rPr>
                <w:rFonts w:cs="Times New Roman"/>
                <w:sz w:val="24"/>
                <w:szCs w:val="24"/>
              </w:rPr>
            </w:pPr>
            <w:r>
              <w:rPr>
                <w:rFonts w:cs="Times New Roman"/>
                <w:sz w:val="24"/>
                <w:szCs w:val="24"/>
              </w:rPr>
              <w:t>31358.507</w:t>
            </w:r>
          </w:p>
        </w:tc>
        <w:tc>
          <w:tcPr>
            <w:tcW w:w="1275" w:type="dxa"/>
          </w:tcPr>
          <w:p>
            <w:pPr>
              <w:spacing w:after="0"/>
              <w:rPr>
                <w:rFonts w:cs="Times New Roman"/>
                <w:sz w:val="24"/>
                <w:szCs w:val="24"/>
              </w:rPr>
            </w:pPr>
            <w:r>
              <w:rPr>
                <w:rFonts w:cs="Times New Roman"/>
                <w:sz w:val="24"/>
                <w:szCs w:val="24"/>
              </w:rPr>
              <w:t>9735.111</w:t>
            </w:r>
          </w:p>
        </w:tc>
        <w:tc>
          <w:tcPr>
            <w:tcW w:w="1739" w:type="dxa"/>
          </w:tcPr>
          <w:p>
            <w:pPr>
              <w:spacing w:after="0"/>
              <w:rPr>
                <w:rFonts w:cs="Times New Roman"/>
                <w:sz w:val="24"/>
                <w:szCs w:val="24"/>
              </w:rPr>
            </w:pPr>
            <w:r>
              <w:rPr>
                <w:rFonts w:cs="Times New Roman"/>
                <w:sz w:val="24"/>
                <w:szCs w:val="24"/>
              </w:rPr>
              <w:t>17472.222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678</w:t>
            </w:r>
          </w:p>
        </w:tc>
        <w:tc>
          <w:tcPr>
            <w:tcW w:w="1224" w:type="dxa"/>
          </w:tcPr>
          <w:p>
            <w:pPr>
              <w:spacing w:after="0"/>
              <w:rPr>
                <w:rFonts w:cs="Times New Roman"/>
                <w:sz w:val="24"/>
                <w:szCs w:val="24"/>
              </w:rPr>
            </w:pPr>
            <w:r>
              <w:rPr>
                <w:rFonts w:cs="Times New Roman"/>
                <w:sz w:val="24"/>
                <w:szCs w:val="24"/>
              </w:rPr>
              <w:t>400</w:t>
            </w:r>
          </w:p>
        </w:tc>
        <w:tc>
          <w:tcPr>
            <w:tcW w:w="840" w:type="dxa"/>
          </w:tcPr>
          <w:p>
            <w:pPr>
              <w:spacing w:after="0"/>
              <w:rPr>
                <w:rFonts w:cs="Times New Roman"/>
                <w:sz w:val="24"/>
                <w:szCs w:val="24"/>
              </w:rPr>
            </w:pPr>
            <w:r>
              <w:rPr>
                <w:rFonts w:cs="Times New Roman"/>
                <w:sz w:val="24"/>
                <w:szCs w:val="24"/>
              </w:rPr>
              <w:t>142.917</w:t>
            </w:r>
          </w:p>
        </w:tc>
        <w:tc>
          <w:tcPr>
            <w:tcW w:w="840" w:type="dxa"/>
          </w:tcPr>
          <w:p>
            <w:pPr>
              <w:spacing w:after="0"/>
              <w:rPr>
                <w:rFonts w:cs="Times New Roman"/>
                <w:sz w:val="24"/>
                <w:szCs w:val="24"/>
              </w:rPr>
            </w:pPr>
            <w:r>
              <w:rPr>
                <w:rFonts w:cs="Times New Roman"/>
                <w:sz w:val="24"/>
                <w:szCs w:val="24"/>
              </w:rPr>
              <w:t>-48.667</w:t>
            </w:r>
          </w:p>
        </w:tc>
        <w:tc>
          <w:tcPr>
            <w:tcW w:w="1291" w:type="dxa"/>
          </w:tcPr>
          <w:p>
            <w:pPr>
              <w:spacing w:after="0"/>
              <w:rPr>
                <w:rFonts w:cs="Times New Roman"/>
                <w:sz w:val="24"/>
                <w:szCs w:val="24"/>
              </w:rPr>
            </w:pPr>
            <w:r>
              <w:rPr>
                <w:rFonts w:cs="Times New Roman"/>
                <w:sz w:val="24"/>
                <w:szCs w:val="24"/>
              </w:rPr>
              <w:t>20425.174</w:t>
            </w:r>
          </w:p>
        </w:tc>
        <w:tc>
          <w:tcPr>
            <w:tcW w:w="1275" w:type="dxa"/>
          </w:tcPr>
          <w:p>
            <w:pPr>
              <w:spacing w:after="0"/>
              <w:rPr>
                <w:rFonts w:cs="Times New Roman"/>
                <w:sz w:val="24"/>
                <w:szCs w:val="24"/>
              </w:rPr>
            </w:pPr>
            <w:r>
              <w:rPr>
                <w:rFonts w:cs="Times New Roman"/>
                <w:sz w:val="24"/>
                <w:szCs w:val="24"/>
              </w:rPr>
              <w:t>2368.444</w:t>
            </w:r>
          </w:p>
        </w:tc>
        <w:tc>
          <w:tcPr>
            <w:tcW w:w="1739" w:type="dxa"/>
          </w:tcPr>
          <w:p>
            <w:pPr>
              <w:spacing w:after="0"/>
              <w:rPr>
                <w:rFonts w:cs="Times New Roman"/>
                <w:sz w:val="24"/>
                <w:szCs w:val="24"/>
              </w:rPr>
            </w:pPr>
            <w:r>
              <w:rPr>
                <w:rFonts w:cs="Times New Roman"/>
                <w:sz w:val="24"/>
                <w:szCs w:val="24"/>
              </w:rPr>
              <w:t>-6955.278</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601</w:t>
            </w:r>
          </w:p>
        </w:tc>
        <w:tc>
          <w:tcPr>
            <w:tcW w:w="1224" w:type="dxa"/>
          </w:tcPr>
          <w:p>
            <w:pPr>
              <w:spacing w:after="0"/>
              <w:rPr>
                <w:rFonts w:cs="Times New Roman"/>
                <w:sz w:val="24"/>
                <w:szCs w:val="24"/>
              </w:rPr>
            </w:pPr>
            <w:r>
              <w:rPr>
                <w:rFonts w:cs="Times New Roman"/>
                <w:sz w:val="24"/>
                <w:szCs w:val="24"/>
              </w:rPr>
              <w:t>510</w:t>
            </w:r>
          </w:p>
        </w:tc>
        <w:tc>
          <w:tcPr>
            <w:tcW w:w="840" w:type="dxa"/>
          </w:tcPr>
          <w:p>
            <w:pPr>
              <w:spacing w:after="0"/>
              <w:rPr>
                <w:rFonts w:cs="Times New Roman"/>
                <w:sz w:val="24"/>
                <w:szCs w:val="24"/>
              </w:rPr>
            </w:pPr>
            <w:r>
              <w:rPr>
                <w:rFonts w:cs="Times New Roman"/>
                <w:sz w:val="24"/>
                <w:szCs w:val="24"/>
              </w:rPr>
              <w:t>65.917</w:t>
            </w:r>
          </w:p>
        </w:tc>
        <w:tc>
          <w:tcPr>
            <w:tcW w:w="840" w:type="dxa"/>
          </w:tcPr>
          <w:p>
            <w:pPr>
              <w:spacing w:after="0"/>
              <w:rPr>
                <w:rFonts w:cs="Times New Roman"/>
                <w:sz w:val="24"/>
                <w:szCs w:val="24"/>
              </w:rPr>
            </w:pPr>
            <w:r>
              <w:rPr>
                <w:rFonts w:cs="Times New Roman"/>
                <w:sz w:val="24"/>
                <w:szCs w:val="24"/>
              </w:rPr>
              <w:t>61.333</w:t>
            </w:r>
          </w:p>
        </w:tc>
        <w:tc>
          <w:tcPr>
            <w:tcW w:w="1291" w:type="dxa"/>
          </w:tcPr>
          <w:p>
            <w:pPr>
              <w:spacing w:after="0"/>
              <w:rPr>
                <w:rFonts w:cs="Times New Roman"/>
                <w:sz w:val="24"/>
                <w:szCs w:val="24"/>
              </w:rPr>
            </w:pPr>
            <w:r>
              <w:rPr>
                <w:rFonts w:cs="Times New Roman"/>
                <w:sz w:val="24"/>
                <w:szCs w:val="24"/>
              </w:rPr>
              <w:t>4345.007</w:t>
            </w:r>
          </w:p>
        </w:tc>
        <w:tc>
          <w:tcPr>
            <w:tcW w:w="1275" w:type="dxa"/>
          </w:tcPr>
          <w:p>
            <w:pPr>
              <w:spacing w:after="0"/>
              <w:rPr>
                <w:rFonts w:cs="Times New Roman"/>
                <w:sz w:val="24"/>
                <w:szCs w:val="24"/>
              </w:rPr>
            </w:pPr>
            <w:r>
              <w:rPr>
                <w:rFonts w:cs="Times New Roman"/>
                <w:sz w:val="24"/>
                <w:szCs w:val="24"/>
              </w:rPr>
              <w:t>3761.778</w:t>
            </w:r>
          </w:p>
        </w:tc>
        <w:tc>
          <w:tcPr>
            <w:tcW w:w="1739" w:type="dxa"/>
          </w:tcPr>
          <w:p>
            <w:pPr>
              <w:spacing w:after="0"/>
              <w:rPr>
                <w:rFonts w:cs="Times New Roman"/>
                <w:sz w:val="24"/>
                <w:szCs w:val="24"/>
              </w:rPr>
            </w:pPr>
            <w:r>
              <w:rPr>
                <w:rFonts w:cs="Times New Roman"/>
                <w:sz w:val="24"/>
                <w:szCs w:val="24"/>
              </w:rPr>
              <w:t>4042.889</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609</w:t>
            </w:r>
          </w:p>
        </w:tc>
        <w:tc>
          <w:tcPr>
            <w:tcW w:w="1224" w:type="dxa"/>
          </w:tcPr>
          <w:p>
            <w:pPr>
              <w:spacing w:after="0"/>
              <w:rPr>
                <w:rFonts w:cs="Times New Roman"/>
                <w:sz w:val="24"/>
                <w:szCs w:val="24"/>
              </w:rPr>
            </w:pPr>
            <w:r>
              <w:rPr>
                <w:rFonts w:cs="Times New Roman"/>
                <w:sz w:val="24"/>
                <w:szCs w:val="24"/>
              </w:rPr>
              <w:t>520</w:t>
            </w:r>
          </w:p>
        </w:tc>
        <w:tc>
          <w:tcPr>
            <w:tcW w:w="840" w:type="dxa"/>
          </w:tcPr>
          <w:p>
            <w:pPr>
              <w:spacing w:after="0"/>
              <w:rPr>
                <w:rFonts w:cs="Times New Roman"/>
                <w:sz w:val="24"/>
                <w:szCs w:val="24"/>
              </w:rPr>
            </w:pPr>
            <w:r>
              <w:rPr>
                <w:rFonts w:cs="Times New Roman"/>
                <w:sz w:val="24"/>
                <w:szCs w:val="24"/>
              </w:rPr>
              <w:t>73.917</w:t>
            </w:r>
          </w:p>
        </w:tc>
        <w:tc>
          <w:tcPr>
            <w:tcW w:w="840" w:type="dxa"/>
          </w:tcPr>
          <w:p>
            <w:pPr>
              <w:spacing w:after="0"/>
              <w:rPr>
                <w:rFonts w:cs="Times New Roman"/>
                <w:sz w:val="24"/>
                <w:szCs w:val="24"/>
              </w:rPr>
            </w:pPr>
            <w:r>
              <w:rPr>
                <w:rFonts w:cs="Times New Roman"/>
                <w:sz w:val="24"/>
                <w:szCs w:val="24"/>
              </w:rPr>
              <w:t>71.333</w:t>
            </w:r>
          </w:p>
        </w:tc>
        <w:tc>
          <w:tcPr>
            <w:tcW w:w="1291" w:type="dxa"/>
          </w:tcPr>
          <w:p>
            <w:pPr>
              <w:spacing w:after="0"/>
              <w:rPr>
                <w:rFonts w:cs="Times New Roman"/>
                <w:sz w:val="24"/>
                <w:szCs w:val="24"/>
              </w:rPr>
            </w:pPr>
            <w:r>
              <w:rPr>
                <w:rFonts w:cs="Times New Roman"/>
                <w:sz w:val="24"/>
                <w:szCs w:val="24"/>
              </w:rPr>
              <w:t>5463.674</w:t>
            </w:r>
          </w:p>
        </w:tc>
        <w:tc>
          <w:tcPr>
            <w:tcW w:w="1275" w:type="dxa"/>
          </w:tcPr>
          <w:p>
            <w:pPr>
              <w:spacing w:after="0"/>
              <w:rPr>
                <w:rFonts w:cs="Times New Roman"/>
                <w:sz w:val="24"/>
                <w:szCs w:val="24"/>
              </w:rPr>
            </w:pPr>
            <w:r>
              <w:rPr>
                <w:rFonts w:cs="Times New Roman"/>
                <w:sz w:val="24"/>
                <w:szCs w:val="24"/>
              </w:rPr>
              <w:t>5088.444</w:t>
            </w:r>
          </w:p>
        </w:tc>
        <w:tc>
          <w:tcPr>
            <w:tcW w:w="1739" w:type="dxa"/>
          </w:tcPr>
          <w:p>
            <w:pPr>
              <w:spacing w:after="0"/>
              <w:rPr>
                <w:rFonts w:cs="Times New Roman"/>
                <w:sz w:val="24"/>
                <w:szCs w:val="24"/>
              </w:rPr>
            </w:pPr>
            <w:r>
              <w:rPr>
                <w:rFonts w:cs="Times New Roman"/>
                <w:sz w:val="24"/>
                <w:szCs w:val="24"/>
              </w:rPr>
              <w:t>5272.722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w:t>
            </w:r>
          </w:p>
        </w:tc>
        <w:tc>
          <w:tcPr>
            <w:tcW w:w="1223" w:type="dxa"/>
          </w:tcPr>
          <w:p>
            <w:pPr>
              <w:spacing w:after="0"/>
              <w:rPr>
                <w:rFonts w:cs="Times New Roman"/>
                <w:sz w:val="24"/>
                <w:szCs w:val="24"/>
              </w:rPr>
            </w:pPr>
            <w:r>
              <w:rPr>
                <w:rFonts w:cs="Times New Roman"/>
                <w:sz w:val="24"/>
                <w:szCs w:val="24"/>
              </w:rPr>
              <w:t>660</w:t>
            </w:r>
          </w:p>
        </w:tc>
        <w:tc>
          <w:tcPr>
            <w:tcW w:w="1224" w:type="dxa"/>
          </w:tcPr>
          <w:p>
            <w:pPr>
              <w:spacing w:after="0"/>
              <w:rPr>
                <w:rFonts w:cs="Times New Roman"/>
                <w:sz w:val="24"/>
                <w:szCs w:val="24"/>
              </w:rPr>
            </w:pPr>
            <w:r>
              <w:rPr>
                <w:rFonts w:cs="Times New Roman"/>
                <w:sz w:val="24"/>
                <w:szCs w:val="24"/>
              </w:rPr>
              <w:t>541</w:t>
            </w:r>
          </w:p>
        </w:tc>
        <w:tc>
          <w:tcPr>
            <w:tcW w:w="840" w:type="dxa"/>
          </w:tcPr>
          <w:p>
            <w:pPr>
              <w:spacing w:after="0"/>
              <w:rPr>
                <w:rFonts w:cs="Times New Roman"/>
                <w:sz w:val="24"/>
                <w:szCs w:val="24"/>
              </w:rPr>
            </w:pPr>
            <w:r>
              <w:rPr>
                <w:rFonts w:cs="Times New Roman"/>
                <w:sz w:val="24"/>
                <w:szCs w:val="24"/>
              </w:rPr>
              <w:t>124.917</w:t>
            </w:r>
          </w:p>
        </w:tc>
        <w:tc>
          <w:tcPr>
            <w:tcW w:w="840" w:type="dxa"/>
          </w:tcPr>
          <w:p>
            <w:pPr>
              <w:spacing w:after="0"/>
              <w:rPr>
                <w:rFonts w:cs="Times New Roman"/>
                <w:sz w:val="24"/>
                <w:szCs w:val="24"/>
              </w:rPr>
            </w:pPr>
            <w:r>
              <w:rPr>
                <w:rFonts w:cs="Times New Roman"/>
                <w:sz w:val="24"/>
                <w:szCs w:val="24"/>
              </w:rPr>
              <w:t>92.333</w:t>
            </w:r>
          </w:p>
        </w:tc>
        <w:tc>
          <w:tcPr>
            <w:tcW w:w="1291" w:type="dxa"/>
          </w:tcPr>
          <w:p>
            <w:pPr>
              <w:spacing w:after="0"/>
              <w:rPr>
                <w:rFonts w:cs="Times New Roman"/>
                <w:sz w:val="24"/>
                <w:szCs w:val="24"/>
              </w:rPr>
            </w:pPr>
            <w:r>
              <w:rPr>
                <w:rFonts w:cs="Times New Roman"/>
                <w:sz w:val="24"/>
                <w:szCs w:val="24"/>
              </w:rPr>
              <w:t>15604.174</w:t>
            </w:r>
          </w:p>
        </w:tc>
        <w:tc>
          <w:tcPr>
            <w:tcW w:w="1275" w:type="dxa"/>
          </w:tcPr>
          <w:p>
            <w:pPr>
              <w:spacing w:after="0"/>
              <w:rPr>
                <w:rFonts w:cs="Times New Roman"/>
                <w:sz w:val="24"/>
                <w:szCs w:val="24"/>
              </w:rPr>
            </w:pPr>
            <w:r>
              <w:rPr>
                <w:rFonts w:cs="Times New Roman"/>
                <w:sz w:val="24"/>
                <w:szCs w:val="24"/>
              </w:rPr>
              <w:t>8525.444</w:t>
            </w:r>
          </w:p>
        </w:tc>
        <w:tc>
          <w:tcPr>
            <w:tcW w:w="1739" w:type="dxa"/>
          </w:tcPr>
          <w:p>
            <w:pPr>
              <w:spacing w:after="0"/>
              <w:rPr>
                <w:rFonts w:cs="Times New Roman"/>
                <w:sz w:val="24"/>
                <w:szCs w:val="24"/>
              </w:rPr>
            </w:pPr>
            <w:r>
              <w:rPr>
                <w:rFonts w:cs="Times New Roman"/>
                <w:sz w:val="24"/>
                <w:szCs w:val="24"/>
              </w:rPr>
              <w:t>11533.972</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xml:space="preserve">total </w:t>
            </w:r>
          </w:p>
        </w:tc>
        <w:tc>
          <w:tcPr>
            <w:tcW w:w="1223" w:type="dxa"/>
          </w:tcPr>
          <w:p>
            <w:pPr>
              <w:spacing w:after="0"/>
              <w:rPr>
                <w:rFonts w:cs="Times New Roman"/>
                <w:sz w:val="24"/>
                <w:szCs w:val="24"/>
              </w:rPr>
            </w:pPr>
            <w:r>
              <w:rPr>
                <w:rFonts w:cs="Times New Roman"/>
                <w:sz w:val="24"/>
                <w:szCs w:val="24"/>
              </w:rPr>
              <w:t>6421</w:t>
            </w:r>
          </w:p>
        </w:tc>
        <w:tc>
          <w:tcPr>
            <w:tcW w:w="1224" w:type="dxa"/>
          </w:tcPr>
          <w:p>
            <w:pPr>
              <w:spacing w:after="0"/>
              <w:rPr>
                <w:rFonts w:cs="Times New Roman"/>
                <w:sz w:val="24"/>
                <w:szCs w:val="24"/>
              </w:rPr>
            </w:pPr>
            <w:r>
              <w:rPr>
                <w:rFonts w:cs="Times New Roman"/>
                <w:sz w:val="24"/>
                <w:szCs w:val="24"/>
              </w:rPr>
              <w:t>5384</w:t>
            </w:r>
          </w:p>
        </w:tc>
        <w:tc>
          <w:tcPr>
            <w:tcW w:w="840" w:type="dxa"/>
          </w:tcPr>
          <w:p>
            <w:pPr>
              <w:spacing w:after="0"/>
              <w:rPr>
                <w:rFonts w:cs="Times New Roman"/>
                <w:sz w:val="24"/>
                <w:szCs w:val="24"/>
              </w:rPr>
            </w:pPr>
            <w:r>
              <w:rPr>
                <w:rFonts w:cs="Times New Roman"/>
                <w:sz w:val="24"/>
                <w:szCs w:val="24"/>
              </w:rPr>
              <w:t>0.17</w:t>
            </w:r>
          </w:p>
        </w:tc>
        <w:tc>
          <w:tcPr>
            <w:tcW w:w="840" w:type="dxa"/>
          </w:tcPr>
          <w:p>
            <w:pPr>
              <w:spacing w:after="0"/>
              <w:rPr>
                <w:rFonts w:cs="Times New Roman"/>
                <w:sz w:val="24"/>
                <w:szCs w:val="24"/>
              </w:rPr>
            </w:pPr>
            <w:r>
              <w:rPr>
                <w:rFonts w:cs="Times New Roman"/>
                <w:sz w:val="24"/>
                <w:szCs w:val="24"/>
              </w:rPr>
              <w:t>-0.004</w:t>
            </w:r>
          </w:p>
        </w:tc>
        <w:tc>
          <w:tcPr>
            <w:tcW w:w="1291" w:type="dxa"/>
          </w:tcPr>
          <w:p>
            <w:pPr>
              <w:spacing w:after="0"/>
              <w:rPr>
                <w:rFonts w:cs="Times New Roman"/>
                <w:sz w:val="24"/>
                <w:szCs w:val="24"/>
              </w:rPr>
            </w:pPr>
            <w:r>
              <w:rPr>
                <w:rFonts w:cs="Times New Roman"/>
                <w:sz w:val="24"/>
                <w:szCs w:val="24"/>
              </w:rPr>
              <w:t>154484.918</w:t>
            </w:r>
          </w:p>
        </w:tc>
        <w:tc>
          <w:tcPr>
            <w:tcW w:w="1275" w:type="dxa"/>
          </w:tcPr>
          <w:p>
            <w:pPr>
              <w:spacing w:after="0"/>
              <w:rPr>
                <w:rFonts w:cs="Times New Roman"/>
                <w:sz w:val="24"/>
                <w:szCs w:val="24"/>
              </w:rPr>
            </w:pPr>
            <w:r>
              <w:rPr>
                <w:rFonts w:cs="Times New Roman"/>
                <w:sz w:val="24"/>
                <w:szCs w:val="24"/>
              </w:rPr>
              <w:t>85264.665</w:t>
            </w:r>
          </w:p>
        </w:tc>
        <w:tc>
          <w:tcPr>
            <w:tcW w:w="1739" w:type="dxa"/>
          </w:tcPr>
          <w:p>
            <w:pPr>
              <w:spacing w:after="0"/>
              <w:rPr>
                <w:rFonts w:cs="Times New Roman"/>
                <w:sz w:val="24"/>
                <w:szCs w:val="24"/>
              </w:rPr>
            </w:pPr>
            <w:r>
              <w:rPr>
                <w:rFonts w:cs="Times New Roman"/>
                <w:sz w:val="24"/>
                <w:szCs w:val="24"/>
              </w:rPr>
              <w:t>92837.556</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810" w:type="dxa"/>
          </w:tcPr>
          <w:p>
            <w:pPr>
              <w:spacing w:after="0"/>
              <w:rPr>
                <w:rFonts w:cs="Times New Roman"/>
                <w:sz w:val="24"/>
                <w:szCs w:val="24"/>
              </w:rPr>
            </w:pPr>
            <w:r>
              <w:rPr>
                <w:rFonts w:cs="Times New Roman"/>
                <w:sz w:val="24"/>
                <w:szCs w:val="24"/>
              </w:rPr>
              <w:t xml:space="preserve">mean </w:t>
            </w:r>
          </w:p>
        </w:tc>
        <w:tc>
          <w:tcPr>
            <w:tcW w:w="1223" w:type="dxa"/>
          </w:tcPr>
          <w:p>
            <w:pPr>
              <w:spacing w:after="0"/>
              <w:rPr>
                <w:rFonts w:cs="Times New Roman"/>
                <w:sz w:val="24"/>
                <w:szCs w:val="24"/>
              </w:rPr>
            </w:pPr>
            <w:r>
              <w:rPr>
                <w:rFonts w:cs="Times New Roman"/>
                <w:sz w:val="24"/>
                <w:szCs w:val="24"/>
              </w:rPr>
              <w:t>535.0833333</w:t>
            </w:r>
          </w:p>
        </w:tc>
        <w:tc>
          <w:tcPr>
            <w:tcW w:w="1224" w:type="dxa"/>
          </w:tcPr>
          <w:p>
            <w:pPr>
              <w:spacing w:after="0"/>
              <w:rPr>
                <w:rFonts w:cs="Times New Roman"/>
                <w:sz w:val="24"/>
                <w:szCs w:val="24"/>
              </w:rPr>
            </w:pPr>
            <w:r>
              <w:rPr>
                <w:rFonts w:cs="Times New Roman"/>
                <w:sz w:val="24"/>
                <w:szCs w:val="24"/>
              </w:rPr>
              <w:t>448.6666667</w:t>
            </w:r>
          </w:p>
        </w:tc>
        <w:tc>
          <w:tcPr>
            <w:tcW w:w="840" w:type="dxa"/>
          </w:tcPr>
          <w:p>
            <w:pPr>
              <w:spacing w:after="0"/>
              <w:rPr>
                <w:rFonts w:cs="Times New Roman"/>
                <w:sz w:val="24"/>
                <w:szCs w:val="24"/>
              </w:rPr>
            </w:pPr>
            <w:r>
              <w:rPr>
                <w:rFonts w:cs="Times New Roman"/>
                <w:sz w:val="24"/>
                <w:szCs w:val="24"/>
              </w:rPr>
              <w:t> </w:t>
            </w:r>
          </w:p>
        </w:tc>
        <w:tc>
          <w:tcPr>
            <w:tcW w:w="840" w:type="dxa"/>
          </w:tcPr>
          <w:p>
            <w:pPr>
              <w:spacing w:after="0"/>
              <w:rPr>
                <w:rFonts w:cs="Times New Roman"/>
                <w:sz w:val="24"/>
                <w:szCs w:val="24"/>
              </w:rPr>
            </w:pPr>
            <w:r>
              <w:rPr>
                <w:rFonts w:cs="Times New Roman"/>
                <w:sz w:val="24"/>
                <w:szCs w:val="24"/>
              </w:rPr>
              <w:t> </w:t>
            </w:r>
          </w:p>
        </w:tc>
        <w:tc>
          <w:tcPr>
            <w:tcW w:w="1291" w:type="dxa"/>
          </w:tcPr>
          <w:p>
            <w:pPr>
              <w:spacing w:after="0"/>
              <w:rPr>
                <w:rFonts w:cs="Times New Roman"/>
                <w:sz w:val="24"/>
                <w:szCs w:val="24"/>
              </w:rPr>
            </w:pPr>
            <w:r>
              <w:rPr>
                <w:rFonts w:cs="Times New Roman"/>
                <w:sz w:val="24"/>
                <w:szCs w:val="24"/>
              </w:rPr>
              <w:t> </w:t>
            </w:r>
          </w:p>
        </w:tc>
        <w:tc>
          <w:tcPr>
            <w:tcW w:w="1275" w:type="dxa"/>
          </w:tcPr>
          <w:p>
            <w:pPr>
              <w:spacing w:after="0"/>
              <w:rPr>
                <w:rFonts w:cs="Times New Roman"/>
                <w:sz w:val="24"/>
                <w:szCs w:val="24"/>
              </w:rPr>
            </w:pPr>
            <w:r>
              <w:rPr>
                <w:rFonts w:cs="Times New Roman"/>
                <w:sz w:val="24"/>
                <w:szCs w:val="24"/>
              </w:rPr>
              <w:t> </w:t>
            </w:r>
          </w:p>
        </w:tc>
        <w:tc>
          <w:tcPr>
            <w:tcW w:w="1739" w:type="dxa"/>
          </w:tcPr>
          <w:p>
            <w:pPr>
              <w:spacing w:after="0"/>
              <w:rPr>
                <w:rFonts w:cs="Times New Roman"/>
                <w:sz w:val="24"/>
                <w:szCs w:val="24"/>
              </w:rPr>
            </w:pPr>
            <w:r>
              <w:rPr>
                <w:rFonts w:cs="Times New Roman"/>
                <w:sz w:val="24"/>
                <w:szCs w:val="24"/>
              </w:rPr>
              <w:t> </w:t>
            </w:r>
          </w:p>
        </w:tc>
      </w:tr>
    </w:tbl>
    <w:p>
      <w:pPr>
        <w:rPr>
          <w:rFonts w:cs="Times New Roman"/>
          <w:szCs w:val="24"/>
        </w:rPr>
      </w:pPr>
      <w:r>
        <w:rPr>
          <w:rFonts w:cs="Times New Roman"/>
          <w:szCs w:val="24"/>
        </w:rPr>
        <w:t xml:space="preserve">  </w:t>
      </w:r>
    </w:p>
    <w:p>
      <w:pPr>
        <w:rPr>
          <w:rFonts w:cs="Times New Roman"/>
          <w:b/>
          <w:szCs w:val="24"/>
        </w:rPr>
      </w:pPr>
      <w:r>
        <w:rPr>
          <w:rFonts w:cs="Times New Roman"/>
          <w:b/>
          <w:szCs w:val="24"/>
        </w:rPr>
        <w:t xml:space="preserve">Calculation process </w:t>
      </w:r>
    </w:p>
    <w:tbl>
      <w:tblPr>
        <w:tblStyle w:val="12"/>
        <w:tblW w:w="4840" w:type="dxa"/>
        <w:tblInd w:w="91" w:type="dxa"/>
        <w:tblLayout w:type="fixed"/>
        <w:tblCellMar>
          <w:top w:w="0" w:type="dxa"/>
          <w:left w:w="108" w:type="dxa"/>
          <w:bottom w:w="0" w:type="dxa"/>
          <w:right w:w="108" w:type="dxa"/>
        </w:tblCellMar>
      </w:tblPr>
      <w:tblGrid>
        <w:gridCol w:w="4840"/>
      </w:tblGrid>
      <w:tr>
        <w:tblPrEx>
          <w:tblLayout w:type="fixed"/>
          <w:tblCellMar>
            <w:top w:w="0" w:type="dxa"/>
            <w:left w:w="108" w:type="dxa"/>
            <w:bottom w:w="0" w:type="dxa"/>
            <w:right w:w="108" w:type="dxa"/>
          </w:tblCellMar>
        </w:tblPrEx>
        <w:trPr>
          <w:trHeight w:val="300" w:hRule="atLeast"/>
        </w:trPr>
        <w:tc>
          <w:tcPr>
            <w:tcW w:w="4840"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b/>
                <w:color w:val="000000"/>
                <w:szCs w:val="24"/>
                <w:u w:val="single"/>
              </w:rPr>
            </w:pPr>
            <w:r>
              <w:rPr>
                <w:rFonts w:eastAsia="Times New Roman" w:cs="Times New Roman"/>
                <w:b/>
                <w:color w:val="000000"/>
                <w:szCs w:val="24"/>
                <w:u w:val="single"/>
              </w:rPr>
              <w:t>Key</w:t>
            </w:r>
          </w:p>
        </w:tc>
      </w:tr>
      <w:tr>
        <w:tblPrEx>
          <w:tblLayout w:type="fixed"/>
          <w:tblCellMar>
            <w:top w:w="0" w:type="dxa"/>
            <w:left w:w="108" w:type="dxa"/>
            <w:bottom w:w="0" w:type="dxa"/>
            <w:right w:w="108" w:type="dxa"/>
          </w:tblCellMar>
        </w:tblPrEx>
        <w:trPr>
          <w:trHeight w:val="300"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X</w:t>
            </w:r>
            <w:r>
              <w:rPr>
                <w:rFonts w:eastAsia="Times New Roman" w:cs="Times New Roman"/>
                <w:color w:val="000000"/>
                <w:szCs w:val="24"/>
              </w:rPr>
              <w:t>: X Values</w:t>
            </w:r>
          </w:p>
        </w:tc>
      </w:tr>
      <w:tr>
        <w:tblPrEx>
          <w:tblLayout w:type="fixed"/>
          <w:tblCellMar>
            <w:top w:w="0" w:type="dxa"/>
            <w:left w:w="108" w:type="dxa"/>
            <w:bottom w:w="0" w:type="dxa"/>
            <w:right w:w="108" w:type="dxa"/>
          </w:tblCellMar>
        </w:tblPrEx>
        <w:trPr>
          <w:trHeight w:val="300"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Y</w:t>
            </w:r>
            <w:r>
              <w:rPr>
                <w:rFonts w:eastAsia="Times New Roman" w:cs="Times New Roman"/>
                <w:color w:val="000000"/>
                <w:szCs w:val="24"/>
              </w:rPr>
              <w:t>: Y Values</w:t>
            </w:r>
          </w:p>
        </w:tc>
      </w:tr>
      <w:tr>
        <w:tblPrEx>
          <w:tblLayout w:type="fixed"/>
          <w:tblCellMar>
            <w:top w:w="0" w:type="dxa"/>
            <w:left w:w="108" w:type="dxa"/>
            <w:bottom w:w="0" w:type="dxa"/>
            <w:right w:w="108" w:type="dxa"/>
          </w:tblCellMar>
        </w:tblPrEx>
        <w:trPr>
          <w:trHeight w:val="300"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M</w:t>
            </w:r>
            <w:r>
              <w:rPr>
                <w:rFonts w:eastAsia="Times New Roman" w:cs="Times New Roman"/>
                <w:i/>
                <w:iCs/>
                <w:color w:val="000000"/>
                <w:szCs w:val="24"/>
                <w:vertAlign w:val="subscript"/>
              </w:rPr>
              <w:t>x</w:t>
            </w:r>
            <w:r>
              <w:rPr>
                <w:rFonts w:eastAsia="Times New Roman" w:cs="Times New Roman"/>
                <w:color w:val="000000"/>
                <w:szCs w:val="24"/>
              </w:rPr>
              <w:t>: Mean of X Values</w:t>
            </w:r>
          </w:p>
        </w:tc>
      </w:tr>
      <w:tr>
        <w:tblPrEx>
          <w:tblLayout w:type="fixed"/>
          <w:tblCellMar>
            <w:top w:w="0" w:type="dxa"/>
            <w:left w:w="108" w:type="dxa"/>
            <w:bottom w:w="0" w:type="dxa"/>
            <w:right w:w="108" w:type="dxa"/>
          </w:tblCellMar>
        </w:tblPrEx>
        <w:trPr>
          <w:trHeight w:val="315"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M</w:t>
            </w:r>
            <w:r>
              <w:rPr>
                <w:rFonts w:eastAsia="Times New Roman" w:cs="Times New Roman"/>
                <w:i/>
                <w:iCs/>
                <w:color w:val="000000"/>
                <w:szCs w:val="24"/>
                <w:vertAlign w:val="subscript"/>
              </w:rPr>
              <w:t>y</w:t>
            </w:r>
            <w:r>
              <w:rPr>
                <w:rFonts w:eastAsia="Times New Roman" w:cs="Times New Roman"/>
                <w:color w:val="000000"/>
                <w:szCs w:val="24"/>
              </w:rPr>
              <w:t>: Mean of Y Values</w:t>
            </w:r>
          </w:p>
        </w:tc>
      </w:tr>
      <w:tr>
        <w:tblPrEx>
          <w:tblLayout w:type="fixed"/>
          <w:tblCellMar>
            <w:top w:w="0" w:type="dxa"/>
            <w:left w:w="108" w:type="dxa"/>
            <w:bottom w:w="0" w:type="dxa"/>
            <w:right w:w="108" w:type="dxa"/>
          </w:tblCellMar>
        </w:tblPrEx>
        <w:trPr>
          <w:trHeight w:val="300"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X - M</w:t>
            </w:r>
            <w:r>
              <w:rPr>
                <w:rFonts w:eastAsia="Times New Roman" w:cs="Times New Roman"/>
                <w:color w:val="000000"/>
                <w:szCs w:val="24"/>
                <w:vertAlign w:val="subscript"/>
              </w:rPr>
              <w:t>x</w:t>
            </w:r>
            <w:r>
              <w:rPr>
                <w:rFonts w:eastAsia="Times New Roman" w:cs="Times New Roman"/>
                <w:color w:val="000000"/>
                <w:szCs w:val="24"/>
              </w:rPr>
              <w:t> &amp; </w:t>
            </w:r>
            <w:r>
              <w:rPr>
                <w:rFonts w:eastAsia="Times New Roman" w:cs="Times New Roman"/>
                <w:i/>
                <w:iCs/>
                <w:color w:val="000000"/>
                <w:szCs w:val="24"/>
              </w:rPr>
              <w:t>Y - M</w:t>
            </w:r>
            <w:r>
              <w:rPr>
                <w:rFonts w:eastAsia="Times New Roman" w:cs="Times New Roman"/>
                <w:i/>
                <w:iCs/>
                <w:color w:val="000000"/>
                <w:szCs w:val="24"/>
                <w:vertAlign w:val="subscript"/>
              </w:rPr>
              <w:t>y</w:t>
            </w:r>
            <w:r>
              <w:rPr>
                <w:rFonts w:eastAsia="Times New Roman" w:cs="Times New Roman"/>
                <w:color w:val="000000"/>
                <w:szCs w:val="24"/>
              </w:rPr>
              <w:t>: Deviation scores</w:t>
            </w:r>
          </w:p>
        </w:tc>
      </w:tr>
      <w:tr>
        <w:tblPrEx>
          <w:tblLayout w:type="fixed"/>
          <w:tblCellMar>
            <w:top w:w="0" w:type="dxa"/>
            <w:left w:w="108" w:type="dxa"/>
            <w:bottom w:w="0" w:type="dxa"/>
            <w:right w:w="108" w:type="dxa"/>
          </w:tblCellMar>
        </w:tblPrEx>
        <w:trPr>
          <w:trHeight w:val="315"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(X - M</w:t>
            </w:r>
            <w:r>
              <w:rPr>
                <w:rFonts w:eastAsia="Times New Roman" w:cs="Times New Roman"/>
                <w:i/>
                <w:iCs/>
                <w:color w:val="000000"/>
                <w:szCs w:val="24"/>
                <w:vertAlign w:val="subscript"/>
              </w:rPr>
              <w:t>x</w:t>
            </w:r>
            <w:r>
              <w:rPr>
                <w:rFonts w:eastAsia="Times New Roman" w:cs="Times New Roman"/>
                <w:color w:val="000000"/>
                <w:szCs w:val="24"/>
              </w:rPr>
              <w:t>)</w:t>
            </w:r>
            <w:r>
              <w:rPr>
                <w:rFonts w:eastAsia="Times New Roman" w:cs="Times New Roman"/>
                <w:color w:val="000000"/>
                <w:szCs w:val="24"/>
                <w:vertAlign w:val="superscript"/>
              </w:rPr>
              <w:t>2</w:t>
            </w:r>
            <w:r>
              <w:rPr>
                <w:rFonts w:eastAsia="Times New Roman" w:cs="Times New Roman"/>
                <w:color w:val="000000"/>
                <w:szCs w:val="24"/>
              </w:rPr>
              <w:t> &amp; </w:t>
            </w:r>
            <w:r>
              <w:rPr>
                <w:rFonts w:eastAsia="Times New Roman" w:cs="Times New Roman"/>
                <w:i/>
                <w:iCs/>
                <w:color w:val="000000"/>
                <w:szCs w:val="24"/>
              </w:rPr>
              <w:t>(Y - M</w:t>
            </w:r>
            <w:r>
              <w:rPr>
                <w:rFonts w:eastAsia="Times New Roman" w:cs="Times New Roman"/>
                <w:i/>
                <w:iCs/>
                <w:color w:val="000000"/>
                <w:szCs w:val="24"/>
                <w:vertAlign w:val="subscript"/>
              </w:rPr>
              <w:t>y</w:t>
            </w:r>
            <w:r>
              <w:rPr>
                <w:rFonts w:eastAsia="Times New Roman" w:cs="Times New Roman"/>
                <w:i/>
                <w:iCs/>
                <w:color w:val="000000"/>
                <w:szCs w:val="24"/>
              </w:rPr>
              <w:t>)</w:t>
            </w:r>
            <w:r>
              <w:rPr>
                <w:rFonts w:eastAsia="Times New Roman" w:cs="Times New Roman"/>
                <w:i/>
                <w:iCs/>
                <w:color w:val="000000"/>
                <w:szCs w:val="24"/>
                <w:vertAlign w:val="superscript"/>
              </w:rPr>
              <w:t>2</w:t>
            </w:r>
            <w:r>
              <w:rPr>
                <w:rFonts w:eastAsia="Times New Roman" w:cs="Times New Roman"/>
                <w:color w:val="000000"/>
                <w:szCs w:val="24"/>
              </w:rPr>
              <w:t>: Deviation Squared</w:t>
            </w:r>
          </w:p>
        </w:tc>
      </w:tr>
      <w:tr>
        <w:tblPrEx>
          <w:tblLayout w:type="fixed"/>
          <w:tblCellMar>
            <w:top w:w="0" w:type="dxa"/>
            <w:left w:w="108" w:type="dxa"/>
            <w:bottom w:w="0" w:type="dxa"/>
            <w:right w:w="108" w:type="dxa"/>
          </w:tblCellMar>
        </w:tblPrEx>
        <w:trPr>
          <w:trHeight w:val="300" w:hRule="atLeast"/>
        </w:trPr>
        <w:tc>
          <w:tcPr>
            <w:tcW w:w="484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(X - M</w:t>
            </w:r>
            <w:r>
              <w:rPr>
                <w:rFonts w:eastAsia="Times New Roman" w:cs="Times New Roman"/>
                <w:i/>
                <w:iCs/>
                <w:color w:val="000000"/>
                <w:szCs w:val="24"/>
                <w:vertAlign w:val="subscript"/>
              </w:rPr>
              <w:t>x</w:t>
            </w:r>
            <w:r>
              <w:rPr>
                <w:rFonts w:eastAsia="Times New Roman" w:cs="Times New Roman"/>
                <w:i/>
                <w:iCs/>
                <w:color w:val="000000"/>
                <w:szCs w:val="24"/>
              </w:rPr>
              <w:t>)(Y - M</w:t>
            </w:r>
            <w:r>
              <w:rPr>
                <w:rFonts w:eastAsia="Times New Roman" w:cs="Times New Roman"/>
                <w:i/>
                <w:iCs/>
                <w:color w:val="000000"/>
                <w:szCs w:val="24"/>
                <w:vertAlign w:val="subscript"/>
              </w:rPr>
              <w:t>y</w:t>
            </w:r>
            <w:r>
              <w:rPr>
                <w:rFonts w:eastAsia="Times New Roman" w:cs="Times New Roman"/>
                <w:color w:val="000000"/>
                <w:szCs w:val="24"/>
              </w:rPr>
              <w:t>): Product of Deviation Scores</w:t>
            </w:r>
          </w:p>
        </w:tc>
      </w:tr>
    </w:tbl>
    <w:p>
      <w:pPr>
        <w:rPr>
          <w:rFonts w:cs="Times New Roman"/>
          <w:szCs w:val="24"/>
        </w:rPr>
      </w:pPr>
    </w:p>
    <w:p>
      <w:pPr>
        <w:rPr>
          <w:rFonts w:cs="Times New Roman"/>
          <w:szCs w:val="24"/>
        </w:rPr>
      </w:pPr>
    </w:p>
    <w:tbl>
      <w:tblPr>
        <w:tblStyle w:val="12"/>
        <w:tblW w:w="5774" w:type="dxa"/>
        <w:tblInd w:w="91" w:type="dxa"/>
        <w:tblLayout w:type="fixed"/>
        <w:tblCellMar>
          <w:top w:w="0" w:type="dxa"/>
          <w:left w:w="108" w:type="dxa"/>
          <w:bottom w:w="0" w:type="dxa"/>
          <w:right w:w="108" w:type="dxa"/>
        </w:tblCellMar>
      </w:tblPr>
      <w:tblGrid>
        <w:gridCol w:w="5774"/>
      </w:tblGrid>
      <w:tr>
        <w:tblPrEx>
          <w:tblLayout w:type="fixed"/>
          <w:tblCellMar>
            <w:top w:w="0" w:type="dxa"/>
            <w:left w:w="108" w:type="dxa"/>
            <w:bottom w:w="0" w:type="dxa"/>
            <w:right w:w="108" w:type="dxa"/>
          </w:tblCellMar>
        </w:tblPrEx>
        <w:trPr>
          <w:trHeight w:val="300" w:hRule="atLeast"/>
        </w:trPr>
        <w:tc>
          <w:tcPr>
            <w:tcW w:w="5774"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b/>
                <w:color w:val="000000"/>
                <w:szCs w:val="24"/>
                <w:u w:val="single"/>
              </w:rPr>
            </w:pPr>
            <w:r>
              <w:rPr>
                <w:rFonts w:eastAsia="Times New Roman" w:cs="Times New Roman"/>
                <w:b/>
                <w:color w:val="000000"/>
                <w:szCs w:val="24"/>
                <w:u w:val="single"/>
              </w:rPr>
              <w:t>Result Details &amp; Calculation</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X Values</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 6421</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Mean = 535.083</w:t>
            </w:r>
          </w:p>
        </w:tc>
      </w:tr>
      <w:tr>
        <w:tblPrEx>
          <w:tblLayout w:type="fixed"/>
          <w:tblCellMar>
            <w:top w:w="0" w:type="dxa"/>
            <w:left w:w="108" w:type="dxa"/>
            <w:bottom w:w="0" w:type="dxa"/>
            <w:right w:w="108" w:type="dxa"/>
          </w:tblCellMar>
        </w:tblPrEx>
        <w:trPr>
          <w:trHeight w:val="315"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∑(X - M</w:t>
            </w:r>
            <w:r>
              <w:rPr>
                <w:rFonts w:eastAsia="Times New Roman" w:cs="Times New Roman"/>
                <w:color w:val="000000"/>
                <w:szCs w:val="24"/>
                <w:vertAlign w:val="subscript"/>
              </w:rPr>
              <w:t>x</w:t>
            </w:r>
            <w:r>
              <w:rPr>
                <w:rFonts w:eastAsia="Times New Roman" w:cs="Times New Roman"/>
                <w:color w:val="000000"/>
                <w:szCs w:val="24"/>
              </w:rPr>
              <w:t>)</w:t>
            </w:r>
            <w:r>
              <w:rPr>
                <w:rFonts w:eastAsia="Times New Roman" w:cs="Times New Roman"/>
                <w:color w:val="000000"/>
                <w:szCs w:val="24"/>
                <w:vertAlign w:val="superscript"/>
              </w:rPr>
              <w:t>2</w:t>
            </w:r>
            <w:r>
              <w:rPr>
                <w:rFonts w:eastAsia="Times New Roman" w:cs="Times New Roman"/>
                <w:color w:val="000000"/>
                <w:szCs w:val="24"/>
              </w:rPr>
              <w:t> = SS</w:t>
            </w:r>
            <w:r>
              <w:rPr>
                <w:rFonts w:eastAsia="Times New Roman" w:cs="Times New Roman"/>
                <w:color w:val="000000"/>
                <w:szCs w:val="24"/>
                <w:vertAlign w:val="subscript"/>
              </w:rPr>
              <w:t>x</w:t>
            </w:r>
            <w:r>
              <w:rPr>
                <w:rFonts w:eastAsia="Times New Roman" w:cs="Times New Roman"/>
                <w:color w:val="000000"/>
                <w:szCs w:val="24"/>
              </w:rPr>
              <w:t> = 154484.917</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Y Values</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 5384</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Mean = 448.667</w:t>
            </w:r>
          </w:p>
        </w:tc>
      </w:tr>
      <w:tr>
        <w:tblPrEx>
          <w:tblLayout w:type="fixed"/>
          <w:tblCellMar>
            <w:top w:w="0" w:type="dxa"/>
            <w:left w:w="108" w:type="dxa"/>
            <w:bottom w:w="0" w:type="dxa"/>
            <w:right w:w="108" w:type="dxa"/>
          </w:tblCellMar>
        </w:tblPrEx>
        <w:trPr>
          <w:trHeight w:val="315"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∑(Y - M</w:t>
            </w:r>
            <w:r>
              <w:rPr>
                <w:rFonts w:eastAsia="Times New Roman" w:cs="Times New Roman"/>
                <w:color w:val="000000"/>
                <w:szCs w:val="24"/>
                <w:vertAlign w:val="subscript"/>
              </w:rPr>
              <w:t>y</w:t>
            </w:r>
            <w:r>
              <w:rPr>
                <w:rFonts w:eastAsia="Times New Roman" w:cs="Times New Roman"/>
                <w:color w:val="000000"/>
                <w:szCs w:val="24"/>
              </w:rPr>
              <w:t>)</w:t>
            </w:r>
            <w:r>
              <w:rPr>
                <w:rFonts w:eastAsia="Times New Roman" w:cs="Times New Roman"/>
                <w:color w:val="000000"/>
                <w:szCs w:val="24"/>
                <w:vertAlign w:val="superscript"/>
              </w:rPr>
              <w:t>2</w:t>
            </w:r>
            <w:r>
              <w:rPr>
                <w:rFonts w:eastAsia="Times New Roman" w:cs="Times New Roman"/>
                <w:color w:val="000000"/>
                <w:szCs w:val="24"/>
              </w:rPr>
              <w:t> = SS</w:t>
            </w:r>
            <w:r>
              <w:rPr>
                <w:rFonts w:eastAsia="Times New Roman" w:cs="Times New Roman"/>
                <w:color w:val="000000"/>
                <w:szCs w:val="24"/>
                <w:vertAlign w:val="subscript"/>
              </w:rPr>
              <w:t>y</w:t>
            </w:r>
            <w:r>
              <w:rPr>
                <w:rFonts w:eastAsia="Times New Roman" w:cs="Times New Roman"/>
                <w:color w:val="000000"/>
                <w:szCs w:val="24"/>
              </w:rPr>
              <w:t> = 85264.667</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X and Y Combined</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N</w:t>
            </w:r>
            <w:r>
              <w:rPr>
                <w:rFonts w:eastAsia="Times New Roman" w:cs="Times New Roman"/>
                <w:color w:val="000000"/>
                <w:szCs w:val="24"/>
              </w:rPr>
              <w:t> = 12</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∑(X - M</w:t>
            </w:r>
            <w:r>
              <w:rPr>
                <w:rFonts w:eastAsia="Times New Roman" w:cs="Times New Roman"/>
                <w:color w:val="000000"/>
                <w:szCs w:val="24"/>
                <w:vertAlign w:val="subscript"/>
              </w:rPr>
              <w:t>x</w:t>
            </w:r>
            <w:r>
              <w:rPr>
                <w:rFonts w:eastAsia="Times New Roman" w:cs="Times New Roman"/>
                <w:color w:val="000000"/>
                <w:szCs w:val="24"/>
              </w:rPr>
              <w:t>)(Y - M</w:t>
            </w:r>
            <w:r>
              <w:rPr>
                <w:rFonts w:eastAsia="Times New Roman" w:cs="Times New Roman"/>
                <w:color w:val="000000"/>
                <w:szCs w:val="24"/>
                <w:vertAlign w:val="subscript"/>
              </w:rPr>
              <w:t>y</w:t>
            </w:r>
            <w:r>
              <w:rPr>
                <w:rFonts w:eastAsia="Times New Roman" w:cs="Times New Roman"/>
                <w:color w:val="000000"/>
                <w:szCs w:val="24"/>
              </w:rPr>
              <w:t>) = 92836.333</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R Calculation</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r = ∑((X - M</w:t>
            </w:r>
            <w:r>
              <w:rPr>
                <w:rFonts w:eastAsia="Times New Roman" w:cs="Times New Roman"/>
                <w:color w:val="000000"/>
                <w:szCs w:val="24"/>
                <w:vertAlign w:val="subscript"/>
              </w:rPr>
              <w:t>y</w:t>
            </w:r>
            <w:r>
              <w:rPr>
                <w:rFonts w:eastAsia="Times New Roman" w:cs="Times New Roman"/>
                <w:color w:val="000000"/>
                <w:szCs w:val="24"/>
              </w:rPr>
              <w:t>)(Y - M</w:t>
            </w:r>
            <w:r>
              <w:rPr>
                <w:rFonts w:eastAsia="Times New Roman" w:cs="Times New Roman"/>
                <w:color w:val="000000"/>
                <w:szCs w:val="24"/>
                <w:vertAlign w:val="subscript"/>
              </w:rPr>
              <w:t>x</w:t>
            </w:r>
            <w:r>
              <w:rPr>
                <w:rFonts w:eastAsia="Times New Roman" w:cs="Times New Roman"/>
                <w:color w:val="000000"/>
                <w:szCs w:val="24"/>
              </w:rPr>
              <w:t>)) / √((SS</w:t>
            </w:r>
            <w:r>
              <w:rPr>
                <w:rFonts w:eastAsia="Times New Roman" w:cs="Times New Roman"/>
                <w:color w:val="000000"/>
                <w:szCs w:val="24"/>
                <w:vertAlign w:val="subscript"/>
              </w:rPr>
              <w:t>x</w:t>
            </w:r>
            <w:r>
              <w:rPr>
                <w:rFonts w:eastAsia="Times New Roman" w:cs="Times New Roman"/>
                <w:color w:val="000000"/>
                <w:szCs w:val="24"/>
              </w:rPr>
              <w:t>)(SS</w:t>
            </w:r>
            <w:r>
              <w:rPr>
                <w:rFonts w:eastAsia="Times New Roman" w:cs="Times New Roman"/>
                <w:color w:val="000000"/>
                <w:szCs w:val="24"/>
                <w:vertAlign w:val="subscript"/>
              </w:rPr>
              <w:t>y</w:t>
            </w:r>
            <w:r>
              <w:rPr>
                <w:rFonts w:eastAsia="Times New Roman" w:cs="Times New Roman"/>
                <w:color w:val="000000"/>
                <w:szCs w:val="24"/>
              </w:rPr>
              <w:t>))</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r = 92836.333 / √((154484.917)(85264.667)) = 0.8089</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 xml:space="preserve">Meta Numeric </w:t>
            </w:r>
          </w:p>
        </w:tc>
      </w:tr>
      <w:tr>
        <w:tblPrEx>
          <w:tblLayout w:type="fixed"/>
          <w:tblCellMar>
            <w:top w:w="0" w:type="dxa"/>
            <w:left w:w="108" w:type="dxa"/>
            <w:bottom w:w="0" w:type="dxa"/>
            <w:right w:w="108" w:type="dxa"/>
          </w:tblCellMar>
        </w:tblPrEx>
        <w:trPr>
          <w:trHeight w:val="300" w:hRule="atLeast"/>
        </w:trPr>
        <w:tc>
          <w:tcPr>
            <w:tcW w:w="5774"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r = 0.8089</w:t>
            </w:r>
          </w:p>
        </w:tc>
      </w:tr>
    </w:tbl>
    <w:p>
      <w:pPr>
        <w:rPr>
          <w:rFonts w:cs="Times New Roman"/>
          <w:szCs w:val="24"/>
        </w:rPr>
      </w:pPr>
      <w:r>
        <w:rPr>
          <w:rFonts w:cs="Times New Roman"/>
          <w:szCs w:val="24"/>
        </w:rPr>
        <w:t xml:space="preserve"> </w:t>
      </w:r>
    </w:p>
    <w:p>
      <w:pPr>
        <w:rPr>
          <w:rFonts w:cs="Times New Roman"/>
          <w:szCs w:val="24"/>
        </w:rPr>
      </w:pPr>
      <w:r>
        <w:rPr>
          <w:rFonts w:cs="Times New Roman"/>
          <w:szCs w:val="24"/>
        </w:rPr>
        <w:t xml:space="preserve">From the findings, it can be seen that values of correlation coefficient is .80; which signifies that both dependent and independent variables is positively associated with each others. Moreover from the findings it can be observed that if an organization can invest money in sales promotional activities then the performance of sales of an organization is effectively increased. The finding signifies that strong correlation exit between variables, which signifies that high x variables scores goes high Y variables. </w:t>
      </w:r>
    </w:p>
    <w:p>
      <w:pPr>
        <w:rPr>
          <w:rFonts w:cs="Times New Roman"/>
          <w:szCs w:val="24"/>
        </w:rPr>
      </w:pPr>
      <w:r>
        <w:rPr>
          <w:rFonts w:cs="Times New Roman"/>
          <w:szCs w:val="24"/>
        </w:rPr>
        <w:t xml:space="preserve">             </w:t>
      </w:r>
    </w:p>
    <w:p>
      <w:pPr>
        <w:rPr>
          <w:rFonts w:cs="Times New Roman"/>
          <w:szCs w:val="24"/>
        </w:rPr>
      </w:pPr>
    </w:p>
    <w:p>
      <w:pPr>
        <w:rPr>
          <w:rFonts w:cs="Times New Roman"/>
          <w:b/>
          <w:szCs w:val="24"/>
        </w:rPr>
      </w:pPr>
      <w:r>
        <w:rPr>
          <w:rFonts w:cs="Times New Roman"/>
          <w:szCs w:val="24"/>
        </w:rPr>
        <w:t xml:space="preserve">  </w:t>
      </w:r>
      <w:r>
        <w:rPr>
          <w:rFonts w:cs="Times New Roman"/>
          <w:b/>
          <w:szCs w:val="24"/>
        </w:rPr>
        <w:t xml:space="preserve">Regression analysis </w:t>
      </w:r>
    </w:p>
    <w:p>
      <w:pPr>
        <w:rPr>
          <w:rFonts w:cs="Times New Roman"/>
          <w:szCs w:val="24"/>
        </w:rPr>
      </w:pPr>
      <w:r>
        <w:rPr>
          <w:rFonts w:cs="Times New Roman"/>
          <w:szCs w:val="24"/>
        </w:rPr>
        <w:t xml:space="preserve">Regression analysis techniques are statistical process for obtaining the relationship between the variables. This involves several techniques for analyzing and modelling several variables when emphasized on the relationship between independent and dependent variables. Moreover, regression analysis assists mainly how typical dependent variable values changes when independent variable is changes.                 </w:t>
      </w:r>
    </w:p>
    <w:tbl>
      <w:tblPr>
        <w:tblStyle w:val="12"/>
        <w:tblW w:w="8860" w:type="dxa"/>
        <w:tblInd w:w="91" w:type="dxa"/>
        <w:tblLayout w:type="fixed"/>
        <w:tblCellMar>
          <w:top w:w="0" w:type="dxa"/>
          <w:left w:w="108" w:type="dxa"/>
          <w:bottom w:w="0" w:type="dxa"/>
          <w:right w:w="108" w:type="dxa"/>
        </w:tblCellMar>
      </w:tblPr>
      <w:tblGrid>
        <w:gridCol w:w="960"/>
        <w:gridCol w:w="1116"/>
        <w:gridCol w:w="1476"/>
        <w:gridCol w:w="1116"/>
        <w:gridCol w:w="996"/>
        <w:gridCol w:w="1116"/>
        <w:gridCol w:w="2080"/>
      </w:tblGrid>
      <w:tr>
        <w:tblPrEx>
          <w:tblLayout w:type="fixed"/>
          <w:tblCellMar>
            <w:top w:w="0" w:type="dxa"/>
            <w:left w:w="108" w:type="dxa"/>
            <w:bottom w:w="0" w:type="dxa"/>
            <w:right w:w="108" w:type="dxa"/>
          </w:tblCellMar>
        </w:tblPrEx>
        <w:trPr>
          <w:trHeight w:val="345" w:hRule="atLeast"/>
        </w:trPr>
        <w:tc>
          <w:tcPr>
            <w:tcW w:w="960"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 Values</w:t>
            </w:r>
          </w:p>
        </w:tc>
        <w:tc>
          <w:tcPr>
            <w:tcW w:w="147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Y Values</w:t>
            </w:r>
          </w:p>
        </w:tc>
        <w:tc>
          <w:tcPr>
            <w:tcW w:w="111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 - Mx</w:t>
            </w:r>
          </w:p>
        </w:tc>
        <w:tc>
          <w:tcPr>
            <w:tcW w:w="99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r>
              <w:rPr>
                <w:rFonts w:eastAsia="Times New Roman" w:cs="Times New Roman"/>
                <w:i/>
                <w:iCs/>
                <w:color w:val="000000"/>
                <w:szCs w:val="24"/>
              </w:rPr>
              <w:t>Y</w:t>
            </w:r>
            <w:r>
              <w:rPr>
                <w:rFonts w:eastAsia="Times New Roman" w:cs="Times New Roman"/>
                <w:color w:val="000000"/>
                <w:szCs w:val="24"/>
              </w:rPr>
              <w:t> - M</w:t>
            </w:r>
            <w:r>
              <w:rPr>
                <w:rFonts w:eastAsia="Times New Roman" w:cs="Times New Roman"/>
                <w:color w:val="000000"/>
                <w:szCs w:val="24"/>
                <w:vertAlign w:val="subscript"/>
              </w:rPr>
              <w:t>y</w:t>
            </w:r>
          </w:p>
        </w:tc>
        <w:tc>
          <w:tcPr>
            <w:tcW w:w="111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r>
              <w:rPr>
                <w:rFonts w:eastAsia="Times New Roman" w:cs="Times New Roman"/>
                <w:i/>
                <w:iCs/>
                <w:color w:val="000000"/>
                <w:szCs w:val="24"/>
              </w:rPr>
              <w:t>X</w:t>
            </w:r>
            <w:r>
              <w:rPr>
                <w:rFonts w:eastAsia="Times New Roman" w:cs="Times New Roman"/>
                <w:color w:val="000000"/>
                <w:szCs w:val="24"/>
              </w:rPr>
              <w:t> - M</w:t>
            </w:r>
            <w:r>
              <w:rPr>
                <w:rFonts w:eastAsia="Times New Roman" w:cs="Times New Roman"/>
                <w:color w:val="000000"/>
                <w:szCs w:val="24"/>
                <w:vertAlign w:val="subscript"/>
              </w:rPr>
              <w:t>x</w:t>
            </w:r>
            <w:r>
              <w:rPr>
                <w:rFonts w:eastAsia="Times New Roman" w:cs="Times New Roman"/>
                <w:color w:val="000000"/>
                <w:szCs w:val="24"/>
              </w:rPr>
              <w:t>)</w:t>
            </w:r>
            <w:r>
              <w:rPr>
                <w:rFonts w:eastAsia="Times New Roman" w:cs="Times New Roman"/>
                <w:color w:val="000000"/>
                <w:szCs w:val="24"/>
                <w:vertAlign w:val="superscript"/>
              </w:rPr>
              <w:t>2</w:t>
            </w:r>
          </w:p>
        </w:tc>
        <w:tc>
          <w:tcPr>
            <w:tcW w:w="208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w:t>
            </w:r>
            <w:r>
              <w:rPr>
                <w:rFonts w:eastAsia="Times New Roman" w:cs="Times New Roman"/>
                <w:i/>
                <w:iCs/>
                <w:color w:val="000000"/>
                <w:szCs w:val="24"/>
              </w:rPr>
              <w:t>X</w:t>
            </w:r>
            <w:r>
              <w:rPr>
                <w:rFonts w:eastAsia="Times New Roman" w:cs="Times New Roman"/>
                <w:color w:val="000000"/>
                <w:szCs w:val="24"/>
              </w:rPr>
              <w:t> - M</w:t>
            </w:r>
            <w:r>
              <w:rPr>
                <w:rFonts w:eastAsia="Times New Roman" w:cs="Times New Roman"/>
                <w:color w:val="000000"/>
                <w:szCs w:val="24"/>
                <w:vertAlign w:val="subscript"/>
              </w:rPr>
              <w:t>x</w:t>
            </w:r>
            <w:r>
              <w:rPr>
                <w:rFonts w:eastAsia="Times New Roman" w:cs="Times New Roman"/>
                <w:color w:val="000000"/>
                <w:szCs w:val="24"/>
              </w:rPr>
              <w:t>)(</w:t>
            </w:r>
            <w:r>
              <w:rPr>
                <w:rFonts w:eastAsia="Times New Roman" w:cs="Times New Roman"/>
                <w:i/>
                <w:iCs/>
                <w:color w:val="000000"/>
                <w:szCs w:val="24"/>
              </w:rPr>
              <w:t>Y</w:t>
            </w:r>
            <w:r>
              <w:rPr>
                <w:rFonts w:eastAsia="Times New Roman" w:cs="Times New Roman"/>
                <w:color w:val="000000"/>
                <w:szCs w:val="24"/>
              </w:rPr>
              <w:t> - M</w:t>
            </w:r>
            <w:r>
              <w:rPr>
                <w:rFonts w:eastAsia="Times New Roman" w:cs="Times New Roman"/>
                <w:color w:val="000000"/>
                <w:szCs w:val="24"/>
                <w:vertAlign w:val="subscript"/>
              </w:rPr>
              <w:t>y</w:t>
            </w:r>
            <w:r>
              <w:rPr>
                <w:rFonts w:eastAsia="Times New Roman" w:cs="Times New Roman"/>
                <w:color w:val="000000"/>
                <w:szCs w:val="24"/>
              </w:rPr>
              <w:t>)</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456</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-0.0833</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7.3333</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0.0069</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-0.6111</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435</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405</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-100.083</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-43.6667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10016.67</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4370.3056</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320</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250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-215.083</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-198.667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46260.84</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42729.8889</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455</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410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-80.0833</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-38.6667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6413.34</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3096.5556</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640</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520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104.9167</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71.3333</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11007.51</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7484.0556</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595</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512</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59.9167</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63.3333</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3590.007</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3794.7222</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510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-0.0833</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61.3333</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0.0069</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-5.1111</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358</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350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-177.083</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-98.6667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31358.51</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17472.2222</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678</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142.9167</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-48.6667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20425.17</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-6955.2778</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601</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510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65.9167</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61.3333</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4345.007</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4042.8889</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609</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520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73.9167</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71.3333</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5463.674</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5272.7222</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660</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541</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124.9167</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92.3333</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15604.17</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11533.9722</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ml:space="preserve">total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6421</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5384</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0.0004</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-0.0004</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154484.9</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92836.3334</w:t>
            </w:r>
          </w:p>
        </w:tc>
      </w:tr>
      <w:tr>
        <w:tblPrEx>
          <w:tblLayout w:type="fixed"/>
          <w:tblCellMar>
            <w:top w:w="0" w:type="dxa"/>
            <w:left w:w="108" w:type="dxa"/>
            <w:bottom w:w="0" w:type="dxa"/>
            <w:right w:w="108" w:type="dxa"/>
          </w:tblCellMar>
        </w:tblPrEx>
        <w:trPr>
          <w:trHeight w:val="300" w:hRule="atLeast"/>
        </w:trPr>
        <w:tc>
          <w:tcPr>
            <w:tcW w:w="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ml:space="preserve">mean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535.0833</w:t>
            </w:r>
          </w:p>
        </w:tc>
        <w:tc>
          <w:tcPr>
            <w:tcW w:w="147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448.6666667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208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bl>
    <w:p>
      <w:pPr>
        <w:rPr>
          <w:rFonts w:cs="Times New Roman"/>
          <w:szCs w:val="24"/>
        </w:rPr>
      </w:pPr>
    </w:p>
    <w:tbl>
      <w:tblPr>
        <w:tblStyle w:val="12"/>
        <w:tblW w:w="5278" w:type="dxa"/>
        <w:tblInd w:w="91" w:type="dxa"/>
        <w:tblLayout w:type="fixed"/>
        <w:tblCellMar>
          <w:top w:w="0" w:type="dxa"/>
          <w:left w:w="108" w:type="dxa"/>
          <w:bottom w:w="0" w:type="dxa"/>
          <w:right w:w="108" w:type="dxa"/>
        </w:tblCellMar>
      </w:tblPr>
      <w:tblGrid>
        <w:gridCol w:w="5278"/>
      </w:tblGrid>
      <w:tr>
        <w:tblPrEx>
          <w:tblLayout w:type="fixed"/>
          <w:tblCellMar>
            <w:top w:w="0" w:type="dxa"/>
            <w:left w:w="108" w:type="dxa"/>
            <w:bottom w:w="0" w:type="dxa"/>
            <w:right w:w="108" w:type="dxa"/>
          </w:tblCellMar>
        </w:tblPrEx>
        <w:trPr>
          <w:trHeight w:val="298" w:hRule="atLeast"/>
        </w:trPr>
        <w:tc>
          <w:tcPr>
            <w:tcW w:w="5278"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b/>
                <w:color w:val="000000"/>
                <w:szCs w:val="24"/>
              </w:rPr>
            </w:pPr>
            <w:r>
              <w:rPr>
                <w:rFonts w:eastAsia="Times New Roman" w:cs="Times New Roman"/>
                <w:b/>
                <w:color w:val="000000"/>
                <w:szCs w:val="24"/>
              </w:rPr>
              <w:t>Calculation Summary</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Sum of X = 6421</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Sum of Y = 5384</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Mean X = 535.0833</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Mean Y = 448.6667</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Sum of squares (SSX) = 154484.9167</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Sum of products (SP) = 92836.3333</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Regression Equation = ŷ = bX + a</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b = SP/SSX = 92836.33/154484.92 = 0.60094</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a = MY - bMX = 448.67 - (0.6*535.08) = 127.11311</w:t>
            </w:r>
          </w:p>
        </w:tc>
      </w:tr>
      <w:tr>
        <w:tblPrEx>
          <w:tblLayout w:type="fixed"/>
          <w:tblCellMar>
            <w:top w:w="0" w:type="dxa"/>
            <w:left w:w="108" w:type="dxa"/>
            <w:bottom w:w="0" w:type="dxa"/>
            <w:right w:w="108" w:type="dxa"/>
          </w:tblCellMar>
        </w:tblPrEx>
        <w:trPr>
          <w:trHeight w:val="341"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298" w:hRule="atLeast"/>
        </w:trPr>
        <w:tc>
          <w:tcPr>
            <w:tcW w:w="5278"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xml:space="preserve">ŷ = </w:t>
            </w:r>
            <w:r>
              <w:rPr>
                <w:rFonts w:eastAsia="Times New Roman" w:cs="Times New Roman"/>
                <w:color w:val="FF0000"/>
                <w:szCs w:val="24"/>
              </w:rPr>
              <w:t>0.60094X + 127.11311</w:t>
            </w:r>
          </w:p>
        </w:tc>
      </w:tr>
    </w:tbl>
    <w:p>
      <w:pPr>
        <w:rPr>
          <w:rFonts w:cs="Times New Roman"/>
          <w:szCs w:val="24"/>
        </w:rPr>
      </w:pPr>
    </w:p>
    <w:tbl>
      <w:tblPr>
        <w:tblStyle w:val="12"/>
        <w:tblW w:w="3520" w:type="dxa"/>
        <w:tblInd w:w="103" w:type="dxa"/>
        <w:tblLayout w:type="fixed"/>
        <w:tblCellMar>
          <w:top w:w="0" w:type="dxa"/>
          <w:left w:w="108" w:type="dxa"/>
          <w:bottom w:w="0" w:type="dxa"/>
          <w:right w:w="108" w:type="dxa"/>
        </w:tblCellMar>
      </w:tblPr>
      <w:tblGrid>
        <w:gridCol w:w="1960"/>
        <w:gridCol w:w="1560"/>
      </w:tblGrid>
      <w:tr>
        <w:tblPrEx>
          <w:tblLayout w:type="fixed"/>
          <w:tblCellMar>
            <w:top w:w="0" w:type="dxa"/>
            <w:left w:w="108" w:type="dxa"/>
            <w:bottom w:w="0" w:type="dxa"/>
            <w:right w:w="108" w:type="dxa"/>
          </w:tblCellMar>
        </w:tblPrEx>
        <w:trPr>
          <w:trHeight w:val="300" w:hRule="atLeast"/>
        </w:trPr>
        <w:tc>
          <w:tcPr>
            <w:tcW w:w="1960"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b/>
                <w:i/>
                <w:iCs/>
                <w:color w:val="000000"/>
                <w:szCs w:val="24"/>
              </w:rPr>
            </w:pPr>
            <w:r>
              <w:rPr>
                <w:rFonts w:eastAsia="Times New Roman" w:cs="Times New Roman"/>
                <w:b/>
                <w:i/>
                <w:iCs/>
                <w:color w:val="000000"/>
                <w:szCs w:val="24"/>
              </w:rPr>
              <w:t>Regression Statistics</w:t>
            </w:r>
          </w:p>
        </w:tc>
        <w:tc>
          <w:tcPr>
            <w:tcW w:w="156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 </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Multiple R</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0.808891717</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FF0000"/>
                <w:szCs w:val="24"/>
              </w:rPr>
            </w:pPr>
            <w:r>
              <w:rPr>
                <w:rFonts w:eastAsia="Times New Roman" w:cs="Times New Roman"/>
                <w:color w:val="FF0000"/>
                <w:szCs w:val="24"/>
              </w:rPr>
              <w:t>R Square</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FF0000"/>
                <w:szCs w:val="24"/>
              </w:rPr>
            </w:pPr>
            <w:r>
              <w:rPr>
                <w:rFonts w:eastAsia="Times New Roman" w:cs="Times New Roman"/>
                <w:color w:val="FF0000"/>
                <w:szCs w:val="24"/>
              </w:rPr>
              <w:t>0.65430581</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Adjusted R Square</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0.619736391</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Standard Error</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54.29134355</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Observations</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12</w:t>
            </w:r>
          </w:p>
        </w:tc>
      </w:tr>
    </w:tbl>
    <w:p>
      <w:pPr>
        <w:rPr>
          <w:rFonts w:cs="Times New Roman"/>
          <w:szCs w:val="24"/>
        </w:rPr>
      </w:pPr>
    </w:p>
    <w:p>
      <w:pPr>
        <w:rPr>
          <w:rFonts w:cs="Times New Roman"/>
          <w:szCs w:val="24"/>
        </w:rPr>
      </w:pPr>
    </w:p>
    <w:tbl>
      <w:tblPr>
        <w:tblStyle w:val="12"/>
        <w:tblW w:w="8151" w:type="dxa"/>
        <w:tblInd w:w="103" w:type="dxa"/>
        <w:tblLayout w:type="fixed"/>
        <w:tblCellMar>
          <w:top w:w="0" w:type="dxa"/>
          <w:left w:w="108" w:type="dxa"/>
          <w:bottom w:w="0" w:type="dxa"/>
          <w:right w:w="108" w:type="dxa"/>
        </w:tblCellMar>
      </w:tblPr>
      <w:tblGrid>
        <w:gridCol w:w="1960"/>
        <w:gridCol w:w="1560"/>
        <w:gridCol w:w="1116"/>
        <w:gridCol w:w="1116"/>
        <w:gridCol w:w="996"/>
        <w:gridCol w:w="1403"/>
      </w:tblGrid>
      <w:tr>
        <w:tblPrEx>
          <w:tblLayout w:type="fixed"/>
          <w:tblCellMar>
            <w:top w:w="0" w:type="dxa"/>
            <w:left w:w="108" w:type="dxa"/>
            <w:bottom w:w="0" w:type="dxa"/>
            <w:right w:w="108" w:type="dxa"/>
          </w:tblCellMar>
        </w:tblPrEx>
        <w:trPr>
          <w:trHeight w:val="300" w:hRule="atLeast"/>
        </w:trPr>
        <w:tc>
          <w:tcPr>
            <w:tcW w:w="1960" w:type="dxa"/>
            <w:tcBorders>
              <w:top w:val="single" w:color="auto" w:sz="4" w:space="0"/>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ANOVA</w:t>
            </w:r>
          </w:p>
        </w:tc>
        <w:tc>
          <w:tcPr>
            <w:tcW w:w="1560"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11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996"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403" w:type="dxa"/>
            <w:tcBorders>
              <w:top w:val="single" w:color="auto" w:sz="4" w:space="0"/>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 </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df</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SS</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MS</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F</w:t>
            </w:r>
          </w:p>
        </w:tc>
        <w:tc>
          <w:tcPr>
            <w:tcW w:w="1403"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i/>
                <w:iCs/>
                <w:color w:val="000000"/>
                <w:szCs w:val="24"/>
              </w:rPr>
            </w:pPr>
            <w:r>
              <w:rPr>
                <w:rFonts w:eastAsia="Times New Roman" w:cs="Times New Roman"/>
                <w:i/>
                <w:iCs/>
                <w:color w:val="000000"/>
                <w:szCs w:val="24"/>
              </w:rPr>
              <w:t>Significance F</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Regression</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55789.17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55789.17</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18.9273</w:t>
            </w:r>
          </w:p>
        </w:tc>
        <w:tc>
          <w:tcPr>
            <w:tcW w:w="1403"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FF0000"/>
                <w:szCs w:val="24"/>
              </w:rPr>
            </w:pPr>
            <w:r>
              <w:rPr>
                <w:rFonts w:eastAsia="Times New Roman" w:cs="Times New Roman"/>
                <w:color w:val="FF0000"/>
                <w:szCs w:val="24"/>
              </w:rPr>
              <w:t>0.00144233</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Residual</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10</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29475.5</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2947.55</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403"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r>
        <w:tblPrEx>
          <w:tblLayout w:type="fixed"/>
          <w:tblCellMar>
            <w:top w:w="0" w:type="dxa"/>
            <w:left w:w="108" w:type="dxa"/>
            <w:bottom w:w="0" w:type="dxa"/>
            <w:right w:w="108" w:type="dxa"/>
          </w:tblCellMar>
        </w:tblPrEx>
        <w:trPr>
          <w:trHeight w:val="300" w:hRule="atLeast"/>
        </w:trPr>
        <w:tc>
          <w:tcPr>
            <w:tcW w:w="1960" w:type="dxa"/>
            <w:tcBorders>
              <w:top w:val="nil"/>
              <w:left w:val="single" w:color="auto" w:sz="4" w:space="0"/>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Total</w:t>
            </w:r>
          </w:p>
        </w:tc>
        <w:tc>
          <w:tcPr>
            <w:tcW w:w="1560"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11</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85264.67</w:t>
            </w:r>
          </w:p>
        </w:tc>
        <w:tc>
          <w:tcPr>
            <w:tcW w:w="111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996"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c>
          <w:tcPr>
            <w:tcW w:w="1403" w:type="dxa"/>
            <w:tcBorders>
              <w:top w:val="nil"/>
              <w:left w:val="nil"/>
              <w:bottom w:val="single" w:color="auto" w:sz="4" w:space="0"/>
              <w:right w:val="single" w:color="auto" w:sz="4" w:space="0"/>
            </w:tcBorders>
            <w:shd w:val="clear" w:color="auto" w:fill="auto"/>
            <w:vAlign w:val="bottom"/>
          </w:tcPr>
          <w:p>
            <w:pPr>
              <w:spacing w:after="0"/>
              <w:rPr>
                <w:rFonts w:eastAsia="Times New Roman" w:cs="Times New Roman"/>
                <w:color w:val="000000"/>
                <w:szCs w:val="24"/>
              </w:rPr>
            </w:pPr>
            <w:r>
              <w:rPr>
                <w:rFonts w:eastAsia="Times New Roman" w:cs="Times New Roman"/>
                <w:color w:val="000000"/>
                <w:szCs w:val="24"/>
              </w:rPr>
              <w:t> </w:t>
            </w:r>
          </w:p>
        </w:tc>
      </w:tr>
    </w:tbl>
    <w:p>
      <w:pPr>
        <w:rPr>
          <w:rFonts w:cs="Times New Roman"/>
          <w:szCs w:val="24"/>
        </w:rPr>
      </w:pPr>
    </w:p>
    <w:p>
      <w:pPr>
        <w:rPr>
          <w:rFonts w:cs="Times New Roman"/>
          <w:szCs w:val="24"/>
        </w:rPr>
      </w:pPr>
    </w:p>
    <w:tbl>
      <w:tblPr>
        <w:tblStyle w:val="13"/>
        <w:tblW w:w="9242"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521"/>
        <w:gridCol w:w="1222"/>
        <w:gridCol w:w="890"/>
        <w:gridCol w:w="890"/>
        <w:gridCol w:w="890"/>
        <w:gridCol w:w="890"/>
        <w:gridCol w:w="890"/>
        <w:gridCol w:w="890"/>
        <w:gridCol w:w="1159"/>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1521" w:type="dxa"/>
          </w:tcPr>
          <w:p>
            <w:pPr>
              <w:spacing w:after="0"/>
              <w:rPr>
                <w:rFonts w:cs="Times New Roman"/>
                <w:i/>
                <w:iCs/>
                <w:sz w:val="24"/>
                <w:szCs w:val="24"/>
              </w:rPr>
            </w:pPr>
            <w:r>
              <w:rPr>
                <w:rFonts w:cs="Times New Roman"/>
                <w:i/>
                <w:iCs/>
                <w:sz w:val="24"/>
                <w:szCs w:val="24"/>
              </w:rPr>
              <w:t> </w:t>
            </w:r>
          </w:p>
        </w:tc>
        <w:tc>
          <w:tcPr>
            <w:tcW w:w="1222" w:type="dxa"/>
          </w:tcPr>
          <w:p>
            <w:pPr>
              <w:spacing w:after="0"/>
              <w:rPr>
                <w:rFonts w:cs="Times New Roman"/>
                <w:i/>
                <w:iCs/>
                <w:color w:val="FF0000"/>
                <w:sz w:val="24"/>
                <w:szCs w:val="24"/>
              </w:rPr>
            </w:pPr>
            <w:r>
              <w:rPr>
                <w:rFonts w:cs="Times New Roman"/>
                <w:i/>
                <w:iCs/>
                <w:color w:val="FF0000"/>
                <w:sz w:val="24"/>
                <w:szCs w:val="24"/>
              </w:rPr>
              <w:t>Coefficients</w:t>
            </w:r>
          </w:p>
        </w:tc>
        <w:tc>
          <w:tcPr>
            <w:tcW w:w="890" w:type="dxa"/>
          </w:tcPr>
          <w:p>
            <w:pPr>
              <w:spacing w:after="0"/>
              <w:rPr>
                <w:rFonts w:cs="Times New Roman"/>
                <w:i/>
                <w:iCs/>
                <w:sz w:val="24"/>
                <w:szCs w:val="24"/>
              </w:rPr>
            </w:pPr>
            <w:r>
              <w:rPr>
                <w:rFonts w:cs="Times New Roman"/>
                <w:i/>
                <w:iCs/>
                <w:sz w:val="24"/>
                <w:szCs w:val="24"/>
              </w:rPr>
              <w:t>Standard Error</w:t>
            </w:r>
          </w:p>
        </w:tc>
        <w:tc>
          <w:tcPr>
            <w:tcW w:w="890" w:type="dxa"/>
          </w:tcPr>
          <w:p>
            <w:pPr>
              <w:spacing w:after="0"/>
              <w:rPr>
                <w:rFonts w:cs="Times New Roman"/>
                <w:i/>
                <w:iCs/>
                <w:sz w:val="24"/>
                <w:szCs w:val="24"/>
              </w:rPr>
            </w:pPr>
            <w:r>
              <w:rPr>
                <w:rFonts w:cs="Times New Roman"/>
                <w:i/>
                <w:iCs/>
                <w:sz w:val="24"/>
                <w:szCs w:val="24"/>
              </w:rPr>
              <w:t>t Stat</w:t>
            </w:r>
          </w:p>
        </w:tc>
        <w:tc>
          <w:tcPr>
            <w:tcW w:w="890" w:type="dxa"/>
          </w:tcPr>
          <w:p>
            <w:pPr>
              <w:spacing w:after="0"/>
              <w:rPr>
                <w:rFonts w:cs="Times New Roman"/>
                <w:i/>
                <w:iCs/>
                <w:sz w:val="24"/>
                <w:szCs w:val="24"/>
              </w:rPr>
            </w:pPr>
            <w:r>
              <w:rPr>
                <w:rFonts w:cs="Times New Roman"/>
                <w:i/>
                <w:iCs/>
                <w:sz w:val="24"/>
                <w:szCs w:val="24"/>
              </w:rPr>
              <w:t>P-value</w:t>
            </w:r>
          </w:p>
        </w:tc>
        <w:tc>
          <w:tcPr>
            <w:tcW w:w="890" w:type="dxa"/>
          </w:tcPr>
          <w:p>
            <w:pPr>
              <w:spacing w:after="0"/>
              <w:rPr>
                <w:rFonts w:cs="Times New Roman"/>
                <w:i/>
                <w:iCs/>
                <w:sz w:val="24"/>
                <w:szCs w:val="24"/>
              </w:rPr>
            </w:pPr>
            <w:r>
              <w:rPr>
                <w:rFonts w:cs="Times New Roman"/>
                <w:i/>
                <w:iCs/>
                <w:sz w:val="24"/>
                <w:szCs w:val="24"/>
              </w:rPr>
              <w:t>Lower 95%</w:t>
            </w:r>
          </w:p>
        </w:tc>
        <w:tc>
          <w:tcPr>
            <w:tcW w:w="890" w:type="dxa"/>
          </w:tcPr>
          <w:p>
            <w:pPr>
              <w:spacing w:after="0"/>
              <w:rPr>
                <w:rFonts w:cs="Times New Roman"/>
                <w:i/>
                <w:iCs/>
                <w:sz w:val="24"/>
                <w:szCs w:val="24"/>
              </w:rPr>
            </w:pPr>
            <w:r>
              <w:rPr>
                <w:rFonts w:cs="Times New Roman"/>
                <w:i/>
                <w:iCs/>
                <w:sz w:val="24"/>
                <w:szCs w:val="24"/>
              </w:rPr>
              <w:t>Upper 95%</w:t>
            </w:r>
          </w:p>
        </w:tc>
        <w:tc>
          <w:tcPr>
            <w:tcW w:w="890" w:type="dxa"/>
          </w:tcPr>
          <w:p>
            <w:pPr>
              <w:spacing w:after="0"/>
              <w:rPr>
                <w:rFonts w:cs="Times New Roman"/>
                <w:i/>
                <w:iCs/>
                <w:sz w:val="24"/>
                <w:szCs w:val="24"/>
              </w:rPr>
            </w:pPr>
            <w:r>
              <w:rPr>
                <w:rFonts w:cs="Times New Roman"/>
                <w:i/>
                <w:iCs/>
                <w:sz w:val="24"/>
                <w:szCs w:val="24"/>
              </w:rPr>
              <w:t>Lower 95.0%</w:t>
            </w:r>
          </w:p>
        </w:tc>
        <w:tc>
          <w:tcPr>
            <w:tcW w:w="1159" w:type="dxa"/>
          </w:tcPr>
          <w:p>
            <w:pPr>
              <w:spacing w:after="0"/>
              <w:rPr>
                <w:rFonts w:cs="Times New Roman"/>
                <w:i/>
                <w:iCs/>
                <w:sz w:val="24"/>
                <w:szCs w:val="24"/>
              </w:rPr>
            </w:pPr>
            <w:r>
              <w:rPr>
                <w:rFonts w:cs="Times New Roman"/>
                <w:i/>
                <w:iCs/>
                <w:sz w:val="24"/>
                <w:szCs w:val="24"/>
              </w:rPr>
              <w:t>Upper 95.0%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1521" w:type="dxa"/>
          </w:tcPr>
          <w:p>
            <w:pPr>
              <w:spacing w:after="0"/>
              <w:rPr>
                <w:rFonts w:cs="Times New Roman"/>
                <w:sz w:val="24"/>
                <w:szCs w:val="24"/>
              </w:rPr>
            </w:pPr>
            <w:r>
              <w:rPr>
                <w:rFonts w:cs="Times New Roman"/>
                <w:sz w:val="24"/>
                <w:szCs w:val="24"/>
              </w:rPr>
              <w:t>Intercept</w:t>
            </w:r>
          </w:p>
        </w:tc>
        <w:tc>
          <w:tcPr>
            <w:tcW w:w="1222" w:type="dxa"/>
          </w:tcPr>
          <w:p>
            <w:pPr>
              <w:spacing w:after="0"/>
              <w:rPr>
                <w:rFonts w:cs="Times New Roman"/>
                <w:color w:val="FF0000"/>
                <w:sz w:val="24"/>
                <w:szCs w:val="24"/>
              </w:rPr>
            </w:pPr>
            <w:r>
              <w:rPr>
                <w:rFonts w:cs="Times New Roman"/>
                <w:color w:val="FF0000"/>
                <w:sz w:val="24"/>
                <w:szCs w:val="24"/>
              </w:rPr>
              <w:t>127.1131081</w:t>
            </w:r>
          </w:p>
        </w:tc>
        <w:tc>
          <w:tcPr>
            <w:tcW w:w="890" w:type="dxa"/>
          </w:tcPr>
          <w:p>
            <w:pPr>
              <w:spacing w:after="0"/>
              <w:rPr>
                <w:rFonts w:cs="Times New Roman"/>
                <w:sz w:val="24"/>
                <w:szCs w:val="24"/>
              </w:rPr>
            </w:pPr>
            <w:r>
              <w:rPr>
                <w:rFonts w:cs="Times New Roman"/>
                <w:sz w:val="24"/>
                <w:szCs w:val="24"/>
              </w:rPr>
              <w:t>75.55437</w:t>
            </w:r>
          </w:p>
        </w:tc>
        <w:tc>
          <w:tcPr>
            <w:tcW w:w="890" w:type="dxa"/>
          </w:tcPr>
          <w:p>
            <w:pPr>
              <w:spacing w:after="0"/>
              <w:rPr>
                <w:rFonts w:cs="Times New Roman"/>
                <w:sz w:val="24"/>
                <w:szCs w:val="24"/>
              </w:rPr>
            </w:pPr>
            <w:r>
              <w:rPr>
                <w:rFonts w:cs="Times New Roman"/>
                <w:sz w:val="24"/>
                <w:szCs w:val="24"/>
              </w:rPr>
              <w:t>1.682406</w:t>
            </w:r>
          </w:p>
        </w:tc>
        <w:tc>
          <w:tcPr>
            <w:tcW w:w="890" w:type="dxa"/>
          </w:tcPr>
          <w:p>
            <w:pPr>
              <w:spacing w:after="0"/>
              <w:rPr>
                <w:rFonts w:cs="Times New Roman"/>
                <w:sz w:val="24"/>
                <w:szCs w:val="24"/>
              </w:rPr>
            </w:pPr>
            <w:r>
              <w:rPr>
                <w:rFonts w:cs="Times New Roman"/>
                <w:sz w:val="24"/>
                <w:szCs w:val="24"/>
              </w:rPr>
              <w:t>0.123402</w:t>
            </w:r>
          </w:p>
        </w:tc>
        <w:tc>
          <w:tcPr>
            <w:tcW w:w="890" w:type="dxa"/>
          </w:tcPr>
          <w:p>
            <w:pPr>
              <w:spacing w:after="0"/>
              <w:rPr>
                <w:rFonts w:cs="Times New Roman"/>
                <w:sz w:val="24"/>
                <w:szCs w:val="24"/>
              </w:rPr>
            </w:pPr>
            <w:r>
              <w:rPr>
                <w:rFonts w:cs="Times New Roman"/>
                <w:sz w:val="24"/>
                <w:szCs w:val="24"/>
              </w:rPr>
              <w:t>-41.2325</w:t>
            </w:r>
          </w:p>
        </w:tc>
        <w:tc>
          <w:tcPr>
            <w:tcW w:w="890" w:type="dxa"/>
          </w:tcPr>
          <w:p>
            <w:pPr>
              <w:spacing w:after="0"/>
              <w:rPr>
                <w:rFonts w:cs="Times New Roman"/>
                <w:sz w:val="24"/>
                <w:szCs w:val="24"/>
              </w:rPr>
            </w:pPr>
            <w:r>
              <w:rPr>
                <w:rFonts w:cs="Times New Roman"/>
                <w:sz w:val="24"/>
                <w:szCs w:val="24"/>
              </w:rPr>
              <w:t>295.4587</w:t>
            </w:r>
          </w:p>
        </w:tc>
        <w:tc>
          <w:tcPr>
            <w:tcW w:w="890" w:type="dxa"/>
          </w:tcPr>
          <w:p>
            <w:pPr>
              <w:spacing w:after="0"/>
              <w:rPr>
                <w:rFonts w:cs="Times New Roman"/>
                <w:sz w:val="24"/>
                <w:szCs w:val="24"/>
              </w:rPr>
            </w:pPr>
            <w:r>
              <w:rPr>
                <w:rFonts w:cs="Times New Roman"/>
                <w:sz w:val="24"/>
                <w:szCs w:val="24"/>
              </w:rPr>
              <w:t>-41.2325</w:t>
            </w:r>
          </w:p>
        </w:tc>
        <w:tc>
          <w:tcPr>
            <w:tcW w:w="1159" w:type="dxa"/>
          </w:tcPr>
          <w:p>
            <w:pPr>
              <w:spacing w:after="0"/>
              <w:rPr>
                <w:rFonts w:cs="Times New Roman"/>
                <w:sz w:val="24"/>
                <w:szCs w:val="24"/>
              </w:rPr>
            </w:pPr>
            <w:r>
              <w:rPr>
                <w:rFonts w:cs="Times New Roman"/>
                <w:sz w:val="24"/>
                <w:szCs w:val="24"/>
              </w:rPr>
              <w:t>295.4587285</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trPr>
        <w:tc>
          <w:tcPr>
            <w:tcW w:w="1521" w:type="dxa"/>
          </w:tcPr>
          <w:p>
            <w:pPr>
              <w:spacing w:after="0"/>
              <w:rPr>
                <w:rFonts w:cs="Times New Roman"/>
                <w:sz w:val="24"/>
                <w:szCs w:val="24"/>
              </w:rPr>
            </w:pPr>
            <w:r>
              <w:rPr>
                <w:rFonts w:cs="Times New Roman"/>
                <w:sz w:val="24"/>
                <w:szCs w:val="24"/>
              </w:rPr>
              <w:t>X Variable 1</w:t>
            </w:r>
          </w:p>
        </w:tc>
        <w:tc>
          <w:tcPr>
            <w:tcW w:w="1222" w:type="dxa"/>
          </w:tcPr>
          <w:p>
            <w:pPr>
              <w:spacing w:after="0"/>
              <w:rPr>
                <w:rFonts w:cs="Times New Roman"/>
                <w:color w:val="FF0000"/>
                <w:sz w:val="24"/>
                <w:szCs w:val="24"/>
              </w:rPr>
            </w:pPr>
            <w:r>
              <w:rPr>
                <w:rFonts w:cs="Times New Roman"/>
                <w:color w:val="FF0000"/>
                <w:sz w:val="24"/>
                <w:szCs w:val="24"/>
              </w:rPr>
              <w:t>0.600941084</w:t>
            </w:r>
          </w:p>
        </w:tc>
        <w:tc>
          <w:tcPr>
            <w:tcW w:w="890" w:type="dxa"/>
          </w:tcPr>
          <w:p>
            <w:pPr>
              <w:spacing w:after="0"/>
              <w:rPr>
                <w:rFonts w:cs="Times New Roman"/>
                <w:sz w:val="24"/>
                <w:szCs w:val="24"/>
              </w:rPr>
            </w:pPr>
            <w:r>
              <w:rPr>
                <w:rFonts w:cs="Times New Roman"/>
                <w:sz w:val="24"/>
                <w:szCs w:val="24"/>
              </w:rPr>
              <w:t>0.13813</w:t>
            </w:r>
          </w:p>
        </w:tc>
        <w:tc>
          <w:tcPr>
            <w:tcW w:w="890" w:type="dxa"/>
          </w:tcPr>
          <w:p>
            <w:pPr>
              <w:spacing w:after="0"/>
              <w:rPr>
                <w:rFonts w:cs="Times New Roman"/>
                <w:sz w:val="24"/>
                <w:szCs w:val="24"/>
              </w:rPr>
            </w:pPr>
            <w:r>
              <w:rPr>
                <w:rFonts w:cs="Times New Roman"/>
                <w:sz w:val="24"/>
                <w:szCs w:val="24"/>
              </w:rPr>
              <w:t>4.350552</w:t>
            </w:r>
          </w:p>
        </w:tc>
        <w:tc>
          <w:tcPr>
            <w:tcW w:w="890" w:type="dxa"/>
          </w:tcPr>
          <w:p>
            <w:pPr>
              <w:spacing w:after="0"/>
              <w:rPr>
                <w:rFonts w:cs="Times New Roman"/>
                <w:sz w:val="24"/>
                <w:szCs w:val="24"/>
              </w:rPr>
            </w:pPr>
            <w:r>
              <w:rPr>
                <w:rFonts w:cs="Times New Roman"/>
                <w:sz w:val="24"/>
                <w:szCs w:val="24"/>
              </w:rPr>
              <w:t>0.001442</w:t>
            </w:r>
          </w:p>
        </w:tc>
        <w:tc>
          <w:tcPr>
            <w:tcW w:w="890" w:type="dxa"/>
          </w:tcPr>
          <w:p>
            <w:pPr>
              <w:spacing w:after="0"/>
              <w:rPr>
                <w:rFonts w:cs="Times New Roman"/>
                <w:sz w:val="24"/>
                <w:szCs w:val="24"/>
              </w:rPr>
            </w:pPr>
            <w:r>
              <w:rPr>
                <w:rFonts w:cs="Times New Roman"/>
                <w:sz w:val="24"/>
                <w:szCs w:val="24"/>
              </w:rPr>
              <w:t>0.293169</w:t>
            </w:r>
          </w:p>
        </w:tc>
        <w:tc>
          <w:tcPr>
            <w:tcW w:w="890" w:type="dxa"/>
          </w:tcPr>
          <w:p>
            <w:pPr>
              <w:spacing w:after="0"/>
              <w:rPr>
                <w:rFonts w:cs="Times New Roman"/>
                <w:sz w:val="24"/>
                <w:szCs w:val="24"/>
              </w:rPr>
            </w:pPr>
            <w:r>
              <w:rPr>
                <w:rFonts w:cs="Times New Roman"/>
                <w:sz w:val="24"/>
                <w:szCs w:val="24"/>
              </w:rPr>
              <w:t>0.908714</w:t>
            </w:r>
          </w:p>
        </w:tc>
        <w:tc>
          <w:tcPr>
            <w:tcW w:w="890" w:type="dxa"/>
          </w:tcPr>
          <w:p>
            <w:pPr>
              <w:spacing w:after="0"/>
              <w:rPr>
                <w:rFonts w:cs="Times New Roman"/>
                <w:sz w:val="24"/>
                <w:szCs w:val="24"/>
              </w:rPr>
            </w:pPr>
            <w:r>
              <w:rPr>
                <w:rFonts w:cs="Times New Roman"/>
                <w:sz w:val="24"/>
                <w:szCs w:val="24"/>
              </w:rPr>
              <w:t>0.293169</w:t>
            </w:r>
          </w:p>
        </w:tc>
        <w:tc>
          <w:tcPr>
            <w:tcW w:w="1159" w:type="dxa"/>
          </w:tcPr>
          <w:p>
            <w:pPr>
              <w:spacing w:after="0"/>
              <w:rPr>
                <w:rFonts w:cs="Times New Roman"/>
                <w:sz w:val="24"/>
                <w:szCs w:val="24"/>
              </w:rPr>
            </w:pPr>
            <w:r>
              <w:rPr>
                <w:rFonts w:cs="Times New Roman"/>
                <w:sz w:val="24"/>
                <w:szCs w:val="24"/>
              </w:rPr>
              <w:t>0.908713574</w:t>
            </w:r>
          </w:p>
        </w:tc>
      </w:tr>
    </w:tbl>
    <w:p>
      <w:pPr>
        <w:rPr>
          <w:rFonts w:cs="Times New Roman"/>
          <w:szCs w:val="24"/>
        </w:rPr>
      </w:pPr>
    </w:p>
    <w:p>
      <w:pPr>
        <w:rPr>
          <w:rFonts w:cs="Times New Roman"/>
          <w:szCs w:val="24"/>
        </w:rPr>
      </w:pPr>
      <w:r>
        <w:rPr>
          <w:rFonts w:cs="Times New Roman"/>
          <w:szCs w:val="24"/>
          <w:lang w:val="en-IN" w:eastAsia="en-IN"/>
        </w:rPr>
        <w:drawing>
          <wp:inline distT="0" distB="0" distL="0" distR="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rPr>
          <w:rFonts w:cs="Times New Roman"/>
          <w:szCs w:val="24"/>
        </w:rPr>
      </w:pPr>
      <w:r>
        <w:rPr>
          <w:rFonts w:cs="Times New Roman"/>
          <w:szCs w:val="24"/>
        </w:rPr>
        <w:t xml:space="preserve">In order to find out the changes in the dependent variable when independent variables is changes linear regression analysis is used. This is one of the most widely techniques and uses best fit straight line. This values mainly represented in form of equation. From the findings and computation it can be found that values of Y is 0.60094X + 127.11311 and values of R square is 0.654; which signifies that strong relationship exit between dependent and independent variables. It can be said that if the management of an organization can invest much amount of money then they achieved higher benefits in terms of sales performance.                </w:t>
      </w:r>
    </w:p>
    <w:p>
      <w:pPr>
        <w:spacing w:line="276" w:lineRule="auto"/>
        <w:jc w:val="left"/>
        <w:rPr>
          <w:rFonts w:cs="Times New Roman"/>
          <w:szCs w:val="24"/>
        </w:rPr>
      </w:pPr>
    </w:p>
    <w:p>
      <w:pPr>
        <w:pStyle w:val="3"/>
        <w:rPr>
          <w:color w:val="auto"/>
          <w:u w:val="single"/>
        </w:rPr>
      </w:pPr>
      <w:bookmarkStart w:id="8" w:name="_Toc513048345"/>
      <w:r>
        <w:rPr>
          <w:color w:val="auto"/>
          <w:u w:val="single"/>
        </w:rPr>
        <w:t>Recommendation for the further process improvement</w:t>
      </w:r>
      <w:bookmarkEnd w:id="8"/>
      <w:r>
        <w:rPr>
          <w:color w:val="auto"/>
          <w:u w:val="single"/>
          <w:lang w:val="en-US"/>
        </w:rPr>
        <w:t>:</w:t>
      </w:r>
    </w:p>
    <w:p>
      <w:r>
        <w:t>‘</w:t>
      </w:r>
      <w:r>
        <w:rPr>
          <w:bCs/>
          <w:lang w:val="en-IN"/>
        </w:rPr>
        <w:t>SecretSales’ under the current situation needs to investment some amount more in their marketing promotional activity. Here the organisation is already burdened with lot more invested in the business operation and technology.</w:t>
      </w:r>
      <w:r>
        <w:t xml:space="preserve"> There the marketing promotional activity needs to be targeted and cost effective to produce desirable improvement in the sales figure in the business (Smith and Zook, 2011).  These are the defined criteria for the business in selecting the appropriate solution in the marketing promotional process. </w:t>
      </w:r>
    </w:p>
    <w:p>
      <w:r>
        <w:t xml:space="preserve">The marketing website and the online store models are already applied in the current business process. The organisation has their proper website developed for the marketing and flash sale promotional process. Their business is itself e-commerce platform based designer fashion clothing product sales  (Castronovo and Huang, 2012). Therefore the online store and the marketing website approach of models are used. </w:t>
      </w:r>
    </w:p>
    <w:p>
      <w:r>
        <w:t>The relevant approach of marketing promotion would be here the search engine optimisation (SEO) process and the advertisement in the online and the digital field. The SEO process provides the most cost effective return for the marketing process for the e-commerce businesses. This approach also improves the number of page site and that provides fresh leads to the business. On the other hand the e advertisement is an effective approach for the brand promotion of ‘</w:t>
      </w:r>
      <w:r>
        <w:rPr>
          <w:bCs/>
          <w:lang w:val="en-IN"/>
        </w:rPr>
        <w:t>SecretSales’.</w:t>
      </w:r>
      <w:r>
        <w:t xml:space="preserve">the organisation sales the products at large discounts. The reduction in cost provides different value perception for the customer but the effective brand management through the e-ads approach would influence the customers to purchase these products with great assurance </w:t>
      </w:r>
      <w:r>
        <w:rPr>
          <w:bCs/>
          <w:lang w:val="en-IN"/>
        </w:rPr>
        <w:t>(</w:t>
      </w:r>
      <w:r>
        <w:t xml:space="preserve">Gurău, 2008). </w:t>
      </w:r>
    </w:p>
    <w:p>
      <w:r>
        <w:t xml:space="preserve">The organisation uses the direct mail type promotional approach from their platform to promote the flash sales. Here another supporting activity with is highly effective for the online shopping process, that is the live chat option, needs to be implemented. In the physical stores the sales personnel assist the customer in the buying decision making. in the online platform this aspect is missing and there this chat based personal selling approach would be useful for the organisation (Castronovo and Huang, 2012). This real time direct communication would boost the confidence of the customer and pursued the customer in large quantity buying. </w:t>
      </w:r>
    </w:p>
    <w:p>
      <w:r>
        <w:t>The next approach for the current marketing promotional process would be the model of link exchange. Here ‘</w:t>
      </w:r>
      <w:r>
        <w:rPr>
          <w:bCs/>
          <w:lang w:val="en-IN"/>
        </w:rPr>
        <w:t>SecretSales’ would tie-up with the complementary service delivery website to promote each others’ business. This is cost effective and highly reliable approach for the businesses.</w:t>
      </w:r>
      <w:r>
        <w:t xml:space="preserve"> The micro blog model of marketing can also be applied in the current problem of ‘</w:t>
      </w:r>
      <w:r>
        <w:rPr>
          <w:bCs/>
          <w:lang w:val="en-IN"/>
        </w:rPr>
        <w:t>SecretSales’. Here the blog platform would be utilised for the promotion of flash sales, promotion of the brand and so on. Another effective approach in this process would the viral marketing approach. This is the faster promoting approach where the marketing and promotional message would be faster transmitted among the customers group (</w:t>
      </w:r>
      <w:r>
        <w:t>Gurău, 2008).</w:t>
      </w:r>
      <w:r>
        <w:rPr>
          <w:bCs/>
          <w:lang w:val="en-IN"/>
        </w:rPr>
        <w:t xml:space="preserve"> This approach would lead to new customer generation through the recommendation from the old customer. </w:t>
      </w:r>
    </w:p>
    <w:p>
      <w:pPr>
        <w:pStyle w:val="3"/>
        <w:rPr>
          <w:color w:val="auto"/>
          <w:u w:val="single"/>
        </w:rPr>
      </w:pPr>
      <w:bookmarkStart w:id="9" w:name="_Toc513048346"/>
      <w:r>
        <w:rPr>
          <w:color w:val="auto"/>
          <w:u w:val="single"/>
        </w:rPr>
        <w:t>Justification of the recommendation</w:t>
      </w:r>
      <w:bookmarkEnd w:id="9"/>
      <w:r>
        <w:rPr>
          <w:color w:val="auto"/>
          <w:u w:val="single"/>
          <w:lang w:val="en-US"/>
        </w:rPr>
        <w:t>:</w:t>
      </w:r>
    </w:p>
    <w:p>
      <w:r>
        <w:t xml:space="preserve">The above recommendation is delivered on the basis of set criteria. All the promotional approach defined above is based on the online and digital world. These approaches are of low cost solution and when it picks up momentum like for the viral marketing, the return of this process come in multiples </w:t>
      </w:r>
      <w:r>
        <w:rPr>
          <w:bCs/>
          <w:lang w:val="en-IN"/>
        </w:rPr>
        <w:t>(</w:t>
      </w:r>
      <w:r>
        <w:t>Baker, 2018). Another benefit of this approach is the low resource requirement for the process. There are limited number of people working for the ‘</w:t>
      </w:r>
      <w:r>
        <w:rPr>
          <w:bCs/>
          <w:lang w:val="en-IN"/>
        </w:rPr>
        <w:t xml:space="preserve">SecretSales’ and extensive marketing process using other traditional means would make it highly expertise human resource dependent. But the online marketing approaches would be done through the current marketing department of the business who are engaged in the direct mailing process. Great effort in the marketing process would improve the brand image of the business and also increase the revenue so that the business can make profit from it. </w:t>
      </w:r>
    </w:p>
    <w:p/>
    <w:p>
      <w:pPr>
        <w:pStyle w:val="3"/>
        <w:rPr>
          <w:color w:val="auto"/>
          <w:u w:val="single"/>
        </w:rPr>
      </w:pPr>
      <w:bookmarkStart w:id="10" w:name="_Toc513048347"/>
      <w:r>
        <w:rPr>
          <w:color w:val="auto"/>
          <w:u w:val="single"/>
        </w:rPr>
        <w:t>Recommendation model identification and the improvement direction explanation</w:t>
      </w:r>
      <w:bookmarkEnd w:id="10"/>
      <w:r>
        <w:rPr>
          <w:color w:val="auto"/>
          <w:u w:val="single"/>
          <w:lang w:val="en-US"/>
        </w:rPr>
        <w:t>:</w:t>
      </w:r>
    </w:p>
    <w:p>
      <w:r>
        <w:t>The most important criteria for the selection of the above models is the low approach but more productive for the business. Application of the different models in disjointing manner would provide certain benefit to the business. But the approach of integration and proportionate mix of this promotional mix would be useful for the business. This improved approach would provide better results with further lowering of cost. The appropriated mix for the ‘</w:t>
      </w:r>
      <w:r>
        <w:rPr>
          <w:bCs/>
          <w:lang w:val="en-IN"/>
        </w:rPr>
        <w:t>SecretSales’ needs to be continuously developed through trial and error process (</w:t>
      </w:r>
      <w:r>
        <w:t>Baker, 2018). </w:t>
      </w:r>
      <w:r>
        <w:rPr>
          <w:bCs/>
          <w:lang w:val="en-IN"/>
        </w:rPr>
        <w:t xml:space="preserve">Therefore the continuous improvement approach in the promotional mix development is the improvement direction for </w:t>
      </w:r>
      <w:r>
        <w:t>‘</w:t>
      </w:r>
      <w:r>
        <w:rPr>
          <w:bCs/>
          <w:lang w:val="en-IN"/>
        </w:rPr>
        <w:t>SecretSales’.</w:t>
      </w:r>
    </w:p>
    <w:p>
      <w:pPr>
        <w:pStyle w:val="2"/>
        <w:rPr>
          <w:color w:val="auto"/>
          <w:u w:val="single"/>
        </w:rPr>
      </w:pPr>
      <w:bookmarkStart w:id="11" w:name="_Toc513048348"/>
      <w:r>
        <w:rPr>
          <w:color w:val="auto"/>
          <w:u w:val="single"/>
        </w:rPr>
        <w:t>Conclusion</w:t>
      </w:r>
      <w:bookmarkEnd w:id="11"/>
      <w:r>
        <w:rPr>
          <w:color w:val="auto"/>
          <w:u w:val="single"/>
          <w:lang w:val="en-US"/>
        </w:rPr>
        <w:t>:</w:t>
      </w:r>
    </w:p>
    <w:p>
      <w:r>
        <w:t>In the current business ‘</w:t>
      </w:r>
      <w:r>
        <w:rPr>
          <w:bCs/>
          <w:lang w:val="en-IN"/>
        </w:rPr>
        <w:t xml:space="preserve">SecretSales’ the identified problem is provided with approach solutions. Here most of the models approaches are suitable for the current business process but needs to be applied in appropriate sequence and proportion. The proper investigative approach, defining the problem and the finding the right solution were done effectively for </w:t>
      </w:r>
      <w:r>
        <w:t>‘</w:t>
      </w:r>
      <w:r>
        <w:rPr>
          <w:bCs/>
          <w:lang w:val="en-IN"/>
        </w:rPr>
        <w:t xml:space="preserve">SecretSales’. The solution and the improvement approach would lead the organisation to the profitable direction.  </w:t>
      </w:r>
    </w:p>
    <w:p>
      <w:pPr>
        <w:spacing w:line="276" w:lineRule="auto"/>
        <w:jc w:val="left"/>
      </w:pPr>
      <w:r>
        <w:br w:type="page"/>
      </w:r>
    </w:p>
    <w:p>
      <w:pPr>
        <w:pStyle w:val="2"/>
        <w:rPr>
          <w:color w:val="000000" w:themeColor="text1"/>
          <w:u w:val="single"/>
        </w:rPr>
      </w:pPr>
      <w:bookmarkStart w:id="12" w:name="_Toc513048349"/>
      <w:r>
        <w:rPr>
          <w:color w:val="000000" w:themeColor="text1"/>
          <w:u w:val="single"/>
        </w:rPr>
        <w:t>Reference</w:t>
      </w:r>
      <w:bookmarkEnd w:id="12"/>
      <w:r>
        <w:rPr>
          <w:color w:val="000000" w:themeColor="text1"/>
          <w:u w:val="single"/>
          <w:lang w:val="en-US"/>
        </w:rPr>
        <w:t>:</w:t>
      </w:r>
    </w:p>
    <w:p/>
    <w:p>
      <w:pPr>
        <w:rPr>
          <w:b/>
          <w:bCs/>
          <w:i/>
          <w:iCs/>
        </w:rPr>
      </w:pPr>
    </w:p>
    <w:p>
      <w:r>
        <w:t>Baker, A. J. (2018). </w:t>
      </w:r>
      <w:r>
        <w:rPr>
          <w:i/>
          <w:iCs/>
        </w:rPr>
        <w:t>Business decision making</w:t>
      </w:r>
      <w:r>
        <w:t>. Routledge.</w:t>
      </w:r>
    </w:p>
    <w:p>
      <w:r>
        <w:t>Black, K. (2009). </w:t>
      </w:r>
      <w:r>
        <w:rPr>
          <w:i/>
          <w:iCs/>
        </w:rPr>
        <w:t>Business statistics: Contemporary decision making</w:t>
      </w:r>
      <w:r>
        <w:t>. John Wiley &amp; Sons.</w:t>
      </w:r>
    </w:p>
    <w:p>
      <w:r>
        <w:t>Castronovo, C., and Huang, L. (2012). Social media in an alternative marketing communication model. </w:t>
      </w:r>
      <w:r>
        <w:rPr>
          <w:i/>
          <w:iCs/>
        </w:rPr>
        <w:t>Journal of Marketing Development and Competitiveness</w:t>
      </w:r>
      <w:r>
        <w:t>, </w:t>
      </w:r>
      <w:r>
        <w:rPr>
          <w:i/>
          <w:iCs/>
        </w:rPr>
        <w:t>6</w:t>
      </w:r>
      <w:r>
        <w:t>(1), 117.</w:t>
      </w:r>
    </w:p>
    <w:p>
      <w:r>
        <w:t>COOK, J. (2015).</w:t>
      </w:r>
      <w:r>
        <w:rPr>
          <w:i/>
          <w:iCs/>
        </w:rPr>
        <w:t xml:space="preserve"> </w:t>
      </w:r>
      <w:r>
        <w:rPr>
          <w:bCs/>
          <w:i/>
          <w:iCs/>
        </w:rPr>
        <w:t>The 14 coolest fashion startups in London</w:t>
      </w:r>
      <w:r>
        <w:t>. [online] Business Insider. Available at: https://www.businessinsider.in/The-14-coolest-fashion-startups-in-London/6-Chic-By-Choice-find-and-rent-the-perfect-dress-online/slideshow/49064140.cms [Accessed 2 May 2018].</w:t>
      </w:r>
    </w:p>
    <w:p>
      <w:r>
        <w:t>Easey, M. (Ed.). (2009). </w:t>
      </w:r>
      <w:r>
        <w:rPr>
          <w:i/>
          <w:iCs/>
        </w:rPr>
        <w:t>Fashion marketing</w:t>
      </w:r>
      <w:r>
        <w:t>. John Wiley &amp; Sons.</w:t>
      </w:r>
    </w:p>
    <w:p>
      <w:r>
        <w:rPr>
          <w:bCs/>
        </w:rPr>
        <w:t>Geoghegan</w:t>
      </w:r>
      <w:r>
        <w:t>, J. (2017).</w:t>
      </w:r>
      <w:r>
        <w:rPr>
          <w:rFonts w:ascii="Helvetica" w:hAnsi="Helvetica" w:eastAsia="Times New Roman" w:cs="Times New Roman"/>
          <w:b/>
          <w:bCs/>
          <w:color w:val="000000"/>
          <w:kern w:val="36"/>
          <w:sz w:val="125"/>
          <w:szCs w:val="125"/>
        </w:rPr>
        <w:t xml:space="preserve"> </w:t>
      </w:r>
      <w:r>
        <w:rPr>
          <w:i/>
        </w:rPr>
        <w:t>Exclusive: SecretSales sold to Wowcher owner.</w:t>
      </w:r>
      <w:r>
        <w:t xml:space="preserve"> [online] Available at: https://www.drapersonline.com/news/secretsales-sold-to-wowcher-owner/7018553.article [Accessed 2 May 2018].</w:t>
      </w:r>
    </w:p>
    <w:p>
      <w:r>
        <w:t>Gurău, C. (2008). Integrated online marketing communication: implementation and management. </w:t>
      </w:r>
      <w:r>
        <w:rPr>
          <w:i/>
          <w:iCs/>
        </w:rPr>
        <w:t>Journal of communication management</w:t>
      </w:r>
      <w:r>
        <w:t>, </w:t>
      </w:r>
      <w:r>
        <w:rPr>
          <w:i/>
          <w:iCs/>
        </w:rPr>
        <w:t>12</w:t>
      </w:r>
      <w:r>
        <w:t>(2), 169-184.</w:t>
      </w:r>
    </w:p>
    <w:p>
      <w:r>
        <w:t>Hwang, C. L., and Masud, A. S. M. (2012). </w:t>
      </w:r>
      <w:r>
        <w:rPr>
          <w:i/>
          <w:iCs/>
        </w:rPr>
        <w:t>Multiple objective decision making—methods and applications: a state-of-the-art survey</w:t>
      </w:r>
      <w:r>
        <w:t> (Vol. 164). Springer Science &amp; Business Media.</w:t>
      </w:r>
    </w:p>
    <w:p>
      <w:r>
        <w:t>Power, D. J., Sharda, R., and Burstein, F. (2015). </w:t>
      </w:r>
      <w:r>
        <w:rPr>
          <w:i/>
          <w:iCs/>
        </w:rPr>
        <w:t>Decision support systems</w:t>
      </w:r>
      <w:r>
        <w:t>. John Wiley &amp; Sons, Ltd.</w:t>
      </w:r>
    </w:p>
    <w:p>
      <w:r>
        <w:t>Saaty, T. L. (2008). Decision making with the analytic hierarchy process. </w:t>
      </w:r>
      <w:r>
        <w:rPr>
          <w:i/>
          <w:iCs/>
        </w:rPr>
        <w:t>International journal of services sciences</w:t>
      </w:r>
      <w:r>
        <w:t>, </w:t>
      </w:r>
      <w:r>
        <w:rPr>
          <w:i/>
          <w:iCs/>
        </w:rPr>
        <w:t>1</w:t>
      </w:r>
      <w:r>
        <w:t>(1), 83-98.</w:t>
      </w:r>
    </w:p>
    <w:p>
      <w:r>
        <w:rPr>
          <w:bCs/>
        </w:rPr>
        <w:t>Singh</w:t>
      </w:r>
      <w:r>
        <w:t>, P. (2015).</w:t>
      </w:r>
      <w:r>
        <w:rPr>
          <w:i/>
          <w:iCs/>
        </w:rPr>
        <w:t xml:space="preserve"> </w:t>
      </w:r>
      <w:r>
        <w:rPr>
          <w:bCs/>
          <w:i/>
          <w:iCs/>
        </w:rPr>
        <w:t>Secretsales.com annual revenues rise 39 percent</w:t>
      </w:r>
      <w:r>
        <w:t>. [online] Available at: https://fashionunited.uk/news/business/secretsales-com-annual-revenues-rise-39-percent/2015071317026 [Accessed 2 May 2018].</w:t>
      </w:r>
    </w:p>
    <w:p>
      <w:r>
        <w:t>Smith, P. R., and Zook, Z. (2011). </w:t>
      </w:r>
      <w:r>
        <w:rPr>
          <w:i/>
          <w:iCs/>
        </w:rPr>
        <w:t>Marketing communications: integrating offline and online with social media</w:t>
      </w:r>
      <w:r>
        <w:t>. Kogan Page.</w:t>
      </w:r>
    </w:p>
    <w:p>
      <w:r>
        <w:t>Vercellis, C. (2011). </w:t>
      </w:r>
      <w:r>
        <w:rPr>
          <w:i/>
          <w:iCs/>
        </w:rPr>
        <w:t>Business intelligence: data mining and optimization for decision making</w:t>
      </w:r>
      <w:r>
        <w:t>. John Wiley &amp; Sons.</w:t>
      </w:r>
    </w:p>
    <w:p>
      <w:r>
        <w:t>Zsambok, C. E., and Klein, G. (Eds.). (2014). </w:t>
      </w:r>
      <w:r>
        <w:rPr>
          <w:i/>
          <w:iCs/>
        </w:rPr>
        <w:t>Naturalistic decision making</w:t>
      </w:r>
      <w:r>
        <w:t>. Psychology Press.</w:t>
      </w:r>
    </w:p>
    <w:p>
      <w:pPr>
        <w:rPr>
          <w:b/>
          <w:bCs/>
          <w:i/>
          <w:iCs/>
        </w:rPr>
      </w:pPr>
    </w:p>
    <w:p/>
    <w:sectPr>
      <w:pgSz w:w="11906" w:h="16838"/>
      <w:pgMar w:top="1440" w:right="1440" w:bottom="1440" w:left="1440" w:header="720" w:footer="720" w:gutter="0"/>
      <w:pgBorders>
        <w:top w:val="thinThickSmallGap" w:color="auto" w:sz="24" w:space="1"/>
        <w:left w:val="thinThickSmallGap" w:color="auto" w:sz="24" w:space="4"/>
        <w:bottom w:val="thinThickSmallGap" w:color="auto" w:sz="24" w:space="1"/>
        <w:right w:val="thinThickSmallGap" w:color="auto" w:sz="24" w:space="4"/>
      </w:pgBorders>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Helvetica">
    <w:altName w:val="Arial"/>
    <w:panose1 w:val="020B0604020202020204"/>
    <w:charset w:val="00"/>
    <w:family w:val="swiss"/>
    <w:pitch w:val="default"/>
    <w:sig w:usb0="00000000"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2"/>
  </w:compat>
  <w:rsids>
    <w:rsidRoot w:val="00CA6349"/>
    <w:rsid w:val="000010A9"/>
    <w:rsid w:val="0000122F"/>
    <w:rsid w:val="00001E92"/>
    <w:rsid w:val="000036FA"/>
    <w:rsid w:val="00003E31"/>
    <w:rsid w:val="000043F8"/>
    <w:rsid w:val="0000457A"/>
    <w:rsid w:val="00005722"/>
    <w:rsid w:val="00005CB7"/>
    <w:rsid w:val="00011067"/>
    <w:rsid w:val="000128DC"/>
    <w:rsid w:val="00012B72"/>
    <w:rsid w:val="00013421"/>
    <w:rsid w:val="00013F75"/>
    <w:rsid w:val="00015321"/>
    <w:rsid w:val="0001702C"/>
    <w:rsid w:val="000201E3"/>
    <w:rsid w:val="00020317"/>
    <w:rsid w:val="00020E6D"/>
    <w:rsid w:val="00023677"/>
    <w:rsid w:val="00023753"/>
    <w:rsid w:val="00024769"/>
    <w:rsid w:val="0002670A"/>
    <w:rsid w:val="00027E9A"/>
    <w:rsid w:val="00027F55"/>
    <w:rsid w:val="00032EC9"/>
    <w:rsid w:val="000344BD"/>
    <w:rsid w:val="000348C9"/>
    <w:rsid w:val="00035592"/>
    <w:rsid w:val="00036532"/>
    <w:rsid w:val="000372C7"/>
    <w:rsid w:val="00040FF4"/>
    <w:rsid w:val="00041CC9"/>
    <w:rsid w:val="0004265A"/>
    <w:rsid w:val="00046CE5"/>
    <w:rsid w:val="000518E2"/>
    <w:rsid w:val="000531FC"/>
    <w:rsid w:val="00057266"/>
    <w:rsid w:val="0006190C"/>
    <w:rsid w:val="00061994"/>
    <w:rsid w:val="00062B1A"/>
    <w:rsid w:val="0007105C"/>
    <w:rsid w:val="00071676"/>
    <w:rsid w:val="00074288"/>
    <w:rsid w:val="000754DB"/>
    <w:rsid w:val="00076CA5"/>
    <w:rsid w:val="00077C32"/>
    <w:rsid w:val="00077E65"/>
    <w:rsid w:val="000803B3"/>
    <w:rsid w:val="000804C5"/>
    <w:rsid w:val="00080795"/>
    <w:rsid w:val="0008121D"/>
    <w:rsid w:val="0009021D"/>
    <w:rsid w:val="00090758"/>
    <w:rsid w:val="000918DA"/>
    <w:rsid w:val="00092B67"/>
    <w:rsid w:val="00093793"/>
    <w:rsid w:val="00094411"/>
    <w:rsid w:val="00097A1B"/>
    <w:rsid w:val="000A01DC"/>
    <w:rsid w:val="000A0423"/>
    <w:rsid w:val="000A08D8"/>
    <w:rsid w:val="000A27DA"/>
    <w:rsid w:val="000A3D21"/>
    <w:rsid w:val="000A4D69"/>
    <w:rsid w:val="000A552B"/>
    <w:rsid w:val="000A6466"/>
    <w:rsid w:val="000B1A54"/>
    <w:rsid w:val="000B210B"/>
    <w:rsid w:val="000B27EA"/>
    <w:rsid w:val="000B5ACE"/>
    <w:rsid w:val="000B6CA2"/>
    <w:rsid w:val="000B6F46"/>
    <w:rsid w:val="000C232D"/>
    <w:rsid w:val="000C256F"/>
    <w:rsid w:val="000C3EDD"/>
    <w:rsid w:val="000C52C7"/>
    <w:rsid w:val="000C52FC"/>
    <w:rsid w:val="000C53D9"/>
    <w:rsid w:val="000C53FD"/>
    <w:rsid w:val="000C57AD"/>
    <w:rsid w:val="000C6D90"/>
    <w:rsid w:val="000C7745"/>
    <w:rsid w:val="000C7756"/>
    <w:rsid w:val="000C786E"/>
    <w:rsid w:val="000D1512"/>
    <w:rsid w:val="000D3D1E"/>
    <w:rsid w:val="000D6B8B"/>
    <w:rsid w:val="000E0B92"/>
    <w:rsid w:val="000E388D"/>
    <w:rsid w:val="000E766A"/>
    <w:rsid w:val="000F1566"/>
    <w:rsid w:val="000F19E3"/>
    <w:rsid w:val="000F2F64"/>
    <w:rsid w:val="000F368A"/>
    <w:rsid w:val="000F5036"/>
    <w:rsid w:val="000F5498"/>
    <w:rsid w:val="000F576F"/>
    <w:rsid w:val="000F5F1A"/>
    <w:rsid w:val="000F7143"/>
    <w:rsid w:val="001013C9"/>
    <w:rsid w:val="001014D4"/>
    <w:rsid w:val="00102244"/>
    <w:rsid w:val="00102C27"/>
    <w:rsid w:val="00102FEB"/>
    <w:rsid w:val="0010401C"/>
    <w:rsid w:val="001041E4"/>
    <w:rsid w:val="00105A61"/>
    <w:rsid w:val="0010665A"/>
    <w:rsid w:val="00106A08"/>
    <w:rsid w:val="00106C32"/>
    <w:rsid w:val="0010714A"/>
    <w:rsid w:val="00110A54"/>
    <w:rsid w:val="00113894"/>
    <w:rsid w:val="00114103"/>
    <w:rsid w:val="00114C71"/>
    <w:rsid w:val="00114EEE"/>
    <w:rsid w:val="00115098"/>
    <w:rsid w:val="0011654E"/>
    <w:rsid w:val="00116B30"/>
    <w:rsid w:val="001175AD"/>
    <w:rsid w:val="00121865"/>
    <w:rsid w:val="001225CC"/>
    <w:rsid w:val="00123C30"/>
    <w:rsid w:val="00125917"/>
    <w:rsid w:val="0012713A"/>
    <w:rsid w:val="00127B98"/>
    <w:rsid w:val="00135B7A"/>
    <w:rsid w:val="0013688C"/>
    <w:rsid w:val="00136B96"/>
    <w:rsid w:val="0013792D"/>
    <w:rsid w:val="001403DA"/>
    <w:rsid w:val="00142538"/>
    <w:rsid w:val="0014393E"/>
    <w:rsid w:val="00147045"/>
    <w:rsid w:val="001477CB"/>
    <w:rsid w:val="00150401"/>
    <w:rsid w:val="001515C1"/>
    <w:rsid w:val="00153A36"/>
    <w:rsid w:val="00153C5C"/>
    <w:rsid w:val="00153D01"/>
    <w:rsid w:val="00156067"/>
    <w:rsid w:val="00156B47"/>
    <w:rsid w:val="00156E31"/>
    <w:rsid w:val="00156FE7"/>
    <w:rsid w:val="00157839"/>
    <w:rsid w:val="00160BFA"/>
    <w:rsid w:val="001632DA"/>
    <w:rsid w:val="00163459"/>
    <w:rsid w:val="001647BF"/>
    <w:rsid w:val="00166A58"/>
    <w:rsid w:val="00171AB5"/>
    <w:rsid w:val="00173EF5"/>
    <w:rsid w:val="00181C9C"/>
    <w:rsid w:val="001825D4"/>
    <w:rsid w:val="001830C0"/>
    <w:rsid w:val="00183262"/>
    <w:rsid w:val="001840B2"/>
    <w:rsid w:val="00186E92"/>
    <w:rsid w:val="00192013"/>
    <w:rsid w:val="00192D72"/>
    <w:rsid w:val="00194623"/>
    <w:rsid w:val="001A10C5"/>
    <w:rsid w:val="001A2579"/>
    <w:rsid w:val="001A2EC7"/>
    <w:rsid w:val="001A4E6B"/>
    <w:rsid w:val="001A5686"/>
    <w:rsid w:val="001A7473"/>
    <w:rsid w:val="001B0AAA"/>
    <w:rsid w:val="001B549A"/>
    <w:rsid w:val="001B67DF"/>
    <w:rsid w:val="001C169E"/>
    <w:rsid w:val="001C1885"/>
    <w:rsid w:val="001C2E91"/>
    <w:rsid w:val="001C314E"/>
    <w:rsid w:val="001C462F"/>
    <w:rsid w:val="001C5513"/>
    <w:rsid w:val="001C7CE7"/>
    <w:rsid w:val="001C7DB6"/>
    <w:rsid w:val="001D096A"/>
    <w:rsid w:val="001D1C1E"/>
    <w:rsid w:val="001D24F9"/>
    <w:rsid w:val="001D2C83"/>
    <w:rsid w:val="001D2FF7"/>
    <w:rsid w:val="001D34F5"/>
    <w:rsid w:val="001D3545"/>
    <w:rsid w:val="001D511D"/>
    <w:rsid w:val="001D520B"/>
    <w:rsid w:val="001E1EF4"/>
    <w:rsid w:val="001E2AD5"/>
    <w:rsid w:val="001E64A3"/>
    <w:rsid w:val="001E6F5F"/>
    <w:rsid w:val="001E7617"/>
    <w:rsid w:val="001F0678"/>
    <w:rsid w:val="001F1692"/>
    <w:rsid w:val="001F255A"/>
    <w:rsid w:val="002001FA"/>
    <w:rsid w:val="00200F32"/>
    <w:rsid w:val="00204E8A"/>
    <w:rsid w:val="00204FAE"/>
    <w:rsid w:val="00214F40"/>
    <w:rsid w:val="00216442"/>
    <w:rsid w:val="002169CC"/>
    <w:rsid w:val="00216CB5"/>
    <w:rsid w:val="00217F8D"/>
    <w:rsid w:val="002203DB"/>
    <w:rsid w:val="0022460A"/>
    <w:rsid w:val="00224FB5"/>
    <w:rsid w:val="00225482"/>
    <w:rsid w:val="0022591D"/>
    <w:rsid w:val="002265C0"/>
    <w:rsid w:val="00226F9D"/>
    <w:rsid w:val="00226FE5"/>
    <w:rsid w:val="00227DDA"/>
    <w:rsid w:val="00233A06"/>
    <w:rsid w:val="002346D9"/>
    <w:rsid w:val="002353A0"/>
    <w:rsid w:val="00236EA1"/>
    <w:rsid w:val="00241784"/>
    <w:rsid w:val="0024380C"/>
    <w:rsid w:val="002518BE"/>
    <w:rsid w:val="002535E1"/>
    <w:rsid w:val="00255EBA"/>
    <w:rsid w:val="00256216"/>
    <w:rsid w:val="00257C95"/>
    <w:rsid w:val="002623AD"/>
    <w:rsid w:val="002665E7"/>
    <w:rsid w:val="0026687C"/>
    <w:rsid w:val="002677D4"/>
    <w:rsid w:val="0027449B"/>
    <w:rsid w:val="00274B93"/>
    <w:rsid w:val="00274EEF"/>
    <w:rsid w:val="00275CBB"/>
    <w:rsid w:val="00275CFB"/>
    <w:rsid w:val="00281D0B"/>
    <w:rsid w:val="002833AA"/>
    <w:rsid w:val="00283608"/>
    <w:rsid w:val="00284C09"/>
    <w:rsid w:val="00285781"/>
    <w:rsid w:val="00287CE9"/>
    <w:rsid w:val="00287D5C"/>
    <w:rsid w:val="002921E0"/>
    <w:rsid w:val="00292BF0"/>
    <w:rsid w:val="00292D67"/>
    <w:rsid w:val="00294707"/>
    <w:rsid w:val="00295E56"/>
    <w:rsid w:val="00297570"/>
    <w:rsid w:val="00297794"/>
    <w:rsid w:val="002A081F"/>
    <w:rsid w:val="002A4595"/>
    <w:rsid w:val="002A4C04"/>
    <w:rsid w:val="002A4D5D"/>
    <w:rsid w:val="002A58F0"/>
    <w:rsid w:val="002A5930"/>
    <w:rsid w:val="002A652D"/>
    <w:rsid w:val="002A7531"/>
    <w:rsid w:val="002A7EAE"/>
    <w:rsid w:val="002B0368"/>
    <w:rsid w:val="002B0D6F"/>
    <w:rsid w:val="002B190D"/>
    <w:rsid w:val="002B3DC6"/>
    <w:rsid w:val="002B530C"/>
    <w:rsid w:val="002C13D5"/>
    <w:rsid w:val="002C1847"/>
    <w:rsid w:val="002C3829"/>
    <w:rsid w:val="002C3C13"/>
    <w:rsid w:val="002C3C2D"/>
    <w:rsid w:val="002C4FC6"/>
    <w:rsid w:val="002C648E"/>
    <w:rsid w:val="002C66A6"/>
    <w:rsid w:val="002C7FE6"/>
    <w:rsid w:val="002D0F6A"/>
    <w:rsid w:val="002D1308"/>
    <w:rsid w:val="002D1C4C"/>
    <w:rsid w:val="002D22CC"/>
    <w:rsid w:val="002D47F6"/>
    <w:rsid w:val="002D5614"/>
    <w:rsid w:val="002D799E"/>
    <w:rsid w:val="002E03AE"/>
    <w:rsid w:val="002E0891"/>
    <w:rsid w:val="002E168A"/>
    <w:rsid w:val="002E17B2"/>
    <w:rsid w:val="002E4193"/>
    <w:rsid w:val="002E6376"/>
    <w:rsid w:val="002E6860"/>
    <w:rsid w:val="002F0B89"/>
    <w:rsid w:val="002F10BF"/>
    <w:rsid w:val="002F2816"/>
    <w:rsid w:val="002F3B2B"/>
    <w:rsid w:val="002F3F30"/>
    <w:rsid w:val="002F6BCB"/>
    <w:rsid w:val="00300780"/>
    <w:rsid w:val="003008D8"/>
    <w:rsid w:val="0030297F"/>
    <w:rsid w:val="00302A02"/>
    <w:rsid w:val="00302F50"/>
    <w:rsid w:val="00307CB8"/>
    <w:rsid w:val="00310D71"/>
    <w:rsid w:val="0031124F"/>
    <w:rsid w:val="00312055"/>
    <w:rsid w:val="00312F1E"/>
    <w:rsid w:val="00313B5F"/>
    <w:rsid w:val="003154C1"/>
    <w:rsid w:val="00315695"/>
    <w:rsid w:val="00315976"/>
    <w:rsid w:val="00315B74"/>
    <w:rsid w:val="00323035"/>
    <w:rsid w:val="003231EE"/>
    <w:rsid w:val="00323696"/>
    <w:rsid w:val="00323F28"/>
    <w:rsid w:val="00325A2B"/>
    <w:rsid w:val="00325CE8"/>
    <w:rsid w:val="00326D88"/>
    <w:rsid w:val="00331922"/>
    <w:rsid w:val="00331CE9"/>
    <w:rsid w:val="00331D76"/>
    <w:rsid w:val="00333966"/>
    <w:rsid w:val="00334ED0"/>
    <w:rsid w:val="00334F6C"/>
    <w:rsid w:val="00336EA8"/>
    <w:rsid w:val="00337271"/>
    <w:rsid w:val="00337B5F"/>
    <w:rsid w:val="00337D2C"/>
    <w:rsid w:val="00341A1C"/>
    <w:rsid w:val="00341A80"/>
    <w:rsid w:val="00344C5E"/>
    <w:rsid w:val="003461B7"/>
    <w:rsid w:val="00347286"/>
    <w:rsid w:val="00352866"/>
    <w:rsid w:val="00356E76"/>
    <w:rsid w:val="003639CA"/>
    <w:rsid w:val="00363A9A"/>
    <w:rsid w:val="00365EC2"/>
    <w:rsid w:val="003676E0"/>
    <w:rsid w:val="00367800"/>
    <w:rsid w:val="00367954"/>
    <w:rsid w:val="00370115"/>
    <w:rsid w:val="003705AB"/>
    <w:rsid w:val="00371187"/>
    <w:rsid w:val="0037161A"/>
    <w:rsid w:val="00372185"/>
    <w:rsid w:val="003750D8"/>
    <w:rsid w:val="0037623A"/>
    <w:rsid w:val="003809DA"/>
    <w:rsid w:val="003836E1"/>
    <w:rsid w:val="00384133"/>
    <w:rsid w:val="0038630E"/>
    <w:rsid w:val="00392548"/>
    <w:rsid w:val="00395840"/>
    <w:rsid w:val="00397C0C"/>
    <w:rsid w:val="003A078C"/>
    <w:rsid w:val="003A1937"/>
    <w:rsid w:val="003A2840"/>
    <w:rsid w:val="003A3A36"/>
    <w:rsid w:val="003A3DF1"/>
    <w:rsid w:val="003A6F2E"/>
    <w:rsid w:val="003B1558"/>
    <w:rsid w:val="003B287D"/>
    <w:rsid w:val="003B3C36"/>
    <w:rsid w:val="003B3DF2"/>
    <w:rsid w:val="003B406D"/>
    <w:rsid w:val="003B46F0"/>
    <w:rsid w:val="003B5544"/>
    <w:rsid w:val="003B5806"/>
    <w:rsid w:val="003B6740"/>
    <w:rsid w:val="003B7B90"/>
    <w:rsid w:val="003C228F"/>
    <w:rsid w:val="003C37BF"/>
    <w:rsid w:val="003C5890"/>
    <w:rsid w:val="003D1CD3"/>
    <w:rsid w:val="003D2A0D"/>
    <w:rsid w:val="003D4103"/>
    <w:rsid w:val="003D65BF"/>
    <w:rsid w:val="003D7AB4"/>
    <w:rsid w:val="003D7EAE"/>
    <w:rsid w:val="003E00C3"/>
    <w:rsid w:val="003E193E"/>
    <w:rsid w:val="003E1E61"/>
    <w:rsid w:val="003E3C67"/>
    <w:rsid w:val="003E4666"/>
    <w:rsid w:val="003E4EDE"/>
    <w:rsid w:val="003F01FC"/>
    <w:rsid w:val="003F0F15"/>
    <w:rsid w:val="003F4497"/>
    <w:rsid w:val="003F4F85"/>
    <w:rsid w:val="003F6EF1"/>
    <w:rsid w:val="003F7AE1"/>
    <w:rsid w:val="00400D1C"/>
    <w:rsid w:val="00402D5B"/>
    <w:rsid w:val="004030C8"/>
    <w:rsid w:val="00404B2B"/>
    <w:rsid w:val="00405827"/>
    <w:rsid w:val="004062C4"/>
    <w:rsid w:val="004068DF"/>
    <w:rsid w:val="004075A9"/>
    <w:rsid w:val="0041045C"/>
    <w:rsid w:val="00410511"/>
    <w:rsid w:val="0041068F"/>
    <w:rsid w:val="004106CE"/>
    <w:rsid w:val="00410DE3"/>
    <w:rsid w:val="0041170B"/>
    <w:rsid w:val="00414185"/>
    <w:rsid w:val="00414FE0"/>
    <w:rsid w:val="00415DB4"/>
    <w:rsid w:val="00420D64"/>
    <w:rsid w:val="00420E06"/>
    <w:rsid w:val="00421E88"/>
    <w:rsid w:val="0043048B"/>
    <w:rsid w:val="00432AA3"/>
    <w:rsid w:val="0043729B"/>
    <w:rsid w:val="004379BF"/>
    <w:rsid w:val="00437D11"/>
    <w:rsid w:val="004413B7"/>
    <w:rsid w:val="00441858"/>
    <w:rsid w:val="0044448D"/>
    <w:rsid w:val="00445C9B"/>
    <w:rsid w:val="00450286"/>
    <w:rsid w:val="00450FD8"/>
    <w:rsid w:val="00451EE8"/>
    <w:rsid w:val="00452747"/>
    <w:rsid w:val="00452792"/>
    <w:rsid w:val="00454B4A"/>
    <w:rsid w:val="00461EE1"/>
    <w:rsid w:val="00461F9B"/>
    <w:rsid w:val="004626C0"/>
    <w:rsid w:val="00462B3D"/>
    <w:rsid w:val="00462F6E"/>
    <w:rsid w:val="00470DA3"/>
    <w:rsid w:val="00471415"/>
    <w:rsid w:val="00471B0B"/>
    <w:rsid w:val="00473B8F"/>
    <w:rsid w:val="00480570"/>
    <w:rsid w:val="00480A6A"/>
    <w:rsid w:val="004836BA"/>
    <w:rsid w:val="00483C6E"/>
    <w:rsid w:val="004841C5"/>
    <w:rsid w:val="0049124D"/>
    <w:rsid w:val="004946DD"/>
    <w:rsid w:val="00494A9F"/>
    <w:rsid w:val="00495393"/>
    <w:rsid w:val="004A0398"/>
    <w:rsid w:val="004A212E"/>
    <w:rsid w:val="004A21B7"/>
    <w:rsid w:val="004A23EA"/>
    <w:rsid w:val="004A33F5"/>
    <w:rsid w:val="004A3F6F"/>
    <w:rsid w:val="004A4FFB"/>
    <w:rsid w:val="004A630F"/>
    <w:rsid w:val="004A683D"/>
    <w:rsid w:val="004B02D9"/>
    <w:rsid w:val="004B03D6"/>
    <w:rsid w:val="004B176F"/>
    <w:rsid w:val="004B28F6"/>
    <w:rsid w:val="004B2D16"/>
    <w:rsid w:val="004B3BD1"/>
    <w:rsid w:val="004B4119"/>
    <w:rsid w:val="004B4796"/>
    <w:rsid w:val="004B56C6"/>
    <w:rsid w:val="004C0685"/>
    <w:rsid w:val="004C0999"/>
    <w:rsid w:val="004C0ACF"/>
    <w:rsid w:val="004C1A22"/>
    <w:rsid w:val="004C3B25"/>
    <w:rsid w:val="004C4978"/>
    <w:rsid w:val="004C53A3"/>
    <w:rsid w:val="004C5959"/>
    <w:rsid w:val="004C7753"/>
    <w:rsid w:val="004D0038"/>
    <w:rsid w:val="004D0251"/>
    <w:rsid w:val="004D353D"/>
    <w:rsid w:val="004D3B4D"/>
    <w:rsid w:val="004D5547"/>
    <w:rsid w:val="004D5760"/>
    <w:rsid w:val="004D6907"/>
    <w:rsid w:val="004E0ED7"/>
    <w:rsid w:val="004E13DA"/>
    <w:rsid w:val="004E2456"/>
    <w:rsid w:val="004E2EED"/>
    <w:rsid w:val="004E36E4"/>
    <w:rsid w:val="004E4D6F"/>
    <w:rsid w:val="004E4DD6"/>
    <w:rsid w:val="004E4F98"/>
    <w:rsid w:val="004E4F9D"/>
    <w:rsid w:val="004E7866"/>
    <w:rsid w:val="004F0113"/>
    <w:rsid w:val="004F01C7"/>
    <w:rsid w:val="004F0310"/>
    <w:rsid w:val="004F4170"/>
    <w:rsid w:val="004F5F4A"/>
    <w:rsid w:val="004F7AE4"/>
    <w:rsid w:val="005005DE"/>
    <w:rsid w:val="005006F3"/>
    <w:rsid w:val="00501754"/>
    <w:rsid w:val="00501F2C"/>
    <w:rsid w:val="005035DD"/>
    <w:rsid w:val="00505027"/>
    <w:rsid w:val="00506408"/>
    <w:rsid w:val="005066F1"/>
    <w:rsid w:val="0050690C"/>
    <w:rsid w:val="00507A9D"/>
    <w:rsid w:val="0051020D"/>
    <w:rsid w:val="00510366"/>
    <w:rsid w:val="00510C03"/>
    <w:rsid w:val="00511AF9"/>
    <w:rsid w:val="00513327"/>
    <w:rsid w:val="00513A82"/>
    <w:rsid w:val="00514281"/>
    <w:rsid w:val="0051516C"/>
    <w:rsid w:val="00515544"/>
    <w:rsid w:val="00515F3D"/>
    <w:rsid w:val="00517F7D"/>
    <w:rsid w:val="00520DE7"/>
    <w:rsid w:val="005242A5"/>
    <w:rsid w:val="00525EEF"/>
    <w:rsid w:val="005265C4"/>
    <w:rsid w:val="005313F3"/>
    <w:rsid w:val="0053467D"/>
    <w:rsid w:val="005354B2"/>
    <w:rsid w:val="0053758B"/>
    <w:rsid w:val="00540350"/>
    <w:rsid w:val="00541ABE"/>
    <w:rsid w:val="00544D9C"/>
    <w:rsid w:val="00547176"/>
    <w:rsid w:val="00552C93"/>
    <w:rsid w:val="00554FED"/>
    <w:rsid w:val="005638CD"/>
    <w:rsid w:val="005647F7"/>
    <w:rsid w:val="00565A3A"/>
    <w:rsid w:val="00565E88"/>
    <w:rsid w:val="0056727A"/>
    <w:rsid w:val="0056786B"/>
    <w:rsid w:val="005678A8"/>
    <w:rsid w:val="0057100D"/>
    <w:rsid w:val="00571ED2"/>
    <w:rsid w:val="00574875"/>
    <w:rsid w:val="0057736B"/>
    <w:rsid w:val="005805A5"/>
    <w:rsid w:val="0058190A"/>
    <w:rsid w:val="00583F0B"/>
    <w:rsid w:val="00585983"/>
    <w:rsid w:val="00586916"/>
    <w:rsid w:val="00587FF1"/>
    <w:rsid w:val="00591B66"/>
    <w:rsid w:val="005923D1"/>
    <w:rsid w:val="00592C92"/>
    <w:rsid w:val="005964B9"/>
    <w:rsid w:val="00596E98"/>
    <w:rsid w:val="005A2206"/>
    <w:rsid w:val="005A2CA6"/>
    <w:rsid w:val="005A4E2A"/>
    <w:rsid w:val="005A5C8D"/>
    <w:rsid w:val="005A6220"/>
    <w:rsid w:val="005B0082"/>
    <w:rsid w:val="005B028C"/>
    <w:rsid w:val="005B05A8"/>
    <w:rsid w:val="005B446C"/>
    <w:rsid w:val="005B5180"/>
    <w:rsid w:val="005B6117"/>
    <w:rsid w:val="005B6778"/>
    <w:rsid w:val="005C3BBA"/>
    <w:rsid w:val="005C42F0"/>
    <w:rsid w:val="005C4339"/>
    <w:rsid w:val="005C498B"/>
    <w:rsid w:val="005C57D5"/>
    <w:rsid w:val="005C6C47"/>
    <w:rsid w:val="005C7445"/>
    <w:rsid w:val="005D04F5"/>
    <w:rsid w:val="005D2615"/>
    <w:rsid w:val="005D340A"/>
    <w:rsid w:val="005D41F9"/>
    <w:rsid w:val="005D45AC"/>
    <w:rsid w:val="005D4FF0"/>
    <w:rsid w:val="005D673C"/>
    <w:rsid w:val="005E6A22"/>
    <w:rsid w:val="005E7059"/>
    <w:rsid w:val="005F10BE"/>
    <w:rsid w:val="005F2297"/>
    <w:rsid w:val="005F304E"/>
    <w:rsid w:val="005F5320"/>
    <w:rsid w:val="005F5E39"/>
    <w:rsid w:val="005F6DF1"/>
    <w:rsid w:val="005F7327"/>
    <w:rsid w:val="00600CE3"/>
    <w:rsid w:val="0060300F"/>
    <w:rsid w:val="00605924"/>
    <w:rsid w:val="00606974"/>
    <w:rsid w:val="00607F94"/>
    <w:rsid w:val="006100EC"/>
    <w:rsid w:val="00610A51"/>
    <w:rsid w:val="00610D0A"/>
    <w:rsid w:val="0061221E"/>
    <w:rsid w:val="006130EC"/>
    <w:rsid w:val="00614F64"/>
    <w:rsid w:val="00615148"/>
    <w:rsid w:val="006155B9"/>
    <w:rsid w:val="00616475"/>
    <w:rsid w:val="006179F9"/>
    <w:rsid w:val="00617A14"/>
    <w:rsid w:val="00623362"/>
    <w:rsid w:val="00623B18"/>
    <w:rsid w:val="00623FC8"/>
    <w:rsid w:val="0062465D"/>
    <w:rsid w:val="006313D2"/>
    <w:rsid w:val="00631EAA"/>
    <w:rsid w:val="006320FA"/>
    <w:rsid w:val="00634C5B"/>
    <w:rsid w:val="00635690"/>
    <w:rsid w:val="006370AB"/>
    <w:rsid w:val="00637277"/>
    <w:rsid w:val="0063793F"/>
    <w:rsid w:val="00637940"/>
    <w:rsid w:val="0064051C"/>
    <w:rsid w:val="0064063A"/>
    <w:rsid w:val="006424C5"/>
    <w:rsid w:val="00642DFF"/>
    <w:rsid w:val="00646538"/>
    <w:rsid w:val="00647395"/>
    <w:rsid w:val="00651AEA"/>
    <w:rsid w:val="00653587"/>
    <w:rsid w:val="006542EC"/>
    <w:rsid w:val="00654ABF"/>
    <w:rsid w:val="006553F1"/>
    <w:rsid w:val="00656F19"/>
    <w:rsid w:val="00662360"/>
    <w:rsid w:val="00662964"/>
    <w:rsid w:val="00662AE4"/>
    <w:rsid w:val="006639E4"/>
    <w:rsid w:val="00663DAF"/>
    <w:rsid w:val="00664E67"/>
    <w:rsid w:val="0066592E"/>
    <w:rsid w:val="00666202"/>
    <w:rsid w:val="0066642C"/>
    <w:rsid w:val="00667486"/>
    <w:rsid w:val="00670BCE"/>
    <w:rsid w:val="006717E8"/>
    <w:rsid w:val="00673297"/>
    <w:rsid w:val="006757B8"/>
    <w:rsid w:val="006764E5"/>
    <w:rsid w:val="00676B87"/>
    <w:rsid w:val="00681B9A"/>
    <w:rsid w:val="00682641"/>
    <w:rsid w:val="00683409"/>
    <w:rsid w:val="00684470"/>
    <w:rsid w:val="006929DD"/>
    <w:rsid w:val="00693949"/>
    <w:rsid w:val="00696F5D"/>
    <w:rsid w:val="00697A9F"/>
    <w:rsid w:val="006A2160"/>
    <w:rsid w:val="006A322C"/>
    <w:rsid w:val="006A3B29"/>
    <w:rsid w:val="006A43C1"/>
    <w:rsid w:val="006A5E6A"/>
    <w:rsid w:val="006A67CB"/>
    <w:rsid w:val="006A68F3"/>
    <w:rsid w:val="006A722A"/>
    <w:rsid w:val="006A7733"/>
    <w:rsid w:val="006B6F78"/>
    <w:rsid w:val="006B7196"/>
    <w:rsid w:val="006B7BC0"/>
    <w:rsid w:val="006C1C2D"/>
    <w:rsid w:val="006C5629"/>
    <w:rsid w:val="006C5860"/>
    <w:rsid w:val="006C5B95"/>
    <w:rsid w:val="006C5ED6"/>
    <w:rsid w:val="006C604D"/>
    <w:rsid w:val="006C721A"/>
    <w:rsid w:val="006D0E1F"/>
    <w:rsid w:val="006D62F4"/>
    <w:rsid w:val="006D6AAF"/>
    <w:rsid w:val="006D7426"/>
    <w:rsid w:val="006E033D"/>
    <w:rsid w:val="006E037A"/>
    <w:rsid w:val="006E38EB"/>
    <w:rsid w:val="006E4668"/>
    <w:rsid w:val="006E55F8"/>
    <w:rsid w:val="006E6BDA"/>
    <w:rsid w:val="006E7782"/>
    <w:rsid w:val="006E7F4E"/>
    <w:rsid w:val="006F218A"/>
    <w:rsid w:val="006F22B4"/>
    <w:rsid w:val="006F2AFF"/>
    <w:rsid w:val="006F326D"/>
    <w:rsid w:val="006F3688"/>
    <w:rsid w:val="006F3A82"/>
    <w:rsid w:val="006F3F99"/>
    <w:rsid w:val="006F6141"/>
    <w:rsid w:val="006F6241"/>
    <w:rsid w:val="006F7B20"/>
    <w:rsid w:val="006F7B41"/>
    <w:rsid w:val="006F7D97"/>
    <w:rsid w:val="00700AE0"/>
    <w:rsid w:val="00701F97"/>
    <w:rsid w:val="007024E4"/>
    <w:rsid w:val="007037CD"/>
    <w:rsid w:val="00704074"/>
    <w:rsid w:val="007041AF"/>
    <w:rsid w:val="007051AA"/>
    <w:rsid w:val="00710B53"/>
    <w:rsid w:val="00711882"/>
    <w:rsid w:val="0071199C"/>
    <w:rsid w:val="00712F05"/>
    <w:rsid w:val="00712F1E"/>
    <w:rsid w:val="007154E6"/>
    <w:rsid w:val="0071599C"/>
    <w:rsid w:val="00716748"/>
    <w:rsid w:val="00716AE2"/>
    <w:rsid w:val="00716EAD"/>
    <w:rsid w:val="00717219"/>
    <w:rsid w:val="0072294E"/>
    <w:rsid w:val="00722DA3"/>
    <w:rsid w:val="00730223"/>
    <w:rsid w:val="007332DA"/>
    <w:rsid w:val="00733E04"/>
    <w:rsid w:val="00734EBF"/>
    <w:rsid w:val="007362DD"/>
    <w:rsid w:val="00740159"/>
    <w:rsid w:val="0074083D"/>
    <w:rsid w:val="00740941"/>
    <w:rsid w:val="007420C7"/>
    <w:rsid w:val="00744C99"/>
    <w:rsid w:val="00745455"/>
    <w:rsid w:val="0074564A"/>
    <w:rsid w:val="00747174"/>
    <w:rsid w:val="0074724D"/>
    <w:rsid w:val="00750225"/>
    <w:rsid w:val="007543EA"/>
    <w:rsid w:val="00755E6A"/>
    <w:rsid w:val="007569C2"/>
    <w:rsid w:val="007643DC"/>
    <w:rsid w:val="007660A6"/>
    <w:rsid w:val="007665DC"/>
    <w:rsid w:val="0076665F"/>
    <w:rsid w:val="00767593"/>
    <w:rsid w:val="00767AFA"/>
    <w:rsid w:val="00767B9F"/>
    <w:rsid w:val="007711EB"/>
    <w:rsid w:val="00771CAA"/>
    <w:rsid w:val="00775F1A"/>
    <w:rsid w:val="00780354"/>
    <w:rsid w:val="00781238"/>
    <w:rsid w:val="0078245A"/>
    <w:rsid w:val="007862D9"/>
    <w:rsid w:val="0078663B"/>
    <w:rsid w:val="00786F8A"/>
    <w:rsid w:val="0079082F"/>
    <w:rsid w:val="00790C45"/>
    <w:rsid w:val="00790CE1"/>
    <w:rsid w:val="00791460"/>
    <w:rsid w:val="007928AC"/>
    <w:rsid w:val="00792D4F"/>
    <w:rsid w:val="00794B74"/>
    <w:rsid w:val="00795387"/>
    <w:rsid w:val="00796E0B"/>
    <w:rsid w:val="00796FA9"/>
    <w:rsid w:val="007A5297"/>
    <w:rsid w:val="007A577C"/>
    <w:rsid w:val="007B185F"/>
    <w:rsid w:val="007B41C1"/>
    <w:rsid w:val="007B4718"/>
    <w:rsid w:val="007B47B3"/>
    <w:rsid w:val="007B4B8D"/>
    <w:rsid w:val="007B664E"/>
    <w:rsid w:val="007B7E99"/>
    <w:rsid w:val="007C098A"/>
    <w:rsid w:val="007C0B1A"/>
    <w:rsid w:val="007C1395"/>
    <w:rsid w:val="007C1777"/>
    <w:rsid w:val="007C415D"/>
    <w:rsid w:val="007C52D7"/>
    <w:rsid w:val="007C5763"/>
    <w:rsid w:val="007C6280"/>
    <w:rsid w:val="007C6693"/>
    <w:rsid w:val="007C7D77"/>
    <w:rsid w:val="007D0307"/>
    <w:rsid w:val="007D0FC6"/>
    <w:rsid w:val="007D0FC8"/>
    <w:rsid w:val="007D17D6"/>
    <w:rsid w:val="007D1A4C"/>
    <w:rsid w:val="007D1E9C"/>
    <w:rsid w:val="007D207D"/>
    <w:rsid w:val="007D46FF"/>
    <w:rsid w:val="007D489D"/>
    <w:rsid w:val="007D5452"/>
    <w:rsid w:val="007D6E07"/>
    <w:rsid w:val="007E0004"/>
    <w:rsid w:val="007E03A3"/>
    <w:rsid w:val="007E0420"/>
    <w:rsid w:val="007E193D"/>
    <w:rsid w:val="007E445C"/>
    <w:rsid w:val="007E7788"/>
    <w:rsid w:val="007F0D34"/>
    <w:rsid w:val="007F218B"/>
    <w:rsid w:val="007F24F2"/>
    <w:rsid w:val="007F2EC8"/>
    <w:rsid w:val="007F3EE1"/>
    <w:rsid w:val="007F415E"/>
    <w:rsid w:val="007F6A76"/>
    <w:rsid w:val="0080287D"/>
    <w:rsid w:val="00803DDC"/>
    <w:rsid w:val="00806BFD"/>
    <w:rsid w:val="00810291"/>
    <w:rsid w:val="00811EFD"/>
    <w:rsid w:val="008135DA"/>
    <w:rsid w:val="00815E0E"/>
    <w:rsid w:val="00816FB5"/>
    <w:rsid w:val="00817802"/>
    <w:rsid w:val="00821C9B"/>
    <w:rsid w:val="008221B6"/>
    <w:rsid w:val="00822D48"/>
    <w:rsid w:val="008247E6"/>
    <w:rsid w:val="00824BF4"/>
    <w:rsid w:val="00824DD2"/>
    <w:rsid w:val="00826616"/>
    <w:rsid w:val="0082670E"/>
    <w:rsid w:val="00826BEA"/>
    <w:rsid w:val="0083297C"/>
    <w:rsid w:val="00832D9B"/>
    <w:rsid w:val="008350E7"/>
    <w:rsid w:val="00835B98"/>
    <w:rsid w:val="00837CE8"/>
    <w:rsid w:val="00837D93"/>
    <w:rsid w:val="008429B2"/>
    <w:rsid w:val="008464F7"/>
    <w:rsid w:val="008468AA"/>
    <w:rsid w:val="00847EA4"/>
    <w:rsid w:val="00850FF0"/>
    <w:rsid w:val="0085114C"/>
    <w:rsid w:val="00851250"/>
    <w:rsid w:val="00851BD8"/>
    <w:rsid w:val="00851F83"/>
    <w:rsid w:val="008529CD"/>
    <w:rsid w:val="00852C7F"/>
    <w:rsid w:val="00853401"/>
    <w:rsid w:val="00855212"/>
    <w:rsid w:val="00855E72"/>
    <w:rsid w:val="00857B3E"/>
    <w:rsid w:val="0086095E"/>
    <w:rsid w:val="008616CC"/>
    <w:rsid w:val="00861BE8"/>
    <w:rsid w:val="0086233A"/>
    <w:rsid w:val="00864987"/>
    <w:rsid w:val="008649C1"/>
    <w:rsid w:val="00864A2C"/>
    <w:rsid w:val="00865F17"/>
    <w:rsid w:val="00873490"/>
    <w:rsid w:val="008739DC"/>
    <w:rsid w:val="00875195"/>
    <w:rsid w:val="008805E1"/>
    <w:rsid w:val="008862D6"/>
    <w:rsid w:val="0088741D"/>
    <w:rsid w:val="0089134C"/>
    <w:rsid w:val="00891FF1"/>
    <w:rsid w:val="008921A7"/>
    <w:rsid w:val="00892489"/>
    <w:rsid w:val="00893DD1"/>
    <w:rsid w:val="008972E1"/>
    <w:rsid w:val="008A1FB3"/>
    <w:rsid w:val="008A254C"/>
    <w:rsid w:val="008A2675"/>
    <w:rsid w:val="008A5470"/>
    <w:rsid w:val="008A5A0C"/>
    <w:rsid w:val="008A6181"/>
    <w:rsid w:val="008B0060"/>
    <w:rsid w:val="008B05A3"/>
    <w:rsid w:val="008B1323"/>
    <w:rsid w:val="008B25C4"/>
    <w:rsid w:val="008B2620"/>
    <w:rsid w:val="008B3020"/>
    <w:rsid w:val="008B3DB5"/>
    <w:rsid w:val="008B4177"/>
    <w:rsid w:val="008B4599"/>
    <w:rsid w:val="008B5E67"/>
    <w:rsid w:val="008B737A"/>
    <w:rsid w:val="008C1147"/>
    <w:rsid w:val="008C1649"/>
    <w:rsid w:val="008C17C2"/>
    <w:rsid w:val="008C18E8"/>
    <w:rsid w:val="008C42ED"/>
    <w:rsid w:val="008C57AE"/>
    <w:rsid w:val="008D2081"/>
    <w:rsid w:val="008D2814"/>
    <w:rsid w:val="008D3346"/>
    <w:rsid w:val="008D37C8"/>
    <w:rsid w:val="008D44D9"/>
    <w:rsid w:val="008D4AAD"/>
    <w:rsid w:val="008D4BA4"/>
    <w:rsid w:val="008D5336"/>
    <w:rsid w:val="008D53BD"/>
    <w:rsid w:val="008D6B64"/>
    <w:rsid w:val="008D6D97"/>
    <w:rsid w:val="008E1045"/>
    <w:rsid w:val="008E29B1"/>
    <w:rsid w:val="008E413C"/>
    <w:rsid w:val="008E475A"/>
    <w:rsid w:val="008E5F92"/>
    <w:rsid w:val="008E6DBB"/>
    <w:rsid w:val="008E6F7C"/>
    <w:rsid w:val="008F067F"/>
    <w:rsid w:val="008F103C"/>
    <w:rsid w:val="008F248B"/>
    <w:rsid w:val="008F255F"/>
    <w:rsid w:val="008F445B"/>
    <w:rsid w:val="00904188"/>
    <w:rsid w:val="00905665"/>
    <w:rsid w:val="00907E91"/>
    <w:rsid w:val="009104B3"/>
    <w:rsid w:val="009122A5"/>
    <w:rsid w:val="00912815"/>
    <w:rsid w:val="00912990"/>
    <w:rsid w:val="00912D2E"/>
    <w:rsid w:val="00915B94"/>
    <w:rsid w:val="00917C61"/>
    <w:rsid w:val="00917CD3"/>
    <w:rsid w:val="00922EB5"/>
    <w:rsid w:val="0092317B"/>
    <w:rsid w:val="009234DC"/>
    <w:rsid w:val="00923C7E"/>
    <w:rsid w:val="009249B0"/>
    <w:rsid w:val="009251E7"/>
    <w:rsid w:val="00927808"/>
    <w:rsid w:val="009323C8"/>
    <w:rsid w:val="0093390A"/>
    <w:rsid w:val="00936CCF"/>
    <w:rsid w:val="00940DB6"/>
    <w:rsid w:val="00940EE8"/>
    <w:rsid w:val="009416D5"/>
    <w:rsid w:val="00942D6F"/>
    <w:rsid w:val="009435BE"/>
    <w:rsid w:val="00943C25"/>
    <w:rsid w:val="00945737"/>
    <w:rsid w:val="0095009A"/>
    <w:rsid w:val="00950985"/>
    <w:rsid w:val="009511A6"/>
    <w:rsid w:val="009521CF"/>
    <w:rsid w:val="00953FB9"/>
    <w:rsid w:val="009558F3"/>
    <w:rsid w:val="00955A65"/>
    <w:rsid w:val="0095713F"/>
    <w:rsid w:val="009602BB"/>
    <w:rsid w:val="00960599"/>
    <w:rsid w:val="0096074E"/>
    <w:rsid w:val="009627E9"/>
    <w:rsid w:val="00965D67"/>
    <w:rsid w:val="00966351"/>
    <w:rsid w:val="00970539"/>
    <w:rsid w:val="00970CF3"/>
    <w:rsid w:val="00971D5F"/>
    <w:rsid w:val="00973B32"/>
    <w:rsid w:val="00976F3C"/>
    <w:rsid w:val="00976FA3"/>
    <w:rsid w:val="00980165"/>
    <w:rsid w:val="009814A5"/>
    <w:rsid w:val="00981E71"/>
    <w:rsid w:val="00982116"/>
    <w:rsid w:val="00983688"/>
    <w:rsid w:val="00984F65"/>
    <w:rsid w:val="00986336"/>
    <w:rsid w:val="00990178"/>
    <w:rsid w:val="009934CE"/>
    <w:rsid w:val="0099396C"/>
    <w:rsid w:val="00994236"/>
    <w:rsid w:val="009947AC"/>
    <w:rsid w:val="00995801"/>
    <w:rsid w:val="009976FA"/>
    <w:rsid w:val="009A11E5"/>
    <w:rsid w:val="009A1717"/>
    <w:rsid w:val="009A4217"/>
    <w:rsid w:val="009A46CB"/>
    <w:rsid w:val="009A751D"/>
    <w:rsid w:val="009B1A96"/>
    <w:rsid w:val="009B1F5A"/>
    <w:rsid w:val="009B3686"/>
    <w:rsid w:val="009B4982"/>
    <w:rsid w:val="009B6B60"/>
    <w:rsid w:val="009C0EAC"/>
    <w:rsid w:val="009C124B"/>
    <w:rsid w:val="009C386B"/>
    <w:rsid w:val="009C3B23"/>
    <w:rsid w:val="009C3F7C"/>
    <w:rsid w:val="009C4DF1"/>
    <w:rsid w:val="009C5F2C"/>
    <w:rsid w:val="009C61BB"/>
    <w:rsid w:val="009D0D0E"/>
    <w:rsid w:val="009D3222"/>
    <w:rsid w:val="009D3C51"/>
    <w:rsid w:val="009D5AE5"/>
    <w:rsid w:val="009D5CCD"/>
    <w:rsid w:val="009D6702"/>
    <w:rsid w:val="009E05A2"/>
    <w:rsid w:val="009E0B2E"/>
    <w:rsid w:val="009E2D40"/>
    <w:rsid w:val="009E6364"/>
    <w:rsid w:val="009E70D0"/>
    <w:rsid w:val="009E738C"/>
    <w:rsid w:val="009E7B58"/>
    <w:rsid w:val="009F148D"/>
    <w:rsid w:val="009F23FE"/>
    <w:rsid w:val="009F246F"/>
    <w:rsid w:val="009F3043"/>
    <w:rsid w:val="009F34C6"/>
    <w:rsid w:val="009F536C"/>
    <w:rsid w:val="00A016BB"/>
    <w:rsid w:val="00A02408"/>
    <w:rsid w:val="00A02A10"/>
    <w:rsid w:val="00A02E8A"/>
    <w:rsid w:val="00A04DCC"/>
    <w:rsid w:val="00A0596F"/>
    <w:rsid w:val="00A071B3"/>
    <w:rsid w:val="00A10E1B"/>
    <w:rsid w:val="00A1116C"/>
    <w:rsid w:val="00A111E7"/>
    <w:rsid w:val="00A14A0A"/>
    <w:rsid w:val="00A14A6E"/>
    <w:rsid w:val="00A159E9"/>
    <w:rsid w:val="00A15FFF"/>
    <w:rsid w:val="00A16578"/>
    <w:rsid w:val="00A1694F"/>
    <w:rsid w:val="00A17DBF"/>
    <w:rsid w:val="00A210F6"/>
    <w:rsid w:val="00A22F40"/>
    <w:rsid w:val="00A23D92"/>
    <w:rsid w:val="00A25931"/>
    <w:rsid w:val="00A2594A"/>
    <w:rsid w:val="00A27319"/>
    <w:rsid w:val="00A27407"/>
    <w:rsid w:val="00A27794"/>
    <w:rsid w:val="00A27A4D"/>
    <w:rsid w:val="00A27CE4"/>
    <w:rsid w:val="00A31339"/>
    <w:rsid w:val="00A31A2B"/>
    <w:rsid w:val="00A320A6"/>
    <w:rsid w:val="00A379BF"/>
    <w:rsid w:val="00A44136"/>
    <w:rsid w:val="00A461E8"/>
    <w:rsid w:val="00A468B7"/>
    <w:rsid w:val="00A5371F"/>
    <w:rsid w:val="00A56980"/>
    <w:rsid w:val="00A56B03"/>
    <w:rsid w:val="00A57028"/>
    <w:rsid w:val="00A574B5"/>
    <w:rsid w:val="00A57978"/>
    <w:rsid w:val="00A64962"/>
    <w:rsid w:val="00A66961"/>
    <w:rsid w:val="00A70F40"/>
    <w:rsid w:val="00A7115A"/>
    <w:rsid w:val="00A7355C"/>
    <w:rsid w:val="00A75C38"/>
    <w:rsid w:val="00A8159B"/>
    <w:rsid w:val="00A824CC"/>
    <w:rsid w:val="00A8393A"/>
    <w:rsid w:val="00A843D9"/>
    <w:rsid w:val="00A85D7D"/>
    <w:rsid w:val="00A86A23"/>
    <w:rsid w:val="00A87267"/>
    <w:rsid w:val="00A9241D"/>
    <w:rsid w:val="00A9475E"/>
    <w:rsid w:val="00A9783E"/>
    <w:rsid w:val="00A97984"/>
    <w:rsid w:val="00AA09D2"/>
    <w:rsid w:val="00AA117D"/>
    <w:rsid w:val="00AA36AA"/>
    <w:rsid w:val="00AA5BD5"/>
    <w:rsid w:val="00AA60A4"/>
    <w:rsid w:val="00AA7C27"/>
    <w:rsid w:val="00AB116E"/>
    <w:rsid w:val="00AB2250"/>
    <w:rsid w:val="00AB2F64"/>
    <w:rsid w:val="00AB316D"/>
    <w:rsid w:val="00AB4DC8"/>
    <w:rsid w:val="00AB5008"/>
    <w:rsid w:val="00AB5628"/>
    <w:rsid w:val="00AB7CD4"/>
    <w:rsid w:val="00AC112D"/>
    <w:rsid w:val="00AC50DD"/>
    <w:rsid w:val="00AC6114"/>
    <w:rsid w:val="00AC7B66"/>
    <w:rsid w:val="00AD0622"/>
    <w:rsid w:val="00AD12DF"/>
    <w:rsid w:val="00AD1825"/>
    <w:rsid w:val="00AD4099"/>
    <w:rsid w:val="00AD42BB"/>
    <w:rsid w:val="00AD576D"/>
    <w:rsid w:val="00AD7757"/>
    <w:rsid w:val="00AE0DC6"/>
    <w:rsid w:val="00AE2276"/>
    <w:rsid w:val="00AE3517"/>
    <w:rsid w:val="00AE40D2"/>
    <w:rsid w:val="00AE50CF"/>
    <w:rsid w:val="00AE54C3"/>
    <w:rsid w:val="00AF0A38"/>
    <w:rsid w:val="00AF2BA8"/>
    <w:rsid w:val="00AF4A30"/>
    <w:rsid w:val="00AF6D8A"/>
    <w:rsid w:val="00AF7765"/>
    <w:rsid w:val="00AF79A8"/>
    <w:rsid w:val="00B007D1"/>
    <w:rsid w:val="00B0279B"/>
    <w:rsid w:val="00B06390"/>
    <w:rsid w:val="00B11F51"/>
    <w:rsid w:val="00B12E9E"/>
    <w:rsid w:val="00B13273"/>
    <w:rsid w:val="00B13B05"/>
    <w:rsid w:val="00B148C0"/>
    <w:rsid w:val="00B15F74"/>
    <w:rsid w:val="00B16965"/>
    <w:rsid w:val="00B20184"/>
    <w:rsid w:val="00B20AB9"/>
    <w:rsid w:val="00B2206B"/>
    <w:rsid w:val="00B222CA"/>
    <w:rsid w:val="00B222D4"/>
    <w:rsid w:val="00B253AF"/>
    <w:rsid w:val="00B25F9B"/>
    <w:rsid w:val="00B26CA6"/>
    <w:rsid w:val="00B27983"/>
    <w:rsid w:val="00B30A74"/>
    <w:rsid w:val="00B33970"/>
    <w:rsid w:val="00B341C6"/>
    <w:rsid w:val="00B3564C"/>
    <w:rsid w:val="00B35773"/>
    <w:rsid w:val="00B35EE1"/>
    <w:rsid w:val="00B37B5A"/>
    <w:rsid w:val="00B410B2"/>
    <w:rsid w:val="00B416C5"/>
    <w:rsid w:val="00B41F49"/>
    <w:rsid w:val="00B46B73"/>
    <w:rsid w:val="00B478DB"/>
    <w:rsid w:val="00B521E5"/>
    <w:rsid w:val="00B5252C"/>
    <w:rsid w:val="00B526DE"/>
    <w:rsid w:val="00B53EE0"/>
    <w:rsid w:val="00B56FF5"/>
    <w:rsid w:val="00B646D2"/>
    <w:rsid w:val="00B662A3"/>
    <w:rsid w:val="00B673E9"/>
    <w:rsid w:val="00B71384"/>
    <w:rsid w:val="00B72847"/>
    <w:rsid w:val="00B730C0"/>
    <w:rsid w:val="00B7347F"/>
    <w:rsid w:val="00B735BD"/>
    <w:rsid w:val="00B73CE5"/>
    <w:rsid w:val="00B74E94"/>
    <w:rsid w:val="00B75830"/>
    <w:rsid w:val="00B7599D"/>
    <w:rsid w:val="00B76C16"/>
    <w:rsid w:val="00B776C2"/>
    <w:rsid w:val="00B80137"/>
    <w:rsid w:val="00B80489"/>
    <w:rsid w:val="00B83FD4"/>
    <w:rsid w:val="00B8523A"/>
    <w:rsid w:val="00B85D70"/>
    <w:rsid w:val="00B85F0E"/>
    <w:rsid w:val="00B9048D"/>
    <w:rsid w:val="00B90724"/>
    <w:rsid w:val="00B90C76"/>
    <w:rsid w:val="00B9212B"/>
    <w:rsid w:val="00B93B68"/>
    <w:rsid w:val="00B964B7"/>
    <w:rsid w:val="00B96FAF"/>
    <w:rsid w:val="00BA07D9"/>
    <w:rsid w:val="00BA0BC3"/>
    <w:rsid w:val="00BA1823"/>
    <w:rsid w:val="00BA2B4A"/>
    <w:rsid w:val="00BA46D9"/>
    <w:rsid w:val="00BA5D38"/>
    <w:rsid w:val="00BA615C"/>
    <w:rsid w:val="00BA6620"/>
    <w:rsid w:val="00BB01B2"/>
    <w:rsid w:val="00BB18E4"/>
    <w:rsid w:val="00BB1F00"/>
    <w:rsid w:val="00BB205E"/>
    <w:rsid w:val="00BB268B"/>
    <w:rsid w:val="00BB334F"/>
    <w:rsid w:val="00BB40A7"/>
    <w:rsid w:val="00BB648B"/>
    <w:rsid w:val="00BC086A"/>
    <w:rsid w:val="00BC1C5C"/>
    <w:rsid w:val="00BC1DDF"/>
    <w:rsid w:val="00BC2259"/>
    <w:rsid w:val="00BC681E"/>
    <w:rsid w:val="00BD1B83"/>
    <w:rsid w:val="00BD25E5"/>
    <w:rsid w:val="00BD28E1"/>
    <w:rsid w:val="00BD3D4B"/>
    <w:rsid w:val="00BD40F8"/>
    <w:rsid w:val="00BD78CE"/>
    <w:rsid w:val="00BE212C"/>
    <w:rsid w:val="00BE623F"/>
    <w:rsid w:val="00BE770D"/>
    <w:rsid w:val="00BE7F86"/>
    <w:rsid w:val="00BF21CA"/>
    <w:rsid w:val="00BF393F"/>
    <w:rsid w:val="00BF4A83"/>
    <w:rsid w:val="00BF6348"/>
    <w:rsid w:val="00BF65E0"/>
    <w:rsid w:val="00C00450"/>
    <w:rsid w:val="00C02C88"/>
    <w:rsid w:val="00C03EB5"/>
    <w:rsid w:val="00C04765"/>
    <w:rsid w:val="00C05544"/>
    <w:rsid w:val="00C06B78"/>
    <w:rsid w:val="00C10880"/>
    <w:rsid w:val="00C1100E"/>
    <w:rsid w:val="00C1335F"/>
    <w:rsid w:val="00C14493"/>
    <w:rsid w:val="00C14739"/>
    <w:rsid w:val="00C14A49"/>
    <w:rsid w:val="00C1691F"/>
    <w:rsid w:val="00C17203"/>
    <w:rsid w:val="00C174AD"/>
    <w:rsid w:val="00C17CFE"/>
    <w:rsid w:val="00C17F8B"/>
    <w:rsid w:val="00C20254"/>
    <w:rsid w:val="00C209A7"/>
    <w:rsid w:val="00C20AF1"/>
    <w:rsid w:val="00C20CBB"/>
    <w:rsid w:val="00C21211"/>
    <w:rsid w:val="00C26175"/>
    <w:rsid w:val="00C330D9"/>
    <w:rsid w:val="00C33471"/>
    <w:rsid w:val="00C339C7"/>
    <w:rsid w:val="00C34B33"/>
    <w:rsid w:val="00C34C3A"/>
    <w:rsid w:val="00C3502E"/>
    <w:rsid w:val="00C362F3"/>
    <w:rsid w:val="00C419B5"/>
    <w:rsid w:val="00C42412"/>
    <w:rsid w:val="00C42D1E"/>
    <w:rsid w:val="00C43B93"/>
    <w:rsid w:val="00C459B4"/>
    <w:rsid w:val="00C4683E"/>
    <w:rsid w:val="00C46BC5"/>
    <w:rsid w:val="00C472C2"/>
    <w:rsid w:val="00C50E8C"/>
    <w:rsid w:val="00C514E4"/>
    <w:rsid w:val="00C52C7B"/>
    <w:rsid w:val="00C53761"/>
    <w:rsid w:val="00C53972"/>
    <w:rsid w:val="00C553C8"/>
    <w:rsid w:val="00C55B18"/>
    <w:rsid w:val="00C57C5C"/>
    <w:rsid w:val="00C70F5D"/>
    <w:rsid w:val="00C74528"/>
    <w:rsid w:val="00C74B8C"/>
    <w:rsid w:val="00C765CE"/>
    <w:rsid w:val="00C76772"/>
    <w:rsid w:val="00C774AE"/>
    <w:rsid w:val="00C77986"/>
    <w:rsid w:val="00C8196F"/>
    <w:rsid w:val="00C81F78"/>
    <w:rsid w:val="00C8269D"/>
    <w:rsid w:val="00C82BBA"/>
    <w:rsid w:val="00C8320B"/>
    <w:rsid w:val="00C8503C"/>
    <w:rsid w:val="00C854A2"/>
    <w:rsid w:val="00C85887"/>
    <w:rsid w:val="00C85D85"/>
    <w:rsid w:val="00C862C8"/>
    <w:rsid w:val="00C867AF"/>
    <w:rsid w:val="00C91E96"/>
    <w:rsid w:val="00C92514"/>
    <w:rsid w:val="00C934FB"/>
    <w:rsid w:val="00C93B00"/>
    <w:rsid w:val="00C93D8B"/>
    <w:rsid w:val="00C95177"/>
    <w:rsid w:val="00C9538F"/>
    <w:rsid w:val="00CA24AD"/>
    <w:rsid w:val="00CA5A87"/>
    <w:rsid w:val="00CA6349"/>
    <w:rsid w:val="00CA7225"/>
    <w:rsid w:val="00CA7542"/>
    <w:rsid w:val="00CA78E6"/>
    <w:rsid w:val="00CB0656"/>
    <w:rsid w:val="00CB0696"/>
    <w:rsid w:val="00CB0C50"/>
    <w:rsid w:val="00CB17CC"/>
    <w:rsid w:val="00CB1B9C"/>
    <w:rsid w:val="00CB1F6D"/>
    <w:rsid w:val="00CB41B7"/>
    <w:rsid w:val="00CB4D5E"/>
    <w:rsid w:val="00CB60BC"/>
    <w:rsid w:val="00CB69F4"/>
    <w:rsid w:val="00CB72B3"/>
    <w:rsid w:val="00CB7714"/>
    <w:rsid w:val="00CB7993"/>
    <w:rsid w:val="00CC6711"/>
    <w:rsid w:val="00CC73AA"/>
    <w:rsid w:val="00CD04E2"/>
    <w:rsid w:val="00CD0971"/>
    <w:rsid w:val="00CD4604"/>
    <w:rsid w:val="00CD5C23"/>
    <w:rsid w:val="00CD6018"/>
    <w:rsid w:val="00CD7378"/>
    <w:rsid w:val="00CD7820"/>
    <w:rsid w:val="00CE1E2C"/>
    <w:rsid w:val="00CE23BC"/>
    <w:rsid w:val="00CE281E"/>
    <w:rsid w:val="00CE5D4C"/>
    <w:rsid w:val="00CF0BA6"/>
    <w:rsid w:val="00CF1998"/>
    <w:rsid w:val="00CF22E5"/>
    <w:rsid w:val="00CF3697"/>
    <w:rsid w:val="00CF4B38"/>
    <w:rsid w:val="00CF515F"/>
    <w:rsid w:val="00CF534F"/>
    <w:rsid w:val="00CF6026"/>
    <w:rsid w:val="00D00144"/>
    <w:rsid w:val="00D00BCF"/>
    <w:rsid w:val="00D00F5B"/>
    <w:rsid w:val="00D0150A"/>
    <w:rsid w:val="00D01624"/>
    <w:rsid w:val="00D01AC1"/>
    <w:rsid w:val="00D03C98"/>
    <w:rsid w:val="00D050F6"/>
    <w:rsid w:val="00D06A0E"/>
    <w:rsid w:val="00D06A92"/>
    <w:rsid w:val="00D117B5"/>
    <w:rsid w:val="00D150C7"/>
    <w:rsid w:val="00D152A8"/>
    <w:rsid w:val="00D1573B"/>
    <w:rsid w:val="00D163DB"/>
    <w:rsid w:val="00D166E1"/>
    <w:rsid w:val="00D17D5C"/>
    <w:rsid w:val="00D2034C"/>
    <w:rsid w:val="00D205FF"/>
    <w:rsid w:val="00D217B8"/>
    <w:rsid w:val="00D220C8"/>
    <w:rsid w:val="00D24070"/>
    <w:rsid w:val="00D2535D"/>
    <w:rsid w:val="00D263B6"/>
    <w:rsid w:val="00D26B41"/>
    <w:rsid w:val="00D27022"/>
    <w:rsid w:val="00D30A64"/>
    <w:rsid w:val="00D30EE2"/>
    <w:rsid w:val="00D31090"/>
    <w:rsid w:val="00D34AC1"/>
    <w:rsid w:val="00D375B3"/>
    <w:rsid w:val="00D41C7D"/>
    <w:rsid w:val="00D42811"/>
    <w:rsid w:val="00D45C34"/>
    <w:rsid w:val="00D46BC9"/>
    <w:rsid w:val="00D50677"/>
    <w:rsid w:val="00D51DEA"/>
    <w:rsid w:val="00D52312"/>
    <w:rsid w:val="00D527B2"/>
    <w:rsid w:val="00D53D2E"/>
    <w:rsid w:val="00D543E5"/>
    <w:rsid w:val="00D544C2"/>
    <w:rsid w:val="00D55049"/>
    <w:rsid w:val="00D55A85"/>
    <w:rsid w:val="00D565B9"/>
    <w:rsid w:val="00D572E2"/>
    <w:rsid w:val="00D57DF5"/>
    <w:rsid w:val="00D6075D"/>
    <w:rsid w:val="00D60CB8"/>
    <w:rsid w:val="00D6378B"/>
    <w:rsid w:val="00D64988"/>
    <w:rsid w:val="00D670B9"/>
    <w:rsid w:val="00D67ED0"/>
    <w:rsid w:val="00D714EF"/>
    <w:rsid w:val="00D73689"/>
    <w:rsid w:val="00D74975"/>
    <w:rsid w:val="00D77ACD"/>
    <w:rsid w:val="00D806F4"/>
    <w:rsid w:val="00D815EC"/>
    <w:rsid w:val="00D817F9"/>
    <w:rsid w:val="00D82899"/>
    <w:rsid w:val="00D85A26"/>
    <w:rsid w:val="00D9070C"/>
    <w:rsid w:val="00D90E8E"/>
    <w:rsid w:val="00D91FEA"/>
    <w:rsid w:val="00D9210F"/>
    <w:rsid w:val="00D93001"/>
    <w:rsid w:val="00D9333E"/>
    <w:rsid w:val="00D93729"/>
    <w:rsid w:val="00D96AB7"/>
    <w:rsid w:val="00D96CF3"/>
    <w:rsid w:val="00D97D4B"/>
    <w:rsid w:val="00DA2675"/>
    <w:rsid w:val="00DA3394"/>
    <w:rsid w:val="00DA4980"/>
    <w:rsid w:val="00DA6517"/>
    <w:rsid w:val="00DB01C6"/>
    <w:rsid w:val="00DB4FC7"/>
    <w:rsid w:val="00DC1317"/>
    <w:rsid w:val="00DC1F23"/>
    <w:rsid w:val="00DC25C7"/>
    <w:rsid w:val="00DC487A"/>
    <w:rsid w:val="00DC6389"/>
    <w:rsid w:val="00DC653C"/>
    <w:rsid w:val="00DC68E4"/>
    <w:rsid w:val="00DC6C1D"/>
    <w:rsid w:val="00DC6CAD"/>
    <w:rsid w:val="00DC7C5C"/>
    <w:rsid w:val="00DD178D"/>
    <w:rsid w:val="00DD1EA7"/>
    <w:rsid w:val="00DD3EA8"/>
    <w:rsid w:val="00DD461F"/>
    <w:rsid w:val="00DD5656"/>
    <w:rsid w:val="00DD56C2"/>
    <w:rsid w:val="00DE4ECE"/>
    <w:rsid w:val="00DE50DB"/>
    <w:rsid w:val="00DE6645"/>
    <w:rsid w:val="00DE68B4"/>
    <w:rsid w:val="00DF012C"/>
    <w:rsid w:val="00DF114F"/>
    <w:rsid w:val="00DF7877"/>
    <w:rsid w:val="00E001E9"/>
    <w:rsid w:val="00E007AE"/>
    <w:rsid w:val="00E01572"/>
    <w:rsid w:val="00E024F6"/>
    <w:rsid w:val="00E0403E"/>
    <w:rsid w:val="00E04080"/>
    <w:rsid w:val="00E04B0A"/>
    <w:rsid w:val="00E06EE6"/>
    <w:rsid w:val="00E10FB0"/>
    <w:rsid w:val="00E11AD0"/>
    <w:rsid w:val="00E11FD4"/>
    <w:rsid w:val="00E13447"/>
    <w:rsid w:val="00E13EEB"/>
    <w:rsid w:val="00E154A9"/>
    <w:rsid w:val="00E15B29"/>
    <w:rsid w:val="00E15CB3"/>
    <w:rsid w:val="00E16491"/>
    <w:rsid w:val="00E20F34"/>
    <w:rsid w:val="00E2154B"/>
    <w:rsid w:val="00E21EBF"/>
    <w:rsid w:val="00E22241"/>
    <w:rsid w:val="00E2294D"/>
    <w:rsid w:val="00E23BD8"/>
    <w:rsid w:val="00E23FD5"/>
    <w:rsid w:val="00E2415B"/>
    <w:rsid w:val="00E27C37"/>
    <w:rsid w:val="00E33315"/>
    <w:rsid w:val="00E34CFB"/>
    <w:rsid w:val="00E35C0C"/>
    <w:rsid w:val="00E36C6B"/>
    <w:rsid w:val="00E40E84"/>
    <w:rsid w:val="00E411CA"/>
    <w:rsid w:val="00E429FB"/>
    <w:rsid w:val="00E42F4F"/>
    <w:rsid w:val="00E43263"/>
    <w:rsid w:val="00E45474"/>
    <w:rsid w:val="00E46EBF"/>
    <w:rsid w:val="00E50B34"/>
    <w:rsid w:val="00E525B1"/>
    <w:rsid w:val="00E526CA"/>
    <w:rsid w:val="00E52D9C"/>
    <w:rsid w:val="00E53EA1"/>
    <w:rsid w:val="00E575AB"/>
    <w:rsid w:val="00E610C7"/>
    <w:rsid w:val="00E6422F"/>
    <w:rsid w:val="00E70EFE"/>
    <w:rsid w:val="00E71C67"/>
    <w:rsid w:val="00E7436B"/>
    <w:rsid w:val="00E7559A"/>
    <w:rsid w:val="00E75A8B"/>
    <w:rsid w:val="00E83E43"/>
    <w:rsid w:val="00E84FA0"/>
    <w:rsid w:val="00E860A6"/>
    <w:rsid w:val="00E873B7"/>
    <w:rsid w:val="00E90415"/>
    <w:rsid w:val="00E90E71"/>
    <w:rsid w:val="00E911C9"/>
    <w:rsid w:val="00E9260C"/>
    <w:rsid w:val="00E9347B"/>
    <w:rsid w:val="00E941DB"/>
    <w:rsid w:val="00E94748"/>
    <w:rsid w:val="00E95138"/>
    <w:rsid w:val="00E973A9"/>
    <w:rsid w:val="00EA0734"/>
    <w:rsid w:val="00EA0EF7"/>
    <w:rsid w:val="00EA108C"/>
    <w:rsid w:val="00EA1EC6"/>
    <w:rsid w:val="00EA48D1"/>
    <w:rsid w:val="00EA6971"/>
    <w:rsid w:val="00EA6E21"/>
    <w:rsid w:val="00EA7FE5"/>
    <w:rsid w:val="00EB4A52"/>
    <w:rsid w:val="00EC0C7F"/>
    <w:rsid w:val="00EC1FD5"/>
    <w:rsid w:val="00EC414E"/>
    <w:rsid w:val="00EC4186"/>
    <w:rsid w:val="00EC43E9"/>
    <w:rsid w:val="00EC4D8E"/>
    <w:rsid w:val="00EC625B"/>
    <w:rsid w:val="00EC656A"/>
    <w:rsid w:val="00EC7B1C"/>
    <w:rsid w:val="00ED0AED"/>
    <w:rsid w:val="00ED140E"/>
    <w:rsid w:val="00ED28CB"/>
    <w:rsid w:val="00ED2BF2"/>
    <w:rsid w:val="00ED4C72"/>
    <w:rsid w:val="00ED5D23"/>
    <w:rsid w:val="00ED705E"/>
    <w:rsid w:val="00EE0E63"/>
    <w:rsid w:val="00EE1EA3"/>
    <w:rsid w:val="00EE235F"/>
    <w:rsid w:val="00EE4157"/>
    <w:rsid w:val="00EE45E2"/>
    <w:rsid w:val="00EE46E4"/>
    <w:rsid w:val="00EE4829"/>
    <w:rsid w:val="00EE78F0"/>
    <w:rsid w:val="00EF0BFB"/>
    <w:rsid w:val="00EF44CC"/>
    <w:rsid w:val="00EF527E"/>
    <w:rsid w:val="00EF5B2F"/>
    <w:rsid w:val="00EF61B5"/>
    <w:rsid w:val="00EF66F4"/>
    <w:rsid w:val="00F01425"/>
    <w:rsid w:val="00F017F3"/>
    <w:rsid w:val="00F04C7E"/>
    <w:rsid w:val="00F108E1"/>
    <w:rsid w:val="00F114E3"/>
    <w:rsid w:val="00F12188"/>
    <w:rsid w:val="00F1616D"/>
    <w:rsid w:val="00F176ED"/>
    <w:rsid w:val="00F20372"/>
    <w:rsid w:val="00F212EF"/>
    <w:rsid w:val="00F2165E"/>
    <w:rsid w:val="00F21812"/>
    <w:rsid w:val="00F239E2"/>
    <w:rsid w:val="00F24B4B"/>
    <w:rsid w:val="00F24CF2"/>
    <w:rsid w:val="00F275BC"/>
    <w:rsid w:val="00F277D3"/>
    <w:rsid w:val="00F31586"/>
    <w:rsid w:val="00F3160E"/>
    <w:rsid w:val="00F31BFF"/>
    <w:rsid w:val="00F32359"/>
    <w:rsid w:val="00F331FD"/>
    <w:rsid w:val="00F33533"/>
    <w:rsid w:val="00F34684"/>
    <w:rsid w:val="00F37920"/>
    <w:rsid w:val="00F409D5"/>
    <w:rsid w:val="00F41E13"/>
    <w:rsid w:val="00F433F2"/>
    <w:rsid w:val="00F4432A"/>
    <w:rsid w:val="00F44F54"/>
    <w:rsid w:val="00F47449"/>
    <w:rsid w:val="00F47965"/>
    <w:rsid w:val="00F52562"/>
    <w:rsid w:val="00F53B5E"/>
    <w:rsid w:val="00F5728A"/>
    <w:rsid w:val="00F62CF9"/>
    <w:rsid w:val="00F6316A"/>
    <w:rsid w:val="00F644B9"/>
    <w:rsid w:val="00F6712D"/>
    <w:rsid w:val="00F71F7D"/>
    <w:rsid w:val="00F7343C"/>
    <w:rsid w:val="00F73504"/>
    <w:rsid w:val="00F7380B"/>
    <w:rsid w:val="00F73E1E"/>
    <w:rsid w:val="00F75091"/>
    <w:rsid w:val="00F7627E"/>
    <w:rsid w:val="00F77628"/>
    <w:rsid w:val="00F77D47"/>
    <w:rsid w:val="00F77DC0"/>
    <w:rsid w:val="00F8089C"/>
    <w:rsid w:val="00F87667"/>
    <w:rsid w:val="00F876A2"/>
    <w:rsid w:val="00F90DA6"/>
    <w:rsid w:val="00F92502"/>
    <w:rsid w:val="00F94290"/>
    <w:rsid w:val="00F97750"/>
    <w:rsid w:val="00FA2608"/>
    <w:rsid w:val="00FA44B7"/>
    <w:rsid w:val="00FA4E09"/>
    <w:rsid w:val="00FA5D28"/>
    <w:rsid w:val="00FA6792"/>
    <w:rsid w:val="00FA7CDA"/>
    <w:rsid w:val="00FB1EB1"/>
    <w:rsid w:val="00FB7E00"/>
    <w:rsid w:val="00FC3738"/>
    <w:rsid w:val="00FC4D61"/>
    <w:rsid w:val="00FC54A1"/>
    <w:rsid w:val="00FC5657"/>
    <w:rsid w:val="00FC5A7A"/>
    <w:rsid w:val="00FC5CBA"/>
    <w:rsid w:val="00FC6E59"/>
    <w:rsid w:val="00FD0D18"/>
    <w:rsid w:val="00FD22EF"/>
    <w:rsid w:val="00FD545A"/>
    <w:rsid w:val="00FD767D"/>
    <w:rsid w:val="00FD7B6F"/>
    <w:rsid w:val="00FE0607"/>
    <w:rsid w:val="00FE31D9"/>
    <w:rsid w:val="00FE3634"/>
    <w:rsid w:val="00FE512C"/>
    <w:rsid w:val="00FE5AD1"/>
    <w:rsid w:val="00FF06E5"/>
    <w:rsid w:val="00FF1839"/>
    <w:rsid w:val="00FF1B75"/>
    <w:rsid w:val="00FF2BEE"/>
    <w:rsid w:val="00FF43F8"/>
    <w:rsid w:val="00FF4A35"/>
    <w:rsid w:val="00FF4A84"/>
    <w:rsid w:val="00FF6625"/>
    <w:rsid w:val="0EF10A76"/>
    <w:rsid w:val="1AED52C0"/>
    <w:rsid w:val="27324E2B"/>
    <w:rsid w:val="3BA46D27"/>
    <w:rsid w:val="43490480"/>
    <w:rsid w:val="50CF4126"/>
    <w:rsid w:val="573C4DD5"/>
    <w:rsid w:val="5F9024EF"/>
    <w:rsid w:val="680F05D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EastAsia" w:cstheme="minorBidi"/>
      <w:sz w:val="24"/>
      <w:szCs w:val="22"/>
      <w:lang w:val="en-GB" w:eastAsia="en-GB" w:bidi="ar-SA"/>
    </w:rPr>
  </w:style>
  <w:style w:type="paragraph" w:styleId="2">
    <w:name w:val="heading 1"/>
    <w:basedOn w:val="1"/>
    <w:next w:val="1"/>
    <w:link w:val="16"/>
    <w:qFormat/>
    <w:uiPriority w:val="9"/>
    <w:pPr>
      <w:keepNext/>
      <w:keepLines/>
      <w:spacing w:before="480" w:after="0"/>
      <w:outlineLvl w:val="0"/>
    </w:pPr>
    <w:rPr>
      <w:rFonts w:eastAsiaTheme="majorEastAsia" w:cstheme="majorBidi"/>
      <w:b/>
      <w:bCs/>
      <w:color w:val="366091" w:themeColor="accent1" w:themeShade="BF"/>
      <w:sz w:val="28"/>
      <w:szCs w:val="28"/>
    </w:rPr>
  </w:style>
  <w:style w:type="paragraph" w:styleId="3">
    <w:name w:val="heading 2"/>
    <w:basedOn w:val="1"/>
    <w:next w:val="1"/>
    <w:link w:val="15"/>
    <w:unhideWhenUsed/>
    <w:qFormat/>
    <w:uiPriority w:val="9"/>
    <w:pPr>
      <w:keepNext/>
      <w:keepLines/>
      <w:spacing w:before="200" w:after="0"/>
      <w:outlineLvl w:val="1"/>
    </w:pPr>
    <w:rPr>
      <w:rFonts w:eastAsiaTheme="majorEastAsia" w:cstheme="majorBidi"/>
      <w:b/>
      <w:bCs/>
      <w:color w:val="4F81BD" w:themeColor="accent1"/>
      <w:sz w:val="26"/>
      <w:szCs w:val="26"/>
    </w:rPr>
  </w:style>
  <w:style w:type="paragraph" w:styleId="4">
    <w:name w:val="heading 3"/>
    <w:basedOn w:val="1"/>
    <w:next w:val="1"/>
    <w:link w:val="18"/>
    <w:semiHidden/>
    <w:unhideWhenUsed/>
    <w:qFormat/>
    <w:uiPriority w:val="9"/>
    <w:pPr>
      <w:keepNext/>
      <w:keepLines/>
      <w:spacing w:before="200" w:after="0"/>
      <w:outlineLvl w:val="2"/>
    </w:pPr>
    <w:rPr>
      <w:rFonts w:asciiTheme="majorHAnsi" w:hAnsiTheme="majorHAnsi" w:eastAsiaTheme="majorEastAsia" w:cstheme="majorBidi"/>
      <w:b/>
      <w:bCs/>
      <w:color w:val="4F81BD" w:themeColor="accent1"/>
    </w:rPr>
  </w:style>
  <w:style w:type="paragraph" w:styleId="5">
    <w:name w:val="heading 4"/>
    <w:basedOn w:val="1"/>
    <w:next w:val="1"/>
    <w:unhideWhenUsed/>
    <w:qFormat/>
    <w:uiPriority w:val="9"/>
    <w:pPr>
      <w:keepNext/>
      <w:keepLines/>
      <w:spacing w:before="280" w:after="290" w:line="376" w:lineRule="auto"/>
      <w:outlineLvl w:val="3"/>
    </w:pPr>
    <w:rPr>
      <w:b/>
      <w:bCs/>
      <w:sz w:val="28"/>
      <w:szCs w:val="28"/>
    </w:rPr>
  </w:style>
  <w:style w:type="character" w:default="1" w:styleId="10">
    <w:name w:val="Default Paragraph Font"/>
    <w:unhideWhenUsed/>
    <w:qFormat/>
    <w:uiPriority w:val="1"/>
  </w:style>
  <w:style w:type="table" w:default="1" w:styleId="12">
    <w:name w:val="Normal Table"/>
    <w:semiHidden/>
    <w:unhideWhenUsed/>
    <w:qFormat/>
    <w:uiPriority w:val="99"/>
    <w:tblPr>
      <w:tblLayout w:type="fixed"/>
      <w:tblCellMar>
        <w:top w:w="0" w:type="dxa"/>
        <w:left w:w="108" w:type="dxa"/>
        <w:bottom w:w="0" w:type="dxa"/>
        <w:right w:w="108" w:type="dxa"/>
      </w:tblCellMar>
    </w:tblPr>
  </w:style>
  <w:style w:type="paragraph" w:styleId="6">
    <w:name w:val="Balloon Text"/>
    <w:basedOn w:val="1"/>
    <w:link w:val="14"/>
    <w:semiHidden/>
    <w:unhideWhenUsed/>
    <w:qFormat/>
    <w:uiPriority w:val="99"/>
    <w:pPr>
      <w:spacing w:after="0" w:line="240" w:lineRule="auto"/>
    </w:pPr>
    <w:rPr>
      <w:rFonts w:ascii="Tahoma" w:hAnsi="Tahoma" w:cs="Tahoma"/>
      <w:sz w:val="16"/>
      <w:szCs w:val="16"/>
    </w:rPr>
  </w:style>
  <w:style w:type="paragraph" w:styleId="7">
    <w:name w:val="Title"/>
    <w:basedOn w:val="1"/>
    <w:next w:val="1"/>
    <w:link w:val="17"/>
    <w:qFormat/>
    <w:uiPriority w:val="10"/>
    <w:pPr>
      <w:pBdr>
        <w:bottom w:val="single" w:color="4F81BD" w:themeColor="accent1" w:sz="8" w:space="4"/>
      </w:pBdr>
      <w:spacing w:after="300"/>
      <w:contextualSpacing/>
    </w:pPr>
    <w:rPr>
      <w:rFonts w:eastAsiaTheme="majorEastAsia" w:cstheme="majorBidi"/>
      <w:color w:val="17365D" w:themeColor="text2" w:themeShade="BF"/>
      <w:spacing w:val="5"/>
      <w:kern w:val="28"/>
      <w:sz w:val="52"/>
      <w:szCs w:val="52"/>
    </w:r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40"/>
    </w:pPr>
  </w:style>
  <w:style w:type="character" w:styleId="11">
    <w:name w:val="Hyperlink"/>
    <w:basedOn w:val="10"/>
    <w:unhideWhenUsed/>
    <w:qFormat/>
    <w:uiPriority w:val="99"/>
    <w:rPr>
      <w:color w:val="0000FF" w:themeColor="hyperlink"/>
      <w:u w:val="single"/>
    </w:rPr>
  </w:style>
  <w:style w:type="table" w:styleId="13">
    <w:name w:val="Table Grid"/>
    <w:basedOn w:val="12"/>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character" w:customStyle="1" w:styleId="14">
    <w:name w:val="Balloon Text Char"/>
    <w:basedOn w:val="10"/>
    <w:link w:val="6"/>
    <w:semiHidden/>
    <w:qFormat/>
    <w:uiPriority w:val="99"/>
    <w:rPr>
      <w:rFonts w:ascii="Tahoma" w:hAnsi="Tahoma" w:cs="Tahoma"/>
      <w:sz w:val="16"/>
      <w:szCs w:val="16"/>
    </w:rPr>
  </w:style>
  <w:style w:type="character" w:customStyle="1" w:styleId="15">
    <w:name w:val="Heading 2 Char"/>
    <w:basedOn w:val="10"/>
    <w:link w:val="3"/>
    <w:qFormat/>
    <w:uiPriority w:val="9"/>
    <w:rPr>
      <w:rFonts w:ascii="Times New Roman" w:hAnsi="Times New Roman" w:eastAsiaTheme="majorEastAsia" w:cstheme="majorBidi"/>
      <w:b/>
      <w:bCs/>
      <w:color w:val="4F81BD" w:themeColor="accent1"/>
      <w:sz w:val="26"/>
      <w:szCs w:val="26"/>
    </w:rPr>
  </w:style>
  <w:style w:type="character" w:customStyle="1" w:styleId="16">
    <w:name w:val="Heading 1 Char"/>
    <w:basedOn w:val="10"/>
    <w:link w:val="2"/>
    <w:qFormat/>
    <w:uiPriority w:val="9"/>
    <w:rPr>
      <w:rFonts w:ascii="Times New Roman" w:hAnsi="Times New Roman" w:eastAsiaTheme="majorEastAsia" w:cstheme="majorBidi"/>
      <w:b/>
      <w:bCs/>
      <w:color w:val="366091" w:themeColor="accent1" w:themeShade="BF"/>
      <w:sz w:val="28"/>
      <w:szCs w:val="28"/>
    </w:rPr>
  </w:style>
  <w:style w:type="character" w:customStyle="1" w:styleId="17">
    <w:name w:val="Title Char"/>
    <w:basedOn w:val="10"/>
    <w:link w:val="7"/>
    <w:qFormat/>
    <w:uiPriority w:val="10"/>
    <w:rPr>
      <w:rFonts w:ascii="Times New Roman" w:hAnsi="Times New Roman" w:eastAsiaTheme="majorEastAsia" w:cstheme="majorBidi"/>
      <w:color w:val="17365D" w:themeColor="text2" w:themeShade="BF"/>
      <w:spacing w:val="5"/>
      <w:kern w:val="28"/>
      <w:sz w:val="52"/>
      <w:szCs w:val="52"/>
    </w:rPr>
  </w:style>
  <w:style w:type="character" w:customStyle="1" w:styleId="18">
    <w:name w:val="Heading 3 Char"/>
    <w:basedOn w:val="10"/>
    <w:link w:val="4"/>
    <w:semiHidden/>
    <w:qFormat/>
    <w:uiPriority w:val="9"/>
    <w:rPr>
      <w:rFonts w:asciiTheme="majorHAnsi" w:hAnsiTheme="majorHAnsi" w:eastAsiaTheme="majorEastAsia" w:cstheme="majorBidi"/>
      <w:b/>
      <w:bCs/>
      <w:color w:val="4F81BD" w:themeColor="accent1"/>
      <w:sz w:val="24"/>
    </w:rPr>
  </w:style>
  <w:style w:type="paragraph" w:customStyle="1" w:styleId="19">
    <w:name w:val="TOC Heading"/>
    <w:basedOn w:val="2"/>
    <w:next w:val="1"/>
    <w:semiHidden/>
    <w:unhideWhenUsed/>
    <w:qFormat/>
    <w:uiPriority w:val="39"/>
    <w:pPr>
      <w:spacing w:line="276" w:lineRule="auto"/>
      <w:jc w:val="left"/>
      <w:outlineLvl w:val="9"/>
    </w:pPr>
    <w:rPr>
      <w:rFonts w:asciiTheme="majorHAnsi" w:hAnsiTheme="majorHAnsi"/>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chart" Target="charts/chart3.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kishorjha\Desktop\job\april\31.4.18\New%20Microsoft%20Office%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kishorjha\Desktop\job\april\31.4.18\New%20Microsoft%20Office%20Excel%20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kishorjha\Desktop\job\april\31.4.18\New%20Microsoft%20Office%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Sheet2!$B$1</c:f>
              <c:strCache>
                <c:ptCount val="1"/>
                <c:pt idx="0">
                  <c:v>sales performance (£000)</c:v>
                </c:pt>
              </c:strCache>
            </c:strRef>
          </c:tx>
          <c:dLbls>
            <c:spPr>
              <a:noFill/>
              <a:ln>
                <a:noFill/>
              </a:ln>
              <a:effectLst/>
            </c:spPr>
            <c:txPr>
              <a:bodyPr rot="0" spcFirstLastPara="0" vertOverflow="ellipsis" vert="horz" wrap="square" lIns="38100" tIns="19050" rIns="38100" bIns="19050" anchor="ctr" anchorCtr="1"/>
              <a:lstStyle/>
              <a:p>
                <a:pPr>
                  <a:defRPr lang="en-GB" sz="1000" b="0" i="0" u="none" strike="noStrike" kern="1200" baseline="0">
                    <a:solidFill>
                      <a:schemeClr val="tx1"/>
                    </a:solidFill>
                    <a:latin typeface="+mn-lt"/>
                    <a:ea typeface="+mn-ea"/>
                    <a:cs typeface="+mn-cs"/>
                  </a:defRPr>
                </a:pPr>
              </a:p>
            </c:txPr>
            <c:dLblPos val="r"/>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numRef>
              <c:f>Sheet2!$A$2:$A$13</c:f>
              <c:numCache>
                <c:formatCode>General</c:formatCode>
                <c:ptCount val="12"/>
                <c:pt idx="0">
                  <c:v>2006</c:v>
                </c:pt>
                <c:pt idx="1">
                  <c:v>2007</c:v>
                </c:pt>
                <c:pt idx="2">
                  <c:v>2008</c:v>
                </c:pt>
                <c:pt idx="3">
                  <c:v>2009</c:v>
                </c:pt>
                <c:pt idx="4">
                  <c:v>2010</c:v>
                </c:pt>
                <c:pt idx="5">
                  <c:v>2011</c:v>
                </c:pt>
                <c:pt idx="6">
                  <c:v>2012</c:v>
                </c:pt>
                <c:pt idx="7">
                  <c:v>2013</c:v>
                </c:pt>
                <c:pt idx="8">
                  <c:v>2014</c:v>
                </c:pt>
                <c:pt idx="9">
                  <c:v>2015</c:v>
                </c:pt>
                <c:pt idx="10">
                  <c:v>2016</c:v>
                </c:pt>
                <c:pt idx="11">
                  <c:v>2017</c:v>
                </c:pt>
              </c:numCache>
            </c:numRef>
          </c:cat>
          <c:val>
            <c:numRef>
              <c:f>Sheet2!$B$2:$B$13</c:f>
              <c:numCache>
                <c:formatCode>General</c:formatCode>
                <c:ptCount val="12"/>
                <c:pt idx="0">
                  <c:v>535</c:v>
                </c:pt>
                <c:pt idx="1">
                  <c:v>435</c:v>
                </c:pt>
                <c:pt idx="2">
                  <c:v>320</c:v>
                </c:pt>
                <c:pt idx="3">
                  <c:v>455</c:v>
                </c:pt>
                <c:pt idx="4">
                  <c:v>640</c:v>
                </c:pt>
                <c:pt idx="5">
                  <c:v>595</c:v>
                </c:pt>
                <c:pt idx="6">
                  <c:v>535</c:v>
                </c:pt>
                <c:pt idx="7">
                  <c:v>358</c:v>
                </c:pt>
                <c:pt idx="8">
                  <c:v>678</c:v>
                </c:pt>
                <c:pt idx="9">
                  <c:v>601</c:v>
                </c:pt>
                <c:pt idx="10">
                  <c:v>609</c:v>
                </c:pt>
                <c:pt idx="11">
                  <c:v>660</c:v>
                </c:pt>
              </c:numCache>
            </c:numRef>
          </c:val>
          <c:smooth val="0"/>
        </c:ser>
        <c:ser>
          <c:idx val="1"/>
          <c:order val="1"/>
          <c:tx>
            <c:strRef>
              <c:f>Sheet2!$C$1</c:f>
              <c:strCache>
                <c:ptCount val="1"/>
                <c:pt idx="0">
                  <c:v>3-yrs mov avg</c:v>
                </c:pt>
              </c:strCache>
            </c:strRef>
          </c:tx>
          <c:dLbls>
            <c:spPr>
              <a:noFill/>
              <a:ln>
                <a:noFill/>
              </a:ln>
              <a:effectLst/>
            </c:spPr>
            <c:txPr>
              <a:bodyPr rot="0" spcFirstLastPara="0" vertOverflow="ellipsis" vert="horz" wrap="square" lIns="38100" tIns="19050" rIns="38100" bIns="19050" anchor="ctr" anchorCtr="1"/>
              <a:lstStyle/>
              <a:p>
                <a:pPr>
                  <a:defRPr lang="en-GB" sz="1000" b="0" i="0" u="none" strike="noStrike" kern="1200" baseline="0">
                    <a:solidFill>
                      <a:schemeClr val="tx1"/>
                    </a:solidFill>
                    <a:latin typeface="+mn-lt"/>
                    <a:ea typeface="+mn-ea"/>
                    <a:cs typeface="+mn-cs"/>
                  </a:defRPr>
                </a:pPr>
              </a:p>
            </c:txPr>
            <c:dLblPos val="r"/>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numRef>
              <c:f>Sheet2!$A$2:$A$13</c:f>
              <c:numCache>
                <c:formatCode>General</c:formatCode>
                <c:ptCount val="12"/>
                <c:pt idx="0">
                  <c:v>2006</c:v>
                </c:pt>
                <c:pt idx="1">
                  <c:v>2007</c:v>
                </c:pt>
                <c:pt idx="2">
                  <c:v>2008</c:v>
                </c:pt>
                <c:pt idx="3">
                  <c:v>2009</c:v>
                </c:pt>
                <c:pt idx="4">
                  <c:v>2010</c:v>
                </c:pt>
                <c:pt idx="5">
                  <c:v>2011</c:v>
                </c:pt>
                <c:pt idx="6">
                  <c:v>2012</c:v>
                </c:pt>
                <c:pt idx="7">
                  <c:v>2013</c:v>
                </c:pt>
                <c:pt idx="8">
                  <c:v>2014</c:v>
                </c:pt>
                <c:pt idx="9">
                  <c:v>2015</c:v>
                </c:pt>
                <c:pt idx="10">
                  <c:v>2016</c:v>
                </c:pt>
                <c:pt idx="11">
                  <c:v>2017</c:v>
                </c:pt>
              </c:numCache>
            </c:numRef>
          </c:cat>
          <c:val>
            <c:numRef>
              <c:f>Sheet2!$C$2:$C$13</c:f>
              <c:numCache>
                <c:formatCode>General</c:formatCode>
                <c:ptCount val="12"/>
                <c:pt idx="2" c:formatCode="0">
                  <c:v>430</c:v>
                </c:pt>
                <c:pt idx="3" c:formatCode="0">
                  <c:v>403.333333333333</c:v>
                </c:pt>
                <c:pt idx="4" c:formatCode="0">
                  <c:v>471.666666666667</c:v>
                </c:pt>
                <c:pt idx="5" c:formatCode="0">
                  <c:v>563.333333333334</c:v>
                </c:pt>
                <c:pt idx="6" c:formatCode="0">
                  <c:v>590</c:v>
                </c:pt>
                <c:pt idx="7" c:formatCode="0">
                  <c:v>496</c:v>
                </c:pt>
                <c:pt idx="8" c:formatCode="0">
                  <c:v>523.666666666667</c:v>
                </c:pt>
                <c:pt idx="9" c:formatCode="0">
                  <c:v>545.666666666667</c:v>
                </c:pt>
                <c:pt idx="10" c:formatCode="0">
                  <c:v>629.333333333334</c:v>
                </c:pt>
                <c:pt idx="11" c:formatCode="0">
                  <c:v>623.333333333334</c:v>
                </c:pt>
              </c:numCache>
            </c:numRef>
          </c:val>
          <c:smooth val="0"/>
        </c:ser>
        <c:dLbls>
          <c:showLegendKey val="0"/>
          <c:showVal val="1"/>
          <c:showCatName val="0"/>
          <c:showSerName val="0"/>
          <c:showPercent val="0"/>
          <c:showBubbleSize val="0"/>
        </c:dLbls>
        <c:marker val="1"/>
        <c:smooth val="0"/>
        <c:axId val="91890432"/>
        <c:axId val="91893120"/>
      </c:lineChart>
      <c:catAx>
        <c:axId val="91890432"/>
        <c:scaling>
          <c:orientation val="minMax"/>
        </c:scaling>
        <c:delete val="0"/>
        <c:axPos val="b"/>
        <c:numFmt formatCode="General" sourceLinked="1"/>
        <c:majorTickMark val="none"/>
        <c:minorTickMark val="none"/>
        <c:tickLblPos val="nextTo"/>
        <c:txPr>
          <a:bodyPr rot="-60000000" spcFirstLastPara="0" vertOverflow="ellipsis" vert="horz" wrap="square" anchor="ctr" anchorCtr="1"/>
          <a:lstStyle/>
          <a:p>
            <a:pPr>
              <a:defRPr lang="en-GB" sz="1000" b="0" i="0" u="none" strike="noStrike" kern="1200" baseline="0">
                <a:solidFill>
                  <a:schemeClr val="tx1"/>
                </a:solidFill>
                <a:latin typeface="+mn-lt"/>
                <a:ea typeface="+mn-ea"/>
                <a:cs typeface="+mn-cs"/>
              </a:defRPr>
            </a:pPr>
          </a:p>
        </c:txPr>
        <c:crossAx val="91893120"/>
        <c:crosses val="autoZero"/>
        <c:auto val="1"/>
        <c:lblAlgn val="ctr"/>
        <c:lblOffset val="100"/>
        <c:noMultiLvlLbl val="0"/>
      </c:catAx>
      <c:valAx>
        <c:axId val="91893120"/>
        <c:scaling>
          <c:orientation val="minMax"/>
        </c:scaling>
        <c:delete val="1"/>
        <c:axPos val="l"/>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91890432"/>
        <c:crosses val="autoZero"/>
        <c:crossBetween val="between"/>
      </c:valAx>
    </c:plotArea>
    <c:legend>
      <c:legendPos val="t"/>
      <c:layout/>
      <c:overlay val="0"/>
      <c:txPr>
        <a:bodyPr rot="0" spcFirstLastPara="0" vertOverflow="ellipsis" vert="horz" wrap="square" anchor="ctr" anchorCtr="1"/>
        <a:lstStyle/>
        <a:p>
          <a:pPr>
            <a:defRPr lang="en-GB" sz="1000" b="0" i="0" u="none" strike="noStrike" kern="1200" baseline="0">
              <a:solidFill>
                <a:schemeClr val="tx1"/>
              </a:solidFill>
              <a:latin typeface="+mn-lt"/>
              <a:ea typeface="+mn-ea"/>
              <a:cs typeface="+mn-cs"/>
            </a:defRPr>
          </a:pPr>
        </a:p>
      </c:txPr>
    </c:legend>
    <c:plotVisOnly val="1"/>
    <c:dispBlanksAs val="gap"/>
    <c:showDLblsOverMax val="0"/>
  </c:chart>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a:defRPr lang="en-GB" sz="1800" b="1" i="0" u="none" strike="noStrike" kern="1200" baseline="0">
                <a:solidFill>
                  <a:schemeClr val="tx1"/>
                </a:solidFill>
                <a:latin typeface="+mn-lt"/>
                <a:ea typeface="+mn-ea"/>
                <a:cs typeface="+mn-cs"/>
              </a:defRPr>
            </a:pPr>
            <a:r>
              <a:rPr lang="en-GB" sz="1800" b="1" i="0" baseline="0"/>
              <a:t>Moving Average</a:t>
            </a:r>
            <a:endParaRPr lang="en-GB"/>
          </a:p>
        </c:rich>
      </c:tx>
      <c:layout/>
      <c:overlay val="0"/>
    </c:title>
    <c:autoTitleDeleted val="0"/>
    <c:plotArea>
      <c:layout/>
      <c:lineChart>
        <c:grouping val="standard"/>
        <c:varyColors val="0"/>
        <c:ser>
          <c:idx val="0"/>
          <c:order val="0"/>
          <c:tx>
            <c:strRef>
              <c:f>Sheet2!$B$15:$B$16</c:f>
              <c:strCache>
                <c:ptCount val="1"/>
                <c:pt idx="0">
                  <c:v>sales performance (£000) 535</c:v>
                </c:pt>
              </c:strCache>
            </c:strRef>
          </c:tx>
          <c:dLbls>
            <c:delete val="1"/>
          </c:dLbls>
          <c:cat>
            <c:numRef>
              <c:f>Sheet2!$A$16:$A$29</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Sheet2!$B$16:$B$27</c:f>
              <c:numCache>
                <c:formatCode>General</c:formatCode>
                <c:ptCount val="12"/>
                <c:pt idx="0">
                  <c:v>535</c:v>
                </c:pt>
                <c:pt idx="1">
                  <c:v>435</c:v>
                </c:pt>
                <c:pt idx="2">
                  <c:v>320</c:v>
                </c:pt>
                <c:pt idx="3">
                  <c:v>455</c:v>
                </c:pt>
                <c:pt idx="4">
                  <c:v>640</c:v>
                </c:pt>
                <c:pt idx="5">
                  <c:v>595</c:v>
                </c:pt>
                <c:pt idx="6">
                  <c:v>535</c:v>
                </c:pt>
                <c:pt idx="7">
                  <c:v>358</c:v>
                </c:pt>
                <c:pt idx="8">
                  <c:v>678</c:v>
                </c:pt>
                <c:pt idx="9">
                  <c:v>601</c:v>
                </c:pt>
                <c:pt idx="10">
                  <c:v>609</c:v>
                </c:pt>
                <c:pt idx="11">
                  <c:v>660</c:v>
                </c:pt>
              </c:numCache>
            </c:numRef>
          </c:val>
          <c:smooth val="0"/>
        </c:ser>
        <c:ser>
          <c:idx val="1"/>
          <c:order val="1"/>
          <c:tx>
            <c:strRef>
              <c:f>Sheet2!$D$15</c:f>
              <c:strCache>
                <c:ptCount val="1"/>
                <c:pt idx="0">
                  <c:v>3-yrs mov avg</c:v>
                </c:pt>
              </c:strCache>
            </c:strRef>
          </c:tx>
          <c:dLbls>
            <c:delete val="1"/>
          </c:dLbls>
          <c:cat>
            <c:numRef>
              <c:f>Sheet2!$A$16:$A$29</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cat>
          <c:val>
            <c:numRef>
              <c:f>Sheet2!$D$16:$D$30</c:f>
              <c:numCache>
                <c:formatCode>General</c:formatCode>
                <c:ptCount val="15"/>
                <c:pt idx="2" c:formatCode="0">
                  <c:v>430</c:v>
                </c:pt>
                <c:pt idx="3" c:formatCode="0">
                  <c:v>403.333333333333</c:v>
                </c:pt>
                <c:pt idx="4" c:formatCode="0">
                  <c:v>471.666666666667</c:v>
                </c:pt>
                <c:pt idx="5" c:formatCode="0">
                  <c:v>563.333333333334</c:v>
                </c:pt>
                <c:pt idx="6" c:formatCode="0">
                  <c:v>590</c:v>
                </c:pt>
                <c:pt idx="7" c:formatCode="0">
                  <c:v>496</c:v>
                </c:pt>
                <c:pt idx="8" c:formatCode="0">
                  <c:v>523.666666666667</c:v>
                </c:pt>
                <c:pt idx="9" c:formatCode="0">
                  <c:v>545.666666666667</c:v>
                </c:pt>
                <c:pt idx="10" c:formatCode="0">
                  <c:v>629.333333333334</c:v>
                </c:pt>
                <c:pt idx="11" c:formatCode="0">
                  <c:v>623.333333333334</c:v>
                </c:pt>
                <c:pt idx="12" c:formatCode="0">
                  <c:v>656.333333333334</c:v>
                </c:pt>
                <c:pt idx="13" c:formatCode="0">
                  <c:v>703.333333333334</c:v>
                </c:pt>
                <c:pt idx="14" c:formatCode="0">
                  <c:v>750</c:v>
                </c:pt>
              </c:numCache>
            </c:numRef>
          </c:val>
          <c:smooth val="0"/>
        </c:ser>
        <c:dLbls>
          <c:showLegendKey val="0"/>
          <c:showVal val="0"/>
          <c:showCatName val="0"/>
          <c:showSerName val="0"/>
          <c:showPercent val="0"/>
          <c:showBubbleSize val="0"/>
        </c:dLbls>
        <c:marker val="1"/>
        <c:smooth val="0"/>
        <c:axId val="91943680"/>
        <c:axId val="91945216"/>
      </c:lineChart>
      <c:catAx>
        <c:axId val="91943680"/>
        <c:scaling>
          <c:orientation val="minMax"/>
        </c:scaling>
        <c:delete val="0"/>
        <c:axPos val="b"/>
        <c:numFmt formatCode="General" sourceLinked="1"/>
        <c:majorTickMark val="none"/>
        <c:minorTickMark val="none"/>
        <c:tickLblPos val="nextTo"/>
        <c:txPr>
          <a:bodyPr rot="-60000000" spcFirstLastPara="0" vertOverflow="ellipsis" vert="horz" wrap="square" anchor="ctr" anchorCtr="1"/>
          <a:lstStyle/>
          <a:p>
            <a:pPr>
              <a:defRPr lang="en-GB" sz="1000" b="0" i="0" u="none" strike="noStrike" kern="1200" baseline="0">
                <a:solidFill>
                  <a:schemeClr val="tx1"/>
                </a:solidFill>
                <a:latin typeface="+mn-lt"/>
                <a:ea typeface="+mn-ea"/>
                <a:cs typeface="+mn-cs"/>
              </a:defRPr>
            </a:pPr>
          </a:p>
        </c:txPr>
        <c:crossAx val="91945216"/>
        <c:crosses val="autoZero"/>
        <c:auto val="1"/>
        <c:lblAlgn val="ctr"/>
        <c:lblOffset val="100"/>
        <c:noMultiLvlLbl val="0"/>
      </c:catAx>
      <c:valAx>
        <c:axId val="91945216"/>
        <c:scaling>
          <c:orientation val="minMax"/>
        </c:scaling>
        <c:delete val="0"/>
        <c:axPos val="l"/>
        <c:majorGridlines/>
        <c:numFmt formatCode="General" sourceLinked="1"/>
        <c:majorTickMark val="none"/>
        <c:minorTickMark val="none"/>
        <c:tickLblPos val="nextTo"/>
        <c:spPr>
          <a:ln w="9525" cap="flat" cmpd="sng" algn="ctr">
            <a:noFill/>
            <a:prstDash val="solid"/>
            <a:round/>
          </a:ln>
        </c:spPr>
        <c:txPr>
          <a:bodyPr rot="-60000000" spcFirstLastPara="0" vertOverflow="ellipsis" vert="horz" wrap="square" anchor="ctr" anchorCtr="1"/>
          <a:lstStyle/>
          <a:p>
            <a:pPr>
              <a:defRPr lang="en-GB" sz="1000" b="0" i="0" u="none" strike="noStrike" kern="1200" baseline="0">
                <a:solidFill>
                  <a:schemeClr val="tx1"/>
                </a:solidFill>
                <a:latin typeface="+mn-lt"/>
                <a:ea typeface="+mn-ea"/>
                <a:cs typeface="+mn-cs"/>
              </a:defRPr>
            </a:pPr>
          </a:p>
        </c:txPr>
        <c:crossAx val="91943680"/>
        <c:crosses val="autoZero"/>
        <c:crossBetween val="between"/>
      </c:valAx>
    </c:plotArea>
    <c:legend>
      <c:legendPos val="b"/>
      <c:layout/>
      <c:overlay val="0"/>
      <c:txPr>
        <a:bodyPr rot="0" spcFirstLastPara="0" vertOverflow="ellipsis" vert="horz" wrap="square" anchor="ctr" anchorCtr="1"/>
        <a:lstStyle/>
        <a:p>
          <a:pPr>
            <a:defRPr lang="en-GB" sz="1000" b="0" i="0" u="none" strike="noStrike" kern="1200" baseline="0">
              <a:solidFill>
                <a:schemeClr val="tx1"/>
              </a:solidFill>
              <a:latin typeface="+mn-lt"/>
              <a:ea typeface="+mn-ea"/>
              <a:cs typeface="+mn-cs"/>
            </a:defRPr>
          </a:pPr>
        </a:p>
      </c:txPr>
    </c:legend>
    <c:plotVisOnly val="1"/>
    <c:dispBlanksAs val="gap"/>
    <c:showDLblsOverMax val="0"/>
  </c:chart>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zh-CN"/>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1"/>
    <c:plotArea>
      <c:layout/>
      <c:scatterChart>
        <c:scatterStyle val="lineMarker"/>
        <c:varyColors val="0"/>
        <c:ser>
          <c:idx val="0"/>
          <c:order val="0"/>
          <c:spPr>
            <a:ln w="47625" cap="rnd" cmpd="sng" algn="ctr">
              <a:noFill/>
              <a:prstDash val="solid"/>
              <a:round/>
            </a:ln>
          </c:spPr>
          <c:dLbls>
            <c:delete val="1"/>
          </c:dLbls>
          <c:trendline>
            <c:trendlineType val="linear"/>
            <c:dispRSqr val="1"/>
            <c:dispEq val="1"/>
            <c:trendlineLbl>
              <c:layout/>
              <c:numFmt formatCode="General" sourceLinked="0"/>
              <c:txPr>
                <a:bodyPr rot="0" spcFirstLastPara="0" vertOverflow="ellipsis" vert="horz" wrap="square" anchor="ctr" anchorCtr="1"/>
                <a:lstStyle/>
                <a:p>
                  <a:pPr>
                    <a:defRPr lang="en-GB" sz="1000" b="0" i="0" u="none" strike="noStrike" kern="1200" baseline="0">
                      <a:solidFill>
                        <a:schemeClr val="lt1"/>
                      </a:solidFill>
                      <a:latin typeface="+mn-lt"/>
                      <a:ea typeface="+mn-ea"/>
                      <a:cs typeface="+mn-cs"/>
                    </a:defRPr>
                  </a:pPr>
                </a:p>
              </c:txPr>
            </c:trendlineLbl>
          </c:trendline>
          <c:xVal>
            <c:numRef>
              <c:f>Sheet8!$B$2:$B$13</c:f>
              <c:numCache>
                <c:formatCode>General</c:formatCode>
                <c:ptCount val="12"/>
                <c:pt idx="0">
                  <c:v>535</c:v>
                </c:pt>
                <c:pt idx="1">
                  <c:v>435</c:v>
                </c:pt>
                <c:pt idx="2">
                  <c:v>320</c:v>
                </c:pt>
                <c:pt idx="3">
                  <c:v>455</c:v>
                </c:pt>
                <c:pt idx="4">
                  <c:v>640</c:v>
                </c:pt>
                <c:pt idx="5">
                  <c:v>595</c:v>
                </c:pt>
                <c:pt idx="6">
                  <c:v>535</c:v>
                </c:pt>
                <c:pt idx="7">
                  <c:v>358</c:v>
                </c:pt>
                <c:pt idx="8">
                  <c:v>678</c:v>
                </c:pt>
                <c:pt idx="9">
                  <c:v>601</c:v>
                </c:pt>
                <c:pt idx="10">
                  <c:v>609</c:v>
                </c:pt>
                <c:pt idx="11">
                  <c:v>660</c:v>
                </c:pt>
              </c:numCache>
            </c:numRef>
          </c:xVal>
          <c:yVal>
            <c:numRef>
              <c:f>Sheet8!$C$2:$C$13</c:f>
              <c:numCache>
                <c:formatCode>General</c:formatCode>
                <c:ptCount val="12"/>
                <c:pt idx="0">
                  <c:v>456</c:v>
                </c:pt>
                <c:pt idx="1">
                  <c:v>405</c:v>
                </c:pt>
                <c:pt idx="2">
                  <c:v>250</c:v>
                </c:pt>
                <c:pt idx="3">
                  <c:v>410</c:v>
                </c:pt>
                <c:pt idx="4">
                  <c:v>520</c:v>
                </c:pt>
                <c:pt idx="5">
                  <c:v>512</c:v>
                </c:pt>
                <c:pt idx="6">
                  <c:v>510</c:v>
                </c:pt>
                <c:pt idx="7">
                  <c:v>350</c:v>
                </c:pt>
                <c:pt idx="8">
                  <c:v>400</c:v>
                </c:pt>
                <c:pt idx="9">
                  <c:v>510</c:v>
                </c:pt>
                <c:pt idx="10">
                  <c:v>520</c:v>
                </c:pt>
                <c:pt idx="11">
                  <c:v>541</c:v>
                </c:pt>
              </c:numCache>
            </c:numRef>
          </c:yVal>
          <c:smooth val="0"/>
        </c:ser>
        <c:dLbls>
          <c:showLegendKey val="0"/>
          <c:showVal val="0"/>
          <c:showCatName val="0"/>
          <c:showSerName val="0"/>
          <c:showPercent val="0"/>
          <c:showBubbleSize val="0"/>
        </c:dLbls>
        <c:axId val="100922880"/>
        <c:axId val="101023744"/>
      </c:scatterChart>
      <c:valAx>
        <c:axId val="100922880"/>
        <c:scaling>
          <c:orientation val="minMax"/>
        </c:scaling>
        <c:delete val="0"/>
        <c:axPos val="b"/>
        <c:title>
          <c:tx>
            <c:rich>
              <a:bodyPr rot="0" spcFirstLastPara="0" vertOverflow="ellipsis" vert="horz" wrap="square" anchor="ctr" anchorCtr="1"/>
              <a:lstStyle/>
              <a:p>
                <a:pPr>
                  <a:defRPr lang="en-GB" sz="1000" b="1" i="0" u="none" strike="noStrike" kern="1200" baseline="0">
                    <a:solidFill>
                      <a:schemeClr val="lt1"/>
                    </a:solidFill>
                    <a:latin typeface="+mn-lt"/>
                    <a:ea typeface="+mn-ea"/>
                    <a:cs typeface="+mn-cs"/>
                  </a:defRPr>
                </a:pPr>
                <a:r>
                  <a:rPr lang="en-GB"/>
                  <a:t>X-dependent</a:t>
                </a:r>
                <a:endParaRPr lang="en-GB"/>
              </a:p>
            </c:rich>
          </c:tx>
          <c:layout/>
          <c:overlay val="0"/>
        </c:title>
        <c:numFmt formatCode="General" sourceLinked="1"/>
        <c:majorTickMark val="out"/>
        <c:minorTickMark val="none"/>
        <c:tickLblPos val="nextTo"/>
        <c:txPr>
          <a:bodyPr rot="-60000000" spcFirstLastPara="0" vertOverflow="ellipsis" vert="horz" wrap="square" anchor="ctr" anchorCtr="1"/>
          <a:lstStyle/>
          <a:p>
            <a:pPr>
              <a:defRPr lang="en-GB" sz="1000" b="0" i="0" u="none" strike="noStrike" kern="1200" baseline="0">
                <a:solidFill>
                  <a:schemeClr val="lt1"/>
                </a:solidFill>
                <a:latin typeface="+mn-lt"/>
                <a:ea typeface="+mn-ea"/>
                <a:cs typeface="+mn-cs"/>
              </a:defRPr>
            </a:pPr>
          </a:p>
        </c:txPr>
        <c:crossAx val="101023744"/>
        <c:crosses val="autoZero"/>
        <c:crossBetween val="midCat"/>
      </c:valAx>
      <c:valAx>
        <c:axId val="101023744"/>
        <c:scaling>
          <c:orientation val="minMax"/>
        </c:scaling>
        <c:delete val="0"/>
        <c:axPos val="l"/>
        <c:majorGridlines/>
        <c:minorGridlines/>
        <c:title>
          <c:tx>
            <c:rich>
              <a:bodyPr rot="-5400000" spcFirstLastPara="0" vertOverflow="ellipsis" vert="horz" wrap="square" anchor="ctr" anchorCtr="1"/>
              <a:lstStyle/>
              <a:p>
                <a:pPr>
                  <a:defRPr lang="en-GB" sz="1000" b="1" i="0" u="none" strike="noStrike" kern="1200" baseline="0">
                    <a:solidFill>
                      <a:schemeClr val="lt1"/>
                    </a:solidFill>
                    <a:latin typeface="+mn-lt"/>
                    <a:ea typeface="+mn-ea"/>
                    <a:cs typeface="+mn-cs"/>
                  </a:defRPr>
                </a:pPr>
                <a:r>
                  <a:rPr lang="en-GB"/>
                  <a:t>Y-dependent</a:t>
                </a:r>
                <a:endParaRPr lang="en-GB"/>
              </a:p>
            </c:rich>
          </c:tx>
          <c:layout/>
          <c:overlay val="0"/>
        </c:title>
        <c:numFmt formatCode="General" sourceLinked="1"/>
        <c:majorTickMark val="out"/>
        <c:minorTickMark val="none"/>
        <c:tickLblPos val="nextTo"/>
        <c:txPr>
          <a:bodyPr rot="-60000000" spcFirstLastPara="0" vertOverflow="ellipsis" vert="horz" wrap="square" anchor="ctr" anchorCtr="1"/>
          <a:lstStyle/>
          <a:p>
            <a:pPr>
              <a:defRPr lang="en-GB" sz="1000" b="0" i="0" u="none" strike="noStrike" kern="1200" baseline="0">
                <a:solidFill>
                  <a:schemeClr val="lt1"/>
                </a:solidFill>
                <a:latin typeface="+mn-lt"/>
                <a:ea typeface="+mn-ea"/>
                <a:cs typeface="+mn-cs"/>
              </a:defRPr>
            </a:pPr>
          </a:p>
        </c:txPr>
        <c:crossAx val="100922880"/>
        <c:crosses val="autoZero"/>
        <c:crossBetween val="midCat"/>
      </c:valAx>
    </c:plotArea>
    <c:plotVisOnly val="1"/>
    <c:dispBlanksAs val="gap"/>
    <c:showDLblsOverMax val="0"/>
  </c:chart>
  <c:txPr>
    <a:bodyPr/>
    <a:lstStyle/>
    <a:p>
      <a:pPr>
        <a:defRPr lang="en-US"/>
      </a:pPr>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B556B0C-A636-4209-A90D-9D8F495323BA}">
  <ds:schemaRefs/>
</ds:datastoreItem>
</file>

<file path=docProps/app.xml><?xml version="1.0" encoding="utf-8"?>
<Properties xmlns="http://schemas.openxmlformats.org/officeDocument/2006/extended-properties" xmlns:vt="http://schemas.openxmlformats.org/officeDocument/2006/docPropsVTypes">
  <Template>Normal</Template>
  <Pages>22</Pages>
  <Words>5018</Words>
  <Characters>28606</Characters>
  <Lines>238</Lines>
  <Paragraphs>67</Paragraphs>
  <ScaleCrop>false</ScaleCrop>
  <LinksUpToDate>false</LinksUpToDate>
  <CharactersWithSpaces>33557</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2018-05-02T07:20:00Z</dcterms:created>
  <dc:creator>BLR</dc:creator>
  <cp:lastModifiedBy>dee</cp:lastModifiedBy>
  <dcterms:modified xsi:type="dcterms:W3CDTF">2018-05-02T14:08:39Z</dcterms:modified>
  <cp:revision>2315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1033-10.2.0.6020</vt:lpwstr>
  </property>
</Properties>
</file>