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FB0CA" w14:textId="48D611F8" w:rsidR="00DD2962" w:rsidRPr="00E179F8" w:rsidRDefault="00727576">
      <w:pPr>
        <w:rPr>
          <w:b/>
          <w:bCs/>
        </w:rPr>
      </w:pPr>
      <w:r w:rsidRPr="00E179F8">
        <w:rPr>
          <w:b/>
          <w:bCs/>
        </w:rPr>
        <w:t xml:space="preserve">Exhibition </w:t>
      </w:r>
      <w:r w:rsidR="007137D2" w:rsidRPr="00E179F8">
        <w:rPr>
          <w:b/>
          <w:bCs/>
        </w:rPr>
        <w:t>title</w:t>
      </w:r>
      <w:r w:rsidRPr="00E179F8">
        <w:rPr>
          <w:b/>
          <w:bCs/>
        </w:rPr>
        <w:t xml:space="preserve">: </w:t>
      </w:r>
      <w:r w:rsidR="00DE37B2" w:rsidRPr="00E179F8">
        <w:rPr>
          <w:b/>
          <w:bCs/>
        </w:rPr>
        <w:t xml:space="preserve">Witchcraft </w:t>
      </w:r>
      <w:r w:rsidR="00241200" w:rsidRPr="00E179F8">
        <w:rPr>
          <w:b/>
          <w:bCs/>
        </w:rPr>
        <w:t>in</w:t>
      </w:r>
      <w:r w:rsidR="00DE37B2" w:rsidRPr="00E179F8">
        <w:rPr>
          <w:b/>
          <w:bCs/>
        </w:rPr>
        <w:t xml:space="preserve"> the ancient world</w:t>
      </w:r>
    </w:p>
    <w:p w14:paraId="785F0C5C" w14:textId="3602DC7A" w:rsidR="00DE37B2" w:rsidRDefault="007137D2">
      <w:r>
        <w:t>Th</w:t>
      </w:r>
      <w:r w:rsidR="00A94A74">
        <w:t>is</w:t>
      </w:r>
      <w:r>
        <w:t xml:space="preserve"> exhibition</w:t>
      </w:r>
      <w:r w:rsidR="00A94A74">
        <w:t xml:space="preserve"> in the making</w:t>
      </w:r>
      <w:r>
        <w:t xml:space="preserve"> aims</w:t>
      </w:r>
      <w:r w:rsidR="00DE37B2">
        <w:t xml:space="preserve"> </w:t>
      </w:r>
      <w:r>
        <w:t xml:space="preserve">at </w:t>
      </w:r>
      <w:r w:rsidR="00241200">
        <w:t>presenting</w:t>
      </w:r>
      <w:r w:rsidR="00DE37B2">
        <w:t xml:space="preserve"> objects</w:t>
      </w:r>
      <w:r w:rsidR="00241200">
        <w:t xml:space="preserve"> and texts</w:t>
      </w:r>
      <w:r w:rsidR="00DE37B2">
        <w:t xml:space="preserve"> used in ‘’magical’’ rituals in the Ancient world (</w:t>
      </w:r>
      <w:r w:rsidR="00AA3401">
        <w:t>Mostly antiquity period</w:t>
      </w:r>
      <w:r w:rsidR="00DE37B2">
        <w:t xml:space="preserve">) </w:t>
      </w:r>
      <w:r>
        <w:t>from the cultural area</w:t>
      </w:r>
      <w:r w:rsidR="00B31E86">
        <w:t>s</w:t>
      </w:r>
      <w:r>
        <w:t xml:space="preserve"> of the Mediterranean and Near-East</w:t>
      </w:r>
      <w:r w:rsidR="00241200">
        <w:t xml:space="preserve">. Starting in the summer of 2019, the exhibition is intended to be </w:t>
      </w:r>
      <w:r w:rsidR="0023268E">
        <w:t xml:space="preserve">there </w:t>
      </w:r>
      <w:r w:rsidR="005D2D88">
        <w:t xml:space="preserve">for </w:t>
      </w:r>
      <w:r w:rsidR="0023268E">
        <w:t>6 months</w:t>
      </w:r>
      <w:r w:rsidR="00241200">
        <w:t xml:space="preserve"> in the Ashmolean museum</w:t>
      </w:r>
      <w:r w:rsidR="0092373D">
        <w:t xml:space="preserve"> (From June 21 to December 21, 2019)</w:t>
      </w:r>
      <w:r w:rsidR="00241200">
        <w:t>. I have chosen this museum in particular because of the rich ancient world artefacts they have. The Ashmolean</w:t>
      </w:r>
      <w:r w:rsidR="00C92D2F">
        <w:t xml:space="preserve"> do have a reach in the</w:t>
      </w:r>
      <w:r w:rsidR="00241200">
        <w:t xml:space="preserve"> educational </w:t>
      </w:r>
      <w:r w:rsidR="00C92D2F">
        <w:t>world</w:t>
      </w:r>
      <w:r w:rsidR="003F19E0">
        <w:t>. A</w:t>
      </w:r>
      <w:r w:rsidR="00C92D2F">
        <w:t>ctivities like</w:t>
      </w:r>
      <w:r w:rsidR="001C0247">
        <w:t xml:space="preserve"> explaining magic through an exhibition</w:t>
      </w:r>
      <w:r w:rsidR="00241200">
        <w:t xml:space="preserve"> can be done with schools</w:t>
      </w:r>
      <w:r w:rsidR="00C92D2F">
        <w:t>. So,</w:t>
      </w:r>
      <w:r w:rsidR="00241200">
        <w:t xml:space="preserve"> this exhibition also aims to develop an ongoing educational </w:t>
      </w:r>
      <w:r w:rsidR="00B31E86">
        <w:t xml:space="preserve">engagement </w:t>
      </w:r>
      <w:r w:rsidR="00241200">
        <w:t>with</w:t>
      </w:r>
      <w:r w:rsidR="00001F87">
        <w:t xml:space="preserve">in </w:t>
      </w:r>
      <w:r w:rsidR="00241200">
        <w:t>the museum</w:t>
      </w:r>
      <w:r w:rsidR="00001F87">
        <w:t xml:space="preserve"> and high schools</w:t>
      </w:r>
      <w:r w:rsidR="00241200">
        <w:t>.</w:t>
      </w:r>
      <w:r w:rsidR="009833CE">
        <w:t xml:space="preserve"> The </w:t>
      </w:r>
      <w:r w:rsidR="00256F80">
        <w:t xml:space="preserve">overall </w:t>
      </w:r>
      <w:r w:rsidR="009833CE">
        <w:t>target audience is the general public</w:t>
      </w:r>
      <w:r w:rsidR="00256F80">
        <w:t xml:space="preserve"> as the main idea is </w:t>
      </w:r>
      <w:r w:rsidR="00001F87">
        <w:t xml:space="preserve">to </w:t>
      </w:r>
      <w:r w:rsidR="00256F80">
        <w:t>demystify the use of ‘’magic’’ through time.</w:t>
      </w:r>
    </w:p>
    <w:p w14:paraId="5170E538" w14:textId="538FAE5E" w:rsidR="005D2D88" w:rsidRDefault="00E57CEC">
      <w:r>
        <w:t xml:space="preserve">Located on the ground floor, </w:t>
      </w:r>
      <w:r w:rsidR="00457B5F">
        <w:t xml:space="preserve">the exhibition will be set </w:t>
      </w:r>
      <w:r w:rsidR="00B60ED9">
        <w:t xml:space="preserve">in a room dedicated to it. The exhibition </w:t>
      </w:r>
      <w:r w:rsidR="005D2D88">
        <w:t xml:space="preserve">will </w:t>
      </w:r>
      <w:r w:rsidR="009218CC">
        <w:t>s</w:t>
      </w:r>
      <w:r w:rsidR="005D2D88">
        <w:t xml:space="preserve">how </w:t>
      </w:r>
      <w:r w:rsidR="009218CC">
        <w:t>the</w:t>
      </w:r>
      <w:r w:rsidR="00B60ED9">
        <w:t xml:space="preserve"> </w:t>
      </w:r>
      <w:r w:rsidR="00DE37B2">
        <w:t xml:space="preserve">religious objects </w:t>
      </w:r>
      <w:r w:rsidR="00B60ED9">
        <w:t xml:space="preserve">and </w:t>
      </w:r>
      <w:r w:rsidR="00344B33">
        <w:t>display</w:t>
      </w:r>
      <w:r w:rsidR="00DE37B2">
        <w:t xml:space="preserve"> them in their ritual</w:t>
      </w:r>
      <w:r w:rsidR="002435AA">
        <w:t>/historical</w:t>
      </w:r>
      <w:r w:rsidR="00DE37B2">
        <w:t xml:space="preserve"> context with a demonstration from real live performers</w:t>
      </w:r>
      <w:r w:rsidR="00B60ED9">
        <w:t xml:space="preserve">. The live performances will be presented </w:t>
      </w:r>
      <w:r w:rsidR="0048771B">
        <w:t>every</w:t>
      </w:r>
      <w:r w:rsidR="00B60ED9">
        <w:t xml:space="preserve"> Saturdays</w:t>
      </w:r>
      <w:r w:rsidR="0048771B">
        <w:t xml:space="preserve"> </w:t>
      </w:r>
      <w:r w:rsidR="00B60ED9">
        <w:t>and will be recorded in order to appear on screen the rest of the time.</w:t>
      </w:r>
      <w:r w:rsidR="00A073A0">
        <w:t xml:space="preserve"> </w:t>
      </w:r>
      <w:r w:rsidR="00EC28FA">
        <w:t>Simple costumes</w:t>
      </w:r>
      <w:r w:rsidR="0048771B">
        <w:t xml:space="preserve"> and accessories will be required. Set up in the dark with only white lighting to focus on the performance of 5 actors. A background music will be played in the audio system with a </w:t>
      </w:r>
      <w:r w:rsidR="00EF48D0">
        <w:t xml:space="preserve">narrative explanation </w:t>
      </w:r>
      <w:r w:rsidR="0048771B">
        <w:t>before the ritual starts. The scene will last around 30 minutes</w:t>
      </w:r>
      <w:r w:rsidR="005D2D88">
        <w:t>. Performers will use replicas of the objects</w:t>
      </w:r>
      <w:r w:rsidR="00001F87">
        <w:t xml:space="preserve"> to give a feeling of being transported back in time.</w:t>
      </w:r>
    </w:p>
    <w:p w14:paraId="2DEDF86D" w14:textId="77777777" w:rsidR="00D24B50" w:rsidRDefault="00A12857" w:rsidP="00D24B50">
      <w:pPr>
        <w:keepNext/>
      </w:pPr>
      <w:r>
        <w:rPr>
          <w:noProof/>
        </w:rPr>
        <w:drawing>
          <wp:inline distT="0" distB="0" distL="0" distR="0" wp14:anchorId="796658BB" wp14:editId="163D6830">
            <wp:extent cx="3197092" cy="17983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xresdefaul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08463" cy="1804716"/>
                    </a:xfrm>
                    <a:prstGeom prst="rect">
                      <a:avLst/>
                    </a:prstGeom>
                  </pic:spPr>
                </pic:pic>
              </a:graphicData>
            </a:graphic>
          </wp:inline>
        </w:drawing>
      </w:r>
    </w:p>
    <w:p w14:paraId="3B08B0F7" w14:textId="609FAB58" w:rsidR="00133786" w:rsidRDefault="00D24B50" w:rsidP="00A04789">
      <w:pPr>
        <w:pStyle w:val="Caption"/>
      </w:pPr>
      <w:r>
        <w:t xml:space="preserve">Figure </w:t>
      </w:r>
      <w:fldSimple w:instr=" SEQ Figure \* ARABIC ">
        <w:r w:rsidR="001306E7">
          <w:rPr>
            <w:noProof/>
          </w:rPr>
          <w:t>1</w:t>
        </w:r>
      </w:fldSimple>
      <w:r>
        <w:t>: Example of the ritual setting</w:t>
      </w:r>
      <w:r w:rsidR="00030E7B">
        <w:t>.</w:t>
      </w:r>
      <w:r w:rsidR="00CF4CEB">
        <w:t xml:space="preserve"> </w:t>
      </w:r>
    </w:p>
    <w:p w14:paraId="202B457E" w14:textId="5C7169C2" w:rsidR="00EC28FA" w:rsidRDefault="00BC36BA" w:rsidP="00A04789">
      <w:pPr>
        <w:pStyle w:val="Caption"/>
      </w:pPr>
      <w:r>
        <w:t>Photo</w:t>
      </w:r>
      <w:r w:rsidR="00030E7B">
        <w:t xml:space="preserve"> Credit: </w:t>
      </w:r>
      <w:proofErr w:type="spellStart"/>
      <w:r w:rsidR="00030E7B">
        <w:t>Bilyana</w:t>
      </w:r>
      <w:proofErr w:type="spellEnd"/>
      <w:r w:rsidR="00030E7B">
        <w:t xml:space="preserve"> Cincarevic,</w:t>
      </w:r>
      <w:proofErr w:type="gramStart"/>
      <w:r w:rsidR="00030E7B">
        <w:t>2015,Belgrade</w:t>
      </w:r>
      <w:proofErr w:type="gramEnd"/>
    </w:p>
    <w:p w14:paraId="7C7D45D5" w14:textId="7D42FB3A" w:rsidR="00344B33" w:rsidRDefault="0061687D" w:rsidP="00EE681A">
      <w:pPr>
        <w:keepNext/>
      </w:pPr>
      <w:r>
        <w:lastRenderedPageBreak/>
        <w:t>All objects will be in</w:t>
      </w:r>
      <w:r w:rsidR="005D2D88">
        <w:t xml:space="preserve"> glass</w:t>
      </w:r>
      <w:r>
        <w:t xml:space="preserve"> cases with tungsten lighting,</w:t>
      </w:r>
      <w:r w:rsidR="00344B33">
        <w:t xml:space="preserve"> </w:t>
      </w:r>
      <w:r>
        <w:t>focused on objects and their labels.</w:t>
      </w:r>
      <w:r w:rsidR="005D2D88">
        <w:t xml:space="preserve"> Indeed, it is recognised that tungsten is ideal to do a focus </w:t>
      </w:r>
      <w:r w:rsidR="003F19E0">
        <w:t>on what id displayed</w:t>
      </w:r>
      <w:r w:rsidR="00B87F1A">
        <w:t xml:space="preserve"> (Hunt,2009 p.9)</w:t>
      </w:r>
      <w:r w:rsidR="005D2D88">
        <w:t xml:space="preserve">. </w:t>
      </w:r>
      <w:r>
        <w:t xml:space="preserve"> </w:t>
      </w:r>
    </w:p>
    <w:p w14:paraId="2101760B" w14:textId="602ED317" w:rsidR="00EE681A" w:rsidRDefault="0061687D" w:rsidP="00EE681A">
      <w:pPr>
        <w:keepNext/>
      </w:pPr>
      <w:r>
        <w:t>Som</w:t>
      </w:r>
      <w:r w:rsidR="0092373D">
        <w:t>e</w:t>
      </w:r>
      <w:r w:rsidR="00344B33">
        <w:t xml:space="preserve"> </w:t>
      </w:r>
      <w:r>
        <w:t>replicas of figurines will be available for the public to manipulate, letting them connect with th</w:t>
      </w:r>
      <w:r w:rsidR="00A04789">
        <w:t xml:space="preserve">e </w:t>
      </w:r>
      <w:r>
        <w:t>material and learn about interaction in ritual context.</w:t>
      </w:r>
      <w:r w:rsidR="00F658A1">
        <w:t xml:space="preserve"> </w:t>
      </w:r>
      <w:r>
        <w:t xml:space="preserve"> </w:t>
      </w:r>
    </w:p>
    <w:p w14:paraId="438BC295" w14:textId="7AF6EECE" w:rsidR="00B87F1A" w:rsidRDefault="0092373D" w:rsidP="00B87F1A">
      <w:pPr>
        <w:pStyle w:val="Caption"/>
        <w:keepNext/>
      </w:pPr>
      <w:r>
        <w:rPr>
          <w:noProof/>
        </w:rPr>
        <w:drawing>
          <wp:inline distT="0" distB="0" distL="0" distR="0" wp14:anchorId="6E3452DD" wp14:editId="685BD634">
            <wp:extent cx="3131820" cy="2117257"/>
            <wp:effectExtent l="0" t="0" r="0" b="0"/>
            <wp:docPr id="1" name="Picture 1" descr="Example of the glass display case I project to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g"/>
                    <pic:cNvPicPr/>
                  </pic:nvPicPr>
                  <pic:blipFill>
                    <a:blip r:embed="rId8">
                      <a:extLst>
                        <a:ext uri="{28A0092B-C50C-407E-A947-70E740481C1C}">
                          <a14:useLocalDpi xmlns:a14="http://schemas.microsoft.com/office/drawing/2010/main" val="0"/>
                        </a:ext>
                      </a:extLst>
                    </a:blip>
                    <a:stretch>
                      <a:fillRect/>
                    </a:stretch>
                  </pic:blipFill>
                  <pic:spPr>
                    <a:xfrm>
                      <a:off x="0" y="0"/>
                      <a:ext cx="3144967" cy="2126145"/>
                    </a:xfrm>
                    <a:prstGeom prst="rect">
                      <a:avLst/>
                    </a:prstGeom>
                  </pic:spPr>
                </pic:pic>
              </a:graphicData>
            </a:graphic>
          </wp:inline>
        </w:drawing>
      </w:r>
    </w:p>
    <w:p w14:paraId="5BFAA944" w14:textId="1EAD3932" w:rsidR="008D748A" w:rsidRDefault="00B87F1A" w:rsidP="008D748A">
      <w:pPr>
        <w:pStyle w:val="Caption"/>
      </w:pPr>
      <w:r>
        <w:t xml:space="preserve">Figure </w:t>
      </w:r>
      <w:fldSimple w:instr=" SEQ Figure \* ARABIC ">
        <w:r w:rsidR="001306E7">
          <w:rPr>
            <w:noProof/>
          </w:rPr>
          <w:t>2</w:t>
        </w:r>
      </w:fldSimple>
      <w:r>
        <w:t>: Example of the casing and lighting</w:t>
      </w:r>
      <w:r w:rsidR="00BC36BA">
        <w:t xml:space="preserve">. Photo </w:t>
      </w:r>
      <w:proofErr w:type="gramStart"/>
      <w:r w:rsidR="00BC36BA">
        <w:t>credit :</w:t>
      </w:r>
      <w:proofErr w:type="gramEnd"/>
      <w:r w:rsidR="00BC36BA">
        <w:t xml:space="preserve"> </w:t>
      </w:r>
      <w:r w:rsidR="000A6E4C">
        <w:t>clicknetherfield.com</w:t>
      </w:r>
    </w:p>
    <w:p w14:paraId="28DB932D" w14:textId="474EBAAF" w:rsidR="00A54463" w:rsidRPr="00A54463" w:rsidRDefault="00A54463" w:rsidP="00A54463">
      <w:proofErr w:type="gramStart"/>
      <w:r w:rsidRPr="00E179F8">
        <w:rPr>
          <w:b/>
          <w:bCs/>
        </w:rPr>
        <w:t>Budget :</w:t>
      </w:r>
      <w:proofErr w:type="gramEnd"/>
      <w:r w:rsidRPr="00E179F8">
        <w:rPr>
          <w:b/>
          <w:bCs/>
        </w:rPr>
        <w:t xml:space="preserve"> </w:t>
      </w:r>
      <w:r w:rsidRPr="00E179F8">
        <w:t>2</w:t>
      </w:r>
      <w:r>
        <w:t xml:space="preserve"> 000 000 pounds.</w:t>
      </w:r>
    </w:p>
    <w:p w14:paraId="685911DB" w14:textId="2A198F29" w:rsidR="00FC3BBD" w:rsidRDefault="00FC3BBD">
      <w:r>
        <w:t>This</w:t>
      </w:r>
      <w:r w:rsidR="00B87F1A">
        <w:t xml:space="preserve"> budget</w:t>
      </w:r>
      <w:r>
        <w:t xml:space="preserve"> includes loans from other museums such as The Louvre and the Me</w:t>
      </w:r>
      <w:r w:rsidR="00C97032">
        <w:t>t.</w:t>
      </w:r>
    </w:p>
    <w:p w14:paraId="72292666" w14:textId="5E80D8FF" w:rsidR="0095792C" w:rsidRDefault="0095792C">
      <w:r>
        <w:t xml:space="preserve">Budget for regular </w:t>
      </w:r>
      <w:r w:rsidR="00C97032">
        <w:t xml:space="preserve">security </w:t>
      </w:r>
      <w:r>
        <w:t>staff guarding the exhibition</w:t>
      </w:r>
    </w:p>
    <w:p w14:paraId="2873ACBB" w14:textId="6D22D6B2" w:rsidR="0095792C" w:rsidRDefault="0095792C">
      <w:r>
        <w:t>Budget for casing, lights, stands and panels</w:t>
      </w:r>
    </w:p>
    <w:p w14:paraId="28BFF619" w14:textId="6A223BCE" w:rsidR="0095792C" w:rsidRDefault="0095792C">
      <w:r>
        <w:t xml:space="preserve">Budget for the performance is set in two </w:t>
      </w:r>
      <w:r w:rsidR="00C97032">
        <w:t>times:</w:t>
      </w:r>
      <w:r>
        <w:t xml:space="preserve"> Budget for the actors and </w:t>
      </w:r>
      <w:r w:rsidR="00B87F1A">
        <w:t>costumes, and</w:t>
      </w:r>
      <w:r>
        <w:t xml:space="preserve"> budget for filming</w:t>
      </w:r>
      <w:r w:rsidR="00B87F1A">
        <w:t>. S</w:t>
      </w:r>
      <w:r w:rsidR="00A17CA1">
        <w:t xml:space="preserve">o </w:t>
      </w:r>
      <w:r w:rsidR="00C97032">
        <w:t xml:space="preserve">we </w:t>
      </w:r>
      <w:r w:rsidR="00A17CA1">
        <w:t>need to set a budget for the audio-visual equipment needed to project the performance.</w:t>
      </w:r>
    </w:p>
    <w:p w14:paraId="399D7D62" w14:textId="07E6C06E" w:rsidR="002B5772" w:rsidRDefault="002B5772">
      <w:r>
        <w:t xml:space="preserve">Volunteers, under the supervision of a curator, will help set up the exhibition </w:t>
      </w:r>
    </w:p>
    <w:p w14:paraId="4DB63A0A" w14:textId="71A00CB6" w:rsidR="00A17CA1" w:rsidRDefault="00FA1A6C">
      <w:r>
        <w:t xml:space="preserve">Source of income: A fee </w:t>
      </w:r>
      <w:r w:rsidR="000A6E4C">
        <w:t xml:space="preserve">of 5 pounds </w:t>
      </w:r>
      <w:r>
        <w:t>will be charged to the public for the special temporary exhibition and private funding will be seek</w:t>
      </w:r>
      <w:r w:rsidR="000A6E4C">
        <w:t>. With a</w:t>
      </w:r>
      <w:r w:rsidR="00A54463">
        <w:t>n annual 3.2 million people visiting the Oxford Museums (University of Oxford, 2018</w:t>
      </w:r>
      <w:r w:rsidR="00E179F8">
        <w:t>) there</w:t>
      </w:r>
      <w:r w:rsidR="00A54463">
        <w:t xml:space="preserve"> is a potential of </w:t>
      </w:r>
      <w:r w:rsidR="00EA784E">
        <w:t>8</w:t>
      </w:r>
      <w:r w:rsidR="00A54463">
        <w:t xml:space="preserve"> 000 000 to </w:t>
      </w:r>
      <w:r w:rsidR="00807810">
        <w:t>cover the fees</w:t>
      </w:r>
      <w:r w:rsidR="00EA784E">
        <w:t xml:space="preserve">, based on a </w:t>
      </w:r>
      <w:r w:rsidR="00AC5F4B">
        <w:t>6-month</w:t>
      </w:r>
      <w:r w:rsidR="00EA784E">
        <w:t xml:space="preserve"> </w:t>
      </w:r>
      <w:r w:rsidR="00AC5F4B">
        <w:t xml:space="preserve">visit </w:t>
      </w:r>
      <w:r w:rsidR="00EA784E">
        <w:t>prevision.</w:t>
      </w:r>
    </w:p>
    <w:p w14:paraId="48EE2372" w14:textId="7F83A322" w:rsidR="007959BA" w:rsidRPr="00E179F8" w:rsidRDefault="007959BA">
      <w:pPr>
        <w:rPr>
          <w:b/>
          <w:bCs/>
        </w:rPr>
      </w:pPr>
      <w:r w:rsidRPr="00E179F8">
        <w:rPr>
          <w:b/>
          <w:bCs/>
        </w:rPr>
        <w:t xml:space="preserve">Objects </w:t>
      </w:r>
      <w:r w:rsidR="00E179F8" w:rsidRPr="00E179F8">
        <w:rPr>
          <w:b/>
          <w:bCs/>
        </w:rPr>
        <w:t>rationale</w:t>
      </w:r>
      <w:r w:rsidRPr="00E179F8">
        <w:rPr>
          <w:b/>
          <w:bCs/>
        </w:rPr>
        <w:t>:</w:t>
      </w:r>
    </w:p>
    <w:p w14:paraId="2F3C4E1B" w14:textId="3B22997D" w:rsidR="00F658A1" w:rsidRDefault="00F658A1" w:rsidP="00F658A1">
      <w:r w:rsidRPr="00F658A1">
        <w:t xml:space="preserve">Objects featured would </w:t>
      </w:r>
      <w:r w:rsidR="003F19E0">
        <w:t>include</w:t>
      </w:r>
      <w:r w:rsidRPr="00F658A1">
        <w:t xml:space="preserve"> amulets used in Mesopotamia,</w:t>
      </w:r>
      <w:r w:rsidR="00B87F1A">
        <w:t xml:space="preserve"> Egypt and Greece</w:t>
      </w:r>
      <w:r w:rsidRPr="00F658A1">
        <w:t>. Demon</w:t>
      </w:r>
      <w:r w:rsidR="00B87F1A">
        <w:t>ic</w:t>
      </w:r>
      <w:r w:rsidR="00B4668C">
        <w:t xml:space="preserve"> </w:t>
      </w:r>
      <w:r w:rsidR="009A0BB3">
        <w:t xml:space="preserve">figurines </w:t>
      </w:r>
      <w:r w:rsidRPr="00F658A1">
        <w:t xml:space="preserve">acting as </w:t>
      </w:r>
      <w:r w:rsidR="00B87F1A">
        <w:t>apotropaic</w:t>
      </w:r>
      <w:r w:rsidRPr="00F658A1">
        <w:t xml:space="preserve"> as well as incantations bowls. Instead of being separated by region, similar objects will be grouped together with textual evidences when available</w:t>
      </w:r>
      <w:r w:rsidR="001B4FA4">
        <w:t xml:space="preserve"> (tablets and papyri)</w:t>
      </w:r>
      <w:r w:rsidRPr="00F658A1">
        <w:t xml:space="preserve">. Section panels will describe the background of objects, their functions and history and why they are showcased there. The objects labels will provide more specific information about the object like its name, </w:t>
      </w:r>
      <w:r w:rsidR="00FB6D46">
        <w:t xml:space="preserve">provenance and dating of the object, </w:t>
      </w:r>
      <w:r w:rsidR="00FB6D46" w:rsidRPr="00F658A1">
        <w:t>if</w:t>
      </w:r>
      <w:r w:rsidRPr="00F658A1">
        <w:t xml:space="preserve"> known</w:t>
      </w:r>
      <w:r w:rsidR="00FB6D46">
        <w:t>.</w:t>
      </w:r>
      <w:r w:rsidRPr="00F658A1">
        <w:t xml:space="preserve"> </w:t>
      </w:r>
      <w:r w:rsidR="00FB6D46">
        <w:t>I</w:t>
      </w:r>
      <w:r w:rsidRPr="00F658A1">
        <w:t xml:space="preserve">ts uses </w:t>
      </w:r>
      <w:r w:rsidR="00156B35">
        <w:t xml:space="preserve">in the ancient world </w:t>
      </w:r>
      <w:r w:rsidRPr="00F658A1">
        <w:t xml:space="preserve">and how it </w:t>
      </w:r>
      <w:r w:rsidR="00156B35">
        <w:t>was</w:t>
      </w:r>
      <w:r w:rsidRPr="00F658A1">
        <w:t xml:space="preserve"> used in relation to an incantation</w:t>
      </w:r>
      <w:r w:rsidR="00156B35">
        <w:t>. The descriptive panel will also</w:t>
      </w:r>
      <w:r w:rsidRPr="00F658A1">
        <w:t xml:space="preserve"> refer to </w:t>
      </w:r>
      <w:r w:rsidR="00156B35">
        <w:t xml:space="preserve">the </w:t>
      </w:r>
      <w:r w:rsidRPr="00F658A1">
        <w:t>ritual performance showed in the videos.</w:t>
      </w:r>
      <w:r w:rsidR="00432F8C">
        <w:t xml:space="preserve"> </w:t>
      </w:r>
      <w:r w:rsidR="00AE0469">
        <w:t>Being separated by type will also help the public to understand, in a comparative way, the use of those objects, showing relationship between cultures and human behaviour.</w:t>
      </w:r>
    </w:p>
    <w:p w14:paraId="122A742C" w14:textId="156616B8" w:rsidR="00067E61" w:rsidRDefault="00EB6EEB" w:rsidP="00F658A1">
      <w:r>
        <w:lastRenderedPageBreak/>
        <w:t xml:space="preserve">For example, how the </w:t>
      </w:r>
      <w:r w:rsidR="00735500">
        <w:t>figure</w:t>
      </w:r>
      <w:r>
        <w:t xml:space="preserve"> of Bes used in Egypt besides Pazuzu</w:t>
      </w:r>
      <w:r w:rsidR="008D748A">
        <w:t xml:space="preserve"> from Mesopotamia</w:t>
      </w:r>
      <w:r>
        <w:t xml:space="preserve"> demonstrates </w:t>
      </w:r>
      <w:r w:rsidR="008D748A">
        <w:t>correlation in the function of demons as protective agents</w:t>
      </w:r>
      <w:r w:rsidR="00E452CE">
        <w:t xml:space="preserve"> (Louvre Museum</w:t>
      </w:r>
      <w:r w:rsidR="00FB6D46">
        <w:t xml:space="preserve"> website</w:t>
      </w:r>
      <w:r w:rsidR="00E452CE">
        <w:t>,2019</w:t>
      </w:r>
      <w:r w:rsidR="00FB6D46">
        <w:t>)</w:t>
      </w:r>
      <w:r w:rsidR="00067E61">
        <w:t xml:space="preserve"> Both</w:t>
      </w:r>
      <w:r w:rsidR="007B0287">
        <w:t xml:space="preserve"> these</w:t>
      </w:r>
      <w:r w:rsidR="00067E61">
        <w:t xml:space="preserve"> figures also have textual incantations, showing the relation between object and texts.</w:t>
      </w:r>
      <w:r w:rsidR="00553E85">
        <w:t xml:space="preserve"> This is the part that will be used in the performance. Performers will say the incantation and </w:t>
      </w:r>
      <w:r w:rsidR="0044210C">
        <w:t>ritual will be done with the object to give</w:t>
      </w:r>
      <w:bookmarkStart w:id="0" w:name="_GoBack"/>
      <w:bookmarkEnd w:id="0"/>
      <w:r w:rsidR="0044210C">
        <w:t xml:space="preserve"> it its apotropaic feature.</w:t>
      </w:r>
    </w:p>
    <w:p w14:paraId="37F088DE" w14:textId="77777777" w:rsidR="001306E7" w:rsidRDefault="00EB6EEB" w:rsidP="001306E7">
      <w:pPr>
        <w:keepNext/>
      </w:pPr>
      <w:r>
        <w:rPr>
          <w:noProof/>
        </w:rPr>
        <w:drawing>
          <wp:inline distT="0" distB="0" distL="0" distR="0" wp14:anchorId="1563DDE6" wp14:editId="5A1CA36E">
            <wp:extent cx="1349502" cy="2346960"/>
            <wp:effectExtent l="0" t="0" r="3175" b="0"/>
            <wp:docPr id="3" name="Picture 3" descr="A picture containing bear, teddy,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in-imag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52337" cy="2351891"/>
                    </a:xfrm>
                    <a:prstGeom prst="rect">
                      <a:avLst/>
                    </a:prstGeom>
                  </pic:spPr>
                </pic:pic>
              </a:graphicData>
            </a:graphic>
          </wp:inline>
        </w:drawing>
      </w:r>
    </w:p>
    <w:p w14:paraId="21BF8F2E" w14:textId="0C0383C7" w:rsidR="001306E7" w:rsidRDefault="001306E7" w:rsidP="001306E7">
      <w:pPr>
        <w:pStyle w:val="Caption"/>
      </w:pPr>
      <w:r>
        <w:t xml:space="preserve">Figure </w:t>
      </w:r>
      <w:r w:rsidR="000F5321">
        <w:fldChar w:fldCharType="begin"/>
      </w:r>
      <w:r w:rsidR="000F5321">
        <w:instrText xml:space="preserve"> SEQ Figure \* ARABIC </w:instrText>
      </w:r>
      <w:r w:rsidR="000F5321">
        <w:fldChar w:fldCharType="separate"/>
      </w:r>
      <w:r>
        <w:rPr>
          <w:noProof/>
        </w:rPr>
        <w:t>3</w:t>
      </w:r>
      <w:r w:rsidR="000F5321">
        <w:rPr>
          <w:noProof/>
        </w:rPr>
        <w:fldChar w:fldCharType="end"/>
      </w:r>
      <w:r>
        <w:t>: The demon Bes. credit: Met Museum</w:t>
      </w:r>
    </w:p>
    <w:p w14:paraId="47BDFC9B" w14:textId="77777777" w:rsidR="001306E7" w:rsidRDefault="00735500" w:rsidP="001306E7">
      <w:pPr>
        <w:keepNext/>
      </w:pPr>
      <w:r>
        <w:rPr>
          <w:noProof/>
        </w:rPr>
        <w:drawing>
          <wp:inline distT="0" distB="0" distL="0" distR="0" wp14:anchorId="4E4DDAB5" wp14:editId="0B33DF2A">
            <wp:extent cx="2042160" cy="264308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ssyrian pazuzu 1st mill.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2549" cy="2643592"/>
                    </a:xfrm>
                    <a:prstGeom prst="rect">
                      <a:avLst/>
                    </a:prstGeom>
                  </pic:spPr>
                </pic:pic>
              </a:graphicData>
            </a:graphic>
          </wp:inline>
        </w:drawing>
      </w:r>
    </w:p>
    <w:p w14:paraId="35F89B0E" w14:textId="26AB637C" w:rsidR="00EB6EEB" w:rsidRDefault="001306E7" w:rsidP="001306E7">
      <w:pPr>
        <w:pStyle w:val="Caption"/>
      </w:pPr>
      <w:r>
        <w:t xml:space="preserve">Figure </w:t>
      </w:r>
      <w:r w:rsidR="000F5321">
        <w:fldChar w:fldCharType="begin"/>
      </w:r>
      <w:r w:rsidR="000F5321">
        <w:instrText xml:space="preserve"> SEQ Figure \* ARABIC </w:instrText>
      </w:r>
      <w:r w:rsidR="000F5321">
        <w:fldChar w:fldCharType="separate"/>
      </w:r>
      <w:r>
        <w:rPr>
          <w:noProof/>
        </w:rPr>
        <w:t>4</w:t>
      </w:r>
      <w:r w:rsidR="000F5321">
        <w:rPr>
          <w:noProof/>
        </w:rPr>
        <w:fldChar w:fldCharType="end"/>
      </w:r>
      <w:r>
        <w:t>: The demon Pazuzu. Credit: Louvre Museum</w:t>
      </w:r>
    </w:p>
    <w:p w14:paraId="5EA6BAFB" w14:textId="77777777" w:rsidR="007B0287" w:rsidRDefault="007B0287" w:rsidP="00EB6EEB"/>
    <w:p w14:paraId="45A463BC" w14:textId="3366C259" w:rsidR="00161B34" w:rsidRPr="00F658A1" w:rsidRDefault="00390CFB" w:rsidP="00F658A1">
      <w:r>
        <w:t>This is only an example but the same can be done with numerous amulets found</w:t>
      </w:r>
      <w:r w:rsidR="001B4FA4">
        <w:t xml:space="preserve">. It will be interesting to show to the public that ancient demons were not always considered evil but could also be a protection against bad energies. </w:t>
      </w:r>
      <w:r w:rsidR="002F788E">
        <w:t>This other side of magic can change perception about one’s own cultural bias and interpretation of what is a demon and what is ‘’magic’’.</w:t>
      </w:r>
      <w:r w:rsidR="001B334E">
        <w:t xml:space="preserve"> I hope this kind of exhibition can </w:t>
      </w:r>
      <w:r w:rsidR="009723B3">
        <w:t>lead</w:t>
      </w:r>
      <w:r w:rsidR="001B334E">
        <w:t xml:space="preserve"> </w:t>
      </w:r>
      <w:r w:rsidR="009723B3">
        <w:t>the public’s mind to expand their intellectual horizons.</w:t>
      </w:r>
    </w:p>
    <w:p w14:paraId="5ABE3B83" w14:textId="77777777" w:rsidR="002435AA" w:rsidRDefault="002435AA"/>
    <w:p w14:paraId="389F73D8" w14:textId="1814637E" w:rsidR="002435AA" w:rsidRDefault="002435AA"/>
    <w:p w14:paraId="61398B46" w14:textId="77777777" w:rsidR="001306E7" w:rsidRDefault="001306E7"/>
    <w:p w14:paraId="2240EDD0" w14:textId="5BEF23E1" w:rsidR="009C55BE" w:rsidRDefault="00326561">
      <w:proofErr w:type="gramStart"/>
      <w:r>
        <w:lastRenderedPageBreak/>
        <w:t>References :</w:t>
      </w:r>
      <w:proofErr w:type="gramEnd"/>
    </w:p>
    <w:p w14:paraId="1899FE86" w14:textId="3DA8C1E0" w:rsidR="002263AB" w:rsidRDefault="009C55BE">
      <w:r>
        <w:t xml:space="preserve">Gay Hunt, Elizabeth (2009) Study of Museum lighting and Design. </w:t>
      </w:r>
      <w:r w:rsidR="002263AB">
        <w:t>PhD</w:t>
      </w:r>
      <w:r>
        <w:t xml:space="preserve"> thesis</w:t>
      </w:r>
      <w:r w:rsidR="007E5049">
        <w:t xml:space="preserve"> from </w:t>
      </w:r>
      <w:r w:rsidR="00C728FF">
        <w:t>Texas state University San-Marcos. 54 pages</w:t>
      </w:r>
    </w:p>
    <w:p w14:paraId="0E229661" w14:textId="682791F0" w:rsidR="00DE242C" w:rsidRDefault="00DE242C">
      <w:r>
        <w:t xml:space="preserve">Pazuzu description by the Louvre: </w:t>
      </w:r>
      <w:hyperlink r:id="rId11" w:history="1">
        <w:r w:rsidRPr="00DE242C">
          <w:rPr>
            <w:rStyle w:val="Hyperlink"/>
          </w:rPr>
          <w:t>https://www.louvre.fr/en/oeuvre-notices/statuette-demon-pazuzu-inscription</w:t>
        </w:r>
      </w:hyperlink>
    </w:p>
    <w:p w14:paraId="4CDE90C7" w14:textId="08D6A483" w:rsidR="00495951" w:rsidRDefault="00326561">
      <w:r>
        <w:t xml:space="preserve">University of Oxford, 2018 article : </w:t>
      </w:r>
      <w:hyperlink r:id="rId12" w:history="1">
        <w:r w:rsidRPr="00326561">
          <w:rPr>
            <w:rStyle w:val="Hyperlink"/>
          </w:rPr>
          <w:t>http://www.ox.ac.uk/news/2018-03-19-13-rise-visitors-oxford-university%E2%80%99s-gardens-libraries-and-museums</w:t>
        </w:r>
      </w:hyperlink>
    </w:p>
    <w:p w14:paraId="5E2F0361" w14:textId="77777777" w:rsidR="00326561" w:rsidRDefault="00326561"/>
    <w:p w14:paraId="4D45037D" w14:textId="77777777" w:rsidR="00495951" w:rsidRDefault="00495951"/>
    <w:p w14:paraId="6C280AF3" w14:textId="77777777" w:rsidR="00F7627C" w:rsidRDefault="00F7627C"/>
    <w:p w14:paraId="3E927B19" w14:textId="77777777" w:rsidR="00DE37B2" w:rsidRDefault="00DE37B2"/>
    <w:sectPr w:rsidR="00DE37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6E42D" w14:textId="77777777" w:rsidR="000F5321" w:rsidRDefault="000F5321" w:rsidP="00B87F1A">
      <w:pPr>
        <w:spacing w:after="0" w:line="240" w:lineRule="auto"/>
      </w:pPr>
      <w:r>
        <w:separator/>
      </w:r>
    </w:p>
  </w:endnote>
  <w:endnote w:type="continuationSeparator" w:id="0">
    <w:p w14:paraId="4423FBB1" w14:textId="77777777" w:rsidR="000F5321" w:rsidRDefault="000F5321" w:rsidP="00B8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5FAA4" w14:textId="77777777" w:rsidR="000F5321" w:rsidRDefault="000F5321" w:rsidP="00B87F1A">
      <w:pPr>
        <w:spacing w:after="0" w:line="240" w:lineRule="auto"/>
      </w:pPr>
      <w:r>
        <w:separator/>
      </w:r>
    </w:p>
  </w:footnote>
  <w:footnote w:type="continuationSeparator" w:id="0">
    <w:p w14:paraId="148DC6EA" w14:textId="77777777" w:rsidR="000F5321" w:rsidRDefault="000F5321" w:rsidP="00B87F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962"/>
    <w:rsid w:val="00001F87"/>
    <w:rsid w:val="00030E7B"/>
    <w:rsid w:val="00041E42"/>
    <w:rsid w:val="00067E61"/>
    <w:rsid w:val="000A6E4C"/>
    <w:rsid w:val="000F5321"/>
    <w:rsid w:val="001306E7"/>
    <w:rsid w:val="00133786"/>
    <w:rsid w:val="001368CB"/>
    <w:rsid w:val="00156B35"/>
    <w:rsid w:val="00161B34"/>
    <w:rsid w:val="001B334E"/>
    <w:rsid w:val="001B4FA4"/>
    <w:rsid w:val="001C0247"/>
    <w:rsid w:val="002263AB"/>
    <w:rsid w:val="0023268E"/>
    <w:rsid w:val="00241200"/>
    <w:rsid w:val="002435AA"/>
    <w:rsid w:val="00256F80"/>
    <w:rsid w:val="002B5772"/>
    <w:rsid w:val="002F788E"/>
    <w:rsid w:val="00326561"/>
    <w:rsid w:val="00344B33"/>
    <w:rsid w:val="00373120"/>
    <w:rsid w:val="00390CFB"/>
    <w:rsid w:val="003F19E0"/>
    <w:rsid w:val="00432F8C"/>
    <w:rsid w:val="0044210C"/>
    <w:rsid w:val="00457B5F"/>
    <w:rsid w:val="0048771B"/>
    <w:rsid w:val="00495951"/>
    <w:rsid w:val="00553E85"/>
    <w:rsid w:val="005D2D88"/>
    <w:rsid w:val="0061687D"/>
    <w:rsid w:val="007137D2"/>
    <w:rsid w:val="00727576"/>
    <w:rsid w:val="00735500"/>
    <w:rsid w:val="00794E3C"/>
    <w:rsid w:val="007959BA"/>
    <w:rsid w:val="007B0287"/>
    <w:rsid w:val="007E5049"/>
    <w:rsid w:val="007F48F0"/>
    <w:rsid w:val="00807810"/>
    <w:rsid w:val="008D748A"/>
    <w:rsid w:val="009218CC"/>
    <w:rsid w:val="0092373D"/>
    <w:rsid w:val="0095792C"/>
    <w:rsid w:val="009723B3"/>
    <w:rsid w:val="009833CE"/>
    <w:rsid w:val="009A0BB3"/>
    <w:rsid w:val="009C55BE"/>
    <w:rsid w:val="00A04789"/>
    <w:rsid w:val="00A073A0"/>
    <w:rsid w:val="00A12857"/>
    <w:rsid w:val="00A17CA1"/>
    <w:rsid w:val="00A54463"/>
    <w:rsid w:val="00A94A74"/>
    <w:rsid w:val="00AA3401"/>
    <w:rsid w:val="00AC5F4B"/>
    <w:rsid w:val="00AE0469"/>
    <w:rsid w:val="00B31E86"/>
    <w:rsid w:val="00B42084"/>
    <w:rsid w:val="00B4668C"/>
    <w:rsid w:val="00B60ED9"/>
    <w:rsid w:val="00B87F1A"/>
    <w:rsid w:val="00BC36BA"/>
    <w:rsid w:val="00BD750F"/>
    <w:rsid w:val="00C46A0E"/>
    <w:rsid w:val="00C728FF"/>
    <w:rsid w:val="00C92D2F"/>
    <w:rsid w:val="00C97032"/>
    <w:rsid w:val="00CF4CEB"/>
    <w:rsid w:val="00D13600"/>
    <w:rsid w:val="00D24B50"/>
    <w:rsid w:val="00DA5875"/>
    <w:rsid w:val="00DD2962"/>
    <w:rsid w:val="00DE242C"/>
    <w:rsid w:val="00DE37B2"/>
    <w:rsid w:val="00DE4EC3"/>
    <w:rsid w:val="00E179F8"/>
    <w:rsid w:val="00E452CE"/>
    <w:rsid w:val="00E57CEC"/>
    <w:rsid w:val="00EA784E"/>
    <w:rsid w:val="00EB6EEB"/>
    <w:rsid w:val="00EC28FA"/>
    <w:rsid w:val="00EE681A"/>
    <w:rsid w:val="00EF48D0"/>
    <w:rsid w:val="00F658A1"/>
    <w:rsid w:val="00F7627C"/>
    <w:rsid w:val="00FA1A6C"/>
    <w:rsid w:val="00FB6D46"/>
    <w:rsid w:val="00FC3BBD"/>
  </w:rsids>
  <m:mathPr>
    <m:mathFont m:val="Cambria Math"/>
    <m:brkBin m:val="before"/>
    <m:brkBinSub m:val="--"/>
    <m:smallFrac m:val="0"/>
    <m:dispDef/>
    <m:lMargin m:val="0"/>
    <m:rMargin m:val="0"/>
    <m:defJc m:val="centerGroup"/>
    <m:wrapIndent m:val="1440"/>
    <m:intLim m:val="subSup"/>
    <m:naryLim m:val="undOvr"/>
  </m:mathPr>
  <w:themeFontLang w:val="en-GB"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23620"/>
  <w15:chartTrackingRefBased/>
  <w15:docId w15:val="{A2319F08-AF0E-40D8-A874-C54A8825B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GB" w:eastAsia="en-US" w:bidi="s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268E"/>
    <w:pPr>
      <w:spacing w:after="0" w:line="240" w:lineRule="auto"/>
    </w:pPr>
    <w:rPr>
      <w:rFonts w:ascii="Segoe UI" w:hAnsi="Segoe UI" w:cs="Segoe UI"/>
      <w:sz w:val="18"/>
      <w:szCs w:val="16"/>
    </w:rPr>
  </w:style>
  <w:style w:type="character" w:customStyle="1" w:styleId="BalloonTextChar">
    <w:name w:val="Balloon Text Char"/>
    <w:basedOn w:val="DefaultParagraphFont"/>
    <w:link w:val="BalloonText"/>
    <w:uiPriority w:val="99"/>
    <w:semiHidden/>
    <w:rsid w:val="0023268E"/>
    <w:rPr>
      <w:rFonts w:ascii="Segoe UI" w:hAnsi="Segoe UI" w:cs="Segoe UI"/>
      <w:sz w:val="18"/>
      <w:szCs w:val="16"/>
    </w:rPr>
  </w:style>
  <w:style w:type="paragraph" w:styleId="Caption">
    <w:name w:val="caption"/>
    <w:basedOn w:val="Normal"/>
    <w:next w:val="Normal"/>
    <w:uiPriority w:val="35"/>
    <w:unhideWhenUsed/>
    <w:qFormat/>
    <w:rsid w:val="00D24B50"/>
    <w:pPr>
      <w:spacing w:after="200" w:line="240" w:lineRule="auto"/>
    </w:pPr>
    <w:rPr>
      <w:i/>
      <w:iCs/>
      <w:color w:val="44546A" w:themeColor="text2"/>
      <w:sz w:val="18"/>
      <w:szCs w:val="16"/>
    </w:rPr>
  </w:style>
  <w:style w:type="paragraph" w:styleId="FootnoteText">
    <w:name w:val="footnote text"/>
    <w:basedOn w:val="Normal"/>
    <w:link w:val="FootnoteTextChar"/>
    <w:uiPriority w:val="99"/>
    <w:semiHidden/>
    <w:unhideWhenUsed/>
    <w:rsid w:val="00B87F1A"/>
    <w:pPr>
      <w:spacing w:after="0" w:line="240" w:lineRule="auto"/>
    </w:pPr>
    <w:rPr>
      <w:sz w:val="20"/>
      <w:szCs w:val="18"/>
    </w:rPr>
  </w:style>
  <w:style w:type="character" w:customStyle="1" w:styleId="FootnoteTextChar">
    <w:name w:val="Footnote Text Char"/>
    <w:basedOn w:val="DefaultParagraphFont"/>
    <w:link w:val="FootnoteText"/>
    <w:uiPriority w:val="99"/>
    <w:semiHidden/>
    <w:rsid w:val="00B87F1A"/>
    <w:rPr>
      <w:sz w:val="20"/>
      <w:szCs w:val="18"/>
    </w:rPr>
  </w:style>
  <w:style w:type="character" w:styleId="FootnoteReference">
    <w:name w:val="footnote reference"/>
    <w:basedOn w:val="DefaultParagraphFont"/>
    <w:uiPriority w:val="99"/>
    <w:semiHidden/>
    <w:unhideWhenUsed/>
    <w:rsid w:val="00B87F1A"/>
    <w:rPr>
      <w:vertAlign w:val="superscript"/>
    </w:rPr>
  </w:style>
  <w:style w:type="character" w:styleId="Hyperlink">
    <w:name w:val="Hyperlink"/>
    <w:basedOn w:val="DefaultParagraphFont"/>
    <w:uiPriority w:val="99"/>
    <w:unhideWhenUsed/>
    <w:rsid w:val="00326561"/>
    <w:rPr>
      <w:color w:val="0563C1" w:themeColor="hyperlink"/>
      <w:u w:val="single"/>
    </w:rPr>
  </w:style>
  <w:style w:type="character" w:styleId="UnresolvedMention">
    <w:name w:val="Unresolved Mention"/>
    <w:basedOn w:val="DefaultParagraphFont"/>
    <w:uiPriority w:val="99"/>
    <w:semiHidden/>
    <w:unhideWhenUsed/>
    <w:rsid w:val="00326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ox.ac.uk/news/2018-03-19-13-rise-visitors-oxford-university%E2%80%99s-gardens-libraries-and-museum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uvre.fr/en/oeuvre-notices/statuette-demon-pazuzu-inscription" TargetMode="Externa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D9675-2C7E-4CF5-A6EE-B1208581D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4</Pages>
  <Words>830</Words>
  <Characters>4736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88</cp:revision>
  <dcterms:created xsi:type="dcterms:W3CDTF">2019-03-17T16:03:00Z</dcterms:created>
  <dcterms:modified xsi:type="dcterms:W3CDTF">2019-04-14T20:41:00Z</dcterms:modified>
</cp:coreProperties>
</file>