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45697" w14:textId="77777777" w:rsidR="005625D6" w:rsidRDefault="00000000">
      <w:pPr>
        <w:spacing w:after="222" w:line="259" w:lineRule="auto"/>
        <w:ind w:right="0" w:firstLine="0"/>
        <w:jc w:val="center"/>
      </w:pPr>
      <w:r>
        <w:rPr>
          <w:noProof/>
        </w:rPr>
        <w:drawing>
          <wp:inline distT="0" distB="0" distL="0" distR="0" wp14:anchorId="2C709734" wp14:editId="76656461">
            <wp:extent cx="2873375" cy="1743075"/>
            <wp:effectExtent l="0" t="0" r="0" b="0"/>
            <wp:docPr id="41" name="Picture 4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7"/>
                    <a:stretch>
                      <a:fillRect/>
                    </a:stretch>
                  </pic:blipFill>
                  <pic:spPr>
                    <a:xfrm>
                      <a:off x="0" y="0"/>
                      <a:ext cx="2873375" cy="1743075"/>
                    </a:xfrm>
                    <a:prstGeom prst="rect">
                      <a:avLst/>
                    </a:prstGeom>
                  </pic:spPr>
                </pic:pic>
              </a:graphicData>
            </a:graphic>
          </wp:inline>
        </w:drawing>
      </w:r>
      <w:r>
        <w:rPr>
          <w:b/>
        </w:rPr>
        <w:t xml:space="preserve"> </w:t>
      </w:r>
    </w:p>
    <w:p w14:paraId="0F9ABCD2" w14:textId="77777777" w:rsidR="005625D6" w:rsidRDefault="00000000">
      <w:pPr>
        <w:spacing w:after="267" w:line="259" w:lineRule="auto"/>
        <w:ind w:left="0" w:right="0" w:firstLine="0"/>
        <w:jc w:val="left"/>
      </w:pPr>
      <w:r>
        <w:rPr>
          <w:b/>
        </w:rPr>
        <w:t xml:space="preserve"> </w:t>
      </w:r>
    </w:p>
    <w:p w14:paraId="3E4A6F39" w14:textId="77777777" w:rsidR="005625D6" w:rsidRDefault="00000000">
      <w:pPr>
        <w:spacing w:after="322" w:line="259" w:lineRule="auto"/>
        <w:ind w:left="0" w:right="0" w:firstLine="0"/>
        <w:jc w:val="left"/>
      </w:pPr>
      <w:r>
        <w:rPr>
          <w:b/>
        </w:rPr>
        <w:t xml:space="preserve"> </w:t>
      </w:r>
    </w:p>
    <w:p w14:paraId="4899BA9E" w14:textId="3583644A" w:rsidR="005625D6" w:rsidRDefault="00000000">
      <w:pPr>
        <w:spacing w:after="297" w:line="259" w:lineRule="auto"/>
        <w:ind w:left="0" w:right="673" w:firstLine="0"/>
        <w:jc w:val="right"/>
      </w:pPr>
      <w:r w:rsidRPr="00461047">
        <w:rPr>
          <w:b/>
          <w:sz w:val="32"/>
          <w:szCs w:val="32"/>
        </w:rPr>
        <w:t>Module Code and Title</w:t>
      </w:r>
      <w:r>
        <w:rPr>
          <w:b/>
          <w:sz w:val="28"/>
        </w:rPr>
        <w:t xml:space="preserve">: </w:t>
      </w:r>
      <w:r w:rsidR="00461047">
        <w:rPr>
          <w:b/>
          <w:sz w:val="28"/>
        </w:rPr>
        <w:t xml:space="preserve"> </w:t>
      </w:r>
      <w:r>
        <w:rPr>
          <w:sz w:val="28"/>
        </w:rPr>
        <w:t>BMSW4010 - Learning in the Digital Era</w:t>
      </w:r>
      <w:r>
        <w:rPr>
          <w:b/>
          <w:color w:val="222A35"/>
          <w:sz w:val="28"/>
        </w:rPr>
        <w:t xml:space="preserve"> </w:t>
      </w:r>
    </w:p>
    <w:p w14:paraId="4C99223A" w14:textId="0AAB9332" w:rsidR="005625D6" w:rsidRDefault="00461047" w:rsidP="00461047">
      <w:pPr>
        <w:spacing w:after="238" w:line="259" w:lineRule="auto"/>
        <w:ind w:right="0"/>
        <w:jc w:val="left"/>
      </w:pPr>
      <w:r>
        <w:rPr>
          <w:b/>
          <w:sz w:val="32"/>
          <w:szCs w:val="32"/>
        </w:rPr>
        <w:t xml:space="preserve">          </w:t>
      </w:r>
      <w:r w:rsidRPr="00461047">
        <w:rPr>
          <w:b/>
          <w:sz w:val="32"/>
          <w:szCs w:val="32"/>
        </w:rPr>
        <w:t>Assignment Type</w:t>
      </w:r>
      <w:r>
        <w:rPr>
          <w:b/>
          <w:sz w:val="28"/>
        </w:rPr>
        <w:t xml:space="preserve">:  </w:t>
      </w:r>
      <w:r w:rsidR="001D0AA3">
        <w:rPr>
          <w:sz w:val="28"/>
        </w:rPr>
        <w:t>300 words on Academic writing</w:t>
      </w:r>
      <w:r>
        <w:rPr>
          <w:b/>
          <w:color w:val="222A35"/>
          <w:sz w:val="28"/>
        </w:rPr>
        <w:t xml:space="preserve"> </w:t>
      </w:r>
    </w:p>
    <w:p w14:paraId="29C2FB51" w14:textId="77777777" w:rsidR="005625D6" w:rsidRDefault="00000000">
      <w:pPr>
        <w:spacing w:after="267" w:line="259" w:lineRule="auto"/>
        <w:ind w:left="0" w:right="0" w:firstLine="0"/>
        <w:jc w:val="left"/>
      </w:pPr>
      <w:r>
        <w:rPr>
          <w:b/>
          <w:color w:val="222A35"/>
        </w:rPr>
        <w:t xml:space="preserve"> </w:t>
      </w:r>
    </w:p>
    <w:p w14:paraId="25EEFA20" w14:textId="423DA7FB" w:rsidR="005625D6" w:rsidRDefault="00000000">
      <w:pPr>
        <w:spacing w:after="267" w:line="259" w:lineRule="auto"/>
        <w:ind w:left="0" w:right="0" w:firstLine="0"/>
        <w:jc w:val="left"/>
      </w:pPr>
      <w:r>
        <w:rPr>
          <w:b/>
          <w:color w:val="222A35"/>
        </w:rPr>
        <w:t xml:space="preserve"> </w:t>
      </w:r>
    </w:p>
    <w:p w14:paraId="4A067B40" w14:textId="672A0481" w:rsidR="005625D6" w:rsidRDefault="005625D6" w:rsidP="00461047">
      <w:pPr>
        <w:spacing w:after="267" w:line="259" w:lineRule="auto"/>
        <w:ind w:left="0" w:right="0" w:firstLine="0"/>
        <w:jc w:val="left"/>
      </w:pPr>
    </w:p>
    <w:p w14:paraId="51FBA3D3" w14:textId="3DC8C31F" w:rsidR="00461047" w:rsidRDefault="00461047" w:rsidP="00461047">
      <w:pPr>
        <w:spacing w:after="267" w:line="259" w:lineRule="auto"/>
        <w:ind w:left="0" w:right="0" w:firstLine="0"/>
        <w:jc w:val="left"/>
      </w:pPr>
    </w:p>
    <w:p w14:paraId="59F26490" w14:textId="77777777" w:rsidR="00461047" w:rsidRDefault="00461047" w:rsidP="00461047">
      <w:pPr>
        <w:spacing w:after="267" w:line="259" w:lineRule="auto"/>
        <w:ind w:left="0" w:right="0" w:firstLine="0"/>
        <w:jc w:val="left"/>
      </w:pPr>
    </w:p>
    <w:p w14:paraId="75B321BC" w14:textId="5599D604" w:rsidR="005625D6" w:rsidRDefault="00000000">
      <w:pPr>
        <w:spacing w:after="267" w:line="259" w:lineRule="auto"/>
        <w:ind w:left="-5" w:right="0"/>
        <w:jc w:val="left"/>
      </w:pPr>
      <w:r w:rsidRPr="00461047">
        <w:rPr>
          <w:b/>
          <w:color w:val="222A35"/>
          <w:sz w:val="32"/>
          <w:szCs w:val="32"/>
        </w:rPr>
        <w:t>Student Name</w:t>
      </w:r>
      <w:r>
        <w:rPr>
          <w:b/>
          <w:color w:val="222A35"/>
          <w:sz w:val="24"/>
        </w:rPr>
        <w:t xml:space="preserve">: </w:t>
      </w:r>
      <w:r w:rsidR="00461047">
        <w:rPr>
          <w:b/>
          <w:color w:val="222A35"/>
          <w:sz w:val="24"/>
        </w:rPr>
        <w:t xml:space="preserve">                Md Anamul Haque Chowdhury</w:t>
      </w:r>
    </w:p>
    <w:p w14:paraId="7422212E" w14:textId="00CD8AC4" w:rsidR="005625D6" w:rsidRDefault="00000000">
      <w:pPr>
        <w:spacing w:after="267" w:line="259" w:lineRule="auto"/>
        <w:ind w:left="-5" w:right="0"/>
        <w:jc w:val="left"/>
      </w:pPr>
      <w:r w:rsidRPr="00461047">
        <w:rPr>
          <w:b/>
          <w:color w:val="222A35"/>
          <w:sz w:val="32"/>
          <w:szCs w:val="32"/>
        </w:rPr>
        <w:t>Student ID</w:t>
      </w:r>
      <w:r>
        <w:rPr>
          <w:b/>
          <w:color w:val="222A35"/>
          <w:sz w:val="24"/>
        </w:rPr>
        <w:t xml:space="preserve">: </w:t>
      </w:r>
      <w:r w:rsidR="00461047">
        <w:rPr>
          <w:b/>
          <w:color w:val="222A35"/>
          <w:sz w:val="24"/>
        </w:rPr>
        <w:t xml:space="preserve">                        2231037</w:t>
      </w:r>
    </w:p>
    <w:p w14:paraId="5C5FD387" w14:textId="2130621D" w:rsidR="005625D6" w:rsidRDefault="00000000">
      <w:pPr>
        <w:spacing w:after="267" w:line="259" w:lineRule="auto"/>
        <w:ind w:left="-5" w:right="0"/>
        <w:jc w:val="left"/>
        <w:rPr>
          <w:b/>
          <w:color w:val="222A35"/>
          <w:sz w:val="24"/>
        </w:rPr>
      </w:pPr>
      <w:r w:rsidRPr="00461047">
        <w:rPr>
          <w:b/>
          <w:color w:val="222A35"/>
          <w:sz w:val="32"/>
          <w:szCs w:val="32"/>
        </w:rPr>
        <w:t>Date of Submission</w:t>
      </w:r>
      <w:r>
        <w:rPr>
          <w:b/>
          <w:color w:val="222A35"/>
          <w:sz w:val="24"/>
        </w:rPr>
        <w:t xml:space="preserve">: </w:t>
      </w:r>
      <w:r w:rsidR="00461047">
        <w:rPr>
          <w:b/>
          <w:color w:val="222A35"/>
          <w:sz w:val="24"/>
        </w:rPr>
        <w:t xml:space="preserve">   09/03/2023</w:t>
      </w:r>
    </w:p>
    <w:p w14:paraId="5830BFDC" w14:textId="613D4624" w:rsidR="00461047" w:rsidRDefault="00461047">
      <w:pPr>
        <w:spacing w:after="267" w:line="259" w:lineRule="auto"/>
        <w:ind w:left="-5" w:right="0"/>
        <w:jc w:val="left"/>
      </w:pPr>
    </w:p>
    <w:p w14:paraId="06B8D083" w14:textId="7B23E79C" w:rsidR="00461047" w:rsidRDefault="00461047">
      <w:pPr>
        <w:spacing w:after="267" w:line="259" w:lineRule="auto"/>
        <w:ind w:left="-5" w:right="0"/>
        <w:jc w:val="left"/>
      </w:pPr>
    </w:p>
    <w:p w14:paraId="2B794A74" w14:textId="4308BC28" w:rsidR="00461047" w:rsidRDefault="00461047">
      <w:pPr>
        <w:spacing w:after="267" w:line="259" w:lineRule="auto"/>
        <w:ind w:left="-5" w:right="0"/>
        <w:jc w:val="left"/>
      </w:pPr>
    </w:p>
    <w:p w14:paraId="41272E30" w14:textId="1723B13F" w:rsidR="00461047" w:rsidRDefault="00461047">
      <w:pPr>
        <w:spacing w:after="267" w:line="259" w:lineRule="auto"/>
        <w:ind w:left="-5" w:right="0"/>
        <w:jc w:val="left"/>
      </w:pPr>
    </w:p>
    <w:p w14:paraId="4A9F3308" w14:textId="77777777" w:rsidR="001D0AA3" w:rsidRDefault="001D0AA3" w:rsidP="001D0AA3">
      <w:pPr>
        <w:spacing w:after="0" w:line="259" w:lineRule="auto"/>
        <w:ind w:left="0" w:right="0" w:firstLine="0"/>
        <w:jc w:val="left"/>
      </w:pPr>
      <w:bookmarkStart w:id="0" w:name="_Toc4839"/>
    </w:p>
    <w:p w14:paraId="674678FC" w14:textId="303DB6EB" w:rsidR="005625D6" w:rsidRPr="001D0AA3" w:rsidRDefault="00000000" w:rsidP="001D0AA3">
      <w:pPr>
        <w:spacing w:after="0" w:line="259" w:lineRule="auto"/>
        <w:ind w:left="0" w:right="0" w:firstLine="0"/>
        <w:jc w:val="left"/>
        <w:rPr>
          <w:rFonts w:ascii="Arial Black" w:hAnsi="Arial Black"/>
          <w:sz w:val="32"/>
          <w:szCs w:val="32"/>
        </w:rPr>
      </w:pPr>
      <w:r w:rsidRPr="001D0AA3">
        <w:rPr>
          <w:rFonts w:ascii="Arial Black" w:hAnsi="Arial Black"/>
          <w:sz w:val="32"/>
          <w:szCs w:val="32"/>
        </w:rPr>
        <w:lastRenderedPageBreak/>
        <w:t>Academic Writing</w:t>
      </w:r>
      <w:bookmarkEnd w:id="0"/>
    </w:p>
    <w:p w14:paraId="3B686D81" w14:textId="77777777" w:rsidR="001D0AA3" w:rsidRPr="001D0AA3" w:rsidRDefault="001D0AA3" w:rsidP="001D0AA3">
      <w:pPr>
        <w:spacing w:after="0" w:line="259" w:lineRule="auto"/>
        <w:ind w:left="0" w:right="0" w:firstLine="0"/>
        <w:jc w:val="left"/>
        <w:rPr>
          <w:sz w:val="32"/>
          <w:szCs w:val="32"/>
        </w:rPr>
      </w:pPr>
    </w:p>
    <w:p w14:paraId="159C5515" w14:textId="77777777" w:rsidR="005625D6" w:rsidRDefault="00000000">
      <w:pPr>
        <w:ind w:left="-5" w:right="44"/>
      </w:pPr>
      <w:r>
        <w:t xml:space="preserve">Academic writing, also known as scholarly writing, is a more formal style of writing that is typically associated with academic institutions. The hallmarks of this writing style are its clear and short language, its objectivity and analysis, and its reliance on evidence and sources to back up claims and arguments. Academic writing's goal is to relay facts and ideas that are difficult to grasp in a way that is factual, rigorous, and accessible to the reader. Academic writing is a means by which experts </w:t>
      </w:r>
      <w:proofErr w:type="gramStart"/>
      <w:r>
        <w:t>in a given</w:t>
      </w:r>
      <w:proofErr w:type="gramEnd"/>
      <w:r>
        <w:t xml:space="preserve"> topic add to the ongoing discourse in that field (</w:t>
      </w:r>
      <w:proofErr w:type="spellStart"/>
      <w:r>
        <w:t>Giltrow</w:t>
      </w:r>
      <w:proofErr w:type="spellEnd"/>
      <w:r>
        <w:t xml:space="preserve"> et al., 2019). </w:t>
      </w:r>
    </w:p>
    <w:p w14:paraId="2978D1EF" w14:textId="77777777" w:rsidR="005625D6" w:rsidRDefault="00000000">
      <w:pPr>
        <w:ind w:left="-5" w:right="44"/>
      </w:pPr>
      <w:r>
        <w:t xml:space="preserve">There are several justifications for the value of academic writing. To begin with, it facilitates the dissemination of academic research to a wider audience, which in turn aids in the expansion of human understanding and the generation of novel concepts. Students can improve their critical thinking, analytical skills, and research methods through academic writing, all of which are crucial to their future success in school and the workforce. Students need to be able to demonstrate their knowledge of a subject and express their thoughts clearly and concisely in written form in order to succeed academically (Cargill and O'Connor, 2013). Academic writing is crucial for evaluative purposes since it allows teachers to gauge students' capacity to apply theoretical understanding to concrete situations. </w:t>
      </w:r>
    </w:p>
    <w:p w14:paraId="1B1A865B" w14:textId="77777777" w:rsidR="005625D6" w:rsidRDefault="00000000">
      <w:pPr>
        <w:ind w:left="-5" w:right="44"/>
      </w:pPr>
      <w:r>
        <w:t xml:space="preserve">In addition to the </w:t>
      </w:r>
      <w:proofErr w:type="gramStart"/>
      <w:r>
        <w:t>aforementioned pints</w:t>
      </w:r>
      <w:proofErr w:type="gramEnd"/>
      <w:r>
        <w:t xml:space="preserve">, academic writing also helps to expand academic networks and sustains the credibility of the peer-review system. Researchers and academics can take part in existing debates and discussions, as well as contribute to the development of their subjects, through the medium of academic writing. Academic writing is the primary mechanism by which scholars communicate with one another, disseminate their results, </w:t>
      </w:r>
      <w:proofErr w:type="spellStart"/>
      <w:r>
        <w:t>analyze</w:t>
      </w:r>
      <w:proofErr w:type="spellEnd"/>
      <w:r>
        <w:t xml:space="preserve"> the work of their peers, and build upon the work of others (Swales and Feak, 2012). Also, the peer-review process, wherein specialists in a certain field examine and assess the quality and validity of research findings, relies heavily on academic writing. </w:t>
      </w:r>
    </w:p>
    <w:p w14:paraId="63A1244D" w14:textId="77777777" w:rsidR="005625D6" w:rsidRDefault="00000000">
      <w:pPr>
        <w:ind w:left="-5" w:right="44"/>
      </w:pPr>
      <w:r>
        <w:t xml:space="preserve">In brief, academic writing is an essential part of the higher education process, with multiple functions including but not limited to information distribution, critical thinking growth, and assessment of students. Writing for academic purposes allows students and researchers to share their research and results with a wider audience, which in turn helps to further the spread of information and sparks creative thinking (Flowerdew and Peacock, 2012). Students' ability to communicate effectively in academic settings is crucial to their future success in both school and the workforce. </w:t>
      </w:r>
    </w:p>
    <w:p w14:paraId="2B674EFF" w14:textId="77777777" w:rsidR="001D0AA3" w:rsidRDefault="001D0AA3">
      <w:pPr>
        <w:spacing w:line="259" w:lineRule="auto"/>
        <w:ind w:left="-5" w:right="44"/>
      </w:pPr>
    </w:p>
    <w:p w14:paraId="37FA969C" w14:textId="4E5198FF" w:rsidR="005625D6" w:rsidRDefault="00000000">
      <w:pPr>
        <w:spacing w:line="259" w:lineRule="auto"/>
        <w:ind w:left="-5" w:right="44"/>
      </w:pPr>
      <w:r>
        <w:t xml:space="preserve">Screenshots related to the Turnitin submission of this document is given as followed. </w:t>
      </w:r>
    </w:p>
    <w:p w14:paraId="2370A315" w14:textId="77777777" w:rsidR="005625D6" w:rsidRDefault="00000000">
      <w:pPr>
        <w:spacing w:after="222" w:line="259" w:lineRule="auto"/>
        <w:ind w:left="-1" w:right="69" w:firstLine="0"/>
        <w:jc w:val="right"/>
      </w:pPr>
      <w:r>
        <w:rPr>
          <w:rFonts w:ascii="Calibri" w:eastAsia="Calibri" w:hAnsi="Calibri" w:cs="Calibri"/>
          <w:noProof/>
        </w:rPr>
        <mc:AlternateContent>
          <mc:Choice Requires="wpg">
            <w:drawing>
              <wp:inline distT="0" distB="0" distL="0" distR="0" wp14:anchorId="2AC8C9D0" wp14:editId="73F2EBAE">
                <wp:extent cx="5887466" cy="1542923"/>
                <wp:effectExtent l="0" t="0" r="0" b="0"/>
                <wp:docPr id="4202" name="Group 4202"/>
                <wp:cNvGraphicFramePr/>
                <a:graphic xmlns:a="http://schemas.openxmlformats.org/drawingml/2006/main">
                  <a:graphicData uri="http://schemas.microsoft.com/office/word/2010/wordprocessingGroup">
                    <wpg:wgp>
                      <wpg:cNvGrpSpPr/>
                      <wpg:grpSpPr>
                        <a:xfrm>
                          <a:off x="0" y="0"/>
                          <a:ext cx="5887466" cy="1542923"/>
                          <a:chOff x="0" y="0"/>
                          <a:chExt cx="5887466" cy="1542923"/>
                        </a:xfrm>
                      </wpg:grpSpPr>
                      <pic:pic xmlns:pic="http://schemas.openxmlformats.org/drawingml/2006/picture">
                        <pic:nvPicPr>
                          <pic:cNvPr id="292" name="Picture 292"/>
                          <pic:cNvPicPr/>
                        </pic:nvPicPr>
                        <pic:blipFill>
                          <a:blip r:embed="rId8"/>
                          <a:stretch>
                            <a:fillRect/>
                          </a:stretch>
                        </pic:blipFill>
                        <pic:spPr>
                          <a:xfrm>
                            <a:off x="0" y="565176"/>
                            <a:ext cx="4044950" cy="977748"/>
                          </a:xfrm>
                          <a:prstGeom prst="rect">
                            <a:avLst/>
                          </a:prstGeom>
                        </pic:spPr>
                      </pic:pic>
                      <pic:pic xmlns:pic="http://schemas.openxmlformats.org/drawingml/2006/picture">
                        <pic:nvPicPr>
                          <pic:cNvPr id="294" name="Picture 294"/>
                          <pic:cNvPicPr/>
                        </pic:nvPicPr>
                        <pic:blipFill>
                          <a:blip r:embed="rId9"/>
                          <a:stretch>
                            <a:fillRect/>
                          </a:stretch>
                        </pic:blipFill>
                        <pic:spPr>
                          <a:xfrm>
                            <a:off x="4044950" y="0"/>
                            <a:ext cx="1842516" cy="1540510"/>
                          </a:xfrm>
                          <a:prstGeom prst="rect">
                            <a:avLst/>
                          </a:prstGeom>
                        </pic:spPr>
                      </pic:pic>
                    </wpg:wgp>
                  </a:graphicData>
                </a:graphic>
              </wp:inline>
            </w:drawing>
          </mc:Choice>
          <mc:Fallback xmlns:a="http://schemas.openxmlformats.org/drawingml/2006/main">
            <w:pict>
              <v:group id="Group 4202" style="width:463.58pt;height:121.49pt;mso-position-horizontal-relative:char;mso-position-vertical-relative:line" coordsize="58874,15429">
                <v:shape id="Picture 292" style="position:absolute;width:40449;height:9777;left:0;top:5651;" filled="f">
                  <v:imagedata r:id="rId10"/>
                </v:shape>
                <v:shape id="Picture 294" style="position:absolute;width:18425;height:15405;left:40449;top:0;" filled="f">
                  <v:imagedata r:id="rId11"/>
                </v:shape>
              </v:group>
            </w:pict>
          </mc:Fallback>
        </mc:AlternateContent>
      </w:r>
      <w:r>
        <w:t xml:space="preserve"> </w:t>
      </w:r>
    </w:p>
    <w:p w14:paraId="4CFED03B" w14:textId="77777777" w:rsidR="00CE6DF7" w:rsidRDefault="00CE6DF7">
      <w:pPr>
        <w:ind w:left="-5" w:right="44"/>
      </w:pPr>
    </w:p>
    <w:p w14:paraId="332D3040" w14:textId="38E1E444" w:rsidR="005625D6" w:rsidRDefault="00000000">
      <w:pPr>
        <w:ind w:left="-5" w:right="44"/>
      </w:pPr>
      <w:r>
        <w:t xml:space="preserve">The similarity percentage of merely 5 makes me happy. A Turnitin similarity score of 5% indicates that </w:t>
      </w:r>
      <w:proofErr w:type="gramStart"/>
      <w:r>
        <w:t>the majority of</w:t>
      </w:r>
      <w:proofErr w:type="gramEnd"/>
      <w:r>
        <w:t xml:space="preserve"> the work is original, with only a little portion of the paper matching any available sources. In order to prevent plagiarism, it is crucial to properly attribute all relevant sources. Summarizing, paraphrasing, and quoting are techniques that can be used to increase the similarity score. All sources should be correctly cited using the appropriate referencing style. Although a low similarity score generally indicates that the work is unique, it is nevertheless crucial to uphold academic integrity by avoiding any form of plagiarism.  </w:t>
      </w:r>
      <w:r>
        <w:br w:type="page"/>
      </w:r>
    </w:p>
    <w:p w14:paraId="19F33D19" w14:textId="5D7F6E4D" w:rsidR="005625D6" w:rsidRDefault="00000000">
      <w:pPr>
        <w:pStyle w:val="Heading1"/>
        <w:ind w:left="-5"/>
      </w:pPr>
      <w:bookmarkStart w:id="1" w:name="_Toc4843"/>
      <w:r>
        <w:lastRenderedPageBreak/>
        <w:t xml:space="preserve">Reference </w:t>
      </w:r>
      <w:bookmarkEnd w:id="1"/>
    </w:p>
    <w:p w14:paraId="7CB75C95" w14:textId="77777777" w:rsidR="001D0AA3" w:rsidRPr="001D0AA3" w:rsidRDefault="001D0AA3" w:rsidP="001D0AA3"/>
    <w:p w14:paraId="5895886A" w14:textId="77777777" w:rsidR="005625D6" w:rsidRDefault="00000000">
      <w:pPr>
        <w:ind w:left="-5" w:right="44"/>
      </w:pPr>
      <w:r>
        <w:t xml:space="preserve">Cargill, M., and O'Connor, P. (2013). Writing scientific research articles: Strategy and steps. John Wiley and Sons. </w:t>
      </w:r>
    </w:p>
    <w:p w14:paraId="7B9F1DE6" w14:textId="77777777" w:rsidR="005625D6" w:rsidRDefault="00000000">
      <w:pPr>
        <w:ind w:left="-5" w:right="44"/>
      </w:pPr>
      <w:r>
        <w:t xml:space="preserve">Flowerdew, J., and Peacock, M. (2012). Research perspectives on English for academic purposes. Cambridge University Press. </w:t>
      </w:r>
    </w:p>
    <w:p w14:paraId="012A57A8" w14:textId="77777777" w:rsidR="005625D6" w:rsidRDefault="00000000">
      <w:pPr>
        <w:ind w:left="-5" w:right="44"/>
      </w:pPr>
      <w:r>
        <w:t xml:space="preserve">Stenberg, L., and </w:t>
      </w:r>
      <w:proofErr w:type="spellStart"/>
      <w:r>
        <w:t>Karasti</w:t>
      </w:r>
      <w:proofErr w:type="spellEnd"/>
      <w:r>
        <w:t xml:space="preserve">, H. (2019). Becoming an academic writer: Reflections on a writing course for PhD students. Studies in Continuing Education, 41(3), 298-314. </w:t>
      </w:r>
    </w:p>
    <w:p w14:paraId="50718852" w14:textId="77777777" w:rsidR="005625D6" w:rsidRDefault="00000000">
      <w:pPr>
        <w:ind w:left="-5" w:right="44"/>
      </w:pPr>
      <w:r>
        <w:t xml:space="preserve">Swales, J. M., and Feak, C. B. (2012). Academic writing for graduate students: Essential tasks and skills. University of Michigan Press. </w:t>
      </w:r>
    </w:p>
    <w:p w14:paraId="2E8785C9" w14:textId="77777777" w:rsidR="005625D6" w:rsidRDefault="00000000">
      <w:pPr>
        <w:ind w:left="-5" w:right="44"/>
      </w:pPr>
      <w:r>
        <w:t xml:space="preserve">Graham, J., and Lam, C. (2020). The writing process and the writing assignment. In Writing Academic English (pp. 1-21). Routledge. </w:t>
      </w:r>
    </w:p>
    <w:p w14:paraId="202446B7" w14:textId="77777777" w:rsidR="005625D6" w:rsidRDefault="00000000">
      <w:pPr>
        <w:spacing w:after="107" w:line="259" w:lineRule="auto"/>
        <w:ind w:left="-5" w:right="44"/>
      </w:pPr>
      <w:proofErr w:type="spellStart"/>
      <w:r>
        <w:t>Letchford</w:t>
      </w:r>
      <w:proofErr w:type="spellEnd"/>
      <w:r>
        <w:t xml:space="preserve">, A., and Moser, S. (2021). Writing conclusions. In Writing for Research (pp. 101-109). </w:t>
      </w:r>
    </w:p>
    <w:p w14:paraId="2AB99407" w14:textId="77777777" w:rsidR="005625D6" w:rsidRDefault="00000000">
      <w:pPr>
        <w:spacing w:line="259" w:lineRule="auto"/>
        <w:ind w:left="-5" w:right="44"/>
      </w:pPr>
      <w:r>
        <w:t xml:space="preserve">Routledge. </w:t>
      </w:r>
    </w:p>
    <w:sectPr w:rsidR="005625D6">
      <w:footerReference w:type="even" r:id="rId12"/>
      <w:footerReference w:type="default" r:id="rId13"/>
      <w:footerReference w:type="first" r:id="rId14"/>
      <w:pgSz w:w="12240" w:h="15840"/>
      <w:pgMar w:top="1440" w:right="1386" w:bottom="1564" w:left="1441" w:header="720" w:footer="7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A7FCB" w14:textId="77777777" w:rsidR="00EE418C" w:rsidRDefault="00EE418C">
      <w:pPr>
        <w:spacing w:after="0" w:line="240" w:lineRule="auto"/>
      </w:pPr>
      <w:r>
        <w:separator/>
      </w:r>
    </w:p>
  </w:endnote>
  <w:endnote w:type="continuationSeparator" w:id="0">
    <w:p w14:paraId="0ED6BE12" w14:textId="77777777" w:rsidR="00EE418C" w:rsidRDefault="00EE4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FD07D" w14:textId="77777777" w:rsidR="005625D6" w:rsidRDefault="00000000">
    <w:pPr>
      <w:spacing w:after="0" w:line="259" w:lineRule="auto"/>
      <w:ind w:left="0" w:right="112" w:firstLine="0"/>
      <w:jc w:val="righ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5B6E7018" wp14:editId="36CF3956">
              <wp:simplePos x="0" y="0"/>
              <wp:positionH relativeFrom="page">
                <wp:posOffset>895668</wp:posOffset>
              </wp:positionH>
              <wp:positionV relativeFrom="page">
                <wp:posOffset>9245282</wp:posOffset>
              </wp:positionV>
              <wp:extent cx="5984241" cy="6350"/>
              <wp:effectExtent l="0" t="0" r="0" b="0"/>
              <wp:wrapSquare wrapText="bothSides"/>
              <wp:docPr id="4759" name="Group 4759"/>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4996" name="Shape 4996"/>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759" style="width:471.2pt;height:0.5pt;position:absolute;mso-position-horizontal-relative:page;mso-position-horizontal:absolute;margin-left:70.525pt;mso-position-vertical-relative:page;margin-top:727.975pt;" coordsize="59842,63">
              <v:shape id="Shape 4997"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 </w:t>
    </w:r>
    <w:r>
      <w:rPr>
        <w:rFonts w:ascii="Calibri" w:eastAsia="Calibri" w:hAnsi="Calibri" w:cs="Calibri"/>
        <w:color w:val="7F7F7F"/>
      </w:rPr>
      <w:t>P a g e</w:t>
    </w:r>
    <w:r>
      <w:rPr>
        <w:rFonts w:ascii="Calibri" w:eastAsia="Calibri" w:hAnsi="Calibri" w:cs="Calibri"/>
      </w:rPr>
      <w:t xml:space="preserve"> </w:t>
    </w:r>
  </w:p>
  <w:p w14:paraId="0CDE4865" w14:textId="77777777" w:rsidR="005625D6" w:rsidRDefault="00000000">
    <w:pPr>
      <w:spacing w:after="0" w:line="259" w:lineRule="auto"/>
      <w:ind w:left="0" w:right="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00AD9" w14:textId="77777777" w:rsidR="005625D6" w:rsidRDefault="00000000">
    <w:pPr>
      <w:spacing w:after="0" w:line="259" w:lineRule="auto"/>
      <w:ind w:left="0" w:right="112" w:firstLine="0"/>
      <w:jc w:val="righ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46D7724E" wp14:editId="524900E9">
              <wp:simplePos x="0" y="0"/>
              <wp:positionH relativeFrom="page">
                <wp:posOffset>895668</wp:posOffset>
              </wp:positionH>
              <wp:positionV relativeFrom="page">
                <wp:posOffset>9245282</wp:posOffset>
              </wp:positionV>
              <wp:extent cx="5984241" cy="6350"/>
              <wp:effectExtent l="0" t="0" r="0" b="0"/>
              <wp:wrapSquare wrapText="bothSides"/>
              <wp:docPr id="4744" name="Group 4744"/>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4994" name="Shape 4994"/>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744" style="width:471.2pt;height:0.5pt;position:absolute;mso-position-horizontal-relative:page;mso-position-horizontal:absolute;margin-left:70.525pt;mso-position-vertical-relative:page;margin-top:727.975pt;" coordsize="59842,63">
              <v:shape id="Shape 4995"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 </w:t>
    </w:r>
    <w:r>
      <w:rPr>
        <w:rFonts w:ascii="Calibri" w:eastAsia="Calibri" w:hAnsi="Calibri" w:cs="Calibri"/>
        <w:color w:val="7F7F7F"/>
      </w:rPr>
      <w:t>P a g e</w:t>
    </w:r>
    <w:r>
      <w:rPr>
        <w:rFonts w:ascii="Calibri" w:eastAsia="Calibri" w:hAnsi="Calibri" w:cs="Calibri"/>
      </w:rPr>
      <w:t xml:space="preserve"> </w:t>
    </w:r>
  </w:p>
  <w:p w14:paraId="622CE4F2" w14:textId="77777777" w:rsidR="005625D6" w:rsidRDefault="00000000">
    <w:pPr>
      <w:spacing w:after="0" w:line="259" w:lineRule="auto"/>
      <w:ind w:left="0" w:right="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80461" w14:textId="77777777" w:rsidR="005625D6" w:rsidRDefault="00000000">
    <w:pPr>
      <w:spacing w:after="0" w:line="259" w:lineRule="auto"/>
      <w:ind w:left="0" w:right="112" w:firstLine="0"/>
      <w:jc w:val="righ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55B4DE08" wp14:editId="16B6CE9F">
              <wp:simplePos x="0" y="0"/>
              <wp:positionH relativeFrom="page">
                <wp:posOffset>895668</wp:posOffset>
              </wp:positionH>
              <wp:positionV relativeFrom="page">
                <wp:posOffset>9245282</wp:posOffset>
              </wp:positionV>
              <wp:extent cx="5984241" cy="6350"/>
              <wp:effectExtent l="0" t="0" r="0" b="0"/>
              <wp:wrapSquare wrapText="bothSides"/>
              <wp:docPr id="4729" name="Group 4729"/>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4992" name="Shape 4992"/>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729" style="width:471.2pt;height:0.5pt;position:absolute;mso-position-horizontal-relative:page;mso-position-horizontal:absolute;margin-left:70.525pt;mso-position-vertical-relative:page;margin-top:727.975pt;" coordsize="59842,63">
              <v:shape id="Shape 4993"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 </w:t>
    </w:r>
    <w:r>
      <w:rPr>
        <w:rFonts w:ascii="Calibri" w:eastAsia="Calibri" w:hAnsi="Calibri" w:cs="Calibri"/>
        <w:color w:val="7F7F7F"/>
      </w:rPr>
      <w:t>P a g e</w:t>
    </w:r>
    <w:r>
      <w:rPr>
        <w:rFonts w:ascii="Calibri" w:eastAsia="Calibri" w:hAnsi="Calibri" w:cs="Calibri"/>
      </w:rPr>
      <w:t xml:space="preserve"> </w:t>
    </w:r>
  </w:p>
  <w:p w14:paraId="430CB403" w14:textId="77777777" w:rsidR="005625D6" w:rsidRDefault="00000000">
    <w:pPr>
      <w:spacing w:after="0" w:line="259" w:lineRule="auto"/>
      <w:ind w:left="0" w:right="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60997" w14:textId="77777777" w:rsidR="00EE418C" w:rsidRDefault="00EE418C">
      <w:pPr>
        <w:spacing w:after="0" w:line="240" w:lineRule="auto"/>
      </w:pPr>
      <w:r>
        <w:separator/>
      </w:r>
    </w:p>
  </w:footnote>
  <w:footnote w:type="continuationSeparator" w:id="0">
    <w:p w14:paraId="13F61206" w14:textId="77777777" w:rsidR="00EE418C" w:rsidRDefault="00EE41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5D6"/>
    <w:rsid w:val="001D0AA3"/>
    <w:rsid w:val="002B1D89"/>
    <w:rsid w:val="002F1F2F"/>
    <w:rsid w:val="002F317A"/>
    <w:rsid w:val="00330EE3"/>
    <w:rsid w:val="00461047"/>
    <w:rsid w:val="005625D6"/>
    <w:rsid w:val="00580A47"/>
    <w:rsid w:val="00655EF3"/>
    <w:rsid w:val="00AA4B5A"/>
    <w:rsid w:val="00B000B7"/>
    <w:rsid w:val="00CE6DF7"/>
    <w:rsid w:val="00D830F8"/>
    <w:rsid w:val="00EE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0C72A"/>
  <w15:docId w15:val="{F22A9A27-E8E8-4D20-9AB6-97E541C56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358" w:lineRule="auto"/>
      <w:ind w:left="10" w:right="59"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63"/>
      <w:ind w:left="10" w:hanging="10"/>
      <w:outlineLvl w:val="0"/>
    </w:pPr>
    <w:rPr>
      <w:rFonts w:ascii="Arial" w:eastAsia="Arial" w:hAnsi="Arial" w:cs="Arial"/>
      <w:b/>
      <w:color w:val="2F549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2F5496"/>
      <w:sz w:val="32"/>
    </w:rPr>
  </w:style>
  <w:style w:type="paragraph" w:styleId="TOC1">
    <w:name w:val="toc 1"/>
    <w:hidden/>
    <w:pPr>
      <w:spacing w:after="126"/>
      <w:ind w:left="25" w:right="58" w:hanging="10"/>
    </w:pPr>
    <w:rPr>
      <w:rFonts w:ascii="Calibri" w:eastAsia="Calibri" w:hAnsi="Calibri" w:cs="Calibri"/>
      <w:color w:val="000000"/>
    </w:rPr>
  </w:style>
  <w:style w:type="character" w:styleId="Hyperlink">
    <w:name w:val="Hyperlink"/>
    <w:basedOn w:val="DefaultParagraphFont"/>
    <w:uiPriority w:val="99"/>
    <w:unhideWhenUsed/>
    <w:rsid w:val="002F1F2F"/>
    <w:rPr>
      <w:color w:val="0563C1" w:themeColor="hyperlink"/>
      <w:u w:val="single"/>
    </w:rPr>
  </w:style>
  <w:style w:type="character" w:styleId="UnresolvedMention">
    <w:name w:val="Unresolved Mention"/>
    <w:basedOn w:val="DefaultParagraphFont"/>
    <w:uiPriority w:val="99"/>
    <w:semiHidden/>
    <w:unhideWhenUsed/>
    <w:rsid w:val="002F1F2F"/>
    <w:rPr>
      <w:color w:val="605E5C"/>
      <w:shd w:val="clear" w:color="auto" w:fill="E1DFDD"/>
    </w:rPr>
  </w:style>
  <w:style w:type="paragraph" w:styleId="Header">
    <w:name w:val="header"/>
    <w:basedOn w:val="Normal"/>
    <w:link w:val="HeaderChar"/>
    <w:uiPriority w:val="99"/>
    <w:unhideWhenUsed/>
    <w:rsid w:val="001D0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AA3"/>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0.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0.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46B48-3384-49A3-A6E5-36F088BFE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678</Words>
  <Characters>3867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cp:lastModifiedBy>Md Chowdhury (2231037)</cp:lastModifiedBy>
  <cp:revision>3</cp:revision>
  <dcterms:created xsi:type="dcterms:W3CDTF">2023-03-09T20:09:00Z</dcterms:created>
  <dcterms:modified xsi:type="dcterms:W3CDTF">2023-03-09T20:11:00Z</dcterms:modified>
</cp:coreProperties>
</file>