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pPr>
      <w:r>
        <w:drawing>
          <wp:inline distT="0" distB="0" distL="0" distR="0">
            <wp:extent cx="2761615" cy="1115695"/>
            <wp:effectExtent l="0" t="0" r="635" b="8255"/>
            <wp:docPr id="1" name="IM 1"/>
            <wp:cNvGraphicFramePr/>
            <a:graphic xmlns:a="http://schemas.openxmlformats.org/drawingml/2006/main">
              <a:graphicData uri="http://schemas.openxmlformats.org/drawingml/2006/picture">
                <pic:pic xmlns:pic="http://schemas.openxmlformats.org/drawingml/2006/picture">
                  <pic:nvPicPr>
                    <pic:cNvPr id="1" name="IM 1"/>
                    <pic:cNvPicPr/>
                  </pic:nvPicPr>
                  <pic:blipFill>
                    <a:blip r:embed="rId4"/>
                    <a:stretch>
                      <a:fillRect/>
                    </a:stretch>
                  </pic:blipFill>
                  <pic:spPr>
                    <a:xfrm>
                      <a:off x="0" y="0"/>
                      <a:ext cx="2761615" cy="1115695"/>
                    </a:xfrm>
                    <a:prstGeom prst="rect">
                      <a:avLst/>
                    </a:prstGeom>
                  </pic:spPr>
                </pic:pic>
              </a:graphicData>
            </a:graphic>
          </wp:inline>
        </w:drawing>
      </w:r>
    </w:p>
    <w:p/>
    <w:p>
      <w:pPr>
        <w:jc w:val="center"/>
        <w:rPr>
          <w:rFonts w:hint="default" w:ascii="Times New Roman" w:hAnsi="Times New Roman" w:cs="Times New Roman"/>
          <w:b/>
          <w:bCs/>
        </w:rPr>
      </w:pPr>
    </w:p>
    <w:p>
      <w:pPr>
        <w:jc w:val="center"/>
        <w:rPr>
          <w:rFonts w:hint="default" w:ascii="Times New Roman" w:hAnsi="Times New Roman" w:cs="Times New Roman"/>
          <w:b/>
          <w:bCs/>
          <w:sz w:val="40"/>
          <w:szCs w:val="40"/>
          <w:lang w:val="en-US" w:eastAsia="zh-CN"/>
        </w:rPr>
      </w:pPr>
      <w:r>
        <w:rPr>
          <w:rFonts w:hint="eastAsia" w:ascii="Times New Roman" w:hAnsi="Times New Roman" w:cs="Times New Roman"/>
          <w:b/>
          <w:bCs/>
          <w:sz w:val="40"/>
          <w:szCs w:val="40"/>
          <w:lang w:val="en-US" w:eastAsia="zh-CN"/>
        </w:rPr>
        <w:t>Wales Company</w:t>
      </w:r>
    </w:p>
    <w:p>
      <w:pPr>
        <w:jc w:val="both"/>
        <w:rPr>
          <w:rFonts w:hint="default" w:ascii="Times New Roman" w:hAnsi="Times New Roman" w:cs="Times New Roman"/>
          <w:b/>
          <w:bCs/>
          <w:sz w:val="40"/>
          <w:szCs w:val="40"/>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Name: De Kong</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Student Number: 2200545</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Module: Finance for Business Managers (BMMB7005)</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Lecturer: Badir Miftah</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Submission Date 29</w:t>
      </w:r>
      <w:r>
        <w:rPr>
          <w:rFonts w:hint="eastAsia" w:ascii="Times New Roman" w:hAnsi="Times New Roman" w:cs="Times New Roman"/>
          <w:b/>
          <w:bCs/>
          <w:sz w:val="24"/>
          <w:szCs w:val="24"/>
          <w:vertAlign w:val="superscript"/>
          <w:lang w:val="en-US" w:eastAsia="zh-CN"/>
        </w:rPr>
        <w:t>th</w:t>
      </w:r>
      <w:r>
        <w:rPr>
          <w:rFonts w:hint="eastAsia" w:ascii="Times New Roman" w:hAnsi="Times New Roman" w:cs="Times New Roman"/>
          <w:b/>
          <w:bCs/>
          <w:sz w:val="24"/>
          <w:szCs w:val="24"/>
          <w:lang w:val="en-US" w:eastAsia="zh-CN"/>
        </w:rPr>
        <w:t xml:space="preserve"> March 2023</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Word Count: 3,000 words for Part 1 and 2,000 words for Part 2</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Part 1 Analysis of the Financial Statements of Starbucks</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Executive Summary</w:t>
      </w:r>
    </w:p>
    <w:p>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Arial" w:cs="Times New Roman"/>
          <w:color w:val="auto"/>
          <w:sz w:val="24"/>
          <w:szCs w:val="24"/>
          <w:lang w:val="en-US" w:eastAsia="zh-CN"/>
        </w:rPr>
      </w:pPr>
      <w:r>
        <w:rPr>
          <w:rFonts w:hint="default" w:ascii="Times New Roman" w:hAnsi="Times New Roman" w:eastAsia="Arial" w:cs="Times New Roman"/>
          <w:color w:val="auto"/>
          <w:sz w:val="24"/>
          <w:szCs w:val="24"/>
          <w:lang w:val="en-US" w:eastAsia="zh-CN"/>
        </w:rPr>
        <w:t xml:space="preserve">The aim of this </w:t>
      </w:r>
      <w:r>
        <w:rPr>
          <w:rFonts w:hint="eastAsia" w:ascii="Times New Roman" w:hAnsi="Times New Roman" w:eastAsia="Arial" w:cs="Times New Roman"/>
          <w:color w:val="auto"/>
          <w:sz w:val="24"/>
          <w:szCs w:val="24"/>
          <w:lang w:val="en-US" w:eastAsia="zh-CN"/>
        </w:rPr>
        <w:t>report</w:t>
      </w:r>
      <w:r>
        <w:rPr>
          <w:rFonts w:hint="default" w:ascii="Times New Roman" w:hAnsi="Times New Roman" w:eastAsia="Arial" w:cs="Times New Roman"/>
          <w:color w:val="auto"/>
          <w:sz w:val="24"/>
          <w:szCs w:val="24"/>
          <w:lang w:val="en-US" w:eastAsia="zh-CN"/>
        </w:rPr>
        <w:t xml:space="preserve"> is to investigate Starbucks' financial health and evaluate the firm's sustainable development. The core component of the study examines the financial statements using </w:t>
      </w:r>
      <w:r>
        <w:rPr>
          <w:rFonts w:hint="eastAsia" w:ascii="Times New Roman" w:hAnsi="Times New Roman" w:eastAsia="Arial" w:cs="Times New Roman"/>
          <w:color w:val="auto"/>
          <w:sz w:val="24"/>
          <w:szCs w:val="24"/>
          <w:lang w:val="en-US" w:eastAsia="zh-CN"/>
        </w:rPr>
        <w:t>statistics</w:t>
      </w:r>
      <w:r>
        <w:rPr>
          <w:rFonts w:hint="default" w:ascii="Times New Roman" w:hAnsi="Times New Roman" w:eastAsia="Arial" w:cs="Times New Roman"/>
          <w:color w:val="auto"/>
          <w:sz w:val="24"/>
          <w:szCs w:val="24"/>
          <w:lang w:val="en-US" w:eastAsia="zh-CN"/>
        </w:rPr>
        <w:t xml:space="preserve"> to highlight the </w:t>
      </w:r>
      <w:r>
        <w:rPr>
          <w:rFonts w:hint="eastAsia" w:ascii="Times New Roman" w:hAnsi="Times New Roman" w:eastAsia="Arial" w:cs="Times New Roman"/>
          <w:color w:val="auto"/>
          <w:sz w:val="24"/>
          <w:szCs w:val="24"/>
          <w:lang w:val="en-US" w:eastAsia="zh-CN"/>
        </w:rPr>
        <w:t>firm</w:t>
      </w:r>
      <w:r>
        <w:rPr>
          <w:rFonts w:hint="default" w:ascii="Times New Roman" w:hAnsi="Times New Roman" w:eastAsia="Arial" w:cs="Times New Roman"/>
          <w:color w:val="auto"/>
          <w:sz w:val="24"/>
          <w:szCs w:val="24"/>
          <w:lang w:val="en-US" w:eastAsia="zh-CN"/>
        </w:rPr>
        <w:t>'s fi</w:t>
      </w:r>
      <w:r>
        <w:rPr>
          <w:rFonts w:hint="eastAsia" w:ascii="Times New Roman" w:hAnsi="Times New Roman" w:eastAsia="Arial" w:cs="Times New Roman"/>
          <w:color w:val="auto"/>
          <w:sz w:val="24"/>
          <w:szCs w:val="24"/>
          <w:lang w:val="en-US" w:eastAsia="zh-CN"/>
        </w:rPr>
        <w:t>scal</w:t>
      </w:r>
      <w:r>
        <w:rPr>
          <w:rFonts w:hint="default" w:ascii="Times New Roman" w:hAnsi="Times New Roman" w:eastAsia="Arial" w:cs="Times New Roman"/>
          <w:color w:val="auto"/>
          <w:sz w:val="24"/>
          <w:szCs w:val="24"/>
          <w:lang w:val="en-US" w:eastAsia="zh-CN"/>
        </w:rPr>
        <w:t xml:space="preserve"> health from 2020 </w:t>
      </w:r>
      <w:r>
        <w:rPr>
          <w:rFonts w:hint="eastAsia" w:ascii="Times New Roman" w:hAnsi="Times New Roman" w:eastAsia="Arial" w:cs="Times New Roman"/>
          <w:color w:val="auto"/>
          <w:sz w:val="24"/>
          <w:szCs w:val="24"/>
          <w:lang w:val="en-US" w:eastAsia="zh-CN"/>
        </w:rPr>
        <w:t>between</w:t>
      </w:r>
      <w:r>
        <w:rPr>
          <w:rFonts w:hint="default" w:ascii="Times New Roman" w:hAnsi="Times New Roman" w:eastAsia="Arial" w:cs="Times New Roman"/>
          <w:color w:val="auto"/>
          <w:sz w:val="24"/>
          <w:szCs w:val="24"/>
          <w:lang w:val="en-US" w:eastAsia="zh-CN"/>
        </w:rPr>
        <w:t xml:space="preserve"> 2021 and what the ratios mean for the organization. Summarizing with a conclusion and recommendations for how it should be operate</w:t>
      </w:r>
      <w:r>
        <w:rPr>
          <w:rFonts w:hint="eastAsia" w:ascii="Times New Roman" w:hAnsi="Times New Roman" w:cs="Times New Roman"/>
          <w:color w:val="auto"/>
          <w:sz w:val="24"/>
          <w:szCs w:val="24"/>
          <w:lang w:val="en-US" w:eastAsia="zh-CN"/>
        </w:rPr>
        <w:t>d</w:t>
      </w:r>
      <w:r>
        <w:rPr>
          <w:rFonts w:hint="default" w:ascii="Times New Roman" w:hAnsi="Times New Roman" w:eastAsia="Arial" w:cs="Times New Roman"/>
          <w:color w:val="auto"/>
          <w:sz w:val="24"/>
          <w:szCs w:val="24"/>
          <w:lang w:val="en-US" w:eastAsia="zh-CN"/>
        </w:rPr>
        <w:t xml:space="preserve"> in the future.</w:t>
      </w:r>
    </w:p>
    <w:p>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Arial" w:cs="Times New Roman"/>
          <w:color w:val="auto"/>
          <w:sz w:val="24"/>
          <w:szCs w:val="24"/>
          <w:lang w:val="en-US" w:eastAsia="zh-CN"/>
        </w:rPr>
      </w:pPr>
    </w:p>
    <w:p>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Arial" w:cs="Times New Roman"/>
          <w:color w:val="auto"/>
          <w:sz w:val="24"/>
          <w:szCs w:val="24"/>
          <w:lang w:val="en-US" w:eastAsia="zh-CN"/>
        </w:rPr>
      </w:pPr>
    </w:p>
    <w:p>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Arial" w:cs="Times New Roman"/>
          <w:color w:val="auto"/>
          <w:sz w:val="24"/>
          <w:szCs w:val="24"/>
          <w:lang w:val="en-US" w:eastAsia="zh-CN"/>
        </w:rPr>
      </w:pPr>
    </w:p>
    <w:p>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Arial" w:cs="Times New Roman"/>
          <w:color w:val="auto"/>
          <w:sz w:val="24"/>
          <w:szCs w:val="24"/>
          <w:lang w:val="en-US" w:eastAsia="zh-CN"/>
        </w:rPr>
      </w:pPr>
    </w:p>
    <w:p>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Arial" w:cs="Times New Roman"/>
          <w:color w:val="auto"/>
          <w:sz w:val="24"/>
          <w:szCs w:val="24"/>
          <w:lang w:val="en-US" w:eastAsia="zh-CN"/>
        </w:rPr>
      </w:pPr>
    </w:p>
    <w:p>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Arial" w:cs="Times New Roman"/>
          <w:color w:val="auto"/>
          <w:sz w:val="24"/>
          <w:szCs w:val="24"/>
          <w:lang w:val="en-US" w:eastAsia="zh-CN"/>
        </w:rPr>
      </w:pPr>
    </w:p>
    <w:p>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Arial" w:cs="Times New Roman"/>
          <w:color w:val="auto"/>
          <w:sz w:val="24"/>
          <w:szCs w:val="24"/>
          <w:lang w:val="en-US" w:eastAsia="zh-CN"/>
        </w:rPr>
      </w:pPr>
    </w:p>
    <w:p>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Arial" w:cs="Times New Roman"/>
          <w:color w:val="auto"/>
          <w:sz w:val="24"/>
          <w:szCs w:val="24"/>
          <w:lang w:val="en-US" w:eastAsia="zh-CN"/>
        </w:rPr>
      </w:pPr>
    </w:p>
    <w:p>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Arial" w:cs="Times New Roman"/>
          <w:color w:val="auto"/>
          <w:sz w:val="24"/>
          <w:szCs w:val="24"/>
          <w:lang w:val="en-US" w:eastAsia="zh-CN"/>
        </w:rPr>
      </w:pPr>
    </w:p>
    <w:p>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Arial" w:cs="Times New Roman"/>
          <w:color w:val="auto"/>
          <w:sz w:val="24"/>
          <w:szCs w:val="24"/>
          <w:lang w:val="en-US" w:eastAsia="zh-CN"/>
        </w:rPr>
      </w:pPr>
    </w:p>
    <w:p>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Arial" w:cs="Times New Roman"/>
          <w:color w:val="auto"/>
          <w:sz w:val="24"/>
          <w:szCs w:val="24"/>
          <w:lang w:val="en-US" w:eastAsia="zh-CN"/>
        </w:rPr>
      </w:pPr>
    </w:p>
    <w:p>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Arial" w:cs="Times New Roman"/>
          <w:color w:val="auto"/>
          <w:sz w:val="24"/>
          <w:szCs w:val="24"/>
          <w:lang w:val="en-US" w:eastAsia="zh-CN"/>
        </w:rPr>
      </w:pPr>
    </w:p>
    <w:p>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Arial" w:cs="Times New Roman"/>
          <w:color w:val="auto"/>
          <w:sz w:val="24"/>
          <w:szCs w:val="24"/>
          <w:lang w:val="en-US" w:eastAsia="zh-CN"/>
        </w:rPr>
      </w:pPr>
    </w:p>
    <w:p>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Arial" w:cs="Times New Roman"/>
          <w:color w:val="auto"/>
          <w:sz w:val="24"/>
          <w:szCs w:val="24"/>
          <w:lang w:val="en-US" w:eastAsia="zh-CN"/>
        </w:rPr>
      </w:pPr>
    </w:p>
    <w:p>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Arial" w:cs="Times New Roman"/>
          <w:color w:val="auto"/>
          <w:sz w:val="24"/>
          <w:szCs w:val="24"/>
          <w:lang w:val="en-US" w:eastAsia="zh-CN"/>
        </w:rPr>
      </w:pPr>
    </w:p>
    <w:p>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Arial" w:cs="Times New Roman"/>
          <w:color w:val="auto"/>
          <w:sz w:val="24"/>
          <w:szCs w:val="24"/>
          <w:lang w:val="en-US" w:eastAsia="zh-CN"/>
        </w:rPr>
      </w:pPr>
    </w:p>
    <w:p>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Arial" w:cs="Times New Roman"/>
          <w:color w:val="auto"/>
          <w:sz w:val="24"/>
          <w:szCs w:val="24"/>
          <w:lang w:val="en-US" w:eastAsia="zh-CN"/>
        </w:rPr>
      </w:pPr>
    </w:p>
    <w:p>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Arial" w:cs="Times New Roman"/>
          <w:color w:val="auto"/>
          <w:sz w:val="24"/>
          <w:szCs w:val="24"/>
          <w:lang w:val="en-US" w:eastAsia="zh-CN"/>
        </w:rPr>
      </w:pPr>
    </w:p>
    <w:p>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Arial" w:cs="Times New Roman"/>
          <w:color w:val="auto"/>
          <w:sz w:val="24"/>
          <w:szCs w:val="24"/>
          <w:lang w:val="en-US" w:eastAsia="zh-CN"/>
        </w:rPr>
      </w:pPr>
    </w:p>
    <w:p>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Arial" w:cs="Times New Roman"/>
          <w:color w:val="auto"/>
          <w:sz w:val="24"/>
          <w:szCs w:val="24"/>
          <w:lang w:val="en-US" w:eastAsia="zh-CN"/>
        </w:rPr>
      </w:pPr>
    </w:p>
    <w:p>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Arial" w:cs="Times New Roman"/>
          <w:color w:val="auto"/>
          <w:sz w:val="24"/>
          <w:szCs w:val="24"/>
          <w:lang w:val="en-US" w:eastAsia="zh-CN"/>
        </w:rPr>
      </w:pPr>
    </w:p>
    <w:p>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Arial" w:cs="Times New Roman"/>
          <w:color w:val="auto"/>
          <w:sz w:val="24"/>
          <w:szCs w:val="24"/>
          <w:lang w:val="en-US" w:eastAsia="zh-CN"/>
        </w:rPr>
      </w:pPr>
    </w:p>
    <w:p>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Arial" w:cs="Times New Roman"/>
          <w:color w:val="auto"/>
          <w:sz w:val="24"/>
          <w:szCs w:val="24"/>
          <w:lang w:val="en-US" w:eastAsia="zh-CN"/>
        </w:rPr>
      </w:pPr>
    </w:p>
    <w:p>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Arial" w:cs="Times New Roman"/>
          <w:color w:val="auto"/>
          <w:sz w:val="24"/>
          <w:szCs w:val="24"/>
          <w:lang w:val="en-US" w:eastAsia="zh-CN"/>
        </w:rPr>
      </w:pPr>
    </w:p>
    <w:p>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Arial" w:cs="Times New Roman"/>
          <w:color w:val="auto"/>
          <w:sz w:val="24"/>
          <w:szCs w:val="24"/>
          <w:lang w:val="en-US" w:eastAsia="zh-CN"/>
        </w:rPr>
      </w:pPr>
    </w:p>
    <w:p>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Arial" w:cs="Times New Roman"/>
          <w:color w:val="auto"/>
          <w:sz w:val="24"/>
          <w:szCs w:val="24"/>
          <w:lang w:val="en-US" w:eastAsia="zh-CN"/>
        </w:rPr>
      </w:pPr>
    </w:p>
    <w:sdt>
      <w:sdtPr>
        <w:rPr>
          <w:rFonts w:hint="default" w:ascii="Times New Roman" w:hAnsi="Times New Roman" w:eastAsia="宋体" w:cs="Times New Roman"/>
          <w:b/>
          <w:bCs/>
          <w:kern w:val="2"/>
          <w:sz w:val="24"/>
          <w:szCs w:val="24"/>
          <w:lang w:val="en-US" w:eastAsia="zh-CN" w:bidi="ar-SA"/>
        </w:rPr>
        <w:id w:val="147453797"/>
        <w15:color w:val="DBDBDB"/>
        <w:docPartObj>
          <w:docPartGallery w:val="Table of Contents"/>
          <w:docPartUnique/>
        </w:docPartObj>
      </w:sdtPr>
      <w:sdtEndPr>
        <w:rPr>
          <w:rFonts w:hint="default" w:ascii="Times New Roman" w:hAnsi="Times New Roman" w:eastAsia="Arial" w:cs="Times New Roman"/>
          <w:b/>
          <w:bCs/>
          <w:color w:val="auto"/>
          <w:kern w:val="2"/>
          <w:sz w:val="21"/>
          <w:szCs w:val="24"/>
          <w:lang w:val="en-US" w:eastAsia="zh-CN" w:bidi="ar-SA"/>
        </w:rPr>
      </w:sdtEndPr>
      <w:sdtContent>
        <w:p>
          <w:pPr>
            <w:spacing w:before="0" w:beforeLines="0" w:after="0" w:afterLines="0" w:line="240" w:lineRule="auto"/>
            <w:ind w:left="0" w:leftChars="0" w:right="0" w:rightChars="0" w:firstLine="0" w:firstLineChars="0"/>
            <w:jc w:val="center"/>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CONTENT</w:t>
          </w:r>
        </w:p>
        <w:p>
          <w:pPr>
            <w:pStyle w:val="6"/>
            <w:tabs>
              <w:tab w:val="right" w:leader="dot" w:pos="8306"/>
            </w:tabs>
          </w:pPr>
          <w:r>
            <w:rPr>
              <w:rFonts w:hint="default" w:ascii="Times New Roman" w:hAnsi="Times New Roman" w:eastAsia="Arial" w:cs="Times New Roman"/>
              <w:color w:val="auto"/>
              <w:sz w:val="24"/>
              <w:szCs w:val="24"/>
              <w:lang w:val="en-US" w:eastAsia="zh-CN"/>
            </w:rPr>
            <w:fldChar w:fldCharType="begin"/>
          </w:r>
          <w:r>
            <w:rPr>
              <w:rFonts w:hint="default" w:ascii="Times New Roman" w:hAnsi="Times New Roman" w:eastAsia="Arial" w:cs="Times New Roman"/>
              <w:color w:val="auto"/>
              <w:sz w:val="24"/>
              <w:szCs w:val="24"/>
              <w:lang w:val="en-US" w:eastAsia="zh-CN"/>
            </w:rPr>
            <w:instrText xml:space="preserve">TOC \o "1-3" \h \u </w:instrText>
          </w:r>
          <w:r>
            <w:rPr>
              <w:rFonts w:hint="default" w:ascii="Times New Roman" w:hAnsi="Times New Roman" w:eastAsia="Arial" w:cs="Times New Roman"/>
              <w:color w:val="auto"/>
              <w:sz w:val="24"/>
              <w:szCs w:val="24"/>
              <w:lang w:val="en-US" w:eastAsia="zh-CN"/>
            </w:rPr>
            <w:fldChar w:fldCharType="separate"/>
          </w:r>
          <w:r>
            <w:rPr>
              <w:rFonts w:hint="default" w:ascii="Times New Roman" w:hAnsi="Times New Roman" w:eastAsia="Arial" w:cs="Times New Roman"/>
              <w:color w:val="auto"/>
              <w:szCs w:val="24"/>
              <w:lang w:val="en-US" w:eastAsia="zh-CN"/>
            </w:rPr>
            <w:fldChar w:fldCharType="begin"/>
          </w:r>
          <w:r>
            <w:rPr>
              <w:rFonts w:hint="default" w:ascii="Times New Roman" w:hAnsi="Times New Roman" w:eastAsia="Arial" w:cs="Times New Roman"/>
              <w:szCs w:val="24"/>
              <w:lang w:val="en-US" w:eastAsia="zh-CN"/>
            </w:rPr>
            <w:instrText xml:space="preserve"> HYPERLINK \l _Toc22204 </w:instrText>
          </w:r>
          <w:r>
            <w:rPr>
              <w:rFonts w:hint="default" w:ascii="Times New Roman" w:hAnsi="Times New Roman" w:eastAsia="Arial" w:cs="Times New Roman"/>
              <w:szCs w:val="24"/>
              <w:lang w:val="en-US" w:eastAsia="zh-CN"/>
            </w:rPr>
            <w:fldChar w:fldCharType="separate"/>
          </w:r>
          <w:r>
            <w:rPr>
              <w:rFonts w:hint="default" w:ascii="Times New Roman" w:hAnsi="Times New Roman" w:cs="Times New Roman"/>
              <w:szCs w:val="24"/>
              <w:lang w:val="en-US" w:eastAsia="zh-CN"/>
            </w:rPr>
            <w:t>1. Introduction</w:t>
          </w:r>
          <w:r>
            <w:tab/>
          </w:r>
          <w:r>
            <w:fldChar w:fldCharType="begin"/>
          </w:r>
          <w:r>
            <w:instrText xml:space="preserve"> PAGEREF _Toc22204 \h </w:instrText>
          </w:r>
          <w:r>
            <w:fldChar w:fldCharType="separate"/>
          </w:r>
          <w:r>
            <w:t>4</w:t>
          </w:r>
          <w:r>
            <w:fldChar w:fldCharType="end"/>
          </w:r>
          <w:r>
            <w:rPr>
              <w:rFonts w:hint="default" w:ascii="Times New Roman" w:hAnsi="Times New Roman" w:eastAsia="Arial" w:cs="Times New Roman"/>
              <w:color w:val="auto"/>
              <w:szCs w:val="24"/>
              <w:lang w:val="en-US" w:eastAsia="zh-CN"/>
            </w:rPr>
            <w:fldChar w:fldCharType="end"/>
          </w:r>
        </w:p>
        <w:p>
          <w:pPr>
            <w:pStyle w:val="6"/>
            <w:tabs>
              <w:tab w:val="right" w:leader="dot" w:pos="8306"/>
            </w:tabs>
          </w:pPr>
          <w:r>
            <w:rPr>
              <w:rFonts w:hint="default" w:ascii="Times New Roman" w:hAnsi="Times New Roman" w:eastAsia="Arial" w:cs="Times New Roman"/>
              <w:color w:val="auto"/>
              <w:szCs w:val="24"/>
              <w:lang w:val="en-US" w:eastAsia="zh-CN"/>
            </w:rPr>
            <w:fldChar w:fldCharType="begin"/>
          </w:r>
          <w:r>
            <w:rPr>
              <w:rFonts w:hint="default" w:ascii="Times New Roman" w:hAnsi="Times New Roman" w:eastAsia="Arial" w:cs="Times New Roman"/>
              <w:szCs w:val="24"/>
              <w:lang w:val="en-US" w:eastAsia="zh-CN"/>
            </w:rPr>
            <w:instrText xml:space="preserve"> HYPERLINK \l _Toc9623 </w:instrText>
          </w:r>
          <w:r>
            <w:rPr>
              <w:rFonts w:hint="default" w:ascii="Times New Roman" w:hAnsi="Times New Roman" w:eastAsia="Arial" w:cs="Times New Roman"/>
              <w:szCs w:val="24"/>
              <w:lang w:val="en-US" w:eastAsia="zh-CN"/>
            </w:rPr>
            <w:fldChar w:fldCharType="separate"/>
          </w:r>
          <w:r>
            <w:rPr>
              <w:rFonts w:hint="default" w:ascii="Times New Roman" w:hAnsi="Times New Roman" w:cs="Times New Roman"/>
              <w:szCs w:val="24"/>
              <w:lang w:val="en-US" w:eastAsia="zh-CN"/>
            </w:rPr>
            <w:t>2. Analysis of Financial Statements</w:t>
          </w:r>
          <w:r>
            <w:tab/>
          </w:r>
          <w:r>
            <w:fldChar w:fldCharType="begin"/>
          </w:r>
          <w:r>
            <w:instrText xml:space="preserve"> PAGEREF _Toc9623 \h </w:instrText>
          </w:r>
          <w:r>
            <w:fldChar w:fldCharType="separate"/>
          </w:r>
          <w:r>
            <w:t>5</w:t>
          </w:r>
          <w:r>
            <w:fldChar w:fldCharType="end"/>
          </w:r>
          <w:r>
            <w:rPr>
              <w:rFonts w:hint="default" w:ascii="Times New Roman" w:hAnsi="Times New Roman" w:eastAsia="Arial" w:cs="Times New Roman"/>
              <w:color w:val="auto"/>
              <w:szCs w:val="24"/>
              <w:lang w:val="en-US" w:eastAsia="zh-CN"/>
            </w:rPr>
            <w:fldChar w:fldCharType="end"/>
          </w:r>
        </w:p>
        <w:p>
          <w:pPr>
            <w:pStyle w:val="7"/>
            <w:tabs>
              <w:tab w:val="right" w:leader="dot" w:pos="8306"/>
            </w:tabs>
          </w:pPr>
          <w:r>
            <w:rPr>
              <w:rFonts w:hint="default" w:ascii="Times New Roman" w:hAnsi="Times New Roman" w:eastAsia="Arial" w:cs="Times New Roman"/>
              <w:color w:val="auto"/>
              <w:szCs w:val="24"/>
              <w:lang w:val="en-US" w:eastAsia="zh-CN"/>
            </w:rPr>
            <w:fldChar w:fldCharType="begin"/>
          </w:r>
          <w:r>
            <w:rPr>
              <w:rFonts w:hint="default" w:ascii="Times New Roman" w:hAnsi="Times New Roman" w:eastAsia="Arial" w:cs="Times New Roman"/>
              <w:szCs w:val="24"/>
              <w:lang w:val="en-US" w:eastAsia="zh-CN"/>
            </w:rPr>
            <w:instrText xml:space="preserve"> HYPERLINK \l _Toc12628 </w:instrText>
          </w:r>
          <w:r>
            <w:rPr>
              <w:rFonts w:hint="default" w:ascii="Times New Roman" w:hAnsi="Times New Roman" w:eastAsia="Arial" w:cs="Times New Roman"/>
              <w:szCs w:val="24"/>
              <w:lang w:val="en-US" w:eastAsia="zh-CN"/>
            </w:rPr>
            <w:fldChar w:fldCharType="separate"/>
          </w:r>
          <w:r>
            <w:rPr>
              <w:rFonts w:hint="default" w:ascii="Times New Roman" w:hAnsi="Times New Roman" w:cs="Times New Roman"/>
              <w:szCs w:val="24"/>
              <w:lang w:val="en-US" w:eastAsia="zh-CN"/>
            </w:rPr>
            <w:t>2.1 Profitability Ratios</w:t>
          </w:r>
          <w:r>
            <w:tab/>
          </w:r>
          <w:r>
            <w:fldChar w:fldCharType="begin"/>
          </w:r>
          <w:r>
            <w:instrText xml:space="preserve"> PAGEREF _Toc12628 \h </w:instrText>
          </w:r>
          <w:r>
            <w:fldChar w:fldCharType="separate"/>
          </w:r>
          <w:r>
            <w:t>5</w:t>
          </w:r>
          <w:r>
            <w:fldChar w:fldCharType="end"/>
          </w:r>
          <w:r>
            <w:rPr>
              <w:rFonts w:hint="default" w:ascii="Times New Roman" w:hAnsi="Times New Roman" w:eastAsia="Arial" w:cs="Times New Roman"/>
              <w:color w:val="auto"/>
              <w:szCs w:val="24"/>
              <w:lang w:val="en-US" w:eastAsia="zh-CN"/>
            </w:rPr>
            <w:fldChar w:fldCharType="end"/>
          </w:r>
        </w:p>
        <w:p>
          <w:pPr>
            <w:pStyle w:val="5"/>
            <w:tabs>
              <w:tab w:val="right" w:leader="dot" w:pos="8306"/>
            </w:tabs>
          </w:pPr>
          <w:r>
            <w:rPr>
              <w:rFonts w:hint="default" w:ascii="Times New Roman" w:hAnsi="Times New Roman" w:eastAsia="Arial" w:cs="Times New Roman"/>
              <w:color w:val="auto"/>
              <w:szCs w:val="24"/>
              <w:lang w:val="en-US" w:eastAsia="zh-CN"/>
            </w:rPr>
            <w:fldChar w:fldCharType="begin"/>
          </w:r>
          <w:r>
            <w:rPr>
              <w:rFonts w:hint="default" w:ascii="Times New Roman" w:hAnsi="Times New Roman" w:eastAsia="Arial" w:cs="Times New Roman"/>
              <w:szCs w:val="24"/>
              <w:lang w:val="en-US" w:eastAsia="zh-CN"/>
            </w:rPr>
            <w:instrText xml:space="preserve"> HYPERLINK \l _Toc19873 </w:instrText>
          </w:r>
          <w:r>
            <w:rPr>
              <w:rFonts w:hint="default" w:ascii="Times New Roman" w:hAnsi="Times New Roman" w:eastAsia="Arial" w:cs="Times New Roman"/>
              <w:szCs w:val="24"/>
              <w:lang w:val="en-US" w:eastAsia="zh-CN"/>
            </w:rPr>
            <w:fldChar w:fldCharType="separate"/>
          </w:r>
          <w:r>
            <w:rPr>
              <w:rFonts w:hint="default" w:ascii="Times New Roman" w:hAnsi="Times New Roman" w:cs="Times New Roman"/>
              <w:bCs/>
              <w:szCs w:val="24"/>
              <w:lang w:val="en-US" w:eastAsia="zh-CN"/>
            </w:rPr>
            <w:t xml:space="preserve">2.1.1 </w:t>
          </w:r>
          <w:r>
            <w:rPr>
              <w:rFonts w:hint="default" w:ascii="Times New Roman" w:hAnsi="Times New Roman" w:cs="Times New Roman"/>
              <w:szCs w:val="24"/>
              <w:lang w:val="en-US" w:eastAsia="zh-CN"/>
            </w:rPr>
            <w:t>Gross Profit Margin Ratio</w:t>
          </w:r>
          <w:r>
            <w:tab/>
          </w:r>
          <w:r>
            <w:fldChar w:fldCharType="begin"/>
          </w:r>
          <w:r>
            <w:instrText xml:space="preserve"> PAGEREF _Toc19873 \h </w:instrText>
          </w:r>
          <w:r>
            <w:fldChar w:fldCharType="separate"/>
          </w:r>
          <w:r>
            <w:t>5</w:t>
          </w:r>
          <w:r>
            <w:fldChar w:fldCharType="end"/>
          </w:r>
          <w:r>
            <w:rPr>
              <w:rFonts w:hint="default" w:ascii="Times New Roman" w:hAnsi="Times New Roman" w:eastAsia="Arial" w:cs="Times New Roman"/>
              <w:color w:val="auto"/>
              <w:szCs w:val="24"/>
              <w:lang w:val="en-US" w:eastAsia="zh-CN"/>
            </w:rPr>
            <w:fldChar w:fldCharType="end"/>
          </w:r>
        </w:p>
        <w:p>
          <w:pPr>
            <w:pStyle w:val="5"/>
            <w:tabs>
              <w:tab w:val="right" w:leader="dot" w:pos="8306"/>
            </w:tabs>
          </w:pPr>
          <w:r>
            <w:rPr>
              <w:rFonts w:hint="default" w:ascii="Times New Roman" w:hAnsi="Times New Roman" w:eastAsia="Arial" w:cs="Times New Roman"/>
              <w:color w:val="auto"/>
              <w:szCs w:val="24"/>
              <w:lang w:val="en-US" w:eastAsia="zh-CN"/>
            </w:rPr>
            <w:fldChar w:fldCharType="begin"/>
          </w:r>
          <w:r>
            <w:rPr>
              <w:rFonts w:hint="default" w:ascii="Times New Roman" w:hAnsi="Times New Roman" w:eastAsia="Arial" w:cs="Times New Roman"/>
              <w:szCs w:val="24"/>
              <w:lang w:val="en-US" w:eastAsia="zh-CN"/>
            </w:rPr>
            <w:instrText xml:space="preserve"> HYPERLINK \l _Toc227 </w:instrText>
          </w:r>
          <w:r>
            <w:rPr>
              <w:rFonts w:hint="default" w:ascii="Times New Roman" w:hAnsi="Times New Roman" w:eastAsia="Arial" w:cs="Times New Roman"/>
              <w:szCs w:val="24"/>
              <w:lang w:val="en-US" w:eastAsia="zh-CN"/>
            </w:rPr>
            <w:fldChar w:fldCharType="separate"/>
          </w:r>
          <w:r>
            <w:rPr>
              <w:rFonts w:hint="default" w:ascii="Times New Roman" w:hAnsi="Times New Roman" w:cs="Times New Roman"/>
              <w:bCs/>
              <w:szCs w:val="24"/>
              <w:lang w:val="en-US" w:eastAsia="zh-CN"/>
            </w:rPr>
            <w:t xml:space="preserve">2.1.2 </w:t>
          </w:r>
          <w:r>
            <w:rPr>
              <w:rFonts w:hint="default" w:ascii="Times New Roman" w:hAnsi="Times New Roman" w:cs="Times New Roman"/>
              <w:szCs w:val="24"/>
              <w:lang w:val="en-US" w:eastAsia="zh-CN"/>
            </w:rPr>
            <w:t>Operating Profit Margin Ratio</w:t>
          </w:r>
          <w:r>
            <w:tab/>
          </w:r>
          <w:r>
            <w:fldChar w:fldCharType="begin"/>
          </w:r>
          <w:r>
            <w:instrText xml:space="preserve"> PAGEREF _Toc227 \h </w:instrText>
          </w:r>
          <w:r>
            <w:fldChar w:fldCharType="separate"/>
          </w:r>
          <w:r>
            <w:t>6</w:t>
          </w:r>
          <w:r>
            <w:fldChar w:fldCharType="end"/>
          </w:r>
          <w:r>
            <w:rPr>
              <w:rFonts w:hint="default" w:ascii="Times New Roman" w:hAnsi="Times New Roman" w:eastAsia="Arial" w:cs="Times New Roman"/>
              <w:color w:val="auto"/>
              <w:szCs w:val="24"/>
              <w:lang w:val="en-US" w:eastAsia="zh-CN"/>
            </w:rPr>
            <w:fldChar w:fldCharType="end"/>
          </w:r>
        </w:p>
        <w:p>
          <w:pPr>
            <w:pStyle w:val="5"/>
            <w:tabs>
              <w:tab w:val="right" w:leader="dot" w:pos="8306"/>
            </w:tabs>
          </w:pPr>
          <w:r>
            <w:rPr>
              <w:rFonts w:hint="default" w:ascii="Times New Roman" w:hAnsi="Times New Roman" w:eastAsia="Arial" w:cs="Times New Roman"/>
              <w:color w:val="auto"/>
              <w:szCs w:val="24"/>
              <w:lang w:val="en-US" w:eastAsia="zh-CN"/>
            </w:rPr>
            <w:fldChar w:fldCharType="begin"/>
          </w:r>
          <w:r>
            <w:rPr>
              <w:rFonts w:hint="default" w:ascii="Times New Roman" w:hAnsi="Times New Roman" w:eastAsia="Arial" w:cs="Times New Roman"/>
              <w:szCs w:val="24"/>
              <w:lang w:val="en-US" w:eastAsia="zh-CN"/>
            </w:rPr>
            <w:instrText xml:space="preserve"> HYPERLINK \l _Toc14989 </w:instrText>
          </w:r>
          <w:r>
            <w:rPr>
              <w:rFonts w:hint="default" w:ascii="Times New Roman" w:hAnsi="Times New Roman" w:eastAsia="Arial" w:cs="Times New Roman"/>
              <w:szCs w:val="24"/>
              <w:lang w:val="en-US" w:eastAsia="zh-CN"/>
            </w:rPr>
            <w:fldChar w:fldCharType="separate"/>
          </w:r>
          <w:r>
            <w:rPr>
              <w:rFonts w:hint="default" w:ascii="Times New Roman" w:hAnsi="Times New Roman" w:cs="Times New Roman"/>
              <w:bCs/>
              <w:szCs w:val="24"/>
              <w:lang w:val="en-US" w:eastAsia="zh-CN"/>
            </w:rPr>
            <w:t xml:space="preserve">2.1.3 </w:t>
          </w:r>
          <w:r>
            <w:rPr>
              <w:rFonts w:hint="eastAsia" w:ascii="Times New Roman" w:hAnsi="Times New Roman" w:cs="Times New Roman"/>
              <w:szCs w:val="24"/>
              <w:lang w:val="en-US" w:eastAsia="zh-CN"/>
            </w:rPr>
            <w:t>Net Profit Margin Ratio</w:t>
          </w:r>
          <w:r>
            <w:tab/>
          </w:r>
          <w:r>
            <w:fldChar w:fldCharType="begin"/>
          </w:r>
          <w:r>
            <w:instrText xml:space="preserve"> PAGEREF _Toc14989 \h </w:instrText>
          </w:r>
          <w:r>
            <w:fldChar w:fldCharType="separate"/>
          </w:r>
          <w:r>
            <w:t>6</w:t>
          </w:r>
          <w:r>
            <w:fldChar w:fldCharType="end"/>
          </w:r>
          <w:r>
            <w:rPr>
              <w:rFonts w:hint="default" w:ascii="Times New Roman" w:hAnsi="Times New Roman" w:eastAsia="Arial" w:cs="Times New Roman"/>
              <w:color w:val="auto"/>
              <w:szCs w:val="24"/>
              <w:lang w:val="en-US" w:eastAsia="zh-CN"/>
            </w:rPr>
            <w:fldChar w:fldCharType="end"/>
          </w:r>
        </w:p>
        <w:p>
          <w:pPr>
            <w:pStyle w:val="5"/>
            <w:tabs>
              <w:tab w:val="right" w:leader="dot" w:pos="8306"/>
            </w:tabs>
          </w:pPr>
          <w:r>
            <w:rPr>
              <w:rFonts w:hint="default" w:ascii="Times New Roman" w:hAnsi="Times New Roman" w:eastAsia="Arial" w:cs="Times New Roman"/>
              <w:color w:val="auto"/>
              <w:szCs w:val="24"/>
              <w:lang w:val="en-US" w:eastAsia="zh-CN"/>
            </w:rPr>
            <w:fldChar w:fldCharType="begin"/>
          </w:r>
          <w:r>
            <w:rPr>
              <w:rFonts w:hint="default" w:ascii="Times New Roman" w:hAnsi="Times New Roman" w:eastAsia="Arial" w:cs="Times New Roman"/>
              <w:szCs w:val="24"/>
              <w:lang w:val="en-US" w:eastAsia="zh-CN"/>
            </w:rPr>
            <w:instrText xml:space="preserve"> HYPERLINK \l _Toc3949 </w:instrText>
          </w:r>
          <w:r>
            <w:rPr>
              <w:rFonts w:hint="default" w:ascii="Times New Roman" w:hAnsi="Times New Roman" w:eastAsia="Arial" w:cs="Times New Roman"/>
              <w:szCs w:val="24"/>
              <w:lang w:val="en-US" w:eastAsia="zh-CN"/>
            </w:rPr>
            <w:fldChar w:fldCharType="separate"/>
          </w:r>
          <w:r>
            <w:rPr>
              <w:rFonts w:hint="default" w:ascii="Times New Roman" w:hAnsi="Times New Roman" w:cs="Times New Roman"/>
              <w:bCs/>
              <w:szCs w:val="24"/>
              <w:lang w:val="en-US" w:eastAsia="zh-CN"/>
            </w:rPr>
            <w:t xml:space="preserve">2.1.4 </w:t>
          </w:r>
          <w:r>
            <w:rPr>
              <w:rFonts w:hint="eastAsia" w:ascii="Times New Roman" w:hAnsi="Times New Roman" w:cs="Times New Roman"/>
              <w:szCs w:val="24"/>
              <w:lang w:val="en-US" w:eastAsia="zh-CN"/>
            </w:rPr>
            <w:t>Return on Assets (ROA)</w:t>
          </w:r>
          <w:r>
            <w:tab/>
          </w:r>
          <w:r>
            <w:fldChar w:fldCharType="begin"/>
          </w:r>
          <w:r>
            <w:instrText xml:space="preserve"> PAGEREF _Toc3949 \h </w:instrText>
          </w:r>
          <w:r>
            <w:fldChar w:fldCharType="separate"/>
          </w:r>
          <w:r>
            <w:t>7</w:t>
          </w:r>
          <w:r>
            <w:fldChar w:fldCharType="end"/>
          </w:r>
          <w:r>
            <w:rPr>
              <w:rFonts w:hint="default" w:ascii="Times New Roman" w:hAnsi="Times New Roman" w:eastAsia="Arial" w:cs="Times New Roman"/>
              <w:color w:val="auto"/>
              <w:szCs w:val="24"/>
              <w:lang w:val="en-US" w:eastAsia="zh-CN"/>
            </w:rPr>
            <w:fldChar w:fldCharType="end"/>
          </w:r>
        </w:p>
        <w:p>
          <w:pPr>
            <w:pStyle w:val="5"/>
            <w:tabs>
              <w:tab w:val="right" w:leader="dot" w:pos="8306"/>
            </w:tabs>
          </w:pPr>
          <w:r>
            <w:rPr>
              <w:rFonts w:hint="default" w:ascii="Times New Roman" w:hAnsi="Times New Roman" w:eastAsia="Arial" w:cs="Times New Roman"/>
              <w:color w:val="auto"/>
              <w:szCs w:val="24"/>
              <w:lang w:val="en-US" w:eastAsia="zh-CN"/>
            </w:rPr>
            <w:fldChar w:fldCharType="begin"/>
          </w:r>
          <w:r>
            <w:rPr>
              <w:rFonts w:hint="default" w:ascii="Times New Roman" w:hAnsi="Times New Roman" w:eastAsia="Arial" w:cs="Times New Roman"/>
              <w:szCs w:val="24"/>
              <w:lang w:val="en-US" w:eastAsia="zh-CN"/>
            </w:rPr>
            <w:instrText xml:space="preserve"> HYPERLINK \l _Toc22183 </w:instrText>
          </w:r>
          <w:r>
            <w:rPr>
              <w:rFonts w:hint="default" w:ascii="Times New Roman" w:hAnsi="Times New Roman" w:eastAsia="Arial" w:cs="Times New Roman"/>
              <w:szCs w:val="24"/>
              <w:lang w:val="en-US" w:eastAsia="zh-CN"/>
            </w:rPr>
            <w:fldChar w:fldCharType="separate"/>
          </w:r>
          <w:r>
            <w:rPr>
              <w:rFonts w:hint="default" w:ascii="Times New Roman" w:hAnsi="Times New Roman" w:cs="Times New Roman"/>
              <w:bCs/>
              <w:szCs w:val="24"/>
              <w:lang w:val="en-US" w:eastAsia="zh-CN"/>
            </w:rPr>
            <w:t xml:space="preserve">2.1.5 </w:t>
          </w:r>
          <w:r>
            <w:rPr>
              <w:rFonts w:hint="eastAsia" w:ascii="Times New Roman" w:hAnsi="Times New Roman" w:cs="Times New Roman"/>
              <w:szCs w:val="24"/>
              <w:lang w:val="en-US" w:eastAsia="zh-CN"/>
            </w:rPr>
            <w:t>Return on Equity (ROE)</w:t>
          </w:r>
          <w:r>
            <w:tab/>
          </w:r>
          <w:r>
            <w:fldChar w:fldCharType="begin"/>
          </w:r>
          <w:r>
            <w:instrText xml:space="preserve"> PAGEREF _Toc22183 \h </w:instrText>
          </w:r>
          <w:r>
            <w:fldChar w:fldCharType="separate"/>
          </w:r>
          <w:r>
            <w:t>7</w:t>
          </w:r>
          <w:r>
            <w:fldChar w:fldCharType="end"/>
          </w:r>
          <w:r>
            <w:rPr>
              <w:rFonts w:hint="default" w:ascii="Times New Roman" w:hAnsi="Times New Roman" w:eastAsia="Arial" w:cs="Times New Roman"/>
              <w:color w:val="auto"/>
              <w:szCs w:val="24"/>
              <w:lang w:val="en-US" w:eastAsia="zh-CN"/>
            </w:rPr>
            <w:fldChar w:fldCharType="end"/>
          </w:r>
        </w:p>
        <w:p>
          <w:pPr>
            <w:pStyle w:val="7"/>
            <w:tabs>
              <w:tab w:val="right" w:leader="dot" w:pos="8306"/>
            </w:tabs>
          </w:pPr>
          <w:r>
            <w:rPr>
              <w:rFonts w:hint="default" w:ascii="Times New Roman" w:hAnsi="Times New Roman" w:eastAsia="Arial" w:cs="Times New Roman"/>
              <w:color w:val="auto"/>
              <w:szCs w:val="24"/>
              <w:lang w:val="en-US" w:eastAsia="zh-CN"/>
            </w:rPr>
            <w:fldChar w:fldCharType="begin"/>
          </w:r>
          <w:r>
            <w:rPr>
              <w:rFonts w:hint="default" w:ascii="Times New Roman" w:hAnsi="Times New Roman" w:eastAsia="Arial" w:cs="Times New Roman"/>
              <w:szCs w:val="24"/>
              <w:lang w:val="en-US" w:eastAsia="zh-CN"/>
            </w:rPr>
            <w:instrText xml:space="preserve"> HYPERLINK \l _Toc3350 </w:instrText>
          </w:r>
          <w:r>
            <w:rPr>
              <w:rFonts w:hint="default" w:ascii="Times New Roman" w:hAnsi="Times New Roman" w:eastAsia="Arial" w:cs="Times New Roman"/>
              <w:szCs w:val="24"/>
              <w:lang w:val="en-US" w:eastAsia="zh-CN"/>
            </w:rPr>
            <w:fldChar w:fldCharType="separate"/>
          </w:r>
          <w:r>
            <w:rPr>
              <w:rFonts w:hint="default" w:ascii="Times New Roman" w:hAnsi="Times New Roman" w:cs="Times New Roman"/>
              <w:szCs w:val="24"/>
              <w:lang w:val="en-US" w:eastAsia="zh-CN"/>
            </w:rPr>
            <w:t>2.2 Liquidity Ratio</w:t>
          </w:r>
          <w:r>
            <w:tab/>
          </w:r>
          <w:r>
            <w:fldChar w:fldCharType="begin"/>
          </w:r>
          <w:r>
            <w:instrText xml:space="preserve"> PAGEREF _Toc3350 \h </w:instrText>
          </w:r>
          <w:r>
            <w:fldChar w:fldCharType="separate"/>
          </w:r>
          <w:r>
            <w:t>8</w:t>
          </w:r>
          <w:r>
            <w:fldChar w:fldCharType="end"/>
          </w:r>
          <w:r>
            <w:rPr>
              <w:rFonts w:hint="default" w:ascii="Times New Roman" w:hAnsi="Times New Roman" w:eastAsia="Arial" w:cs="Times New Roman"/>
              <w:color w:val="auto"/>
              <w:szCs w:val="24"/>
              <w:lang w:val="en-US" w:eastAsia="zh-CN"/>
            </w:rPr>
            <w:fldChar w:fldCharType="end"/>
          </w:r>
        </w:p>
        <w:p>
          <w:pPr>
            <w:pStyle w:val="5"/>
            <w:tabs>
              <w:tab w:val="right" w:leader="dot" w:pos="8306"/>
            </w:tabs>
          </w:pPr>
          <w:r>
            <w:rPr>
              <w:rFonts w:hint="default" w:ascii="Times New Roman" w:hAnsi="Times New Roman" w:eastAsia="Arial" w:cs="Times New Roman"/>
              <w:color w:val="auto"/>
              <w:szCs w:val="24"/>
              <w:lang w:val="en-US" w:eastAsia="zh-CN"/>
            </w:rPr>
            <w:fldChar w:fldCharType="begin"/>
          </w:r>
          <w:r>
            <w:rPr>
              <w:rFonts w:hint="default" w:ascii="Times New Roman" w:hAnsi="Times New Roman" w:eastAsia="Arial" w:cs="Times New Roman"/>
              <w:szCs w:val="24"/>
              <w:lang w:val="en-US" w:eastAsia="zh-CN"/>
            </w:rPr>
            <w:instrText xml:space="preserve"> HYPERLINK \l _Toc27747 </w:instrText>
          </w:r>
          <w:r>
            <w:rPr>
              <w:rFonts w:hint="default" w:ascii="Times New Roman" w:hAnsi="Times New Roman" w:eastAsia="Arial" w:cs="Times New Roman"/>
              <w:szCs w:val="24"/>
              <w:lang w:val="en-US" w:eastAsia="zh-CN"/>
            </w:rPr>
            <w:fldChar w:fldCharType="separate"/>
          </w:r>
          <w:r>
            <w:rPr>
              <w:rFonts w:hint="default" w:ascii="Times New Roman" w:hAnsi="Times New Roman" w:cs="Times New Roman"/>
              <w:bCs/>
              <w:szCs w:val="24"/>
              <w:lang w:val="en-US" w:eastAsia="zh-CN"/>
            </w:rPr>
            <w:t xml:space="preserve">2.2.1 </w:t>
          </w:r>
          <w:r>
            <w:rPr>
              <w:rFonts w:hint="default" w:ascii="Times New Roman" w:hAnsi="Times New Roman" w:cs="Times New Roman"/>
              <w:szCs w:val="24"/>
              <w:lang w:val="en-US" w:eastAsia="zh-CN"/>
            </w:rPr>
            <w:t>Current Ratio</w:t>
          </w:r>
          <w:r>
            <w:tab/>
          </w:r>
          <w:r>
            <w:fldChar w:fldCharType="begin"/>
          </w:r>
          <w:r>
            <w:instrText xml:space="preserve"> PAGEREF _Toc27747 \h </w:instrText>
          </w:r>
          <w:r>
            <w:fldChar w:fldCharType="separate"/>
          </w:r>
          <w:r>
            <w:t>8</w:t>
          </w:r>
          <w:r>
            <w:fldChar w:fldCharType="end"/>
          </w:r>
          <w:r>
            <w:rPr>
              <w:rFonts w:hint="default" w:ascii="Times New Roman" w:hAnsi="Times New Roman" w:eastAsia="Arial" w:cs="Times New Roman"/>
              <w:color w:val="auto"/>
              <w:szCs w:val="24"/>
              <w:lang w:val="en-US" w:eastAsia="zh-CN"/>
            </w:rPr>
            <w:fldChar w:fldCharType="end"/>
          </w:r>
        </w:p>
        <w:p>
          <w:pPr>
            <w:pStyle w:val="5"/>
            <w:tabs>
              <w:tab w:val="right" w:leader="dot" w:pos="8306"/>
            </w:tabs>
          </w:pPr>
          <w:r>
            <w:rPr>
              <w:rFonts w:hint="default" w:ascii="Times New Roman" w:hAnsi="Times New Roman" w:eastAsia="Arial" w:cs="Times New Roman"/>
              <w:color w:val="auto"/>
              <w:szCs w:val="24"/>
              <w:lang w:val="en-US" w:eastAsia="zh-CN"/>
            </w:rPr>
            <w:fldChar w:fldCharType="begin"/>
          </w:r>
          <w:r>
            <w:rPr>
              <w:rFonts w:hint="default" w:ascii="Times New Roman" w:hAnsi="Times New Roman" w:eastAsia="Arial" w:cs="Times New Roman"/>
              <w:szCs w:val="24"/>
              <w:lang w:val="en-US" w:eastAsia="zh-CN"/>
            </w:rPr>
            <w:instrText xml:space="preserve"> HYPERLINK \l _Toc4578 </w:instrText>
          </w:r>
          <w:r>
            <w:rPr>
              <w:rFonts w:hint="default" w:ascii="Times New Roman" w:hAnsi="Times New Roman" w:eastAsia="Arial" w:cs="Times New Roman"/>
              <w:szCs w:val="24"/>
              <w:lang w:val="en-US" w:eastAsia="zh-CN"/>
            </w:rPr>
            <w:fldChar w:fldCharType="separate"/>
          </w:r>
          <w:r>
            <w:rPr>
              <w:rFonts w:hint="default" w:ascii="Times New Roman" w:hAnsi="Times New Roman" w:cs="Times New Roman"/>
              <w:bCs/>
              <w:szCs w:val="24"/>
              <w:lang w:val="en-US" w:eastAsia="zh-CN"/>
            </w:rPr>
            <w:t xml:space="preserve">2.2.2 </w:t>
          </w:r>
          <w:r>
            <w:rPr>
              <w:rFonts w:hint="eastAsia" w:ascii="Times New Roman" w:hAnsi="Times New Roman" w:cs="Times New Roman"/>
              <w:szCs w:val="24"/>
              <w:lang w:val="en-US" w:eastAsia="zh-CN"/>
            </w:rPr>
            <w:t>Quick Ratio</w:t>
          </w:r>
          <w:r>
            <w:tab/>
          </w:r>
          <w:r>
            <w:fldChar w:fldCharType="begin"/>
          </w:r>
          <w:r>
            <w:instrText xml:space="preserve"> PAGEREF _Toc4578 \h </w:instrText>
          </w:r>
          <w:r>
            <w:fldChar w:fldCharType="separate"/>
          </w:r>
          <w:r>
            <w:t>9</w:t>
          </w:r>
          <w:r>
            <w:fldChar w:fldCharType="end"/>
          </w:r>
          <w:r>
            <w:rPr>
              <w:rFonts w:hint="default" w:ascii="Times New Roman" w:hAnsi="Times New Roman" w:eastAsia="Arial" w:cs="Times New Roman"/>
              <w:color w:val="auto"/>
              <w:szCs w:val="24"/>
              <w:lang w:val="en-US" w:eastAsia="zh-CN"/>
            </w:rPr>
            <w:fldChar w:fldCharType="end"/>
          </w:r>
        </w:p>
        <w:p>
          <w:pPr>
            <w:pStyle w:val="5"/>
            <w:tabs>
              <w:tab w:val="right" w:leader="dot" w:pos="8306"/>
            </w:tabs>
          </w:pPr>
          <w:r>
            <w:rPr>
              <w:rFonts w:hint="default" w:ascii="Times New Roman" w:hAnsi="Times New Roman" w:eastAsia="Arial" w:cs="Times New Roman"/>
              <w:color w:val="auto"/>
              <w:szCs w:val="24"/>
              <w:lang w:val="en-US" w:eastAsia="zh-CN"/>
            </w:rPr>
            <w:fldChar w:fldCharType="begin"/>
          </w:r>
          <w:r>
            <w:rPr>
              <w:rFonts w:hint="default" w:ascii="Times New Roman" w:hAnsi="Times New Roman" w:eastAsia="Arial" w:cs="Times New Roman"/>
              <w:szCs w:val="24"/>
              <w:lang w:val="en-US" w:eastAsia="zh-CN"/>
            </w:rPr>
            <w:instrText xml:space="preserve"> HYPERLINK \l _Toc13733 </w:instrText>
          </w:r>
          <w:r>
            <w:rPr>
              <w:rFonts w:hint="default" w:ascii="Times New Roman" w:hAnsi="Times New Roman" w:eastAsia="Arial" w:cs="Times New Roman"/>
              <w:szCs w:val="24"/>
              <w:lang w:val="en-US" w:eastAsia="zh-CN"/>
            </w:rPr>
            <w:fldChar w:fldCharType="separate"/>
          </w:r>
          <w:r>
            <w:rPr>
              <w:rFonts w:hint="default" w:ascii="Times New Roman" w:hAnsi="Times New Roman" w:cs="Times New Roman"/>
              <w:bCs/>
              <w:szCs w:val="24"/>
              <w:lang w:val="en-US" w:eastAsia="zh-CN"/>
            </w:rPr>
            <w:t xml:space="preserve">2.2.3 </w:t>
          </w:r>
          <w:r>
            <w:rPr>
              <w:rFonts w:hint="eastAsia" w:ascii="Times New Roman" w:hAnsi="Times New Roman" w:cs="Times New Roman"/>
              <w:szCs w:val="24"/>
              <w:lang w:val="en-US" w:eastAsia="zh-CN"/>
            </w:rPr>
            <w:t>Cash Ratio</w:t>
          </w:r>
          <w:r>
            <w:tab/>
          </w:r>
          <w:r>
            <w:fldChar w:fldCharType="begin"/>
          </w:r>
          <w:r>
            <w:instrText xml:space="preserve"> PAGEREF _Toc13733 \h </w:instrText>
          </w:r>
          <w:r>
            <w:fldChar w:fldCharType="separate"/>
          </w:r>
          <w:r>
            <w:t>10</w:t>
          </w:r>
          <w:r>
            <w:fldChar w:fldCharType="end"/>
          </w:r>
          <w:r>
            <w:rPr>
              <w:rFonts w:hint="default" w:ascii="Times New Roman" w:hAnsi="Times New Roman" w:eastAsia="Arial" w:cs="Times New Roman"/>
              <w:color w:val="auto"/>
              <w:szCs w:val="24"/>
              <w:lang w:val="en-US" w:eastAsia="zh-CN"/>
            </w:rPr>
            <w:fldChar w:fldCharType="end"/>
          </w:r>
        </w:p>
        <w:p>
          <w:pPr>
            <w:pStyle w:val="7"/>
            <w:tabs>
              <w:tab w:val="right" w:leader="dot" w:pos="8306"/>
            </w:tabs>
          </w:pPr>
          <w:r>
            <w:rPr>
              <w:rFonts w:hint="default" w:ascii="Times New Roman" w:hAnsi="Times New Roman" w:eastAsia="Arial" w:cs="Times New Roman"/>
              <w:color w:val="auto"/>
              <w:szCs w:val="24"/>
              <w:lang w:val="en-US" w:eastAsia="zh-CN"/>
            </w:rPr>
            <w:fldChar w:fldCharType="begin"/>
          </w:r>
          <w:r>
            <w:rPr>
              <w:rFonts w:hint="default" w:ascii="Times New Roman" w:hAnsi="Times New Roman" w:eastAsia="Arial" w:cs="Times New Roman"/>
              <w:szCs w:val="24"/>
              <w:lang w:val="en-US" w:eastAsia="zh-CN"/>
            </w:rPr>
            <w:instrText xml:space="preserve"> HYPERLINK \l _Toc12871 </w:instrText>
          </w:r>
          <w:r>
            <w:rPr>
              <w:rFonts w:hint="default" w:ascii="Times New Roman" w:hAnsi="Times New Roman" w:eastAsia="Arial" w:cs="Times New Roman"/>
              <w:szCs w:val="24"/>
              <w:lang w:val="en-US" w:eastAsia="zh-CN"/>
            </w:rPr>
            <w:fldChar w:fldCharType="separate"/>
          </w:r>
          <w:r>
            <w:rPr>
              <w:rFonts w:hint="default" w:ascii="Times New Roman" w:hAnsi="Times New Roman" w:cs="Times New Roman"/>
              <w:szCs w:val="24"/>
              <w:lang w:val="en-US" w:eastAsia="zh-CN"/>
            </w:rPr>
            <w:t>2.3 Efficiency Ratios</w:t>
          </w:r>
          <w:r>
            <w:tab/>
          </w:r>
          <w:r>
            <w:fldChar w:fldCharType="begin"/>
          </w:r>
          <w:r>
            <w:instrText xml:space="preserve"> PAGEREF _Toc12871 \h </w:instrText>
          </w:r>
          <w:r>
            <w:fldChar w:fldCharType="separate"/>
          </w:r>
          <w:r>
            <w:t>10</w:t>
          </w:r>
          <w:r>
            <w:fldChar w:fldCharType="end"/>
          </w:r>
          <w:r>
            <w:rPr>
              <w:rFonts w:hint="default" w:ascii="Times New Roman" w:hAnsi="Times New Roman" w:eastAsia="Arial" w:cs="Times New Roman"/>
              <w:color w:val="auto"/>
              <w:szCs w:val="24"/>
              <w:lang w:val="en-US" w:eastAsia="zh-CN"/>
            </w:rPr>
            <w:fldChar w:fldCharType="end"/>
          </w:r>
        </w:p>
        <w:p>
          <w:pPr>
            <w:pStyle w:val="5"/>
            <w:tabs>
              <w:tab w:val="right" w:leader="dot" w:pos="8306"/>
            </w:tabs>
          </w:pPr>
          <w:r>
            <w:rPr>
              <w:rFonts w:hint="default" w:ascii="Times New Roman" w:hAnsi="Times New Roman" w:eastAsia="Arial" w:cs="Times New Roman"/>
              <w:color w:val="auto"/>
              <w:szCs w:val="24"/>
              <w:lang w:val="en-US" w:eastAsia="zh-CN"/>
            </w:rPr>
            <w:fldChar w:fldCharType="begin"/>
          </w:r>
          <w:r>
            <w:rPr>
              <w:rFonts w:hint="default" w:ascii="Times New Roman" w:hAnsi="Times New Roman" w:eastAsia="Arial" w:cs="Times New Roman"/>
              <w:szCs w:val="24"/>
              <w:lang w:val="en-US" w:eastAsia="zh-CN"/>
            </w:rPr>
            <w:instrText xml:space="preserve"> HYPERLINK \l _Toc22158 </w:instrText>
          </w:r>
          <w:r>
            <w:rPr>
              <w:rFonts w:hint="default" w:ascii="Times New Roman" w:hAnsi="Times New Roman" w:eastAsia="Arial" w:cs="Times New Roman"/>
              <w:szCs w:val="24"/>
              <w:lang w:val="en-US" w:eastAsia="zh-CN"/>
            </w:rPr>
            <w:fldChar w:fldCharType="separate"/>
          </w:r>
          <w:r>
            <w:rPr>
              <w:rFonts w:hint="default" w:ascii="Times New Roman" w:hAnsi="Times New Roman" w:cs="Times New Roman"/>
              <w:bCs/>
              <w:szCs w:val="24"/>
              <w:lang w:val="en-US" w:eastAsia="zh-CN"/>
            </w:rPr>
            <w:t xml:space="preserve">2.3.1 </w:t>
          </w:r>
          <w:r>
            <w:rPr>
              <w:rFonts w:hint="default" w:ascii="Times New Roman" w:hAnsi="Times New Roman" w:cs="Times New Roman"/>
              <w:szCs w:val="24"/>
              <w:lang w:val="en-US" w:eastAsia="zh-CN"/>
            </w:rPr>
            <w:t>Accounts Receivable Turnover</w:t>
          </w:r>
          <w:r>
            <w:tab/>
          </w:r>
          <w:r>
            <w:fldChar w:fldCharType="begin"/>
          </w:r>
          <w:r>
            <w:instrText xml:space="preserve"> PAGEREF _Toc22158 \h </w:instrText>
          </w:r>
          <w:r>
            <w:fldChar w:fldCharType="separate"/>
          </w:r>
          <w:r>
            <w:t>10</w:t>
          </w:r>
          <w:r>
            <w:fldChar w:fldCharType="end"/>
          </w:r>
          <w:r>
            <w:rPr>
              <w:rFonts w:hint="default" w:ascii="Times New Roman" w:hAnsi="Times New Roman" w:eastAsia="Arial" w:cs="Times New Roman"/>
              <w:color w:val="auto"/>
              <w:szCs w:val="24"/>
              <w:lang w:val="en-US" w:eastAsia="zh-CN"/>
            </w:rPr>
            <w:fldChar w:fldCharType="end"/>
          </w:r>
        </w:p>
        <w:p>
          <w:pPr>
            <w:pStyle w:val="5"/>
            <w:tabs>
              <w:tab w:val="right" w:leader="dot" w:pos="8306"/>
            </w:tabs>
          </w:pPr>
          <w:r>
            <w:rPr>
              <w:rFonts w:hint="default" w:ascii="Times New Roman" w:hAnsi="Times New Roman" w:eastAsia="Arial" w:cs="Times New Roman"/>
              <w:color w:val="auto"/>
              <w:szCs w:val="24"/>
              <w:lang w:val="en-US" w:eastAsia="zh-CN"/>
            </w:rPr>
            <w:fldChar w:fldCharType="begin"/>
          </w:r>
          <w:r>
            <w:rPr>
              <w:rFonts w:hint="default" w:ascii="Times New Roman" w:hAnsi="Times New Roman" w:eastAsia="Arial" w:cs="Times New Roman"/>
              <w:szCs w:val="24"/>
              <w:lang w:val="en-US" w:eastAsia="zh-CN"/>
            </w:rPr>
            <w:instrText xml:space="preserve"> HYPERLINK \l _Toc25956 </w:instrText>
          </w:r>
          <w:r>
            <w:rPr>
              <w:rFonts w:hint="default" w:ascii="Times New Roman" w:hAnsi="Times New Roman" w:eastAsia="Arial" w:cs="Times New Roman"/>
              <w:szCs w:val="24"/>
              <w:lang w:val="en-US" w:eastAsia="zh-CN"/>
            </w:rPr>
            <w:fldChar w:fldCharType="separate"/>
          </w:r>
          <w:r>
            <w:rPr>
              <w:rFonts w:hint="default" w:ascii="Times New Roman" w:hAnsi="Times New Roman" w:cs="Times New Roman"/>
              <w:bCs/>
              <w:szCs w:val="24"/>
              <w:lang w:val="en-US" w:eastAsia="zh-CN"/>
            </w:rPr>
            <w:t xml:space="preserve">2.3.2 </w:t>
          </w:r>
          <w:r>
            <w:rPr>
              <w:rFonts w:hint="eastAsia" w:ascii="Times New Roman" w:hAnsi="Times New Roman" w:cs="Times New Roman"/>
              <w:szCs w:val="24"/>
              <w:lang w:val="en-US" w:eastAsia="zh-CN"/>
            </w:rPr>
            <w:t>Accounts Payable Turnover</w:t>
          </w:r>
          <w:r>
            <w:tab/>
          </w:r>
          <w:r>
            <w:fldChar w:fldCharType="begin"/>
          </w:r>
          <w:r>
            <w:instrText xml:space="preserve"> PAGEREF _Toc25956 \h </w:instrText>
          </w:r>
          <w:r>
            <w:fldChar w:fldCharType="separate"/>
          </w:r>
          <w:r>
            <w:t>11</w:t>
          </w:r>
          <w:r>
            <w:fldChar w:fldCharType="end"/>
          </w:r>
          <w:r>
            <w:rPr>
              <w:rFonts w:hint="default" w:ascii="Times New Roman" w:hAnsi="Times New Roman" w:eastAsia="Arial" w:cs="Times New Roman"/>
              <w:color w:val="auto"/>
              <w:szCs w:val="24"/>
              <w:lang w:val="en-US" w:eastAsia="zh-CN"/>
            </w:rPr>
            <w:fldChar w:fldCharType="end"/>
          </w:r>
        </w:p>
        <w:p>
          <w:pPr>
            <w:pStyle w:val="5"/>
            <w:tabs>
              <w:tab w:val="right" w:leader="dot" w:pos="8306"/>
            </w:tabs>
          </w:pPr>
          <w:r>
            <w:rPr>
              <w:rFonts w:hint="default" w:ascii="Times New Roman" w:hAnsi="Times New Roman" w:eastAsia="Arial" w:cs="Times New Roman"/>
              <w:color w:val="auto"/>
              <w:szCs w:val="24"/>
              <w:lang w:val="en-US" w:eastAsia="zh-CN"/>
            </w:rPr>
            <w:fldChar w:fldCharType="begin"/>
          </w:r>
          <w:r>
            <w:rPr>
              <w:rFonts w:hint="default" w:ascii="Times New Roman" w:hAnsi="Times New Roman" w:eastAsia="Arial" w:cs="Times New Roman"/>
              <w:szCs w:val="24"/>
              <w:lang w:val="en-US" w:eastAsia="zh-CN"/>
            </w:rPr>
            <w:instrText xml:space="preserve"> HYPERLINK \l _Toc10067 </w:instrText>
          </w:r>
          <w:r>
            <w:rPr>
              <w:rFonts w:hint="default" w:ascii="Times New Roman" w:hAnsi="Times New Roman" w:eastAsia="Arial" w:cs="Times New Roman"/>
              <w:szCs w:val="24"/>
              <w:lang w:val="en-US" w:eastAsia="zh-CN"/>
            </w:rPr>
            <w:fldChar w:fldCharType="separate"/>
          </w:r>
          <w:r>
            <w:rPr>
              <w:rFonts w:hint="default" w:ascii="Times New Roman" w:hAnsi="Times New Roman" w:cs="Times New Roman"/>
              <w:bCs/>
              <w:szCs w:val="24"/>
              <w:lang w:val="en-US" w:eastAsia="zh-CN"/>
            </w:rPr>
            <w:t xml:space="preserve">2.3.3 </w:t>
          </w:r>
          <w:r>
            <w:rPr>
              <w:rFonts w:hint="eastAsia" w:ascii="Times New Roman" w:hAnsi="Times New Roman" w:cs="Times New Roman"/>
              <w:szCs w:val="24"/>
              <w:lang w:val="en-US" w:eastAsia="zh-CN"/>
            </w:rPr>
            <w:t>Assets Turnover Ratio</w:t>
          </w:r>
          <w:r>
            <w:tab/>
          </w:r>
          <w:r>
            <w:fldChar w:fldCharType="begin"/>
          </w:r>
          <w:r>
            <w:instrText xml:space="preserve"> PAGEREF _Toc10067 \h </w:instrText>
          </w:r>
          <w:r>
            <w:fldChar w:fldCharType="separate"/>
          </w:r>
          <w:r>
            <w:t>12</w:t>
          </w:r>
          <w:r>
            <w:fldChar w:fldCharType="end"/>
          </w:r>
          <w:r>
            <w:rPr>
              <w:rFonts w:hint="default" w:ascii="Times New Roman" w:hAnsi="Times New Roman" w:eastAsia="Arial" w:cs="Times New Roman"/>
              <w:color w:val="auto"/>
              <w:szCs w:val="24"/>
              <w:lang w:val="en-US" w:eastAsia="zh-CN"/>
            </w:rPr>
            <w:fldChar w:fldCharType="end"/>
          </w:r>
        </w:p>
        <w:p>
          <w:pPr>
            <w:pStyle w:val="5"/>
            <w:tabs>
              <w:tab w:val="right" w:leader="dot" w:pos="8306"/>
            </w:tabs>
          </w:pPr>
          <w:r>
            <w:rPr>
              <w:rFonts w:hint="default" w:ascii="Times New Roman" w:hAnsi="Times New Roman" w:eastAsia="Arial" w:cs="Times New Roman"/>
              <w:color w:val="auto"/>
              <w:szCs w:val="24"/>
              <w:lang w:val="en-US" w:eastAsia="zh-CN"/>
            </w:rPr>
            <w:fldChar w:fldCharType="begin"/>
          </w:r>
          <w:r>
            <w:rPr>
              <w:rFonts w:hint="default" w:ascii="Times New Roman" w:hAnsi="Times New Roman" w:eastAsia="Arial" w:cs="Times New Roman"/>
              <w:szCs w:val="24"/>
              <w:lang w:val="en-US" w:eastAsia="zh-CN"/>
            </w:rPr>
            <w:instrText xml:space="preserve"> HYPERLINK \l _Toc12765 </w:instrText>
          </w:r>
          <w:r>
            <w:rPr>
              <w:rFonts w:hint="default" w:ascii="Times New Roman" w:hAnsi="Times New Roman" w:eastAsia="Arial" w:cs="Times New Roman"/>
              <w:szCs w:val="24"/>
              <w:lang w:val="en-US" w:eastAsia="zh-CN"/>
            </w:rPr>
            <w:fldChar w:fldCharType="separate"/>
          </w:r>
          <w:r>
            <w:rPr>
              <w:rFonts w:hint="default" w:ascii="Times New Roman" w:hAnsi="Times New Roman" w:cs="Times New Roman"/>
              <w:bCs/>
              <w:szCs w:val="24"/>
              <w:lang w:val="en-US" w:eastAsia="zh-CN"/>
            </w:rPr>
            <w:t xml:space="preserve">2.3.4 </w:t>
          </w:r>
          <w:r>
            <w:rPr>
              <w:rFonts w:hint="eastAsia" w:ascii="Times New Roman" w:hAnsi="Times New Roman" w:cs="Times New Roman"/>
              <w:szCs w:val="24"/>
              <w:lang w:val="en-US" w:eastAsia="zh-CN"/>
            </w:rPr>
            <w:t>Capital Turnover Ratio</w:t>
          </w:r>
          <w:r>
            <w:tab/>
          </w:r>
          <w:r>
            <w:fldChar w:fldCharType="begin"/>
          </w:r>
          <w:r>
            <w:instrText xml:space="preserve"> PAGEREF _Toc12765 \h </w:instrText>
          </w:r>
          <w:r>
            <w:fldChar w:fldCharType="separate"/>
          </w:r>
          <w:r>
            <w:t>12</w:t>
          </w:r>
          <w:r>
            <w:fldChar w:fldCharType="end"/>
          </w:r>
          <w:r>
            <w:rPr>
              <w:rFonts w:hint="default" w:ascii="Times New Roman" w:hAnsi="Times New Roman" w:eastAsia="Arial" w:cs="Times New Roman"/>
              <w:color w:val="auto"/>
              <w:szCs w:val="24"/>
              <w:lang w:val="en-US" w:eastAsia="zh-CN"/>
            </w:rPr>
            <w:fldChar w:fldCharType="end"/>
          </w:r>
        </w:p>
        <w:p>
          <w:pPr>
            <w:pStyle w:val="5"/>
            <w:tabs>
              <w:tab w:val="right" w:leader="dot" w:pos="8306"/>
            </w:tabs>
          </w:pPr>
          <w:r>
            <w:rPr>
              <w:rFonts w:hint="default" w:ascii="Times New Roman" w:hAnsi="Times New Roman" w:eastAsia="Arial" w:cs="Times New Roman"/>
              <w:color w:val="auto"/>
              <w:szCs w:val="24"/>
              <w:lang w:val="en-US" w:eastAsia="zh-CN"/>
            </w:rPr>
            <w:fldChar w:fldCharType="begin"/>
          </w:r>
          <w:r>
            <w:rPr>
              <w:rFonts w:hint="default" w:ascii="Times New Roman" w:hAnsi="Times New Roman" w:eastAsia="Arial" w:cs="Times New Roman"/>
              <w:szCs w:val="24"/>
              <w:lang w:val="en-US" w:eastAsia="zh-CN"/>
            </w:rPr>
            <w:instrText xml:space="preserve"> HYPERLINK \l _Toc3627 </w:instrText>
          </w:r>
          <w:r>
            <w:rPr>
              <w:rFonts w:hint="default" w:ascii="Times New Roman" w:hAnsi="Times New Roman" w:eastAsia="Arial" w:cs="Times New Roman"/>
              <w:szCs w:val="24"/>
              <w:lang w:val="en-US" w:eastAsia="zh-CN"/>
            </w:rPr>
            <w:fldChar w:fldCharType="separate"/>
          </w:r>
          <w:r>
            <w:rPr>
              <w:rFonts w:hint="default" w:ascii="Times New Roman" w:hAnsi="Times New Roman" w:cs="Times New Roman"/>
              <w:bCs/>
              <w:szCs w:val="24"/>
              <w:lang w:val="en-US" w:eastAsia="zh-CN"/>
            </w:rPr>
            <w:t xml:space="preserve">2.3.5 </w:t>
          </w:r>
          <w:r>
            <w:rPr>
              <w:rFonts w:hint="eastAsia" w:ascii="Times New Roman" w:hAnsi="Times New Roman" w:cs="Times New Roman"/>
              <w:szCs w:val="24"/>
              <w:lang w:val="en-US" w:eastAsia="zh-CN"/>
            </w:rPr>
            <w:t>Inventory Turnover Ratio</w:t>
          </w:r>
          <w:r>
            <w:tab/>
          </w:r>
          <w:r>
            <w:fldChar w:fldCharType="begin"/>
          </w:r>
          <w:r>
            <w:instrText xml:space="preserve"> PAGEREF _Toc3627 \h </w:instrText>
          </w:r>
          <w:r>
            <w:fldChar w:fldCharType="separate"/>
          </w:r>
          <w:r>
            <w:t>13</w:t>
          </w:r>
          <w:r>
            <w:fldChar w:fldCharType="end"/>
          </w:r>
          <w:r>
            <w:rPr>
              <w:rFonts w:hint="default" w:ascii="Times New Roman" w:hAnsi="Times New Roman" w:eastAsia="Arial" w:cs="Times New Roman"/>
              <w:color w:val="auto"/>
              <w:szCs w:val="24"/>
              <w:lang w:val="en-US" w:eastAsia="zh-CN"/>
            </w:rPr>
            <w:fldChar w:fldCharType="end"/>
          </w:r>
        </w:p>
        <w:p>
          <w:pPr>
            <w:pStyle w:val="5"/>
            <w:tabs>
              <w:tab w:val="right" w:leader="dot" w:pos="8306"/>
            </w:tabs>
          </w:pPr>
          <w:r>
            <w:rPr>
              <w:rFonts w:hint="default" w:ascii="Times New Roman" w:hAnsi="Times New Roman" w:eastAsia="Arial" w:cs="Times New Roman"/>
              <w:color w:val="auto"/>
              <w:szCs w:val="24"/>
              <w:lang w:val="en-US" w:eastAsia="zh-CN"/>
            </w:rPr>
            <w:fldChar w:fldCharType="begin"/>
          </w:r>
          <w:r>
            <w:rPr>
              <w:rFonts w:hint="default" w:ascii="Times New Roman" w:hAnsi="Times New Roman" w:eastAsia="Arial" w:cs="Times New Roman"/>
              <w:szCs w:val="24"/>
              <w:lang w:val="en-US" w:eastAsia="zh-CN"/>
            </w:rPr>
            <w:instrText xml:space="preserve"> HYPERLINK \l _Toc32427 </w:instrText>
          </w:r>
          <w:r>
            <w:rPr>
              <w:rFonts w:hint="default" w:ascii="Times New Roman" w:hAnsi="Times New Roman" w:eastAsia="Arial" w:cs="Times New Roman"/>
              <w:szCs w:val="24"/>
              <w:lang w:val="en-US" w:eastAsia="zh-CN"/>
            </w:rPr>
            <w:fldChar w:fldCharType="separate"/>
          </w:r>
          <w:r>
            <w:rPr>
              <w:rFonts w:hint="default" w:ascii="Times New Roman" w:hAnsi="Times New Roman" w:cs="Times New Roman"/>
              <w:bCs/>
              <w:szCs w:val="24"/>
              <w:lang w:val="en-US" w:eastAsia="zh-CN"/>
            </w:rPr>
            <w:t xml:space="preserve">2.3.6 </w:t>
          </w:r>
          <w:r>
            <w:rPr>
              <w:rFonts w:hint="eastAsia" w:ascii="Times New Roman" w:hAnsi="Times New Roman" w:cs="Times New Roman"/>
              <w:szCs w:val="24"/>
              <w:lang w:val="en-US" w:eastAsia="zh-CN"/>
            </w:rPr>
            <w:t>Working Capital Turnover Ratio</w:t>
          </w:r>
          <w:r>
            <w:tab/>
          </w:r>
          <w:r>
            <w:fldChar w:fldCharType="begin"/>
          </w:r>
          <w:r>
            <w:instrText xml:space="preserve"> PAGEREF _Toc32427 \h </w:instrText>
          </w:r>
          <w:r>
            <w:fldChar w:fldCharType="separate"/>
          </w:r>
          <w:r>
            <w:t>13</w:t>
          </w:r>
          <w:r>
            <w:fldChar w:fldCharType="end"/>
          </w:r>
          <w:r>
            <w:rPr>
              <w:rFonts w:hint="default" w:ascii="Times New Roman" w:hAnsi="Times New Roman" w:eastAsia="Arial" w:cs="Times New Roman"/>
              <w:color w:val="auto"/>
              <w:szCs w:val="24"/>
              <w:lang w:val="en-US" w:eastAsia="zh-CN"/>
            </w:rPr>
            <w:fldChar w:fldCharType="end"/>
          </w:r>
        </w:p>
        <w:p>
          <w:pPr>
            <w:pStyle w:val="7"/>
            <w:tabs>
              <w:tab w:val="right" w:leader="dot" w:pos="8306"/>
            </w:tabs>
          </w:pPr>
          <w:r>
            <w:rPr>
              <w:rFonts w:hint="default" w:ascii="Times New Roman" w:hAnsi="Times New Roman" w:eastAsia="Arial" w:cs="Times New Roman"/>
              <w:color w:val="auto"/>
              <w:szCs w:val="24"/>
              <w:lang w:val="en-US" w:eastAsia="zh-CN"/>
            </w:rPr>
            <w:fldChar w:fldCharType="begin"/>
          </w:r>
          <w:r>
            <w:rPr>
              <w:rFonts w:hint="default" w:ascii="Times New Roman" w:hAnsi="Times New Roman" w:eastAsia="Arial" w:cs="Times New Roman"/>
              <w:szCs w:val="24"/>
              <w:lang w:val="en-US" w:eastAsia="zh-CN"/>
            </w:rPr>
            <w:instrText xml:space="preserve"> HYPERLINK \l _Toc29021 </w:instrText>
          </w:r>
          <w:r>
            <w:rPr>
              <w:rFonts w:hint="default" w:ascii="Times New Roman" w:hAnsi="Times New Roman" w:eastAsia="Arial" w:cs="Times New Roman"/>
              <w:szCs w:val="24"/>
              <w:lang w:val="en-US" w:eastAsia="zh-CN"/>
            </w:rPr>
            <w:fldChar w:fldCharType="separate"/>
          </w:r>
          <w:r>
            <w:rPr>
              <w:rFonts w:hint="default" w:ascii="Times New Roman" w:hAnsi="Times New Roman" w:cs="Times New Roman"/>
              <w:szCs w:val="24"/>
              <w:lang w:val="en-US" w:eastAsia="zh-CN"/>
            </w:rPr>
            <w:t>2.4 Solvency Ratios</w:t>
          </w:r>
          <w:r>
            <w:tab/>
          </w:r>
          <w:r>
            <w:fldChar w:fldCharType="begin"/>
          </w:r>
          <w:r>
            <w:instrText xml:space="preserve"> PAGEREF _Toc29021 \h </w:instrText>
          </w:r>
          <w:r>
            <w:fldChar w:fldCharType="separate"/>
          </w:r>
          <w:r>
            <w:t>13</w:t>
          </w:r>
          <w:r>
            <w:fldChar w:fldCharType="end"/>
          </w:r>
          <w:r>
            <w:rPr>
              <w:rFonts w:hint="default" w:ascii="Times New Roman" w:hAnsi="Times New Roman" w:eastAsia="Arial" w:cs="Times New Roman"/>
              <w:color w:val="auto"/>
              <w:szCs w:val="24"/>
              <w:lang w:val="en-US" w:eastAsia="zh-CN"/>
            </w:rPr>
            <w:fldChar w:fldCharType="end"/>
          </w:r>
        </w:p>
        <w:p>
          <w:pPr>
            <w:pStyle w:val="5"/>
            <w:tabs>
              <w:tab w:val="right" w:leader="dot" w:pos="8306"/>
            </w:tabs>
          </w:pPr>
          <w:r>
            <w:rPr>
              <w:rFonts w:hint="default" w:ascii="Times New Roman" w:hAnsi="Times New Roman" w:eastAsia="Arial" w:cs="Times New Roman"/>
              <w:color w:val="auto"/>
              <w:szCs w:val="24"/>
              <w:lang w:val="en-US" w:eastAsia="zh-CN"/>
            </w:rPr>
            <w:fldChar w:fldCharType="begin"/>
          </w:r>
          <w:r>
            <w:rPr>
              <w:rFonts w:hint="default" w:ascii="Times New Roman" w:hAnsi="Times New Roman" w:eastAsia="Arial" w:cs="Times New Roman"/>
              <w:szCs w:val="24"/>
              <w:lang w:val="en-US" w:eastAsia="zh-CN"/>
            </w:rPr>
            <w:instrText xml:space="preserve"> HYPERLINK \l _Toc3940 </w:instrText>
          </w:r>
          <w:r>
            <w:rPr>
              <w:rFonts w:hint="default" w:ascii="Times New Roman" w:hAnsi="Times New Roman" w:eastAsia="Arial" w:cs="Times New Roman"/>
              <w:szCs w:val="24"/>
              <w:lang w:val="en-US" w:eastAsia="zh-CN"/>
            </w:rPr>
            <w:fldChar w:fldCharType="separate"/>
          </w:r>
          <w:r>
            <w:rPr>
              <w:rFonts w:hint="default" w:ascii="Times New Roman" w:hAnsi="Times New Roman" w:cs="Times New Roman"/>
              <w:bCs/>
              <w:szCs w:val="24"/>
              <w:lang w:val="en-US" w:eastAsia="zh-CN"/>
            </w:rPr>
            <w:t xml:space="preserve">2.4.1 </w:t>
          </w:r>
          <w:r>
            <w:rPr>
              <w:rFonts w:hint="default" w:ascii="Times New Roman" w:hAnsi="Times New Roman" w:cs="Times New Roman"/>
              <w:szCs w:val="24"/>
              <w:lang w:val="en-US" w:eastAsia="zh-CN"/>
            </w:rPr>
            <w:t>Debt Ratio</w:t>
          </w:r>
          <w:r>
            <w:tab/>
          </w:r>
          <w:r>
            <w:fldChar w:fldCharType="begin"/>
          </w:r>
          <w:r>
            <w:instrText xml:space="preserve"> PAGEREF _Toc3940 \h </w:instrText>
          </w:r>
          <w:r>
            <w:fldChar w:fldCharType="separate"/>
          </w:r>
          <w:r>
            <w:t>14</w:t>
          </w:r>
          <w:r>
            <w:fldChar w:fldCharType="end"/>
          </w:r>
          <w:r>
            <w:rPr>
              <w:rFonts w:hint="default" w:ascii="Times New Roman" w:hAnsi="Times New Roman" w:eastAsia="Arial" w:cs="Times New Roman"/>
              <w:color w:val="auto"/>
              <w:szCs w:val="24"/>
              <w:lang w:val="en-US" w:eastAsia="zh-CN"/>
            </w:rPr>
            <w:fldChar w:fldCharType="end"/>
          </w:r>
        </w:p>
        <w:p>
          <w:pPr>
            <w:pStyle w:val="5"/>
            <w:tabs>
              <w:tab w:val="right" w:leader="dot" w:pos="8306"/>
            </w:tabs>
          </w:pPr>
          <w:r>
            <w:rPr>
              <w:rFonts w:hint="default" w:ascii="Times New Roman" w:hAnsi="Times New Roman" w:eastAsia="Arial" w:cs="Times New Roman"/>
              <w:color w:val="auto"/>
              <w:szCs w:val="24"/>
              <w:lang w:val="en-US" w:eastAsia="zh-CN"/>
            </w:rPr>
            <w:fldChar w:fldCharType="begin"/>
          </w:r>
          <w:r>
            <w:rPr>
              <w:rFonts w:hint="default" w:ascii="Times New Roman" w:hAnsi="Times New Roman" w:eastAsia="Arial" w:cs="Times New Roman"/>
              <w:szCs w:val="24"/>
              <w:lang w:val="en-US" w:eastAsia="zh-CN"/>
            </w:rPr>
            <w:instrText xml:space="preserve"> HYPERLINK \l _Toc19175 </w:instrText>
          </w:r>
          <w:r>
            <w:rPr>
              <w:rFonts w:hint="default" w:ascii="Times New Roman" w:hAnsi="Times New Roman" w:eastAsia="Arial" w:cs="Times New Roman"/>
              <w:szCs w:val="24"/>
              <w:lang w:val="en-US" w:eastAsia="zh-CN"/>
            </w:rPr>
            <w:fldChar w:fldCharType="separate"/>
          </w:r>
          <w:r>
            <w:rPr>
              <w:rFonts w:hint="default" w:ascii="Times New Roman" w:hAnsi="Times New Roman" w:cs="Times New Roman"/>
              <w:bCs/>
              <w:szCs w:val="24"/>
              <w:lang w:val="en-US" w:eastAsia="zh-CN"/>
            </w:rPr>
            <w:t xml:space="preserve">2.4.2 </w:t>
          </w:r>
          <w:r>
            <w:rPr>
              <w:rFonts w:hint="eastAsia" w:ascii="Times New Roman" w:hAnsi="Times New Roman" w:cs="Times New Roman"/>
              <w:szCs w:val="24"/>
              <w:lang w:val="en-US" w:eastAsia="zh-CN"/>
            </w:rPr>
            <w:t>Equity Ratio</w:t>
          </w:r>
          <w:r>
            <w:tab/>
          </w:r>
          <w:r>
            <w:fldChar w:fldCharType="begin"/>
          </w:r>
          <w:r>
            <w:instrText xml:space="preserve"> PAGEREF _Toc19175 \h </w:instrText>
          </w:r>
          <w:r>
            <w:fldChar w:fldCharType="separate"/>
          </w:r>
          <w:r>
            <w:t>14</w:t>
          </w:r>
          <w:r>
            <w:fldChar w:fldCharType="end"/>
          </w:r>
          <w:r>
            <w:rPr>
              <w:rFonts w:hint="default" w:ascii="Times New Roman" w:hAnsi="Times New Roman" w:eastAsia="Arial" w:cs="Times New Roman"/>
              <w:color w:val="auto"/>
              <w:szCs w:val="24"/>
              <w:lang w:val="en-US" w:eastAsia="zh-CN"/>
            </w:rPr>
            <w:fldChar w:fldCharType="end"/>
          </w:r>
        </w:p>
        <w:p>
          <w:pPr>
            <w:pStyle w:val="5"/>
            <w:tabs>
              <w:tab w:val="right" w:leader="dot" w:pos="8306"/>
            </w:tabs>
          </w:pPr>
          <w:r>
            <w:rPr>
              <w:rFonts w:hint="default" w:ascii="Times New Roman" w:hAnsi="Times New Roman" w:eastAsia="Arial" w:cs="Times New Roman"/>
              <w:color w:val="auto"/>
              <w:szCs w:val="24"/>
              <w:lang w:val="en-US" w:eastAsia="zh-CN"/>
            </w:rPr>
            <w:fldChar w:fldCharType="begin"/>
          </w:r>
          <w:r>
            <w:rPr>
              <w:rFonts w:hint="default" w:ascii="Times New Roman" w:hAnsi="Times New Roman" w:eastAsia="Arial" w:cs="Times New Roman"/>
              <w:szCs w:val="24"/>
              <w:lang w:val="en-US" w:eastAsia="zh-CN"/>
            </w:rPr>
            <w:instrText xml:space="preserve"> HYPERLINK \l _Toc12229 </w:instrText>
          </w:r>
          <w:r>
            <w:rPr>
              <w:rFonts w:hint="default" w:ascii="Times New Roman" w:hAnsi="Times New Roman" w:eastAsia="Arial" w:cs="Times New Roman"/>
              <w:szCs w:val="24"/>
              <w:lang w:val="en-US" w:eastAsia="zh-CN"/>
            </w:rPr>
            <w:fldChar w:fldCharType="separate"/>
          </w:r>
          <w:r>
            <w:rPr>
              <w:rFonts w:hint="default" w:ascii="Times New Roman" w:hAnsi="Times New Roman" w:cs="Times New Roman"/>
              <w:bCs/>
              <w:szCs w:val="24"/>
              <w:lang w:val="en-US" w:eastAsia="zh-CN"/>
            </w:rPr>
            <w:t xml:space="preserve">2.4.3 </w:t>
          </w:r>
          <w:r>
            <w:rPr>
              <w:rFonts w:hint="eastAsia" w:ascii="Times New Roman" w:hAnsi="Times New Roman" w:cs="Times New Roman"/>
              <w:szCs w:val="24"/>
              <w:lang w:val="en-US" w:eastAsia="zh-CN"/>
            </w:rPr>
            <w:t>Debt to Equity Ratio</w:t>
          </w:r>
          <w:r>
            <w:tab/>
          </w:r>
          <w:r>
            <w:fldChar w:fldCharType="begin"/>
          </w:r>
          <w:r>
            <w:instrText xml:space="preserve"> PAGEREF _Toc12229 \h </w:instrText>
          </w:r>
          <w:r>
            <w:fldChar w:fldCharType="separate"/>
          </w:r>
          <w:r>
            <w:t>15</w:t>
          </w:r>
          <w:r>
            <w:fldChar w:fldCharType="end"/>
          </w:r>
          <w:r>
            <w:rPr>
              <w:rFonts w:hint="default" w:ascii="Times New Roman" w:hAnsi="Times New Roman" w:eastAsia="Arial" w:cs="Times New Roman"/>
              <w:color w:val="auto"/>
              <w:szCs w:val="24"/>
              <w:lang w:val="en-US" w:eastAsia="zh-CN"/>
            </w:rPr>
            <w:fldChar w:fldCharType="end"/>
          </w:r>
        </w:p>
        <w:p>
          <w:pPr>
            <w:pStyle w:val="5"/>
            <w:tabs>
              <w:tab w:val="right" w:leader="dot" w:pos="8306"/>
            </w:tabs>
          </w:pPr>
          <w:r>
            <w:rPr>
              <w:rFonts w:hint="default" w:ascii="Times New Roman" w:hAnsi="Times New Roman" w:eastAsia="Arial" w:cs="Times New Roman"/>
              <w:color w:val="auto"/>
              <w:szCs w:val="24"/>
              <w:lang w:val="en-US" w:eastAsia="zh-CN"/>
            </w:rPr>
            <w:fldChar w:fldCharType="begin"/>
          </w:r>
          <w:r>
            <w:rPr>
              <w:rFonts w:hint="default" w:ascii="Times New Roman" w:hAnsi="Times New Roman" w:eastAsia="Arial" w:cs="Times New Roman"/>
              <w:szCs w:val="24"/>
              <w:lang w:val="en-US" w:eastAsia="zh-CN"/>
            </w:rPr>
            <w:instrText xml:space="preserve"> HYPERLINK \l _Toc29286 </w:instrText>
          </w:r>
          <w:r>
            <w:rPr>
              <w:rFonts w:hint="default" w:ascii="Times New Roman" w:hAnsi="Times New Roman" w:eastAsia="Arial" w:cs="Times New Roman"/>
              <w:szCs w:val="24"/>
              <w:lang w:val="en-US" w:eastAsia="zh-CN"/>
            </w:rPr>
            <w:fldChar w:fldCharType="separate"/>
          </w:r>
          <w:r>
            <w:rPr>
              <w:rFonts w:hint="default" w:ascii="Times New Roman" w:hAnsi="Times New Roman" w:cs="Times New Roman"/>
              <w:bCs/>
              <w:szCs w:val="24"/>
              <w:lang w:val="en-US" w:eastAsia="zh-CN"/>
            </w:rPr>
            <w:t xml:space="preserve">2.4.4 </w:t>
          </w:r>
          <w:r>
            <w:rPr>
              <w:rFonts w:hint="eastAsia" w:ascii="Times New Roman" w:hAnsi="Times New Roman" w:cs="Times New Roman"/>
              <w:szCs w:val="24"/>
              <w:lang w:val="en-US" w:eastAsia="zh-CN"/>
            </w:rPr>
            <w:t>Interest Coverage Ratio</w:t>
          </w:r>
          <w:r>
            <w:tab/>
          </w:r>
          <w:r>
            <w:fldChar w:fldCharType="begin"/>
          </w:r>
          <w:r>
            <w:instrText xml:space="preserve"> PAGEREF _Toc29286 \h </w:instrText>
          </w:r>
          <w:r>
            <w:fldChar w:fldCharType="separate"/>
          </w:r>
          <w:r>
            <w:t>15</w:t>
          </w:r>
          <w:r>
            <w:fldChar w:fldCharType="end"/>
          </w:r>
          <w:r>
            <w:rPr>
              <w:rFonts w:hint="default" w:ascii="Times New Roman" w:hAnsi="Times New Roman" w:eastAsia="Arial" w:cs="Times New Roman"/>
              <w:color w:val="auto"/>
              <w:szCs w:val="24"/>
              <w:lang w:val="en-US" w:eastAsia="zh-CN"/>
            </w:rPr>
            <w:fldChar w:fldCharType="end"/>
          </w:r>
        </w:p>
        <w:p>
          <w:pPr>
            <w:pStyle w:val="6"/>
            <w:tabs>
              <w:tab w:val="right" w:leader="dot" w:pos="8306"/>
            </w:tabs>
          </w:pPr>
          <w:r>
            <w:rPr>
              <w:rFonts w:hint="default" w:ascii="Times New Roman" w:hAnsi="Times New Roman" w:eastAsia="Arial" w:cs="Times New Roman"/>
              <w:color w:val="auto"/>
              <w:szCs w:val="24"/>
              <w:lang w:val="en-US" w:eastAsia="zh-CN"/>
            </w:rPr>
            <w:fldChar w:fldCharType="begin"/>
          </w:r>
          <w:r>
            <w:rPr>
              <w:rFonts w:hint="default" w:ascii="Times New Roman" w:hAnsi="Times New Roman" w:eastAsia="Arial" w:cs="Times New Roman"/>
              <w:szCs w:val="24"/>
              <w:lang w:val="en-US" w:eastAsia="zh-CN"/>
            </w:rPr>
            <w:instrText xml:space="preserve"> HYPERLINK \l _Toc28803 </w:instrText>
          </w:r>
          <w:r>
            <w:rPr>
              <w:rFonts w:hint="default" w:ascii="Times New Roman" w:hAnsi="Times New Roman" w:eastAsia="Arial" w:cs="Times New Roman"/>
              <w:szCs w:val="24"/>
              <w:lang w:val="en-US" w:eastAsia="zh-CN"/>
            </w:rPr>
            <w:fldChar w:fldCharType="separate"/>
          </w:r>
          <w:r>
            <w:rPr>
              <w:rFonts w:hint="default" w:ascii="Times New Roman" w:hAnsi="Times New Roman" w:cs="Times New Roman"/>
              <w:szCs w:val="24"/>
              <w:lang w:val="en-US" w:eastAsia="zh-CN"/>
            </w:rPr>
            <w:t>3. Limitations of Ratio Analysis</w:t>
          </w:r>
          <w:r>
            <w:tab/>
          </w:r>
          <w:r>
            <w:fldChar w:fldCharType="begin"/>
          </w:r>
          <w:r>
            <w:instrText xml:space="preserve"> PAGEREF _Toc28803 \h </w:instrText>
          </w:r>
          <w:r>
            <w:fldChar w:fldCharType="separate"/>
          </w:r>
          <w:r>
            <w:t>16</w:t>
          </w:r>
          <w:r>
            <w:fldChar w:fldCharType="end"/>
          </w:r>
          <w:r>
            <w:rPr>
              <w:rFonts w:hint="default" w:ascii="Times New Roman" w:hAnsi="Times New Roman" w:eastAsia="Arial" w:cs="Times New Roman"/>
              <w:color w:val="auto"/>
              <w:szCs w:val="24"/>
              <w:lang w:val="en-US" w:eastAsia="zh-CN"/>
            </w:rPr>
            <w:fldChar w:fldCharType="end"/>
          </w:r>
        </w:p>
        <w:p>
          <w:pPr>
            <w:pStyle w:val="6"/>
            <w:tabs>
              <w:tab w:val="right" w:leader="dot" w:pos="8306"/>
            </w:tabs>
          </w:pPr>
          <w:r>
            <w:rPr>
              <w:rFonts w:hint="default" w:ascii="Times New Roman" w:hAnsi="Times New Roman" w:eastAsia="Arial" w:cs="Times New Roman"/>
              <w:color w:val="auto"/>
              <w:szCs w:val="24"/>
              <w:lang w:val="en-US" w:eastAsia="zh-CN"/>
            </w:rPr>
            <w:fldChar w:fldCharType="begin"/>
          </w:r>
          <w:r>
            <w:rPr>
              <w:rFonts w:hint="default" w:ascii="Times New Roman" w:hAnsi="Times New Roman" w:eastAsia="Arial" w:cs="Times New Roman"/>
              <w:szCs w:val="24"/>
              <w:lang w:val="en-US" w:eastAsia="zh-CN"/>
            </w:rPr>
            <w:instrText xml:space="preserve"> HYPERLINK \l _Toc5917 </w:instrText>
          </w:r>
          <w:r>
            <w:rPr>
              <w:rFonts w:hint="default" w:ascii="Times New Roman" w:hAnsi="Times New Roman" w:eastAsia="Arial" w:cs="Times New Roman"/>
              <w:szCs w:val="24"/>
              <w:lang w:val="en-US" w:eastAsia="zh-CN"/>
            </w:rPr>
            <w:fldChar w:fldCharType="separate"/>
          </w:r>
          <w:r>
            <w:rPr>
              <w:rFonts w:hint="default" w:ascii="Times New Roman" w:hAnsi="Times New Roman" w:cs="Times New Roman"/>
              <w:szCs w:val="24"/>
              <w:lang w:val="en-US" w:eastAsia="zh-CN"/>
            </w:rPr>
            <w:t>4. Conclusion</w:t>
          </w:r>
          <w:r>
            <w:tab/>
          </w:r>
          <w:r>
            <w:fldChar w:fldCharType="begin"/>
          </w:r>
          <w:r>
            <w:instrText xml:space="preserve"> PAGEREF _Toc5917 \h </w:instrText>
          </w:r>
          <w:r>
            <w:fldChar w:fldCharType="separate"/>
          </w:r>
          <w:r>
            <w:t>16</w:t>
          </w:r>
          <w:r>
            <w:fldChar w:fldCharType="end"/>
          </w:r>
          <w:r>
            <w:rPr>
              <w:rFonts w:hint="default" w:ascii="Times New Roman" w:hAnsi="Times New Roman" w:eastAsia="Arial" w:cs="Times New Roman"/>
              <w:color w:val="auto"/>
              <w:szCs w:val="24"/>
              <w:lang w:val="en-US" w:eastAsia="zh-CN"/>
            </w:rPr>
            <w:fldChar w:fldCharType="end"/>
          </w:r>
        </w:p>
        <w:p>
          <w:pPr>
            <w:pStyle w:val="6"/>
            <w:tabs>
              <w:tab w:val="right" w:leader="dot" w:pos="8306"/>
            </w:tabs>
          </w:pPr>
          <w:r>
            <w:rPr>
              <w:rFonts w:hint="default" w:ascii="Times New Roman" w:hAnsi="Times New Roman" w:eastAsia="Arial" w:cs="Times New Roman"/>
              <w:color w:val="auto"/>
              <w:szCs w:val="24"/>
              <w:lang w:val="en-US" w:eastAsia="zh-CN"/>
            </w:rPr>
            <w:fldChar w:fldCharType="begin"/>
          </w:r>
          <w:r>
            <w:rPr>
              <w:rFonts w:hint="default" w:ascii="Times New Roman" w:hAnsi="Times New Roman" w:eastAsia="Arial" w:cs="Times New Roman"/>
              <w:szCs w:val="24"/>
              <w:lang w:val="en-US" w:eastAsia="zh-CN"/>
            </w:rPr>
            <w:instrText xml:space="preserve"> HYPERLINK \l _Toc10158 </w:instrText>
          </w:r>
          <w:r>
            <w:rPr>
              <w:rFonts w:hint="default" w:ascii="Times New Roman" w:hAnsi="Times New Roman" w:eastAsia="Arial" w:cs="Times New Roman"/>
              <w:szCs w:val="24"/>
              <w:lang w:val="en-US" w:eastAsia="zh-CN"/>
            </w:rPr>
            <w:fldChar w:fldCharType="separate"/>
          </w:r>
          <w:r>
            <w:rPr>
              <w:rFonts w:hint="default" w:ascii="Times New Roman" w:hAnsi="Times New Roman" w:cs="Times New Roman"/>
              <w:szCs w:val="24"/>
              <w:lang w:val="en-US" w:eastAsia="zh-CN"/>
            </w:rPr>
            <w:t>5. Recommendation</w:t>
          </w:r>
          <w:r>
            <w:tab/>
          </w:r>
          <w:r>
            <w:fldChar w:fldCharType="begin"/>
          </w:r>
          <w:r>
            <w:instrText xml:space="preserve"> PAGEREF _Toc10158 \h </w:instrText>
          </w:r>
          <w:r>
            <w:fldChar w:fldCharType="separate"/>
          </w:r>
          <w:r>
            <w:t>17</w:t>
          </w:r>
          <w:r>
            <w:fldChar w:fldCharType="end"/>
          </w:r>
          <w:r>
            <w:rPr>
              <w:rFonts w:hint="default" w:ascii="Times New Roman" w:hAnsi="Times New Roman" w:eastAsia="Arial" w:cs="Times New Roman"/>
              <w:color w:val="auto"/>
              <w:szCs w:val="24"/>
              <w:lang w:val="en-US" w:eastAsia="zh-CN"/>
            </w:rPr>
            <w:fldChar w:fldCharType="end"/>
          </w:r>
        </w:p>
        <w:p>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Arial" w:cs="Times New Roman"/>
              <w:color w:val="auto"/>
              <w:sz w:val="24"/>
              <w:szCs w:val="24"/>
              <w:lang w:val="en-US" w:eastAsia="zh-CN"/>
            </w:rPr>
          </w:pPr>
          <w:r>
            <w:rPr>
              <w:rFonts w:hint="default" w:ascii="Times New Roman" w:hAnsi="Times New Roman" w:eastAsia="Arial" w:cs="Times New Roman"/>
              <w:color w:val="auto"/>
              <w:szCs w:val="24"/>
              <w:lang w:val="en-US" w:eastAsia="zh-CN"/>
            </w:rPr>
            <w:fldChar w:fldCharType="end"/>
          </w:r>
        </w:p>
      </w:sdtContent>
    </w:sdt>
    <w:p>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Arial" w:cs="Times New Roman"/>
          <w:color w:val="auto"/>
          <w:sz w:val="24"/>
          <w:szCs w:val="24"/>
          <w:lang w:val="en-US" w:eastAsia="zh-CN"/>
        </w:rPr>
      </w:pPr>
    </w:p>
    <w:p>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Arial" w:cs="Times New Roman"/>
          <w:color w:val="auto"/>
          <w:sz w:val="24"/>
          <w:szCs w:val="24"/>
          <w:lang w:val="en-US" w:eastAsia="zh-CN"/>
        </w:rPr>
      </w:pPr>
    </w:p>
    <w:p>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Arial" w:cs="Times New Roman"/>
          <w:color w:val="auto"/>
          <w:sz w:val="24"/>
          <w:szCs w:val="24"/>
          <w:lang w:val="en-US" w:eastAsia="zh-CN"/>
        </w:rPr>
      </w:pPr>
    </w:p>
    <w:p>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Arial" w:cs="Times New Roman"/>
          <w:color w:val="auto"/>
          <w:sz w:val="24"/>
          <w:szCs w:val="24"/>
          <w:lang w:val="en-US" w:eastAsia="zh-CN"/>
        </w:rPr>
      </w:pPr>
    </w:p>
    <w:p>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Arial" w:cs="Times New Roman"/>
          <w:color w:val="auto"/>
          <w:sz w:val="24"/>
          <w:szCs w:val="24"/>
          <w:lang w:val="en-US" w:eastAsia="zh-CN"/>
        </w:rPr>
      </w:pPr>
    </w:p>
    <w:p>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Arial" w:cs="Times New Roman"/>
          <w:color w:val="auto"/>
          <w:sz w:val="24"/>
          <w:szCs w:val="24"/>
          <w:lang w:val="en-US" w:eastAsia="zh-CN"/>
        </w:rPr>
      </w:pPr>
    </w:p>
    <w:p>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Arial" w:cs="Times New Roman"/>
          <w:color w:val="auto"/>
          <w:sz w:val="24"/>
          <w:szCs w:val="24"/>
          <w:lang w:val="en-US" w:eastAsia="zh-CN"/>
        </w:rPr>
      </w:pPr>
    </w:p>
    <w:p>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Arial" w:cs="Times New Roman"/>
          <w:color w:val="auto"/>
          <w:sz w:val="24"/>
          <w:szCs w:val="24"/>
          <w:lang w:val="en-US" w:eastAsia="zh-CN"/>
        </w:rPr>
      </w:pPr>
    </w:p>
    <w:p>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Arial" w:cs="Times New Roman"/>
          <w:color w:val="auto"/>
          <w:sz w:val="24"/>
          <w:szCs w:val="24"/>
          <w:lang w:val="en-US" w:eastAsia="zh-CN"/>
        </w:rPr>
      </w:pPr>
    </w:p>
    <w:p>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Arial" w:cs="Times New Roman"/>
          <w:color w:val="auto"/>
          <w:sz w:val="24"/>
          <w:szCs w:val="24"/>
          <w:lang w:val="en-US" w:eastAsia="zh-CN"/>
        </w:rPr>
      </w:pPr>
    </w:p>
    <w:p>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Arial" w:cs="Times New Roman"/>
          <w:color w:val="auto"/>
          <w:sz w:val="24"/>
          <w:szCs w:val="24"/>
          <w:lang w:val="en-US" w:eastAsia="zh-CN"/>
        </w:rPr>
      </w:pPr>
    </w:p>
    <w:p>
      <w:pPr>
        <w:pStyle w:val="2"/>
        <w:keepNext/>
        <w:keepLines/>
        <w:pageBreakBefore w:val="0"/>
        <w:widowControl w:val="0"/>
        <w:numPr>
          <w:ilvl w:val="0"/>
          <w:numId w:val="1"/>
        </w:numPr>
        <w:kinsoku/>
        <w:wordWrap/>
        <w:overflowPunct/>
        <w:topLinePunct w:val="0"/>
        <w:autoSpaceDE/>
        <w:autoSpaceDN/>
        <w:bidi w:val="0"/>
        <w:adjustRightInd/>
        <w:snapToGrid/>
        <w:spacing w:before="0" w:after="0" w:line="360" w:lineRule="auto"/>
        <w:textAlignment w:val="auto"/>
        <w:rPr>
          <w:rFonts w:hint="default" w:ascii="Times New Roman" w:hAnsi="Times New Roman" w:cs="Times New Roman"/>
          <w:sz w:val="24"/>
          <w:szCs w:val="24"/>
          <w:lang w:val="en-US" w:eastAsia="zh-CN"/>
        </w:rPr>
      </w:pPr>
      <w:bookmarkStart w:id="0" w:name="_Toc22204"/>
      <w:r>
        <w:rPr>
          <w:rFonts w:hint="default" w:ascii="Times New Roman" w:hAnsi="Times New Roman" w:cs="Times New Roman"/>
          <w:sz w:val="24"/>
          <w:szCs w:val="24"/>
          <w:lang w:val="en-US" w:eastAsia="zh-CN"/>
        </w:rPr>
        <w:t>Introduction</w:t>
      </w:r>
      <w:bookmarkEnd w:id="0"/>
    </w:p>
    <w:p>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Arial" w:cs="Times New Roman"/>
          <w:color w:val="auto"/>
          <w:sz w:val="24"/>
          <w:szCs w:val="24"/>
          <w:lang w:val="en-US" w:eastAsia="zh-CN"/>
        </w:rPr>
      </w:pPr>
      <w:r>
        <w:rPr>
          <w:rFonts w:hint="default" w:ascii="Times New Roman" w:hAnsi="Times New Roman" w:eastAsia="Arial" w:cs="Times New Roman"/>
          <w:color w:val="auto"/>
          <w:sz w:val="24"/>
          <w:szCs w:val="24"/>
          <w:lang w:val="en-US" w:eastAsia="zh-CN"/>
        </w:rPr>
        <w:t xml:space="preserve">Starbucks is the biggest producer and distributor of coffee goods </w:t>
      </w:r>
      <w:r>
        <w:rPr>
          <w:rFonts w:hint="eastAsia" w:ascii="Times New Roman" w:hAnsi="Times New Roman" w:eastAsia="Arial" w:cs="Times New Roman"/>
          <w:color w:val="auto"/>
          <w:sz w:val="24"/>
          <w:szCs w:val="24"/>
          <w:lang w:val="en-US" w:eastAsia="zh-CN"/>
        </w:rPr>
        <w:t>globally</w:t>
      </w:r>
      <w:r>
        <w:rPr>
          <w:rFonts w:hint="default" w:ascii="Times New Roman" w:hAnsi="Times New Roman" w:eastAsia="Arial" w:cs="Times New Roman"/>
          <w:color w:val="auto"/>
          <w:sz w:val="24"/>
          <w:szCs w:val="24"/>
          <w:lang w:val="en-US" w:eastAsia="zh-CN"/>
        </w:rPr>
        <w:t>. with over 32,000 stores in 80 countries (Starbucks, 2023).</w:t>
      </w:r>
    </w:p>
    <w:p>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Arial" w:cs="Times New Roman"/>
          <w:color w:val="auto"/>
          <w:sz w:val="24"/>
          <w:szCs w:val="24"/>
          <w:lang w:val="en-US" w:eastAsia="zh-CN"/>
        </w:rPr>
      </w:pPr>
      <w:r>
        <w:rPr>
          <w:rFonts w:hint="default" w:ascii="Times New Roman" w:hAnsi="Times New Roman" w:eastAsia="Arial" w:cs="Times New Roman"/>
          <w:color w:val="auto"/>
          <w:sz w:val="24"/>
          <w:szCs w:val="24"/>
          <w:lang w:val="en-US" w:eastAsia="zh-CN"/>
        </w:rPr>
        <w:t>Schultz was inspired to bring Italy's coffee culture back to Seattle after his first trip there in 1983 because it would give Starbucks a gathering spot and a sense of community. Starbucks rapidly spread to Chicago, Vancouver, and even over the Pacific to Japan. Europe and China were added later.</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 xml:space="preserve">Starbucks is dedicated to energize </w:t>
      </w:r>
      <w:r>
        <w:rPr>
          <w:rFonts w:hint="eastAsia" w:ascii="Times New Roman" w:hAnsi="Times New Roman" w:cs="Times New Roman"/>
          <w:b w:val="0"/>
          <w:bCs w:val="0"/>
          <w:sz w:val="24"/>
          <w:szCs w:val="24"/>
          <w:lang w:val="en-US" w:eastAsia="zh-CN"/>
        </w:rPr>
        <w:t>its customer</w:t>
      </w:r>
      <w:r>
        <w:rPr>
          <w:rFonts w:hint="default" w:ascii="Times New Roman" w:hAnsi="Times New Roman" w:cs="Times New Roman"/>
          <w:b w:val="0"/>
          <w:bCs w:val="0"/>
          <w:sz w:val="24"/>
          <w:szCs w:val="24"/>
          <w:lang w:val="en-US" w:eastAsia="zh-CN"/>
        </w:rPr>
        <w:t xml:space="preserve">, </w:t>
      </w:r>
      <w:r>
        <w:rPr>
          <w:rFonts w:hint="eastAsia" w:ascii="Times New Roman" w:hAnsi="Times New Roman" w:cs="Times New Roman"/>
          <w:b w:val="0"/>
          <w:bCs w:val="0"/>
          <w:sz w:val="24"/>
          <w:szCs w:val="24"/>
          <w:lang w:val="en-US" w:eastAsia="zh-CN"/>
        </w:rPr>
        <w:t xml:space="preserve">and build a </w:t>
      </w:r>
      <w:r>
        <w:rPr>
          <w:rFonts w:hint="default" w:ascii="Times New Roman" w:hAnsi="Times New Roman" w:cs="Times New Roman"/>
          <w:b w:val="0"/>
          <w:bCs w:val="0"/>
          <w:sz w:val="24"/>
          <w:szCs w:val="24"/>
          <w:lang w:val="en-US" w:eastAsia="zh-CN"/>
        </w:rPr>
        <w:t>community. It is critical to comprehend the significance of coffee shops to metropolises and the residents who live there.</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In the retail and snack shop sectors, the company's main competitors are McDonald's and Costa Coffee (Rivero, 2015).</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val="0"/>
          <w:bCs w:val="0"/>
          <w:sz w:val="24"/>
          <w:szCs w:val="24"/>
          <w:lang w:val="en-US" w:eastAsia="zh-CN"/>
        </w:rPr>
      </w:pPr>
    </w:p>
    <w:p>
      <w:pPr>
        <w:pStyle w:val="2"/>
        <w:keepNext/>
        <w:keepLines/>
        <w:pageBreakBefore w:val="0"/>
        <w:widowControl w:val="0"/>
        <w:numPr>
          <w:ilvl w:val="0"/>
          <w:numId w:val="1"/>
        </w:numPr>
        <w:kinsoku/>
        <w:wordWrap/>
        <w:overflowPunct/>
        <w:topLinePunct w:val="0"/>
        <w:autoSpaceDE/>
        <w:autoSpaceDN/>
        <w:bidi w:val="0"/>
        <w:adjustRightInd/>
        <w:snapToGrid/>
        <w:spacing w:before="0" w:after="0" w:line="360" w:lineRule="auto"/>
        <w:textAlignment w:val="auto"/>
        <w:rPr>
          <w:rFonts w:hint="default" w:ascii="Times New Roman" w:hAnsi="Times New Roman" w:cs="Times New Roman"/>
          <w:sz w:val="24"/>
          <w:szCs w:val="24"/>
          <w:lang w:val="en-US" w:eastAsia="zh-CN"/>
        </w:rPr>
      </w:pPr>
      <w:bookmarkStart w:id="1" w:name="_Toc9623"/>
      <w:r>
        <w:rPr>
          <w:rFonts w:hint="default" w:ascii="Times New Roman" w:hAnsi="Times New Roman" w:cs="Times New Roman"/>
          <w:sz w:val="24"/>
          <w:szCs w:val="24"/>
          <w:lang w:val="en-US" w:eastAsia="zh-CN"/>
        </w:rPr>
        <w:t>Analysis of Financial Statements</w:t>
      </w:r>
      <w:bookmarkEnd w:id="1"/>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Financial statements serve the objective of providing data that may be utilized by a variety of stakeholders to decide on investments about the financial health, economic situation, and changes to a company's financial position (Lewis and Pendrill, 2004).</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Investment managers convey their opinions on the future of assets by means of profit estimates. Generally,</w:t>
      </w:r>
      <w:r>
        <w:rPr>
          <w:rFonts w:hint="eastAsia" w:ascii="Times New Roman" w:hAnsi="Times New Roman" w:cs="Times New Roman"/>
          <w:b w:val="0"/>
          <w:bCs w:val="0"/>
          <w:sz w:val="24"/>
          <w:szCs w:val="24"/>
          <w:lang w:val="en-US" w:eastAsia="zh-CN"/>
        </w:rPr>
        <w:t xml:space="preserve"> f</w:t>
      </w:r>
      <w:r>
        <w:rPr>
          <w:rFonts w:hint="default" w:ascii="Times New Roman" w:hAnsi="Times New Roman" w:cs="Times New Roman"/>
          <w:b w:val="0"/>
          <w:bCs w:val="0"/>
          <w:sz w:val="24"/>
          <w:szCs w:val="24"/>
          <w:lang w:val="en-US" w:eastAsia="zh-CN"/>
        </w:rPr>
        <w:t>inancial goals are used to identify decision-makers and their pay. (Dechow, 1994; Lev, 1989).</w:t>
      </w:r>
    </w:p>
    <w:p>
      <w:pPr>
        <w:pStyle w:val="3"/>
        <w:keepNext/>
        <w:keepLines/>
        <w:pageBreakBefore w:val="0"/>
        <w:widowControl w:val="0"/>
        <w:numPr>
          <w:ilvl w:val="1"/>
          <w:numId w:val="1"/>
        </w:numPr>
        <w:kinsoku/>
        <w:wordWrap/>
        <w:overflowPunct/>
        <w:topLinePunct w:val="0"/>
        <w:autoSpaceDE/>
        <w:autoSpaceDN/>
        <w:bidi w:val="0"/>
        <w:adjustRightInd/>
        <w:snapToGrid/>
        <w:spacing w:before="0" w:after="0" w:line="360" w:lineRule="auto"/>
        <w:textAlignment w:val="auto"/>
        <w:rPr>
          <w:rFonts w:hint="default" w:ascii="Times New Roman" w:hAnsi="Times New Roman" w:cs="Times New Roman"/>
          <w:sz w:val="24"/>
          <w:szCs w:val="24"/>
          <w:lang w:val="en-US" w:eastAsia="zh-CN"/>
        </w:rPr>
      </w:pPr>
      <w:bookmarkStart w:id="2" w:name="_Toc12628"/>
      <w:r>
        <w:rPr>
          <w:rFonts w:hint="default" w:ascii="Times New Roman" w:hAnsi="Times New Roman" w:cs="Times New Roman"/>
          <w:sz w:val="24"/>
          <w:szCs w:val="24"/>
          <w:lang w:val="en-US" w:eastAsia="zh-CN"/>
        </w:rPr>
        <w:t>Profitability Ratios</w:t>
      </w:r>
      <w:bookmarkEnd w:id="2"/>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Using profitability measures, analysts may evaluate how well a firm is managing its expenses (Drake and Fabozzi, 2012).</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Profitability is the term used to describe an organization's ability to produce income. By deducting all costs directly related to the generating of income, a firm can make a profit. It is critical to evaluate the economic viability of an organization when determining if its economic transactions and organizational framework are sound.</w:t>
      </w:r>
    </w:p>
    <w:p>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Arial" w:cs="Times New Roman"/>
          <w:color w:val="auto"/>
          <w:sz w:val="24"/>
          <w:szCs w:val="24"/>
          <w:lang w:val="en-US" w:eastAsia="zh-CN"/>
        </w:rPr>
      </w:pPr>
      <w:r>
        <w:rPr>
          <w:rFonts w:hint="default" w:ascii="Times New Roman" w:hAnsi="Times New Roman" w:eastAsia="Arial" w:cs="Times New Roman"/>
          <w:color w:val="auto"/>
          <w:sz w:val="24"/>
          <w:szCs w:val="24"/>
          <w:lang w:val="en-US" w:eastAsia="zh-CN"/>
        </w:rPr>
        <w:t>These</w:t>
      </w:r>
      <w:r>
        <w:rPr>
          <w:rFonts w:hint="eastAsia" w:ascii="Times New Roman" w:hAnsi="Times New Roman" w:cs="Times New Roman"/>
          <w:color w:val="auto"/>
          <w:sz w:val="24"/>
          <w:szCs w:val="24"/>
          <w:lang w:val="en-US" w:eastAsia="zh-CN"/>
        </w:rPr>
        <w:t xml:space="preserve"> profitability</w:t>
      </w:r>
      <w:r>
        <w:rPr>
          <w:rFonts w:hint="default" w:ascii="Times New Roman" w:hAnsi="Times New Roman" w:eastAsia="Arial" w:cs="Times New Roman"/>
          <w:color w:val="auto"/>
          <w:sz w:val="24"/>
          <w:szCs w:val="24"/>
          <w:lang w:val="en-US" w:eastAsia="zh-CN"/>
        </w:rPr>
        <w:t xml:space="preserve"> ratios are employed to determine how effectively a business generates profits, which includes gross profit margin, operating profit margin, net profit margin, return on equity (ROE), and return on assets (ROA).</w:t>
      </w:r>
    </w:p>
    <w:p>
      <w:pPr>
        <w:pStyle w:val="4"/>
        <w:keepNext/>
        <w:keepLines/>
        <w:pageBreakBefore w:val="0"/>
        <w:widowControl w:val="0"/>
        <w:numPr>
          <w:ilvl w:val="2"/>
          <w:numId w:val="1"/>
        </w:numPr>
        <w:kinsoku/>
        <w:wordWrap/>
        <w:overflowPunct/>
        <w:topLinePunct w:val="0"/>
        <w:autoSpaceDE/>
        <w:autoSpaceDN/>
        <w:bidi w:val="0"/>
        <w:adjustRightInd/>
        <w:snapToGrid/>
        <w:spacing w:before="0" w:after="0" w:line="360" w:lineRule="auto"/>
        <w:textAlignment w:val="auto"/>
        <w:rPr>
          <w:rFonts w:hint="default" w:ascii="Times New Roman" w:hAnsi="Times New Roman" w:cs="Times New Roman"/>
          <w:sz w:val="24"/>
          <w:szCs w:val="24"/>
          <w:lang w:val="en-US" w:eastAsia="zh-CN"/>
        </w:rPr>
      </w:pPr>
      <w:bookmarkStart w:id="3" w:name="_Toc19873"/>
      <w:r>
        <w:rPr>
          <w:rFonts w:hint="default" w:ascii="Times New Roman" w:hAnsi="Times New Roman" w:cs="Times New Roman"/>
          <w:sz w:val="24"/>
          <w:szCs w:val="24"/>
          <w:lang w:val="en-US" w:eastAsia="zh-CN"/>
        </w:rPr>
        <w:t>Gross Profit Margin Ratio</w:t>
      </w:r>
      <w:bookmarkEnd w:id="3"/>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 xml:space="preserve">The gross profit margin can be used to calculate how much a company made in sales over the cost of the </w:t>
      </w:r>
      <w:r>
        <w:rPr>
          <w:rFonts w:hint="eastAsia" w:ascii="Times New Roman" w:hAnsi="Times New Roman" w:cs="Times New Roman"/>
          <w:b w:val="0"/>
          <w:bCs w:val="0"/>
          <w:sz w:val="24"/>
          <w:szCs w:val="24"/>
          <w:lang w:val="en-US" w:eastAsia="zh-CN"/>
        </w:rPr>
        <w:t xml:space="preserve">provided </w:t>
      </w:r>
      <w:r>
        <w:rPr>
          <w:rFonts w:hint="default" w:ascii="Times New Roman" w:hAnsi="Times New Roman" w:cs="Times New Roman"/>
          <w:b w:val="0"/>
          <w:bCs w:val="0"/>
          <w:sz w:val="24"/>
          <w:szCs w:val="24"/>
          <w:lang w:val="en-US" w:eastAsia="zh-CN"/>
        </w:rPr>
        <w:t>goods.</w:t>
      </w:r>
    </w:p>
    <w:p>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default" w:ascii="Times New Roman" w:hAnsi="Times New Roman" w:eastAsia="Arial" w:cs="Times New Roman"/>
          <w:color w:val="auto"/>
          <w:sz w:val="24"/>
          <w:szCs w:val="24"/>
          <w:lang w:val="en-US" w:eastAsia="zh-CN"/>
        </w:rPr>
      </w:pPr>
      <w:r>
        <w:rPr>
          <w:rFonts w:hint="default" w:ascii="Times New Roman" w:hAnsi="Times New Roman" w:eastAsia="Arial" w:cs="Times New Roman"/>
          <w:color w:val="auto"/>
          <w:sz w:val="24"/>
          <w:szCs w:val="24"/>
          <w:lang w:val="en-US" w:eastAsia="zh-CN"/>
        </w:rPr>
        <w:t>Gross Profit Margin</w:t>
      </w:r>
      <w:r>
        <w:rPr>
          <w:rFonts w:hint="default" w:ascii="Times New Roman" w:hAnsi="Times New Roman" w:cs="Times New Roman"/>
          <w:color w:val="auto"/>
          <w:sz w:val="24"/>
          <w:szCs w:val="24"/>
          <w:lang w:val="en-US" w:eastAsia="zh-CN"/>
        </w:rPr>
        <w:t xml:space="preserve"> Ratio</w:t>
      </w:r>
      <w:r>
        <w:rPr>
          <w:rFonts w:hint="default" w:ascii="Times New Roman" w:hAnsi="Times New Roman" w:eastAsia="Arial" w:cs="Times New Roman"/>
          <w:color w:val="auto"/>
          <w:sz w:val="24"/>
          <w:szCs w:val="24"/>
          <w:lang w:val="en-US" w:eastAsia="zh-CN"/>
        </w:rPr>
        <w:t>= (</w:t>
      </w:r>
      <w:r>
        <w:rPr>
          <w:rFonts w:hint="default" w:ascii="Times New Roman" w:hAnsi="Times New Roman" w:cs="Times New Roman"/>
          <w:color w:val="auto"/>
          <w:sz w:val="24"/>
          <w:szCs w:val="24"/>
          <w:lang w:val="en-US" w:eastAsia="zh-CN"/>
        </w:rPr>
        <w:t>Total sales</w:t>
      </w:r>
      <w:r>
        <w:rPr>
          <w:rFonts w:hint="default" w:ascii="Times New Roman" w:hAnsi="Times New Roman" w:eastAsia="Arial" w:cs="Times New Roman"/>
          <w:color w:val="auto"/>
          <w:sz w:val="24"/>
          <w:szCs w:val="24"/>
          <w:lang w:val="en-US" w:eastAsia="zh-CN"/>
        </w:rPr>
        <w:t>-COGS)/</w:t>
      </w:r>
      <w:r>
        <w:rPr>
          <w:rFonts w:hint="default" w:ascii="Times New Roman" w:hAnsi="Times New Roman" w:cs="Times New Roman"/>
          <w:color w:val="auto"/>
          <w:sz w:val="24"/>
          <w:szCs w:val="24"/>
          <w:lang w:val="en-US" w:eastAsia="zh-CN"/>
        </w:rPr>
        <w:t xml:space="preserve">Total sales </w:t>
      </w:r>
      <w:r>
        <w:rPr>
          <w:rFonts w:hint="default" w:ascii="Times New Roman" w:hAnsi="Times New Roman" w:eastAsia="Arial" w:cs="Times New Roman"/>
          <w:color w:val="auto"/>
          <w:sz w:val="24"/>
          <w:szCs w:val="24"/>
          <w:lang w:val="en-US" w:eastAsia="zh-CN"/>
        </w:rPr>
        <w:t>x100</w:t>
      </w:r>
      <w:r>
        <w:rPr>
          <w:rFonts w:hint="eastAsia" w:ascii="Times New Roman" w:hAnsi="Times New Roman" w:cs="Times New Roman"/>
          <w:color w:val="auto"/>
          <w:sz w:val="24"/>
          <w:szCs w:val="24"/>
          <w:lang w:val="en-US" w:eastAsia="zh-CN"/>
        </w:rPr>
        <w:t>%</w:t>
      </w: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49"/>
        <w:gridCol w:w="1611"/>
        <w:gridCol w:w="17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49"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snapToGrid w:val="0"/>
                <w:color w:val="000000"/>
                <w:kern w:val="0"/>
                <w:sz w:val="24"/>
                <w:szCs w:val="24"/>
                <w:lang w:val="en-US" w:eastAsia="zh-CN" w:bidi="ar"/>
              </w:rPr>
              <w:t>Financial Year</w:t>
            </w:r>
          </w:p>
        </w:tc>
        <w:tc>
          <w:tcPr>
            <w:tcW w:w="1611"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snapToGrid w:val="0"/>
                <w:color w:val="000000"/>
                <w:kern w:val="0"/>
                <w:sz w:val="24"/>
                <w:szCs w:val="24"/>
                <w:lang w:val="en-US" w:eastAsia="zh-CN" w:bidi="ar"/>
              </w:rPr>
              <w:t>2021</w:t>
            </w:r>
          </w:p>
        </w:tc>
        <w:tc>
          <w:tcPr>
            <w:tcW w:w="1790"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snapToGrid w:val="0"/>
                <w:color w:val="000000"/>
                <w:kern w:val="0"/>
                <w:sz w:val="24"/>
                <w:szCs w:val="24"/>
                <w:lang w:val="en-US" w:eastAsia="zh-CN" w:bidi="ar"/>
              </w:rPr>
              <w:t>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49"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snapToGrid w:val="0"/>
                <w:color w:val="000000"/>
                <w:kern w:val="0"/>
                <w:sz w:val="24"/>
                <w:szCs w:val="24"/>
                <w:lang w:val="en-US" w:eastAsia="zh-CN" w:bidi="ar"/>
              </w:rPr>
              <w:t>Revenue</w:t>
            </w:r>
          </w:p>
        </w:tc>
        <w:tc>
          <w:tcPr>
            <w:tcW w:w="1611" w:type="dxa"/>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cs="Times New Roman"/>
                <w:b/>
                <w:bCs/>
                <w:sz w:val="24"/>
                <w:szCs w:val="24"/>
                <w:vertAlign w:val="baseline"/>
              </w:rPr>
            </w:pPr>
            <w:r>
              <w:rPr>
                <w:rFonts w:hint="default" w:ascii="Times New Roman" w:hAnsi="Times New Roman" w:eastAsia="宋体" w:cs="Times New Roman"/>
                <w:snapToGrid w:val="0"/>
                <w:color w:val="000000"/>
                <w:kern w:val="0"/>
                <w:sz w:val="24"/>
                <w:szCs w:val="24"/>
                <w:lang w:val="en-US" w:eastAsia="zh-CN" w:bidi="ar"/>
              </w:rPr>
              <w:t>29,060,600</w:t>
            </w:r>
          </w:p>
        </w:tc>
        <w:tc>
          <w:tcPr>
            <w:tcW w:w="1790"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snapToGrid w:val="0"/>
                <w:color w:val="000000"/>
                <w:kern w:val="0"/>
                <w:sz w:val="24"/>
                <w:szCs w:val="24"/>
                <w:lang w:val="en-US" w:eastAsia="zh-CN" w:bidi="ar"/>
              </w:rPr>
              <w:t>23,518,000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49"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snapToGrid w:val="0"/>
                <w:color w:val="000000"/>
                <w:kern w:val="0"/>
                <w:sz w:val="24"/>
                <w:szCs w:val="24"/>
                <w:lang w:val="en-US" w:eastAsia="zh-CN" w:bidi="ar"/>
              </w:rPr>
            </w:pPr>
            <w:r>
              <w:rPr>
                <w:rFonts w:hint="default" w:ascii="Times New Roman" w:hAnsi="Times New Roman" w:eastAsia="宋体" w:cs="Times New Roman"/>
                <w:snapToGrid w:val="0"/>
                <w:color w:val="000000"/>
                <w:kern w:val="0"/>
                <w:sz w:val="24"/>
                <w:szCs w:val="24"/>
                <w:lang w:val="en-US" w:eastAsia="zh-CN" w:bidi="ar"/>
              </w:rPr>
              <w:t>COGS</w:t>
            </w:r>
          </w:p>
        </w:tc>
        <w:tc>
          <w:tcPr>
            <w:tcW w:w="1611"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snapToGrid w:val="0"/>
                <w:color w:val="000000"/>
                <w:kern w:val="0"/>
                <w:sz w:val="24"/>
                <w:szCs w:val="24"/>
                <w:lang w:val="en-US" w:eastAsia="zh-CN" w:bidi="ar"/>
              </w:rPr>
              <w:t>8,738,700</w:t>
            </w:r>
          </w:p>
        </w:tc>
        <w:tc>
          <w:tcPr>
            <w:tcW w:w="1790"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snapToGrid w:val="0"/>
                <w:color w:val="000000"/>
                <w:kern w:val="0"/>
                <w:sz w:val="24"/>
                <w:szCs w:val="24"/>
                <w:lang w:val="en-US" w:eastAsia="zh-CN" w:bidi="ar"/>
              </w:rPr>
              <w:t>7,694,900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49"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snapToGrid w:val="0"/>
                <w:color w:val="000000"/>
                <w:kern w:val="0"/>
                <w:sz w:val="24"/>
                <w:szCs w:val="24"/>
                <w:lang w:val="en-US" w:eastAsia="zh-CN" w:bidi="ar"/>
              </w:rPr>
            </w:pPr>
            <w:r>
              <w:rPr>
                <w:rFonts w:hint="default" w:ascii="Times New Roman" w:hAnsi="Times New Roman" w:eastAsia="宋体" w:cs="Times New Roman"/>
                <w:snapToGrid w:val="0"/>
                <w:color w:val="000000"/>
                <w:kern w:val="0"/>
                <w:sz w:val="24"/>
                <w:szCs w:val="24"/>
                <w:lang w:val="en-US" w:eastAsia="zh-CN" w:bidi="ar"/>
              </w:rPr>
              <w:t>Profit Margin</w:t>
            </w:r>
          </w:p>
        </w:tc>
        <w:tc>
          <w:tcPr>
            <w:tcW w:w="1611"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snapToGrid w:val="0"/>
                <w:color w:val="000000"/>
                <w:kern w:val="0"/>
                <w:sz w:val="24"/>
                <w:szCs w:val="24"/>
                <w:lang w:val="en-US" w:eastAsia="zh-CN" w:bidi="ar"/>
              </w:rPr>
              <w:t>69.99%</w:t>
            </w:r>
          </w:p>
        </w:tc>
        <w:tc>
          <w:tcPr>
            <w:tcW w:w="1790"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snapToGrid w:val="0"/>
                <w:color w:val="000000"/>
                <w:kern w:val="0"/>
                <w:sz w:val="24"/>
                <w:szCs w:val="24"/>
                <w:lang w:val="en-US" w:eastAsia="zh-CN" w:bidi="ar"/>
              </w:rPr>
              <w:t>67.28%</w:t>
            </w:r>
          </w:p>
        </w:tc>
      </w:tr>
    </w:tbl>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This percentage shows Starbucks' exceptional profit margin, which increased between 2020 and 2021 as a result of high sales growth. When the profit margin is examined, it can be seen to be stable, which is a sign of a successful company with capable management. It was clear that the business was successful since its gross profit margin was higher than that of its rivals and the industry standard.</w:t>
      </w:r>
    </w:p>
    <w:p>
      <w:pPr>
        <w:pStyle w:val="4"/>
        <w:keepNext/>
        <w:keepLines/>
        <w:pageBreakBefore w:val="0"/>
        <w:widowControl w:val="0"/>
        <w:numPr>
          <w:ilvl w:val="2"/>
          <w:numId w:val="1"/>
        </w:numPr>
        <w:kinsoku/>
        <w:wordWrap/>
        <w:overflowPunct/>
        <w:topLinePunct w:val="0"/>
        <w:autoSpaceDE/>
        <w:autoSpaceDN/>
        <w:bidi w:val="0"/>
        <w:adjustRightInd/>
        <w:snapToGrid/>
        <w:spacing w:before="0" w:after="0" w:line="360" w:lineRule="auto"/>
        <w:textAlignment w:val="auto"/>
        <w:rPr>
          <w:rFonts w:hint="default" w:ascii="Times New Roman" w:hAnsi="Times New Roman" w:cs="Times New Roman"/>
          <w:sz w:val="24"/>
          <w:szCs w:val="24"/>
          <w:lang w:val="en-US" w:eastAsia="zh-CN"/>
        </w:rPr>
      </w:pPr>
      <w:bookmarkStart w:id="4" w:name="_Toc227"/>
      <w:r>
        <w:rPr>
          <w:rFonts w:hint="default" w:ascii="Times New Roman" w:hAnsi="Times New Roman" w:cs="Times New Roman"/>
          <w:sz w:val="24"/>
          <w:szCs w:val="24"/>
          <w:lang w:val="en-US" w:eastAsia="zh-CN"/>
        </w:rPr>
        <w:t>Operating Profit Margin Ratio</w:t>
      </w:r>
      <w:bookmarkEnd w:id="4"/>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Operating profit margin is defined as the difference between operating income and net revenues. It determines profitability after removing the variable costs of production but leaves out interest and tax obligations.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Operating profit margin ratio= Operating profit/ Net sales</w:t>
      </w: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99"/>
        <w:gridCol w:w="1931"/>
        <w:gridCol w:w="15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99"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snapToGrid w:val="0"/>
                <w:color w:val="000000"/>
                <w:kern w:val="0"/>
                <w:sz w:val="24"/>
                <w:szCs w:val="24"/>
                <w:lang w:val="en-US" w:eastAsia="zh-CN" w:bidi="ar"/>
              </w:rPr>
              <w:t>Financial Year</w:t>
            </w:r>
          </w:p>
        </w:tc>
        <w:tc>
          <w:tcPr>
            <w:tcW w:w="1931"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snapToGrid w:val="0"/>
                <w:color w:val="000000"/>
                <w:kern w:val="0"/>
                <w:sz w:val="24"/>
                <w:szCs w:val="24"/>
                <w:lang w:val="en-US" w:eastAsia="zh-CN" w:bidi="ar"/>
              </w:rPr>
              <w:t>2021</w:t>
            </w:r>
          </w:p>
        </w:tc>
        <w:tc>
          <w:tcPr>
            <w:tcW w:w="1540"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snapToGrid w:val="0"/>
                <w:color w:val="000000"/>
                <w:kern w:val="0"/>
                <w:sz w:val="24"/>
                <w:szCs w:val="24"/>
                <w:lang w:val="en-US" w:eastAsia="zh-CN" w:bidi="ar"/>
              </w:rPr>
              <w:t>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99"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snapToGrid w:val="0"/>
                <w:color w:val="000000"/>
                <w:kern w:val="0"/>
                <w:sz w:val="24"/>
                <w:szCs w:val="24"/>
                <w:lang w:val="en-US" w:eastAsia="zh-CN" w:bidi="ar"/>
              </w:rPr>
              <w:t>Operating Profit</w:t>
            </w:r>
          </w:p>
        </w:tc>
        <w:tc>
          <w:tcPr>
            <w:tcW w:w="1931" w:type="dxa"/>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cs="Times New Roman"/>
                <w:b/>
                <w:bCs/>
                <w:sz w:val="24"/>
                <w:szCs w:val="24"/>
                <w:vertAlign w:val="baseline"/>
                <w:lang w:val="en-US"/>
              </w:rPr>
            </w:pPr>
            <w:r>
              <w:rPr>
                <w:rFonts w:hint="default" w:ascii="Times New Roman" w:hAnsi="Times New Roman" w:eastAsia="宋体" w:cs="Times New Roman"/>
                <w:snapToGrid w:val="0"/>
                <w:color w:val="000000"/>
                <w:kern w:val="0"/>
                <w:sz w:val="24"/>
                <w:szCs w:val="24"/>
                <w:lang w:val="en-US" w:eastAsia="zh-CN" w:bidi="ar"/>
              </w:rPr>
              <w:t>4,872,100</w:t>
            </w:r>
          </w:p>
        </w:tc>
        <w:tc>
          <w:tcPr>
            <w:tcW w:w="1540"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snapToGrid w:val="0"/>
                <w:color w:val="000000"/>
                <w:kern w:val="0"/>
                <w:sz w:val="24"/>
                <w:szCs w:val="24"/>
                <w:lang w:val="en-US" w:eastAsia="zh-CN" w:bidi="ar"/>
              </w:rPr>
              <w:t>1,561,700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99"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snapToGrid w:val="0"/>
                <w:color w:val="000000"/>
                <w:kern w:val="0"/>
                <w:sz w:val="24"/>
                <w:szCs w:val="24"/>
                <w:lang w:val="en-US" w:eastAsia="zh-CN" w:bidi="ar"/>
              </w:rPr>
            </w:pPr>
            <w:r>
              <w:rPr>
                <w:rFonts w:hint="default" w:ascii="Times New Roman" w:hAnsi="Times New Roman" w:eastAsia="宋体" w:cs="Times New Roman"/>
                <w:snapToGrid w:val="0"/>
                <w:color w:val="000000"/>
                <w:kern w:val="0"/>
                <w:sz w:val="24"/>
                <w:szCs w:val="24"/>
                <w:lang w:val="en-US" w:eastAsia="zh-CN" w:bidi="ar"/>
              </w:rPr>
              <w:t>Net Sales</w:t>
            </w:r>
          </w:p>
        </w:tc>
        <w:tc>
          <w:tcPr>
            <w:tcW w:w="1931"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snapToGrid w:val="0"/>
                <w:color w:val="000000"/>
                <w:kern w:val="0"/>
                <w:sz w:val="24"/>
                <w:szCs w:val="24"/>
                <w:lang w:val="en-US" w:eastAsia="zh-CN" w:bidi="ar"/>
              </w:rPr>
              <w:t>29,060,600</w:t>
            </w:r>
          </w:p>
        </w:tc>
        <w:tc>
          <w:tcPr>
            <w:tcW w:w="1540"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snapToGrid w:val="0"/>
                <w:color w:val="000000"/>
                <w:kern w:val="0"/>
                <w:sz w:val="24"/>
                <w:szCs w:val="24"/>
                <w:lang w:val="en-US" w:eastAsia="zh-CN" w:bidi="ar"/>
              </w:rPr>
              <w:t>23,518,000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99"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snapToGrid w:val="0"/>
                <w:color w:val="000000"/>
                <w:kern w:val="0"/>
                <w:sz w:val="24"/>
                <w:szCs w:val="24"/>
                <w:lang w:val="en-US" w:eastAsia="zh-CN" w:bidi="ar"/>
              </w:rPr>
            </w:pPr>
            <w:r>
              <w:rPr>
                <w:rFonts w:hint="default" w:ascii="Times New Roman" w:hAnsi="Times New Roman" w:eastAsia="宋体" w:cs="Times New Roman"/>
                <w:snapToGrid w:val="0"/>
                <w:color w:val="000000"/>
                <w:kern w:val="0"/>
                <w:sz w:val="24"/>
                <w:szCs w:val="24"/>
                <w:lang w:val="en-US" w:eastAsia="zh-CN" w:bidi="ar"/>
              </w:rPr>
              <w:t>Operating Profit Margin</w:t>
            </w:r>
          </w:p>
        </w:tc>
        <w:tc>
          <w:tcPr>
            <w:tcW w:w="1931"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snapToGrid w:val="0"/>
                <w:color w:val="000000"/>
                <w:kern w:val="0"/>
                <w:sz w:val="24"/>
                <w:szCs w:val="24"/>
                <w:lang w:val="en-US" w:eastAsia="zh-CN" w:bidi="ar"/>
              </w:rPr>
              <w:t>16.77%</w:t>
            </w:r>
          </w:p>
        </w:tc>
        <w:tc>
          <w:tcPr>
            <w:tcW w:w="1540"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snapToGrid w:val="0"/>
                <w:color w:val="000000"/>
                <w:kern w:val="0"/>
                <w:sz w:val="24"/>
                <w:szCs w:val="24"/>
                <w:lang w:val="en-US" w:eastAsia="zh-CN" w:bidi="ar"/>
              </w:rPr>
              <w:t>6.64%</w:t>
            </w:r>
          </w:p>
        </w:tc>
      </w:tr>
    </w:tbl>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The enterprise's profitability is correlated with how much operating profit its commodities sales generate.</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Starbucks' operating profit margin increased noticeably from 2020 to 2021 and was greater than the industry average of 8.24%, showing that the company was earning enough from its operational processes to cover both its fixed expenses and its variable costs.</w:t>
      </w:r>
    </w:p>
    <w:p>
      <w:pPr>
        <w:pStyle w:val="4"/>
        <w:keepNext/>
        <w:keepLines/>
        <w:pageBreakBefore w:val="0"/>
        <w:widowControl w:val="0"/>
        <w:numPr>
          <w:ilvl w:val="2"/>
          <w:numId w:val="1"/>
        </w:numPr>
        <w:kinsoku/>
        <w:wordWrap/>
        <w:overflowPunct/>
        <w:topLinePunct w:val="0"/>
        <w:autoSpaceDE/>
        <w:autoSpaceDN/>
        <w:bidi w:val="0"/>
        <w:adjustRightInd/>
        <w:snapToGrid/>
        <w:spacing w:before="0" w:after="0" w:line="360" w:lineRule="auto"/>
        <w:textAlignment w:val="auto"/>
        <w:rPr>
          <w:rFonts w:hint="eastAsia" w:ascii="Times New Roman" w:hAnsi="Times New Roman" w:cs="Times New Roman"/>
          <w:b/>
          <w:sz w:val="24"/>
          <w:szCs w:val="24"/>
          <w:lang w:val="en-US" w:eastAsia="zh-CN"/>
        </w:rPr>
      </w:pPr>
      <w:bookmarkStart w:id="5" w:name="_Toc14989"/>
      <w:r>
        <w:rPr>
          <w:rFonts w:hint="eastAsia" w:ascii="Times New Roman" w:hAnsi="Times New Roman" w:cs="Times New Roman"/>
          <w:b/>
          <w:sz w:val="24"/>
          <w:szCs w:val="24"/>
          <w:lang w:val="en-US" w:eastAsia="zh-CN"/>
        </w:rPr>
        <w:t>Net Profit Margin Ratio</w:t>
      </w:r>
      <w:bookmarkEnd w:id="5"/>
    </w:p>
    <w:p>
      <w:pPr>
        <w:keepNext w:val="0"/>
        <w:keepLines w:val="0"/>
        <w:pageBreakBefore w:val="0"/>
        <w:widowControl/>
        <w:kinsoku w:val="0"/>
        <w:wordWrap/>
        <w:overflowPunct/>
        <w:topLinePunct w:val="0"/>
        <w:autoSpaceDE w:val="0"/>
        <w:autoSpaceDN w:val="0"/>
        <w:bidi w:val="0"/>
        <w:adjustRightInd w:val="0"/>
        <w:snapToGrid w:val="0"/>
        <w:spacing w:before="69" w:line="360" w:lineRule="auto"/>
        <w:textAlignment w:val="baseline"/>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A company's capacity to generate profits after deducting taxes is shown by the net profit margin ratio.</w:t>
      </w:r>
    </w:p>
    <w:p>
      <w:pPr>
        <w:keepNext w:val="0"/>
        <w:keepLines w:val="0"/>
        <w:pageBreakBefore w:val="0"/>
        <w:widowControl/>
        <w:kinsoku w:val="0"/>
        <w:wordWrap/>
        <w:overflowPunct/>
        <w:topLinePunct w:val="0"/>
        <w:autoSpaceDE w:val="0"/>
        <w:autoSpaceDN w:val="0"/>
        <w:bidi w:val="0"/>
        <w:adjustRightInd w:val="0"/>
        <w:snapToGrid w:val="0"/>
        <w:spacing w:before="69" w:line="360" w:lineRule="auto"/>
        <w:textAlignment w:val="baseline"/>
        <w:rPr>
          <w:rFonts w:hint="default" w:ascii="Times New Roman" w:hAnsi="Times New Roman" w:eastAsia="宋体" w:cs="Times New Roman"/>
          <w:b w:val="0"/>
          <w:bCs w:val="0"/>
          <w:spacing w:val="-1"/>
          <w:sz w:val="24"/>
          <w:szCs w:val="24"/>
          <w:lang w:val="en-US" w:eastAsia="zh-CN"/>
        </w:rPr>
      </w:pPr>
      <w:r>
        <w:rPr>
          <w:rFonts w:hint="eastAsia" w:ascii="Times New Roman" w:hAnsi="Times New Roman" w:cs="Times New Roman"/>
          <w:b w:val="0"/>
          <w:bCs w:val="0"/>
          <w:sz w:val="24"/>
          <w:szCs w:val="24"/>
          <w:lang w:val="en-US" w:eastAsia="zh-CN"/>
        </w:rPr>
        <w:t xml:space="preserve">Net profit margin ratio= Net profit/ Revenue </w:t>
      </w:r>
      <w:r>
        <w:rPr>
          <w:rFonts w:hint="default" w:ascii="Times New Roman" w:hAnsi="Times New Roman" w:eastAsia="Arial" w:cs="Times New Roman"/>
          <w:b w:val="0"/>
          <w:bCs w:val="0"/>
          <w:color w:val="auto"/>
          <w:sz w:val="24"/>
          <w:szCs w:val="24"/>
          <w:lang w:val="en-US" w:eastAsia="zh-CN"/>
        </w:rPr>
        <w:t>x</w:t>
      </w:r>
      <w:r>
        <w:rPr>
          <w:rFonts w:hint="default" w:ascii="Times New Roman" w:hAnsi="Times New Roman" w:eastAsia="宋体" w:cs="Times New Roman"/>
          <w:b w:val="0"/>
          <w:bCs w:val="0"/>
          <w:spacing w:val="-1"/>
          <w:sz w:val="24"/>
          <w:szCs w:val="24"/>
          <w:lang w:val="en-US" w:eastAsia="zh-CN"/>
        </w:rPr>
        <w:t>100</w:t>
      </w:r>
      <w:r>
        <w:rPr>
          <w:rFonts w:hint="eastAsia" w:ascii="Times New Roman" w:hAnsi="Times New Roman" w:eastAsia="宋体" w:cs="Times New Roman"/>
          <w:b w:val="0"/>
          <w:bCs w:val="0"/>
          <w:spacing w:val="-1"/>
          <w:sz w:val="24"/>
          <w:szCs w:val="24"/>
          <w:lang w:val="en-US" w:eastAsia="zh-CN"/>
        </w:rPr>
        <w:t>%</w:t>
      </w:r>
    </w:p>
    <w:tbl>
      <w:tblPr>
        <w:tblStyle w:val="10"/>
        <w:tblpPr w:leftFromText="180" w:rightFromText="180" w:vertAnchor="text" w:horzAnchor="page" w:tblpXSpec="center" w:tblpY="405"/>
        <w:tblOverlap w:val="neve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41"/>
        <w:gridCol w:w="1390"/>
        <w:gridCol w:w="15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41"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snapToGrid w:val="0"/>
                <w:color w:val="000000"/>
                <w:kern w:val="0"/>
                <w:sz w:val="24"/>
                <w:szCs w:val="24"/>
                <w:lang w:val="en-US" w:eastAsia="zh-CN" w:bidi="ar"/>
              </w:rPr>
              <w:t>Financial Year</w:t>
            </w:r>
          </w:p>
        </w:tc>
        <w:tc>
          <w:tcPr>
            <w:tcW w:w="1390"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snapToGrid w:val="0"/>
                <w:color w:val="000000"/>
                <w:kern w:val="0"/>
                <w:sz w:val="24"/>
                <w:szCs w:val="24"/>
                <w:lang w:val="en-US" w:eastAsia="zh-CN" w:bidi="ar"/>
              </w:rPr>
              <w:t>2021</w:t>
            </w:r>
          </w:p>
        </w:tc>
        <w:tc>
          <w:tcPr>
            <w:tcW w:w="1510"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snapToGrid w:val="0"/>
                <w:color w:val="000000"/>
                <w:kern w:val="0"/>
                <w:sz w:val="24"/>
                <w:szCs w:val="24"/>
                <w:lang w:val="en-US" w:eastAsia="zh-CN" w:bidi="ar"/>
              </w:rPr>
              <w:t>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jc w:val="center"/>
        </w:trPr>
        <w:tc>
          <w:tcPr>
            <w:tcW w:w="2041"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Net Profit</w:t>
            </w:r>
          </w:p>
        </w:tc>
        <w:tc>
          <w:tcPr>
            <w:tcW w:w="1390" w:type="dxa"/>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4,199,300</w:t>
            </w:r>
          </w:p>
        </w:tc>
        <w:tc>
          <w:tcPr>
            <w:tcW w:w="1510"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928,300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41"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snapToGrid w:val="0"/>
                <w:color w:val="000000"/>
                <w:kern w:val="0"/>
                <w:sz w:val="24"/>
                <w:szCs w:val="24"/>
                <w:lang w:val="en-US" w:eastAsia="zh-CN" w:bidi="ar"/>
              </w:rPr>
            </w:pPr>
            <w:r>
              <w:rPr>
                <w:rFonts w:hint="default" w:ascii="Times New Roman" w:hAnsi="Times New Roman" w:eastAsia="宋体" w:cs="Times New Roman"/>
                <w:snapToGrid w:val="0"/>
                <w:color w:val="000000"/>
                <w:kern w:val="0"/>
                <w:sz w:val="24"/>
                <w:szCs w:val="24"/>
                <w:lang w:val="en-US" w:eastAsia="zh-CN" w:bidi="ar"/>
              </w:rPr>
              <w:t>Revenue</w:t>
            </w:r>
          </w:p>
        </w:tc>
        <w:tc>
          <w:tcPr>
            <w:tcW w:w="1390"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29,060,600</w:t>
            </w:r>
          </w:p>
        </w:tc>
        <w:tc>
          <w:tcPr>
            <w:tcW w:w="1510"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23,518,000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41"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snapToGrid w:val="0"/>
                <w:color w:val="000000"/>
                <w:kern w:val="0"/>
                <w:sz w:val="24"/>
                <w:szCs w:val="24"/>
                <w:lang w:val="en-US" w:eastAsia="zh-CN" w:bidi="ar"/>
              </w:rPr>
            </w:pPr>
            <w:r>
              <w:rPr>
                <w:rFonts w:hint="default" w:ascii="Times New Roman" w:hAnsi="Times New Roman" w:eastAsia="宋体" w:cs="Times New Roman"/>
                <w:snapToGrid w:val="0"/>
                <w:color w:val="000000"/>
                <w:kern w:val="0"/>
                <w:sz w:val="24"/>
                <w:szCs w:val="24"/>
                <w:lang w:val="en-US" w:eastAsia="zh-CN" w:bidi="ar"/>
              </w:rPr>
              <w:t>Net Profit Margin</w:t>
            </w:r>
          </w:p>
        </w:tc>
        <w:tc>
          <w:tcPr>
            <w:tcW w:w="1390"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14.45%</w:t>
            </w:r>
          </w:p>
        </w:tc>
        <w:tc>
          <w:tcPr>
            <w:tcW w:w="1510"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3.95%</w:t>
            </w:r>
          </w:p>
        </w:tc>
      </w:tr>
    </w:tbl>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center"/>
        <w:textAlignment w:val="auto"/>
        <w:rPr>
          <w:rFonts w:hint="default" w:ascii="Times New Roman" w:hAnsi="Times New Roman" w:cs="Times New Roman"/>
          <w:b w:val="0"/>
          <w:bCs w:val="0"/>
          <w:sz w:val="24"/>
          <w:szCs w:val="24"/>
          <w:lang w:val="en-US" w:eastAsia="zh-CN"/>
        </w:rPr>
      </w:pPr>
    </w:p>
    <w:p>
      <w:pPr>
        <w:bidi w:val="0"/>
        <w:rPr>
          <w:rFonts w:hint="default" w:asciiTheme="minorHAnsi" w:hAnsiTheme="minorHAnsi" w:eastAsiaTheme="minorEastAsia" w:cstheme="minorBidi"/>
          <w:kern w:val="2"/>
          <w:sz w:val="21"/>
          <w:szCs w:val="24"/>
          <w:lang w:val="en-US" w:eastAsia="zh-CN" w:bidi="ar-SA"/>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Starbucks was able to generate enough revenue from its sales while controlling its operating costs and administrative spending since the net profit margin increased between 2020 and 2021 and was higher than the 12.69% industry average.</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With increasing index size, business sales growth becomes more robust. By altering the net profit margin ratio, Starbucks may be </w:t>
      </w:r>
      <w:r>
        <w:rPr>
          <w:rFonts w:hint="eastAsia" w:ascii="Times New Roman" w:hAnsi="Times New Roman" w:cs="Times New Roman"/>
          <w:sz w:val="24"/>
          <w:szCs w:val="24"/>
          <w:lang w:val="en-US" w:eastAsia="zh-CN"/>
        </w:rPr>
        <w:t>motivated</w:t>
      </w:r>
      <w:r>
        <w:rPr>
          <w:rFonts w:hint="default" w:ascii="Times New Roman" w:hAnsi="Times New Roman" w:cs="Times New Roman"/>
          <w:sz w:val="24"/>
          <w:szCs w:val="24"/>
          <w:lang w:val="en-US" w:eastAsia="zh-CN"/>
        </w:rPr>
        <w:t xml:space="preserve"> to improve operational effectiveness and profitability while increasing revenue.</w:t>
      </w:r>
    </w:p>
    <w:p>
      <w:pPr>
        <w:pStyle w:val="4"/>
        <w:keepNext/>
        <w:keepLines/>
        <w:pageBreakBefore w:val="0"/>
        <w:widowControl w:val="0"/>
        <w:numPr>
          <w:ilvl w:val="2"/>
          <w:numId w:val="1"/>
        </w:numPr>
        <w:kinsoku/>
        <w:wordWrap/>
        <w:overflowPunct/>
        <w:topLinePunct w:val="0"/>
        <w:autoSpaceDE/>
        <w:autoSpaceDN/>
        <w:bidi w:val="0"/>
        <w:adjustRightInd/>
        <w:snapToGrid/>
        <w:spacing w:before="0" w:after="0" w:line="360" w:lineRule="auto"/>
        <w:textAlignment w:val="auto"/>
        <w:rPr>
          <w:rFonts w:hint="eastAsia" w:ascii="Times New Roman" w:hAnsi="Times New Roman" w:cs="Times New Roman"/>
          <w:b/>
          <w:sz w:val="24"/>
          <w:szCs w:val="24"/>
          <w:lang w:val="en-US" w:eastAsia="zh-CN"/>
        </w:rPr>
      </w:pPr>
      <w:bookmarkStart w:id="6" w:name="_Toc3949"/>
      <w:r>
        <w:rPr>
          <w:rFonts w:hint="eastAsia" w:ascii="Times New Roman" w:hAnsi="Times New Roman" w:cs="Times New Roman"/>
          <w:b/>
          <w:sz w:val="24"/>
          <w:szCs w:val="24"/>
          <w:lang w:val="en-US" w:eastAsia="zh-CN"/>
        </w:rPr>
        <w:t>Return on Assets (ROA)</w:t>
      </w:r>
      <w:bookmarkEnd w:id="6"/>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This ratio shows how profitable a business is in comparison to its assets. It determines the net profit generated per asset.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Return on assets= Net income/ Average total assets</w:t>
      </w:r>
    </w:p>
    <w:tbl>
      <w:tblPr>
        <w:tblStyle w:val="10"/>
        <w:tblW w:w="86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08"/>
        <w:gridCol w:w="3548"/>
        <w:gridCol w:w="35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trPr>
        <w:tc>
          <w:tcPr>
            <w:tcW w:w="1508"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snapToGrid w:val="0"/>
                <w:color w:val="000000"/>
                <w:kern w:val="0"/>
                <w:sz w:val="24"/>
                <w:szCs w:val="24"/>
                <w:lang w:val="en-US" w:eastAsia="zh-CN" w:bidi="ar"/>
              </w:rPr>
            </w:pPr>
            <w:r>
              <w:rPr>
                <w:rFonts w:hint="default" w:ascii="Times New Roman" w:hAnsi="Times New Roman" w:eastAsia="宋体" w:cs="Times New Roman"/>
                <w:snapToGrid w:val="0"/>
                <w:color w:val="000000"/>
                <w:kern w:val="0"/>
                <w:sz w:val="24"/>
                <w:szCs w:val="24"/>
                <w:lang w:val="en-US" w:eastAsia="zh-CN" w:bidi="ar"/>
              </w:rPr>
              <w:t>Financial Year</w:t>
            </w:r>
          </w:p>
        </w:tc>
        <w:tc>
          <w:tcPr>
            <w:tcW w:w="3548"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snapToGrid w:val="0"/>
                <w:color w:val="000000"/>
                <w:kern w:val="0"/>
                <w:sz w:val="24"/>
                <w:szCs w:val="24"/>
                <w:lang w:val="en-US" w:eastAsia="zh-CN" w:bidi="ar"/>
              </w:rPr>
            </w:pPr>
            <w:r>
              <w:rPr>
                <w:rFonts w:hint="default" w:ascii="Times New Roman" w:hAnsi="Times New Roman" w:eastAsia="宋体" w:cs="Times New Roman"/>
                <w:snapToGrid w:val="0"/>
                <w:color w:val="000000"/>
                <w:kern w:val="0"/>
                <w:sz w:val="24"/>
                <w:szCs w:val="24"/>
                <w:lang w:val="en-US" w:eastAsia="zh-CN" w:bidi="ar"/>
              </w:rPr>
              <w:t>2021</w:t>
            </w:r>
          </w:p>
        </w:tc>
        <w:tc>
          <w:tcPr>
            <w:tcW w:w="3560"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snapToGrid w:val="0"/>
                <w:color w:val="000000"/>
                <w:kern w:val="0"/>
                <w:sz w:val="24"/>
                <w:szCs w:val="24"/>
                <w:lang w:val="en-US" w:eastAsia="zh-CN" w:bidi="ar"/>
              </w:rPr>
            </w:pPr>
            <w:r>
              <w:rPr>
                <w:rFonts w:hint="default" w:ascii="Times New Roman" w:hAnsi="Times New Roman" w:eastAsia="宋体" w:cs="Times New Roman"/>
                <w:snapToGrid w:val="0"/>
                <w:color w:val="000000"/>
                <w:kern w:val="0"/>
                <w:sz w:val="24"/>
                <w:szCs w:val="24"/>
                <w:lang w:val="en-US" w:eastAsia="zh-CN" w:bidi="ar"/>
              </w:rPr>
              <w:t>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1508"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snapToGrid w:val="0"/>
                <w:color w:val="000000"/>
                <w:kern w:val="0"/>
                <w:sz w:val="24"/>
                <w:szCs w:val="24"/>
                <w:lang w:val="en-US" w:eastAsia="zh-CN" w:bidi="ar"/>
              </w:rPr>
            </w:pPr>
            <w:r>
              <w:rPr>
                <w:rFonts w:hint="eastAsia" w:ascii="Times New Roman" w:hAnsi="Times New Roman" w:eastAsia="宋体" w:cs="Times New Roman"/>
                <w:snapToGrid w:val="0"/>
                <w:color w:val="000000"/>
                <w:kern w:val="0"/>
                <w:sz w:val="24"/>
                <w:szCs w:val="24"/>
                <w:lang w:val="en-US" w:eastAsia="zh-CN" w:bidi="ar"/>
              </w:rPr>
              <w:t>Net Income</w:t>
            </w:r>
          </w:p>
        </w:tc>
        <w:tc>
          <w:tcPr>
            <w:tcW w:w="3548"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snapToGrid w:val="0"/>
                <w:color w:val="000000"/>
                <w:kern w:val="0"/>
                <w:sz w:val="24"/>
                <w:szCs w:val="24"/>
                <w:lang w:val="en-US" w:eastAsia="zh-CN" w:bidi="ar"/>
              </w:rPr>
            </w:pPr>
            <w:r>
              <w:rPr>
                <w:rFonts w:hint="eastAsia" w:ascii="Times New Roman" w:hAnsi="Times New Roman" w:eastAsia="宋体" w:cs="Times New Roman"/>
                <w:snapToGrid w:val="0"/>
                <w:color w:val="000000"/>
                <w:kern w:val="0"/>
                <w:sz w:val="24"/>
                <w:szCs w:val="24"/>
                <w:lang w:val="en-US" w:eastAsia="zh-CN" w:bidi="ar"/>
              </w:rPr>
              <w:t>4,199,300</w:t>
            </w:r>
          </w:p>
        </w:tc>
        <w:tc>
          <w:tcPr>
            <w:tcW w:w="3560"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snapToGrid w:val="0"/>
                <w:color w:val="000000"/>
                <w:kern w:val="0"/>
                <w:sz w:val="24"/>
                <w:szCs w:val="24"/>
                <w:lang w:val="en-US" w:eastAsia="zh-CN" w:bidi="ar"/>
              </w:rPr>
            </w:pPr>
            <w:r>
              <w:rPr>
                <w:rFonts w:hint="eastAsia" w:ascii="Times New Roman" w:hAnsi="Times New Roman" w:eastAsia="宋体" w:cs="Times New Roman"/>
                <w:snapToGrid w:val="0"/>
                <w:color w:val="000000"/>
                <w:kern w:val="0"/>
                <w:sz w:val="24"/>
                <w:szCs w:val="24"/>
                <w:lang w:val="en-US" w:eastAsia="zh-CN" w:bidi="ar"/>
              </w:rPr>
              <w:t>928,300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trPr>
        <w:tc>
          <w:tcPr>
            <w:tcW w:w="1508"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snapToGrid w:val="0"/>
                <w:color w:val="000000"/>
                <w:kern w:val="0"/>
                <w:sz w:val="24"/>
                <w:szCs w:val="24"/>
                <w:lang w:val="en-US" w:eastAsia="zh-CN" w:bidi="ar"/>
              </w:rPr>
            </w:pPr>
            <w:r>
              <w:rPr>
                <w:rFonts w:hint="eastAsia" w:ascii="Times New Roman" w:hAnsi="Times New Roman" w:eastAsia="宋体" w:cs="Times New Roman"/>
                <w:snapToGrid w:val="0"/>
                <w:color w:val="000000"/>
                <w:kern w:val="0"/>
                <w:sz w:val="24"/>
                <w:szCs w:val="24"/>
                <w:lang w:val="en-US" w:eastAsia="zh-CN" w:bidi="ar"/>
              </w:rPr>
              <w:t>Average Total Assets</w:t>
            </w:r>
          </w:p>
        </w:tc>
        <w:tc>
          <w:tcPr>
            <w:tcW w:w="3548"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snapToGrid w:val="0"/>
                <w:color w:val="000000"/>
                <w:kern w:val="0"/>
                <w:sz w:val="24"/>
                <w:szCs w:val="24"/>
                <w:lang w:val="en-US" w:eastAsia="zh-CN" w:bidi="ar"/>
              </w:rPr>
            </w:pPr>
            <w:r>
              <w:rPr>
                <w:rFonts w:hint="eastAsia" w:ascii="Times New Roman" w:hAnsi="Times New Roman" w:eastAsia="宋体" w:cs="Times New Roman"/>
                <w:snapToGrid w:val="0"/>
                <w:color w:val="000000"/>
                <w:kern w:val="0"/>
                <w:sz w:val="24"/>
                <w:szCs w:val="24"/>
                <w:lang w:val="en-US" w:eastAsia="zh-CN" w:bidi="ar"/>
              </w:rPr>
              <w:t>(31392.6+29374.5)/2=30,383,500</w:t>
            </w:r>
          </w:p>
        </w:tc>
        <w:tc>
          <w:tcPr>
            <w:tcW w:w="3560"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snapToGrid w:val="0"/>
                <w:color w:val="000000"/>
                <w:kern w:val="0"/>
                <w:sz w:val="24"/>
                <w:szCs w:val="24"/>
                <w:lang w:val="en-US" w:eastAsia="zh-CN" w:bidi="ar"/>
              </w:rPr>
            </w:pPr>
            <w:r>
              <w:rPr>
                <w:rFonts w:hint="eastAsia" w:ascii="Times New Roman" w:hAnsi="Times New Roman" w:eastAsia="宋体" w:cs="Times New Roman"/>
                <w:snapToGrid w:val="0"/>
                <w:color w:val="000000"/>
                <w:kern w:val="0"/>
                <w:sz w:val="24"/>
                <w:szCs w:val="24"/>
                <w:lang w:val="en-US" w:eastAsia="zh-CN" w:bidi="ar"/>
              </w:rPr>
              <w:t>(29374.5+19219.6)/2=24,297,050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508"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snapToGrid w:val="0"/>
                <w:color w:val="000000"/>
                <w:kern w:val="0"/>
                <w:sz w:val="24"/>
                <w:szCs w:val="24"/>
                <w:lang w:val="en-US" w:eastAsia="zh-CN" w:bidi="ar"/>
              </w:rPr>
            </w:pPr>
            <w:r>
              <w:rPr>
                <w:rFonts w:hint="eastAsia" w:ascii="Times New Roman" w:hAnsi="Times New Roman" w:eastAsia="宋体" w:cs="Times New Roman"/>
                <w:snapToGrid w:val="0"/>
                <w:color w:val="000000"/>
                <w:kern w:val="0"/>
                <w:sz w:val="24"/>
                <w:szCs w:val="24"/>
                <w:lang w:val="en-US" w:eastAsia="zh-CN" w:bidi="ar"/>
              </w:rPr>
              <w:t>Return on Assets</w:t>
            </w:r>
          </w:p>
        </w:tc>
        <w:tc>
          <w:tcPr>
            <w:tcW w:w="3548"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snapToGrid w:val="0"/>
                <w:color w:val="000000"/>
                <w:kern w:val="0"/>
                <w:sz w:val="24"/>
                <w:szCs w:val="24"/>
                <w:lang w:val="en-US" w:eastAsia="zh-CN" w:bidi="ar"/>
              </w:rPr>
            </w:pPr>
            <w:r>
              <w:rPr>
                <w:rFonts w:hint="eastAsia" w:ascii="Times New Roman" w:hAnsi="Times New Roman" w:eastAsia="宋体" w:cs="Times New Roman"/>
                <w:snapToGrid w:val="0"/>
                <w:color w:val="000000"/>
                <w:kern w:val="0"/>
                <w:sz w:val="24"/>
                <w:szCs w:val="24"/>
                <w:lang w:val="en-US" w:eastAsia="zh-CN" w:bidi="ar"/>
              </w:rPr>
              <w:t>13.8%</w:t>
            </w:r>
          </w:p>
        </w:tc>
        <w:tc>
          <w:tcPr>
            <w:tcW w:w="3560"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snapToGrid w:val="0"/>
                <w:color w:val="000000"/>
                <w:kern w:val="0"/>
                <w:sz w:val="24"/>
                <w:szCs w:val="24"/>
                <w:lang w:val="en-US" w:eastAsia="zh-CN" w:bidi="ar"/>
              </w:rPr>
            </w:pPr>
            <w:r>
              <w:rPr>
                <w:rFonts w:hint="eastAsia" w:ascii="Times New Roman" w:hAnsi="Times New Roman" w:eastAsia="宋体" w:cs="Times New Roman"/>
                <w:snapToGrid w:val="0"/>
                <w:color w:val="000000"/>
                <w:kern w:val="0"/>
                <w:sz w:val="24"/>
                <w:szCs w:val="24"/>
                <w:lang w:val="en-US" w:eastAsia="zh-CN" w:bidi="ar"/>
              </w:rPr>
              <w:t>3.8%</w:t>
            </w:r>
          </w:p>
        </w:tc>
      </w:tr>
    </w:tbl>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ROA shows that for the fiscal years that concluded in 2021 and 2020, separately, the firm generated $0.14 and $0.04 for every dollar of assets it had. It is greater than the industry average of 7.38% and lower than McDonald's ROA of 14.01%.</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Starbucks has dramatically increased the rate at which it translates investments into net income, according to the indicator, showing that the corporation has achieved progress in both increasing sales and lowering its operating costs.</w:t>
      </w:r>
    </w:p>
    <w:p>
      <w:pPr>
        <w:pStyle w:val="4"/>
        <w:keepNext/>
        <w:keepLines/>
        <w:pageBreakBefore w:val="0"/>
        <w:widowControl w:val="0"/>
        <w:numPr>
          <w:ilvl w:val="2"/>
          <w:numId w:val="1"/>
        </w:numPr>
        <w:kinsoku/>
        <w:wordWrap/>
        <w:overflowPunct/>
        <w:topLinePunct w:val="0"/>
        <w:autoSpaceDE/>
        <w:autoSpaceDN/>
        <w:bidi w:val="0"/>
        <w:adjustRightInd/>
        <w:snapToGrid/>
        <w:spacing w:before="0" w:after="0" w:line="360" w:lineRule="auto"/>
        <w:textAlignment w:val="auto"/>
        <w:rPr>
          <w:rFonts w:hint="eastAsia" w:ascii="Times New Roman" w:hAnsi="Times New Roman" w:cs="Times New Roman"/>
          <w:b/>
          <w:sz w:val="24"/>
          <w:szCs w:val="24"/>
          <w:lang w:val="en-US" w:eastAsia="zh-CN"/>
        </w:rPr>
      </w:pPr>
      <w:bookmarkStart w:id="7" w:name="_Toc22183"/>
      <w:r>
        <w:rPr>
          <w:rFonts w:hint="eastAsia" w:ascii="Times New Roman" w:hAnsi="Times New Roman" w:cs="Times New Roman"/>
          <w:b/>
          <w:sz w:val="24"/>
          <w:szCs w:val="24"/>
          <w:lang w:val="en-US" w:eastAsia="zh-CN"/>
        </w:rPr>
        <w:t>Return on Equity (ROE)</w:t>
      </w:r>
      <w:bookmarkEnd w:id="7"/>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return on equity ratio evaluates a company's capacity to generate returns on equity investments.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Return on equity= Net income/ Shareholder</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s equity</w:t>
      </w: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96"/>
        <w:gridCol w:w="1260"/>
        <w:gridCol w:w="18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96"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snapToGrid w:val="0"/>
                <w:color w:val="000000"/>
                <w:kern w:val="0"/>
                <w:sz w:val="24"/>
                <w:szCs w:val="24"/>
                <w:lang w:val="en-US" w:eastAsia="zh-CN" w:bidi="ar"/>
              </w:rPr>
              <w:t>Financial Year</w:t>
            </w:r>
          </w:p>
        </w:tc>
        <w:tc>
          <w:tcPr>
            <w:tcW w:w="1260"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snapToGrid w:val="0"/>
                <w:color w:val="000000"/>
                <w:kern w:val="0"/>
                <w:sz w:val="24"/>
                <w:szCs w:val="24"/>
                <w:lang w:val="en-US" w:eastAsia="zh-CN" w:bidi="ar"/>
              </w:rPr>
              <w:t>2021</w:t>
            </w:r>
          </w:p>
        </w:tc>
        <w:tc>
          <w:tcPr>
            <w:tcW w:w="1810"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snapToGrid w:val="0"/>
                <w:color w:val="000000"/>
                <w:kern w:val="0"/>
                <w:sz w:val="24"/>
                <w:szCs w:val="24"/>
                <w:lang w:val="en-US" w:eastAsia="zh-CN" w:bidi="ar"/>
              </w:rPr>
              <w:t>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jc w:val="center"/>
        </w:trPr>
        <w:tc>
          <w:tcPr>
            <w:tcW w:w="2296"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Net Income</w:t>
            </w:r>
          </w:p>
        </w:tc>
        <w:tc>
          <w:tcPr>
            <w:tcW w:w="1260" w:type="dxa"/>
            <w:vAlign w:val="center"/>
          </w:tcPr>
          <w:p>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4,199,300</w:t>
            </w:r>
          </w:p>
        </w:tc>
        <w:tc>
          <w:tcPr>
            <w:tcW w:w="1810"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928,300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96"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snapToGrid w:val="0"/>
                <w:color w:val="000000"/>
                <w:kern w:val="0"/>
                <w:sz w:val="24"/>
                <w:szCs w:val="24"/>
                <w:lang w:val="en-US" w:eastAsia="zh-CN" w:bidi="ar"/>
              </w:rPr>
            </w:pPr>
            <w:r>
              <w:rPr>
                <w:rFonts w:hint="default" w:ascii="Times New Roman" w:hAnsi="Times New Roman" w:eastAsia="宋体" w:cs="Times New Roman"/>
                <w:snapToGrid w:val="0"/>
                <w:color w:val="000000"/>
                <w:kern w:val="0"/>
                <w:sz w:val="24"/>
                <w:szCs w:val="24"/>
                <w:lang w:val="en-US" w:eastAsia="zh-CN" w:bidi="ar"/>
              </w:rPr>
              <w:t>Shareholder’s Equity</w:t>
            </w:r>
          </w:p>
        </w:tc>
        <w:tc>
          <w:tcPr>
            <w:tcW w:w="1260"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-5,321,200</w:t>
            </w:r>
          </w:p>
        </w:tc>
        <w:tc>
          <w:tcPr>
            <w:tcW w:w="1810" w:type="dxa"/>
            <w:vAlign w:val="center"/>
          </w:tcPr>
          <w:p>
            <w:pPr>
              <w:keepNext w:val="0"/>
              <w:keepLines w:val="0"/>
              <w:widowControl w:val="0"/>
              <w:suppressLineNumbers w:val="0"/>
              <w:spacing w:before="0" w:beforeAutospacing="0" w:after="0" w:afterAutospacing="0" w:line="255" w:lineRule="auto"/>
              <w:ind w:right="0" w:firstLine="240" w:firstLineChars="100"/>
              <w:jc w:val="both"/>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-7,805,100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96"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snapToGrid w:val="0"/>
                <w:color w:val="000000"/>
                <w:kern w:val="0"/>
                <w:sz w:val="24"/>
                <w:szCs w:val="24"/>
                <w:lang w:val="en-US" w:eastAsia="zh-CN" w:bidi="ar"/>
              </w:rPr>
            </w:pPr>
            <w:r>
              <w:rPr>
                <w:rFonts w:hint="default" w:ascii="Times New Roman" w:hAnsi="Times New Roman" w:eastAsia="宋体" w:cs="Times New Roman"/>
                <w:snapToGrid w:val="0"/>
                <w:color w:val="000000"/>
                <w:kern w:val="0"/>
                <w:sz w:val="24"/>
                <w:szCs w:val="24"/>
                <w:lang w:val="en-US" w:eastAsia="zh-CN" w:bidi="ar"/>
              </w:rPr>
              <w:t>Return on Equity</w:t>
            </w:r>
          </w:p>
        </w:tc>
        <w:tc>
          <w:tcPr>
            <w:tcW w:w="1260"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-78.91%</w:t>
            </w:r>
          </w:p>
        </w:tc>
        <w:tc>
          <w:tcPr>
            <w:tcW w:w="1810"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-11.89%</w:t>
            </w:r>
          </w:p>
        </w:tc>
      </w:tr>
    </w:tbl>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Starbucks shouldn't compute ROE because its shareholders' equity is negative.</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Starbucks' ROE in 2021 was -78.91%, comparable to that of its rival but lower than the industry average of 31.42%.</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Massive debts or inconsistent profitability are among the most common issues when shareholders' equity is negative. For successful businesses that have used cash flow to buyback their own stocks, there are several exceptions. For many organizations, this serves as a replacement for dividend payments, and over time, it may reduce equity levels to the point where the calculation is negative.</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Nonetheless, the bulk of negative or extremely high ROE numbers should be viewed as a warning sign that requires additional investigation.</w:t>
      </w:r>
    </w:p>
    <w:p>
      <w:pPr>
        <w:pStyle w:val="3"/>
        <w:keepNext/>
        <w:keepLines/>
        <w:pageBreakBefore w:val="0"/>
        <w:widowControl w:val="0"/>
        <w:numPr>
          <w:ilvl w:val="1"/>
          <w:numId w:val="1"/>
        </w:numPr>
        <w:kinsoku/>
        <w:wordWrap/>
        <w:overflowPunct/>
        <w:topLinePunct w:val="0"/>
        <w:autoSpaceDE/>
        <w:autoSpaceDN/>
        <w:bidi w:val="0"/>
        <w:adjustRightInd/>
        <w:snapToGrid/>
        <w:spacing w:before="0" w:after="0" w:line="360" w:lineRule="auto"/>
        <w:textAlignment w:val="auto"/>
        <w:rPr>
          <w:rFonts w:hint="default" w:ascii="Times New Roman" w:hAnsi="Times New Roman" w:cs="Times New Roman"/>
          <w:sz w:val="24"/>
          <w:szCs w:val="24"/>
          <w:lang w:val="en-US" w:eastAsia="zh-CN"/>
        </w:rPr>
      </w:pPr>
      <w:bookmarkStart w:id="8" w:name="_Toc3350"/>
      <w:r>
        <w:rPr>
          <w:rFonts w:hint="default" w:ascii="Times New Roman" w:hAnsi="Times New Roman" w:cs="Times New Roman"/>
          <w:sz w:val="24"/>
          <w:szCs w:val="24"/>
          <w:lang w:val="en-US" w:eastAsia="zh-CN"/>
        </w:rPr>
        <w:t>Liquidity Ratio</w:t>
      </w:r>
      <w:bookmarkEnd w:id="8"/>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The liquidity ratios of a company indicate its capacity to pay short-term obligations (Ignacio, 2012).</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The capacity of current assets to be turned into cash at the conclusion of a specified time frame is known as liquidity. Also, it shows a company's capacity to pay off obligations using money or other resources that can be easily converted into cash.</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The liquidity ratios that will be evaluated include the current ratio, quick ratio, and cash ratio.</w:t>
      </w:r>
    </w:p>
    <w:p>
      <w:pPr>
        <w:pStyle w:val="4"/>
        <w:keepNext/>
        <w:keepLines/>
        <w:pageBreakBefore w:val="0"/>
        <w:widowControl w:val="0"/>
        <w:numPr>
          <w:ilvl w:val="2"/>
          <w:numId w:val="1"/>
        </w:numPr>
        <w:kinsoku/>
        <w:wordWrap/>
        <w:overflowPunct/>
        <w:topLinePunct w:val="0"/>
        <w:autoSpaceDE/>
        <w:autoSpaceDN/>
        <w:bidi w:val="0"/>
        <w:adjustRightInd/>
        <w:snapToGrid/>
        <w:spacing w:before="0" w:after="0" w:line="360" w:lineRule="auto"/>
        <w:textAlignment w:val="auto"/>
        <w:rPr>
          <w:rFonts w:hint="default" w:ascii="Times New Roman" w:hAnsi="Times New Roman" w:cs="Times New Roman"/>
          <w:sz w:val="24"/>
          <w:szCs w:val="24"/>
          <w:lang w:val="en-US" w:eastAsia="zh-CN"/>
        </w:rPr>
      </w:pPr>
      <w:bookmarkStart w:id="9" w:name="_Toc27747"/>
      <w:r>
        <w:rPr>
          <w:rFonts w:hint="default" w:ascii="Times New Roman" w:hAnsi="Times New Roman" w:cs="Times New Roman"/>
          <w:sz w:val="24"/>
          <w:szCs w:val="24"/>
          <w:lang w:val="en-US" w:eastAsia="zh-CN"/>
        </w:rPr>
        <w:t>Current Ratio</w:t>
      </w:r>
      <w:bookmarkEnd w:id="9"/>
    </w:p>
    <w:p>
      <w:pPr>
        <w:keepNext w:val="0"/>
        <w:keepLines w:val="0"/>
        <w:pageBreakBefore w:val="0"/>
        <w:widowControl/>
        <w:kinsoku w:val="0"/>
        <w:wordWrap/>
        <w:overflowPunct/>
        <w:topLinePunct w:val="0"/>
        <w:autoSpaceDE w:val="0"/>
        <w:autoSpaceDN w:val="0"/>
        <w:bidi w:val="0"/>
        <w:adjustRightInd w:val="0"/>
        <w:snapToGrid w:val="0"/>
        <w:spacing w:before="69" w:line="360" w:lineRule="auto"/>
        <w:textAlignment w:val="baseline"/>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The potential of a corporation to satisfy short-term financial obligations is measured by its current ratio. It shows how a company may optimize the current assets</w:t>
      </w:r>
      <w:r>
        <w:rPr>
          <w:rFonts w:hint="eastAsia" w:ascii="Times New Roman" w:hAnsi="Times New Roman" w:cs="Times New Roman"/>
          <w:b w:val="0"/>
          <w:bCs w:val="0"/>
          <w:sz w:val="24"/>
          <w:szCs w:val="24"/>
          <w:lang w:val="en-US" w:eastAsia="zh-CN"/>
        </w:rPr>
        <w:t xml:space="preserve"> </w:t>
      </w:r>
      <w:r>
        <w:rPr>
          <w:rFonts w:hint="default" w:ascii="Times New Roman" w:hAnsi="Times New Roman" w:cs="Times New Roman"/>
          <w:b w:val="0"/>
          <w:bCs w:val="0"/>
          <w:sz w:val="24"/>
          <w:szCs w:val="24"/>
          <w:lang w:val="en-US" w:eastAsia="zh-CN"/>
        </w:rPr>
        <w:t>to pay off its other payables and current debt.</w:t>
      </w:r>
    </w:p>
    <w:p>
      <w:pPr>
        <w:keepNext w:val="0"/>
        <w:keepLines w:val="0"/>
        <w:pageBreakBefore w:val="0"/>
        <w:widowControl/>
        <w:kinsoku w:val="0"/>
        <w:wordWrap/>
        <w:overflowPunct/>
        <w:topLinePunct w:val="0"/>
        <w:autoSpaceDE w:val="0"/>
        <w:autoSpaceDN w:val="0"/>
        <w:bidi w:val="0"/>
        <w:adjustRightInd w:val="0"/>
        <w:snapToGrid w:val="0"/>
        <w:spacing w:before="69" w:line="360" w:lineRule="auto"/>
        <w:textAlignment w:val="baseline"/>
        <w:rPr>
          <w:rFonts w:hint="default" w:ascii="Times New Roman" w:hAnsi="Times New Roman" w:eastAsia="宋体" w:cs="Times New Roman"/>
          <w:b w:val="0"/>
          <w:bCs w:val="0"/>
          <w:spacing w:val="-1"/>
          <w:sz w:val="24"/>
          <w:szCs w:val="24"/>
          <w:lang w:val="en-US" w:eastAsia="zh-CN"/>
        </w:rPr>
      </w:pPr>
      <w:r>
        <w:rPr>
          <w:rFonts w:hint="default" w:ascii="Times New Roman" w:hAnsi="Times New Roman" w:eastAsia="宋体" w:cs="Times New Roman"/>
          <w:b w:val="0"/>
          <w:bCs w:val="0"/>
          <w:spacing w:val="-1"/>
          <w:sz w:val="24"/>
          <w:szCs w:val="24"/>
          <w:lang w:val="en-US" w:eastAsia="zh-CN"/>
        </w:rPr>
        <w:t xml:space="preserve">Current </w:t>
      </w:r>
      <w:r>
        <w:rPr>
          <w:rFonts w:hint="eastAsia" w:ascii="Times New Roman" w:hAnsi="Times New Roman" w:eastAsia="宋体" w:cs="Times New Roman"/>
          <w:b w:val="0"/>
          <w:bCs w:val="0"/>
          <w:spacing w:val="-1"/>
          <w:sz w:val="24"/>
          <w:szCs w:val="24"/>
          <w:lang w:val="en-US" w:eastAsia="zh-CN"/>
        </w:rPr>
        <w:t>r</w:t>
      </w:r>
      <w:r>
        <w:rPr>
          <w:rFonts w:hint="default" w:ascii="Times New Roman" w:hAnsi="Times New Roman" w:eastAsia="宋体" w:cs="Times New Roman"/>
          <w:b w:val="0"/>
          <w:bCs w:val="0"/>
          <w:spacing w:val="-1"/>
          <w:sz w:val="24"/>
          <w:szCs w:val="24"/>
          <w:lang w:val="en-US" w:eastAsia="zh-CN"/>
        </w:rPr>
        <w:t xml:space="preserve">atio= Current </w:t>
      </w:r>
      <w:r>
        <w:rPr>
          <w:rFonts w:hint="eastAsia" w:ascii="Times New Roman" w:hAnsi="Times New Roman" w:eastAsia="宋体" w:cs="Times New Roman"/>
          <w:b w:val="0"/>
          <w:bCs w:val="0"/>
          <w:spacing w:val="-1"/>
          <w:sz w:val="24"/>
          <w:szCs w:val="24"/>
          <w:lang w:val="en-US" w:eastAsia="zh-CN"/>
        </w:rPr>
        <w:t>a</w:t>
      </w:r>
      <w:r>
        <w:rPr>
          <w:rFonts w:hint="default" w:ascii="Times New Roman" w:hAnsi="Times New Roman" w:eastAsia="宋体" w:cs="Times New Roman"/>
          <w:b w:val="0"/>
          <w:bCs w:val="0"/>
          <w:spacing w:val="-1"/>
          <w:sz w:val="24"/>
          <w:szCs w:val="24"/>
          <w:lang w:val="en-US" w:eastAsia="zh-CN"/>
        </w:rPr>
        <w:t xml:space="preserve">ssets/ Current </w:t>
      </w:r>
      <w:r>
        <w:rPr>
          <w:rFonts w:hint="eastAsia" w:ascii="Times New Roman" w:hAnsi="Times New Roman" w:eastAsia="宋体" w:cs="Times New Roman"/>
          <w:b w:val="0"/>
          <w:bCs w:val="0"/>
          <w:spacing w:val="-1"/>
          <w:sz w:val="24"/>
          <w:szCs w:val="24"/>
          <w:lang w:val="en-US" w:eastAsia="zh-CN"/>
        </w:rPr>
        <w:t>l</w:t>
      </w:r>
      <w:r>
        <w:rPr>
          <w:rFonts w:hint="default" w:ascii="Times New Roman" w:hAnsi="Times New Roman" w:eastAsia="宋体" w:cs="Times New Roman"/>
          <w:b w:val="0"/>
          <w:bCs w:val="0"/>
          <w:spacing w:val="-1"/>
          <w:sz w:val="24"/>
          <w:szCs w:val="24"/>
          <w:lang w:val="en-US" w:eastAsia="zh-CN"/>
        </w:rPr>
        <w:t>iabilities</w:t>
      </w: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60"/>
        <w:gridCol w:w="1392"/>
        <w:gridCol w:w="13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jc w:val="center"/>
        </w:trPr>
        <w:tc>
          <w:tcPr>
            <w:tcW w:w="2160"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snapToGrid w:val="0"/>
                <w:color w:val="000000"/>
                <w:kern w:val="0"/>
                <w:sz w:val="24"/>
                <w:szCs w:val="24"/>
                <w:lang w:val="en-US" w:eastAsia="zh-CN" w:bidi="ar"/>
              </w:rPr>
              <w:t>Financial Year</w:t>
            </w:r>
          </w:p>
        </w:tc>
        <w:tc>
          <w:tcPr>
            <w:tcW w:w="1392"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snapToGrid w:val="0"/>
                <w:color w:val="000000"/>
                <w:kern w:val="0"/>
                <w:sz w:val="24"/>
                <w:szCs w:val="24"/>
                <w:lang w:val="en-US" w:eastAsia="zh-CN" w:bidi="ar"/>
              </w:rPr>
              <w:t>2021</w:t>
            </w:r>
          </w:p>
        </w:tc>
        <w:tc>
          <w:tcPr>
            <w:tcW w:w="1348"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snapToGrid w:val="0"/>
                <w:color w:val="000000"/>
                <w:kern w:val="0"/>
                <w:sz w:val="24"/>
                <w:szCs w:val="24"/>
                <w:lang w:val="en-US" w:eastAsia="zh-CN" w:bidi="ar"/>
              </w:rPr>
              <w:t>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jc w:val="center"/>
        </w:trPr>
        <w:tc>
          <w:tcPr>
            <w:tcW w:w="2160"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Current Assets</w:t>
            </w:r>
          </w:p>
        </w:tc>
        <w:tc>
          <w:tcPr>
            <w:tcW w:w="1392" w:type="dxa"/>
            <w:vAlign w:val="center"/>
          </w:tcPr>
          <w:p>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9756.4</w:t>
            </w:r>
          </w:p>
        </w:tc>
        <w:tc>
          <w:tcPr>
            <w:tcW w:w="1348"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7806.4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60"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snapToGrid w:val="0"/>
                <w:color w:val="000000"/>
                <w:kern w:val="0"/>
                <w:sz w:val="24"/>
                <w:szCs w:val="24"/>
                <w:lang w:val="en-US" w:eastAsia="zh-CN" w:bidi="ar"/>
              </w:rPr>
            </w:pPr>
            <w:r>
              <w:rPr>
                <w:rFonts w:hint="default" w:ascii="Times New Roman" w:hAnsi="Times New Roman" w:eastAsia="宋体" w:cs="Times New Roman"/>
                <w:snapToGrid w:val="0"/>
                <w:color w:val="000000"/>
                <w:kern w:val="0"/>
                <w:sz w:val="24"/>
                <w:szCs w:val="24"/>
                <w:lang w:val="en-US" w:eastAsia="zh-CN" w:bidi="ar"/>
              </w:rPr>
              <w:t>Current Liabilities</w:t>
            </w:r>
          </w:p>
        </w:tc>
        <w:tc>
          <w:tcPr>
            <w:tcW w:w="1392"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8151.4</w:t>
            </w:r>
          </w:p>
        </w:tc>
        <w:tc>
          <w:tcPr>
            <w:tcW w:w="1348" w:type="dxa"/>
            <w:vAlign w:val="center"/>
          </w:tcPr>
          <w:p>
            <w:pPr>
              <w:keepNext w:val="0"/>
              <w:keepLines w:val="0"/>
              <w:widowControl w:val="0"/>
              <w:suppressLineNumbers w:val="0"/>
              <w:spacing w:before="0" w:beforeAutospacing="0" w:after="0" w:afterAutospacing="0" w:line="255" w:lineRule="auto"/>
              <w:ind w:right="0" w:firstLine="240" w:firstLineChars="100"/>
              <w:jc w:val="both"/>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7346.8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60"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snapToGrid w:val="0"/>
                <w:color w:val="000000"/>
                <w:kern w:val="0"/>
                <w:sz w:val="24"/>
                <w:szCs w:val="24"/>
                <w:lang w:val="en-US" w:eastAsia="zh-CN" w:bidi="ar"/>
              </w:rPr>
            </w:pPr>
            <w:r>
              <w:rPr>
                <w:rFonts w:hint="default" w:ascii="Times New Roman" w:hAnsi="Times New Roman" w:eastAsia="宋体" w:cs="Times New Roman"/>
                <w:snapToGrid w:val="0"/>
                <w:color w:val="000000"/>
                <w:kern w:val="0"/>
                <w:sz w:val="24"/>
                <w:szCs w:val="24"/>
                <w:lang w:val="en-US" w:eastAsia="zh-CN" w:bidi="ar"/>
              </w:rPr>
              <w:t>Current Ratio</w:t>
            </w:r>
          </w:p>
        </w:tc>
        <w:tc>
          <w:tcPr>
            <w:tcW w:w="1392"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1.20</w:t>
            </w:r>
          </w:p>
        </w:tc>
        <w:tc>
          <w:tcPr>
            <w:tcW w:w="1348"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1.06</w:t>
            </w:r>
          </w:p>
        </w:tc>
      </w:tr>
    </w:tbl>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A corporation has the ability to maintain its short-term sustainability if its current ratio is greater than 1.00.</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According to a study of the current ratios for 2020 and 2021, Starbucks' current ratio increased from 1.06 to 1.20, falling short of McDonald's 1.78 and the industry's 1.21.</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 xml:space="preserve">A higher current ratio is preferable because it demonstrates the company's capacity to use current resources to cover its obligations. Hence, it must pay $1.2 for every dollar in liabilities, according to this.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Yet, if the current ratio is below the industry standard, there may be a greater risk of instability or default.</w:t>
      </w:r>
    </w:p>
    <w:p>
      <w:pPr>
        <w:pStyle w:val="4"/>
        <w:keepNext/>
        <w:keepLines/>
        <w:pageBreakBefore w:val="0"/>
        <w:widowControl w:val="0"/>
        <w:numPr>
          <w:ilvl w:val="2"/>
          <w:numId w:val="1"/>
        </w:numPr>
        <w:kinsoku/>
        <w:wordWrap/>
        <w:overflowPunct/>
        <w:topLinePunct w:val="0"/>
        <w:autoSpaceDE/>
        <w:autoSpaceDN/>
        <w:bidi w:val="0"/>
        <w:adjustRightInd/>
        <w:snapToGrid/>
        <w:spacing w:before="0" w:after="0" w:line="360" w:lineRule="auto"/>
        <w:textAlignment w:val="auto"/>
        <w:rPr>
          <w:rFonts w:hint="eastAsia" w:ascii="Times New Roman" w:hAnsi="Times New Roman" w:cs="Times New Roman"/>
          <w:b/>
          <w:sz w:val="24"/>
          <w:szCs w:val="24"/>
          <w:lang w:val="en-US" w:eastAsia="zh-CN"/>
        </w:rPr>
      </w:pPr>
      <w:bookmarkStart w:id="10" w:name="_Toc4578"/>
      <w:r>
        <w:rPr>
          <w:rFonts w:hint="eastAsia" w:ascii="Times New Roman" w:hAnsi="Times New Roman" w:cs="Times New Roman"/>
          <w:b/>
          <w:sz w:val="24"/>
          <w:szCs w:val="24"/>
          <w:lang w:val="en-US" w:eastAsia="zh-CN"/>
        </w:rPr>
        <w:t>Quick Ratio</w:t>
      </w:r>
      <w:bookmarkEnd w:id="10"/>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The ability of a business to pay off all of its short-term obligations using its total quick assets is measured by this ratio.</w:t>
      </w:r>
    </w:p>
    <w:p>
      <w:pPr>
        <w:keepNext w:val="0"/>
        <w:keepLines w:val="0"/>
        <w:pageBreakBefore w:val="0"/>
        <w:widowControl/>
        <w:kinsoku w:val="0"/>
        <w:wordWrap/>
        <w:overflowPunct/>
        <w:topLinePunct w:val="0"/>
        <w:autoSpaceDE w:val="0"/>
        <w:autoSpaceDN w:val="0"/>
        <w:bidi w:val="0"/>
        <w:adjustRightInd w:val="0"/>
        <w:snapToGrid w:val="0"/>
        <w:spacing w:before="69" w:line="360" w:lineRule="auto"/>
        <w:textAlignment w:val="baseline"/>
        <w:rPr>
          <w:rFonts w:hint="default" w:ascii="Times New Roman" w:hAnsi="Times New Roman" w:eastAsia="宋体" w:cs="Times New Roman"/>
          <w:b w:val="0"/>
          <w:bCs w:val="0"/>
          <w:spacing w:val="-1"/>
          <w:sz w:val="24"/>
          <w:szCs w:val="24"/>
          <w:lang w:val="en-US" w:eastAsia="zh-CN"/>
        </w:rPr>
      </w:pPr>
      <w:r>
        <w:rPr>
          <w:rFonts w:hint="default" w:ascii="Times New Roman" w:hAnsi="Times New Roman" w:eastAsia="宋体" w:cs="Times New Roman"/>
          <w:b w:val="0"/>
          <w:bCs w:val="0"/>
          <w:spacing w:val="-1"/>
          <w:sz w:val="24"/>
          <w:szCs w:val="24"/>
          <w:lang w:val="en-US" w:eastAsia="zh-CN"/>
        </w:rPr>
        <w:t>Quick Ratio= Current Assets- Inventory/ Current Liabilities</w:t>
      </w: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4"/>
        <w:gridCol w:w="1356"/>
        <w:gridCol w:w="13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24"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snapToGrid w:val="0"/>
                <w:color w:val="000000"/>
                <w:kern w:val="0"/>
                <w:sz w:val="24"/>
                <w:szCs w:val="24"/>
                <w:lang w:val="en-US" w:eastAsia="zh-CN" w:bidi="ar"/>
              </w:rPr>
              <w:t>Financial Year</w:t>
            </w:r>
          </w:p>
        </w:tc>
        <w:tc>
          <w:tcPr>
            <w:tcW w:w="1356"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snapToGrid w:val="0"/>
                <w:color w:val="000000"/>
                <w:kern w:val="0"/>
                <w:sz w:val="24"/>
                <w:szCs w:val="24"/>
                <w:lang w:val="en-US" w:eastAsia="zh-CN" w:bidi="ar"/>
              </w:rPr>
              <w:t>2021</w:t>
            </w:r>
          </w:p>
        </w:tc>
        <w:tc>
          <w:tcPr>
            <w:tcW w:w="1340"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snapToGrid w:val="0"/>
                <w:color w:val="000000"/>
                <w:kern w:val="0"/>
                <w:sz w:val="24"/>
                <w:szCs w:val="24"/>
                <w:lang w:val="en-US" w:eastAsia="zh-CN" w:bidi="ar"/>
              </w:rPr>
              <w:t>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jc w:val="center"/>
        </w:trPr>
        <w:tc>
          <w:tcPr>
            <w:tcW w:w="2124"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Current Assets</w:t>
            </w:r>
          </w:p>
        </w:tc>
        <w:tc>
          <w:tcPr>
            <w:tcW w:w="1356" w:type="dxa"/>
            <w:vAlign w:val="center"/>
          </w:tcPr>
          <w:p>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9756.4</w:t>
            </w:r>
          </w:p>
        </w:tc>
        <w:tc>
          <w:tcPr>
            <w:tcW w:w="1340"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7806.4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24"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snapToGrid w:val="0"/>
                <w:color w:val="000000"/>
                <w:kern w:val="0"/>
                <w:sz w:val="24"/>
                <w:szCs w:val="24"/>
                <w:lang w:val="en-US" w:eastAsia="zh-CN" w:bidi="ar"/>
              </w:rPr>
            </w:pPr>
            <w:r>
              <w:rPr>
                <w:rFonts w:hint="default" w:ascii="Times New Roman" w:hAnsi="Times New Roman" w:eastAsia="宋体" w:cs="Times New Roman"/>
                <w:snapToGrid w:val="0"/>
                <w:color w:val="000000"/>
                <w:kern w:val="0"/>
                <w:sz w:val="24"/>
                <w:szCs w:val="24"/>
                <w:lang w:val="en-US" w:eastAsia="zh-CN" w:bidi="ar"/>
              </w:rPr>
              <w:t>Inventory</w:t>
            </w:r>
          </w:p>
        </w:tc>
        <w:tc>
          <w:tcPr>
            <w:tcW w:w="1356"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1603.9</w:t>
            </w:r>
          </w:p>
        </w:tc>
        <w:tc>
          <w:tcPr>
            <w:tcW w:w="1340" w:type="dxa"/>
            <w:vAlign w:val="center"/>
          </w:tcPr>
          <w:p>
            <w:pPr>
              <w:keepNext w:val="0"/>
              <w:keepLines w:val="0"/>
              <w:widowControl w:val="0"/>
              <w:suppressLineNumbers w:val="0"/>
              <w:spacing w:before="0" w:beforeAutospacing="0" w:after="0" w:afterAutospacing="0" w:line="255" w:lineRule="auto"/>
              <w:ind w:right="0" w:firstLine="240" w:firstLineChars="100"/>
              <w:jc w:val="both"/>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1551.4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124"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snapToGrid w:val="0"/>
                <w:color w:val="000000"/>
                <w:kern w:val="0"/>
                <w:sz w:val="24"/>
                <w:szCs w:val="24"/>
                <w:lang w:val="en-US" w:eastAsia="zh-CN" w:bidi="ar"/>
              </w:rPr>
            </w:pPr>
            <w:r>
              <w:rPr>
                <w:rFonts w:hint="default" w:ascii="Times New Roman" w:hAnsi="Times New Roman" w:eastAsia="宋体" w:cs="Times New Roman"/>
                <w:snapToGrid w:val="0"/>
                <w:color w:val="000000"/>
                <w:kern w:val="0"/>
                <w:sz w:val="24"/>
                <w:szCs w:val="24"/>
                <w:lang w:val="en-US" w:eastAsia="zh-CN" w:bidi="ar"/>
              </w:rPr>
              <w:t>Current Liabilities</w:t>
            </w:r>
          </w:p>
        </w:tc>
        <w:tc>
          <w:tcPr>
            <w:tcW w:w="1356"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8151.4</w:t>
            </w:r>
          </w:p>
        </w:tc>
        <w:tc>
          <w:tcPr>
            <w:tcW w:w="1340"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7346.8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24"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snapToGrid w:val="0"/>
                <w:color w:val="000000"/>
                <w:kern w:val="0"/>
                <w:sz w:val="24"/>
                <w:szCs w:val="24"/>
                <w:lang w:val="en-US" w:eastAsia="zh-CN" w:bidi="ar"/>
              </w:rPr>
            </w:pPr>
            <w:r>
              <w:rPr>
                <w:rFonts w:hint="default" w:ascii="Times New Roman" w:hAnsi="Times New Roman" w:eastAsia="宋体" w:cs="Times New Roman"/>
                <w:snapToGrid w:val="0"/>
                <w:color w:val="000000"/>
                <w:kern w:val="0"/>
                <w:sz w:val="24"/>
                <w:szCs w:val="24"/>
                <w:lang w:val="en-US" w:eastAsia="zh-CN" w:bidi="ar"/>
              </w:rPr>
              <w:t>Quick Ratio</w:t>
            </w:r>
          </w:p>
        </w:tc>
        <w:tc>
          <w:tcPr>
            <w:tcW w:w="1356"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1.00</w:t>
            </w:r>
          </w:p>
        </w:tc>
        <w:tc>
          <w:tcPr>
            <w:tcW w:w="1340"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0.85</w:t>
            </w:r>
          </w:p>
        </w:tc>
      </w:tr>
    </w:tbl>
    <w:p>
      <w:pPr>
        <w:keepNext w:val="0"/>
        <w:keepLines w:val="0"/>
        <w:pageBreakBefore w:val="0"/>
        <w:widowControl/>
        <w:kinsoku w:val="0"/>
        <w:wordWrap/>
        <w:overflowPunct/>
        <w:topLinePunct w:val="0"/>
        <w:autoSpaceDE w:val="0"/>
        <w:autoSpaceDN w:val="0"/>
        <w:bidi w:val="0"/>
        <w:adjustRightInd w:val="0"/>
        <w:snapToGrid w:val="0"/>
        <w:spacing w:before="69" w:line="360" w:lineRule="auto"/>
        <w:textAlignment w:val="baseline"/>
        <w:rPr>
          <w:rFonts w:hint="default" w:ascii="Times New Roman" w:hAnsi="Times New Roman" w:eastAsia="宋体" w:cs="Times New Roman"/>
          <w:b w:val="0"/>
          <w:bCs w:val="0"/>
          <w:spacing w:val="-1"/>
          <w:sz w:val="24"/>
          <w:szCs w:val="24"/>
          <w:lang w:val="en-US" w:eastAsia="zh-CN"/>
        </w:rPr>
      </w:pPr>
      <w:r>
        <w:rPr>
          <w:rFonts w:hint="default" w:ascii="Times New Roman" w:hAnsi="Times New Roman" w:eastAsia="宋体" w:cs="Times New Roman"/>
          <w:b w:val="0"/>
          <w:bCs w:val="0"/>
          <w:spacing w:val="-1"/>
          <w:sz w:val="24"/>
          <w:szCs w:val="24"/>
          <w:lang w:val="en-US" w:eastAsia="zh-CN"/>
        </w:rPr>
        <w:t xml:space="preserve">The business would </w:t>
      </w:r>
      <w:r>
        <w:rPr>
          <w:rFonts w:hint="eastAsia" w:ascii="Times New Roman" w:hAnsi="Times New Roman" w:eastAsia="宋体" w:cs="Times New Roman"/>
          <w:b w:val="0"/>
          <w:bCs w:val="0"/>
          <w:spacing w:val="-1"/>
          <w:sz w:val="24"/>
          <w:szCs w:val="24"/>
          <w:lang w:val="en-US" w:eastAsia="zh-CN"/>
        </w:rPr>
        <w:t>possess</w:t>
      </w:r>
      <w:r>
        <w:rPr>
          <w:rFonts w:hint="default" w:ascii="Times New Roman" w:hAnsi="Times New Roman" w:eastAsia="宋体" w:cs="Times New Roman"/>
          <w:b w:val="0"/>
          <w:bCs w:val="0"/>
          <w:spacing w:val="-1"/>
          <w:sz w:val="24"/>
          <w:szCs w:val="24"/>
          <w:lang w:val="en-US" w:eastAsia="zh-CN"/>
        </w:rPr>
        <w:t xml:space="preserve"> </w:t>
      </w:r>
      <w:r>
        <w:rPr>
          <w:rFonts w:hint="eastAsia" w:ascii="Times New Roman" w:hAnsi="Times New Roman" w:eastAsia="宋体" w:cs="Times New Roman"/>
          <w:b w:val="0"/>
          <w:bCs w:val="0"/>
          <w:spacing w:val="-1"/>
          <w:sz w:val="24"/>
          <w:szCs w:val="24"/>
          <w:lang w:val="en-US" w:eastAsia="zh-CN"/>
        </w:rPr>
        <w:t>sufficient</w:t>
      </w:r>
      <w:r>
        <w:rPr>
          <w:rFonts w:hint="default" w:ascii="Times New Roman" w:hAnsi="Times New Roman" w:eastAsia="宋体" w:cs="Times New Roman"/>
          <w:b w:val="0"/>
          <w:bCs w:val="0"/>
          <w:spacing w:val="-1"/>
          <w:sz w:val="24"/>
          <w:szCs w:val="24"/>
          <w:lang w:val="en-US" w:eastAsia="zh-CN"/>
        </w:rPr>
        <w:t xml:space="preserve"> </w:t>
      </w:r>
      <w:r>
        <w:rPr>
          <w:rFonts w:hint="eastAsia" w:ascii="Times New Roman" w:hAnsi="Times New Roman" w:eastAsia="宋体" w:cs="Times New Roman"/>
          <w:b w:val="0"/>
          <w:bCs w:val="0"/>
          <w:spacing w:val="-1"/>
          <w:sz w:val="24"/>
          <w:szCs w:val="24"/>
          <w:lang w:val="en-US" w:eastAsia="zh-CN"/>
        </w:rPr>
        <w:t>funds</w:t>
      </w:r>
      <w:r>
        <w:rPr>
          <w:rFonts w:hint="default" w:ascii="Times New Roman" w:hAnsi="Times New Roman" w:eastAsia="宋体" w:cs="Times New Roman"/>
          <w:b w:val="0"/>
          <w:bCs w:val="0"/>
          <w:spacing w:val="-1"/>
          <w:sz w:val="24"/>
          <w:szCs w:val="24"/>
          <w:lang w:val="en-US" w:eastAsia="zh-CN"/>
        </w:rPr>
        <w:t xml:space="preserve"> to pay 85% of its debt commitments in fiscal year 2020 if it had to liquidate its current assets. The increase in current assets is what caused the subsequent increase to 1 in 2021.</w:t>
      </w:r>
    </w:p>
    <w:p>
      <w:pPr>
        <w:keepNext w:val="0"/>
        <w:keepLines w:val="0"/>
        <w:pageBreakBefore w:val="0"/>
        <w:widowControl/>
        <w:kinsoku w:val="0"/>
        <w:wordWrap/>
        <w:overflowPunct/>
        <w:topLinePunct w:val="0"/>
        <w:autoSpaceDE w:val="0"/>
        <w:autoSpaceDN w:val="0"/>
        <w:bidi w:val="0"/>
        <w:adjustRightInd w:val="0"/>
        <w:snapToGrid w:val="0"/>
        <w:spacing w:before="69" w:line="360" w:lineRule="auto"/>
        <w:textAlignment w:val="baseline"/>
        <w:rPr>
          <w:rFonts w:hint="default" w:ascii="Times New Roman" w:hAnsi="Times New Roman" w:eastAsia="宋体" w:cs="Times New Roman"/>
          <w:b w:val="0"/>
          <w:bCs w:val="0"/>
          <w:spacing w:val="-1"/>
          <w:sz w:val="24"/>
          <w:szCs w:val="24"/>
          <w:lang w:val="en-US" w:eastAsia="zh-CN"/>
        </w:rPr>
      </w:pPr>
      <w:r>
        <w:rPr>
          <w:rFonts w:hint="default" w:ascii="Times New Roman" w:hAnsi="Times New Roman" w:eastAsia="宋体" w:cs="Times New Roman"/>
          <w:b w:val="0"/>
          <w:bCs w:val="0"/>
          <w:spacing w:val="-1"/>
          <w:sz w:val="24"/>
          <w:szCs w:val="24"/>
          <w:lang w:val="en-US" w:eastAsia="zh-CN"/>
        </w:rPr>
        <w:t>Starbucks may not be able to quickly settle all of its existing liabilities since its quick ratio in 2020 was less than 1.</w:t>
      </w:r>
    </w:p>
    <w:p>
      <w:pPr>
        <w:keepNext w:val="0"/>
        <w:keepLines w:val="0"/>
        <w:pageBreakBefore w:val="0"/>
        <w:widowControl/>
        <w:kinsoku w:val="0"/>
        <w:wordWrap/>
        <w:overflowPunct/>
        <w:topLinePunct w:val="0"/>
        <w:autoSpaceDE w:val="0"/>
        <w:autoSpaceDN w:val="0"/>
        <w:bidi w:val="0"/>
        <w:adjustRightInd w:val="0"/>
        <w:snapToGrid w:val="0"/>
        <w:spacing w:before="69" w:line="360" w:lineRule="auto"/>
        <w:textAlignment w:val="baseline"/>
        <w:rPr>
          <w:rFonts w:hint="default" w:ascii="Times New Roman" w:hAnsi="Times New Roman" w:eastAsia="宋体" w:cs="Times New Roman"/>
          <w:b w:val="0"/>
          <w:bCs w:val="0"/>
          <w:spacing w:val="-1"/>
          <w:sz w:val="24"/>
          <w:szCs w:val="24"/>
          <w:lang w:val="en-US" w:eastAsia="zh-CN"/>
        </w:rPr>
      </w:pPr>
      <w:r>
        <w:rPr>
          <w:rFonts w:hint="default" w:ascii="Times New Roman" w:hAnsi="Times New Roman" w:eastAsia="宋体" w:cs="Times New Roman"/>
          <w:b w:val="0"/>
          <w:bCs w:val="0"/>
          <w:spacing w:val="-1"/>
          <w:sz w:val="24"/>
          <w:szCs w:val="24"/>
          <w:lang w:val="en-US" w:eastAsia="zh-CN"/>
        </w:rPr>
        <w:t>While the quick ratio on average is predicted to be 1 in 2021. That means the business has precisely the proper quantity of assets on hand to cover all of its current commitments.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The corporation has the money on hand to pay back short-term debts. Also, because of this ratio, the company does not overspend on its liquid assets.</w:t>
      </w:r>
    </w:p>
    <w:p>
      <w:pPr>
        <w:pStyle w:val="4"/>
        <w:keepNext/>
        <w:keepLines/>
        <w:pageBreakBefore w:val="0"/>
        <w:widowControl w:val="0"/>
        <w:numPr>
          <w:ilvl w:val="2"/>
          <w:numId w:val="1"/>
        </w:numPr>
        <w:kinsoku/>
        <w:wordWrap/>
        <w:overflowPunct/>
        <w:topLinePunct w:val="0"/>
        <w:autoSpaceDE/>
        <w:autoSpaceDN/>
        <w:bidi w:val="0"/>
        <w:adjustRightInd/>
        <w:snapToGrid/>
        <w:spacing w:before="0" w:after="0" w:line="360" w:lineRule="auto"/>
        <w:textAlignment w:val="auto"/>
        <w:rPr>
          <w:rFonts w:hint="eastAsia" w:ascii="Times New Roman" w:hAnsi="Times New Roman" w:cs="Times New Roman"/>
          <w:b/>
          <w:sz w:val="24"/>
          <w:szCs w:val="24"/>
          <w:lang w:val="en-US" w:eastAsia="zh-CN"/>
        </w:rPr>
      </w:pPr>
      <w:bookmarkStart w:id="11" w:name="_Toc13733"/>
      <w:r>
        <w:rPr>
          <w:rFonts w:hint="eastAsia" w:ascii="Times New Roman" w:hAnsi="Times New Roman" w:cs="Times New Roman"/>
          <w:b/>
          <w:sz w:val="24"/>
          <w:szCs w:val="24"/>
          <w:lang w:val="en-US" w:eastAsia="zh-CN"/>
        </w:rPr>
        <w:t>Cash Ratio</w:t>
      </w:r>
      <w:bookmarkEnd w:id="11"/>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This calculation compares a company's total cash and cash equivalents to its current obligations. The cash ratio is used to evaluate a company's capacity to pay down short-term debt with readily available liquidated resources.</w:t>
      </w:r>
    </w:p>
    <w:p>
      <w:pPr>
        <w:keepNext w:val="0"/>
        <w:keepLines w:val="0"/>
        <w:pageBreakBefore w:val="0"/>
        <w:widowControl/>
        <w:kinsoku w:val="0"/>
        <w:wordWrap/>
        <w:overflowPunct/>
        <w:topLinePunct w:val="0"/>
        <w:autoSpaceDE w:val="0"/>
        <w:autoSpaceDN w:val="0"/>
        <w:bidi w:val="0"/>
        <w:adjustRightInd w:val="0"/>
        <w:snapToGrid w:val="0"/>
        <w:spacing w:before="69" w:line="360" w:lineRule="auto"/>
        <w:jc w:val="both"/>
        <w:textAlignment w:val="baseline"/>
        <w:rPr>
          <w:rFonts w:hint="default" w:ascii="Times New Roman" w:hAnsi="Times New Roman" w:eastAsia="宋体" w:cs="Times New Roman"/>
          <w:b w:val="0"/>
          <w:bCs w:val="0"/>
          <w:spacing w:val="-1"/>
          <w:sz w:val="24"/>
          <w:szCs w:val="24"/>
          <w:lang w:val="en-US" w:eastAsia="zh-CN"/>
        </w:rPr>
      </w:pPr>
      <w:r>
        <w:rPr>
          <w:rFonts w:hint="default" w:ascii="Times New Roman" w:hAnsi="Times New Roman" w:eastAsia="宋体" w:cs="Times New Roman"/>
          <w:b w:val="0"/>
          <w:bCs w:val="0"/>
          <w:spacing w:val="-1"/>
          <w:sz w:val="24"/>
          <w:szCs w:val="24"/>
          <w:lang w:val="en-US" w:eastAsia="zh-CN"/>
        </w:rPr>
        <w:t>Cash Ratio= Cash+Cash Equivalents/ Total Current Liabilities</w:t>
      </w: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5"/>
        <w:gridCol w:w="1235"/>
        <w:gridCol w:w="13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45"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snapToGrid w:val="0"/>
                <w:color w:val="000000"/>
                <w:kern w:val="0"/>
                <w:sz w:val="24"/>
                <w:szCs w:val="24"/>
                <w:lang w:val="en-US" w:eastAsia="zh-CN" w:bidi="ar"/>
              </w:rPr>
              <w:t>Financial Year</w:t>
            </w:r>
          </w:p>
        </w:tc>
        <w:tc>
          <w:tcPr>
            <w:tcW w:w="1235"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snapToGrid w:val="0"/>
                <w:color w:val="000000"/>
                <w:kern w:val="0"/>
                <w:sz w:val="24"/>
                <w:szCs w:val="24"/>
                <w:lang w:val="en-US" w:eastAsia="zh-CN" w:bidi="ar"/>
              </w:rPr>
              <w:t>2021</w:t>
            </w:r>
          </w:p>
        </w:tc>
        <w:tc>
          <w:tcPr>
            <w:tcW w:w="1390"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snapToGrid w:val="0"/>
                <w:color w:val="000000"/>
                <w:kern w:val="0"/>
                <w:sz w:val="24"/>
                <w:szCs w:val="24"/>
                <w:lang w:val="en-US" w:eastAsia="zh-CN" w:bidi="ar"/>
              </w:rPr>
              <w:t>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jc w:val="center"/>
        </w:trPr>
        <w:tc>
          <w:tcPr>
            <w:tcW w:w="2845"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Cash+Cash Equivalents</w:t>
            </w:r>
          </w:p>
        </w:tc>
        <w:tc>
          <w:tcPr>
            <w:tcW w:w="1235" w:type="dxa"/>
            <w:vAlign w:val="center"/>
          </w:tcPr>
          <w:p>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6455.7</w:t>
            </w:r>
          </w:p>
        </w:tc>
        <w:tc>
          <w:tcPr>
            <w:tcW w:w="1390"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4350.9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45"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snapToGrid w:val="0"/>
                <w:color w:val="000000"/>
                <w:kern w:val="0"/>
                <w:sz w:val="24"/>
                <w:szCs w:val="24"/>
                <w:lang w:val="en-US" w:eastAsia="zh-CN" w:bidi="ar"/>
              </w:rPr>
            </w:pPr>
            <w:r>
              <w:rPr>
                <w:rFonts w:hint="default" w:ascii="Times New Roman" w:hAnsi="Times New Roman" w:eastAsia="宋体" w:cs="Times New Roman"/>
                <w:snapToGrid w:val="0"/>
                <w:color w:val="000000"/>
                <w:kern w:val="0"/>
                <w:sz w:val="24"/>
                <w:szCs w:val="24"/>
                <w:lang w:val="en-US" w:eastAsia="zh-CN" w:bidi="ar"/>
              </w:rPr>
              <w:t>Total Current Liabilities</w:t>
            </w:r>
          </w:p>
        </w:tc>
        <w:tc>
          <w:tcPr>
            <w:tcW w:w="1235"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8151.4</w:t>
            </w:r>
          </w:p>
        </w:tc>
        <w:tc>
          <w:tcPr>
            <w:tcW w:w="1390" w:type="dxa"/>
            <w:vAlign w:val="center"/>
          </w:tcPr>
          <w:p>
            <w:pPr>
              <w:keepNext w:val="0"/>
              <w:keepLines w:val="0"/>
              <w:widowControl w:val="0"/>
              <w:suppressLineNumbers w:val="0"/>
              <w:spacing w:before="0" w:beforeAutospacing="0" w:after="0" w:afterAutospacing="0" w:line="255" w:lineRule="auto"/>
              <w:ind w:right="0" w:firstLine="240" w:firstLineChars="100"/>
              <w:jc w:val="both"/>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7346.8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45"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snapToGrid w:val="0"/>
                <w:color w:val="000000"/>
                <w:kern w:val="0"/>
                <w:sz w:val="24"/>
                <w:szCs w:val="24"/>
                <w:lang w:val="en-US" w:eastAsia="zh-CN" w:bidi="ar"/>
              </w:rPr>
            </w:pPr>
            <w:r>
              <w:rPr>
                <w:rFonts w:hint="default" w:ascii="Times New Roman" w:hAnsi="Times New Roman" w:eastAsia="宋体" w:cs="Times New Roman"/>
                <w:snapToGrid w:val="0"/>
                <w:color w:val="000000"/>
                <w:kern w:val="0"/>
                <w:sz w:val="24"/>
                <w:szCs w:val="24"/>
                <w:lang w:val="en-US" w:eastAsia="zh-CN" w:bidi="ar"/>
              </w:rPr>
              <w:t>Cash Ratio</w:t>
            </w:r>
          </w:p>
        </w:tc>
        <w:tc>
          <w:tcPr>
            <w:tcW w:w="1235"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0.79</w:t>
            </w:r>
          </w:p>
        </w:tc>
        <w:tc>
          <w:tcPr>
            <w:tcW w:w="1390"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0.59</w:t>
            </w:r>
          </w:p>
        </w:tc>
      </w:tr>
    </w:tbl>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 xml:space="preserve">By 2021, Starbucks' cash ratio had gradually increased. The average cash to equity ratio at Starbucks was higher than the average industry of 0.68 and lower than the benchmark at McDonald's, which was 1.17. Due to its negative cash ratio, Starbucks has greater cash and cash equivalents than current </w:t>
      </w:r>
      <w:r>
        <w:rPr>
          <w:rFonts w:hint="eastAsia" w:ascii="Times New Roman" w:hAnsi="Times New Roman" w:cs="Times New Roman"/>
          <w:b w:val="0"/>
          <w:bCs w:val="0"/>
          <w:sz w:val="24"/>
          <w:szCs w:val="24"/>
          <w:lang w:val="en-US" w:eastAsia="zh-CN"/>
        </w:rPr>
        <w:t>liabilities</w:t>
      </w:r>
      <w:r>
        <w:rPr>
          <w:rFonts w:hint="default" w:ascii="Times New Roman" w:hAnsi="Times New Roman" w:cs="Times New Roman"/>
          <w:b w:val="0"/>
          <w:bCs w:val="0"/>
          <w:sz w:val="24"/>
          <w:szCs w:val="24"/>
          <w:lang w:val="en-US" w:eastAsia="zh-CN"/>
        </w:rPr>
        <w:t>. It shows a dearth of money for covering short-term debt.</w:t>
      </w:r>
    </w:p>
    <w:p>
      <w:pPr>
        <w:pStyle w:val="3"/>
        <w:keepNext/>
        <w:keepLines/>
        <w:pageBreakBefore w:val="0"/>
        <w:widowControl w:val="0"/>
        <w:numPr>
          <w:ilvl w:val="1"/>
          <w:numId w:val="1"/>
        </w:numPr>
        <w:kinsoku/>
        <w:wordWrap/>
        <w:overflowPunct/>
        <w:topLinePunct w:val="0"/>
        <w:autoSpaceDE/>
        <w:autoSpaceDN/>
        <w:bidi w:val="0"/>
        <w:adjustRightInd/>
        <w:snapToGrid/>
        <w:spacing w:before="0" w:after="0" w:line="360" w:lineRule="auto"/>
        <w:textAlignment w:val="auto"/>
        <w:rPr>
          <w:rFonts w:hint="default" w:ascii="Times New Roman" w:hAnsi="Times New Roman" w:cs="Times New Roman"/>
          <w:sz w:val="24"/>
          <w:szCs w:val="24"/>
          <w:lang w:val="en-US" w:eastAsia="zh-CN"/>
        </w:rPr>
      </w:pPr>
      <w:bookmarkStart w:id="12" w:name="_Toc12871"/>
      <w:r>
        <w:rPr>
          <w:rFonts w:hint="default" w:ascii="Times New Roman" w:hAnsi="Times New Roman" w:cs="Times New Roman"/>
          <w:sz w:val="24"/>
          <w:szCs w:val="24"/>
          <w:lang w:val="en-US" w:eastAsia="zh-CN"/>
        </w:rPr>
        <w:t>Efficiency Ratios</w:t>
      </w:r>
      <w:bookmarkEnd w:id="12"/>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The effectiveness of a company's operations determines how effectively it handles its resources. A company that is performing well should be able to afford to purchase capital assets, cover operational costs, and offer products and services. To evaluate a company's operating efficiency, a variety of ratios can be employed. Inventory turnover, working capital turnover, the assets turnover ratio, payable turnover, capital turnover, and accounts receivable turnover ratio are some of these ratios.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They are directly relevant to how efficiently business dealings are transformed into cash (Davies, 2011).</w:t>
      </w:r>
    </w:p>
    <w:p>
      <w:pPr>
        <w:pStyle w:val="4"/>
        <w:keepNext/>
        <w:keepLines/>
        <w:pageBreakBefore w:val="0"/>
        <w:widowControl w:val="0"/>
        <w:numPr>
          <w:ilvl w:val="2"/>
          <w:numId w:val="1"/>
        </w:numPr>
        <w:kinsoku/>
        <w:wordWrap/>
        <w:overflowPunct/>
        <w:topLinePunct w:val="0"/>
        <w:autoSpaceDE/>
        <w:autoSpaceDN/>
        <w:bidi w:val="0"/>
        <w:adjustRightInd/>
        <w:snapToGrid/>
        <w:spacing w:before="0" w:after="0" w:line="360" w:lineRule="auto"/>
        <w:textAlignment w:val="auto"/>
        <w:rPr>
          <w:rFonts w:hint="default" w:ascii="Times New Roman" w:hAnsi="Times New Roman" w:cs="Times New Roman"/>
          <w:sz w:val="24"/>
          <w:szCs w:val="24"/>
          <w:lang w:val="en-US" w:eastAsia="zh-CN"/>
        </w:rPr>
      </w:pPr>
      <w:bookmarkStart w:id="13" w:name="_Toc22158"/>
      <w:r>
        <w:rPr>
          <w:rFonts w:hint="default" w:ascii="Times New Roman" w:hAnsi="Times New Roman" w:cs="Times New Roman"/>
          <w:sz w:val="24"/>
          <w:szCs w:val="24"/>
          <w:lang w:val="en-US" w:eastAsia="zh-CN"/>
        </w:rPr>
        <w:t>Accounts Receivable Turnover</w:t>
      </w:r>
      <w:bookmarkEnd w:id="13"/>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How quickly a business receives money for the products and services it provides is determined by the turnover of its accounts receivable. It is used to provide information about the overall cash flow and net worth. The amount of accessible operating cash is examined by the receivable turnover to determine operational effectiveness. The ratio also monitors how regularly over a given time period a firm's receivables are turned into cash.</w:t>
      </w:r>
    </w:p>
    <w:p>
      <w:pPr>
        <w:keepNext w:val="0"/>
        <w:keepLines w:val="0"/>
        <w:pageBreakBefore w:val="0"/>
        <w:widowControl/>
        <w:kinsoku w:val="0"/>
        <w:wordWrap/>
        <w:overflowPunct/>
        <w:topLinePunct w:val="0"/>
        <w:autoSpaceDE w:val="0"/>
        <w:autoSpaceDN w:val="0"/>
        <w:bidi w:val="0"/>
        <w:adjustRightInd w:val="0"/>
        <w:snapToGrid w:val="0"/>
        <w:spacing w:before="69" w:line="360" w:lineRule="auto"/>
        <w:jc w:val="both"/>
        <w:textAlignment w:val="baseline"/>
        <w:rPr>
          <w:rFonts w:hint="default" w:ascii="Times New Roman" w:hAnsi="Times New Roman" w:cs="Times New Roman"/>
          <w:b w:val="0"/>
          <w:bCs w:val="0"/>
          <w:spacing w:val="-2"/>
          <w:sz w:val="24"/>
          <w:szCs w:val="24"/>
          <w:lang w:val="en-US" w:eastAsia="zh-CN"/>
        </w:rPr>
      </w:pPr>
      <w:r>
        <w:rPr>
          <w:rFonts w:hint="default" w:ascii="Times New Roman" w:hAnsi="Times New Roman" w:cs="Times New Roman"/>
          <w:b w:val="0"/>
          <w:bCs w:val="0"/>
          <w:spacing w:val="-2"/>
          <w:sz w:val="24"/>
          <w:szCs w:val="24"/>
          <w:lang w:val="en-US" w:eastAsia="zh-CN"/>
        </w:rPr>
        <w:t xml:space="preserve">Accounts </w:t>
      </w:r>
      <w:r>
        <w:rPr>
          <w:rFonts w:hint="eastAsia" w:ascii="Times New Roman" w:hAnsi="Times New Roman" w:cs="Times New Roman"/>
          <w:b w:val="0"/>
          <w:bCs w:val="0"/>
          <w:spacing w:val="-2"/>
          <w:sz w:val="24"/>
          <w:szCs w:val="24"/>
          <w:lang w:val="en-US" w:eastAsia="zh-CN"/>
        </w:rPr>
        <w:t>R</w:t>
      </w:r>
      <w:r>
        <w:rPr>
          <w:rFonts w:hint="default" w:ascii="Times New Roman" w:hAnsi="Times New Roman" w:cs="Times New Roman"/>
          <w:b w:val="0"/>
          <w:bCs w:val="0"/>
          <w:spacing w:val="-2"/>
          <w:sz w:val="24"/>
          <w:szCs w:val="24"/>
          <w:lang w:val="en-US" w:eastAsia="zh-CN"/>
        </w:rPr>
        <w:t xml:space="preserve">eceivable </w:t>
      </w:r>
      <w:r>
        <w:rPr>
          <w:rFonts w:hint="eastAsia" w:ascii="Times New Roman" w:hAnsi="Times New Roman" w:cs="Times New Roman"/>
          <w:b w:val="0"/>
          <w:bCs w:val="0"/>
          <w:spacing w:val="-2"/>
          <w:sz w:val="24"/>
          <w:szCs w:val="24"/>
          <w:lang w:val="en-US" w:eastAsia="zh-CN"/>
        </w:rPr>
        <w:t>T</w:t>
      </w:r>
      <w:r>
        <w:rPr>
          <w:rFonts w:hint="default" w:ascii="Times New Roman" w:hAnsi="Times New Roman" w:cs="Times New Roman"/>
          <w:b w:val="0"/>
          <w:bCs w:val="0"/>
          <w:spacing w:val="-2"/>
          <w:sz w:val="24"/>
          <w:szCs w:val="24"/>
          <w:lang w:val="en-US" w:eastAsia="zh-CN"/>
        </w:rPr>
        <w:t>urnover= Net Credit Sales/ Average Accounts Receivable</w:t>
      </w: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96"/>
        <w:gridCol w:w="2294"/>
        <w:gridCol w:w="24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96"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snapToGrid w:val="0"/>
                <w:color w:val="000000"/>
                <w:kern w:val="0"/>
                <w:sz w:val="24"/>
                <w:szCs w:val="24"/>
                <w:lang w:val="en-US" w:eastAsia="zh-CN" w:bidi="ar"/>
              </w:rPr>
              <w:t>Financial Year</w:t>
            </w:r>
          </w:p>
        </w:tc>
        <w:tc>
          <w:tcPr>
            <w:tcW w:w="2294"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snapToGrid w:val="0"/>
                <w:color w:val="000000"/>
                <w:kern w:val="0"/>
                <w:sz w:val="24"/>
                <w:szCs w:val="24"/>
                <w:lang w:val="en-US" w:eastAsia="zh-CN" w:bidi="ar"/>
              </w:rPr>
              <w:t>2021</w:t>
            </w:r>
          </w:p>
        </w:tc>
        <w:tc>
          <w:tcPr>
            <w:tcW w:w="2470"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snapToGrid w:val="0"/>
                <w:color w:val="000000"/>
                <w:kern w:val="0"/>
                <w:sz w:val="24"/>
                <w:szCs w:val="24"/>
                <w:lang w:val="en-US" w:eastAsia="zh-CN" w:bidi="ar"/>
              </w:rPr>
              <w:t>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jc w:val="center"/>
        </w:trPr>
        <w:tc>
          <w:tcPr>
            <w:tcW w:w="3196"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Net Credit Sales</w:t>
            </w:r>
          </w:p>
        </w:tc>
        <w:tc>
          <w:tcPr>
            <w:tcW w:w="2294" w:type="dxa"/>
            <w:vAlign w:val="center"/>
          </w:tcPr>
          <w:p>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29060.6</w:t>
            </w:r>
          </w:p>
        </w:tc>
        <w:tc>
          <w:tcPr>
            <w:tcW w:w="2470"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23518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96"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snapToGrid w:val="0"/>
                <w:color w:val="000000"/>
                <w:kern w:val="0"/>
                <w:sz w:val="24"/>
                <w:szCs w:val="24"/>
                <w:lang w:val="en-US" w:eastAsia="zh-CN" w:bidi="ar"/>
              </w:rPr>
            </w:pPr>
            <w:r>
              <w:rPr>
                <w:rFonts w:hint="default" w:ascii="Times New Roman" w:hAnsi="Times New Roman" w:eastAsia="宋体" w:cs="Times New Roman"/>
                <w:snapToGrid w:val="0"/>
                <w:color w:val="000000"/>
                <w:kern w:val="0"/>
                <w:sz w:val="24"/>
                <w:szCs w:val="24"/>
                <w:lang w:val="en-US" w:eastAsia="zh-CN" w:bidi="ar"/>
              </w:rPr>
              <w:t>Average Accounts Receivable</w:t>
            </w:r>
          </w:p>
        </w:tc>
        <w:tc>
          <w:tcPr>
            <w:tcW w:w="2294"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(940+883.4)/2=911.7</w:t>
            </w:r>
          </w:p>
        </w:tc>
        <w:tc>
          <w:tcPr>
            <w:tcW w:w="2470"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(883.4+879.2)/2=856.3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3196"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snapToGrid w:val="0"/>
                <w:color w:val="000000"/>
                <w:kern w:val="0"/>
                <w:sz w:val="24"/>
                <w:szCs w:val="24"/>
                <w:lang w:val="en-US" w:eastAsia="zh-CN" w:bidi="ar"/>
              </w:rPr>
            </w:pPr>
            <w:r>
              <w:rPr>
                <w:rFonts w:hint="default" w:ascii="Times New Roman" w:hAnsi="Times New Roman" w:eastAsia="宋体" w:cs="Times New Roman"/>
                <w:snapToGrid w:val="0"/>
                <w:color w:val="000000"/>
                <w:kern w:val="0"/>
                <w:sz w:val="24"/>
                <w:szCs w:val="24"/>
                <w:lang w:val="en-US" w:eastAsia="zh-CN" w:bidi="ar"/>
              </w:rPr>
              <w:t>Accounts Receivable Turnover</w:t>
            </w:r>
          </w:p>
        </w:tc>
        <w:tc>
          <w:tcPr>
            <w:tcW w:w="2294"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31.88</w:t>
            </w:r>
          </w:p>
        </w:tc>
        <w:tc>
          <w:tcPr>
            <w:tcW w:w="2470"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27.46</w:t>
            </w:r>
          </w:p>
        </w:tc>
      </w:tr>
    </w:tbl>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The turnover of Starbucks' receivables grew between 2020 and 2021, exceeding the 22.62 average for the consumer discretionary industry.</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Starbucks may be successful at recovering its debts if its accounts receivable turnover ratio is high.</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Starbucks has good asset liquidity, quick accounts receivable recovery, and strong short-term solvency.</w:t>
      </w:r>
    </w:p>
    <w:p>
      <w:pPr>
        <w:pStyle w:val="4"/>
        <w:keepNext/>
        <w:keepLines/>
        <w:pageBreakBefore w:val="0"/>
        <w:widowControl w:val="0"/>
        <w:numPr>
          <w:ilvl w:val="2"/>
          <w:numId w:val="1"/>
        </w:numPr>
        <w:kinsoku/>
        <w:wordWrap/>
        <w:overflowPunct/>
        <w:topLinePunct w:val="0"/>
        <w:autoSpaceDE/>
        <w:autoSpaceDN/>
        <w:bidi w:val="0"/>
        <w:adjustRightInd/>
        <w:snapToGrid/>
        <w:spacing w:before="0" w:after="0" w:line="360" w:lineRule="auto"/>
        <w:textAlignment w:val="auto"/>
        <w:rPr>
          <w:rFonts w:hint="eastAsia" w:ascii="Times New Roman" w:hAnsi="Times New Roman" w:cs="Times New Roman"/>
          <w:b/>
          <w:sz w:val="24"/>
          <w:szCs w:val="24"/>
          <w:lang w:val="en-US" w:eastAsia="zh-CN"/>
        </w:rPr>
      </w:pPr>
      <w:bookmarkStart w:id="14" w:name="_Toc25956"/>
      <w:r>
        <w:rPr>
          <w:rFonts w:hint="eastAsia" w:ascii="Times New Roman" w:hAnsi="Times New Roman" w:cs="Times New Roman"/>
          <w:b/>
          <w:sz w:val="24"/>
          <w:szCs w:val="24"/>
          <w:lang w:val="en-US" w:eastAsia="zh-CN"/>
        </w:rPr>
        <w:t>Accounts Payable Turnover</w:t>
      </w:r>
      <w:bookmarkEnd w:id="14"/>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The accounts payable turnover ratio reveals how efficiently a company pays its immediate suppliers and bills. The turnover of accounts payable provides information on how often a company pays its accounts payable over a certain length of time.</w:t>
      </w:r>
    </w:p>
    <w:p>
      <w:pPr>
        <w:keepNext w:val="0"/>
        <w:keepLines w:val="0"/>
        <w:pageBreakBefore w:val="0"/>
        <w:widowControl/>
        <w:kinsoku w:val="0"/>
        <w:wordWrap/>
        <w:overflowPunct/>
        <w:topLinePunct w:val="0"/>
        <w:autoSpaceDE w:val="0"/>
        <w:autoSpaceDN w:val="0"/>
        <w:bidi w:val="0"/>
        <w:adjustRightInd w:val="0"/>
        <w:snapToGrid w:val="0"/>
        <w:spacing w:before="69" w:line="360" w:lineRule="auto"/>
        <w:jc w:val="both"/>
        <w:textAlignment w:val="baseline"/>
        <w:rPr>
          <w:rFonts w:hint="default" w:ascii="Times New Roman" w:hAnsi="Times New Roman" w:eastAsia="宋体" w:cs="Times New Roman"/>
          <w:b w:val="0"/>
          <w:bCs w:val="0"/>
          <w:spacing w:val="-1"/>
          <w:sz w:val="24"/>
          <w:szCs w:val="24"/>
          <w:lang w:val="en-US" w:eastAsia="zh-CN"/>
        </w:rPr>
      </w:pPr>
      <w:r>
        <w:rPr>
          <w:rFonts w:hint="default" w:ascii="Times New Roman" w:hAnsi="Times New Roman" w:eastAsia="宋体" w:cs="Times New Roman"/>
          <w:b w:val="0"/>
          <w:bCs w:val="0"/>
          <w:spacing w:val="-1"/>
          <w:sz w:val="24"/>
          <w:szCs w:val="24"/>
          <w:lang w:val="en-US" w:eastAsia="zh-CN"/>
        </w:rPr>
        <w:t>Accounts Payable Turnover= Net Credit Purchases/ Average Accounts Payable</w:t>
      </w:r>
    </w:p>
    <w:p>
      <w:pPr>
        <w:keepNext w:val="0"/>
        <w:keepLines w:val="0"/>
        <w:pageBreakBefore w:val="0"/>
        <w:widowControl/>
        <w:kinsoku w:val="0"/>
        <w:wordWrap/>
        <w:overflowPunct/>
        <w:topLinePunct w:val="0"/>
        <w:autoSpaceDE w:val="0"/>
        <w:autoSpaceDN w:val="0"/>
        <w:bidi w:val="0"/>
        <w:adjustRightInd w:val="0"/>
        <w:snapToGrid w:val="0"/>
        <w:spacing w:before="69" w:line="360" w:lineRule="auto"/>
        <w:jc w:val="both"/>
        <w:textAlignment w:val="baseline"/>
        <w:rPr>
          <w:rFonts w:hint="default" w:ascii="Times New Roman" w:hAnsi="Times New Roman" w:eastAsia="宋体" w:cs="Times New Roman"/>
          <w:b w:val="0"/>
          <w:bCs w:val="0"/>
          <w:spacing w:val="-1"/>
          <w:sz w:val="24"/>
          <w:szCs w:val="24"/>
          <w:lang w:val="en-US" w:eastAsia="zh-CN"/>
        </w:rPr>
      </w:pPr>
      <w:r>
        <w:rPr>
          <w:rFonts w:hint="default" w:ascii="Times New Roman" w:hAnsi="Times New Roman" w:eastAsia="宋体" w:cs="Times New Roman"/>
          <w:b w:val="0"/>
          <w:bCs w:val="0"/>
          <w:spacing w:val="-1"/>
          <w:sz w:val="24"/>
          <w:szCs w:val="24"/>
          <w:lang w:val="en-US" w:eastAsia="zh-CN"/>
        </w:rPr>
        <w:t>Net Credit Purchases=COGS+Ending Inventory- SI</w:t>
      </w: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08"/>
        <w:gridCol w:w="3207"/>
        <w:gridCol w:w="32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92"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snapToGrid w:val="0"/>
                <w:color w:val="000000"/>
                <w:kern w:val="0"/>
                <w:sz w:val="24"/>
                <w:szCs w:val="24"/>
                <w:lang w:val="en-US" w:eastAsia="zh-CN" w:bidi="ar"/>
              </w:rPr>
              <w:t>Financial Year</w:t>
            </w:r>
          </w:p>
        </w:tc>
        <w:tc>
          <w:tcPr>
            <w:tcW w:w="3207"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snapToGrid w:val="0"/>
                <w:color w:val="000000"/>
                <w:kern w:val="0"/>
                <w:sz w:val="24"/>
                <w:szCs w:val="24"/>
                <w:lang w:val="en-US" w:eastAsia="zh-CN" w:bidi="ar"/>
              </w:rPr>
              <w:t>2021</w:t>
            </w:r>
          </w:p>
        </w:tc>
        <w:tc>
          <w:tcPr>
            <w:tcW w:w="3207"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snapToGrid w:val="0"/>
                <w:color w:val="000000"/>
                <w:kern w:val="0"/>
                <w:sz w:val="24"/>
                <w:szCs w:val="24"/>
                <w:lang w:val="en-US" w:eastAsia="zh-CN" w:bidi="ar"/>
              </w:rPr>
              <w:t>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jc w:val="center"/>
        </w:trPr>
        <w:tc>
          <w:tcPr>
            <w:tcW w:w="2292"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Net Credit Purchases</w:t>
            </w:r>
          </w:p>
        </w:tc>
        <w:tc>
          <w:tcPr>
            <w:tcW w:w="3207" w:type="dxa"/>
            <w:vAlign w:val="center"/>
          </w:tcPr>
          <w:p>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9738.7+1603.9-1551.4=9791.2</w:t>
            </w:r>
          </w:p>
        </w:tc>
        <w:tc>
          <w:tcPr>
            <w:tcW w:w="3207"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7694.9+1603.9-1529.4=7769.4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92"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snapToGrid w:val="0"/>
                <w:color w:val="000000"/>
                <w:kern w:val="0"/>
                <w:sz w:val="24"/>
                <w:szCs w:val="24"/>
                <w:lang w:val="en-US" w:eastAsia="zh-CN" w:bidi="ar"/>
              </w:rPr>
            </w:pPr>
            <w:r>
              <w:rPr>
                <w:rFonts w:hint="default" w:ascii="Times New Roman" w:hAnsi="Times New Roman" w:eastAsia="宋体" w:cs="Times New Roman"/>
                <w:snapToGrid w:val="0"/>
                <w:color w:val="000000"/>
                <w:kern w:val="0"/>
                <w:sz w:val="24"/>
                <w:szCs w:val="24"/>
                <w:lang w:val="en-US" w:eastAsia="zh-CN" w:bidi="ar"/>
              </w:rPr>
              <w:t>Average Accounts Payable</w:t>
            </w:r>
          </w:p>
        </w:tc>
        <w:tc>
          <w:tcPr>
            <w:tcW w:w="3207"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(1211.6+997.9)/2=1104.75</w:t>
            </w:r>
          </w:p>
        </w:tc>
        <w:tc>
          <w:tcPr>
            <w:tcW w:w="3207"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(997.9+1189.7)/2=1093.8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92"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snapToGrid w:val="0"/>
                <w:color w:val="000000"/>
                <w:kern w:val="0"/>
                <w:sz w:val="24"/>
                <w:szCs w:val="24"/>
                <w:lang w:val="en-US" w:eastAsia="zh-CN" w:bidi="ar"/>
              </w:rPr>
            </w:pPr>
            <w:r>
              <w:rPr>
                <w:rFonts w:hint="default" w:ascii="Times New Roman" w:hAnsi="Times New Roman" w:eastAsia="宋体" w:cs="Times New Roman"/>
                <w:snapToGrid w:val="0"/>
                <w:color w:val="000000"/>
                <w:kern w:val="0"/>
                <w:sz w:val="24"/>
                <w:szCs w:val="24"/>
                <w:lang w:val="en-US" w:eastAsia="zh-CN" w:bidi="ar"/>
              </w:rPr>
              <w:t>Accounts Payable Turnover</w:t>
            </w:r>
          </w:p>
        </w:tc>
        <w:tc>
          <w:tcPr>
            <w:tcW w:w="3207"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8.86</w:t>
            </w:r>
          </w:p>
        </w:tc>
        <w:tc>
          <w:tcPr>
            <w:tcW w:w="3207"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7.10</w:t>
            </w:r>
          </w:p>
        </w:tc>
      </w:tr>
    </w:tbl>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In comparison to the Consumer Discretionary average of 4.69, Starbucks' payment turnover climbed gradually during 2020 and 2021. This confirms that Starbucks has sufficient money on hand to satisfy all of its immediate financial liabilities.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A ratio that has been steadily rising can be a sign that the business isn't putting money back into its operations, which might result in slower long-term expansion and decreased profits.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As a result, Starbucks should generate enough revenue to pay off its loans quickly without sacrificing the chance to invest in other companies.</w:t>
      </w:r>
    </w:p>
    <w:p>
      <w:pPr>
        <w:pStyle w:val="4"/>
        <w:keepNext/>
        <w:keepLines/>
        <w:pageBreakBefore w:val="0"/>
        <w:widowControl w:val="0"/>
        <w:numPr>
          <w:ilvl w:val="2"/>
          <w:numId w:val="1"/>
        </w:numPr>
        <w:kinsoku/>
        <w:wordWrap/>
        <w:overflowPunct/>
        <w:topLinePunct w:val="0"/>
        <w:autoSpaceDE/>
        <w:autoSpaceDN/>
        <w:bidi w:val="0"/>
        <w:adjustRightInd/>
        <w:snapToGrid/>
        <w:spacing w:before="0" w:after="0" w:line="360" w:lineRule="auto"/>
        <w:textAlignment w:val="auto"/>
        <w:rPr>
          <w:rFonts w:hint="eastAsia" w:ascii="Times New Roman" w:hAnsi="Times New Roman" w:cs="Times New Roman"/>
          <w:b/>
          <w:sz w:val="24"/>
          <w:szCs w:val="24"/>
          <w:lang w:val="en-US" w:eastAsia="zh-CN"/>
        </w:rPr>
      </w:pPr>
      <w:bookmarkStart w:id="15" w:name="_Toc10067"/>
      <w:r>
        <w:rPr>
          <w:rFonts w:hint="eastAsia" w:ascii="Times New Roman" w:hAnsi="Times New Roman" w:cs="Times New Roman"/>
          <w:b/>
          <w:sz w:val="24"/>
          <w:szCs w:val="24"/>
          <w:lang w:val="en-US" w:eastAsia="zh-CN"/>
        </w:rPr>
        <w:t>Assets Turnover Ratio</w:t>
      </w:r>
      <w:bookmarkEnd w:id="15"/>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The assets turnover ratio assesses how well a company uses its assets to generate revenue or sales, as well as how much it uses those same assets to sustain operations and make a profit.</w:t>
      </w:r>
    </w:p>
    <w:p>
      <w:pPr>
        <w:keepNext w:val="0"/>
        <w:keepLines w:val="0"/>
        <w:pageBreakBefore w:val="0"/>
        <w:widowControl/>
        <w:kinsoku w:val="0"/>
        <w:wordWrap/>
        <w:overflowPunct/>
        <w:topLinePunct w:val="0"/>
        <w:autoSpaceDE w:val="0"/>
        <w:autoSpaceDN w:val="0"/>
        <w:bidi w:val="0"/>
        <w:adjustRightInd w:val="0"/>
        <w:snapToGrid w:val="0"/>
        <w:spacing w:before="69" w:line="360" w:lineRule="auto"/>
        <w:textAlignment w:val="baseline"/>
        <w:rPr>
          <w:rFonts w:hint="default" w:ascii="Times New Roman" w:hAnsi="Times New Roman" w:eastAsia="宋体" w:cs="Times New Roman"/>
          <w:b w:val="0"/>
          <w:bCs w:val="0"/>
          <w:spacing w:val="-1"/>
          <w:sz w:val="24"/>
          <w:szCs w:val="24"/>
          <w:lang w:val="en-US" w:eastAsia="zh-CN"/>
        </w:rPr>
      </w:pPr>
      <w:r>
        <w:rPr>
          <w:rFonts w:hint="default" w:ascii="Times New Roman" w:hAnsi="Times New Roman" w:eastAsia="宋体" w:cs="Times New Roman"/>
          <w:b w:val="0"/>
          <w:bCs w:val="0"/>
          <w:spacing w:val="-1"/>
          <w:sz w:val="24"/>
          <w:szCs w:val="24"/>
          <w:lang w:val="en-US" w:eastAsia="zh-CN"/>
        </w:rPr>
        <w:t>Assets Turnover Ratio= Net Sales/ Average Total Assets</w:t>
      </w:r>
    </w:p>
    <w:tbl>
      <w:tblPr>
        <w:tblStyle w:val="10"/>
        <w:tblW w:w="8943" w:type="dxa"/>
        <w:tblInd w:w="-3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35"/>
        <w:gridCol w:w="3335"/>
        <w:gridCol w:w="38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trPr>
        <w:tc>
          <w:tcPr>
            <w:tcW w:w="1735"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snapToGrid w:val="0"/>
                <w:color w:val="000000"/>
                <w:kern w:val="0"/>
                <w:sz w:val="24"/>
                <w:szCs w:val="24"/>
                <w:lang w:val="en-US" w:eastAsia="zh-CN" w:bidi="ar"/>
              </w:rPr>
              <w:t>Financial Year</w:t>
            </w:r>
          </w:p>
        </w:tc>
        <w:tc>
          <w:tcPr>
            <w:tcW w:w="3335"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snapToGrid w:val="0"/>
                <w:color w:val="000000"/>
                <w:kern w:val="0"/>
                <w:sz w:val="24"/>
                <w:szCs w:val="24"/>
                <w:lang w:val="en-US" w:eastAsia="zh-CN" w:bidi="ar"/>
              </w:rPr>
              <w:t>2021</w:t>
            </w:r>
          </w:p>
        </w:tc>
        <w:tc>
          <w:tcPr>
            <w:tcW w:w="3873"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snapToGrid w:val="0"/>
                <w:color w:val="000000"/>
                <w:kern w:val="0"/>
                <w:sz w:val="24"/>
                <w:szCs w:val="24"/>
                <w:lang w:val="en-US" w:eastAsia="zh-CN" w:bidi="ar"/>
              </w:rPr>
              <w:t>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trPr>
        <w:tc>
          <w:tcPr>
            <w:tcW w:w="1735"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Net Sales</w:t>
            </w:r>
          </w:p>
        </w:tc>
        <w:tc>
          <w:tcPr>
            <w:tcW w:w="3335" w:type="dxa"/>
            <w:vAlign w:val="center"/>
          </w:tcPr>
          <w:p>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29,060,600</w:t>
            </w:r>
          </w:p>
        </w:tc>
        <w:tc>
          <w:tcPr>
            <w:tcW w:w="3873"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23,518,00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trPr>
        <w:tc>
          <w:tcPr>
            <w:tcW w:w="1735"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snapToGrid w:val="0"/>
                <w:color w:val="000000"/>
                <w:kern w:val="0"/>
                <w:sz w:val="24"/>
                <w:szCs w:val="24"/>
                <w:lang w:val="en-US" w:eastAsia="zh-CN" w:bidi="ar"/>
              </w:rPr>
            </w:pPr>
            <w:r>
              <w:rPr>
                <w:rFonts w:hint="default" w:ascii="Times New Roman" w:hAnsi="Times New Roman" w:eastAsia="宋体" w:cs="Times New Roman"/>
                <w:snapToGrid w:val="0"/>
                <w:color w:val="000000"/>
                <w:kern w:val="0"/>
                <w:sz w:val="24"/>
                <w:szCs w:val="24"/>
                <w:lang w:val="en-US" w:eastAsia="zh-CN" w:bidi="ar"/>
              </w:rPr>
              <w:t>Average Total Assets</w:t>
            </w:r>
          </w:p>
        </w:tc>
        <w:tc>
          <w:tcPr>
            <w:tcW w:w="3335"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(31392.6+29374.5)/2=30383.55</w:t>
            </w:r>
          </w:p>
        </w:tc>
        <w:tc>
          <w:tcPr>
            <w:tcW w:w="3873"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(29374.5+19219.6)/2=24297.05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8" w:hRule="atLeast"/>
        </w:trPr>
        <w:tc>
          <w:tcPr>
            <w:tcW w:w="1735"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snapToGrid w:val="0"/>
                <w:color w:val="000000"/>
                <w:kern w:val="0"/>
                <w:sz w:val="24"/>
                <w:szCs w:val="24"/>
                <w:lang w:val="en-US" w:eastAsia="zh-CN" w:bidi="ar"/>
              </w:rPr>
            </w:pPr>
            <w:r>
              <w:rPr>
                <w:rFonts w:hint="default" w:ascii="Times New Roman" w:hAnsi="Times New Roman" w:eastAsia="宋体" w:cs="Times New Roman"/>
                <w:snapToGrid w:val="0"/>
                <w:color w:val="000000"/>
                <w:kern w:val="0"/>
                <w:sz w:val="24"/>
                <w:szCs w:val="24"/>
                <w:lang w:val="en-US" w:eastAsia="zh-CN" w:bidi="ar"/>
              </w:rPr>
              <w:t>Accounts Turnover Ratio</w:t>
            </w:r>
          </w:p>
        </w:tc>
        <w:tc>
          <w:tcPr>
            <w:tcW w:w="3335"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0.96</w:t>
            </w:r>
          </w:p>
        </w:tc>
        <w:tc>
          <w:tcPr>
            <w:tcW w:w="3873"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0.97</w:t>
            </w:r>
          </w:p>
        </w:tc>
      </w:tr>
    </w:tbl>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Although it decreased between 2020 and 2021, Starbucks' assets turnover ratio was still greater in 2021 than the 0.89 industry average for consumer discretionary goods. Due to the slowdown in asset turnover, which also impacted the company's sales capacity, asset utilization efficiency has declined. The decrease in sales brought on by COVID-19 is the cause of the lower asset turnover.</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Yet, if assets exceeded revenues, it can mean that the company has a large amount of inventories or assets that aren't being used to create revenue.</w:t>
      </w:r>
    </w:p>
    <w:p>
      <w:pPr>
        <w:pStyle w:val="4"/>
        <w:keepNext/>
        <w:keepLines/>
        <w:pageBreakBefore w:val="0"/>
        <w:widowControl w:val="0"/>
        <w:numPr>
          <w:ilvl w:val="2"/>
          <w:numId w:val="1"/>
        </w:numPr>
        <w:kinsoku/>
        <w:wordWrap/>
        <w:overflowPunct/>
        <w:topLinePunct w:val="0"/>
        <w:autoSpaceDE/>
        <w:autoSpaceDN/>
        <w:bidi w:val="0"/>
        <w:adjustRightInd/>
        <w:snapToGrid/>
        <w:spacing w:before="0" w:after="0" w:line="360" w:lineRule="auto"/>
        <w:textAlignment w:val="auto"/>
        <w:rPr>
          <w:rFonts w:hint="eastAsia" w:ascii="Times New Roman" w:hAnsi="Times New Roman" w:cs="Times New Roman"/>
          <w:b/>
          <w:sz w:val="24"/>
          <w:szCs w:val="24"/>
          <w:lang w:val="en-US" w:eastAsia="zh-CN"/>
        </w:rPr>
      </w:pPr>
      <w:bookmarkStart w:id="16" w:name="_Toc12765"/>
      <w:r>
        <w:rPr>
          <w:rFonts w:hint="eastAsia" w:ascii="Times New Roman" w:hAnsi="Times New Roman" w:cs="Times New Roman"/>
          <w:b/>
          <w:sz w:val="24"/>
          <w:szCs w:val="24"/>
          <w:lang w:val="en-US" w:eastAsia="zh-CN"/>
        </w:rPr>
        <w:t>Capital Turnover Ratio</w:t>
      </w:r>
      <w:bookmarkEnd w:id="16"/>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C</w:t>
      </w:r>
      <w:r>
        <w:rPr>
          <w:rFonts w:hint="default" w:ascii="Times New Roman" w:hAnsi="Times New Roman" w:cs="Times New Roman"/>
          <w:b w:val="0"/>
          <w:bCs w:val="0"/>
          <w:sz w:val="24"/>
          <w:szCs w:val="24"/>
          <w:lang w:val="en-US" w:eastAsia="zh-CN"/>
        </w:rPr>
        <w:t xml:space="preserve">apital turnover </w:t>
      </w:r>
      <w:r>
        <w:rPr>
          <w:rFonts w:hint="eastAsia" w:ascii="Times New Roman" w:hAnsi="Times New Roman" w:cs="Times New Roman"/>
          <w:b w:val="0"/>
          <w:bCs w:val="0"/>
          <w:sz w:val="24"/>
          <w:szCs w:val="24"/>
          <w:lang w:val="en-US" w:eastAsia="zh-CN"/>
        </w:rPr>
        <w:t xml:space="preserve">is a financial ratio that </w:t>
      </w:r>
      <w:r>
        <w:rPr>
          <w:rFonts w:hint="default" w:ascii="Times New Roman" w:hAnsi="Times New Roman" w:cs="Times New Roman"/>
          <w:b w:val="0"/>
          <w:bCs w:val="0"/>
          <w:sz w:val="24"/>
          <w:szCs w:val="24"/>
          <w:lang w:val="en-US" w:eastAsia="zh-CN"/>
        </w:rPr>
        <w:t>gauges how well a business may use equity money to boost sales.</w:t>
      </w:r>
    </w:p>
    <w:p>
      <w:pPr>
        <w:keepNext w:val="0"/>
        <w:keepLines w:val="0"/>
        <w:pageBreakBefore w:val="0"/>
        <w:widowControl/>
        <w:kinsoku w:val="0"/>
        <w:wordWrap/>
        <w:overflowPunct/>
        <w:topLinePunct w:val="0"/>
        <w:autoSpaceDE w:val="0"/>
        <w:autoSpaceDN w:val="0"/>
        <w:bidi w:val="0"/>
        <w:adjustRightInd w:val="0"/>
        <w:snapToGrid w:val="0"/>
        <w:spacing w:before="69" w:line="360" w:lineRule="auto"/>
        <w:textAlignment w:val="baseline"/>
        <w:rPr>
          <w:rFonts w:hint="default" w:ascii="Times New Roman" w:hAnsi="Times New Roman" w:eastAsia="宋体" w:cs="Times New Roman"/>
          <w:b w:val="0"/>
          <w:bCs w:val="0"/>
          <w:spacing w:val="-1"/>
          <w:sz w:val="24"/>
          <w:szCs w:val="24"/>
          <w:lang w:val="en-US" w:eastAsia="zh-CN"/>
        </w:rPr>
      </w:pPr>
      <w:r>
        <w:rPr>
          <w:rFonts w:hint="default" w:ascii="Times New Roman" w:hAnsi="Times New Roman" w:eastAsia="宋体" w:cs="Times New Roman"/>
          <w:b w:val="0"/>
          <w:bCs w:val="0"/>
          <w:spacing w:val="-1"/>
          <w:sz w:val="24"/>
          <w:szCs w:val="24"/>
          <w:lang w:val="en-US" w:eastAsia="zh-CN"/>
        </w:rPr>
        <w:t>Capital Turnover Ratio= Total Sales/ Shareholder’s Equity</w:t>
      </w: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37"/>
        <w:gridCol w:w="1643"/>
        <w:gridCol w:w="15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37"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snapToGrid w:val="0"/>
                <w:color w:val="000000"/>
                <w:kern w:val="0"/>
                <w:sz w:val="24"/>
                <w:szCs w:val="24"/>
                <w:lang w:val="en-US" w:eastAsia="zh-CN" w:bidi="ar"/>
              </w:rPr>
              <w:t>Financial Year</w:t>
            </w:r>
          </w:p>
        </w:tc>
        <w:tc>
          <w:tcPr>
            <w:tcW w:w="1643"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snapToGrid w:val="0"/>
                <w:color w:val="000000"/>
                <w:kern w:val="0"/>
                <w:sz w:val="24"/>
                <w:szCs w:val="24"/>
                <w:lang w:val="en-US" w:eastAsia="zh-CN" w:bidi="ar"/>
              </w:rPr>
              <w:t>2021</w:t>
            </w:r>
          </w:p>
        </w:tc>
        <w:tc>
          <w:tcPr>
            <w:tcW w:w="1510"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snapToGrid w:val="0"/>
                <w:color w:val="000000"/>
                <w:kern w:val="0"/>
                <w:sz w:val="24"/>
                <w:szCs w:val="24"/>
                <w:lang w:val="en-US" w:eastAsia="zh-CN" w:bidi="ar"/>
              </w:rPr>
              <w:t>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jc w:val="center"/>
        </w:trPr>
        <w:tc>
          <w:tcPr>
            <w:tcW w:w="2637"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Total Sales</w:t>
            </w:r>
          </w:p>
        </w:tc>
        <w:tc>
          <w:tcPr>
            <w:tcW w:w="1643" w:type="dxa"/>
            <w:vAlign w:val="center"/>
          </w:tcPr>
          <w:p>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29060.6</w:t>
            </w:r>
          </w:p>
        </w:tc>
        <w:tc>
          <w:tcPr>
            <w:tcW w:w="1510"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23518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37"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snapToGrid w:val="0"/>
                <w:color w:val="000000"/>
                <w:kern w:val="0"/>
                <w:sz w:val="24"/>
                <w:szCs w:val="24"/>
                <w:lang w:val="en-US" w:eastAsia="zh-CN" w:bidi="ar"/>
              </w:rPr>
            </w:pPr>
            <w:r>
              <w:rPr>
                <w:rFonts w:hint="default" w:ascii="Times New Roman" w:hAnsi="Times New Roman" w:eastAsia="宋体" w:cs="Times New Roman"/>
                <w:snapToGrid w:val="0"/>
                <w:color w:val="000000"/>
                <w:kern w:val="0"/>
                <w:sz w:val="24"/>
                <w:szCs w:val="24"/>
                <w:lang w:val="en-US" w:eastAsia="zh-CN" w:bidi="ar"/>
              </w:rPr>
              <w:t>Shareholder’s Equity</w:t>
            </w:r>
          </w:p>
        </w:tc>
        <w:tc>
          <w:tcPr>
            <w:tcW w:w="1643"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-5321.2</w:t>
            </w:r>
          </w:p>
        </w:tc>
        <w:tc>
          <w:tcPr>
            <w:tcW w:w="1510"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-7805.1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37"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snapToGrid w:val="0"/>
                <w:color w:val="000000"/>
                <w:kern w:val="0"/>
                <w:sz w:val="24"/>
                <w:szCs w:val="24"/>
                <w:lang w:val="en-US" w:eastAsia="zh-CN" w:bidi="ar"/>
              </w:rPr>
            </w:pPr>
            <w:r>
              <w:rPr>
                <w:rFonts w:hint="default" w:ascii="Times New Roman" w:hAnsi="Times New Roman" w:eastAsia="宋体" w:cs="Times New Roman"/>
                <w:snapToGrid w:val="0"/>
                <w:color w:val="000000"/>
                <w:kern w:val="0"/>
                <w:sz w:val="24"/>
                <w:szCs w:val="24"/>
                <w:lang w:val="en-US" w:eastAsia="zh-CN" w:bidi="ar"/>
              </w:rPr>
              <w:t>Capital Turnover Ratio</w:t>
            </w:r>
          </w:p>
        </w:tc>
        <w:tc>
          <w:tcPr>
            <w:tcW w:w="1643"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val="0"/>
                <w:bCs w:val="0"/>
                <w:sz w:val="24"/>
                <w:szCs w:val="24"/>
                <w:vertAlign w:val="baseline"/>
                <w:lang w:val="en-US" w:eastAsia="zh-CN"/>
              </w:rPr>
            </w:pPr>
            <w:r>
              <w:rPr>
                <w:rFonts w:hint="eastAsia" w:ascii="Times New Roman" w:hAnsi="Times New Roman" w:eastAsia="宋体" w:cs="Times New Roman"/>
                <w:b w:val="0"/>
                <w:bCs w:val="0"/>
                <w:sz w:val="24"/>
                <w:szCs w:val="24"/>
                <w:vertAlign w:val="baseline"/>
                <w:lang w:val="en-US" w:eastAsia="zh-CN"/>
              </w:rPr>
              <w:t>-</w:t>
            </w:r>
            <w:r>
              <w:rPr>
                <w:rFonts w:hint="default" w:ascii="Times New Roman" w:hAnsi="Times New Roman" w:eastAsia="宋体" w:cs="Times New Roman"/>
                <w:b w:val="0"/>
                <w:bCs w:val="0"/>
                <w:sz w:val="24"/>
                <w:szCs w:val="24"/>
                <w:vertAlign w:val="baseline"/>
                <w:lang w:val="en-US" w:eastAsia="zh-CN"/>
              </w:rPr>
              <w:t>5.46</w:t>
            </w:r>
          </w:p>
        </w:tc>
        <w:tc>
          <w:tcPr>
            <w:tcW w:w="1510"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val="0"/>
                <w:bCs w:val="0"/>
                <w:sz w:val="24"/>
                <w:szCs w:val="24"/>
                <w:vertAlign w:val="baseline"/>
                <w:lang w:val="en-US" w:eastAsia="zh-CN"/>
              </w:rPr>
            </w:pPr>
            <w:r>
              <w:rPr>
                <w:rFonts w:hint="eastAsia" w:ascii="Times New Roman" w:hAnsi="Times New Roman" w:eastAsia="宋体" w:cs="Times New Roman"/>
                <w:b w:val="0"/>
                <w:bCs w:val="0"/>
                <w:sz w:val="24"/>
                <w:szCs w:val="24"/>
                <w:vertAlign w:val="baseline"/>
                <w:lang w:val="en-US" w:eastAsia="zh-CN"/>
              </w:rPr>
              <w:t>-</w:t>
            </w:r>
            <w:r>
              <w:rPr>
                <w:rFonts w:hint="default" w:ascii="Times New Roman" w:hAnsi="Times New Roman" w:eastAsia="宋体" w:cs="Times New Roman"/>
                <w:b w:val="0"/>
                <w:bCs w:val="0"/>
                <w:sz w:val="24"/>
                <w:szCs w:val="24"/>
                <w:vertAlign w:val="baseline"/>
                <w:lang w:val="en-US" w:eastAsia="zh-CN"/>
              </w:rPr>
              <w:t>3.01</w:t>
            </w:r>
          </w:p>
        </w:tc>
      </w:tr>
    </w:tbl>
    <w:p>
      <w:pPr>
        <w:keepNext w:val="0"/>
        <w:keepLines w:val="0"/>
        <w:pageBreakBefore w:val="0"/>
        <w:widowControl/>
        <w:kinsoku w:val="0"/>
        <w:wordWrap/>
        <w:overflowPunct/>
        <w:topLinePunct w:val="0"/>
        <w:autoSpaceDE w:val="0"/>
        <w:autoSpaceDN w:val="0"/>
        <w:bidi w:val="0"/>
        <w:adjustRightInd w:val="0"/>
        <w:snapToGrid w:val="0"/>
        <w:spacing w:before="69" w:line="360" w:lineRule="auto"/>
        <w:textAlignment w:val="baseline"/>
        <w:rPr>
          <w:rFonts w:hint="default" w:ascii="Times New Roman" w:hAnsi="Times New Roman" w:eastAsia="宋体" w:cs="Times New Roman"/>
          <w:b w:val="0"/>
          <w:bCs w:val="0"/>
          <w:spacing w:val="-1"/>
          <w:sz w:val="24"/>
          <w:szCs w:val="24"/>
          <w:lang w:val="en-US" w:eastAsia="zh-CN"/>
        </w:rPr>
      </w:pPr>
      <w:r>
        <w:rPr>
          <w:rFonts w:hint="default" w:ascii="Times New Roman" w:hAnsi="Times New Roman" w:eastAsia="宋体" w:cs="Times New Roman"/>
          <w:b w:val="0"/>
          <w:bCs w:val="0"/>
          <w:spacing w:val="-1"/>
          <w:sz w:val="24"/>
          <w:szCs w:val="24"/>
          <w:lang w:val="en-US" w:eastAsia="zh-CN"/>
        </w:rPr>
        <w:t>When the shareholders' equity balance is negative, liabilities exceed assets.</w:t>
      </w:r>
    </w:p>
    <w:p>
      <w:pPr>
        <w:keepNext w:val="0"/>
        <w:keepLines w:val="0"/>
        <w:pageBreakBefore w:val="0"/>
        <w:widowControl/>
        <w:kinsoku w:val="0"/>
        <w:wordWrap/>
        <w:overflowPunct/>
        <w:topLinePunct w:val="0"/>
        <w:autoSpaceDE w:val="0"/>
        <w:autoSpaceDN w:val="0"/>
        <w:bidi w:val="0"/>
        <w:adjustRightInd w:val="0"/>
        <w:snapToGrid w:val="0"/>
        <w:spacing w:before="69" w:line="360" w:lineRule="auto"/>
        <w:textAlignment w:val="baseline"/>
        <w:rPr>
          <w:rFonts w:hint="default" w:ascii="Times New Roman" w:hAnsi="Times New Roman" w:eastAsia="宋体" w:cs="Times New Roman"/>
          <w:b w:val="0"/>
          <w:bCs w:val="0"/>
          <w:spacing w:val="-1"/>
          <w:sz w:val="24"/>
          <w:szCs w:val="24"/>
          <w:lang w:val="en-US" w:eastAsia="zh-CN"/>
        </w:rPr>
      </w:pPr>
      <w:r>
        <w:rPr>
          <w:rFonts w:hint="default" w:ascii="Times New Roman" w:hAnsi="Times New Roman" w:eastAsia="宋体" w:cs="Times New Roman"/>
          <w:b w:val="0"/>
          <w:bCs w:val="0"/>
          <w:spacing w:val="-1"/>
          <w:sz w:val="24"/>
          <w:szCs w:val="24"/>
          <w:lang w:val="en-US" w:eastAsia="zh-CN"/>
        </w:rPr>
        <w:t>Between 2020 and 2021, Starbucks' capital turnover ratio drastically decreased, demonstrating that neither its own capital nor the money contributed by shareholders is being fully utilized.</w:t>
      </w:r>
    </w:p>
    <w:p>
      <w:pPr>
        <w:pStyle w:val="4"/>
        <w:keepNext/>
        <w:keepLines/>
        <w:pageBreakBefore w:val="0"/>
        <w:widowControl w:val="0"/>
        <w:numPr>
          <w:ilvl w:val="2"/>
          <w:numId w:val="1"/>
        </w:numPr>
        <w:kinsoku/>
        <w:wordWrap/>
        <w:overflowPunct/>
        <w:topLinePunct w:val="0"/>
        <w:autoSpaceDE/>
        <w:autoSpaceDN/>
        <w:bidi w:val="0"/>
        <w:adjustRightInd/>
        <w:snapToGrid/>
        <w:spacing w:before="0" w:after="0" w:line="360" w:lineRule="auto"/>
        <w:textAlignment w:val="auto"/>
        <w:rPr>
          <w:rFonts w:hint="eastAsia" w:ascii="Times New Roman" w:hAnsi="Times New Roman" w:cs="Times New Roman"/>
          <w:b/>
          <w:sz w:val="24"/>
          <w:szCs w:val="24"/>
          <w:lang w:val="en-US" w:eastAsia="zh-CN"/>
        </w:rPr>
      </w:pPr>
      <w:bookmarkStart w:id="17" w:name="_Toc3627"/>
      <w:r>
        <w:rPr>
          <w:rFonts w:hint="eastAsia" w:ascii="Times New Roman" w:hAnsi="Times New Roman" w:cs="Times New Roman"/>
          <w:b/>
          <w:sz w:val="24"/>
          <w:szCs w:val="24"/>
          <w:lang w:val="en-US" w:eastAsia="zh-CN"/>
        </w:rPr>
        <w:t>Inventory Turnover Ratio</w:t>
      </w:r>
      <w:bookmarkEnd w:id="17"/>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69" w:line="360" w:lineRule="auto"/>
        <w:ind w:leftChars="0"/>
        <w:textAlignment w:val="baseline"/>
        <w:rPr>
          <w:rFonts w:hint="default" w:ascii="Times New Roman" w:hAnsi="Times New Roman" w:eastAsia="宋体" w:cs="Times New Roman"/>
          <w:b w:val="0"/>
          <w:bCs w:val="0"/>
          <w:spacing w:val="-1"/>
          <w:sz w:val="24"/>
          <w:szCs w:val="24"/>
          <w:lang w:val="en-US" w:eastAsia="zh-CN"/>
        </w:rPr>
      </w:pPr>
      <w:r>
        <w:rPr>
          <w:rFonts w:hint="default" w:ascii="Times New Roman" w:hAnsi="Times New Roman" w:eastAsia="宋体" w:cs="Times New Roman"/>
          <w:b w:val="0"/>
          <w:bCs w:val="0"/>
          <w:spacing w:val="-1"/>
          <w:sz w:val="24"/>
          <w:szCs w:val="24"/>
          <w:lang w:val="en-US" w:eastAsia="zh-CN"/>
        </w:rPr>
        <w:t>Inventory turnover is thought to be the best way for measuring the efficiency ratio. This is because it provides accurate and timely information about how effectively a business is using the products it buys.</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69" w:line="360" w:lineRule="auto"/>
        <w:ind w:leftChars="0"/>
        <w:textAlignment w:val="baseline"/>
        <w:rPr>
          <w:rFonts w:hint="default" w:ascii="Times New Roman" w:hAnsi="Times New Roman" w:eastAsia="宋体" w:cs="Times New Roman"/>
          <w:b w:val="0"/>
          <w:bCs w:val="0"/>
          <w:spacing w:val="-1"/>
          <w:sz w:val="24"/>
          <w:szCs w:val="24"/>
          <w:lang w:val="en-US" w:eastAsia="zh-CN"/>
        </w:rPr>
      </w:pPr>
      <w:r>
        <w:rPr>
          <w:rFonts w:hint="default" w:ascii="Times New Roman" w:hAnsi="Times New Roman" w:eastAsia="宋体" w:cs="Times New Roman"/>
          <w:b w:val="0"/>
          <w:bCs w:val="0"/>
          <w:spacing w:val="-1"/>
          <w:sz w:val="24"/>
          <w:szCs w:val="24"/>
          <w:lang w:val="en-US" w:eastAsia="zh-CN"/>
        </w:rPr>
        <w:t>Inventory Turnover Ratio= Cost of Goods Sold/Average Inventory</w:t>
      </w: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23"/>
        <w:gridCol w:w="2934"/>
        <w:gridCol w:w="28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23"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snapToGrid w:val="0"/>
                <w:color w:val="000000"/>
                <w:kern w:val="0"/>
                <w:sz w:val="24"/>
                <w:szCs w:val="24"/>
                <w:lang w:val="en-US" w:eastAsia="zh-CN" w:bidi="ar"/>
              </w:rPr>
              <w:t>Financial Year</w:t>
            </w:r>
          </w:p>
        </w:tc>
        <w:tc>
          <w:tcPr>
            <w:tcW w:w="2934"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snapToGrid w:val="0"/>
                <w:color w:val="000000"/>
                <w:kern w:val="0"/>
                <w:sz w:val="24"/>
                <w:szCs w:val="24"/>
                <w:lang w:val="en-US" w:eastAsia="zh-CN" w:bidi="ar"/>
              </w:rPr>
              <w:t>2021</w:t>
            </w:r>
          </w:p>
        </w:tc>
        <w:tc>
          <w:tcPr>
            <w:tcW w:w="2849"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snapToGrid w:val="0"/>
                <w:color w:val="000000"/>
                <w:kern w:val="0"/>
                <w:sz w:val="24"/>
                <w:szCs w:val="24"/>
                <w:lang w:val="en-US" w:eastAsia="zh-CN" w:bidi="ar"/>
              </w:rPr>
              <w:t>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jc w:val="center"/>
        </w:trPr>
        <w:tc>
          <w:tcPr>
            <w:tcW w:w="2723"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Cost of Goods Sold</w:t>
            </w:r>
          </w:p>
        </w:tc>
        <w:tc>
          <w:tcPr>
            <w:tcW w:w="2934" w:type="dxa"/>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20,669,600</w:t>
            </w:r>
          </w:p>
        </w:tc>
        <w:tc>
          <w:tcPr>
            <w:tcW w:w="2849"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18,458,900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23"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snapToGrid w:val="0"/>
                <w:color w:val="000000"/>
                <w:kern w:val="0"/>
                <w:sz w:val="24"/>
                <w:szCs w:val="24"/>
                <w:lang w:val="en-US" w:eastAsia="zh-CN" w:bidi="ar"/>
              </w:rPr>
            </w:pPr>
            <w:r>
              <w:rPr>
                <w:rFonts w:hint="default" w:ascii="Times New Roman" w:hAnsi="Times New Roman" w:eastAsia="宋体" w:cs="Times New Roman"/>
                <w:snapToGrid w:val="0"/>
                <w:color w:val="000000"/>
                <w:kern w:val="0"/>
                <w:sz w:val="24"/>
                <w:szCs w:val="24"/>
                <w:lang w:val="en-US" w:eastAsia="zh-CN" w:bidi="ar"/>
              </w:rPr>
              <w:t>Average Inventory</w:t>
            </w:r>
          </w:p>
        </w:tc>
        <w:tc>
          <w:tcPr>
            <w:tcW w:w="2934"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(1603.9+1551.4)/2=1577.65</w:t>
            </w:r>
          </w:p>
        </w:tc>
        <w:tc>
          <w:tcPr>
            <w:tcW w:w="2849"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(1551.4+1529.4)/2=1540.4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23"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snapToGrid w:val="0"/>
                <w:color w:val="000000"/>
                <w:kern w:val="0"/>
                <w:sz w:val="24"/>
                <w:szCs w:val="24"/>
                <w:lang w:val="en-US" w:eastAsia="zh-CN" w:bidi="ar"/>
              </w:rPr>
            </w:pPr>
            <w:r>
              <w:rPr>
                <w:rFonts w:hint="default" w:ascii="Times New Roman" w:hAnsi="Times New Roman" w:eastAsia="宋体" w:cs="Times New Roman"/>
                <w:snapToGrid w:val="0"/>
                <w:color w:val="000000"/>
                <w:kern w:val="0"/>
                <w:sz w:val="24"/>
                <w:szCs w:val="24"/>
                <w:lang w:val="en-US" w:eastAsia="zh-CN" w:bidi="ar"/>
              </w:rPr>
              <w:t>Inventory Turnover Ratio</w:t>
            </w:r>
          </w:p>
        </w:tc>
        <w:tc>
          <w:tcPr>
            <w:tcW w:w="2934"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13.1</w:t>
            </w:r>
          </w:p>
        </w:tc>
        <w:tc>
          <w:tcPr>
            <w:tcW w:w="2849"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11.9</w:t>
            </w:r>
          </w:p>
        </w:tc>
      </w:tr>
    </w:tbl>
    <w:p>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69" w:line="360" w:lineRule="auto"/>
        <w:ind w:leftChars="0"/>
        <w:jc w:val="both"/>
        <w:textAlignment w:val="baseline"/>
        <w:rPr>
          <w:rFonts w:hint="default" w:ascii="Times New Roman" w:hAnsi="Times New Roman" w:eastAsia="宋体" w:cs="Times New Roman"/>
          <w:b w:val="0"/>
          <w:bCs w:val="0"/>
          <w:spacing w:val="-1"/>
          <w:sz w:val="24"/>
          <w:szCs w:val="24"/>
          <w:lang w:val="en-US" w:eastAsia="zh-CN"/>
        </w:rPr>
      </w:pPr>
      <w:r>
        <w:rPr>
          <w:rFonts w:hint="default" w:ascii="Times New Roman" w:hAnsi="Times New Roman" w:eastAsia="宋体" w:cs="Times New Roman"/>
          <w:b w:val="0"/>
          <w:bCs w:val="0"/>
          <w:spacing w:val="-1"/>
          <w:sz w:val="24"/>
          <w:szCs w:val="24"/>
          <w:lang w:val="en-US" w:eastAsia="zh-CN"/>
        </w:rPr>
        <w:t>The inventory turnover at Starbucks increased between 2020 and 2021. Compared to the 6.88 recorded by the consumer discretionary industry, Starbucks' inventory turnover was higher. This shows the company's strong sales, but it can also indicate that there aren't enough stocks on hand.</w:t>
      </w:r>
    </w:p>
    <w:p>
      <w:pPr>
        <w:pStyle w:val="4"/>
        <w:keepNext/>
        <w:keepLines/>
        <w:pageBreakBefore w:val="0"/>
        <w:widowControl w:val="0"/>
        <w:numPr>
          <w:ilvl w:val="2"/>
          <w:numId w:val="1"/>
        </w:numPr>
        <w:kinsoku/>
        <w:wordWrap/>
        <w:overflowPunct/>
        <w:topLinePunct w:val="0"/>
        <w:autoSpaceDE/>
        <w:autoSpaceDN/>
        <w:bidi w:val="0"/>
        <w:adjustRightInd/>
        <w:snapToGrid/>
        <w:spacing w:before="0" w:after="0" w:line="360" w:lineRule="auto"/>
        <w:textAlignment w:val="auto"/>
        <w:rPr>
          <w:rFonts w:hint="eastAsia" w:ascii="Times New Roman" w:hAnsi="Times New Roman" w:cs="Times New Roman"/>
          <w:b/>
          <w:sz w:val="24"/>
          <w:szCs w:val="24"/>
          <w:lang w:val="en-US" w:eastAsia="zh-CN"/>
        </w:rPr>
      </w:pPr>
      <w:bookmarkStart w:id="18" w:name="_Toc32427"/>
      <w:r>
        <w:rPr>
          <w:rFonts w:hint="eastAsia" w:ascii="Times New Roman" w:hAnsi="Times New Roman" w:cs="Times New Roman"/>
          <w:b/>
          <w:sz w:val="24"/>
          <w:szCs w:val="24"/>
          <w:lang w:val="en-US" w:eastAsia="zh-CN"/>
        </w:rPr>
        <w:t>Working Capital Turnover Ratio</w:t>
      </w:r>
      <w:bookmarkEnd w:id="18"/>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69" w:line="360" w:lineRule="auto"/>
        <w:ind w:leftChars="0"/>
        <w:jc w:val="both"/>
        <w:textAlignment w:val="baseline"/>
        <w:rPr>
          <w:rFonts w:hint="default" w:ascii="Times New Roman" w:hAnsi="Times New Roman" w:eastAsia="宋体" w:cs="Times New Roman"/>
          <w:b w:val="0"/>
          <w:bCs w:val="0"/>
          <w:spacing w:val="-1"/>
          <w:sz w:val="24"/>
          <w:szCs w:val="24"/>
          <w:lang w:val="en-US" w:eastAsia="zh-CN"/>
        </w:rPr>
      </w:pPr>
      <w:r>
        <w:rPr>
          <w:rFonts w:hint="default" w:ascii="Times New Roman" w:hAnsi="Times New Roman" w:eastAsia="宋体" w:cs="Times New Roman"/>
          <w:b w:val="0"/>
          <w:bCs w:val="0"/>
          <w:spacing w:val="-1"/>
          <w:sz w:val="24"/>
          <w:szCs w:val="24"/>
          <w:lang w:val="en-US" w:eastAsia="zh-CN"/>
        </w:rPr>
        <w:t>Working capital turnover measures the relationship between the resources used to fund an organization's operations and the revenue required for a business to generate a profit.</w:t>
      </w:r>
    </w:p>
    <w:p>
      <w:pPr>
        <w:keepNext w:val="0"/>
        <w:keepLines w:val="0"/>
        <w:pageBreakBefore w:val="0"/>
        <w:kinsoku w:val="0"/>
        <w:wordWrap/>
        <w:overflowPunct/>
        <w:topLinePunct w:val="0"/>
        <w:autoSpaceDE w:val="0"/>
        <w:autoSpaceDN w:val="0"/>
        <w:bidi w:val="0"/>
        <w:adjustRightInd w:val="0"/>
        <w:snapToGrid w:val="0"/>
        <w:spacing w:before="69" w:line="360" w:lineRule="auto"/>
        <w:textAlignment w:val="baseline"/>
        <w:rPr>
          <w:rFonts w:hint="default" w:ascii="Times New Roman" w:hAnsi="Times New Roman" w:eastAsia="宋体" w:cs="Times New Roman"/>
          <w:b w:val="0"/>
          <w:bCs w:val="0"/>
          <w:spacing w:val="-1"/>
          <w:sz w:val="24"/>
          <w:szCs w:val="24"/>
          <w:lang w:val="en-US" w:eastAsia="zh-CN"/>
        </w:rPr>
      </w:pPr>
      <w:r>
        <w:rPr>
          <w:rFonts w:hint="default" w:ascii="Times New Roman" w:hAnsi="Times New Roman" w:eastAsia="宋体" w:cs="Times New Roman"/>
          <w:b w:val="0"/>
          <w:bCs w:val="0"/>
          <w:spacing w:val="-1"/>
          <w:sz w:val="24"/>
          <w:szCs w:val="24"/>
          <w:lang w:val="en-US" w:eastAsia="zh-CN"/>
        </w:rPr>
        <w:t>Working Capital Turnover Ratio= Sales/ Working Capital</w:t>
      </w:r>
    </w:p>
    <w:p>
      <w:pPr>
        <w:keepNext w:val="0"/>
        <w:keepLines w:val="0"/>
        <w:pageBreakBefore w:val="0"/>
        <w:kinsoku w:val="0"/>
        <w:wordWrap/>
        <w:overflowPunct/>
        <w:topLinePunct w:val="0"/>
        <w:autoSpaceDE w:val="0"/>
        <w:autoSpaceDN w:val="0"/>
        <w:bidi w:val="0"/>
        <w:adjustRightInd w:val="0"/>
        <w:snapToGrid w:val="0"/>
        <w:spacing w:before="69" w:line="360" w:lineRule="auto"/>
        <w:textAlignment w:val="baseline"/>
        <w:rPr>
          <w:rFonts w:hint="default" w:ascii="Times New Roman" w:hAnsi="Times New Roman" w:eastAsia="宋体" w:cs="Times New Roman"/>
          <w:b w:val="0"/>
          <w:bCs w:val="0"/>
          <w:color w:val="auto"/>
          <w:spacing w:val="-1"/>
          <w:sz w:val="24"/>
          <w:szCs w:val="24"/>
          <w:lang w:val="en-US" w:eastAsia="zh-CN"/>
        </w:rPr>
      </w:pPr>
      <w:r>
        <w:rPr>
          <w:rFonts w:hint="default" w:ascii="Times New Roman" w:hAnsi="Times New Roman" w:eastAsia="宋体" w:cs="Times New Roman"/>
          <w:b w:val="0"/>
          <w:bCs w:val="0"/>
          <w:color w:val="auto"/>
          <w:spacing w:val="-1"/>
          <w:sz w:val="24"/>
          <w:szCs w:val="24"/>
          <w:lang w:val="en-US" w:eastAsia="zh-CN"/>
        </w:rPr>
        <w:t>Working Capital= Current assets- Current Liabilities</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33"/>
        <w:gridCol w:w="2844"/>
        <w:gridCol w:w="28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51"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snapToGrid w:val="0"/>
                <w:color w:val="000000"/>
                <w:kern w:val="0"/>
                <w:sz w:val="24"/>
                <w:szCs w:val="24"/>
                <w:lang w:val="en-US" w:eastAsia="zh-CN" w:bidi="ar"/>
              </w:rPr>
              <w:t>Financial Year</w:t>
            </w:r>
          </w:p>
        </w:tc>
        <w:tc>
          <w:tcPr>
            <w:tcW w:w="2851"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snapToGrid w:val="0"/>
                <w:color w:val="000000"/>
                <w:kern w:val="0"/>
                <w:sz w:val="24"/>
                <w:szCs w:val="24"/>
                <w:lang w:val="en-US" w:eastAsia="zh-CN" w:bidi="ar"/>
              </w:rPr>
              <w:t>2021</w:t>
            </w:r>
          </w:p>
        </w:tc>
        <w:tc>
          <w:tcPr>
            <w:tcW w:w="2851"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snapToGrid w:val="0"/>
                <w:color w:val="000000"/>
                <w:kern w:val="0"/>
                <w:sz w:val="24"/>
                <w:szCs w:val="24"/>
                <w:lang w:val="en-US" w:eastAsia="zh-CN" w:bidi="ar"/>
              </w:rPr>
              <w:t>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2851"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Sales</w:t>
            </w:r>
          </w:p>
        </w:tc>
        <w:tc>
          <w:tcPr>
            <w:tcW w:w="2851" w:type="dxa"/>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29060.6</w:t>
            </w:r>
          </w:p>
        </w:tc>
        <w:tc>
          <w:tcPr>
            <w:tcW w:w="2851"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23518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51"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snapToGrid w:val="0"/>
                <w:color w:val="000000"/>
                <w:kern w:val="0"/>
                <w:sz w:val="24"/>
                <w:szCs w:val="24"/>
                <w:lang w:val="en-US" w:eastAsia="zh-CN" w:bidi="ar"/>
              </w:rPr>
            </w:pPr>
            <w:r>
              <w:rPr>
                <w:rFonts w:hint="default" w:ascii="Times New Roman" w:hAnsi="Times New Roman" w:eastAsia="宋体" w:cs="Times New Roman"/>
                <w:snapToGrid w:val="0"/>
                <w:color w:val="000000"/>
                <w:kern w:val="0"/>
                <w:sz w:val="24"/>
                <w:szCs w:val="24"/>
                <w:lang w:val="en-US" w:eastAsia="zh-CN" w:bidi="ar"/>
              </w:rPr>
              <w:t>Working Capital</w:t>
            </w:r>
          </w:p>
        </w:tc>
        <w:tc>
          <w:tcPr>
            <w:tcW w:w="2851"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9756.4-8151.4=1605</w:t>
            </w:r>
          </w:p>
        </w:tc>
        <w:tc>
          <w:tcPr>
            <w:tcW w:w="2851"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7806.4-7346.8=459.6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51"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snapToGrid w:val="0"/>
                <w:color w:val="000000"/>
                <w:kern w:val="0"/>
                <w:sz w:val="24"/>
                <w:szCs w:val="24"/>
                <w:lang w:val="en-US" w:eastAsia="zh-CN" w:bidi="ar"/>
              </w:rPr>
            </w:pPr>
            <w:r>
              <w:rPr>
                <w:rFonts w:hint="default" w:ascii="Times New Roman" w:hAnsi="Times New Roman" w:eastAsia="宋体" w:cs="Times New Roman"/>
                <w:snapToGrid w:val="0"/>
                <w:color w:val="000000"/>
                <w:kern w:val="0"/>
                <w:sz w:val="24"/>
                <w:szCs w:val="24"/>
                <w:lang w:val="en-US" w:eastAsia="zh-CN" w:bidi="ar"/>
              </w:rPr>
              <w:t>Working Capital Turnover Ratio</w:t>
            </w:r>
          </w:p>
        </w:tc>
        <w:tc>
          <w:tcPr>
            <w:tcW w:w="2851"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18.1</w:t>
            </w:r>
          </w:p>
        </w:tc>
        <w:tc>
          <w:tcPr>
            <w:tcW w:w="2851"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51.1</w:t>
            </w:r>
          </w:p>
        </w:tc>
      </w:tr>
    </w:tbl>
    <w:p>
      <w:pPr>
        <w:keepNext w:val="0"/>
        <w:keepLines w:val="0"/>
        <w:pageBreakBefore w:val="0"/>
        <w:widowControl/>
        <w:kinsoku w:val="0"/>
        <w:wordWrap/>
        <w:overflowPunct/>
        <w:topLinePunct w:val="0"/>
        <w:autoSpaceDE w:val="0"/>
        <w:autoSpaceDN w:val="0"/>
        <w:bidi w:val="0"/>
        <w:adjustRightInd w:val="0"/>
        <w:snapToGrid w:val="0"/>
        <w:spacing w:before="69" w:line="360" w:lineRule="auto"/>
        <w:ind w:left="23"/>
        <w:jc w:val="both"/>
        <w:textAlignment w:val="baseline"/>
        <w:rPr>
          <w:rFonts w:hint="eastAsia" w:ascii="Times New Roman" w:hAnsi="Times New Roman" w:eastAsia="宋体" w:cs="Times New Roman"/>
          <w:b w:val="0"/>
          <w:bCs w:val="0"/>
          <w:sz w:val="24"/>
          <w:szCs w:val="24"/>
          <w:lang w:val="en-US" w:eastAsia="zh-CN"/>
        </w:rPr>
      </w:pPr>
      <w:r>
        <w:rPr>
          <w:rFonts w:hint="eastAsia" w:ascii="Times New Roman" w:hAnsi="Times New Roman" w:eastAsia="宋体" w:cs="Times New Roman"/>
          <w:b w:val="0"/>
          <w:bCs w:val="0"/>
          <w:sz w:val="24"/>
          <w:szCs w:val="24"/>
          <w:lang w:val="en-US" w:eastAsia="zh-CN"/>
        </w:rPr>
        <w:t>This ratio indicates that working capital is being utilized at a lower rate, and although sales may not be enough, they are still higher than the 13.21 for the Consumer Discretionary industry.</w:t>
      </w:r>
    </w:p>
    <w:p>
      <w:pPr>
        <w:pStyle w:val="3"/>
        <w:keepNext/>
        <w:keepLines/>
        <w:pageBreakBefore w:val="0"/>
        <w:widowControl w:val="0"/>
        <w:numPr>
          <w:ilvl w:val="1"/>
          <w:numId w:val="1"/>
        </w:numPr>
        <w:kinsoku/>
        <w:wordWrap/>
        <w:overflowPunct/>
        <w:topLinePunct w:val="0"/>
        <w:autoSpaceDE/>
        <w:autoSpaceDN/>
        <w:bidi w:val="0"/>
        <w:adjustRightInd/>
        <w:snapToGrid/>
        <w:spacing w:before="0" w:after="0" w:line="360" w:lineRule="auto"/>
        <w:textAlignment w:val="auto"/>
        <w:rPr>
          <w:rFonts w:hint="default" w:ascii="Times New Roman" w:hAnsi="Times New Roman" w:cs="Times New Roman"/>
          <w:sz w:val="24"/>
          <w:szCs w:val="24"/>
          <w:lang w:val="en-US" w:eastAsia="zh-CN"/>
        </w:rPr>
      </w:pPr>
      <w:bookmarkStart w:id="19" w:name="_Toc29021"/>
      <w:r>
        <w:rPr>
          <w:rFonts w:hint="default" w:ascii="Times New Roman" w:hAnsi="Times New Roman" w:cs="Times New Roman"/>
          <w:sz w:val="24"/>
          <w:szCs w:val="24"/>
          <w:lang w:val="en-US" w:eastAsia="zh-CN"/>
        </w:rPr>
        <w:t>Solvency Ratios</w:t>
      </w:r>
      <w:bookmarkEnd w:id="19"/>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The company's obligations are broadly explained by the solvency ratios, which also demonstrate whether cash flows can cover fixed costs and interest payments. Assets that are often financed from both inside and outside funding include bonds, bank borrowings, securities convertible into loans, and short-term obligations like overdrafts and accounts payable (Gitman, 2008).</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In a situation where the corporation has little control over the receivables being collected, the employer needs to keep enough cash on hand to handle the short-term volatility that is brought on by this (Fadel and Parkinson, 1978).</w:t>
      </w:r>
    </w:p>
    <w:p>
      <w:pPr>
        <w:pStyle w:val="4"/>
        <w:keepNext/>
        <w:keepLines/>
        <w:pageBreakBefore w:val="0"/>
        <w:widowControl w:val="0"/>
        <w:numPr>
          <w:ilvl w:val="2"/>
          <w:numId w:val="1"/>
        </w:numPr>
        <w:kinsoku/>
        <w:wordWrap/>
        <w:overflowPunct/>
        <w:topLinePunct w:val="0"/>
        <w:autoSpaceDE/>
        <w:autoSpaceDN/>
        <w:bidi w:val="0"/>
        <w:adjustRightInd/>
        <w:snapToGrid/>
        <w:spacing w:before="0" w:after="0" w:line="360" w:lineRule="auto"/>
        <w:textAlignment w:val="auto"/>
        <w:rPr>
          <w:rFonts w:hint="default" w:ascii="Times New Roman" w:hAnsi="Times New Roman" w:cs="Times New Roman"/>
          <w:sz w:val="24"/>
          <w:szCs w:val="24"/>
          <w:lang w:val="en-US" w:eastAsia="zh-CN"/>
        </w:rPr>
      </w:pPr>
      <w:bookmarkStart w:id="20" w:name="_Toc3940"/>
      <w:r>
        <w:rPr>
          <w:rFonts w:hint="default" w:ascii="Times New Roman" w:hAnsi="Times New Roman" w:cs="Times New Roman"/>
          <w:sz w:val="24"/>
          <w:szCs w:val="24"/>
          <w:lang w:val="en-US" w:eastAsia="zh-CN"/>
        </w:rPr>
        <w:t>Debt Ratio</w:t>
      </w:r>
      <w:bookmarkEnd w:id="20"/>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It helps determine organizational leverage by comparing total debt to total assets. The financial resources that the company utilizes to carry out its operational activities should be evaluated.</w:t>
      </w:r>
    </w:p>
    <w:p>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default" w:ascii="Times New Roman" w:hAnsi="Times New Roman" w:eastAsia="宋体" w:cs="Times New Roman"/>
          <w:b w:val="0"/>
          <w:bCs w:val="0"/>
          <w:spacing w:val="-1"/>
          <w:sz w:val="24"/>
          <w:szCs w:val="24"/>
          <w:lang w:val="en-US" w:eastAsia="zh-CN"/>
        </w:rPr>
      </w:pPr>
      <w:r>
        <w:rPr>
          <w:rFonts w:hint="default" w:ascii="Times New Roman" w:hAnsi="Times New Roman" w:eastAsia="宋体" w:cs="Times New Roman"/>
          <w:b w:val="0"/>
          <w:bCs w:val="0"/>
          <w:spacing w:val="-1"/>
          <w:sz w:val="24"/>
          <w:szCs w:val="24"/>
          <w:lang w:val="en-US" w:eastAsia="zh-CN"/>
        </w:rPr>
        <w:t>Debt Ratio= Total Liabilities/ Total Assets</w:t>
      </w:r>
    </w:p>
    <w:p>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default" w:ascii="Times New Roman" w:hAnsi="Times New Roman" w:eastAsia="宋体" w:cs="Times New Roman"/>
          <w:b w:val="0"/>
          <w:bCs w:val="0"/>
          <w:spacing w:val="-1"/>
          <w:sz w:val="24"/>
          <w:szCs w:val="24"/>
          <w:lang w:val="en-US" w:eastAsia="zh-CN"/>
        </w:rPr>
      </w:pPr>
    </w:p>
    <w:p>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default" w:ascii="Times New Roman" w:hAnsi="Times New Roman" w:eastAsia="宋体" w:cs="Times New Roman"/>
          <w:b w:val="0"/>
          <w:bCs w:val="0"/>
          <w:spacing w:val="-1"/>
          <w:sz w:val="24"/>
          <w:szCs w:val="24"/>
          <w:lang w:val="en-US" w:eastAsia="zh-CN"/>
        </w:rPr>
      </w:pPr>
    </w:p>
    <w:p>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default" w:ascii="Times New Roman" w:hAnsi="Times New Roman" w:eastAsia="宋体" w:cs="Times New Roman"/>
          <w:b w:val="0"/>
          <w:bCs w:val="0"/>
          <w:spacing w:val="-1"/>
          <w:sz w:val="24"/>
          <w:szCs w:val="24"/>
          <w:lang w:val="en-US" w:eastAsia="zh-CN"/>
        </w:rPr>
      </w:pP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5"/>
        <w:gridCol w:w="1485"/>
        <w:gridCol w:w="15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95"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snapToGrid w:val="0"/>
                <w:color w:val="000000"/>
                <w:kern w:val="0"/>
                <w:sz w:val="24"/>
                <w:szCs w:val="24"/>
                <w:lang w:val="en-US" w:eastAsia="zh-CN" w:bidi="ar"/>
              </w:rPr>
              <w:t>Financial Year</w:t>
            </w:r>
          </w:p>
        </w:tc>
        <w:tc>
          <w:tcPr>
            <w:tcW w:w="1485"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snapToGrid w:val="0"/>
                <w:color w:val="000000"/>
                <w:kern w:val="0"/>
                <w:sz w:val="24"/>
                <w:szCs w:val="24"/>
                <w:lang w:val="en-US" w:eastAsia="zh-CN" w:bidi="ar"/>
              </w:rPr>
              <w:t>2021</w:t>
            </w:r>
          </w:p>
        </w:tc>
        <w:tc>
          <w:tcPr>
            <w:tcW w:w="1520"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snapToGrid w:val="0"/>
                <w:color w:val="000000"/>
                <w:kern w:val="0"/>
                <w:sz w:val="24"/>
                <w:szCs w:val="24"/>
                <w:lang w:val="en-US" w:eastAsia="zh-CN" w:bidi="ar"/>
              </w:rPr>
              <w:t>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jc w:val="center"/>
        </w:trPr>
        <w:tc>
          <w:tcPr>
            <w:tcW w:w="2295"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Total Liabilities</w:t>
            </w:r>
          </w:p>
        </w:tc>
        <w:tc>
          <w:tcPr>
            <w:tcW w:w="1485" w:type="dxa"/>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36707.1</w:t>
            </w:r>
          </w:p>
        </w:tc>
        <w:tc>
          <w:tcPr>
            <w:tcW w:w="1520"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37173.9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295"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snapToGrid w:val="0"/>
                <w:color w:val="000000"/>
                <w:kern w:val="0"/>
                <w:sz w:val="24"/>
                <w:szCs w:val="24"/>
                <w:lang w:val="en-US" w:eastAsia="zh-CN" w:bidi="ar"/>
              </w:rPr>
            </w:pPr>
            <w:r>
              <w:rPr>
                <w:rFonts w:hint="default" w:ascii="Times New Roman" w:hAnsi="Times New Roman" w:eastAsia="宋体" w:cs="Times New Roman"/>
                <w:snapToGrid w:val="0"/>
                <w:color w:val="000000"/>
                <w:kern w:val="0"/>
                <w:sz w:val="24"/>
                <w:szCs w:val="24"/>
                <w:lang w:val="en-US" w:eastAsia="zh-CN" w:bidi="ar"/>
              </w:rPr>
              <w:t>Total Assets</w:t>
            </w:r>
          </w:p>
        </w:tc>
        <w:tc>
          <w:tcPr>
            <w:tcW w:w="1485"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31392.6</w:t>
            </w:r>
          </w:p>
        </w:tc>
        <w:tc>
          <w:tcPr>
            <w:tcW w:w="1520"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29374.5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295"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snapToGrid w:val="0"/>
                <w:color w:val="000000"/>
                <w:kern w:val="0"/>
                <w:sz w:val="24"/>
                <w:szCs w:val="24"/>
                <w:lang w:val="en-US" w:eastAsia="zh-CN" w:bidi="ar"/>
              </w:rPr>
            </w:pPr>
            <w:r>
              <w:rPr>
                <w:rFonts w:hint="default" w:ascii="Times New Roman" w:hAnsi="Times New Roman" w:eastAsia="宋体" w:cs="Times New Roman"/>
                <w:snapToGrid w:val="0"/>
                <w:color w:val="000000"/>
                <w:kern w:val="0"/>
                <w:sz w:val="24"/>
                <w:szCs w:val="24"/>
                <w:lang w:val="en-US" w:eastAsia="zh-CN" w:bidi="ar"/>
              </w:rPr>
              <w:t>Debt Ratio</w:t>
            </w:r>
          </w:p>
        </w:tc>
        <w:tc>
          <w:tcPr>
            <w:tcW w:w="1485"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1.17</w:t>
            </w:r>
          </w:p>
        </w:tc>
        <w:tc>
          <w:tcPr>
            <w:tcW w:w="1520"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1.26</w:t>
            </w:r>
          </w:p>
        </w:tc>
      </w:tr>
    </w:tbl>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The debt ratio is decreasing from 2020 to 2021, which implies that management is using less debt to finance its activities.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 xml:space="preserve">A corporation may have more debt than assets if its debt to asset ratio exceeds </w:t>
      </w:r>
      <w:r>
        <w:rPr>
          <w:rFonts w:hint="eastAsia" w:ascii="Times New Roman" w:hAnsi="Times New Roman" w:cs="Times New Roman"/>
          <w:b w:val="0"/>
          <w:bCs w:val="0"/>
          <w:sz w:val="24"/>
          <w:szCs w:val="24"/>
          <w:lang w:val="en-US" w:eastAsia="zh-CN"/>
        </w:rPr>
        <w:t xml:space="preserve">one </w:t>
      </w:r>
      <w:r>
        <w:rPr>
          <w:rFonts w:hint="default" w:ascii="Times New Roman" w:hAnsi="Times New Roman" w:cs="Times New Roman"/>
          <w:b w:val="0"/>
          <w:bCs w:val="0"/>
          <w:sz w:val="24"/>
          <w:szCs w:val="24"/>
          <w:lang w:val="en-US" w:eastAsia="zh-CN"/>
        </w:rPr>
        <w:t>and could potentially default on its debts if interest rates unexpectedly increase.</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When a company has a high debt ratio, its financial situation is less solid, its long-term solvency is weaker, and investors are less likely to invest money in it.</w:t>
      </w:r>
    </w:p>
    <w:p>
      <w:pPr>
        <w:pStyle w:val="4"/>
        <w:keepNext/>
        <w:keepLines/>
        <w:pageBreakBefore w:val="0"/>
        <w:widowControl w:val="0"/>
        <w:numPr>
          <w:ilvl w:val="2"/>
          <w:numId w:val="1"/>
        </w:numPr>
        <w:kinsoku/>
        <w:wordWrap/>
        <w:overflowPunct/>
        <w:topLinePunct w:val="0"/>
        <w:autoSpaceDE/>
        <w:autoSpaceDN/>
        <w:bidi w:val="0"/>
        <w:adjustRightInd/>
        <w:snapToGrid/>
        <w:spacing w:before="0" w:after="0" w:line="360" w:lineRule="auto"/>
        <w:textAlignment w:val="auto"/>
        <w:rPr>
          <w:rFonts w:hint="eastAsia" w:ascii="Times New Roman" w:hAnsi="Times New Roman" w:cs="Times New Roman"/>
          <w:b/>
          <w:sz w:val="24"/>
          <w:szCs w:val="24"/>
          <w:lang w:val="en-US" w:eastAsia="zh-CN"/>
        </w:rPr>
      </w:pPr>
      <w:bookmarkStart w:id="21" w:name="_Toc19175"/>
      <w:r>
        <w:rPr>
          <w:rFonts w:hint="eastAsia" w:ascii="Times New Roman" w:hAnsi="Times New Roman" w:cs="Times New Roman"/>
          <w:b/>
          <w:sz w:val="24"/>
          <w:szCs w:val="24"/>
          <w:lang w:val="en-US" w:eastAsia="zh-CN"/>
        </w:rPr>
        <w:t>Equity Ratio</w:t>
      </w:r>
      <w:bookmarkEnd w:id="21"/>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In addition to the amount of equity, the equity ratio assesses a company's use of leverage, how well it manages its obligations, and how it finances its asset requirements. Investments in assets are also examined.</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Equity Ratio= Total Equity/ Total Assets</w:t>
      </w: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85"/>
        <w:gridCol w:w="1445"/>
        <w:gridCol w:w="14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85"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snapToGrid w:val="0"/>
                <w:color w:val="000000"/>
                <w:kern w:val="0"/>
                <w:sz w:val="24"/>
                <w:szCs w:val="24"/>
                <w:lang w:val="en-US" w:eastAsia="zh-CN" w:bidi="ar"/>
              </w:rPr>
              <w:t>Financial Year</w:t>
            </w:r>
          </w:p>
        </w:tc>
        <w:tc>
          <w:tcPr>
            <w:tcW w:w="1445"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snapToGrid w:val="0"/>
                <w:color w:val="000000"/>
                <w:kern w:val="0"/>
                <w:sz w:val="24"/>
                <w:szCs w:val="24"/>
                <w:lang w:val="en-US" w:eastAsia="zh-CN" w:bidi="ar"/>
              </w:rPr>
              <w:t>2021</w:t>
            </w:r>
          </w:p>
        </w:tc>
        <w:tc>
          <w:tcPr>
            <w:tcW w:w="1490"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snapToGrid w:val="0"/>
                <w:color w:val="000000"/>
                <w:kern w:val="0"/>
                <w:sz w:val="24"/>
                <w:szCs w:val="24"/>
                <w:lang w:val="en-US" w:eastAsia="zh-CN" w:bidi="ar"/>
              </w:rPr>
              <w:t>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jc w:val="center"/>
        </w:trPr>
        <w:tc>
          <w:tcPr>
            <w:tcW w:w="1885"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Total Equity</w:t>
            </w:r>
          </w:p>
        </w:tc>
        <w:tc>
          <w:tcPr>
            <w:tcW w:w="1445" w:type="dxa"/>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-5321.2</w:t>
            </w:r>
          </w:p>
        </w:tc>
        <w:tc>
          <w:tcPr>
            <w:tcW w:w="1490"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-7805.1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85"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snapToGrid w:val="0"/>
                <w:color w:val="000000"/>
                <w:kern w:val="0"/>
                <w:sz w:val="24"/>
                <w:szCs w:val="24"/>
                <w:lang w:val="en-US" w:eastAsia="zh-CN" w:bidi="ar"/>
              </w:rPr>
            </w:pPr>
            <w:r>
              <w:rPr>
                <w:rFonts w:hint="default" w:ascii="Times New Roman" w:hAnsi="Times New Roman" w:eastAsia="宋体" w:cs="Times New Roman"/>
                <w:snapToGrid w:val="0"/>
                <w:color w:val="000000"/>
                <w:kern w:val="0"/>
                <w:sz w:val="24"/>
                <w:szCs w:val="24"/>
                <w:lang w:val="en-US" w:eastAsia="zh-CN" w:bidi="ar"/>
              </w:rPr>
              <w:t>Total Assets</w:t>
            </w:r>
          </w:p>
        </w:tc>
        <w:tc>
          <w:tcPr>
            <w:tcW w:w="1445"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31392.6</w:t>
            </w:r>
          </w:p>
        </w:tc>
        <w:tc>
          <w:tcPr>
            <w:tcW w:w="1490"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29374.5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85"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snapToGrid w:val="0"/>
                <w:color w:val="000000"/>
                <w:kern w:val="0"/>
                <w:sz w:val="24"/>
                <w:szCs w:val="24"/>
                <w:lang w:val="en-US" w:eastAsia="zh-CN" w:bidi="ar"/>
              </w:rPr>
            </w:pPr>
            <w:r>
              <w:rPr>
                <w:rFonts w:hint="default" w:ascii="Times New Roman" w:hAnsi="Times New Roman" w:eastAsia="宋体" w:cs="Times New Roman"/>
                <w:snapToGrid w:val="0"/>
                <w:color w:val="000000"/>
                <w:kern w:val="0"/>
                <w:sz w:val="24"/>
                <w:szCs w:val="24"/>
                <w:lang w:val="en-US" w:eastAsia="zh-CN" w:bidi="ar"/>
              </w:rPr>
              <w:t>Equity Ratio</w:t>
            </w:r>
          </w:p>
        </w:tc>
        <w:tc>
          <w:tcPr>
            <w:tcW w:w="1445"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-0.17</w:t>
            </w:r>
          </w:p>
        </w:tc>
        <w:tc>
          <w:tcPr>
            <w:tcW w:w="1490"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-0.27</w:t>
            </w:r>
          </w:p>
        </w:tc>
      </w:tr>
    </w:tbl>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If the equity ratio is negative, then liabilities must be greater than assets.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Low ratios reflect Starbucks' weak financial standing and diminished ability to repay long-term debt.</w:t>
      </w:r>
    </w:p>
    <w:p>
      <w:pPr>
        <w:pStyle w:val="4"/>
        <w:keepNext/>
        <w:keepLines/>
        <w:pageBreakBefore w:val="0"/>
        <w:widowControl w:val="0"/>
        <w:numPr>
          <w:ilvl w:val="2"/>
          <w:numId w:val="1"/>
        </w:numPr>
        <w:kinsoku/>
        <w:wordWrap/>
        <w:overflowPunct/>
        <w:topLinePunct w:val="0"/>
        <w:autoSpaceDE/>
        <w:autoSpaceDN/>
        <w:bidi w:val="0"/>
        <w:adjustRightInd/>
        <w:snapToGrid/>
        <w:spacing w:before="0" w:after="0" w:line="360" w:lineRule="auto"/>
        <w:textAlignment w:val="auto"/>
        <w:rPr>
          <w:rFonts w:hint="default" w:ascii="Times New Roman" w:hAnsi="Times New Roman" w:cs="Times New Roman"/>
          <w:b/>
          <w:sz w:val="24"/>
          <w:szCs w:val="24"/>
          <w:lang w:val="en-US" w:eastAsia="zh-CN"/>
        </w:rPr>
      </w:pPr>
      <w:bookmarkStart w:id="22" w:name="_Toc12229"/>
      <w:r>
        <w:rPr>
          <w:rFonts w:hint="eastAsia" w:ascii="Times New Roman" w:hAnsi="Times New Roman" w:cs="Times New Roman"/>
          <w:b/>
          <w:sz w:val="24"/>
          <w:szCs w:val="24"/>
          <w:lang w:val="en-US" w:eastAsia="zh-CN"/>
        </w:rPr>
        <w:t>Debt to Equity Ratio</w:t>
      </w:r>
      <w:bookmarkEnd w:id="22"/>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 xml:space="preserve">By comparing a company's total liabilities to shareholder equity, the debt-to-equity ratio gauges how </w:t>
      </w:r>
      <w:r>
        <w:rPr>
          <w:rFonts w:hint="eastAsia" w:ascii="Times New Roman" w:hAnsi="Times New Roman" w:cs="Times New Roman"/>
          <w:b w:val="0"/>
          <w:bCs w:val="0"/>
          <w:sz w:val="24"/>
          <w:szCs w:val="24"/>
          <w:lang w:val="en-US" w:eastAsia="zh-CN"/>
        </w:rPr>
        <w:t>heavily</w:t>
      </w:r>
      <w:r>
        <w:rPr>
          <w:rFonts w:hint="default" w:ascii="Times New Roman" w:hAnsi="Times New Roman" w:cs="Times New Roman"/>
          <w:b w:val="0"/>
          <w:bCs w:val="0"/>
          <w:sz w:val="24"/>
          <w:szCs w:val="24"/>
          <w:lang w:val="en-US" w:eastAsia="zh-CN"/>
        </w:rPr>
        <w:t xml:space="preserve"> it depends on debt.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Debt to Equity Ratio= Total Debt/ Total Equity</w:t>
      </w: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20"/>
        <w:gridCol w:w="2850"/>
        <w:gridCol w:w="16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20"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napToGrid w:val="0"/>
                <w:color w:val="000000"/>
                <w:kern w:val="0"/>
                <w:sz w:val="24"/>
                <w:szCs w:val="24"/>
                <w:lang w:val="en-US" w:eastAsia="zh-CN" w:bidi="ar"/>
              </w:rPr>
              <w:t>Financial Year</w:t>
            </w:r>
          </w:p>
        </w:tc>
        <w:tc>
          <w:tcPr>
            <w:tcW w:w="2850"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napToGrid w:val="0"/>
                <w:color w:val="000000"/>
                <w:kern w:val="0"/>
                <w:sz w:val="24"/>
                <w:szCs w:val="24"/>
                <w:lang w:val="en-US" w:eastAsia="zh-CN" w:bidi="ar"/>
              </w:rPr>
              <w:t>2021</w:t>
            </w:r>
          </w:p>
        </w:tc>
        <w:tc>
          <w:tcPr>
            <w:tcW w:w="1646"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napToGrid w:val="0"/>
                <w:color w:val="000000"/>
                <w:kern w:val="0"/>
                <w:sz w:val="24"/>
                <w:szCs w:val="24"/>
                <w:lang w:val="en-US" w:eastAsia="zh-CN" w:bidi="ar"/>
              </w:rPr>
              <w:t>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jc w:val="center"/>
        </w:trPr>
        <w:tc>
          <w:tcPr>
            <w:tcW w:w="2720"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Total Debt</w:t>
            </w:r>
          </w:p>
        </w:tc>
        <w:tc>
          <w:tcPr>
            <w:tcW w:w="2850" w:type="dxa"/>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14,615,800</w:t>
            </w:r>
          </w:p>
        </w:tc>
        <w:tc>
          <w:tcPr>
            <w:tcW w:w="1646"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15,909,500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20"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val="0"/>
                <w:bCs w:val="0"/>
                <w:snapToGrid w:val="0"/>
                <w:color w:val="000000"/>
                <w:kern w:val="0"/>
                <w:sz w:val="24"/>
                <w:szCs w:val="24"/>
                <w:lang w:val="en-US" w:eastAsia="zh-CN" w:bidi="ar"/>
              </w:rPr>
            </w:pPr>
            <w:r>
              <w:rPr>
                <w:rFonts w:hint="default" w:ascii="Times New Roman" w:hAnsi="Times New Roman" w:eastAsia="宋体" w:cs="Times New Roman"/>
                <w:b w:val="0"/>
                <w:bCs w:val="0"/>
                <w:snapToGrid w:val="0"/>
                <w:color w:val="000000"/>
                <w:kern w:val="0"/>
                <w:sz w:val="24"/>
                <w:szCs w:val="24"/>
                <w:lang w:val="en-US" w:eastAsia="zh-CN" w:bidi="ar"/>
              </w:rPr>
              <w:t>Total Equity</w:t>
            </w:r>
          </w:p>
        </w:tc>
        <w:tc>
          <w:tcPr>
            <w:tcW w:w="2850"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-5,321,200</w:t>
            </w:r>
          </w:p>
        </w:tc>
        <w:tc>
          <w:tcPr>
            <w:tcW w:w="1646"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-7,805,100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20"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val="0"/>
                <w:bCs w:val="0"/>
                <w:snapToGrid w:val="0"/>
                <w:color w:val="000000"/>
                <w:kern w:val="0"/>
                <w:sz w:val="24"/>
                <w:szCs w:val="24"/>
                <w:lang w:val="en-US" w:eastAsia="zh-CN" w:bidi="ar"/>
              </w:rPr>
            </w:pPr>
            <w:r>
              <w:rPr>
                <w:rFonts w:hint="default" w:ascii="Times New Roman" w:hAnsi="Times New Roman" w:eastAsia="宋体" w:cs="Times New Roman"/>
                <w:b w:val="0"/>
                <w:bCs w:val="0"/>
                <w:snapToGrid w:val="0"/>
                <w:color w:val="000000"/>
                <w:kern w:val="0"/>
                <w:sz w:val="24"/>
                <w:szCs w:val="24"/>
                <w:lang w:val="en-US" w:eastAsia="zh-CN" w:bidi="ar"/>
              </w:rPr>
              <w:t>Debt to Equity Ratio</w:t>
            </w:r>
          </w:p>
        </w:tc>
        <w:tc>
          <w:tcPr>
            <w:tcW w:w="2850"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-2.75</w:t>
            </w:r>
          </w:p>
        </w:tc>
        <w:tc>
          <w:tcPr>
            <w:tcW w:w="1646"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-2.04</w:t>
            </w:r>
          </w:p>
        </w:tc>
      </w:tr>
    </w:tbl>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In 2021, Starbucks' debt-to-equity ratio was less than the industry average of 1.57%, which had gotten worse from 2020 to 2021. The negative debt-to-equity ratio indicates that Starbucks has a high debt burden and may not be capable of producing sufficient revenue to satisfy its debt commitments.</w:t>
      </w:r>
    </w:p>
    <w:p>
      <w:pPr>
        <w:pStyle w:val="4"/>
        <w:keepNext/>
        <w:keepLines/>
        <w:pageBreakBefore w:val="0"/>
        <w:widowControl w:val="0"/>
        <w:numPr>
          <w:ilvl w:val="2"/>
          <w:numId w:val="1"/>
        </w:numPr>
        <w:kinsoku/>
        <w:wordWrap/>
        <w:overflowPunct/>
        <w:topLinePunct w:val="0"/>
        <w:autoSpaceDE/>
        <w:autoSpaceDN/>
        <w:bidi w:val="0"/>
        <w:adjustRightInd/>
        <w:snapToGrid/>
        <w:spacing w:before="0" w:after="0" w:line="360" w:lineRule="auto"/>
        <w:textAlignment w:val="auto"/>
        <w:rPr>
          <w:rFonts w:hint="default" w:ascii="Times New Roman" w:hAnsi="Times New Roman" w:cs="Times New Roman"/>
          <w:b/>
          <w:sz w:val="24"/>
          <w:szCs w:val="24"/>
          <w:lang w:val="en-US" w:eastAsia="zh-CN"/>
        </w:rPr>
      </w:pPr>
      <w:bookmarkStart w:id="23" w:name="_Toc29286"/>
      <w:r>
        <w:rPr>
          <w:rFonts w:hint="eastAsia" w:ascii="Times New Roman" w:hAnsi="Times New Roman" w:cs="Times New Roman"/>
          <w:b/>
          <w:sz w:val="24"/>
          <w:szCs w:val="24"/>
          <w:lang w:val="en-US" w:eastAsia="zh-CN"/>
        </w:rPr>
        <w:t>Interest Coverage Ratio</w:t>
      </w:r>
      <w:bookmarkEnd w:id="23"/>
    </w:p>
    <w:p>
      <w:pPr>
        <w:keepNext w:val="0"/>
        <w:keepLines w:val="0"/>
        <w:pageBreakBefore w:val="0"/>
        <w:widowControl w:val="0"/>
        <w:kinsoku w:val="0"/>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宋体" w:cs="Times New Roman"/>
          <w:b w:val="0"/>
          <w:bCs w:val="0"/>
          <w:spacing w:val="-1"/>
          <w:sz w:val="24"/>
          <w:szCs w:val="24"/>
          <w:lang w:val="en-US" w:eastAsia="zh-CN"/>
        </w:rPr>
      </w:pPr>
      <w:r>
        <w:rPr>
          <w:rFonts w:hint="default" w:ascii="Times New Roman" w:hAnsi="Times New Roman" w:eastAsia="宋体" w:cs="Times New Roman"/>
          <w:b w:val="0"/>
          <w:bCs w:val="0"/>
          <w:spacing w:val="-1"/>
          <w:sz w:val="24"/>
          <w:szCs w:val="24"/>
          <w:lang w:val="en-US" w:eastAsia="zh-CN"/>
        </w:rPr>
        <w:t xml:space="preserve">The ability of a company to pay interest on its existing obligations is assessed </w:t>
      </w:r>
      <w:r>
        <w:rPr>
          <w:rFonts w:hint="eastAsia" w:ascii="Times New Roman" w:hAnsi="Times New Roman" w:eastAsia="宋体" w:cs="Times New Roman"/>
          <w:b w:val="0"/>
          <w:bCs w:val="0"/>
          <w:spacing w:val="-1"/>
          <w:sz w:val="24"/>
          <w:szCs w:val="24"/>
          <w:lang w:val="en-US" w:eastAsia="zh-CN"/>
        </w:rPr>
        <w:t>by</w:t>
      </w:r>
      <w:r>
        <w:rPr>
          <w:rFonts w:hint="default" w:ascii="Times New Roman" w:hAnsi="Times New Roman" w:eastAsia="宋体" w:cs="Times New Roman"/>
          <w:b w:val="0"/>
          <w:bCs w:val="0"/>
          <w:spacing w:val="-1"/>
          <w:sz w:val="24"/>
          <w:szCs w:val="24"/>
          <w:lang w:val="en-US" w:eastAsia="zh-CN"/>
        </w:rPr>
        <w:t xml:space="preserve"> </w:t>
      </w:r>
      <w:r>
        <w:rPr>
          <w:rFonts w:hint="eastAsia" w:ascii="Times New Roman" w:hAnsi="Times New Roman" w:eastAsia="宋体" w:cs="Times New Roman"/>
          <w:b w:val="0"/>
          <w:bCs w:val="0"/>
          <w:spacing w:val="-1"/>
          <w:sz w:val="24"/>
          <w:szCs w:val="24"/>
          <w:lang w:val="en-US" w:eastAsia="zh-CN"/>
        </w:rPr>
        <w:t>the interest coverage</w:t>
      </w:r>
      <w:r>
        <w:rPr>
          <w:rFonts w:hint="default" w:ascii="Times New Roman" w:hAnsi="Times New Roman" w:eastAsia="宋体" w:cs="Times New Roman"/>
          <w:b w:val="0"/>
          <w:bCs w:val="0"/>
          <w:spacing w:val="-1"/>
          <w:sz w:val="24"/>
          <w:szCs w:val="24"/>
          <w:lang w:val="en-US" w:eastAsia="zh-CN"/>
        </w:rPr>
        <w:t xml:space="preserve"> ratio.</w:t>
      </w:r>
    </w:p>
    <w:p>
      <w:pPr>
        <w:keepNext w:val="0"/>
        <w:keepLines w:val="0"/>
        <w:pageBreakBefore w:val="0"/>
        <w:widowControl w:val="0"/>
        <w:kinsoku w:val="0"/>
        <w:wordWrap/>
        <w:overflowPunct/>
        <w:topLinePunct w:val="0"/>
        <w:autoSpaceDE w:val="0"/>
        <w:autoSpaceDN w:val="0"/>
        <w:bidi w:val="0"/>
        <w:adjustRightInd w:val="0"/>
        <w:snapToGrid w:val="0"/>
        <w:spacing w:line="360" w:lineRule="auto"/>
        <w:textAlignment w:val="baseline"/>
        <w:rPr>
          <w:rFonts w:hint="default" w:ascii="Times New Roman" w:hAnsi="Times New Roman" w:eastAsia="宋体" w:cs="Times New Roman"/>
          <w:b w:val="0"/>
          <w:bCs w:val="0"/>
          <w:spacing w:val="-1"/>
          <w:sz w:val="24"/>
          <w:szCs w:val="24"/>
          <w:lang w:val="en-US" w:eastAsia="zh-CN"/>
        </w:rPr>
      </w:pPr>
      <w:r>
        <w:rPr>
          <w:rFonts w:hint="default" w:ascii="Times New Roman" w:hAnsi="Times New Roman" w:eastAsia="宋体" w:cs="Times New Roman"/>
          <w:b w:val="0"/>
          <w:bCs w:val="0"/>
          <w:spacing w:val="-1"/>
          <w:sz w:val="24"/>
          <w:szCs w:val="24"/>
          <w:lang w:val="en-US" w:eastAsia="zh-CN"/>
        </w:rPr>
        <w:t>Interest Coverage Ratio= EBIT/ Interest Expense</w:t>
      </w:r>
    </w:p>
    <w:p>
      <w:pPr>
        <w:keepNext w:val="0"/>
        <w:keepLines w:val="0"/>
        <w:pageBreakBefore w:val="0"/>
        <w:widowControl w:val="0"/>
        <w:kinsoku w:val="0"/>
        <w:wordWrap/>
        <w:overflowPunct/>
        <w:topLinePunct w:val="0"/>
        <w:autoSpaceDE w:val="0"/>
        <w:autoSpaceDN w:val="0"/>
        <w:bidi w:val="0"/>
        <w:adjustRightInd w:val="0"/>
        <w:snapToGrid w:val="0"/>
        <w:spacing w:line="360" w:lineRule="auto"/>
        <w:textAlignment w:val="baseline"/>
        <w:rPr>
          <w:rFonts w:hint="default" w:ascii="Times New Roman" w:hAnsi="Times New Roman" w:eastAsia="宋体" w:cs="Times New Roman"/>
          <w:b w:val="0"/>
          <w:bCs w:val="0"/>
          <w:spacing w:val="-1"/>
          <w:sz w:val="24"/>
          <w:szCs w:val="24"/>
          <w:lang w:val="en-US" w:eastAsia="zh-CN"/>
        </w:rPr>
      </w:pPr>
      <w:r>
        <w:rPr>
          <w:rFonts w:hint="default" w:ascii="Times New Roman" w:hAnsi="Times New Roman" w:eastAsia="宋体" w:cs="Times New Roman"/>
          <w:b w:val="0"/>
          <w:bCs w:val="0"/>
          <w:spacing w:val="-1"/>
          <w:sz w:val="24"/>
          <w:szCs w:val="24"/>
          <w:lang w:val="en-US" w:eastAsia="zh-CN"/>
        </w:rPr>
        <w:t>EBIT= Net Income+ Interest Expense+ Tax Expense</w:t>
      </w: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54"/>
        <w:gridCol w:w="1366"/>
        <w:gridCol w:w="13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54"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snapToGrid w:val="0"/>
                <w:color w:val="000000"/>
                <w:kern w:val="0"/>
                <w:sz w:val="24"/>
                <w:szCs w:val="24"/>
                <w:lang w:val="en-US" w:eastAsia="zh-CN" w:bidi="ar"/>
              </w:rPr>
              <w:t>Financial Year</w:t>
            </w:r>
          </w:p>
        </w:tc>
        <w:tc>
          <w:tcPr>
            <w:tcW w:w="1366"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snapToGrid w:val="0"/>
                <w:color w:val="000000"/>
                <w:kern w:val="0"/>
                <w:sz w:val="24"/>
                <w:szCs w:val="24"/>
                <w:lang w:val="en-US" w:eastAsia="zh-CN" w:bidi="ar"/>
              </w:rPr>
              <w:t>2021</w:t>
            </w:r>
          </w:p>
        </w:tc>
        <w:tc>
          <w:tcPr>
            <w:tcW w:w="1370"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snapToGrid w:val="0"/>
                <w:color w:val="000000"/>
                <w:kern w:val="0"/>
                <w:sz w:val="24"/>
                <w:szCs w:val="24"/>
                <w:lang w:val="en-US" w:eastAsia="zh-CN" w:bidi="ar"/>
              </w:rPr>
              <w:t>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jc w:val="center"/>
        </w:trPr>
        <w:tc>
          <w:tcPr>
            <w:tcW w:w="2554"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EBIT</w:t>
            </w:r>
          </w:p>
        </w:tc>
        <w:tc>
          <w:tcPr>
            <w:tcW w:w="1366" w:type="dxa"/>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5825,700</w:t>
            </w:r>
          </w:p>
        </w:tc>
        <w:tc>
          <w:tcPr>
            <w:tcW w:w="1370"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1605,000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54"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snapToGrid w:val="0"/>
                <w:color w:val="000000"/>
                <w:kern w:val="0"/>
                <w:sz w:val="24"/>
                <w:szCs w:val="24"/>
                <w:lang w:val="en-US" w:eastAsia="zh-CN" w:bidi="ar"/>
              </w:rPr>
            </w:pPr>
            <w:r>
              <w:rPr>
                <w:rFonts w:hint="default" w:ascii="Times New Roman" w:hAnsi="Times New Roman" w:eastAsia="宋体" w:cs="Times New Roman"/>
                <w:snapToGrid w:val="0"/>
                <w:color w:val="000000"/>
                <w:kern w:val="0"/>
                <w:sz w:val="24"/>
                <w:szCs w:val="24"/>
                <w:lang w:val="en-US" w:eastAsia="zh-CN" w:bidi="ar"/>
              </w:rPr>
              <w:t>Interest Expense</w:t>
            </w:r>
          </w:p>
        </w:tc>
        <w:tc>
          <w:tcPr>
            <w:tcW w:w="1366"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469,800</w:t>
            </w:r>
          </w:p>
        </w:tc>
        <w:tc>
          <w:tcPr>
            <w:tcW w:w="1370"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437,000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54"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snapToGrid w:val="0"/>
                <w:color w:val="000000"/>
                <w:kern w:val="0"/>
                <w:sz w:val="24"/>
                <w:szCs w:val="24"/>
                <w:lang w:val="en-US" w:eastAsia="zh-CN" w:bidi="ar"/>
              </w:rPr>
            </w:pPr>
            <w:r>
              <w:rPr>
                <w:rFonts w:hint="default" w:ascii="Times New Roman" w:hAnsi="Times New Roman" w:eastAsia="宋体" w:cs="Times New Roman"/>
                <w:snapToGrid w:val="0"/>
                <w:color w:val="000000"/>
                <w:kern w:val="0"/>
                <w:sz w:val="24"/>
                <w:szCs w:val="24"/>
                <w:lang w:val="en-US" w:eastAsia="zh-CN" w:bidi="ar"/>
              </w:rPr>
              <w:t>Interest Coverage Ratio</w:t>
            </w:r>
          </w:p>
        </w:tc>
        <w:tc>
          <w:tcPr>
            <w:tcW w:w="1366"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12.4</w:t>
            </w:r>
          </w:p>
        </w:tc>
        <w:tc>
          <w:tcPr>
            <w:tcW w:w="1370"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3.67</w:t>
            </w:r>
          </w:p>
        </w:tc>
      </w:tr>
    </w:tbl>
    <w:p>
      <w:pPr>
        <w:keepNext w:val="0"/>
        <w:keepLines w:val="0"/>
        <w:pageBreakBefore w:val="0"/>
        <w:kinsoku w:val="0"/>
        <w:wordWrap/>
        <w:overflowPunct/>
        <w:topLinePunct w:val="0"/>
        <w:autoSpaceDE w:val="0"/>
        <w:autoSpaceDN w:val="0"/>
        <w:bidi w:val="0"/>
        <w:adjustRightInd w:val="0"/>
        <w:snapToGrid w:val="0"/>
        <w:spacing w:line="360" w:lineRule="auto"/>
        <w:ind w:left="21"/>
        <w:jc w:val="both"/>
        <w:textAlignment w:val="baseline"/>
        <w:rPr>
          <w:rFonts w:hint="default" w:ascii="Times New Roman" w:hAnsi="Times New Roman" w:eastAsia="宋体" w:cs="Times New Roman"/>
          <w:b w:val="0"/>
          <w:bCs w:val="0"/>
          <w:spacing w:val="-1"/>
          <w:sz w:val="24"/>
          <w:szCs w:val="24"/>
          <w:lang w:val="en-US" w:eastAsia="zh-CN"/>
        </w:rPr>
      </w:pPr>
    </w:p>
    <w:p>
      <w:pPr>
        <w:keepNext w:val="0"/>
        <w:keepLines w:val="0"/>
        <w:pageBreakBefore w:val="0"/>
        <w:widowControl w:val="0"/>
        <w:kinsoku w:val="0"/>
        <w:wordWrap/>
        <w:overflowPunct/>
        <w:topLinePunct w:val="0"/>
        <w:autoSpaceDE w:val="0"/>
        <w:autoSpaceDN w:val="0"/>
        <w:bidi w:val="0"/>
        <w:adjustRightInd w:val="0"/>
        <w:snapToGrid w:val="0"/>
        <w:spacing w:line="360" w:lineRule="auto"/>
        <w:ind w:left="23"/>
        <w:jc w:val="both"/>
        <w:textAlignment w:val="baseline"/>
        <w:rPr>
          <w:rFonts w:hint="default" w:ascii="Times New Roman" w:hAnsi="Times New Roman" w:eastAsia="宋体" w:cs="Times New Roman"/>
          <w:b w:val="0"/>
          <w:bCs w:val="0"/>
          <w:spacing w:val="-1"/>
          <w:sz w:val="24"/>
          <w:szCs w:val="24"/>
          <w:lang w:val="en-US" w:eastAsia="zh-CN"/>
        </w:rPr>
      </w:pPr>
      <w:r>
        <w:rPr>
          <w:rFonts w:hint="default" w:ascii="Times New Roman" w:hAnsi="Times New Roman" w:eastAsia="宋体" w:cs="Times New Roman"/>
          <w:b w:val="0"/>
          <w:bCs w:val="0"/>
          <w:spacing w:val="-1"/>
          <w:sz w:val="24"/>
          <w:szCs w:val="24"/>
          <w:lang w:val="en-US" w:eastAsia="zh-CN"/>
        </w:rPr>
        <w:t>The interest coverage ratio for Starbucks Inc. increased from 2020 to 2021 and was higher than the industry average of 11.01 in that year.</w:t>
      </w:r>
    </w:p>
    <w:p>
      <w:pPr>
        <w:keepNext w:val="0"/>
        <w:keepLines w:val="0"/>
        <w:pageBreakBefore w:val="0"/>
        <w:widowControl w:val="0"/>
        <w:kinsoku w:val="0"/>
        <w:wordWrap/>
        <w:overflowPunct/>
        <w:topLinePunct w:val="0"/>
        <w:autoSpaceDE w:val="0"/>
        <w:autoSpaceDN w:val="0"/>
        <w:bidi w:val="0"/>
        <w:adjustRightInd w:val="0"/>
        <w:snapToGrid w:val="0"/>
        <w:spacing w:line="360" w:lineRule="auto"/>
        <w:ind w:left="23"/>
        <w:jc w:val="both"/>
        <w:textAlignment w:val="baseline"/>
        <w:rPr>
          <w:rFonts w:hint="default" w:ascii="Times New Roman" w:hAnsi="Times New Roman" w:eastAsia="宋体" w:cs="Times New Roman"/>
          <w:b w:val="0"/>
          <w:bCs w:val="0"/>
          <w:spacing w:val="-1"/>
          <w:sz w:val="24"/>
          <w:szCs w:val="24"/>
          <w:lang w:val="en-US" w:eastAsia="zh-CN"/>
        </w:rPr>
      </w:pPr>
      <w:r>
        <w:rPr>
          <w:rFonts w:hint="default" w:ascii="Times New Roman" w:hAnsi="Times New Roman" w:eastAsia="宋体" w:cs="Times New Roman"/>
          <w:b w:val="0"/>
          <w:bCs w:val="0"/>
          <w:spacing w:val="-1"/>
          <w:sz w:val="24"/>
          <w:szCs w:val="24"/>
          <w:lang w:val="en-US" w:eastAsia="zh-CN"/>
        </w:rPr>
        <w:t>With this ratio, it can be observed that Starbucks' operating earnings in 2021 will be sufficient to pay for its interest payments 12.4 times as opposed to 3.67 times in 2020. In summary, the company is in a good position to repay the interest on its loan.</w:t>
      </w:r>
    </w:p>
    <w:p>
      <w:pPr>
        <w:keepNext w:val="0"/>
        <w:keepLines w:val="0"/>
        <w:pageBreakBefore w:val="0"/>
        <w:widowControl w:val="0"/>
        <w:kinsoku w:val="0"/>
        <w:wordWrap/>
        <w:overflowPunct/>
        <w:topLinePunct w:val="0"/>
        <w:autoSpaceDE w:val="0"/>
        <w:autoSpaceDN w:val="0"/>
        <w:bidi w:val="0"/>
        <w:adjustRightInd w:val="0"/>
        <w:snapToGrid w:val="0"/>
        <w:spacing w:line="360" w:lineRule="auto"/>
        <w:ind w:left="23"/>
        <w:jc w:val="both"/>
        <w:textAlignment w:val="baseline"/>
        <w:rPr>
          <w:rFonts w:hint="default" w:ascii="Times New Roman" w:hAnsi="Times New Roman" w:eastAsia="宋体" w:cs="Times New Roman"/>
          <w:b w:val="0"/>
          <w:bCs w:val="0"/>
          <w:spacing w:val="-1"/>
          <w:sz w:val="24"/>
          <w:szCs w:val="24"/>
          <w:lang w:val="en-US" w:eastAsia="zh-CN"/>
        </w:rPr>
      </w:pPr>
      <w:r>
        <w:rPr>
          <w:rFonts w:hint="default" w:ascii="Times New Roman" w:hAnsi="Times New Roman" w:eastAsia="宋体" w:cs="Times New Roman"/>
          <w:b w:val="0"/>
          <w:bCs w:val="0"/>
          <w:spacing w:val="-1"/>
          <w:sz w:val="24"/>
          <w:szCs w:val="24"/>
          <w:lang w:val="en-US" w:eastAsia="zh-CN"/>
        </w:rPr>
        <w:t>Profitability is enough to guarantee interest payments and take away the possibility of defaulting on debt. Together with paying interest on bank loans, Starbucks earnings</w:t>
      </w:r>
      <w:r>
        <w:rPr>
          <w:rFonts w:hint="eastAsia" w:ascii="Times New Roman" w:hAnsi="Times New Roman" w:eastAsia="宋体" w:cs="Times New Roman"/>
          <w:b w:val="0"/>
          <w:bCs w:val="0"/>
          <w:spacing w:val="-1"/>
          <w:sz w:val="24"/>
          <w:szCs w:val="24"/>
          <w:lang w:val="en-US" w:eastAsia="zh-CN"/>
        </w:rPr>
        <w:t xml:space="preserve"> </w:t>
      </w:r>
      <w:r>
        <w:rPr>
          <w:rFonts w:hint="default" w:ascii="Times New Roman" w:hAnsi="Times New Roman" w:eastAsia="宋体" w:cs="Times New Roman"/>
          <w:b w:val="0"/>
          <w:bCs w:val="0"/>
          <w:spacing w:val="-1"/>
          <w:sz w:val="24"/>
          <w:szCs w:val="24"/>
          <w:lang w:val="en-US" w:eastAsia="zh-CN"/>
        </w:rPr>
        <w:t>can be used to increase manufacturing and replenish working capital.</w:t>
      </w:r>
    </w:p>
    <w:p>
      <w:pPr>
        <w:keepNext w:val="0"/>
        <w:keepLines w:val="0"/>
        <w:pageBreakBefore w:val="0"/>
        <w:kinsoku w:val="0"/>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宋体" w:cs="Times New Roman"/>
          <w:b w:val="0"/>
          <w:bCs w:val="0"/>
          <w:spacing w:val="-1"/>
          <w:sz w:val="24"/>
          <w:szCs w:val="24"/>
          <w:lang w:val="en-US" w:eastAsia="zh-CN"/>
        </w:rPr>
      </w:pPr>
    </w:p>
    <w:p>
      <w:pPr>
        <w:pStyle w:val="2"/>
        <w:keepNext/>
        <w:keepLines/>
        <w:pageBreakBefore w:val="0"/>
        <w:widowControl w:val="0"/>
        <w:numPr>
          <w:ilvl w:val="0"/>
          <w:numId w:val="1"/>
        </w:numPr>
        <w:kinsoku/>
        <w:wordWrap/>
        <w:overflowPunct/>
        <w:topLinePunct w:val="0"/>
        <w:autoSpaceDE/>
        <w:autoSpaceDN/>
        <w:bidi w:val="0"/>
        <w:adjustRightInd/>
        <w:snapToGrid/>
        <w:spacing w:before="0" w:after="0" w:line="360" w:lineRule="auto"/>
        <w:textAlignment w:val="auto"/>
        <w:rPr>
          <w:rFonts w:hint="default" w:ascii="Times New Roman" w:hAnsi="Times New Roman" w:cs="Times New Roman"/>
          <w:sz w:val="24"/>
          <w:szCs w:val="24"/>
          <w:lang w:val="en-US" w:eastAsia="zh-CN"/>
        </w:rPr>
      </w:pPr>
      <w:bookmarkStart w:id="24" w:name="_Toc28803"/>
      <w:r>
        <w:rPr>
          <w:rFonts w:hint="default" w:ascii="Times New Roman" w:hAnsi="Times New Roman" w:cs="Times New Roman"/>
          <w:sz w:val="24"/>
          <w:szCs w:val="24"/>
          <w:lang w:val="en-US" w:eastAsia="zh-CN"/>
        </w:rPr>
        <w:t>Limitations of Ratio Analysis</w:t>
      </w:r>
      <w:bookmarkEnd w:id="24"/>
    </w:p>
    <w:p>
      <w:pPr>
        <w:keepNext w:val="0"/>
        <w:keepLines w:val="0"/>
        <w:pageBreakBefore w:val="0"/>
        <w:numPr>
          <w:ilvl w:val="0"/>
          <w:numId w:val="0"/>
        </w:numPr>
        <w:kinsoku w:val="0"/>
        <w:wordWrap/>
        <w:overflowPunct/>
        <w:topLinePunct w:val="0"/>
        <w:autoSpaceDE w:val="0"/>
        <w:autoSpaceDN w:val="0"/>
        <w:bidi w:val="0"/>
        <w:adjustRightInd w:val="0"/>
        <w:snapToGrid w:val="0"/>
        <w:spacing w:line="360" w:lineRule="auto"/>
        <w:ind w:leftChars="0"/>
        <w:jc w:val="both"/>
        <w:textAlignment w:val="baseline"/>
        <w:rPr>
          <w:rFonts w:hint="default" w:ascii="Times New Roman" w:hAnsi="Times New Roman" w:eastAsia="宋体" w:cs="Times New Roman"/>
          <w:b w:val="0"/>
          <w:bCs w:val="0"/>
          <w:spacing w:val="-1"/>
          <w:sz w:val="24"/>
          <w:szCs w:val="24"/>
          <w:lang w:val="en-US" w:eastAsia="zh-CN"/>
        </w:rPr>
      </w:pPr>
      <w:r>
        <w:rPr>
          <w:rFonts w:hint="default" w:ascii="Times New Roman" w:hAnsi="Times New Roman" w:eastAsia="宋体" w:cs="Times New Roman"/>
          <w:b w:val="0"/>
          <w:bCs w:val="0"/>
          <w:spacing w:val="-1"/>
          <w:sz w:val="24"/>
          <w:szCs w:val="24"/>
          <w:lang w:val="en-US" w:eastAsia="zh-CN"/>
        </w:rPr>
        <w:t>Corporate ratio analysis results are based on historical performance. These might not accurately reflect a company's status today or in the future. Performance ratio evaluations are frequently misleading when other factors that might not always be simple to measure are ignored, like client contentment. It's possible that some of the measures used in ratio analysis are inconsistent.</w:t>
      </w:r>
    </w:p>
    <w:p>
      <w:pPr>
        <w:keepNext w:val="0"/>
        <w:keepLines w:val="0"/>
        <w:pageBreakBefore w:val="0"/>
        <w:numPr>
          <w:ilvl w:val="0"/>
          <w:numId w:val="0"/>
        </w:numPr>
        <w:kinsoku w:val="0"/>
        <w:wordWrap/>
        <w:overflowPunct/>
        <w:topLinePunct w:val="0"/>
        <w:autoSpaceDE w:val="0"/>
        <w:autoSpaceDN w:val="0"/>
        <w:bidi w:val="0"/>
        <w:adjustRightInd w:val="0"/>
        <w:snapToGrid w:val="0"/>
        <w:spacing w:line="360" w:lineRule="auto"/>
        <w:ind w:leftChars="0"/>
        <w:jc w:val="both"/>
        <w:textAlignment w:val="baseline"/>
        <w:rPr>
          <w:rFonts w:hint="default" w:ascii="Times New Roman" w:hAnsi="Times New Roman" w:eastAsia="宋体" w:cs="Times New Roman"/>
          <w:color w:val="auto"/>
          <w:sz w:val="24"/>
          <w:szCs w:val="24"/>
        </w:rPr>
      </w:pPr>
      <w:r>
        <w:rPr>
          <w:rFonts w:hint="default" w:ascii="Times New Roman" w:hAnsi="Times New Roman" w:eastAsia="宋体" w:cs="Times New Roman"/>
          <w:b w:val="0"/>
          <w:bCs w:val="0"/>
          <w:spacing w:val="-1"/>
          <w:sz w:val="24"/>
          <w:szCs w:val="24"/>
          <w:lang w:val="en-US" w:eastAsia="zh-CN"/>
        </w:rPr>
        <w:t xml:space="preserve">Calculating the ratios for a single company for a specific year is also fairly challenging. It would be more appropriate to compare businesses that compete in the same industry and look at how a company has evolved over the years. </w:t>
      </w:r>
      <w:r>
        <w:rPr>
          <w:rFonts w:hint="eastAsia" w:ascii="Times New Roman" w:hAnsi="Times New Roman" w:eastAsia="宋体" w:cs="Times New Roman"/>
          <w:color w:val="auto"/>
          <w:sz w:val="24"/>
          <w:szCs w:val="24"/>
          <w:lang w:val="en-US" w:eastAsia="zh-CN"/>
        </w:rPr>
        <w:t>Considering</w:t>
      </w:r>
      <w:r>
        <w:rPr>
          <w:rFonts w:hint="default" w:ascii="Times New Roman" w:hAnsi="Times New Roman" w:eastAsia="宋体" w:cs="Times New Roman"/>
          <w:color w:val="auto"/>
          <w:sz w:val="24"/>
          <w:szCs w:val="24"/>
        </w:rPr>
        <w:t xml:space="preserve"> that all ratios are pertinent for all sectors may </w:t>
      </w:r>
      <w:r>
        <w:rPr>
          <w:rFonts w:hint="eastAsia" w:ascii="Times New Roman" w:hAnsi="Times New Roman" w:eastAsia="宋体" w:cs="Times New Roman"/>
          <w:color w:val="auto"/>
          <w:sz w:val="24"/>
          <w:szCs w:val="24"/>
          <w:lang w:val="en-US" w:eastAsia="zh-CN"/>
        </w:rPr>
        <w:t xml:space="preserve">also </w:t>
      </w:r>
      <w:r>
        <w:rPr>
          <w:rFonts w:hint="default" w:ascii="Times New Roman" w:hAnsi="Times New Roman" w:eastAsia="宋体" w:cs="Times New Roman"/>
          <w:color w:val="auto"/>
          <w:sz w:val="24"/>
          <w:szCs w:val="24"/>
        </w:rPr>
        <w:t>produce incorrect results. Ratios' information would vary for various industries</w:t>
      </w:r>
      <w:r>
        <w:rPr>
          <w:rFonts w:hint="eastAsia" w:ascii="Times New Roman" w:hAnsi="Times New Roman" w:eastAsia="宋体" w:cs="Times New Roman"/>
          <w:color w:val="auto"/>
          <w:sz w:val="24"/>
          <w:szCs w:val="24"/>
          <w:lang w:val="en-US" w:eastAsia="zh-CN"/>
        </w:rPr>
        <w:t xml:space="preserve"> (Nadar and Wadhwa, 2019)</w:t>
      </w:r>
      <w:r>
        <w:rPr>
          <w:rFonts w:hint="default" w:ascii="Times New Roman" w:hAnsi="Times New Roman" w:eastAsia="宋体" w:cs="Times New Roman"/>
          <w:color w:val="auto"/>
          <w:sz w:val="24"/>
          <w:szCs w:val="24"/>
        </w:rPr>
        <w:t>.</w:t>
      </w:r>
    </w:p>
    <w:p>
      <w:pPr>
        <w:keepNext w:val="0"/>
        <w:keepLines w:val="0"/>
        <w:pageBreakBefore w:val="0"/>
        <w:numPr>
          <w:ilvl w:val="0"/>
          <w:numId w:val="0"/>
        </w:numPr>
        <w:kinsoku w:val="0"/>
        <w:wordWrap/>
        <w:overflowPunct/>
        <w:topLinePunct w:val="0"/>
        <w:autoSpaceDE w:val="0"/>
        <w:autoSpaceDN w:val="0"/>
        <w:bidi w:val="0"/>
        <w:adjustRightInd w:val="0"/>
        <w:snapToGrid w:val="0"/>
        <w:spacing w:line="360" w:lineRule="auto"/>
        <w:ind w:leftChars="0"/>
        <w:jc w:val="both"/>
        <w:textAlignment w:val="baseline"/>
        <w:rPr>
          <w:rFonts w:hint="default" w:ascii="Times New Roman" w:hAnsi="Times New Roman" w:eastAsia="宋体" w:cs="Times New Roman"/>
          <w:b w:val="0"/>
          <w:bCs w:val="0"/>
          <w:spacing w:val="-1"/>
          <w:sz w:val="24"/>
          <w:szCs w:val="24"/>
          <w:lang w:val="en-US" w:eastAsia="zh-CN"/>
        </w:rPr>
      </w:pPr>
      <w:r>
        <w:rPr>
          <w:rFonts w:hint="default" w:ascii="Times New Roman" w:hAnsi="Times New Roman" w:eastAsia="宋体" w:cs="Times New Roman"/>
          <w:b w:val="0"/>
          <w:bCs w:val="0"/>
          <w:spacing w:val="-1"/>
          <w:sz w:val="24"/>
          <w:szCs w:val="24"/>
          <w:lang w:val="en-US" w:eastAsia="zh-CN"/>
        </w:rPr>
        <w:t>Yet, difficulties always exist because it is sometimes hard to identify another firm that is exactly comparable to the firm under examination. Also, there's a chance that the organization has changed so drastically in latest days that any conclusions drawn about ratio changes are now meaningless.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eastAsia" w:ascii="Times New Roman" w:hAnsi="Times New Roman" w:eastAsia="宋体" w:cs="Times New Roman"/>
          <w:b w:val="0"/>
          <w:bCs w:val="0"/>
          <w:color w:val="auto"/>
          <w:sz w:val="24"/>
          <w:szCs w:val="24"/>
          <w:lang w:val="en-US" w:eastAsia="zh-CN"/>
        </w:rPr>
      </w:pPr>
      <w:r>
        <w:rPr>
          <w:rFonts w:hint="eastAsia" w:ascii="Times New Roman" w:hAnsi="Times New Roman" w:eastAsia="宋体" w:cs="Times New Roman"/>
          <w:color w:val="auto"/>
          <w:sz w:val="24"/>
          <w:szCs w:val="24"/>
          <w:lang w:val="en-US" w:eastAsia="zh-CN"/>
        </w:rPr>
        <w:t xml:space="preserve">Also, the expansion of a number of financial ratios to demonstrate connections between different financial indicators has presented difficulties for a variety of stakeholders </w:t>
      </w:r>
      <w:r>
        <w:rPr>
          <w:rFonts w:hint="default" w:ascii="Times New Roman" w:hAnsi="Times New Roman" w:eastAsia="宋体" w:cs="Times New Roman"/>
          <w:color w:val="auto"/>
          <w:sz w:val="24"/>
          <w:szCs w:val="24"/>
        </w:rPr>
        <w:t>(Bhattacharya, 2007)</w:t>
      </w:r>
      <w:r>
        <w:rPr>
          <w:rFonts w:hint="eastAsia" w:ascii="Times New Roman" w:hAnsi="Times New Roman" w:eastAsia="宋体" w:cs="Times New Roman"/>
          <w:color w:val="auto"/>
          <w:sz w:val="24"/>
          <w:szCs w:val="24"/>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sz w:val="24"/>
          <w:szCs w:val="24"/>
          <w:lang w:val="en-US" w:eastAsia="zh-CN"/>
        </w:rPr>
      </w:pPr>
    </w:p>
    <w:p>
      <w:pPr>
        <w:pStyle w:val="2"/>
        <w:keepNext/>
        <w:keepLines/>
        <w:pageBreakBefore w:val="0"/>
        <w:widowControl w:val="0"/>
        <w:numPr>
          <w:ilvl w:val="0"/>
          <w:numId w:val="1"/>
        </w:numPr>
        <w:kinsoku/>
        <w:wordWrap/>
        <w:overflowPunct/>
        <w:topLinePunct w:val="0"/>
        <w:autoSpaceDE/>
        <w:autoSpaceDN/>
        <w:bidi w:val="0"/>
        <w:adjustRightInd/>
        <w:snapToGrid/>
        <w:spacing w:before="0" w:after="0" w:line="360" w:lineRule="auto"/>
        <w:textAlignment w:val="auto"/>
        <w:rPr>
          <w:rFonts w:hint="default" w:ascii="Times New Roman" w:hAnsi="Times New Roman" w:cs="Times New Roman"/>
          <w:sz w:val="24"/>
          <w:szCs w:val="24"/>
          <w:lang w:val="en-US" w:eastAsia="zh-CN"/>
        </w:rPr>
      </w:pPr>
      <w:bookmarkStart w:id="25" w:name="_Toc5917"/>
      <w:r>
        <w:rPr>
          <w:rFonts w:hint="default" w:ascii="Times New Roman" w:hAnsi="Times New Roman" w:cs="Times New Roman"/>
          <w:sz w:val="24"/>
          <w:szCs w:val="24"/>
          <w:lang w:val="en-US" w:eastAsia="zh-CN"/>
        </w:rPr>
        <w:t>Conclusion</w:t>
      </w:r>
      <w:bookmarkEnd w:id="25"/>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According to an examination of Starbucks' financial statements' many components, the business is doing well. Although the company lacks long-term solvency, it has a robust financial structure thanks to strong short-term liquidity and great profitability.</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 xml:space="preserve">The fiscal 2021 statistics for Starbucks show the general durability and power of </w:t>
      </w:r>
      <w:r>
        <w:rPr>
          <w:rFonts w:hint="eastAsia" w:ascii="Times New Roman" w:hAnsi="Times New Roman" w:cs="Times New Roman"/>
          <w:b w:val="0"/>
          <w:bCs w:val="0"/>
          <w:sz w:val="24"/>
          <w:szCs w:val="24"/>
          <w:lang w:val="en-US" w:eastAsia="zh-CN"/>
        </w:rPr>
        <w:t>the</w:t>
      </w:r>
      <w:r>
        <w:rPr>
          <w:rFonts w:hint="default" w:ascii="Times New Roman" w:hAnsi="Times New Roman" w:cs="Times New Roman"/>
          <w:b w:val="0"/>
          <w:bCs w:val="0"/>
          <w:sz w:val="24"/>
          <w:szCs w:val="24"/>
          <w:lang w:val="en-US" w:eastAsia="zh-CN"/>
        </w:rPr>
        <w:t xml:space="preserve"> business. As a consequence of the business sector's pandemic rebound, total revenues increased by 24% to $29.1 billion in fiscal 2021 from $23.5 billion in fiscal 2020. This </w:t>
      </w:r>
      <w:r>
        <w:rPr>
          <w:rFonts w:hint="eastAsia" w:ascii="Times New Roman" w:hAnsi="Times New Roman" w:cs="Times New Roman"/>
          <w:b w:val="0"/>
          <w:bCs w:val="0"/>
          <w:sz w:val="24"/>
          <w:szCs w:val="24"/>
          <w:lang w:val="en-US" w:eastAsia="zh-CN"/>
        </w:rPr>
        <w:t>shows</w:t>
      </w:r>
      <w:r>
        <w:rPr>
          <w:rFonts w:hint="default" w:ascii="Times New Roman" w:hAnsi="Times New Roman" w:cs="Times New Roman"/>
          <w:b w:val="0"/>
          <w:bCs w:val="0"/>
          <w:sz w:val="24"/>
          <w:szCs w:val="24"/>
          <w:lang w:val="en-US" w:eastAsia="zh-CN"/>
        </w:rPr>
        <w:t xml:space="preserve"> a</w:t>
      </w:r>
      <w:r>
        <w:rPr>
          <w:rFonts w:hint="eastAsia" w:ascii="Times New Roman" w:hAnsi="Times New Roman" w:cs="Times New Roman"/>
          <w:b w:val="0"/>
          <w:bCs w:val="0"/>
          <w:sz w:val="24"/>
          <w:szCs w:val="24"/>
          <w:lang w:val="en-US" w:eastAsia="zh-CN"/>
        </w:rPr>
        <w:t>n</w:t>
      </w:r>
      <w:r>
        <w:rPr>
          <w:rFonts w:hint="default" w:ascii="Times New Roman" w:hAnsi="Times New Roman" w:cs="Times New Roman"/>
          <w:b w:val="0"/>
          <w:bCs w:val="0"/>
          <w:sz w:val="24"/>
          <w:szCs w:val="24"/>
          <w:lang w:val="en-US" w:eastAsia="zh-CN"/>
        </w:rPr>
        <w:t xml:space="preserve"> economically secure business due to the fact that with such money it is easier for the firm to invest in state-of-the-art equipment and to explore more regions within and outside of the United States.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sz w:val="24"/>
          <w:szCs w:val="24"/>
          <w:lang w:val="en-US" w:eastAsia="zh-CN"/>
        </w:rPr>
      </w:pPr>
    </w:p>
    <w:p>
      <w:pPr>
        <w:pStyle w:val="2"/>
        <w:keepNext/>
        <w:keepLines/>
        <w:pageBreakBefore w:val="0"/>
        <w:widowControl w:val="0"/>
        <w:numPr>
          <w:ilvl w:val="0"/>
          <w:numId w:val="1"/>
        </w:numPr>
        <w:kinsoku/>
        <w:wordWrap/>
        <w:overflowPunct/>
        <w:topLinePunct w:val="0"/>
        <w:autoSpaceDE/>
        <w:autoSpaceDN/>
        <w:bidi w:val="0"/>
        <w:adjustRightInd/>
        <w:snapToGrid/>
        <w:spacing w:before="0" w:after="0" w:line="360" w:lineRule="auto"/>
        <w:textAlignment w:val="auto"/>
        <w:rPr>
          <w:rFonts w:hint="default" w:ascii="Times New Roman" w:hAnsi="Times New Roman" w:cs="Times New Roman"/>
          <w:sz w:val="24"/>
          <w:szCs w:val="24"/>
          <w:lang w:val="en-US" w:eastAsia="zh-CN"/>
        </w:rPr>
      </w:pPr>
      <w:bookmarkStart w:id="26" w:name="_Toc10158"/>
      <w:r>
        <w:rPr>
          <w:rFonts w:hint="default" w:ascii="Times New Roman" w:hAnsi="Times New Roman" w:cs="Times New Roman"/>
          <w:sz w:val="24"/>
          <w:szCs w:val="24"/>
          <w:lang w:val="en-US" w:eastAsia="zh-CN"/>
        </w:rPr>
        <w:t>Recommendation</w:t>
      </w:r>
      <w:bookmarkEnd w:id="26"/>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Due to the downturn in asset turnover, which also impacted the company's sales capacity, asset utilization efficiency has declined.</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The decline in our credit ratings should be taken into consideration by Starbucks as it may restrict the amount of new funding that is available and raise the cost of acquiring financing to support our ambitions.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The company should employ more equity financing to cover its debts, which remain a vulnerability, as shown by the leverage ratios, as the company can reduce the interest costs that would be paid</w:t>
      </w:r>
      <w:r>
        <w:rPr>
          <w:rFonts w:hint="eastAsia" w:ascii="Times New Roman" w:hAnsi="Times New Roman" w:cs="Times New Roman"/>
          <w:b w:val="0"/>
          <w:bCs w:val="0"/>
          <w:sz w:val="24"/>
          <w:szCs w:val="24"/>
          <w:lang w:val="en-US" w:eastAsia="zh-CN"/>
        </w:rPr>
        <w:t xml:space="preserve"> </w:t>
      </w:r>
      <w:r>
        <w:rPr>
          <w:rFonts w:hint="default" w:ascii="Times New Roman" w:hAnsi="Times New Roman" w:cs="Times New Roman"/>
          <w:b w:val="0"/>
          <w:bCs w:val="0"/>
          <w:sz w:val="24"/>
          <w:szCs w:val="24"/>
          <w:lang w:val="en-US" w:eastAsia="zh-CN"/>
        </w:rPr>
        <w:t>if it utili</w:t>
      </w:r>
      <w:r>
        <w:rPr>
          <w:rFonts w:hint="eastAsia" w:ascii="Times New Roman" w:hAnsi="Times New Roman" w:cs="Times New Roman"/>
          <w:b w:val="0"/>
          <w:bCs w:val="0"/>
          <w:sz w:val="24"/>
          <w:szCs w:val="24"/>
          <w:lang w:val="en-US" w:eastAsia="zh-CN"/>
        </w:rPr>
        <w:t>s</w:t>
      </w:r>
      <w:r>
        <w:rPr>
          <w:rFonts w:hint="default" w:ascii="Times New Roman" w:hAnsi="Times New Roman" w:cs="Times New Roman"/>
          <w:b w:val="0"/>
          <w:bCs w:val="0"/>
          <w:sz w:val="24"/>
          <w:szCs w:val="24"/>
          <w:lang w:val="en-US" w:eastAsia="zh-CN"/>
        </w:rPr>
        <w:t>ed loans and other forms of financing</w:t>
      </w:r>
      <w:r>
        <w:rPr>
          <w:rFonts w:hint="eastAsia" w:ascii="Times New Roman" w:hAnsi="Times New Roman" w:cs="Times New Roman"/>
          <w:b w:val="0"/>
          <w:bCs w:val="0"/>
          <w:sz w:val="24"/>
          <w:szCs w:val="24"/>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Because it provides the company with the opportunity to assure development by ensuring that efficiency is high and they are receiving the most return possible to offset the current deficit they are facing, Starbucks should increase its working capital ratio.</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The company must enhance current asset acquisitions and keep tight control over inventory levels to make sure it has a strong liquidity position to handle its short obligations.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sz w:val="24"/>
          <w:szCs w:val="24"/>
          <w:lang w:val="en-US" w:eastAsia="zh-CN"/>
        </w:rPr>
      </w:pPr>
      <w:bookmarkStart w:id="39" w:name="_GoBack"/>
      <w:bookmarkEnd w:id="39"/>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eastAsia"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Part 2 Wales Company Investment Programme</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Executive Summary</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0"/>
        <w:jc w:val="both"/>
        <w:textAlignment w:val="auto"/>
        <w:rPr>
          <w:rFonts w:hint="eastAsia"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 xml:space="preserve">The aim of the </w:t>
      </w:r>
      <w:r>
        <w:rPr>
          <w:rFonts w:hint="eastAsia" w:ascii="Times New Roman" w:hAnsi="Times New Roman" w:eastAsia="宋体" w:cs="Times New Roman"/>
          <w:sz w:val="24"/>
          <w:szCs w:val="24"/>
          <w:lang w:val="en-US" w:eastAsia="zh-CN"/>
        </w:rPr>
        <w:t>report</w:t>
      </w:r>
      <w:r>
        <w:rPr>
          <w:rFonts w:hint="default" w:ascii="Times New Roman" w:hAnsi="Times New Roman" w:eastAsia="宋体" w:cs="Times New Roman"/>
          <w:sz w:val="24"/>
          <w:szCs w:val="24"/>
        </w:rPr>
        <w:t xml:space="preserve"> is to present how investment decisions are made </w:t>
      </w:r>
      <w:r>
        <w:rPr>
          <w:rFonts w:hint="eastAsia" w:ascii="Times New Roman" w:hAnsi="Times New Roman" w:eastAsia="宋体" w:cs="Times New Roman"/>
          <w:sz w:val="24"/>
          <w:szCs w:val="24"/>
          <w:lang w:val="en-US" w:eastAsia="zh-CN"/>
        </w:rPr>
        <w:t xml:space="preserve">for Wales Company on programme (A) or (B). </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0"/>
        <w:jc w:val="both"/>
        <w:textAlignment w:val="auto"/>
        <w:rPr>
          <w:rFonts w:hint="eastAsia" w:ascii="Times New Roman" w:hAnsi="Times New Roman" w:eastAsia="宋体" w:cs="Times New Roman"/>
          <w:i w:val="0"/>
          <w:iCs w:val="0"/>
          <w:color w:val="000000"/>
          <w:kern w:val="0"/>
          <w:sz w:val="24"/>
          <w:szCs w:val="24"/>
          <w:lang w:val="en-US" w:eastAsia="zh-CN" w:bidi="ar"/>
        </w:rPr>
      </w:pPr>
      <w:r>
        <w:rPr>
          <w:rFonts w:hint="eastAsia" w:ascii="Times New Roman" w:hAnsi="Times New Roman" w:eastAsia="宋体" w:cs="Times New Roman"/>
          <w:i w:val="0"/>
          <w:iCs w:val="0"/>
          <w:color w:val="000000"/>
          <w:kern w:val="0"/>
          <w:sz w:val="24"/>
          <w:szCs w:val="24"/>
          <w:lang w:val="en-US" w:eastAsia="zh-CN" w:bidi="ar"/>
        </w:rPr>
        <w:t xml:space="preserve">There are six sections to this report. </w:t>
      </w:r>
      <w:r>
        <w:rPr>
          <w:rFonts w:hint="default" w:ascii="Times New Roman" w:hAnsi="Times New Roman" w:eastAsia="宋体" w:cs="Times New Roman"/>
          <w:i w:val="0"/>
          <w:iCs w:val="0"/>
          <w:color w:val="000000"/>
          <w:kern w:val="0"/>
          <w:sz w:val="24"/>
          <w:szCs w:val="24"/>
          <w:lang w:val="en-US" w:eastAsia="zh-CN" w:bidi="ar"/>
        </w:rPr>
        <w:t xml:space="preserve">The first section includes a succinct </w:t>
      </w:r>
      <w:r>
        <w:rPr>
          <w:rFonts w:hint="eastAsia" w:ascii="Times New Roman" w:hAnsi="Times New Roman" w:eastAsia="宋体" w:cs="Times New Roman"/>
          <w:i w:val="0"/>
          <w:iCs w:val="0"/>
          <w:color w:val="000000"/>
          <w:kern w:val="0"/>
          <w:sz w:val="24"/>
          <w:szCs w:val="24"/>
          <w:lang w:val="en-US" w:eastAsia="zh-CN" w:bidi="ar"/>
        </w:rPr>
        <w:t>introduction</w:t>
      </w:r>
      <w:r>
        <w:rPr>
          <w:rFonts w:hint="default" w:ascii="Times New Roman" w:hAnsi="Times New Roman" w:eastAsia="宋体" w:cs="Times New Roman"/>
          <w:i w:val="0"/>
          <w:iCs w:val="0"/>
          <w:color w:val="000000"/>
          <w:kern w:val="0"/>
          <w:sz w:val="24"/>
          <w:szCs w:val="24"/>
          <w:lang w:val="en-US" w:eastAsia="zh-CN" w:bidi="ar"/>
        </w:rPr>
        <w:t xml:space="preserve"> of </w:t>
      </w:r>
      <w:r>
        <w:rPr>
          <w:rFonts w:hint="eastAsia" w:ascii="Times New Roman" w:hAnsi="Times New Roman" w:eastAsia="宋体" w:cs="Times New Roman"/>
          <w:i w:val="0"/>
          <w:iCs w:val="0"/>
          <w:color w:val="000000"/>
          <w:kern w:val="0"/>
          <w:sz w:val="24"/>
          <w:szCs w:val="24"/>
          <w:lang w:val="en-US" w:eastAsia="zh-CN" w:bidi="ar"/>
        </w:rPr>
        <w:t>investment decision</w:t>
      </w:r>
      <w:r>
        <w:rPr>
          <w:rFonts w:hint="default" w:ascii="Times New Roman" w:hAnsi="Times New Roman" w:eastAsia="宋体" w:cs="Times New Roman"/>
          <w:i w:val="0"/>
          <w:iCs w:val="0"/>
          <w:color w:val="000000"/>
          <w:kern w:val="0"/>
          <w:sz w:val="24"/>
          <w:szCs w:val="24"/>
          <w:lang w:val="en-US" w:eastAsia="zh-CN" w:bidi="ar"/>
        </w:rPr>
        <w:t>.</w:t>
      </w:r>
      <w:r>
        <w:rPr>
          <w:rFonts w:hint="eastAsia" w:ascii="Times New Roman" w:hAnsi="Times New Roman" w:eastAsia="宋体" w:cs="Times New Roman"/>
          <w:i w:val="0"/>
          <w:iCs w:val="0"/>
          <w:color w:val="000000"/>
          <w:kern w:val="0"/>
          <w:sz w:val="24"/>
          <w:szCs w:val="24"/>
          <w:lang w:val="en-US" w:eastAsia="zh-CN" w:bidi="ar"/>
        </w:rPr>
        <w:t xml:space="preserve"> </w:t>
      </w:r>
      <w:r>
        <w:rPr>
          <w:rFonts w:hint="default" w:ascii="Times New Roman" w:hAnsi="Times New Roman" w:eastAsia="宋体" w:cs="Times New Roman"/>
          <w:i w:val="0"/>
          <w:iCs w:val="0"/>
          <w:color w:val="000000"/>
          <w:kern w:val="0"/>
          <w:sz w:val="24"/>
          <w:szCs w:val="24"/>
          <w:lang w:val="en-US" w:eastAsia="zh-CN" w:bidi="ar"/>
        </w:rPr>
        <w:t xml:space="preserve">Second, </w:t>
      </w:r>
      <w:r>
        <w:rPr>
          <w:rFonts w:hint="eastAsia" w:ascii="Times New Roman" w:hAnsi="Times New Roman" w:eastAsia="宋体" w:cs="Times New Roman"/>
          <w:i w:val="0"/>
          <w:iCs w:val="0"/>
          <w:color w:val="000000"/>
          <w:kern w:val="0"/>
          <w:sz w:val="24"/>
          <w:szCs w:val="24"/>
          <w:lang w:val="en-US" w:eastAsia="zh-CN" w:bidi="ar"/>
        </w:rPr>
        <w:t>utilise four methods</w:t>
      </w:r>
      <w:r>
        <w:rPr>
          <w:rFonts w:hint="default" w:ascii="Times New Roman" w:hAnsi="Times New Roman" w:eastAsia="宋体" w:cs="Times New Roman"/>
          <w:i w:val="0"/>
          <w:iCs w:val="0"/>
          <w:color w:val="000000"/>
          <w:kern w:val="0"/>
          <w:sz w:val="24"/>
          <w:szCs w:val="24"/>
          <w:lang w:val="en-US" w:eastAsia="zh-CN" w:bidi="ar"/>
        </w:rPr>
        <w:t xml:space="preserve"> to study the </w:t>
      </w:r>
      <w:r>
        <w:rPr>
          <w:rFonts w:hint="eastAsia" w:ascii="Times New Roman" w:hAnsi="Times New Roman" w:eastAsia="宋体" w:cs="Times New Roman"/>
          <w:i w:val="0"/>
          <w:iCs w:val="0"/>
          <w:color w:val="000000"/>
          <w:kern w:val="0"/>
          <w:sz w:val="24"/>
          <w:szCs w:val="24"/>
          <w:lang w:val="en-US" w:eastAsia="zh-CN" w:bidi="ar"/>
        </w:rPr>
        <w:t>sound investment decision between two programme, including ARR, NPV, IRR and PP</w:t>
      </w:r>
      <w:r>
        <w:rPr>
          <w:rFonts w:hint="default" w:ascii="Times New Roman" w:hAnsi="Times New Roman" w:eastAsia="宋体" w:cs="Times New Roman"/>
          <w:i w:val="0"/>
          <w:iCs w:val="0"/>
          <w:color w:val="000000"/>
          <w:kern w:val="0"/>
          <w:sz w:val="24"/>
          <w:szCs w:val="24"/>
          <w:lang w:val="en-US" w:eastAsia="zh-CN" w:bidi="ar"/>
        </w:rPr>
        <w:t xml:space="preserve">. The third part is to </w:t>
      </w:r>
      <w:r>
        <w:rPr>
          <w:rFonts w:hint="eastAsia" w:ascii="Times New Roman" w:hAnsi="Times New Roman" w:eastAsia="宋体" w:cs="Times New Roman"/>
          <w:i w:val="0"/>
          <w:iCs w:val="0"/>
          <w:color w:val="000000"/>
          <w:kern w:val="0"/>
          <w:sz w:val="24"/>
          <w:szCs w:val="24"/>
          <w:lang w:val="en-US" w:eastAsia="zh-CN" w:bidi="ar"/>
        </w:rPr>
        <w:t>analyse why decision-makers continue to prefer non-discounting methods. The fourth part assesses other factors that should be considered before making an investment decision. Conclusion and recommendations are presented in the final two sections for Wales Company</w:t>
      </w:r>
      <w:r>
        <w:rPr>
          <w:rFonts w:hint="default" w:ascii="Times New Roman" w:hAnsi="Times New Roman" w:eastAsia="宋体" w:cs="Times New Roman"/>
          <w:i w:val="0"/>
          <w:iCs w:val="0"/>
          <w:color w:val="000000"/>
          <w:kern w:val="0"/>
          <w:sz w:val="24"/>
          <w:szCs w:val="24"/>
          <w:lang w:val="en-US" w:eastAsia="zh-CN" w:bidi="ar"/>
        </w:rPr>
        <w:t>’</w:t>
      </w:r>
      <w:r>
        <w:rPr>
          <w:rFonts w:hint="eastAsia" w:ascii="Times New Roman" w:hAnsi="Times New Roman" w:eastAsia="宋体" w:cs="Times New Roman"/>
          <w:i w:val="0"/>
          <w:iCs w:val="0"/>
          <w:color w:val="000000"/>
          <w:kern w:val="0"/>
          <w:sz w:val="24"/>
          <w:szCs w:val="24"/>
          <w:lang w:val="en-US" w:eastAsia="zh-CN" w:bidi="ar"/>
        </w:rPr>
        <w:t>s potential development.</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0"/>
        <w:jc w:val="both"/>
        <w:textAlignment w:val="auto"/>
        <w:rPr>
          <w:rFonts w:hint="eastAsia" w:ascii="Times New Roman" w:hAnsi="Times New Roman" w:eastAsia="宋体" w:cs="Times New Roman"/>
          <w:i w:val="0"/>
          <w:iCs w:val="0"/>
          <w:color w:val="000000"/>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0"/>
        <w:jc w:val="both"/>
        <w:textAlignment w:val="auto"/>
        <w:rPr>
          <w:rFonts w:hint="eastAsia" w:ascii="Times New Roman" w:hAnsi="Times New Roman" w:eastAsia="宋体" w:cs="Times New Roman"/>
          <w:i w:val="0"/>
          <w:iCs w:val="0"/>
          <w:color w:val="000000"/>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0"/>
        <w:jc w:val="both"/>
        <w:textAlignment w:val="auto"/>
        <w:rPr>
          <w:rFonts w:hint="eastAsia" w:ascii="Times New Roman" w:hAnsi="Times New Roman" w:eastAsia="宋体" w:cs="Times New Roman"/>
          <w:i w:val="0"/>
          <w:iCs w:val="0"/>
          <w:color w:val="000000"/>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0"/>
        <w:jc w:val="both"/>
        <w:textAlignment w:val="auto"/>
        <w:rPr>
          <w:rFonts w:hint="eastAsia" w:ascii="Times New Roman" w:hAnsi="Times New Roman" w:eastAsia="宋体" w:cs="Times New Roman"/>
          <w:i w:val="0"/>
          <w:iCs w:val="0"/>
          <w:color w:val="000000"/>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0"/>
        <w:jc w:val="both"/>
        <w:textAlignment w:val="auto"/>
        <w:rPr>
          <w:rFonts w:hint="eastAsia" w:ascii="Times New Roman" w:hAnsi="Times New Roman" w:eastAsia="宋体" w:cs="Times New Roman"/>
          <w:i w:val="0"/>
          <w:iCs w:val="0"/>
          <w:color w:val="000000"/>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0"/>
        <w:jc w:val="both"/>
        <w:textAlignment w:val="auto"/>
        <w:rPr>
          <w:rFonts w:hint="eastAsia" w:ascii="Times New Roman" w:hAnsi="Times New Roman" w:eastAsia="宋体" w:cs="Times New Roman"/>
          <w:i w:val="0"/>
          <w:iCs w:val="0"/>
          <w:color w:val="000000"/>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0"/>
        <w:jc w:val="both"/>
        <w:textAlignment w:val="auto"/>
        <w:rPr>
          <w:rFonts w:hint="eastAsia" w:ascii="Times New Roman" w:hAnsi="Times New Roman" w:eastAsia="宋体" w:cs="Times New Roman"/>
          <w:i w:val="0"/>
          <w:iCs w:val="0"/>
          <w:color w:val="000000"/>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0"/>
        <w:jc w:val="both"/>
        <w:textAlignment w:val="auto"/>
        <w:rPr>
          <w:rFonts w:hint="eastAsia" w:ascii="Times New Roman" w:hAnsi="Times New Roman" w:eastAsia="宋体" w:cs="Times New Roman"/>
          <w:i w:val="0"/>
          <w:iCs w:val="0"/>
          <w:color w:val="000000"/>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0"/>
        <w:jc w:val="both"/>
        <w:textAlignment w:val="auto"/>
        <w:rPr>
          <w:rFonts w:hint="eastAsia" w:ascii="Times New Roman" w:hAnsi="Times New Roman" w:eastAsia="宋体" w:cs="Times New Roman"/>
          <w:i w:val="0"/>
          <w:iCs w:val="0"/>
          <w:color w:val="000000"/>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0"/>
        <w:jc w:val="both"/>
        <w:textAlignment w:val="auto"/>
        <w:rPr>
          <w:rFonts w:hint="eastAsia" w:ascii="Times New Roman" w:hAnsi="Times New Roman" w:eastAsia="宋体" w:cs="Times New Roman"/>
          <w:i w:val="0"/>
          <w:iCs w:val="0"/>
          <w:color w:val="000000"/>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0"/>
        <w:jc w:val="both"/>
        <w:textAlignment w:val="auto"/>
        <w:rPr>
          <w:rFonts w:hint="eastAsia" w:ascii="Times New Roman" w:hAnsi="Times New Roman" w:eastAsia="宋体" w:cs="Times New Roman"/>
          <w:i w:val="0"/>
          <w:iCs w:val="0"/>
          <w:color w:val="000000"/>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0"/>
        <w:jc w:val="both"/>
        <w:textAlignment w:val="auto"/>
        <w:rPr>
          <w:rFonts w:hint="eastAsia" w:ascii="Times New Roman" w:hAnsi="Times New Roman" w:eastAsia="宋体" w:cs="Times New Roman"/>
          <w:i w:val="0"/>
          <w:iCs w:val="0"/>
          <w:color w:val="000000"/>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0"/>
        <w:jc w:val="both"/>
        <w:textAlignment w:val="auto"/>
        <w:rPr>
          <w:rFonts w:hint="eastAsia" w:ascii="Times New Roman" w:hAnsi="Times New Roman" w:eastAsia="宋体" w:cs="Times New Roman"/>
          <w:i w:val="0"/>
          <w:iCs w:val="0"/>
          <w:color w:val="000000"/>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eastAsia" w:ascii="Times New Roman" w:hAnsi="Times New Roman" w:eastAsia="宋体" w:cs="Times New Roman"/>
          <w:i w:val="0"/>
          <w:iCs w:val="0"/>
          <w:color w:val="000000"/>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eastAsia" w:ascii="Times New Roman" w:hAnsi="Times New Roman" w:eastAsia="宋体" w:cs="Times New Roman"/>
          <w:i w:val="0"/>
          <w:iCs w:val="0"/>
          <w:color w:val="000000"/>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eastAsia" w:ascii="Times New Roman" w:hAnsi="Times New Roman" w:eastAsia="宋体" w:cs="Times New Roman"/>
          <w:i w:val="0"/>
          <w:iCs w:val="0"/>
          <w:color w:val="000000"/>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eastAsia" w:ascii="Times New Roman" w:hAnsi="Times New Roman" w:eastAsia="宋体" w:cs="Times New Roman"/>
          <w:i w:val="0"/>
          <w:iCs w:val="0"/>
          <w:color w:val="000000"/>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eastAsia" w:ascii="Times New Roman" w:hAnsi="Times New Roman" w:eastAsia="宋体" w:cs="Times New Roman"/>
          <w:i w:val="0"/>
          <w:iCs w:val="0"/>
          <w:color w:val="000000"/>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eastAsia" w:ascii="Times New Roman" w:hAnsi="Times New Roman" w:eastAsia="宋体" w:cs="Times New Roman"/>
          <w:i w:val="0"/>
          <w:iCs w:val="0"/>
          <w:color w:val="000000"/>
          <w:kern w:val="0"/>
          <w:sz w:val="24"/>
          <w:szCs w:val="24"/>
          <w:lang w:val="en-US" w:eastAsia="zh-CN" w:bidi="ar"/>
        </w:rPr>
      </w:pPr>
    </w:p>
    <w:sdt>
      <w:sdtPr>
        <w:rPr>
          <w:rFonts w:hint="default" w:ascii="Times New Roman" w:hAnsi="Times New Roman" w:eastAsia="宋体" w:cs="Times New Roman"/>
          <w:b/>
          <w:bCs/>
          <w:kern w:val="2"/>
          <w:sz w:val="24"/>
          <w:szCs w:val="24"/>
          <w:lang w:val="en-US" w:eastAsia="zh-CN" w:bidi="ar-SA"/>
        </w:rPr>
        <w:id w:val="147456370"/>
        <w15:color w:val="DBDBDB"/>
        <w:docPartObj>
          <w:docPartGallery w:val="Table of Contents"/>
          <w:docPartUnique/>
        </w:docPartObj>
      </w:sdtPr>
      <w:sdtEndPr>
        <w:rPr>
          <w:rFonts w:hint="default" w:ascii="Times New Roman" w:hAnsi="Times New Roman" w:cs="Times New Roman" w:eastAsiaTheme="minorEastAsia"/>
          <w:b/>
          <w:bCs/>
          <w:kern w:val="2"/>
          <w:sz w:val="21"/>
          <w:szCs w:val="24"/>
          <w:lang w:val="en-US" w:eastAsia="zh-CN" w:bidi="ar-SA"/>
        </w:rPr>
      </w:sdtEndPr>
      <w:sdtContent>
        <w:p>
          <w:pPr>
            <w:spacing w:before="0" w:beforeLines="0" w:after="0" w:afterLines="0" w:line="240" w:lineRule="auto"/>
            <w:ind w:left="0" w:leftChars="0" w:right="0" w:rightChars="0" w:firstLine="0" w:firstLineChars="0"/>
            <w:jc w:val="center"/>
            <w:rPr>
              <w:rFonts w:hint="default" w:ascii="Times New Roman" w:hAnsi="Times New Roman" w:cs="Times New Roman"/>
              <w:b/>
              <w:bCs/>
              <w:sz w:val="24"/>
              <w:szCs w:val="24"/>
              <w:lang w:val="en-US"/>
            </w:rPr>
          </w:pPr>
          <w:r>
            <w:rPr>
              <w:rFonts w:hint="default" w:ascii="Times New Roman" w:hAnsi="Times New Roman" w:eastAsia="宋体" w:cs="Times New Roman"/>
              <w:b/>
              <w:bCs/>
              <w:kern w:val="2"/>
              <w:sz w:val="24"/>
              <w:szCs w:val="24"/>
              <w:lang w:val="en-US" w:eastAsia="zh-CN" w:bidi="ar-SA"/>
            </w:rPr>
            <w:t>CONTENT</w:t>
          </w:r>
        </w:p>
        <w:p>
          <w:pPr>
            <w:pStyle w:val="6"/>
            <w:tabs>
              <w:tab w:val="right" w:leader="dot" w:pos="8306"/>
            </w:tabs>
            <w:rPr>
              <w:rFonts w:hint="default" w:ascii="Times New Roman" w:hAnsi="Times New Roman" w:cs="Times New Roman"/>
            </w:rPr>
          </w:pPr>
          <w:r>
            <w:rPr>
              <w:rFonts w:hint="default" w:ascii="Times New Roman" w:hAnsi="Times New Roman" w:cs="Times New Roman"/>
              <w:b/>
              <w:bCs/>
              <w:sz w:val="24"/>
              <w:szCs w:val="24"/>
              <w:lang w:val="en-US" w:eastAsia="zh-CN"/>
            </w:rPr>
            <w:fldChar w:fldCharType="begin"/>
          </w:r>
          <w:r>
            <w:rPr>
              <w:rFonts w:hint="default" w:ascii="Times New Roman" w:hAnsi="Times New Roman" w:cs="Times New Roman"/>
              <w:b/>
              <w:bCs/>
              <w:sz w:val="24"/>
              <w:szCs w:val="24"/>
              <w:lang w:val="en-US" w:eastAsia="zh-CN"/>
            </w:rPr>
            <w:instrText xml:space="preserve">TOC \o "1-3" \h \u </w:instrText>
          </w:r>
          <w:r>
            <w:rPr>
              <w:rFonts w:hint="default" w:ascii="Times New Roman" w:hAnsi="Times New Roman" w:cs="Times New Roman"/>
              <w:b/>
              <w:bCs/>
              <w:sz w:val="24"/>
              <w:szCs w:val="24"/>
              <w:lang w:val="en-US" w:eastAsia="zh-CN"/>
            </w:rPr>
            <w:fldChar w:fldCharType="separate"/>
          </w: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_Toc8705 </w:instrText>
          </w:r>
          <w:r>
            <w:rPr>
              <w:rFonts w:hint="default" w:ascii="Times New Roman" w:hAnsi="Times New Roman" w:cs="Times New Roman"/>
              <w:bCs/>
              <w:szCs w:val="24"/>
              <w:lang w:val="en-US" w:eastAsia="zh-CN"/>
            </w:rPr>
            <w:fldChar w:fldCharType="separate"/>
          </w:r>
          <w:r>
            <w:rPr>
              <w:rFonts w:hint="default" w:ascii="Times New Roman" w:hAnsi="Times New Roman" w:cs="Times New Roman"/>
              <w:bCs/>
              <w:szCs w:val="24"/>
              <w:lang w:val="en-US" w:eastAsia="zh-CN"/>
            </w:rPr>
            <w:t xml:space="preserve">1. </w:t>
          </w:r>
          <w:r>
            <w:rPr>
              <w:rFonts w:hint="default" w:ascii="Times New Roman" w:hAnsi="Times New Roman" w:cs="Times New Roman"/>
              <w:szCs w:val="24"/>
              <w:lang w:val="en-US" w:eastAsia="zh-CN"/>
            </w:rPr>
            <w:t>Introduction</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_Toc8705 \h </w:instrText>
          </w:r>
          <w:r>
            <w:rPr>
              <w:rFonts w:hint="default" w:ascii="Times New Roman" w:hAnsi="Times New Roman" w:cs="Times New Roman"/>
            </w:rPr>
            <w:fldChar w:fldCharType="separate"/>
          </w:r>
          <w:r>
            <w:rPr>
              <w:rFonts w:hint="default" w:ascii="Times New Roman" w:hAnsi="Times New Roman" w:cs="Times New Roman"/>
            </w:rPr>
            <w:t>4</w:t>
          </w:r>
          <w:r>
            <w:rPr>
              <w:rFonts w:hint="default" w:ascii="Times New Roman" w:hAnsi="Times New Roman" w:cs="Times New Roman"/>
            </w:rPr>
            <w:fldChar w:fldCharType="end"/>
          </w:r>
          <w:r>
            <w:rPr>
              <w:rFonts w:hint="default" w:ascii="Times New Roman" w:hAnsi="Times New Roman" w:cs="Times New Roman"/>
              <w:bCs/>
              <w:szCs w:val="24"/>
              <w:lang w:val="en-US" w:eastAsia="zh-CN"/>
            </w:rPr>
            <w:fldChar w:fldCharType="end"/>
          </w:r>
        </w:p>
        <w:p>
          <w:pPr>
            <w:pStyle w:val="6"/>
            <w:tabs>
              <w:tab w:val="right" w:leader="dot" w:pos="8306"/>
            </w:tabs>
            <w:rPr>
              <w:rFonts w:hint="default" w:ascii="Times New Roman" w:hAnsi="Times New Roman" w:cs="Times New Roman"/>
            </w:rPr>
          </w:pP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_Toc9160 </w:instrText>
          </w:r>
          <w:r>
            <w:rPr>
              <w:rFonts w:hint="default" w:ascii="Times New Roman" w:hAnsi="Times New Roman" w:cs="Times New Roman"/>
              <w:bCs/>
              <w:szCs w:val="24"/>
              <w:lang w:val="en-US" w:eastAsia="zh-CN"/>
            </w:rPr>
            <w:fldChar w:fldCharType="separate"/>
          </w:r>
          <w:r>
            <w:rPr>
              <w:rFonts w:hint="default" w:ascii="Times New Roman" w:hAnsi="Times New Roman" w:cs="Times New Roman"/>
              <w:bCs/>
              <w:szCs w:val="24"/>
              <w:lang w:val="en-US" w:eastAsia="zh-CN"/>
            </w:rPr>
            <w:t xml:space="preserve">2. </w:t>
          </w:r>
          <w:r>
            <w:rPr>
              <w:rFonts w:hint="default" w:ascii="Times New Roman" w:hAnsi="Times New Roman" w:cs="Times New Roman"/>
              <w:szCs w:val="24"/>
              <w:lang w:val="en-US" w:eastAsia="zh-CN"/>
            </w:rPr>
            <w:t>Evaluation of Investment Options</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_Toc9160 \h </w:instrText>
          </w:r>
          <w:r>
            <w:rPr>
              <w:rFonts w:hint="default" w:ascii="Times New Roman" w:hAnsi="Times New Roman" w:cs="Times New Roman"/>
            </w:rPr>
            <w:fldChar w:fldCharType="separate"/>
          </w:r>
          <w:r>
            <w:rPr>
              <w:rFonts w:hint="default" w:ascii="Times New Roman" w:hAnsi="Times New Roman" w:cs="Times New Roman"/>
            </w:rPr>
            <w:t>5</w:t>
          </w:r>
          <w:r>
            <w:rPr>
              <w:rFonts w:hint="default" w:ascii="Times New Roman" w:hAnsi="Times New Roman" w:cs="Times New Roman"/>
            </w:rPr>
            <w:fldChar w:fldCharType="end"/>
          </w:r>
          <w:r>
            <w:rPr>
              <w:rFonts w:hint="default" w:ascii="Times New Roman" w:hAnsi="Times New Roman" w:cs="Times New Roman"/>
              <w:bCs/>
              <w:szCs w:val="24"/>
              <w:lang w:val="en-US" w:eastAsia="zh-CN"/>
            </w:rPr>
            <w:fldChar w:fldCharType="end"/>
          </w:r>
        </w:p>
        <w:p>
          <w:pPr>
            <w:pStyle w:val="7"/>
            <w:tabs>
              <w:tab w:val="right" w:leader="dot" w:pos="8306"/>
            </w:tabs>
            <w:rPr>
              <w:rFonts w:hint="default" w:ascii="Times New Roman" w:hAnsi="Times New Roman" w:cs="Times New Roman"/>
            </w:rPr>
          </w:pP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_Toc23217 </w:instrText>
          </w:r>
          <w:r>
            <w:rPr>
              <w:rFonts w:hint="default" w:ascii="Times New Roman" w:hAnsi="Times New Roman" w:cs="Times New Roman"/>
              <w:bCs/>
              <w:szCs w:val="24"/>
              <w:lang w:val="en-US" w:eastAsia="zh-CN"/>
            </w:rPr>
            <w:fldChar w:fldCharType="separate"/>
          </w:r>
          <w:r>
            <w:rPr>
              <w:rFonts w:hint="default" w:ascii="Times New Roman" w:hAnsi="Times New Roman" w:cs="Times New Roman"/>
              <w:szCs w:val="24"/>
              <w:lang w:val="en-US" w:eastAsia="zh-CN"/>
            </w:rPr>
            <w:t>2.1 Discounted Cash Flow Analysis</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_Toc23217 \h </w:instrText>
          </w:r>
          <w:r>
            <w:rPr>
              <w:rFonts w:hint="default" w:ascii="Times New Roman" w:hAnsi="Times New Roman" w:cs="Times New Roman"/>
            </w:rPr>
            <w:fldChar w:fldCharType="separate"/>
          </w:r>
          <w:r>
            <w:rPr>
              <w:rFonts w:hint="default" w:ascii="Times New Roman" w:hAnsi="Times New Roman" w:cs="Times New Roman"/>
            </w:rPr>
            <w:t>5</w:t>
          </w:r>
          <w:r>
            <w:rPr>
              <w:rFonts w:hint="default" w:ascii="Times New Roman" w:hAnsi="Times New Roman" w:cs="Times New Roman"/>
            </w:rPr>
            <w:fldChar w:fldCharType="end"/>
          </w:r>
          <w:r>
            <w:rPr>
              <w:rFonts w:hint="default" w:ascii="Times New Roman" w:hAnsi="Times New Roman" w:cs="Times New Roman"/>
              <w:bCs/>
              <w:szCs w:val="24"/>
              <w:lang w:val="en-US" w:eastAsia="zh-CN"/>
            </w:rPr>
            <w:fldChar w:fldCharType="end"/>
          </w:r>
        </w:p>
        <w:p>
          <w:pPr>
            <w:pStyle w:val="5"/>
            <w:tabs>
              <w:tab w:val="right" w:leader="dot" w:pos="8306"/>
            </w:tabs>
            <w:rPr>
              <w:rFonts w:hint="default" w:ascii="Times New Roman" w:hAnsi="Times New Roman" w:cs="Times New Roman"/>
            </w:rPr>
          </w:pP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_Toc23020 </w:instrText>
          </w:r>
          <w:r>
            <w:rPr>
              <w:rFonts w:hint="default" w:ascii="Times New Roman" w:hAnsi="Times New Roman" w:cs="Times New Roman"/>
              <w:bCs/>
              <w:szCs w:val="24"/>
              <w:lang w:val="en-US" w:eastAsia="zh-CN"/>
            </w:rPr>
            <w:fldChar w:fldCharType="separate"/>
          </w:r>
          <w:r>
            <w:rPr>
              <w:rFonts w:hint="default" w:ascii="Times New Roman" w:hAnsi="Times New Roman" w:cs="Times New Roman"/>
              <w:szCs w:val="24"/>
              <w:lang w:val="en-US" w:eastAsia="zh-CN"/>
            </w:rPr>
            <w:t>2.1.1 Net present value</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_Toc23020 \h </w:instrText>
          </w:r>
          <w:r>
            <w:rPr>
              <w:rFonts w:hint="default" w:ascii="Times New Roman" w:hAnsi="Times New Roman" w:cs="Times New Roman"/>
            </w:rPr>
            <w:fldChar w:fldCharType="separate"/>
          </w:r>
          <w:r>
            <w:rPr>
              <w:rFonts w:hint="default" w:ascii="Times New Roman" w:hAnsi="Times New Roman" w:cs="Times New Roman"/>
            </w:rPr>
            <w:t>5</w:t>
          </w:r>
          <w:r>
            <w:rPr>
              <w:rFonts w:hint="default" w:ascii="Times New Roman" w:hAnsi="Times New Roman" w:cs="Times New Roman"/>
            </w:rPr>
            <w:fldChar w:fldCharType="end"/>
          </w:r>
          <w:r>
            <w:rPr>
              <w:rFonts w:hint="default" w:ascii="Times New Roman" w:hAnsi="Times New Roman" w:cs="Times New Roman"/>
              <w:bCs/>
              <w:szCs w:val="24"/>
              <w:lang w:val="en-US" w:eastAsia="zh-CN"/>
            </w:rPr>
            <w:fldChar w:fldCharType="end"/>
          </w:r>
        </w:p>
        <w:p>
          <w:pPr>
            <w:pStyle w:val="5"/>
            <w:tabs>
              <w:tab w:val="right" w:leader="dot" w:pos="8306"/>
            </w:tabs>
            <w:rPr>
              <w:rFonts w:hint="default" w:ascii="Times New Roman" w:hAnsi="Times New Roman" w:cs="Times New Roman"/>
            </w:rPr>
          </w:pP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_Toc9805 </w:instrText>
          </w:r>
          <w:r>
            <w:rPr>
              <w:rFonts w:hint="default" w:ascii="Times New Roman" w:hAnsi="Times New Roman" w:cs="Times New Roman"/>
              <w:bCs/>
              <w:szCs w:val="24"/>
              <w:lang w:val="en-US" w:eastAsia="zh-CN"/>
            </w:rPr>
            <w:fldChar w:fldCharType="separate"/>
          </w:r>
          <w:r>
            <w:rPr>
              <w:rFonts w:hint="default" w:ascii="Times New Roman" w:hAnsi="Times New Roman" w:cs="Times New Roman"/>
              <w:szCs w:val="24"/>
              <w:lang w:val="en-US" w:eastAsia="zh-CN"/>
            </w:rPr>
            <w:t>2.1.2 Internal Rate of Return</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_Toc9805 \h </w:instrText>
          </w:r>
          <w:r>
            <w:rPr>
              <w:rFonts w:hint="default" w:ascii="Times New Roman" w:hAnsi="Times New Roman" w:cs="Times New Roman"/>
            </w:rPr>
            <w:fldChar w:fldCharType="separate"/>
          </w:r>
          <w:r>
            <w:rPr>
              <w:rFonts w:hint="default" w:ascii="Times New Roman" w:hAnsi="Times New Roman" w:cs="Times New Roman"/>
            </w:rPr>
            <w:t>6</w:t>
          </w:r>
          <w:r>
            <w:rPr>
              <w:rFonts w:hint="default" w:ascii="Times New Roman" w:hAnsi="Times New Roman" w:cs="Times New Roman"/>
            </w:rPr>
            <w:fldChar w:fldCharType="end"/>
          </w:r>
          <w:r>
            <w:rPr>
              <w:rFonts w:hint="default" w:ascii="Times New Roman" w:hAnsi="Times New Roman" w:cs="Times New Roman"/>
              <w:bCs/>
              <w:szCs w:val="24"/>
              <w:lang w:val="en-US" w:eastAsia="zh-CN"/>
            </w:rPr>
            <w:fldChar w:fldCharType="end"/>
          </w:r>
        </w:p>
        <w:p>
          <w:pPr>
            <w:pStyle w:val="7"/>
            <w:tabs>
              <w:tab w:val="right" w:leader="dot" w:pos="8306"/>
            </w:tabs>
            <w:rPr>
              <w:rFonts w:hint="default" w:ascii="Times New Roman" w:hAnsi="Times New Roman" w:cs="Times New Roman"/>
            </w:rPr>
          </w:pP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_Toc292 </w:instrText>
          </w:r>
          <w:r>
            <w:rPr>
              <w:rFonts w:hint="default" w:ascii="Times New Roman" w:hAnsi="Times New Roman" w:cs="Times New Roman"/>
              <w:bCs/>
              <w:szCs w:val="24"/>
              <w:lang w:val="en-US" w:eastAsia="zh-CN"/>
            </w:rPr>
            <w:fldChar w:fldCharType="separate"/>
          </w:r>
          <w:r>
            <w:rPr>
              <w:rFonts w:hint="default" w:ascii="Times New Roman" w:hAnsi="Times New Roman" w:cs="Times New Roman"/>
              <w:szCs w:val="24"/>
              <w:lang w:val="en-US" w:eastAsia="zh-CN"/>
            </w:rPr>
            <w:t>2.2 Non-discounting Approaches</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_Toc292 \h </w:instrText>
          </w:r>
          <w:r>
            <w:rPr>
              <w:rFonts w:hint="default" w:ascii="Times New Roman" w:hAnsi="Times New Roman" w:cs="Times New Roman"/>
            </w:rPr>
            <w:fldChar w:fldCharType="separate"/>
          </w:r>
          <w:r>
            <w:rPr>
              <w:rFonts w:hint="default" w:ascii="Times New Roman" w:hAnsi="Times New Roman" w:cs="Times New Roman"/>
            </w:rPr>
            <w:t>7</w:t>
          </w:r>
          <w:r>
            <w:rPr>
              <w:rFonts w:hint="default" w:ascii="Times New Roman" w:hAnsi="Times New Roman" w:cs="Times New Roman"/>
            </w:rPr>
            <w:fldChar w:fldCharType="end"/>
          </w:r>
          <w:r>
            <w:rPr>
              <w:rFonts w:hint="default" w:ascii="Times New Roman" w:hAnsi="Times New Roman" w:cs="Times New Roman"/>
              <w:bCs/>
              <w:szCs w:val="24"/>
              <w:lang w:val="en-US" w:eastAsia="zh-CN"/>
            </w:rPr>
            <w:fldChar w:fldCharType="end"/>
          </w:r>
        </w:p>
        <w:p>
          <w:pPr>
            <w:pStyle w:val="5"/>
            <w:tabs>
              <w:tab w:val="right" w:leader="dot" w:pos="8306"/>
            </w:tabs>
            <w:rPr>
              <w:rFonts w:hint="default" w:ascii="Times New Roman" w:hAnsi="Times New Roman" w:cs="Times New Roman"/>
            </w:rPr>
          </w:pP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_Toc5662 </w:instrText>
          </w:r>
          <w:r>
            <w:rPr>
              <w:rFonts w:hint="default" w:ascii="Times New Roman" w:hAnsi="Times New Roman" w:cs="Times New Roman"/>
              <w:bCs/>
              <w:szCs w:val="24"/>
              <w:lang w:val="en-US" w:eastAsia="zh-CN"/>
            </w:rPr>
            <w:fldChar w:fldCharType="separate"/>
          </w:r>
          <w:r>
            <w:rPr>
              <w:rFonts w:hint="default" w:ascii="Times New Roman" w:hAnsi="Times New Roman" w:cs="Times New Roman"/>
              <w:szCs w:val="24"/>
              <w:lang w:val="en-US" w:eastAsia="zh-CN"/>
            </w:rPr>
            <w:t>2.2.1 ARR</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_Toc5662 \h </w:instrText>
          </w:r>
          <w:r>
            <w:rPr>
              <w:rFonts w:hint="default" w:ascii="Times New Roman" w:hAnsi="Times New Roman" w:cs="Times New Roman"/>
            </w:rPr>
            <w:fldChar w:fldCharType="separate"/>
          </w:r>
          <w:r>
            <w:rPr>
              <w:rFonts w:hint="default" w:ascii="Times New Roman" w:hAnsi="Times New Roman" w:cs="Times New Roman"/>
            </w:rPr>
            <w:t>7</w:t>
          </w:r>
          <w:r>
            <w:rPr>
              <w:rFonts w:hint="default" w:ascii="Times New Roman" w:hAnsi="Times New Roman" w:cs="Times New Roman"/>
            </w:rPr>
            <w:fldChar w:fldCharType="end"/>
          </w:r>
          <w:r>
            <w:rPr>
              <w:rFonts w:hint="default" w:ascii="Times New Roman" w:hAnsi="Times New Roman" w:cs="Times New Roman"/>
              <w:bCs/>
              <w:szCs w:val="24"/>
              <w:lang w:val="en-US" w:eastAsia="zh-CN"/>
            </w:rPr>
            <w:fldChar w:fldCharType="end"/>
          </w:r>
        </w:p>
        <w:p>
          <w:pPr>
            <w:pStyle w:val="5"/>
            <w:tabs>
              <w:tab w:val="right" w:leader="dot" w:pos="8306"/>
            </w:tabs>
            <w:rPr>
              <w:rFonts w:hint="default" w:ascii="Times New Roman" w:hAnsi="Times New Roman" w:cs="Times New Roman"/>
            </w:rPr>
          </w:pP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_Toc30302 </w:instrText>
          </w:r>
          <w:r>
            <w:rPr>
              <w:rFonts w:hint="default" w:ascii="Times New Roman" w:hAnsi="Times New Roman" w:cs="Times New Roman"/>
              <w:bCs/>
              <w:szCs w:val="24"/>
              <w:lang w:val="en-US" w:eastAsia="zh-CN"/>
            </w:rPr>
            <w:fldChar w:fldCharType="separate"/>
          </w:r>
          <w:r>
            <w:rPr>
              <w:rFonts w:hint="default" w:ascii="Times New Roman" w:hAnsi="Times New Roman" w:cs="Times New Roman"/>
              <w:szCs w:val="24"/>
              <w:lang w:val="en-US" w:eastAsia="zh-CN"/>
            </w:rPr>
            <w:t>2.1.2 Payback period</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_Toc30302 \h </w:instrText>
          </w:r>
          <w:r>
            <w:rPr>
              <w:rFonts w:hint="default" w:ascii="Times New Roman" w:hAnsi="Times New Roman" w:cs="Times New Roman"/>
            </w:rPr>
            <w:fldChar w:fldCharType="separate"/>
          </w:r>
          <w:r>
            <w:rPr>
              <w:rFonts w:hint="default" w:ascii="Times New Roman" w:hAnsi="Times New Roman" w:cs="Times New Roman"/>
            </w:rPr>
            <w:t>8</w:t>
          </w:r>
          <w:r>
            <w:rPr>
              <w:rFonts w:hint="default" w:ascii="Times New Roman" w:hAnsi="Times New Roman" w:cs="Times New Roman"/>
            </w:rPr>
            <w:fldChar w:fldCharType="end"/>
          </w:r>
          <w:r>
            <w:rPr>
              <w:rFonts w:hint="default" w:ascii="Times New Roman" w:hAnsi="Times New Roman" w:cs="Times New Roman"/>
              <w:bCs/>
              <w:szCs w:val="24"/>
              <w:lang w:val="en-US" w:eastAsia="zh-CN"/>
            </w:rPr>
            <w:fldChar w:fldCharType="end"/>
          </w:r>
        </w:p>
        <w:p>
          <w:pPr>
            <w:pStyle w:val="6"/>
            <w:tabs>
              <w:tab w:val="right" w:leader="dot" w:pos="8306"/>
            </w:tabs>
            <w:rPr>
              <w:rFonts w:hint="default" w:ascii="Times New Roman" w:hAnsi="Times New Roman" w:cs="Times New Roman"/>
            </w:rPr>
          </w:pP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_Toc2305 </w:instrText>
          </w:r>
          <w:r>
            <w:rPr>
              <w:rFonts w:hint="default" w:ascii="Times New Roman" w:hAnsi="Times New Roman" w:cs="Times New Roman"/>
              <w:bCs/>
              <w:szCs w:val="24"/>
              <w:lang w:val="en-US" w:eastAsia="zh-CN"/>
            </w:rPr>
            <w:fldChar w:fldCharType="separate"/>
          </w:r>
          <w:r>
            <w:rPr>
              <w:rFonts w:hint="default" w:ascii="Times New Roman" w:hAnsi="Times New Roman" w:cs="Times New Roman"/>
              <w:bCs/>
              <w:szCs w:val="24"/>
              <w:lang w:val="en-US" w:eastAsia="zh-CN"/>
            </w:rPr>
            <w:t xml:space="preserve">3. </w:t>
          </w:r>
          <w:r>
            <w:rPr>
              <w:rFonts w:hint="default" w:ascii="Times New Roman" w:hAnsi="Times New Roman" w:cs="Times New Roman"/>
              <w:szCs w:val="24"/>
              <w:lang w:val="en-US" w:eastAsia="zh-CN"/>
            </w:rPr>
            <w:t>Popularity of non-discounting methods</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_Toc2305 \h </w:instrText>
          </w:r>
          <w:r>
            <w:rPr>
              <w:rFonts w:hint="default" w:ascii="Times New Roman" w:hAnsi="Times New Roman" w:cs="Times New Roman"/>
            </w:rPr>
            <w:fldChar w:fldCharType="separate"/>
          </w:r>
          <w:r>
            <w:rPr>
              <w:rFonts w:hint="default" w:ascii="Times New Roman" w:hAnsi="Times New Roman" w:cs="Times New Roman"/>
            </w:rPr>
            <w:t>10</w:t>
          </w:r>
          <w:r>
            <w:rPr>
              <w:rFonts w:hint="default" w:ascii="Times New Roman" w:hAnsi="Times New Roman" w:cs="Times New Roman"/>
            </w:rPr>
            <w:fldChar w:fldCharType="end"/>
          </w:r>
          <w:r>
            <w:rPr>
              <w:rFonts w:hint="default" w:ascii="Times New Roman" w:hAnsi="Times New Roman" w:cs="Times New Roman"/>
              <w:bCs/>
              <w:szCs w:val="24"/>
              <w:lang w:val="en-US" w:eastAsia="zh-CN"/>
            </w:rPr>
            <w:fldChar w:fldCharType="end"/>
          </w:r>
        </w:p>
        <w:p>
          <w:pPr>
            <w:pStyle w:val="6"/>
            <w:tabs>
              <w:tab w:val="right" w:leader="dot" w:pos="8306"/>
            </w:tabs>
            <w:rPr>
              <w:rFonts w:hint="default" w:ascii="Times New Roman" w:hAnsi="Times New Roman" w:cs="Times New Roman"/>
            </w:rPr>
          </w:pP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_Toc17443 </w:instrText>
          </w:r>
          <w:r>
            <w:rPr>
              <w:rFonts w:hint="default" w:ascii="Times New Roman" w:hAnsi="Times New Roman" w:cs="Times New Roman"/>
              <w:bCs/>
              <w:szCs w:val="24"/>
              <w:lang w:val="en-US" w:eastAsia="zh-CN"/>
            </w:rPr>
            <w:fldChar w:fldCharType="separate"/>
          </w:r>
          <w:r>
            <w:rPr>
              <w:rFonts w:hint="default" w:ascii="Times New Roman" w:hAnsi="Times New Roman" w:cs="Times New Roman"/>
              <w:bCs/>
              <w:szCs w:val="24"/>
              <w:lang w:val="en-US" w:eastAsia="zh-CN"/>
            </w:rPr>
            <w:t xml:space="preserve">4. </w:t>
          </w:r>
          <w:r>
            <w:rPr>
              <w:rFonts w:hint="default" w:ascii="Times New Roman" w:hAnsi="Times New Roman" w:cs="Times New Roman"/>
              <w:szCs w:val="24"/>
              <w:lang w:val="en-US" w:eastAsia="zh-CN"/>
            </w:rPr>
            <w:t>Other factors considered before making investment decision</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_Toc17443 \h </w:instrText>
          </w:r>
          <w:r>
            <w:rPr>
              <w:rFonts w:hint="default" w:ascii="Times New Roman" w:hAnsi="Times New Roman" w:cs="Times New Roman"/>
            </w:rPr>
            <w:fldChar w:fldCharType="separate"/>
          </w:r>
          <w:r>
            <w:rPr>
              <w:rFonts w:hint="default" w:ascii="Times New Roman" w:hAnsi="Times New Roman" w:cs="Times New Roman"/>
            </w:rPr>
            <w:t>10</w:t>
          </w:r>
          <w:r>
            <w:rPr>
              <w:rFonts w:hint="default" w:ascii="Times New Roman" w:hAnsi="Times New Roman" w:cs="Times New Roman"/>
            </w:rPr>
            <w:fldChar w:fldCharType="end"/>
          </w:r>
          <w:r>
            <w:rPr>
              <w:rFonts w:hint="default" w:ascii="Times New Roman" w:hAnsi="Times New Roman" w:cs="Times New Roman"/>
              <w:bCs/>
              <w:szCs w:val="24"/>
              <w:lang w:val="en-US" w:eastAsia="zh-CN"/>
            </w:rPr>
            <w:fldChar w:fldCharType="end"/>
          </w:r>
        </w:p>
        <w:p>
          <w:pPr>
            <w:pStyle w:val="6"/>
            <w:tabs>
              <w:tab w:val="right" w:leader="dot" w:pos="8306"/>
            </w:tabs>
            <w:rPr>
              <w:rFonts w:hint="default" w:ascii="Times New Roman" w:hAnsi="Times New Roman" w:cs="Times New Roman"/>
            </w:rPr>
          </w:pP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_Toc21004 </w:instrText>
          </w:r>
          <w:r>
            <w:rPr>
              <w:rFonts w:hint="default" w:ascii="Times New Roman" w:hAnsi="Times New Roman" w:cs="Times New Roman"/>
              <w:bCs/>
              <w:szCs w:val="24"/>
              <w:lang w:val="en-US" w:eastAsia="zh-CN"/>
            </w:rPr>
            <w:fldChar w:fldCharType="separate"/>
          </w:r>
          <w:r>
            <w:rPr>
              <w:rFonts w:hint="default" w:ascii="Times New Roman" w:hAnsi="Times New Roman" w:cs="Times New Roman"/>
              <w:bCs/>
              <w:szCs w:val="24"/>
              <w:lang w:val="en-US" w:eastAsia="zh-CN"/>
            </w:rPr>
            <w:t xml:space="preserve">5. </w:t>
          </w:r>
          <w:r>
            <w:rPr>
              <w:rFonts w:hint="default" w:ascii="Times New Roman" w:hAnsi="Times New Roman" w:cs="Times New Roman"/>
              <w:szCs w:val="24"/>
              <w:lang w:val="en-US" w:eastAsia="zh-CN"/>
            </w:rPr>
            <w:t>Recommendation</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_Toc21004 \h </w:instrText>
          </w:r>
          <w:r>
            <w:rPr>
              <w:rFonts w:hint="default" w:ascii="Times New Roman" w:hAnsi="Times New Roman" w:cs="Times New Roman"/>
            </w:rPr>
            <w:fldChar w:fldCharType="separate"/>
          </w:r>
          <w:r>
            <w:rPr>
              <w:rFonts w:hint="default" w:ascii="Times New Roman" w:hAnsi="Times New Roman" w:cs="Times New Roman"/>
            </w:rPr>
            <w:t>11</w:t>
          </w:r>
          <w:r>
            <w:rPr>
              <w:rFonts w:hint="default" w:ascii="Times New Roman" w:hAnsi="Times New Roman" w:cs="Times New Roman"/>
            </w:rPr>
            <w:fldChar w:fldCharType="end"/>
          </w:r>
          <w:r>
            <w:rPr>
              <w:rFonts w:hint="default" w:ascii="Times New Roman" w:hAnsi="Times New Roman" w:cs="Times New Roman"/>
              <w:bCs/>
              <w:szCs w:val="24"/>
              <w:lang w:val="en-US" w:eastAsia="zh-CN"/>
            </w:rPr>
            <w:fldChar w:fldCharType="end"/>
          </w:r>
        </w:p>
        <w:p>
          <w:pPr>
            <w:pStyle w:val="6"/>
            <w:tabs>
              <w:tab w:val="right" w:leader="dot" w:pos="8306"/>
            </w:tabs>
            <w:rPr>
              <w:rFonts w:hint="default" w:ascii="Times New Roman" w:hAnsi="Times New Roman" w:cs="Times New Roman"/>
            </w:rPr>
          </w:pP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_Toc24856 </w:instrText>
          </w:r>
          <w:r>
            <w:rPr>
              <w:rFonts w:hint="default" w:ascii="Times New Roman" w:hAnsi="Times New Roman" w:cs="Times New Roman"/>
              <w:bCs/>
              <w:szCs w:val="24"/>
              <w:lang w:val="en-US" w:eastAsia="zh-CN"/>
            </w:rPr>
            <w:fldChar w:fldCharType="separate"/>
          </w:r>
          <w:r>
            <w:rPr>
              <w:rFonts w:hint="default" w:ascii="Times New Roman" w:hAnsi="Times New Roman" w:cs="Times New Roman"/>
              <w:bCs/>
              <w:szCs w:val="24"/>
              <w:lang w:val="en-US" w:eastAsia="zh-CN"/>
            </w:rPr>
            <w:t xml:space="preserve">6. </w:t>
          </w:r>
          <w:r>
            <w:rPr>
              <w:rFonts w:hint="default" w:ascii="Times New Roman" w:hAnsi="Times New Roman" w:cs="Times New Roman"/>
              <w:szCs w:val="24"/>
              <w:lang w:val="en-US" w:eastAsia="zh-CN"/>
            </w:rPr>
            <w:t>Conclusion</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_Toc24856 \h </w:instrText>
          </w:r>
          <w:r>
            <w:rPr>
              <w:rFonts w:hint="default" w:ascii="Times New Roman" w:hAnsi="Times New Roman" w:cs="Times New Roman"/>
            </w:rPr>
            <w:fldChar w:fldCharType="separate"/>
          </w:r>
          <w:r>
            <w:rPr>
              <w:rFonts w:hint="default" w:ascii="Times New Roman" w:hAnsi="Times New Roman" w:cs="Times New Roman"/>
            </w:rPr>
            <w:t>12</w:t>
          </w:r>
          <w:r>
            <w:rPr>
              <w:rFonts w:hint="default" w:ascii="Times New Roman" w:hAnsi="Times New Roman" w:cs="Times New Roman"/>
            </w:rPr>
            <w:fldChar w:fldCharType="end"/>
          </w:r>
          <w:r>
            <w:rPr>
              <w:rFonts w:hint="default" w:ascii="Times New Roman" w:hAnsi="Times New Roman" w:cs="Times New Roman"/>
              <w:bCs/>
              <w:szCs w:val="24"/>
              <w:lang w:val="en-US" w:eastAsia="zh-CN"/>
            </w:rPr>
            <w:fldChar w:fldCharType="end"/>
          </w:r>
        </w:p>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eastAsiaTheme="minorEastAsia"/>
              <w:b/>
              <w:bCs/>
              <w:kern w:val="2"/>
              <w:sz w:val="21"/>
              <w:szCs w:val="24"/>
              <w:lang w:val="en-US" w:eastAsia="zh-CN" w:bidi="ar-SA"/>
            </w:rPr>
          </w:pPr>
          <w:r>
            <w:rPr>
              <w:rFonts w:hint="default" w:ascii="Times New Roman" w:hAnsi="Times New Roman" w:cs="Times New Roman"/>
              <w:bCs/>
              <w:szCs w:val="24"/>
              <w:lang w:val="en-US" w:eastAsia="zh-CN"/>
            </w:rPr>
            <w:fldChar w:fldCharType="end"/>
          </w:r>
        </w:p>
      </w:sdtContent>
    </w:sdt>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eastAsiaTheme="minorEastAsia"/>
          <w:b/>
          <w:bCs/>
          <w:kern w:val="2"/>
          <w:sz w:val="21"/>
          <w:szCs w:val="24"/>
          <w:lang w:val="en-US" w:eastAsia="zh-CN" w:bidi="ar-SA"/>
        </w:rPr>
      </w:pPr>
    </w:p>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eastAsiaTheme="minorEastAsia"/>
          <w:b/>
          <w:bCs/>
          <w:kern w:val="2"/>
          <w:sz w:val="21"/>
          <w:szCs w:val="24"/>
          <w:lang w:val="en-US" w:eastAsia="zh-CN" w:bidi="ar-SA"/>
        </w:rPr>
      </w:pPr>
    </w:p>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eastAsiaTheme="minorEastAsia"/>
          <w:b/>
          <w:bCs/>
          <w:kern w:val="2"/>
          <w:sz w:val="21"/>
          <w:szCs w:val="24"/>
          <w:lang w:val="en-US" w:eastAsia="zh-CN" w:bidi="ar-SA"/>
        </w:rPr>
      </w:pPr>
    </w:p>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eastAsiaTheme="minorEastAsia"/>
          <w:b/>
          <w:bCs/>
          <w:kern w:val="2"/>
          <w:sz w:val="21"/>
          <w:szCs w:val="24"/>
          <w:lang w:val="en-US" w:eastAsia="zh-CN" w:bidi="ar-SA"/>
        </w:rPr>
      </w:pPr>
    </w:p>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eastAsiaTheme="minorEastAsia"/>
          <w:b/>
          <w:bCs/>
          <w:kern w:val="2"/>
          <w:sz w:val="21"/>
          <w:szCs w:val="24"/>
          <w:lang w:val="en-US" w:eastAsia="zh-CN" w:bidi="ar-SA"/>
        </w:rPr>
      </w:pPr>
    </w:p>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eastAsiaTheme="minorEastAsia"/>
          <w:b/>
          <w:bCs/>
          <w:kern w:val="2"/>
          <w:sz w:val="21"/>
          <w:szCs w:val="24"/>
          <w:lang w:val="en-US" w:eastAsia="zh-CN" w:bidi="ar-SA"/>
        </w:rPr>
      </w:pPr>
    </w:p>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eastAsiaTheme="minorEastAsia"/>
          <w:b/>
          <w:bCs/>
          <w:kern w:val="2"/>
          <w:sz w:val="21"/>
          <w:szCs w:val="24"/>
          <w:lang w:val="en-US" w:eastAsia="zh-CN" w:bidi="ar-SA"/>
        </w:rPr>
      </w:pPr>
    </w:p>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eastAsiaTheme="minorEastAsia"/>
          <w:b/>
          <w:bCs/>
          <w:kern w:val="2"/>
          <w:sz w:val="21"/>
          <w:szCs w:val="24"/>
          <w:lang w:val="en-US" w:eastAsia="zh-CN" w:bidi="ar-SA"/>
        </w:rPr>
      </w:pPr>
    </w:p>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eastAsiaTheme="minorEastAsia"/>
          <w:b/>
          <w:bCs/>
          <w:kern w:val="2"/>
          <w:sz w:val="21"/>
          <w:szCs w:val="24"/>
          <w:lang w:val="en-US" w:eastAsia="zh-CN" w:bidi="ar-SA"/>
        </w:rPr>
      </w:pPr>
    </w:p>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eastAsiaTheme="minorEastAsia"/>
          <w:b/>
          <w:bCs/>
          <w:kern w:val="2"/>
          <w:sz w:val="21"/>
          <w:szCs w:val="24"/>
          <w:lang w:val="en-US" w:eastAsia="zh-CN" w:bidi="ar-SA"/>
        </w:rPr>
      </w:pPr>
    </w:p>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eastAsiaTheme="minorEastAsia"/>
          <w:b/>
          <w:bCs/>
          <w:kern w:val="2"/>
          <w:sz w:val="21"/>
          <w:szCs w:val="24"/>
          <w:lang w:val="en-US" w:eastAsia="zh-CN" w:bidi="ar-SA"/>
        </w:rPr>
      </w:pPr>
    </w:p>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eastAsiaTheme="minorEastAsia"/>
          <w:b/>
          <w:bCs/>
          <w:kern w:val="2"/>
          <w:sz w:val="21"/>
          <w:szCs w:val="24"/>
          <w:lang w:val="en-US" w:eastAsia="zh-CN" w:bidi="ar-SA"/>
        </w:rPr>
      </w:pPr>
    </w:p>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eastAsiaTheme="minorEastAsia"/>
          <w:b/>
          <w:bCs/>
          <w:kern w:val="2"/>
          <w:sz w:val="21"/>
          <w:szCs w:val="24"/>
          <w:lang w:val="en-US" w:eastAsia="zh-CN" w:bidi="ar-SA"/>
        </w:rPr>
      </w:pPr>
    </w:p>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eastAsiaTheme="minorEastAsia"/>
          <w:b/>
          <w:bCs/>
          <w:kern w:val="2"/>
          <w:sz w:val="21"/>
          <w:szCs w:val="24"/>
          <w:lang w:val="en-US" w:eastAsia="zh-CN" w:bidi="ar-SA"/>
        </w:rPr>
      </w:pPr>
    </w:p>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eastAsiaTheme="minorEastAsia"/>
          <w:b/>
          <w:bCs/>
          <w:kern w:val="2"/>
          <w:sz w:val="21"/>
          <w:szCs w:val="24"/>
          <w:lang w:val="en-US" w:eastAsia="zh-CN" w:bidi="ar-SA"/>
        </w:rPr>
      </w:pPr>
    </w:p>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eastAsiaTheme="minorEastAsia"/>
          <w:b/>
          <w:bCs/>
          <w:kern w:val="2"/>
          <w:sz w:val="21"/>
          <w:szCs w:val="24"/>
          <w:lang w:val="en-US" w:eastAsia="zh-CN" w:bidi="ar-SA"/>
        </w:rPr>
      </w:pPr>
    </w:p>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eastAsiaTheme="minorEastAsia"/>
          <w:b/>
          <w:bCs/>
          <w:kern w:val="2"/>
          <w:sz w:val="21"/>
          <w:szCs w:val="24"/>
          <w:lang w:val="en-US" w:eastAsia="zh-CN" w:bidi="ar-SA"/>
        </w:rPr>
      </w:pPr>
    </w:p>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eastAsiaTheme="minorEastAsia"/>
          <w:b/>
          <w:bCs/>
          <w:kern w:val="2"/>
          <w:sz w:val="21"/>
          <w:szCs w:val="24"/>
          <w:lang w:val="en-US" w:eastAsia="zh-CN" w:bidi="ar-SA"/>
        </w:rPr>
      </w:pPr>
    </w:p>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eastAsiaTheme="minorEastAsia"/>
          <w:b/>
          <w:bCs/>
          <w:kern w:val="2"/>
          <w:sz w:val="21"/>
          <w:szCs w:val="24"/>
          <w:lang w:val="en-US" w:eastAsia="zh-CN" w:bidi="ar-SA"/>
        </w:rPr>
      </w:pPr>
    </w:p>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eastAsiaTheme="minorEastAsia"/>
          <w:b/>
          <w:bCs/>
          <w:kern w:val="2"/>
          <w:sz w:val="21"/>
          <w:szCs w:val="24"/>
          <w:lang w:val="en-US" w:eastAsia="zh-CN" w:bidi="ar-SA"/>
        </w:rPr>
      </w:pPr>
    </w:p>
    <w:p>
      <w:pPr>
        <w:pStyle w:val="2"/>
        <w:keepNext/>
        <w:keepLines/>
        <w:pageBreakBefore w:val="0"/>
        <w:widowControl w:val="0"/>
        <w:numPr>
          <w:ilvl w:val="0"/>
          <w:numId w:val="2"/>
        </w:numPr>
        <w:kinsoku/>
        <w:wordWrap/>
        <w:overflowPunct/>
        <w:topLinePunct w:val="0"/>
        <w:autoSpaceDE/>
        <w:autoSpaceDN/>
        <w:bidi w:val="0"/>
        <w:adjustRightInd/>
        <w:snapToGrid/>
        <w:spacing w:before="0" w:after="0" w:line="360" w:lineRule="auto"/>
        <w:textAlignment w:val="auto"/>
        <w:rPr>
          <w:rFonts w:hint="default" w:ascii="Times New Roman" w:hAnsi="Times New Roman" w:cs="Times New Roman"/>
          <w:sz w:val="24"/>
          <w:szCs w:val="24"/>
          <w:lang w:val="en-US" w:eastAsia="zh-CN"/>
        </w:rPr>
      </w:pPr>
      <w:bookmarkStart w:id="27" w:name="_Toc8705"/>
      <w:r>
        <w:rPr>
          <w:rFonts w:hint="default" w:ascii="Times New Roman" w:hAnsi="Times New Roman" w:cs="Times New Roman"/>
          <w:sz w:val="24"/>
          <w:szCs w:val="24"/>
          <w:lang w:val="en-US" w:eastAsia="zh-CN"/>
        </w:rPr>
        <w:t>Introduction</w:t>
      </w:r>
      <w:bookmarkEnd w:id="27"/>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For a business to grow and survive in the fierce marketplace, it must make investments.</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An organi</w:t>
      </w:r>
      <w:r>
        <w:rPr>
          <w:rFonts w:hint="eastAsia" w:ascii="Times New Roman" w:hAnsi="Times New Roman" w:eastAsia="宋体" w:cs="Times New Roman"/>
          <w:sz w:val="24"/>
          <w:szCs w:val="24"/>
          <w:lang w:val="en-US" w:eastAsia="zh-CN"/>
        </w:rPr>
        <w:t>s</w:t>
      </w:r>
      <w:r>
        <w:rPr>
          <w:rFonts w:hint="default" w:ascii="Times New Roman" w:hAnsi="Times New Roman" w:eastAsia="宋体" w:cs="Times New Roman"/>
          <w:sz w:val="24"/>
          <w:szCs w:val="24"/>
        </w:rPr>
        <w:t>ation's long-term capital assets are distributed with a concentration on tactical capital spending. It emphasized the importance of cash flow over profit (Pike et al., 2018).</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For businesses to survive and succeed in the long run, good financial management and capital investment decisions are essential.</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eastAsia="sans-serif" w:cs="Times New Roman"/>
          <w:i w:val="0"/>
          <w:iCs w:val="0"/>
          <w:caps w:val="0"/>
          <w:color w:val="1C1D1E"/>
          <w:spacing w:val="0"/>
          <w:sz w:val="24"/>
          <w:szCs w:val="24"/>
          <w:shd w:val="clear" w:fill="FFFFFF"/>
        </w:rPr>
      </w:pPr>
      <w:r>
        <w:rPr>
          <w:rFonts w:hint="default" w:ascii="Times New Roman" w:hAnsi="Times New Roman" w:eastAsia="sans-serif" w:cs="Times New Roman"/>
          <w:i w:val="0"/>
          <w:iCs w:val="0"/>
          <w:caps w:val="0"/>
          <w:color w:val="1C1D1E"/>
          <w:spacing w:val="0"/>
          <w:sz w:val="24"/>
          <w:szCs w:val="24"/>
          <w:shd w:val="clear" w:fill="FFFFFF"/>
        </w:rPr>
        <w:t>Investment choices allow businesses to put money into actual assets, which bring in money and provide revenues to assist the business pay its debts and stay afloat (Brealey et al., 2011).</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eastAsia="sans-serif" w:cs="Times New Roman"/>
          <w:i w:val="0"/>
          <w:iCs w:val="0"/>
          <w:caps w:val="0"/>
          <w:color w:val="1C1D1E"/>
          <w:spacing w:val="0"/>
          <w:sz w:val="24"/>
          <w:szCs w:val="24"/>
          <w:shd w:val="clear" w:fill="FFFFFF"/>
        </w:rPr>
      </w:pPr>
      <w:r>
        <w:rPr>
          <w:rFonts w:hint="default" w:ascii="Times New Roman" w:hAnsi="Times New Roman" w:eastAsia="sans-serif" w:cs="Times New Roman"/>
          <w:i w:val="0"/>
          <w:iCs w:val="0"/>
          <w:caps w:val="0"/>
          <w:color w:val="1C1D1E"/>
          <w:spacing w:val="0"/>
          <w:sz w:val="24"/>
          <w:szCs w:val="24"/>
          <w:shd w:val="clear" w:fill="FFFFFF"/>
        </w:rPr>
        <w:t>Analysis of potential investments in long-term assets that are anticipated to yield benefits is done through capital budgeting (Peterson and Fabozzi, 2002). Each investment study should contain a DCF, which incorporates several discounting models such as NPV and IRR and considers the time value of money (Brigham and Ehrhardt, 2002).</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eastAsia="宋体" w:cs="Times New Roman"/>
          <w:b/>
          <w:bCs/>
          <w:sz w:val="24"/>
          <w:szCs w:val="24"/>
          <w:lang w:val="en-US" w:eastAsia="zh-CN"/>
        </w:rPr>
      </w:pPr>
      <w:r>
        <w:rPr>
          <w:rFonts w:hint="eastAsia" w:ascii="Times New Roman" w:hAnsi="Times New Roman" w:eastAsia="宋体" w:cs="Times New Roman"/>
          <w:i w:val="0"/>
          <w:iCs w:val="0"/>
          <w:caps w:val="0"/>
          <w:color w:val="1C1D1E"/>
          <w:spacing w:val="0"/>
          <w:sz w:val="24"/>
          <w:szCs w:val="24"/>
          <w:shd w:val="clear" w:fill="FFFFFF"/>
          <w:lang w:val="en-US" w:eastAsia="zh-CN"/>
        </w:rPr>
        <w:t>Moreover, there are a few investment analysis tools that do not use cash flow discounting. Among them, the accounting rate of return (ARR) and payback period (PP) are the two most widely used (Ross, 2007).</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hAnsi="Cambria Math" w:cs="Times New Roman"/>
          <w:bCs/>
          <w:i w:val="0"/>
          <w:sz w:val="24"/>
          <w:szCs w:val="24"/>
          <w:lang w:val="en-US" w:eastAsia="zh-CN"/>
        </w:rPr>
      </w:pPr>
    </w:p>
    <w:p>
      <w:pPr>
        <w:pStyle w:val="2"/>
        <w:keepNext/>
        <w:keepLines/>
        <w:pageBreakBefore w:val="0"/>
        <w:widowControl w:val="0"/>
        <w:numPr>
          <w:ilvl w:val="0"/>
          <w:numId w:val="2"/>
        </w:numPr>
        <w:kinsoku/>
        <w:wordWrap/>
        <w:overflowPunct/>
        <w:topLinePunct w:val="0"/>
        <w:autoSpaceDE/>
        <w:autoSpaceDN/>
        <w:bidi w:val="0"/>
        <w:adjustRightInd/>
        <w:snapToGrid/>
        <w:spacing w:before="0" w:after="0" w:line="360" w:lineRule="auto"/>
        <w:textAlignment w:val="auto"/>
        <w:rPr>
          <w:rFonts w:hint="default" w:ascii="Times New Roman" w:hAnsi="Times New Roman" w:cs="Times New Roman"/>
          <w:sz w:val="24"/>
          <w:szCs w:val="24"/>
          <w:lang w:val="en-US" w:eastAsia="zh-CN"/>
        </w:rPr>
      </w:pPr>
      <w:bookmarkStart w:id="28" w:name="_Toc9160"/>
      <w:r>
        <w:rPr>
          <w:rFonts w:hint="default" w:ascii="Times New Roman" w:hAnsi="Times New Roman" w:cs="Times New Roman"/>
          <w:sz w:val="24"/>
          <w:szCs w:val="24"/>
          <w:lang w:val="en-US" w:eastAsia="zh-CN"/>
        </w:rPr>
        <w:t>Evaluation of Investment Options</w:t>
      </w:r>
      <w:bookmarkEnd w:id="28"/>
    </w:p>
    <w:p>
      <w:pPr>
        <w:pStyle w:val="3"/>
        <w:keepNext/>
        <w:keepLines/>
        <w:pageBreakBefore w:val="0"/>
        <w:widowControl w:val="0"/>
        <w:kinsoku/>
        <w:wordWrap/>
        <w:overflowPunct/>
        <w:topLinePunct w:val="0"/>
        <w:autoSpaceDE/>
        <w:autoSpaceDN/>
        <w:bidi w:val="0"/>
        <w:adjustRightInd/>
        <w:snapToGrid/>
        <w:spacing w:before="0" w:after="0" w:line="360" w:lineRule="auto"/>
        <w:textAlignment w:val="auto"/>
        <w:rPr>
          <w:rFonts w:hint="default" w:ascii="Times New Roman" w:hAnsi="Times New Roman" w:cs="Times New Roman"/>
          <w:sz w:val="24"/>
          <w:szCs w:val="24"/>
          <w:lang w:val="en-US" w:eastAsia="zh-CN"/>
        </w:rPr>
      </w:pPr>
      <w:bookmarkStart w:id="29" w:name="_Toc23217"/>
      <w:r>
        <w:rPr>
          <w:rFonts w:hint="default" w:ascii="Times New Roman" w:hAnsi="Times New Roman" w:cs="Times New Roman"/>
          <w:sz w:val="24"/>
          <w:szCs w:val="24"/>
          <w:lang w:val="en-US" w:eastAsia="zh-CN"/>
        </w:rPr>
        <w:t>2.1 Discounted Cash Flow Analysis</w:t>
      </w:r>
      <w:bookmarkEnd w:id="29"/>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eastAsia="宋体" w:cs="Times New Roman"/>
          <w:i w:val="0"/>
          <w:iCs w:val="0"/>
          <w:caps w:val="0"/>
          <w:color w:val="auto"/>
          <w:spacing w:val="0"/>
          <w:sz w:val="24"/>
          <w:szCs w:val="24"/>
          <w:shd w:val="clear" w:fill="FFFFFF"/>
          <w:lang w:val="en-US" w:eastAsia="zh-CN"/>
        </w:rPr>
      </w:pPr>
      <w:r>
        <w:rPr>
          <w:rFonts w:hint="eastAsia" w:ascii="Times New Roman" w:hAnsi="Times New Roman" w:eastAsia="宋体" w:cs="Times New Roman"/>
          <w:i w:val="0"/>
          <w:iCs w:val="0"/>
          <w:caps w:val="0"/>
          <w:color w:val="auto"/>
          <w:spacing w:val="0"/>
          <w:sz w:val="24"/>
          <w:szCs w:val="24"/>
          <w:shd w:val="clear" w:fill="FFFFFF"/>
          <w:lang w:val="en-US" w:eastAsia="zh-CN"/>
        </w:rPr>
        <w:t>Discounted cash flow (DCF) analysis is commonly employed as a financial and economic method to evaluate the sustainability of an investment and in capital budgeting (David and Maria, 2008).</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eastAsia="宋体" w:cs="Times New Roman"/>
          <w:i w:val="0"/>
          <w:iCs w:val="0"/>
          <w:caps w:val="0"/>
          <w:color w:val="auto"/>
          <w:spacing w:val="0"/>
          <w:sz w:val="24"/>
          <w:szCs w:val="24"/>
          <w:shd w:val="clear" w:fill="FFFFFF"/>
          <w:lang w:val="en-US" w:eastAsia="zh-CN"/>
        </w:rPr>
      </w:pPr>
      <w:r>
        <w:rPr>
          <w:rFonts w:hint="eastAsia" w:ascii="Times New Roman" w:hAnsi="Times New Roman" w:eastAsia="宋体" w:cs="Times New Roman"/>
          <w:i w:val="0"/>
          <w:iCs w:val="0"/>
          <w:caps w:val="0"/>
          <w:color w:val="auto"/>
          <w:spacing w:val="0"/>
          <w:sz w:val="24"/>
          <w:szCs w:val="24"/>
          <w:shd w:val="clear" w:fill="FFFFFF"/>
          <w:lang w:val="en-US" w:eastAsia="zh-CN"/>
        </w:rPr>
        <w:t>It emphasizes the significance of the time value of money theory. Most major commercial organizations use net present value (NPV) and internal rate of return (IRR), which are seen as more comprehensive than the conventional payback and accounting rate of return approaches.</w:t>
      </w:r>
    </w:p>
    <w:p>
      <w:pPr>
        <w:pStyle w:val="4"/>
        <w:keepNext/>
        <w:keepLines/>
        <w:pageBreakBefore w:val="0"/>
        <w:widowControl w:val="0"/>
        <w:kinsoku/>
        <w:wordWrap/>
        <w:overflowPunct/>
        <w:topLinePunct w:val="0"/>
        <w:autoSpaceDE/>
        <w:autoSpaceDN/>
        <w:bidi w:val="0"/>
        <w:adjustRightInd/>
        <w:snapToGrid/>
        <w:spacing w:before="0" w:after="0" w:line="360" w:lineRule="auto"/>
        <w:textAlignment w:val="auto"/>
        <w:rPr>
          <w:rFonts w:hint="default" w:ascii="Times New Roman" w:hAnsi="Times New Roman" w:cs="Times New Roman"/>
          <w:sz w:val="24"/>
          <w:szCs w:val="24"/>
          <w:lang w:val="en-US" w:eastAsia="zh-CN"/>
        </w:rPr>
      </w:pPr>
      <w:bookmarkStart w:id="30" w:name="_Toc23020"/>
      <w:r>
        <w:rPr>
          <w:rFonts w:hint="default" w:ascii="Times New Roman" w:hAnsi="Times New Roman" w:cs="Times New Roman"/>
          <w:sz w:val="24"/>
          <w:szCs w:val="24"/>
          <w:lang w:val="en-US" w:eastAsia="zh-CN"/>
        </w:rPr>
        <w:t>2.1.1 Net present value</w:t>
      </w:r>
      <w:bookmarkEnd w:id="30"/>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Net present value is calculated by deducting the initial expenditures from the total of the net yearly cash flows, which have been discounted at a rat</w:t>
      </w:r>
      <w:r>
        <w:rPr>
          <w:rFonts w:hint="eastAsia" w:ascii="Times New Roman" w:hAnsi="Times New Roman" w:eastAsia="宋体" w:cs="Times New Roman"/>
          <w:sz w:val="24"/>
          <w:szCs w:val="24"/>
          <w:lang w:val="en-US" w:eastAsia="zh-CN"/>
        </w:rPr>
        <w:t>io</w:t>
      </w:r>
      <w:r>
        <w:rPr>
          <w:rFonts w:hint="default" w:ascii="Times New Roman" w:hAnsi="Times New Roman" w:eastAsia="宋体" w:cs="Times New Roman"/>
          <w:sz w:val="24"/>
          <w:szCs w:val="24"/>
        </w:rPr>
        <w:t xml:space="preserve"> that re</w:t>
      </w:r>
      <w:r>
        <w:rPr>
          <w:rFonts w:hint="eastAsia" w:ascii="Times New Roman" w:hAnsi="Times New Roman" w:eastAsia="宋体" w:cs="Times New Roman"/>
          <w:sz w:val="24"/>
          <w:szCs w:val="24"/>
          <w:lang w:val="en-US" w:eastAsia="zh-CN"/>
        </w:rPr>
        <w:t>flects</w:t>
      </w:r>
      <w:r>
        <w:rPr>
          <w:rFonts w:hint="default" w:ascii="Times New Roman" w:hAnsi="Times New Roman" w:eastAsia="宋体" w:cs="Times New Roman"/>
          <w:sz w:val="24"/>
          <w:szCs w:val="24"/>
        </w:rPr>
        <w:t xml:space="preserve"> the cost of </w:t>
      </w:r>
      <w:r>
        <w:rPr>
          <w:rFonts w:hint="eastAsia" w:ascii="Times New Roman" w:hAnsi="Times New Roman" w:eastAsia="宋体" w:cs="Times New Roman"/>
          <w:sz w:val="24"/>
          <w:szCs w:val="24"/>
          <w:lang w:val="en-US" w:eastAsia="zh-CN"/>
        </w:rPr>
        <w:t>an investment in the</w:t>
      </w:r>
      <w:r>
        <w:rPr>
          <w:rFonts w:hint="default" w:ascii="Times New Roman" w:hAnsi="Times New Roman" w:eastAsia="宋体" w:cs="Times New Roman"/>
          <w:sz w:val="24"/>
          <w:szCs w:val="24"/>
        </w:rPr>
        <w:t xml:space="preserve"> </w:t>
      </w:r>
      <w:r>
        <w:rPr>
          <w:rFonts w:hint="eastAsia" w:ascii="Times New Roman" w:hAnsi="Times New Roman" w:eastAsia="宋体" w:cs="Times New Roman"/>
          <w:sz w:val="24"/>
          <w:szCs w:val="24"/>
          <w:lang w:val="en-US" w:eastAsia="zh-CN"/>
        </w:rPr>
        <w:t>financial</w:t>
      </w:r>
      <w:r>
        <w:rPr>
          <w:rFonts w:hint="default" w:ascii="Times New Roman" w:hAnsi="Times New Roman" w:eastAsia="宋体" w:cs="Times New Roman"/>
          <w:sz w:val="24"/>
          <w:szCs w:val="24"/>
        </w:rPr>
        <w:t xml:space="preserve"> market with a </w:t>
      </w:r>
      <w:r>
        <w:rPr>
          <w:rFonts w:hint="eastAsia" w:ascii="Times New Roman" w:hAnsi="Times New Roman" w:eastAsia="宋体" w:cs="Times New Roman"/>
          <w:sz w:val="24"/>
          <w:szCs w:val="24"/>
          <w:lang w:val="en-US" w:eastAsia="zh-CN"/>
        </w:rPr>
        <w:t>comparable</w:t>
      </w:r>
      <w:r>
        <w:rPr>
          <w:rFonts w:hint="default" w:ascii="Times New Roman" w:hAnsi="Times New Roman" w:eastAsia="宋体" w:cs="Times New Roman"/>
          <w:sz w:val="24"/>
          <w:szCs w:val="24"/>
        </w:rPr>
        <w:t xml:space="preserve"> risk level. If a project has a positive NPV, it is viable.</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NPV takes time value of money into consideration. Discounting converts cash flows at many different times to a single valuation foundation, allowing for direct comparison. It </w:t>
      </w:r>
      <w:r>
        <w:rPr>
          <w:rFonts w:hint="eastAsia" w:ascii="Times New Roman" w:hAnsi="Times New Roman" w:eastAsia="宋体" w:cs="Times New Roman"/>
          <w:sz w:val="24"/>
          <w:szCs w:val="24"/>
          <w:lang w:val="en-US" w:eastAsia="zh-CN"/>
        </w:rPr>
        <w:t>has a close</w:t>
      </w:r>
      <w:r>
        <w:rPr>
          <w:rFonts w:hint="default" w:ascii="Times New Roman" w:hAnsi="Times New Roman" w:eastAsia="宋体" w:cs="Times New Roman"/>
          <w:sz w:val="24"/>
          <w:szCs w:val="24"/>
        </w:rPr>
        <w:t xml:space="preserve"> </w:t>
      </w:r>
      <w:r>
        <w:rPr>
          <w:rFonts w:hint="eastAsia" w:ascii="Times New Roman" w:hAnsi="Times New Roman" w:eastAsia="宋体" w:cs="Times New Roman"/>
          <w:sz w:val="24"/>
          <w:szCs w:val="24"/>
          <w:lang w:val="en-US" w:eastAsia="zh-CN"/>
        </w:rPr>
        <w:t>connection</w:t>
      </w:r>
      <w:r>
        <w:rPr>
          <w:rFonts w:hint="default" w:ascii="Times New Roman" w:hAnsi="Times New Roman" w:eastAsia="宋体" w:cs="Times New Roman"/>
          <w:sz w:val="24"/>
          <w:szCs w:val="24"/>
        </w:rPr>
        <w:t xml:space="preserve"> to the </w:t>
      </w:r>
      <w:r>
        <w:rPr>
          <w:rFonts w:hint="eastAsia" w:ascii="Times New Roman" w:hAnsi="Times New Roman" w:eastAsia="宋体" w:cs="Times New Roman"/>
          <w:sz w:val="24"/>
          <w:szCs w:val="24"/>
          <w:lang w:val="en-US" w:eastAsia="zh-CN"/>
        </w:rPr>
        <w:t xml:space="preserve">objective </w:t>
      </w:r>
      <w:r>
        <w:rPr>
          <w:rFonts w:hint="default" w:ascii="Times New Roman" w:hAnsi="Times New Roman" w:eastAsia="宋体" w:cs="Times New Roman"/>
          <w:sz w:val="24"/>
          <w:szCs w:val="24"/>
        </w:rPr>
        <w:t xml:space="preserve">of </w:t>
      </w:r>
      <w:r>
        <w:rPr>
          <w:rFonts w:hint="eastAsia" w:ascii="Times New Roman" w:hAnsi="Times New Roman" w:eastAsia="宋体" w:cs="Times New Roman"/>
          <w:sz w:val="24"/>
          <w:szCs w:val="24"/>
          <w:lang w:val="en-US" w:eastAsia="zh-CN"/>
        </w:rPr>
        <w:t>investors</w:t>
      </w:r>
      <w:r>
        <w:rPr>
          <w:rFonts w:hint="default" w:ascii="Times New Roman" w:hAnsi="Times New Roman" w:eastAsia="宋体" w:cs="Times New Roman"/>
          <w:sz w:val="24"/>
          <w:szCs w:val="24"/>
          <w:lang w:val="en-US" w:eastAsia="zh-CN"/>
        </w:rPr>
        <w:t>’</w:t>
      </w:r>
      <w:r>
        <w:rPr>
          <w:rFonts w:hint="default" w:ascii="Times New Roman" w:hAnsi="Times New Roman" w:eastAsia="宋体" w:cs="Times New Roman"/>
          <w:sz w:val="24"/>
          <w:szCs w:val="24"/>
        </w:rPr>
        <w:t xml:space="preserve"> </w:t>
      </w:r>
      <w:r>
        <w:rPr>
          <w:rFonts w:hint="eastAsia" w:ascii="Times New Roman" w:hAnsi="Times New Roman" w:eastAsia="宋体" w:cs="Times New Roman"/>
          <w:sz w:val="24"/>
          <w:szCs w:val="24"/>
          <w:lang w:val="en-US" w:eastAsia="zh-CN"/>
        </w:rPr>
        <w:t>return</w:t>
      </w:r>
      <w:r>
        <w:rPr>
          <w:rFonts w:hint="default" w:ascii="Times New Roman" w:hAnsi="Times New Roman" w:eastAsia="宋体" w:cs="Times New Roman"/>
          <w:sz w:val="24"/>
          <w:szCs w:val="24"/>
        </w:rPr>
        <w:t>.</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eastAsia="宋体" w:cs="Times New Roman"/>
          <w:b/>
          <w:bCs/>
          <w:sz w:val="24"/>
          <w:szCs w:val="24"/>
          <w:lang w:val="en-US" w:eastAsia="zh-CN"/>
        </w:rPr>
      </w:pPr>
      <w:r>
        <w:rPr>
          <w:rFonts w:hint="eastAsia" w:ascii="Times New Roman" w:hAnsi="Times New Roman" w:eastAsia="宋体" w:cs="Times New Roman"/>
          <w:b/>
          <w:bCs/>
          <w:sz w:val="24"/>
          <w:szCs w:val="24"/>
          <w:lang w:val="en-US" w:eastAsia="zh-CN"/>
        </w:rPr>
        <w:t>NPV for Machine A</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05"/>
        <w:gridCol w:w="1207"/>
        <w:gridCol w:w="1200"/>
        <w:gridCol w:w="1200"/>
        <w:gridCol w:w="1201"/>
        <w:gridCol w:w="1201"/>
        <w:gridCol w:w="13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p>
        </w:tc>
        <w:tc>
          <w:tcPr>
            <w:tcW w:w="121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Year 0</w:t>
            </w:r>
          </w:p>
        </w:tc>
        <w:tc>
          <w:tcPr>
            <w:tcW w:w="121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Year 1</w:t>
            </w:r>
          </w:p>
        </w:tc>
        <w:tc>
          <w:tcPr>
            <w:tcW w:w="121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Year 2</w:t>
            </w:r>
          </w:p>
        </w:tc>
        <w:tc>
          <w:tcPr>
            <w:tcW w:w="1218"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Year 3</w:t>
            </w:r>
          </w:p>
        </w:tc>
        <w:tc>
          <w:tcPr>
            <w:tcW w:w="1218"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Year 4</w:t>
            </w:r>
          </w:p>
        </w:tc>
        <w:tc>
          <w:tcPr>
            <w:tcW w:w="1218"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Year 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Machine (A)</w:t>
            </w:r>
          </w:p>
        </w:tc>
        <w:tc>
          <w:tcPr>
            <w:tcW w:w="121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(100,000)</w:t>
            </w:r>
          </w:p>
        </w:tc>
        <w:tc>
          <w:tcPr>
            <w:tcW w:w="121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40,000</w:t>
            </w:r>
          </w:p>
        </w:tc>
        <w:tc>
          <w:tcPr>
            <w:tcW w:w="121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50,000</w:t>
            </w:r>
          </w:p>
        </w:tc>
        <w:tc>
          <w:tcPr>
            <w:tcW w:w="1218"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55,000</w:t>
            </w:r>
          </w:p>
        </w:tc>
        <w:tc>
          <w:tcPr>
            <w:tcW w:w="1218"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45,000</w:t>
            </w:r>
          </w:p>
        </w:tc>
        <w:tc>
          <w:tcPr>
            <w:tcW w:w="1218"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30,000+30,000</w:t>
            </w:r>
          </w:p>
        </w:tc>
      </w:tr>
    </w:tbl>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Machine (A) could be sold for ￡30,000</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b/>
          <w:bCs/>
          <w:sz w:val="24"/>
          <w:szCs w:val="24"/>
          <w:lang w:val="en-US" w:eastAsia="zh-CN"/>
        </w:rPr>
      </w:pPr>
      <w:r>
        <w:rPr>
          <w:rFonts w:hint="default" w:ascii="Times New Roman" w:hAnsi="Times New Roman" w:cs="Times New Roman"/>
          <w:b w:val="0"/>
          <w:bCs w:val="0"/>
          <w:sz w:val="24"/>
          <w:szCs w:val="24"/>
          <w:lang w:val="en-US" w:eastAsia="zh-CN"/>
        </w:rPr>
        <w:t>Discount rate: 20%</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b w:val="0"/>
          <w:bCs w:val="0"/>
          <w:i w:val="0"/>
          <w:sz w:val="24"/>
          <w:szCs w:val="24"/>
          <w:lang w:val="en-US" w:eastAsia="zh-CN"/>
        </w:rPr>
      </w:pPr>
      <w:r>
        <w:rPr>
          <w:rFonts w:hint="default" w:ascii="Times New Roman" w:hAnsi="Times New Roman" w:cs="Times New Roman"/>
          <w:b w:val="0"/>
          <w:bCs w:val="0"/>
          <w:sz w:val="24"/>
          <w:szCs w:val="24"/>
          <w:lang w:val="en-US" w:eastAsia="zh-CN"/>
        </w:rPr>
        <w:t>NPV=CF</w:t>
      </w:r>
      <w:r>
        <w:rPr>
          <w:rFonts w:hint="default" w:ascii="Times New Roman" w:hAnsi="Times New Roman" w:cs="Times New Roman"/>
          <w:b w:val="0"/>
          <w:bCs w:val="0"/>
          <w:sz w:val="24"/>
          <w:szCs w:val="24"/>
          <w:vertAlign w:val="subscript"/>
          <w:lang w:val="en-US" w:eastAsia="zh-CN"/>
        </w:rPr>
        <w:t>0</w:t>
      </w:r>
      <w:r>
        <w:rPr>
          <w:rFonts w:hint="default" w:ascii="Times New Roman" w:hAnsi="Times New Roman" w:cs="Times New Roman"/>
          <w:b w:val="0"/>
          <w:bCs w:val="0"/>
          <w:sz w:val="24"/>
          <w:szCs w:val="24"/>
          <w:vertAlign w:val="baseline"/>
          <w:lang w:val="en-US" w:eastAsia="zh-CN"/>
        </w:rPr>
        <w:t>+</w:t>
      </w:r>
      <m:oMath>
        <m:f>
          <m:fPr>
            <m:ctrlPr>
              <w:rPr>
                <w:rFonts w:hint="default" w:ascii="Cambria Math" w:hAnsi="Cambria Math" w:cs="Times New Roman"/>
                <w:b w:val="0"/>
                <w:bCs w:val="0"/>
                <w:sz w:val="24"/>
                <w:szCs w:val="24"/>
                <w:lang w:val="en-US" w:eastAsia="zh-CN"/>
              </w:rPr>
            </m:ctrlPr>
          </m:fPr>
          <m:num>
            <m:sSub>
              <m:sSubPr>
                <m:ctrlPr>
                  <w:rPr>
                    <w:rFonts w:hint="default" w:ascii="Cambria Math" w:hAnsi="Cambria Math" w:cs="Times New Roman"/>
                    <w:b w:val="0"/>
                    <w:bCs w:val="0"/>
                    <w:sz w:val="24"/>
                    <w:szCs w:val="24"/>
                    <w:lang w:val="en-US" w:eastAsia="zh-CN"/>
                  </w:rPr>
                </m:ctrlPr>
              </m:sSubPr>
              <m:e>
                <m:r>
                  <m:rPr>
                    <m:sty m:val="p"/>
                  </m:rPr>
                  <w:rPr>
                    <w:rFonts w:hint="default" w:ascii="Cambria Math" w:hAnsi="Cambria Math" w:cs="Times New Roman"/>
                    <w:sz w:val="24"/>
                    <w:szCs w:val="24"/>
                    <w:lang w:val="en-US" w:eastAsia="zh-CN"/>
                  </w:rPr>
                  <m:t>CF</m:t>
                </m:r>
                <m:ctrlPr>
                  <w:rPr>
                    <w:rFonts w:hint="default" w:ascii="Cambria Math" w:hAnsi="Cambria Math" w:cs="Times New Roman"/>
                    <w:b w:val="0"/>
                    <w:bCs w:val="0"/>
                    <w:sz w:val="24"/>
                    <w:szCs w:val="24"/>
                    <w:lang w:val="en-US" w:eastAsia="zh-CN"/>
                  </w:rPr>
                </m:ctrlPr>
              </m:e>
              <m:sub>
                <m:r>
                  <m:rPr>
                    <m:sty m:val="p"/>
                  </m:rPr>
                  <w:rPr>
                    <w:rFonts w:hint="default" w:ascii="Cambria Math" w:hAnsi="Cambria Math" w:cs="Times New Roman"/>
                    <w:sz w:val="24"/>
                    <w:szCs w:val="24"/>
                    <w:lang w:val="en-US" w:eastAsia="zh-CN"/>
                  </w:rPr>
                  <m:t>1</m:t>
                </m:r>
                <m:ctrlPr>
                  <w:rPr>
                    <w:rFonts w:hint="default" w:ascii="Cambria Math" w:hAnsi="Cambria Math" w:cs="Times New Roman"/>
                    <w:b w:val="0"/>
                    <w:bCs w:val="0"/>
                    <w:sz w:val="24"/>
                    <w:szCs w:val="24"/>
                    <w:lang w:val="en-US" w:eastAsia="zh-CN"/>
                  </w:rPr>
                </m:ctrlPr>
              </m:sub>
            </m:sSub>
            <m:ctrlPr>
              <w:rPr>
                <w:rFonts w:hint="default" w:ascii="Cambria Math" w:hAnsi="Cambria Math" w:cs="Times New Roman"/>
                <w:b w:val="0"/>
                <w:bCs w:val="0"/>
                <w:sz w:val="24"/>
                <w:szCs w:val="24"/>
                <w:lang w:val="en-US" w:eastAsia="zh-CN"/>
              </w:rPr>
            </m:ctrlPr>
          </m:num>
          <m:den>
            <m:r>
              <m:rPr>
                <m:sty m:val="p"/>
              </m:rPr>
              <w:rPr>
                <w:rFonts w:hint="default" w:ascii="Cambria Math" w:hAnsi="Cambria Math" w:cs="Times New Roman"/>
                <w:sz w:val="24"/>
                <w:szCs w:val="24"/>
                <w:lang w:val="en-US" w:eastAsia="zh-CN"/>
              </w:rPr>
              <m:t>1+i</m:t>
            </m:r>
            <m:ctrlPr>
              <w:rPr>
                <w:rFonts w:hint="default" w:ascii="Cambria Math" w:hAnsi="Cambria Math" w:cs="Times New Roman"/>
                <w:b w:val="0"/>
                <w:bCs w:val="0"/>
                <w:sz w:val="24"/>
                <w:szCs w:val="24"/>
                <w:lang w:val="en-US" w:eastAsia="zh-CN"/>
              </w:rPr>
            </m:ctrlPr>
          </m:den>
        </m:f>
      </m:oMath>
      <w:r>
        <w:rPr>
          <w:rFonts w:hint="default" w:ascii="Times New Roman" w:hAnsi="Times New Roman" w:cs="Times New Roman"/>
          <w:b w:val="0"/>
          <w:bCs w:val="0"/>
          <w:i w:val="0"/>
          <w:sz w:val="24"/>
          <w:szCs w:val="24"/>
          <w:lang w:val="en-US" w:eastAsia="zh-CN"/>
        </w:rPr>
        <w:t>+</w:t>
      </w:r>
      <m:oMath>
        <m:f>
          <m:fPr>
            <m:ctrlPr>
              <w:rPr>
                <w:rFonts w:hint="default" w:ascii="Cambria Math" w:hAnsi="Cambria Math" w:cs="Times New Roman"/>
                <w:b w:val="0"/>
                <w:bCs w:val="0"/>
                <w:sz w:val="24"/>
                <w:szCs w:val="24"/>
                <w:lang w:val="en-US" w:eastAsia="zh-CN"/>
              </w:rPr>
            </m:ctrlPr>
          </m:fPr>
          <m:num>
            <m:sSub>
              <m:sSubPr>
                <m:ctrlPr>
                  <w:rPr>
                    <w:rFonts w:hint="default" w:ascii="Cambria Math" w:hAnsi="Cambria Math" w:cs="Times New Roman"/>
                    <w:b w:val="0"/>
                    <w:bCs w:val="0"/>
                    <w:sz w:val="24"/>
                    <w:szCs w:val="24"/>
                    <w:lang w:val="en-US" w:eastAsia="zh-CN"/>
                  </w:rPr>
                </m:ctrlPr>
              </m:sSubPr>
              <m:e>
                <m:r>
                  <m:rPr>
                    <m:sty m:val="p"/>
                  </m:rPr>
                  <w:rPr>
                    <w:rFonts w:hint="default" w:ascii="Cambria Math" w:hAnsi="Cambria Math" w:cs="Times New Roman"/>
                    <w:sz w:val="24"/>
                    <w:szCs w:val="24"/>
                    <w:lang w:val="en-US" w:eastAsia="zh-CN"/>
                  </w:rPr>
                  <m:t>CF</m:t>
                </m:r>
                <m:ctrlPr>
                  <w:rPr>
                    <w:rFonts w:hint="default" w:ascii="Cambria Math" w:hAnsi="Cambria Math" w:cs="Times New Roman"/>
                    <w:b w:val="0"/>
                    <w:bCs w:val="0"/>
                    <w:sz w:val="24"/>
                    <w:szCs w:val="24"/>
                    <w:lang w:val="en-US" w:eastAsia="zh-CN"/>
                  </w:rPr>
                </m:ctrlPr>
              </m:e>
              <m:sub>
                <m:r>
                  <m:rPr>
                    <m:sty m:val="p"/>
                  </m:rPr>
                  <w:rPr>
                    <w:rFonts w:hint="default" w:ascii="Cambria Math" w:hAnsi="Cambria Math" w:cs="Times New Roman"/>
                    <w:sz w:val="24"/>
                    <w:szCs w:val="24"/>
                    <w:lang w:val="en-US" w:eastAsia="zh-CN"/>
                  </w:rPr>
                  <m:t>2</m:t>
                </m:r>
                <m:ctrlPr>
                  <w:rPr>
                    <w:rFonts w:hint="default" w:ascii="Cambria Math" w:hAnsi="Cambria Math" w:cs="Times New Roman"/>
                    <w:b w:val="0"/>
                    <w:bCs w:val="0"/>
                    <w:sz w:val="24"/>
                    <w:szCs w:val="24"/>
                    <w:lang w:val="en-US" w:eastAsia="zh-CN"/>
                  </w:rPr>
                </m:ctrlPr>
              </m:sub>
            </m:sSub>
            <m:ctrlPr>
              <w:rPr>
                <w:rFonts w:hint="default" w:ascii="Cambria Math" w:hAnsi="Cambria Math" w:cs="Times New Roman"/>
                <w:b w:val="0"/>
                <w:bCs w:val="0"/>
                <w:sz w:val="24"/>
                <w:szCs w:val="24"/>
                <w:lang w:val="en-US" w:eastAsia="zh-CN"/>
              </w:rPr>
            </m:ctrlPr>
          </m:num>
          <m:den>
            <m:sSup>
              <m:sSupPr>
                <m:ctrlPr>
                  <w:rPr>
                    <w:rFonts w:hint="default" w:ascii="Cambria Math" w:hAnsi="Cambria Math" w:cs="Times New Roman"/>
                    <w:b w:val="0"/>
                    <w:bCs w:val="0"/>
                    <w:sz w:val="24"/>
                    <w:szCs w:val="24"/>
                    <w:lang w:val="en-US" w:eastAsia="zh-CN"/>
                  </w:rPr>
                </m:ctrlPr>
              </m:sSupPr>
              <m:e>
                <m:r>
                  <m:rPr>
                    <m:sty m:val="p"/>
                  </m:rPr>
                  <w:rPr>
                    <w:rFonts w:hint="default" w:ascii="Cambria Math" w:hAnsi="Cambria Math" w:cs="Times New Roman"/>
                    <w:sz w:val="24"/>
                    <w:szCs w:val="24"/>
                    <w:lang w:val="en-US" w:eastAsia="zh-CN"/>
                  </w:rPr>
                  <m:t>(1+i)</m:t>
                </m:r>
                <m:ctrlPr>
                  <w:rPr>
                    <w:rFonts w:hint="default" w:ascii="Cambria Math" w:hAnsi="Cambria Math" w:cs="Times New Roman"/>
                    <w:b w:val="0"/>
                    <w:bCs w:val="0"/>
                    <w:sz w:val="24"/>
                    <w:szCs w:val="24"/>
                    <w:lang w:val="en-US" w:eastAsia="zh-CN"/>
                  </w:rPr>
                </m:ctrlPr>
              </m:e>
              <m:sup>
                <m:r>
                  <m:rPr>
                    <m:sty m:val="p"/>
                  </m:rPr>
                  <w:rPr>
                    <w:rFonts w:hint="default" w:ascii="Cambria Math" w:hAnsi="Cambria Math" w:cs="Times New Roman"/>
                    <w:sz w:val="24"/>
                    <w:szCs w:val="24"/>
                    <w:lang w:val="en-US" w:eastAsia="zh-CN"/>
                  </w:rPr>
                  <m:t>2</m:t>
                </m:r>
                <m:ctrlPr>
                  <w:rPr>
                    <w:rFonts w:hint="default" w:ascii="Cambria Math" w:hAnsi="Cambria Math" w:cs="Times New Roman"/>
                    <w:b w:val="0"/>
                    <w:bCs w:val="0"/>
                    <w:sz w:val="24"/>
                    <w:szCs w:val="24"/>
                    <w:lang w:val="en-US" w:eastAsia="zh-CN"/>
                  </w:rPr>
                </m:ctrlPr>
              </m:sup>
            </m:sSup>
            <m:ctrlPr>
              <w:rPr>
                <w:rFonts w:hint="default" w:ascii="Cambria Math" w:hAnsi="Cambria Math" w:cs="Times New Roman"/>
                <w:b w:val="0"/>
                <w:bCs w:val="0"/>
                <w:sz w:val="24"/>
                <w:szCs w:val="24"/>
                <w:lang w:val="en-US" w:eastAsia="zh-CN"/>
              </w:rPr>
            </m:ctrlPr>
          </m:den>
        </m:f>
      </m:oMath>
      <w:r>
        <w:rPr>
          <w:rFonts w:hint="default" w:ascii="Times New Roman" w:hAnsi="Times New Roman" w:cs="Times New Roman"/>
          <w:b w:val="0"/>
          <w:bCs w:val="0"/>
          <w:i w:val="0"/>
          <w:sz w:val="24"/>
          <w:szCs w:val="24"/>
          <w:lang w:val="en-US" w:eastAsia="zh-CN"/>
        </w:rPr>
        <w:t>+</w:t>
      </w:r>
      <m:oMath>
        <m:f>
          <m:fPr>
            <m:ctrlPr>
              <w:rPr>
                <w:rFonts w:hint="default" w:ascii="Cambria Math" w:hAnsi="Cambria Math" w:cs="Times New Roman"/>
                <w:b w:val="0"/>
                <w:bCs w:val="0"/>
                <w:sz w:val="24"/>
                <w:szCs w:val="24"/>
                <w:lang w:val="en-US" w:eastAsia="zh-CN"/>
              </w:rPr>
            </m:ctrlPr>
          </m:fPr>
          <m:num>
            <m:sSub>
              <m:sSubPr>
                <m:ctrlPr>
                  <w:rPr>
                    <w:rFonts w:hint="default" w:ascii="Cambria Math" w:hAnsi="Cambria Math" w:cs="Times New Roman"/>
                    <w:b w:val="0"/>
                    <w:bCs w:val="0"/>
                    <w:sz w:val="24"/>
                    <w:szCs w:val="24"/>
                    <w:lang w:val="en-US" w:eastAsia="zh-CN"/>
                  </w:rPr>
                </m:ctrlPr>
              </m:sSubPr>
              <m:e>
                <m:r>
                  <m:rPr>
                    <m:sty m:val="p"/>
                  </m:rPr>
                  <w:rPr>
                    <w:rFonts w:hint="default" w:ascii="Cambria Math" w:hAnsi="Cambria Math" w:cs="Times New Roman"/>
                    <w:sz w:val="24"/>
                    <w:szCs w:val="24"/>
                    <w:lang w:val="en-US" w:eastAsia="zh-CN"/>
                  </w:rPr>
                  <m:t>CF</m:t>
                </m:r>
                <m:ctrlPr>
                  <w:rPr>
                    <w:rFonts w:hint="default" w:ascii="Cambria Math" w:hAnsi="Cambria Math" w:cs="Times New Roman"/>
                    <w:b w:val="0"/>
                    <w:bCs w:val="0"/>
                    <w:sz w:val="24"/>
                    <w:szCs w:val="24"/>
                    <w:lang w:val="en-US" w:eastAsia="zh-CN"/>
                  </w:rPr>
                </m:ctrlPr>
              </m:e>
              <m:sub>
                <m:r>
                  <m:rPr>
                    <m:sty m:val="p"/>
                  </m:rPr>
                  <w:rPr>
                    <w:rFonts w:hint="default" w:ascii="Cambria Math" w:hAnsi="Cambria Math" w:cs="Times New Roman"/>
                    <w:sz w:val="24"/>
                    <w:szCs w:val="24"/>
                    <w:lang w:val="en-US" w:eastAsia="zh-CN"/>
                  </w:rPr>
                  <m:t>3</m:t>
                </m:r>
                <m:ctrlPr>
                  <w:rPr>
                    <w:rFonts w:hint="default" w:ascii="Cambria Math" w:hAnsi="Cambria Math" w:cs="Times New Roman"/>
                    <w:b w:val="0"/>
                    <w:bCs w:val="0"/>
                    <w:sz w:val="24"/>
                    <w:szCs w:val="24"/>
                    <w:lang w:val="en-US" w:eastAsia="zh-CN"/>
                  </w:rPr>
                </m:ctrlPr>
              </m:sub>
            </m:sSub>
            <m:ctrlPr>
              <w:rPr>
                <w:rFonts w:hint="default" w:ascii="Cambria Math" w:hAnsi="Cambria Math" w:cs="Times New Roman"/>
                <w:b w:val="0"/>
                <w:bCs w:val="0"/>
                <w:sz w:val="24"/>
                <w:szCs w:val="24"/>
                <w:lang w:val="en-US" w:eastAsia="zh-CN"/>
              </w:rPr>
            </m:ctrlPr>
          </m:num>
          <m:den>
            <m:sSup>
              <m:sSupPr>
                <m:ctrlPr>
                  <w:rPr>
                    <w:rFonts w:hint="default" w:ascii="Cambria Math" w:hAnsi="Cambria Math" w:cs="Times New Roman"/>
                    <w:b w:val="0"/>
                    <w:bCs w:val="0"/>
                    <w:sz w:val="24"/>
                    <w:szCs w:val="24"/>
                    <w:lang w:val="en-US" w:eastAsia="zh-CN"/>
                  </w:rPr>
                </m:ctrlPr>
              </m:sSupPr>
              <m:e>
                <m:r>
                  <m:rPr>
                    <m:sty m:val="p"/>
                  </m:rPr>
                  <w:rPr>
                    <w:rFonts w:hint="default" w:ascii="Cambria Math" w:hAnsi="Cambria Math" w:cs="Times New Roman"/>
                    <w:sz w:val="24"/>
                    <w:szCs w:val="24"/>
                    <w:lang w:val="en-US" w:eastAsia="zh-CN"/>
                  </w:rPr>
                  <m:t>(1+i)</m:t>
                </m:r>
                <m:ctrlPr>
                  <w:rPr>
                    <w:rFonts w:hint="default" w:ascii="Cambria Math" w:hAnsi="Cambria Math" w:cs="Times New Roman"/>
                    <w:b w:val="0"/>
                    <w:bCs w:val="0"/>
                    <w:sz w:val="24"/>
                    <w:szCs w:val="24"/>
                    <w:lang w:val="en-US" w:eastAsia="zh-CN"/>
                  </w:rPr>
                </m:ctrlPr>
              </m:e>
              <m:sup>
                <m:r>
                  <m:rPr>
                    <m:sty m:val="p"/>
                  </m:rPr>
                  <w:rPr>
                    <w:rFonts w:hint="default" w:ascii="Cambria Math" w:hAnsi="Cambria Math" w:cs="Times New Roman"/>
                    <w:sz w:val="24"/>
                    <w:szCs w:val="24"/>
                    <w:lang w:val="en-US" w:eastAsia="zh-CN"/>
                  </w:rPr>
                  <m:t>3</m:t>
                </m:r>
                <m:ctrlPr>
                  <w:rPr>
                    <w:rFonts w:hint="default" w:ascii="Cambria Math" w:hAnsi="Cambria Math" w:cs="Times New Roman"/>
                    <w:b w:val="0"/>
                    <w:bCs w:val="0"/>
                    <w:sz w:val="24"/>
                    <w:szCs w:val="24"/>
                    <w:lang w:val="en-US" w:eastAsia="zh-CN"/>
                  </w:rPr>
                </m:ctrlPr>
              </m:sup>
            </m:sSup>
            <m:ctrlPr>
              <w:rPr>
                <w:rFonts w:hint="default" w:ascii="Cambria Math" w:hAnsi="Cambria Math" w:cs="Times New Roman"/>
                <w:b w:val="0"/>
                <w:bCs w:val="0"/>
                <w:sz w:val="24"/>
                <w:szCs w:val="24"/>
                <w:lang w:val="en-US" w:eastAsia="zh-CN"/>
              </w:rPr>
            </m:ctrlPr>
          </m:den>
        </m:f>
      </m:oMath>
      <w:r>
        <w:rPr>
          <w:rFonts w:hint="default" w:ascii="Times New Roman" w:hAnsi="Times New Roman" w:cs="Times New Roman"/>
          <w:b w:val="0"/>
          <w:bCs w:val="0"/>
          <w:i w:val="0"/>
          <w:sz w:val="24"/>
          <w:szCs w:val="24"/>
          <w:lang w:val="en-US" w:eastAsia="zh-CN"/>
        </w:rPr>
        <w:t xml:space="preserve"> ... +</w:t>
      </w:r>
      <m:oMath>
        <m:f>
          <m:fPr>
            <m:ctrlPr>
              <w:rPr>
                <w:rFonts w:hint="default" w:ascii="Cambria Math" w:hAnsi="Cambria Math" w:cs="Times New Roman"/>
                <w:b w:val="0"/>
                <w:bCs w:val="0"/>
                <w:sz w:val="24"/>
                <w:szCs w:val="24"/>
                <w:lang w:val="en-US" w:eastAsia="zh-CN"/>
              </w:rPr>
            </m:ctrlPr>
          </m:fPr>
          <m:num>
            <m:sSub>
              <m:sSubPr>
                <m:ctrlPr>
                  <w:rPr>
                    <w:rFonts w:hint="default" w:ascii="Cambria Math" w:hAnsi="Cambria Math" w:cs="Times New Roman"/>
                    <w:b w:val="0"/>
                    <w:bCs w:val="0"/>
                    <w:sz w:val="24"/>
                    <w:szCs w:val="24"/>
                    <w:lang w:val="en-US" w:eastAsia="zh-CN"/>
                  </w:rPr>
                </m:ctrlPr>
              </m:sSubPr>
              <m:e>
                <m:r>
                  <m:rPr>
                    <m:sty m:val="p"/>
                  </m:rPr>
                  <w:rPr>
                    <w:rFonts w:hint="default" w:ascii="Cambria Math" w:hAnsi="Cambria Math" w:cs="Times New Roman"/>
                    <w:sz w:val="24"/>
                    <w:szCs w:val="24"/>
                    <w:lang w:val="en-US" w:eastAsia="zh-CN"/>
                  </w:rPr>
                  <m:t>CF</m:t>
                </m:r>
                <m:ctrlPr>
                  <w:rPr>
                    <w:rFonts w:hint="default" w:ascii="Cambria Math" w:hAnsi="Cambria Math" w:cs="Times New Roman"/>
                    <w:b w:val="0"/>
                    <w:bCs w:val="0"/>
                    <w:sz w:val="24"/>
                    <w:szCs w:val="24"/>
                    <w:lang w:val="en-US" w:eastAsia="zh-CN"/>
                  </w:rPr>
                </m:ctrlPr>
              </m:e>
              <m:sub>
                <m:r>
                  <m:rPr>
                    <m:sty m:val="p"/>
                  </m:rPr>
                  <w:rPr>
                    <w:rFonts w:hint="default" w:ascii="Cambria Math" w:hAnsi="Cambria Math" w:cs="Times New Roman"/>
                    <w:sz w:val="24"/>
                    <w:szCs w:val="24"/>
                    <w:lang w:val="en-US" w:eastAsia="zh-CN"/>
                  </w:rPr>
                  <m:t>n</m:t>
                </m:r>
                <m:ctrlPr>
                  <w:rPr>
                    <w:rFonts w:hint="default" w:ascii="Cambria Math" w:hAnsi="Cambria Math" w:cs="Times New Roman"/>
                    <w:b w:val="0"/>
                    <w:bCs w:val="0"/>
                    <w:sz w:val="24"/>
                    <w:szCs w:val="24"/>
                    <w:lang w:val="en-US" w:eastAsia="zh-CN"/>
                  </w:rPr>
                </m:ctrlPr>
              </m:sub>
            </m:sSub>
            <m:ctrlPr>
              <w:rPr>
                <w:rFonts w:hint="default" w:ascii="Cambria Math" w:hAnsi="Cambria Math" w:cs="Times New Roman"/>
                <w:b w:val="0"/>
                <w:bCs w:val="0"/>
                <w:sz w:val="24"/>
                <w:szCs w:val="24"/>
                <w:lang w:val="en-US" w:eastAsia="zh-CN"/>
              </w:rPr>
            </m:ctrlPr>
          </m:num>
          <m:den>
            <m:sSup>
              <m:sSupPr>
                <m:ctrlPr>
                  <w:rPr>
                    <w:rFonts w:hint="default" w:ascii="Cambria Math" w:hAnsi="Cambria Math" w:cs="Times New Roman"/>
                    <w:b w:val="0"/>
                    <w:bCs w:val="0"/>
                    <w:sz w:val="24"/>
                    <w:szCs w:val="24"/>
                    <w:lang w:val="en-US" w:eastAsia="zh-CN"/>
                  </w:rPr>
                </m:ctrlPr>
              </m:sSupPr>
              <m:e>
                <m:r>
                  <m:rPr>
                    <m:sty m:val="p"/>
                  </m:rPr>
                  <w:rPr>
                    <w:rFonts w:hint="default" w:ascii="Cambria Math" w:hAnsi="Cambria Math" w:cs="Times New Roman"/>
                    <w:sz w:val="24"/>
                    <w:szCs w:val="24"/>
                    <w:lang w:val="en-US" w:eastAsia="zh-CN"/>
                  </w:rPr>
                  <m:t>(1+i)</m:t>
                </m:r>
                <m:ctrlPr>
                  <w:rPr>
                    <w:rFonts w:hint="default" w:ascii="Cambria Math" w:hAnsi="Cambria Math" w:cs="Times New Roman"/>
                    <w:b w:val="0"/>
                    <w:bCs w:val="0"/>
                    <w:sz w:val="24"/>
                    <w:szCs w:val="24"/>
                    <w:lang w:val="en-US" w:eastAsia="zh-CN"/>
                  </w:rPr>
                </m:ctrlPr>
              </m:e>
              <m:sup>
                <m:r>
                  <m:rPr>
                    <m:sty m:val="p"/>
                  </m:rPr>
                  <w:rPr>
                    <w:rFonts w:hint="default" w:ascii="Cambria Math" w:hAnsi="Cambria Math" w:cs="Times New Roman"/>
                    <w:sz w:val="24"/>
                    <w:szCs w:val="24"/>
                    <w:lang w:val="en-US" w:eastAsia="zh-CN"/>
                  </w:rPr>
                  <m:t>n</m:t>
                </m:r>
                <m:ctrlPr>
                  <w:rPr>
                    <w:rFonts w:hint="default" w:ascii="Cambria Math" w:hAnsi="Cambria Math" w:cs="Times New Roman"/>
                    <w:b w:val="0"/>
                    <w:bCs w:val="0"/>
                    <w:sz w:val="24"/>
                    <w:szCs w:val="24"/>
                    <w:lang w:val="en-US" w:eastAsia="zh-CN"/>
                  </w:rPr>
                </m:ctrlPr>
              </m:sup>
            </m:sSup>
            <m:ctrlPr>
              <w:rPr>
                <w:rFonts w:hint="default" w:ascii="Cambria Math" w:hAnsi="Cambria Math" w:cs="Times New Roman"/>
                <w:b w:val="0"/>
                <w:bCs w:val="0"/>
                <w:sz w:val="24"/>
                <w:szCs w:val="24"/>
                <w:lang w:val="en-US" w:eastAsia="zh-CN"/>
              </w:rPr>
            </m:ctrlPr>
          </m:den>
        </m:f>
      </m:oMath>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b w:val="0"/>
          <w:bCs w:val="0"/>
          <w:i w:val="0"/>
          <w:sz w:val="24"/>
          <w:szCs w:val="24"/>
          <w:lang w:val="en-US" w:eastAsia="zh-CN"/>
        </w:rPr>
      </w:pPr>
      <w:r>
        <w:rPr>
          <w:rFonts w:hint="default" w:ascii="Times New Roman" w:hAnsi="Times New Roman" w:cs="Times New Roman"/>
          <w:b w:val="0"/>
          <w:bCs w:val="0"/>
          <w:i w:val="0"/>
          <w:sz w:val="24"/>
          <w:szCs w:val="24"/>
          <w:lang w:val="en-US" w:eastAsia="zh-CN"/>
        </w:rPr>
        <w:t xml:space="preserve">    =(</w:t>
      </w:r>
      <m:oMath>
        <m:f>
          <m:fPr>
            <m:ctrlPr>
              <w:rPr>
                <w:rFonts w:hint="default" w:ascii="Cambria Math" w:hAnsi="Cambria Math" w:cs="Times New Roman"/>
                <w:b w:val="0"/>
                <w:bCs w:val="0"/>
                <w:sz w:val="24"/>
                <w:szCs w:val="24"/>
                <w:lang w:val="en-US" w:eastAsia="zh-CN"/>
              </w:rPr>
            </m:ctrlPr>
          </m:fPr>
          <m:num>
            <m:r>
              <m:rPr>
                <m:sty m:val="p"/>
              </m:rPr>
              <w:rPr>
                <w:rFonts w:hint="default" w:ascii="Cambria Math" w:hAnsi="Cambria Math" w:cs="Times New Roman"/>
                <w:sz w:val="24"/>
                <w:szCs w:val="24"/>
                <w:lang w:val="en-US" w:eastAsia="zh-CN"/>
              </w:rPr>
              <m:t>40,000</m:t>
            </m:r>
            <m:ctrlPr>
              <w:rPr>
                <w:rFonts w:hint="default" w:ascii="Cambria Math" w:hAnsi="Cambria Math" w:cs="Times New Roman"/>
                <w:b w:val="0"/>
                <w:bCs w:val="0"/>
                <w:sz w:val="24"/>
                <w:szCs w:val="24"/>
                <w:lang w:val="en-US" w:eastAsia="zh-CN"/>
              </w:rPr>
            </m:ctrlPr>
          </m:num>
          <m:den>
            <m:r>
              <m:rPr>
                <m:sty m:val="p"/>
              </m:rPr>
              <w:rPr>
                <w:rFonts w:hint="default" w:ascii="Cambria Math" w:hAnsi="Cambria Math" w:cs="Times New Roman"/>
                <w:sz w:val="24"/>
                <w:szCs w:val="24"/>
                <w:lang w:val="en-US" w:eastAsia="zh-CN"/>
              </w:rPr>
              <m:t>1+0.2</m:t>
            </m:r>
            <m:ctrlPr>
              <w:rPr>
                <w:rFonts w:hint="default" w:ascii="Cambria Math" w:hAnsi="Cambria Math" w:cs="Times New Roman"/>
                <w:b w:val="0"/>
                <w:bCs w:val="0"/>
                <w:sz w:val="24"/>
                <w:szCs w:val="24"/>
                <w:lang w:val="en-US" w:eastAsia="zh-CN"/>
              </w:rPr>
            </m:ctrlPr>
          </m:den>
        </m:f>
        <m:r>
          <m:rPr>
            <m:sty m:val="p"/>
          </m:rPr>
          <w:rPr>
            <w:rFonts w:hint="default" w:ascii="Cambria Math" w:hAnsi="Cambria Math" w:cs="Times New Roman"/>
            <w:sz w:val="24"/>
            <w:szCs w:val="24"/>
            <w:lang w:val="en-US" w:eastAsia="zh-CN"/>
          </w:rPr>
          <m:t>+</m:t>
        </m:r>
        <m:f>
          <m:fPr>
            <m:ctrlPr>
              <w:rPr>
                <w:rFonts w:hint="default" w:ascii="Cambria Math" w:hAnsi="Cambria Math" w:cs="Times New Roman"/>
                <w:b w:val="0"/>
                <w:bCs w:val="0"/>
                <w:sz w:val="24"/>
                <w:szCs w:val="24"/>
                <w:lang w:val="en-US" w:eastAsia="zh-CN"/>
              </w:rPr>
            </m:ctrlPr>
          </m:fPr>
          <m:num>
            <m:r>
              <m:rPr>
                <m:sty m:val="p"/>
              </m:rPr>
              <w:rPr>
                <w:rFonts w:hint="default" w:ascii="Cambria Math" w:hAnsi="Cambria Math" w:cs="Times New Roman"/>
                <w:sz w:val="24"/>
                <w:szCs w:val="24"/>
                <w:lang w:val="en-US" w:eastAsia="zh-CN"/>
              </w:rPr>
              <m:t>50,000</m:t>
            </m:r>
            <m:ctrlPr>
              <w:rPr>
                <w:rFonts w:hint="default" w:ascii="Cambria Math" w:hAnsi="Cambria Math" w:cs="Times New Roman"/>
                <w:b w:val="0"/>
                <w:bCs w:val="0"/>
                <w:sz w:val="24"/>
                <w:szCs w:val="24"/>
                <w:lang w:val="en-US" w:eastAsia="zh-CN"/>
              </w:rPr>
            </m:ctrlPr>
          </m:num>
          <m:den>
            <m:sSup>
              <m:sSupPr>
                <m:ctrlPr>
                  <w:rPr>
                    <w:rFonts w:hint="default" w:ascii="Cambria Math" w:hAnsi="Cambria Math" w:cs="Times New Roman"/>
                    <w:b w:val="0"/>
                    <w:bCs w:val="0"/>
                    <w:sz w:val="24"/>
                    <w:szCs w:val="24"/>
                    <w:lang w:val="en-US" w:eastAsia="zh-CN"/>
                  </w:rPr>
                </m:ctrlPr>
              </m:sSupPr>
              <m:e>
                <m:r>
                  <m:rPr>
                    <m:sty m:val="p"/>
                  </m:rPr>
                  <w:rPr>
                    <w:rFonts w:hint="default" w:ascii="Cambria Math" w:hAnsi="Cambria Math" w:cs="Times New Roman"/>
                    <w:sz w:val="24"/>
                    <w:szCs w:val="24"/>
                    <w:lang w:val="en-US" w:eastAsia="zh-CN"/>
                  </w:rPr>
                  <m:t>(1+0.2)</m:t>
                </m:r>
                <m:ctrlPr>
                  <w:rPr>
                    <w:rFonts w:hint="default" w:ascii="Cambria Math" w:hAnsi="Cambria Math" w:cs="Times New Roman"/>
                    <w:b w:val="0"/>
                    <w:bCs w:val="0"/>
                    <w:sz w:val="24"/>
                    <w:szCs w:val="24"/>
                    <w:lang w:val="en-US" w:eastAsia="zh-CN"/>
                  </w:rPr>
                </m:ctrlPr>
              </m:e>
              <m:sup>
                <m:r>
                  <m:rPr>
                    <m:sty m:val="p"/>
                  </m:rPr>
                  <w:rPr>
                    <w:rFonts w:hint="default" w:ascii="Cambria Math" w:hAnsi="Cambria Math" w:cs="Times New Roman"/>
                    <w:sz w:val="24"/>
                    <w:szCs w:val="24"/>
                    <w:lang w:val="en-US" w:eastAsia="zh-CN"/>
                  </w:rPr>
                  <m:t>2</m:t>
                </m:r>
                <m:ctrlPr>
                  <w:rPr>
                    <w:rFonts w:hint="default" w:ascii="Cambria Math" w:hAnsi="Cambria Math" w:cs="Times New Roman"/>
                    <w:b w:val="0"/>
                    <w:bCs w:val="0"/>
                    <w:sz w:val="24"/>
                    <w:szCs w:val="24"/>
                    <w:lang w:val="en-US" w:eastAsia="zh-CN"/>
                  </w:rPr>
                </m:ctrlPr>
              </m:sup>
            </m:sSup>
            <m:ctrlPr>
              <w:rPr>
                <w:rFonts w:hint="default" w:ascii="Cambria Math" w:hAnsi="Cambria Math" w:cs="Times New Roman"/>
                <w:b w:val="0"/>
                <w:bCs w:val="0"/>
                <w:sz w:val="24"/>
                <w:szCs w:val="24"/>
                <w:lang w:val="en-US" w:eastAsia="zh-CN"/>
              </w:rPr>
            </m:ctrlPr>
          </m:den>
        </m:f>
      </m:oMath>
      <w:r>
        <w:rPr>
          <w:rFonts w:hint="default" w:ascii="Times New Roman" w:hAnsi="Times New Roman" w:cs="Times New Roman"/>
          <w:b w:val="0"/>
          <w:bCs w:val="0"/>
          <w:i w:val="0"/>
          <w:sz w:val="24"/>
          <w:szCs w:val="24"/>
          <w:lang w:val="en-US" w:eastAsia="zh-CN"/>
        </w:rPr>
        <w:t>+</w:t>
      </w:r>
      <m:oMath>
        <m:f>
          <m:fPr>
            <m:ctrlPr>
              <w:rPr>
                <w:rFonts w:hint="default" w:ascii="Cambria Math" w:hAnsi="Cambria Math" w:cs="Times New Roman"/>
                <w:b w:val="0"/>
                <w:bCs w:val="0"/>
                <w:sz w:val="24"/>
                <w:szCs w:val="24"/>
                <w:lang w:val="en-US" w:eastAsia="zh-CN"/>
              </w:rPr>
            </m:ctrlPr>
          </m:fPr>
          <m:num>
            <m:r>
              <m:rPr>
                <m:sty m:val="p"/>
              </m:rPr>
              <w:rPr>
                <w:rFonts w:hint="default" w:ascii="Cambria Math" w:hAnsi="Cambria Math" w:cs="Times New Roman"/>
                <w:sz w:val="24"/>
                <w:szCs w:val="24"/>
                <w:lang w:val="en-US" w:eastAsia="zh-CN"/>
              </w:rPr>
              <m:t>55,000</m:t>
            </m:r>
            <m:ctrlPr>
              <w:rPr>
                <w:rFonts w:hint="default" w:ascii="Cambria Math" w:hAnsi="Cambria Math" w:cs="Times New Roman"/>
                <w:b w:val="0"/>
                <w:bCs w:val="0"/>
                <w:sz w:val="24"/>
                <w:szCs w:val="24"/>
                <w:lang w:val="en-US" w:eastAsia="zh-CN"/>
              </w:rPr>
            </m:ctrlPr>
          </m:num>
          <m:den>
            <m:sSup>
              <m:sSupPr>
                <m:ctrlPr>
                  <w:rPr>
                    <w:rFonts w:hint="default" w:ascii="Cambria Math" w:hAnsi="Cambria Math" w:cs="Times New Roman"/>
                    <w:b w:val="0"/>
                    <w:bCs w:val="0"/>
                    <w:sz w:val="24"/>
                    <w:szCs w:val="24"/>
                    <w:lang w:val="en-US" w:eastAsia="zh-CN"/>
                  </w:rPr>
                </m:ctrlPr>
              </m:sSupPr>
              <m:e>
                <m:r>
                  <m:rPr>
                    <m:sty m:val="p"/>
                  </m:rPr>
                  <w:rPr>
                    <w:rFonts w:hint="default" w:ascii="Cambria Math" w:hAnsi="Cambria Math" w:cs="Times New Roman"/>
                    <w:sz w:val="24"/>
                    <w:szCs w:val="24"/>
                    <w:lang w:val="en-US" w:eastAsia="zh-CN"/>
                  </w:rPr>
                  <m:t>(1+0.2)</m:t>
                </m:r>
                <m:ctrlPr>
                  <w:rPr>
                    <w:rFonts w:hint="default" w:ascii="Cambria Math" w:hAnsi="Cambria Math" w:cs="Times New Roman"/>
                    <w:b w:val="0"/>
                    <w:bCs w:val="0"/>
                    <w:sz w:val="24"/>
                    <w:szCs w:val="24"/>
                    <w:lang w:val="en-US" w:eastAsia="zh-CN"/>
                  </w:rPr>
                </m:ctrlPr>
              </m:e>
              <m:sup>
                <m:r>
                  <m:rPr>
                    <m:sty m:val="p"/>
                  </m:rPr>
                  <w:rPr>
                    <w:rFonts w:hint="default" w:ascii="Cambria Math" w:hAnsi="Cambria Math" w:cs="Times New Roman"/>
                    <w:sz w:val="24"/>
                    <w:szCs w:val="24"/>
                    <w:lang w:val="en-US" w:eastAsia="zh-CN"/>
                  </w:rPr>
                  <m:t>3</m:t>
                </m:r>
                <m:ctrlPr>
                  <w:rPr>
                    <w:rFonts w:hint="default" w:ascii="Cambria Math" w:hAnsi="Cambria Math" w:cs="Times New Roman"/>
                    <w:b w:val="0"/>
                    <w:bCs w:val="0"/>
                    <w:sz w:val="24"/>
                    <w:szCs w:val="24"/>
                    <w:lang w:val="en-US" w:eastAsia="zh-CN"/>
                  </w:rPr>
                </m:ctrlPr>
              </m:sup>
            </m:sSup>
            <m:ctrlPr>
              <w:rPr>
                <w:rFonts w:hint="default" w:ascii="Cambria Math" w:hAnsi="Cambria Math" w:cs="Times New Roman"/>
                <w:b w:val="0"/>
                <w:bCs w:val="0"/>
                <w:sz w:val="24"/>
                <w:szCs w:val="24"/>
                <w:lang w:val="en-US" w:eastAsia="zh-CN"/>
              </w:rPr>
            </m:ctrlPr>
          </m:den>
        </m:f>
      </m:oMath>
      <w:r>
        <w:rPr>
          <w:rFonts w:hint="default" w:ascii="Times New Roman" w:hAnsi="Times New Roman" w:cs="Times New Roman"/>
          <w:b w:val="0"/>
          <w:bCs w:val="0"/>
          <w:i w:val="0"/>
          <w:sz w:val="24"/>
          <w:szCs w:val="24"/>
          <w:lang w:val="en-US" w:eastAsia="zh-CN"/>
        </w:rPr>
        <w:t>+</w:t>
      </w:r>
      <m:oMath>
        <m:f>
          <m:fPr>
            <m:ctrlPr>
              <w:rPr>
                <w:rFonts w:hint="default" w:ascii="Cambria Math" w:hAnsi="Cambria Math" w:cs="Times New Roman"/>
                <w:b w:val="0"/>
                <w:bCs w:val="0"/>
                <w:sz w:val="24"/>
                <w:szCs w:val="24"/>
                <w:lang w:val="en-US" w:eastAsia="zh-CN"/>
              </w:rPr>
            </m:ctrlPr>
          </m:fPr>
          <m:num>
            <m:r>
              <m:rPr>
                <m:sty m:val="p"/>
              </m:rPr>
              <w:rPr>
                <w:rFonts w:hint="default" w:ascii="Cambria Math" w:hAnsi="Cambria Math" w:cs="Times New Roman"/>
                <w:sz w:val="24"/>
                <w:szCs w:val="24"/>
                <w:lang w:val="en-US" w:eastAsia="zh-CN"/>
              </w:rPr>
              <m:t>45.000</m:t>
            </m:r>
            <m:ctrlPr>
              <w:rPr>
                <w:rFonts w:hint="default" w:ascii="Cambria Math" w:hAnsi="Cambria Math" w:cs="Times New Roman"/>
                <w:b w:val="0"/>
                <w:bCs w:val="0"/>
                <w:sz w:val="24"/>
                <w:szCs w:val="24"/>
                <w:lang w:val="en-US" w:eastAsia="zh-CN"/>
              </w:rPr>
            </m:ctrlPr>
          </m:num>
          <m:den>
            <m:sSup>
              <m:sSupPr>
                <m:ctrlPr>
                  <w:rPr>
                    <w:rFonts w:hint="default" w:ascii="Cambria Math" w:hAnsi="Cambria Math" w:cs="Times New Roman"/>
                    <w:b w:val="0"/>
                    <w:bCs w:val="0"/>
                    <w:sz w:val="24"/>
                    <w:szCs w:val="24"/>
                    <w:lang w:val="en-US" w:eastAsia="zh-CN"/>
                  </w:rPr>
                </m:ctrlPr>
              </m:sSupPr>
              <m:e>
                <m:r>
                  <m:rPr>
                    <m:sty m:val="p"/>
                  </m:rPr>
                  <w:rPr>
                    <w:rFonts w:hint="default" w:ascii="Cambria Math" w:hAnsi="Cambria Math" w:cs="Times New Roman"/>
                    <w:sz w:val="24"/>
                    <w:szCs w:val="24"/>
                    <w:lang w:val="en-US" w:eastAsia="zh-CN"/>
                  </w:rPr>
                  <m:t>(1+0.2)</m:t>
                </m:r>
                <m:ctrlPr>
                  <w:rPr>
                    <w:rFonts w:hint="default" w:ascii="Cambria Math" w:hAnsi="Cambria Math" w:cs="Times New Roman"/>
                    <w:b w:val="0"/>
                    <w:bCs w:val="0"/>
                    <w:sz w:val="24"/>
                    <w:szCs w:val="24"/>
                    <w:lang w:val="en-US" w:eastAsia="zh-CN"/>
                  </w:rPr>
                </m:ctrlPr>
              </m:e>
              <m:sup>
                <m:r>
                  <m:rPr>
                    <m:sty m:val="p"/>
                  </m:rPr>
                  <w:rPr>
                    <w:rFonts w:hint="default" w:ascii="Cambria Math" w:hAnsi="Cambria Math" w:cs="Times New Roman"/>
                    <w:sz w:val="24"/>
                    <w:szCs w:val="24"/>
                    <w:lang w:val="en-US" w:eastAsia="zh-CN"/>
                  </w:rPr>
                  <m:t>4</m:t>
                </m:r>
                <m:ctrlPr>
                  <w:rPr>
                    <w:rFonts w:hint="default" w:ascii="Cambria Math" w:hAnsi="Cambria Math" w:cs="Times New Roman"/>
                    <w:b w:val="0"/>
                    <w:bCs w:val="0"/>
                    <w:sz w:val="24"/>
                    <w:szCs w:val="24"/>
                    <w:lang w:val="en-US" w:eastAsia="zh-CN"/>
                  </w:rPr>
                </m:ctrlPr>
              </m:sup>
            </m:sSup>
            <m:ctrlPr>
              <w:rPr>
                <w:rFonts w:hint="default" w:ascii="Cambria Math" w:hAnsi="Cambria Math" w:cs="Times New Roman"/>
                <w:b w:val="0"/>
                <w:bCs w:val="0"/>
                <w:sz w:val="24"/>
                <w:szCs w:val="24"/>
                <w:lang w:val="en-US" w:eastAsia="zh-CN"/>
              </w:rPr>
            </m:ctrlPr>
          </m:den>
        </m:f>
      </m:oMath>
      <w:r>
        <w:rPr>
          <w:rFonts w:hint="default" w:ascii="Times New Roman" w:hAnsi="Times New Roman" w:cs="Times New Roman"/>
          <w:b w:val="0"/>
          <w:bCs w:val="0"/>
          <w:i w:val="0"/>
          <w:sz w:val="24"/>
          <w:szCs w:val="24"/>
          <w:lang w:val="en-US" w:eastAsia="zh-CN"/>
        </w:rPr>
        <w:t>+</w:t>
      </w:r>
      <m:oMath>
        <m:f>
          <m:fPr>
            <m:ctrlPr>
              <w:rPr>
                <w:rFonts w:hint="default" w:ascii="Cambria Math" w:hAnsi="Cambria Math" w:cs="Times New Roman"/>
                <w:b w:val="0"/>
                <w:bCs w:val="0"/>
                <w:sz w:val="24"/>
                <w:szCs w:val="24"/>
                <w:lang w:val="en-US" w:eastAsia="zh-CN"/>
              </w:rPr>
            </m:ctrlPr>
          </m:fPr>
          <m:num>
            <m:r>
              <m:rPr>
                <m:sty m:val="p"/>
              </m:rPr>
              <w:rPr>
                <w:rFonts w:hint="default" w:ascii="Cambria Math" w:hAnsi="Cambria Math" w:cs="Times New Roman"/>
                <w:sz w:val="24"/>
                <w:szCs w:val="24"/>
                <w:lang w:val="en-US" w:eastAsia="zh-CN"/>
              </w:rPr>
              <m:t>30,000+30,000</m:t>
            </m:r>
            <m:ctrlPr>
              <w:rPr>
                <w:rFonts w:hint="default" w:ascii="Cambria Math" w:hAnsi="Cambria Math" w:cs="Times New Roman"/>
                <w:b w:val="0"/>
                <w:bCs w:val="0"/>
                <w:sz w:val="24"/>
                <w:szCs w:val="24"/>
                <w:lang w:val="en-US" w:eastAsia="zh-CN"/>
              </w:rPr>
            </m:ctrlPr>
          </m:num>
          <m:den>
            <m:sSup>
              <m:sSupPr>
                <m:ctrlPr>
                  <w:rPr>
                    <w:rFonts w:hint="default" w:ascii="Cambria Math" w:hAnsi="Cambria Math" w:cs="Times New Roman"/>
                    <w:b w:val="0"/>
                    <w:bCs w:val="0"/>
                    <w:sz w:val="24"/>
                    <w:szCs w:val="24"/>
                    <w:lang w:val="en-US" w:eastAsia="zh-CN"/>
                  </w:rPr>
                </m:ctrlPr>
              </m:sSupPr>
              <m:e>
                <m:r>
                  <m:rPr>
                    <m:sty m:val="p"/>
                  </m:rPr>
                  <w:rPr>
                    <w:rFonts w:hint="default" w:ascii="Cambria Math" w:hAnsi="Cambria Math" w:cs="Times New Roman"/>
                    <w:sz w:val="24"/>
                    <w:szCs w:val="24"/>
                    <w:lang w:val="en-US" w:eastAsia="zh-CN"/>
                  </w:rPr>
                  <m:t>(1+0.2)</m:t>
                </m:r>
                <m:ctrlPr>
                  <w:rPr>
                    <w:rFonts w:hint="default" w:ascii="Cambria Math" w:hAnsi="Cambria Math" w:cs="Times New Roman"/>
                    <w:b w:val="0"/>
                    <w:bCs w:val="0"/>
                    <w:sz w:val="24"/>
                    <w:szCs w:val="24"/>
                    <w:lang w:val="en-US" w:eastAsia="zh-CN"/>
                  </w:rPr>
                </m:ctrlPr>
              </m:e>
              <m:sup>
                <m:r>
                  <m:rPr>
                    <m:sty m:val="p"/>
                  </m:rPr>
                  <w:rPr>
                    <w:rFonts w:hint="default" w:ascii="Cambria Math" w:hAnsi="Cambria Math" w:cs="Times New Roman"/>
                    <w:sz w:val="24"/>
                    <w:szCs w:val="24"/>
                    <w:lang w:val="en-US" w:eastAsia="zh-CN"/>
                  </w:rPr>
                  <m:t>5</m:t>
                </m:r>
                <m:ctrlPr>
                  <w:rPr>
                    <w:rFonts w:hint="default" w:ascii="Cambria Math" w:hAnsi="Cambria Math" w:cs="Times New Roman"/>
                    <w:b w:val="0"/>
                    <w:bCs w:val="0"/>
                    <w:sz w:val="24"/>
                    <w:szCs w:val="24"/>
                    <w:lang w:val="en-US" w:eastAsia="zh-CN"/>
                  </w:rPr>
                </m:ctrlPr>
              </m:sup>
            </m:sSup>
            <m:ctrlPr>
              <w:rPr>
                <w:rFonts w:hint="default" w:ascii="Cambria Math" w:hAnsi="Cambria Math" w:cs="Times New Roman"/>
                <w:b w:val="0"/>
                <w:bCs w:val="0"/>
                <w:sz w:val="24"/>
                <w:szCs w:val="24"/>
                <w:lang w:val="en-US" w:eastAsia="zh-CN"/>
              </w:rPr>
            </m:ctrlPr>
          </m:den>
        </m:f>
      </m:oMath>
      <w:r>
        <w:rPr>
          <w:rFonts w:hint="default" w:ascii="Times New Roman" w:hAnsi="Times New Roman" w:cs="Times New Roman"/>
          <w:b w:val="0"/>
          <w:bCs w:val="0"/>
          <w:i w:val="0"/>
          <w:sz w:val="24"/>
          <w:szCs w:val="24"/>
          <w:lang w:val="en-US" w:eastAsia="zh-CN"/>
        </w:rPr>
        <w:t>)-</w:t>
      </w:r>
      <m:oMath>
        <m:f>
          <m:fPr>
            <m:ctrlPr>
              <w:rPr>
                <w:rFonts w:hint="default" w:ascii="Cambria Math" w:hAnsi="Cambria Math" w:cs="Times New Roman"/>
                <w:b w:val="0"/>
                <w:bCs w:val="0"/>
                <w:sz w:val="24"/>
                <w:szCs w:val="24"/>
                <w:lang w:val="en-US" w:eastAsia="zh-CN"/>
              </w:rPr>
            </m:ctrlPr>
          </m:fPr>
          <m:num>
            <m:r>
              <m:rPr>
                <m:sty m:val="p"/>
              </m:rPr>
              <w:rPr>
                <w:rFonts w:hint="default" w:ascii="Cambria Math" w:hAnsi="Cambria Math" w:cs="Times New Roman"/>
                <w:sz w:val="24"/>
                <w:szCs w:val="24"/>
                <w:lang w:val="en-US" w:eastAsia="zh-CN"/>
              </w:rPr>
              <m:t>100,000</m:t>
            </m:r>
            <m:ctrlPr>
              <w:rPr>
                <w:rFonts w:hint="default" w:ascii="Cambria Math" w:hAnsi="Cambria Math" w:cs="Times New Roman"/>
                <w:b w:val="0"/>
                <w:bCs w:val="0"/>
                <w:sz w:val="24"/>
                <w:szCs w:val="24"/>
                <w:lang w:val="en-US" w:eastAsia="zh-CN"/>
              </w:rPr>
            </m:ctrlPr>
          </m:num>
          <m:den>
            <m:r>
              <m:rPr>
                <m:sty m:val="p"/>
              </m:rPr>
              <w:rPr>
                <w:rFonts w:hint="default" w:ascii="Cambria Math" w:hAnsi="Cambria Math" w:cs="Times New Roman"/>
                <w:sz w:val="24"/>
                <w:szCs w:val="24"/>
                <w:lang w:val="en-US" w:eastAsia="zh-CN"/>
              </w:rPr>
              <m:t>1+0.2</m:t>
            </m:r>
            <m:ctrlPr>
              <w:rPr>
                <w:rFonts w:hint="default" w:ascii="Cambria Math" w:hAnsi="Cambria Math" w:cs="Times New Roman"/>
                <w:b w:val="0"/>
                <w:bCs w:val="0"/>
                <w:sz w:val="24"/>
                <w:szCs w:val="24"/>
                <w:lang w:val="en-US" w:eastAsia="zh-CN"/>
              </w:rPr>
            </m:ctrlPr>
          </m:den>
        </m:f>
      </m:oMath>
    </w:p>
    <w:p>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default" w:ascii="Times New Roman" w:hAnsi="Times New Roman" w:cs="Times New Roman"/>
          <w:b w:val="0"/>
          <w:bCs w:val="0"/>
          <w:i w:val="0"/>
          <w:sz w:val="24"/>
          <w:szCs w:val="24"/>
          <w:lang w:val="en-US" w:eastAsia="zh-CN"/>
        </w:rPr>
      </w:pPr>
      <w:r>
        <w:rPr>
          <w:rFonts w:hint="default" w:ascii="Times New Roman" w:hAnsi="Times New Roman" w:cs="Times New Roman"/>
          <w:b w:val="0"/>
          <w:bCs w:val="0"/>
          <w:i w:val="0"/>
          <w:sz w:val="24"/>
          <w:szCs w:val="24"/>
          <w:lang w:val="en-US" w:eastAsia="zh-CN"/>
        </w:rPr>
        <w:t>=</w:t>
      </w:r>
      <w:r>
        <w:rPr>
          <w:rFonts w:hint="eastAsia" w:ascii="Times New Roman" w:hAnsi="Times New Roman" w:cs="Times New Roman"/>
          <w:b w:val="0"/>
          <w:bCs w:val="0"/>
          <w:i w:val="0"/>
          <w:sz w:val="24"/>
          <w:szCs w:val="24"/>
          <w:lang w:val="en-US" w:eastAsia="zh-CN"/>
        </w:rPr>
        <w:t>￡</w:t>
      </w:r>
      <w:r>
        <w:rPr>
          <w:rFonts w:hint="default" w:ascii="Times New Roman" w:hAnsi="Times New Roman" w:cs="Times New Roman"/>
          <w:b w:val="0"/>
          <w:bCs w:val="0"/>
          <w:i w:val="0"/>
          <w:sz w:val="24"/>
          <w:szCs w:val="24"/>
          <w:lang w:val="en-US" w:eastAsia="zh-CN"/>
        </w:rPr>
        <w:t>45,698.30</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b/>
          <w:bCs/>
          <w:i w:val="0"/>
          <w:sz w:val="24"/>
          <w:szCs w:val="24"/>
          <w:lang w:val="en-US" w:eastAsia="zh-CN"/>
        </w:rPr>
      </w:pPr>
      <w:r>
        <w:rPr>
          <w:rFonts w:hint="default" w:ascii="Times New Roman" w:hAnsi="Times New Roman" w:cs="Times New Roman"/>
          <w:b/>
          <w:bCs/>
          <w:i w:val="0"/>
          <w:sz w:val="24"/>
          <w:szCs w:val="24"/>
          <w:lang w:val="en-US" w:eastAsia="zh-CN"/>
        </w:rPr>
        <w:t>NPV for Machine B</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05"/>
        <w:gridCol w:w="1207"/>
        <w:gridCol w:w="1200"/>
        <w:gridCol w:w="1200"/>
        <w:gridCol w:w="1201"/>
        <w:gridCol w:w="1201"/>
        <w:gridCol w:w="13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bCs/>
                <w:sz w:val="18"/>
                <w:szCs w:val="18"/>
                <w:vertAlign w:val="baseline"/>
                <w:lang w:val="en-US" w:eastAsia="zh-CN"/>
              </w:rPr>
            </w:pPr>
          </w:p>
        </w:tc>
        <w:tc>
          <w:tcPr>
            <w:tcW w:w="121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Year 0</w:t>
            </w:r>
          </w:p>
        </w:tc>
        <w:tc>
          <w:tcPr>
            <w:tcW w:w="121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Year 1</w:t>
            </w:r>
          </w:p>
        </w:tc>
        <w:tc>
          <w:tcPr>
            <w:tcW w:w="121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Year 2</w:t>
            </w:r>
          </w:p>
        </w:tc>
        <w:tc>
          <w:tcPr>
            <w:tcW w:w="1218"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Year 3</w:t>
            </w:r>
          </w:p>
        </w:tc>
        <w:tc>
          <w:tcPr>
            <w:tcW w:w="1218"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Year 4</w:t>
            </w:r>
          </w:p>
        </w:tc>
        <w:tc>
          <w:tcPr>
            <w:tcW w:w="1218"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Year 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Machine (B)</w:t>
            </w:r>
          </w:p>
        </w:tc>
        <w:tc>
          <w:tcPr>
            <w:tcW w:w="121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(100,000)</w:t>
            </w:r>
          </w:p>
        </w:tc>
        <w:tc>
          <w:tcPr>
            <w:tcW w:w="121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25,000</w:t>
            </w:r>
          </w:p>
        </w:tc>
        <w:tc>
          <w:tcPr>
            <w:tcW w:w="121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40,000</w:t>
            </w:r>
          </w:p>
        </w:tc>
        <w:tc>
          <w:tcPr>
            <w:tcW w:w="1218"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35,000</w:t>
            </w:r>
          </w:p>
        </w:tc>
        <w:tc>
          <w:tcPr>
            <w:tcW w:w="1218"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75,000</w:t>
            </w:r>
          </w:p>
        </w:tc>
        <w:tc>
          <w:tcPr>
            <w:tcW w:w="1218"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25,000+25,000</w:t>
            </w:r>
          </w:p>
        </w:tc>
      </w:tr>
    </w:tbl>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imes New Roman" w:hAnsi="Times New Roman" w:cs="Times New Roman"/>
          <w:b w:val="0"/>
          <w:bCs w:val="0"/>
          <w:i w:val="0"/>
          <w:sz w:val="24"/>
          <w:szCs w:val="24"/>
          <w:lang w:val="en-US" w:eastAsia="zh-CN"/>
        </w:rPr>
      </w:pPr>
      <w:r>
        <w:rPr>
          <w:rFonts w:hint="default" w:ascii="Times New Roman" w:hAnsi="Times New Roman" w:cs="Times New Roman"/>
          <w:b w:val="0"/>
          <w:bCs w:val="0"/>
          <w:i w:val="0"/>
          <w:sz w:val="24"/>
          <w:szCs w:val="24"/>
          <w:lang w:val="en-US" w:eastAsia="zh-CN"/>
        </w:rPr>
        <w:t>Machine (B)</w:t>
      </w:r>
      <w:r>
        <w:rPr>
          <w:rFonts w:hint="eastAsia" w:ascii="Times New Roman" w:hAnsi="Times New Roman" w:cs="Times New Roman"/>
          <w:b w:val="0"/>
          <w:bCs w:val="0"/>
          <w:i w:val="0"/>
          <w:sz w:val="24"/>
          <w:szCs w:val="24"/>
          <w:lang w:val="en-US" w:eastAsia="zh-CN"/>
        </w:rPr>
        <w:t xml:space="preserve"> could be sold for ￡25,000</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imes New Roman" w:hAnsi="Times New Roman" w:cs="Times New Roman"/>
          <w:b w:val="0"/>
          <w:bCs w:val="0"/>
          <w:i w:val="0"/>
          <w:sz w:val="24"/>
          <w:szCs w:val="24"/>
          <w:lang w:val="en-US" w:eastAsia="zh-CN"/>
        </w:rPr>
      </w:pPr>
      <w:r>
        <w:rPr>
          <w:rFonts w:hint="eastAsia" w:ascii="Times New Roman" w:hAnsi="Times New Roman" w:cs="Times New Roman"/>
          <w:b w:val="0"/>
          <w:bCs w:val="0"/>
          <w:i w:val="0"/>
          <w:sz w:val="24"/>
          <w:szCs w:val="24"/>
          <w:lang w:val="en-US" w:eastAsia="zh-CN"/>
        </w:rPr>
        <w:t>Discount rate: 20%</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b w:val="0"/>
          <w:bCs w:val="0"/>
          <w:i w:val="0"/>
          <w:sz w:val="24"/>
          <w:szCs w:val="24"/>
          <w:lang w:val="en-US" w:eastAsia="zh-CN"/>
        </w:rPr>
      </w:pPr>
      <w:r>
        <w:rPr>
          <w:rFonts w:hint="default" w:ascii="Times New Roman" w:hAnsi="Times New Roman" w:cs="Times New Roman"/>
          <w:b w:val="0"/>
          <w:bCs w:val="0"/>
          <w:sz w:val="24"/>
          <w:szCs w:val="24"/>
          <w:lang w:val="en-US" w:eastAsia="zh-CN"/>
        </w:rPr>
        <w:t>NPV=CF</w:t>
      </w:r>
      <w:r>
        <w:rPr>
          <w:rFonts w:hint="default" w:ascii="Times New Roman" w:hAnsi="Times New Roman" w:cs="Times New Roman"/>
          <w:b w:val="0"/>
          <w:bCs w:val="0"/>
          <w:sz w:val="24"/>
          <w:szCs w:val="24"/>
          <w:vertAlign w:val="subscript"/>
          <w:lang w:val="en-US" w:eastAsia="zh-CN"/>
        </w:rPr>
        <w:t>0</w:t>
      </w:r>
      <w:r>
        <w:rPr>
          <w:rFonts w:hint="default" w:ascii="Times New Roman" w:hAnsi="Times New Roman" w:cs="Times New Roman"/>
          <w:b w:val="0"/>
          <w:bCs w:val="0"/>
          <w:sz w:val="24"/>
          <w:szCs w:val="24"/>
          <w:vertAlign w:val="baseline"/>
          <w:lang w:val="en-US" w:eastAsia="zh-CN"/>
        </w:rPr>
        <w:t>+</w:t>
      </w:r>
      <m:oMath>
        <m:f>
          <m:fPr>
            <m:ctrlPr>
              <w:rPr>
                <w:rFonts w:hint="default" w:ascii="Cambria Math" w:hAnsi="Cambria Math" w:cs="Times New Roman"/>
                <w:b w:val="0"/>
                <w:bCs w:val="0"/>
                <w:sz w:val="24"/>
                <w:szCs w:val="24"/>
                <w:lang w:val="en-US" w:eastAsia="zh-CN"/>
              </w:rPr>
            </m:ctrlPr>
          </m:fPr>
          <m:num>
            <m:sSub>
              <m:sSubPr>
                <m:ctrlPr>
                  <w:rPr>
                    <w:rFonts w:hint="default" w:ascii="Cambria Math" w:hAnsi="Cambria Math" w:cs="Times New Roman"/>
                    <w:b w:val="0"/>
                    <w:bCs w:val="0"/>
                    <w:sz w:val="24"/>
                    <w:szCs w:val="24"/>
                    <w:lang w:val="en-US" w:eastAsia="zh-CN"/>
                  </w:rPr>
                </m:ctrlPr>
              </m:sSubPr>
              <m:e>
                <m:r>
                  <m:rPr>
                    <m:sty m:val="p"/>
                  </m:rPr>
                  <w:rPr>
                    <w:rFonts w:hint="default" w:ascii="Cambria Math" w:hAnsi="Cambria Math" w:cs="Times New Roman"/>
                    <w:sz w:val="24"/>
                    <w:szCs w:val="24"/>
                    <w:lang w:val="en-US" w:eastAsia="zh-CN"/>
                  </w:rPr>
                  <m:t>CF</m:t>
                </m:r>
                <m:ctrlPr>
                  <w:rPr>
                    <w:rFonts w:hint="default" w:ascii="Cambria Math" w:hAnsi="Cambria Math" w:cs="Times New Roman"/>
                    <w:b w:val="0"/>
                    <w:bCs w:val="0"/>
                    <w:sz w:val="24"/>
                    <w:szCs w:val="24"/>
                    <w:lang w:val="en-US" w:eastAsia="zh-CN"/>
                  </w:rPr>
                </m:ctrlPr>
              </m:e>
              <m:sub>
                <m:r>
                  <m:rPr>
                    <m:sty m:val="p"/>
                  </m:rPr>
                  <w:rPr>
                    <w:rFonts w:hint="default" w:ascii="Cambria Math" w:hAnsi="Cambria Math" w:cs="Times New Roman"/>
                    <w:sz w:val="24"/>
                    <w:szCs w:val="24"/>
                    <w:lang w:val="en-US" w:eastAsia="zh-CN"/>
                  </w:rPr>
                  <m:t>1</m:t>
                </m:r>
                <m:ctrlPr>
                  <w:rPr>
                    <w:rFonts w:hint="default" w:ascii="Cambria Math" w:hAnsi="Cambria Math" w:cs="Times New Roman"/>
                    <w:b w:val="0"/>
                    <w:bCs w:val="0"/>
                    <w:sz w:val="24"/>
                    <w:szCs w:val="24"/>
                    <w:lang w:val="en-US" w:eastAsia="zh-CN"/>
                  </w:rPr>
                </m:ctrlPr>
              </m:sub>
            </m:sSub>
            <m:ctrlPr>
              <w:rPr>
                <w:rFonts w:hint="default" w:ascii="Cambria Math" w:hAnsi="Cambria Math" w:cs="Times New Roman"/>
                <w:b w:val="0"/>
                <w:bCs w:val="0"/>
                <w:sz w:val="24"/>
                <w:szCs w:val="24"/>
                <w:lang w:val="en-US" w:eastAsia="zh-CN"/>
              </w:rPr>
            </m:ctrlPr>
          </m:num>
          <m:den>
            <m:r>
              <m:rPr>
                <m:sty m:val="p"/>
              </m:rPr>
              <w:rPr>
                <w:rFonts w:hint="default" w:ascii="Cambria Math" w:hAnsi="Cambria Math" w:cs="Times New Roman"/>
                <w:sz w:val="24"/>
                <w:szCs w:val="24"/>
                <w:lang w:val="en-US" w:eastAsia="zh-CN"/>
              </w:rPr>
              <m:t>1+i</m:t>
            </m:r>
            <m:ctrlPr>
              <w:rPr>
                <w:rFonts w:hint="default" w:ascii="Cambria Math" w:hAnsi="Cambria Math" w:cs="Times New Roman"/>
                <w:b w:val="0"/>
                <w:bCs w:val="0"/>
                <w:sz w:val="24"/>
                <w:szCs w:val="24"/>
                <w:lang w:val="en-US" w:eastAsia="zh-CN"/>
              </w:rPr>
            </m:ctrlPr>
          </m:den>
        </m:f>
      </m:oMath>
      <w:r>
        <w:rPr>
          <w:rFonts w:hint="default" w:ascii="Times New Roman" w:hAnsi="Times New Roman" w:cs="Times New Roman"/>
          <w:b w:val="0"/>
          <w:bCs w:val="0"/>
          <w:i w:val="0"/>
          <w:sz w:val="24"/>
          <w:szCs w:val="24"/>
          <w:lang w:val="en-US" w:eastAsia="zh-CN"/>
        </w:rPr>
        <w:t>+</w:t>
      </w:r>
      <m:oMath>
        <m:f>
          <m:fPr>
            <m:ctrlPr>
              <w:rPr>
                <w:rFonts w:hint="default" w:ascii="Cambria Math" w:hAnsi="Cambria Math" w:cs="Times New Roman"/>
                <w:b w:val="0"/>
                <w:bCs w:val="0"/>
                <w:sz w:val="24"/>
                <w:szCs w:val="24"/>
                <w:lang w:val="en-US" w:eastAsia="zh-CN"/>
              </w:rPr>
            </m:ctrlPr>
          </m:fPr>
          <m:num>
            <m:sSub>
              <m:sSubPr>
                <m:ctrlPr>
                  <w:rPr>
                    <w:rFonts w:hint="default" w:ascii="Cambria Math" w:hAnsi="Cambria Math" w:cs="Times New Roman"/>
                    <w:b w:val="0"/>
                    <w:bCs w:val="0"/>
                    <w:sz w:val="24"/>
                    <w:szCs w:val="24"/>
                    <w:lang w:val="en-US" w:eastAsia="zh-CN"/>
                  </w:rPr>
                </m:ctrlPr>
              </m:sSubPr>
              <m:e>
                <m:r>
                  <m:rPr>
                    <m:sty m:val="p"/>
                  </m:rPr>
                  <w:rPr>
                    <w:rFonts w:hint="default" w:ascii="Cambria Math" w:hAnsi="Cambria Math" w:cs="Times New Roman"/>
                    <w:sz w:val="24"/>
                    <w:szCs w:val="24"/>
                    <w:lang w:val="en-US" w:eastAsia="zh-CN"/>
                  </w:rPr>
                  <m:t>CF</m:t>
                </m:r>
                <m:ctrlPr>
                  <w:rPr>
                    <w:rFonts w:hint="default" w:ascii="Cambria Math" w:hAnsi="Cambria Math" w:cs="Times New Roman"/>
                    <w:b w:val="0"/>
                    <w:bCs w:val="0"/>
                    <w:sz w:val="24"/>
                    <w:szCs w:val="24"/>
                    <w:lang w:val="en-US" w:eastAsia="zh-CN"/>
                  </w:rPr>
                </m:ctrlPr>
              </m:e>
              <m:sub>
                <m:r>
                  <m:rPr>
                    <m:sty m:val="p"/>
                  </m:rPr>
                  <w:rPr>
                    <w:rFonts w:hint="default" w:ascii="Cambria Math" w:hAnsi="Cambria Math" w:cs="Times New Roman"/>
                    <w:sz w:val="24"/>
                    <w:szCs w:val="24"/>
                    <w:lang w:val="en-US" w:eastAsia="zh-CN"/>
                  </w:rPr>
                  <m:t>2</m:t>
                </m:r>
                <m:ctrlPr>
                  <w:rPr>
                    <w:rFonts w:hint="default" w:ascii="Cambria Math" w:hAnsi="Cambria Math" w:cs="Times New Roman"/>
                    <w:b w:val="0"/>
                    <w:bCs w:val="0"/>
                    <w:sz w:val="24"/>
                    <w:szCs w:val="24"/>
                    <w:lang w:val="en-US" w:eastAsia="zh-CN"/>
                  </w:rPr>
                </m:ctrlPr>
              </m:sub>
            </m:sSub>
            <m:ctrlPr>
              <w:rPr>
                <w:rFonts w:hint="default" w:ascii="Cambria Math" w:hAnsi="Cambria Math" w:cs="Times New Roman"/>
                <w:b w:val="0"/>
                <w:bCs w:val="0"/>
                <w:sz w:val="24"/>
                <w:szCs w:val="24"/>
                <w:lang w:val="en-US" w:eastAsia="zh-CN"/>
              </w:rPr>
            </m:ctrlPr>
          </m:num>
          <m:den>
            <m:sSup>
              <m:sSupPr>
                <m:ctrlPr>
                  <w:rPr>
                    <w:rFonts w:hint="default" w:ascii="Cambria Math" w:hAnsi="Cambria Math" w:cs="Times New Roman"/>
                    <w:b w:val="0"/>
                    <w:bCs w:val="0"/>
                    <w:sz w:val="24"/>
                    <w:szCs w:val="24"/>
                    <w:lang w:val="en-US" w:eastAsia="zh-CN"/>
                  </w:rPr>
                </m:ctrlPr>
              </m:sSupPr>
              <m:e>
                <m:r>
                  <m:rPr>
                    <m:sty m:val="p"/>
                  </m:rPr>
                  <w:rPr>
                    <w:rFonts w:hint="default" w:ascii="Cambria Math" w:hAnsi="Cambria Math" w:cs="Times New Roman"/>
                    <w:sz w:val="24"/>
                    <w:szCs w:val="24"/>
                    <w:lang w:val="en-US" w:eastAsia="zh-CN"/>
                  </w:rPr>
                  <m:t>(1+i)</m:t>
                </m:r>
                <m:ctrlPr>
                  <w:rPr>
                    <w:rFonts w:hint="default" w:ascii="Cambria Math" w:hAnsi="Cambria Math" w:cs="Times New Roman"/>
                    <w:b w:val="0"/>
                    <w:bCs w:val="0"/>
                    <w:sz w:val="24"/>
                    <w:szCs w:val="24"/>
                    <w:lang w:val="en-US" w:eastAsia="zh-CN"/>
                  </w:rPr>
                </m:ctrlPr>
              </m:e>
              <m:sup>
                <m:r>
                  <m:rPr>
                    <m:sty m:val="p"/>
                  </m:rPr>
                  <w:rPr>
                    <w:rFonts w:hint="default" w:ascii="Cambria Math" w:hAnsi="Cambria Math" w:cs="Times New Roman"/>
                    <w:sz w:val="24"/>
                    <w:szCs w:val="24"/>
                    <w:lang w:val="en-US" w:eastAsia="zh-CN"/>
                  </w:rPr>
                  <m:t>2</m:t>
                </m:r>
                <m:ctrlPr>
                  <w:rPr>
                    <w:rFonts w:hint="default" w:ascii="Cambria Math" w:hAnsi="Cambria Math" w:cs="Times New Roman"/>
                    <w:b w:val="0"/>
                    <w:bCs w:val="0"/>
                    <w:sz w:val="24"/>
                    <w:szCs w:val="24"/>
                    <w:lang w:val="en-US" w:eastAsia="zh-CN"/>
                  </w:rPr>
                </m:ctrlPr>
              </m:sup>
            </m:sSup>
            <m:ctrlPr>
              <w:rPr>
                <w:rFonts w:hint="default" w:ascii="Cambria Math" w:hAnsi="Cambria Math" w:cs="Times New Roman"/>
                <w:b w:val="0"/>
                <w:bCs w:val="0"/>
                <w:sz w:val="24"/>
                <w:szCs w:val="24"/>
                <w:lang w:val="en-US" w:eastAsia="zh-CN"/>
              </w:rPr>
            </m:ctrlPr>
          </m:den>
        </m:f>
      </m:oMath>
      <w:r>
        <w:rPr>
          <w:rFonts w:hint="default" w:ascii="Times New Roman" w:hAnsi="Times New Roman" w:cs="Times New Roman"/>
          <w:b w:val="0"/>
          <w:bCs w:val="0"/>
          <w:i w:val="0"/>
          <w:sz w:val="24"/>
          <w:szCs w:val="24"/>
          <w:lang w:val="en-US" w:eastAsia="zh-CN"/>
        </w:rPr>
        <w:t>+</w:t>
      </w:r>
      <m:oMath>
        <m:f>
          <m:fPr>
            <m:ctrlPr>
              <w:rPr>
                <w:rFonts w:hint="default" w:ascii="Cambria Math" w:hAnsi="Cambria Math" w:cs="Times New Roman"/>
                <w:b w:val="0"/>
                <w:bCs w:val="0"/>
                <w:sz w:val="24"/>
                <w:szCs w:val="24"/>
                <w:lang w:val="en-US" w:eastAsia="zh-CN"/>
              </w:rPr>
            </m:ctrlPr>
          </m:fPr>
          <m:num>
            <m:sSub>
              <m:sSubPr>
                <m:ctrlPr>
                  <w:rPr>
                    <w:rFonts w:hint="default" w:ascii="Cambria Math" w:hAnsi="Cambria Math" w:cs="Times New Roman"/>
                    <w:b w:val="0"/>
                    <w:bCs w:val="0"/>
                    <w:sz w:val="24"/>
                    <w:szCs w:val="24"/>
                    <w:lang w:val="en-US" w:eastAsia="zh-CN"/>
                  </w:rPr>
                </m:ctrlPr>
              </m:sSubPr>
              <m:e>
                <m:r>
                  <m:rPr>
                    <m:sty m:val="p"/>
                  </m:rPr>
                  <w:rPr>
                    <w:rFonts w:hint="default" w:ascii="Cambria Math" w:hAnsi="Cambria Math" w:cs="Times New Roman"/>
                    <w:sz w:val="24"/>
                    <w:szCs w:val="24"/>
                    <w:lang w:val="en-US" w:eastAsia="zh-CN"/>
                  </w:rPr>
                  <m:t>CF</m:t>
                </m:r>
                <m:ctrlPr>
                  <w:rPr>
                    <w:rFonts w:hint="default" w:ascii="Cambria Math" w:hAnsi="Cambria Math" w:cs="Times New Roman"/>
                    <w:b w:val="0"/>
                    <w:bCs w:val="0"/>
                    <w:sz w:val="24"/>
                    <w:szCs w:val="24"/>
                    <w:lang w:val="en-US" w:eastAsia="zh-CN"/>
                  </w:rPr>
                </m:ctrlPr>
              </m:e>
              <m:sub>
                <m:r>
                  <m:rPr>
                    <m:sty m:val="p"/>
                  </m:rPr>
                  <w:rPr>
                    <w:rFonts w:hint="default" w:ascii="Cambria Math" w:hAnsi="Cambria Math" w:cs="Times New Roman"/>
                    <w:sz w:val="24"/>
                    <w:szCs w:val="24"/>
                    <w:lang w:val="en-US" w:eastAsia="zh-CN"/>
                  </w:rPr>
                  <m:t>3</m:t>
                </m:r>
                <m:ctrlPr>
                  <w:rPr>
                    <w:rFonts w:hint="default" w:ascii="Cambria Math" w:hAnsi="Cambria Math" w:cs="Times New Roman"/>
                    <w:b w:val="0"/>
                    <w:bCs w:val="0"/>
                    <w:sz w:val="24"/>
                    <w:szCs w:val="24"/>
                    <w:lang w:val="en-US" w:eastAsia="zh-CN"/>
                  </w:rPr>
                </m:ctrlPr>
              </m:sub>
            </m:sSub>
            <m:ctrlPr>
              <w:rPr>
                <w:rFonts w:hint="default" w:ascii="Cambria Math" w:hAnsi="Cambria Math" w:cs="Times New Roman"/>
                <w:b w:val="0"/>
                <w:bCs w:val="0"/>
                <w:sz w:val="24"/>
                <w:szCs w:val="24"/>
                <w:lang w:val="en-US" w:eastAsia="zh-CN"/>
              </w:rPr>
            </m:ctrlPr>
          </m:num>
          <m:den>
            <m:sSup>
              <m:sSupPr>
                <m:ctrlPr>
                  <w:rPr>
                    <w:rFonts w:hint="default" w:ascii="Cambria Math" w:hAnsi="Cambria Math" w:cs="Times New Roman"/>
                    <w:b w:val="0"/>
                    <w:bCs w:val="0"/>
                    <w:sz w:val="24"/>
                    <w:szCs w:val="24"/>
                    <w:lang w:val="en-US" w:eastAsia="zh-CN"/>
                  </w:rPr>
                </m:ctrlPr>
              </m:sSupPr>
              <m:e>
                <m:r>
                  <m:rPr>
                    <m:sty m:val="p"/>
                  </m:rPr>
                  <w:rPr>
                    <w:rFonts w:hint="default" w:ascii="Cambria Math" w:hAnsi="Cambria Math" w:cs="Times New Roman"/>
                    <w:sz w:val="24"/>
                    <w:szCs w:val="24"/>
                    <w:lang w:val="en-US" w:eastAsia="zh-CN"/>
                  </w:rPr>
                  <m:t>(1+i)</m:t>
                </m:r>
                <m:ctrlPr>
                  <w:rPr>
                    <w:rFonts w:hint="default" w:ascii="Cambria Math" w:hAnsi="Cambria Math" w:cs="Times New Roman"/>
                    <w:b w:val="0"/>
                    <w:bCs w:val="0"/>
                    <w:sz w:val="24"/>
                    <w:szCs w:val="24"/>
                    <w:lang w:val="en-US" w:eastAsia="zh-CN"/>
                  </w:rPr>
                </m:ctrlPr>
              </m:e>
              <m:sup>
                <m:r>
                  <m:rPr>
                    <m:sty m:val="p"/>
                  </m:rPr>
                  <w:rPr>
                    <w:rFonts w:hint="default" w:ascii="Cambria Math" w:hAnsi="Cambria Math" w:cs="Times New Roman"/>
                    <w:sz w:val="24"/>
                    <w:szCs w:val="24"/>
                    <w:lang w:val="en-US" w:eastAsia="zh-CN"/>
                  </w:rPr>
                  <m:t>3</m:t>
                </m:r>
                <m:ctrlPr>
                  <w:rPr>
                    <w:rFonts w:hint="default" w:ascii="Cambria Math" w:hAnsi="Cambria Math" w:cs="Times New Roman"/>
                    <w:b w:val="0"/>
                    <w:bCs w:val="0"/>
                    <w:sz w:val="24"/>
                    <w:szCs w:val="24"/>
                    <w:lang w:val="en-US" w:eastAsia="zh-CN"/>
                  </w:rPr>
                </m:ctrlPr>
              </m:sup>
            </m:sSup>
            <m:ctrlPr>
              <w:rPr>
                <w:rFonts w:hint="default" w:ascii="Cambria Math" w:hAnsi="Cambria Math" w:cs="Times New Roman"/>
                <w:b w:val="0"/>
                <w:bCs w:val="0"/>
                <w:sz w:val="24"/>
                <w:szCs w:val="24"/>
                <w:lang w:val="en-US" w:eastAsia="zh-CN"/>
              </w:rPr>
            </m:ctrlPr>
          </m:den>
        </m:f>
      </m:oMath>
      <w:r>
        <w:rPr>
          <w:rFonts w:hint="default" w:ascii="Times New Roman" w:hAnsi="Times New Roman" w:cs="Times New Roman"/>
          <w:b w:val="0"/>
          <w:bCs w:val="0"/>
          <w:i w:val="0"/>
          <w:sz w:val="24"/>
          <w:szCs w:val="24"/>
          <w:lang w:val="en-US" w:eastAsia="zh-CN"/>
        </w:rPr>
        <w:t xml:space="preserve"> ... +</w:t>
      </w:r>
      <m:oMath>
        <m:f>
          <m:fPr>
            <m:ctrlPr>
              <w:rPr>
                <w:rFonts w:hint="default" w:ascii="Cambria Math" w:hAnsi="Cambria Math" w:cs="Times New Roman"/>
                <w:b w:val="0"/>
                <w:bCs w:val="0"/>
                <w:sz w:val="24"/>
                <w:szCs w:val="24"/>
                <w:lang w:val="en-US" w:eastAsia="zh-CN"/>
              </w:rPr>
            </m:ctrlPr>
          </m:fPr>
          <m:num>
            <m:sSub>
              <m:sSubPr>
                <m:ctrlPr>
                  <w:rPr>
                    <w:rFonts w:hint="default" w:ascii="Cambria Math" w:hAnsi="Cambria Math" w:cs="Times New Roman"/>
                    <w:b w:val="0"/>
                    <w:bCs w:val="0"/>
                    <w:sz w:val="24"/>
                    <w:szCs w:val="24"/>
                    <w:lang w:val="en-US" w:eastAsia="zh-CN"/>
                  </w:rPr>
                </m:ctrlPr>
              </m:sSubPr>
              <m:e>
                <m:r>
                  <m:rPr>
                    <m:sty m:val="p"/>
                  </m:rPr>
                  <w:rPr>
                    <w:rFonts w:hint="default" w:ascii="Cambria Math" w:hAnsi="Cambria Math" w:cs="Times New Roman"/>
                    <w:sz w:val="24"/>
                    <w:szCs w:val="24"/>
                    <w:lang w:val="en-US" w:eastAsia="zh-CN"/>
                  </w:rPr>
                  <m:t>CF</m:t>
                </m:r>
                <m:ctrlPr>
                  <w:rPr>
                    <w:rFonts w:hint="default" w:ascii="Cambria Math" w:hAnsi="Cambria Math" w:cs="Times New Roman"/>
                    <w:b w:val="0"/>
                    <w:bCs w:val="0"/>
                    <w:sz w:val="24"/>
                    <w:szCs w:val="24"/>
                    <w:lang w:val="en-US" w:eastAsia="zh-CN"/>
                  </w:rPr>
                </m:ctrlPr>
              </m:e>
              <m:sub>
                <m:r>
                  <m:rPr>
                    <m:sty m:val="p"/>
                  </m:rPr>
                  <w:rPr>
                    <w:rFonts w:hint="default" w:ascii="Cambria Math" w:hAnsi="Cambria Math" w:cs="Times New Roman"/>
                    <w:sz w:val="24"/>
                    <w:szCs w:val="24"/>
                    <w:lang w:val="en-US" w:eastAsia="zh-CN"/>
                  </w:rPr>
                  <m:t>n</m:t>
                </m:r>
                <m:ctrlPr>
                  <w:rPr>
                    <w:rFonts w:hint="default" w:ascii="Cambria Math" w:hAnsi="Cambria Math" w:cs="Times New Roman"/>
                    <w:b w:val="0"/>
                    <w:bCs w:val="0"/>
                    <w:sz w:val="24"/>
                    <w:szCs w:val="24"/>
                    <w:lang w:val="en-US" w:eastAsia="zh-CN"/>
                  </w:rPr>
                </m:ctrlPr>
              </m:sub>
            </m:sSub>
            <m:ctrlPr>
              <w:rPr>
                <w:rFonts w:hint="default" w:ascii="Cambria Math" w:hAnsi="Cambria Math" w:cs="Times New Roman"/>
                <w:b w:val="0"/>
                <w:bCs w:val="0"/>
                <w:sz w:val="24"/>
                <w:szCs w:val="24"/>
                <w:lang w:val="en-US" w:eastAsia="zh-CN"/>
              </w:rPr>
            </m:ctrlPr>
          </m:num>
          <m:den>
            <m:sSup>
              <m:sSupPr>
                <m:ctrlPr>
                  <w:rPr>
                    <w:rFonts w:hint="default" w:ascii="Cambria Math" w:hAnsi="Cambria Math" w:cs="Times New Roman"/>
                    <w:b w:val="0"/>
                    <w:bCs w:val="0"/>
                    <w:sz w:val="24"/>
                    <w:szCs w:val="24"/>
                    <w:lang w:val="en-US" w:eastAsia="zh-CN"/>
                  </w:rPr>
                </m:ctrlPr>
              </m:sSupPr>
              <m:e>
                <m:r>
                  <m:rPr>
                    <m:sty m:val="p"/>
                  </m:rPr>
                  <w:rPr>
                    <w:rFonts w:hint="default" w:ascii="Cambria Math" w:hAnsi="Cambria Math" w:cs="Times New Roman"/>
                    <w:sz w:val="24"/>
                    <w:szCs w:val="24"/>
                    <w:lang w:val="en-US" w:eastAsia="zh-CN"/>
                  </w:rPr>
                  <m:t>(1+i)</m:t>
                </m:r>
                <m:ctrlPr>
                  <w:rPr>
                    <w:rFonts w:hint="default" w:ascii="Cambria Math" w:hAnsi="Cambria Math" w:cs="Times New Roman"/>
                    <w:b w:val="0"/>
                    <w:bCs w:val="0"/>
                    <w:sz w:val="24"/>
                    <w:szCs w:val="24"/>
                    <w:lang w:val="en-US" w:eastAsia="zh-CN"/>
                  </w:rPr>
                </m:ctrlPr>
              </m:e>
              <m:sup>
                <m:r>
                  <m:rPr>
                    <m:sty m:val="p"/>
                  </m:rPr>
                  <w:rPr>
                    <w:rFonts w:hint="default" w:ascii="Cambria Math" w:hAnsi="Cambria Math" w:cs="Times New Roman"/>
                    <w:sz w:val="24"/>
                    <w:szCs w:val="24"/>
                    <w:lang w:val="en-US" w:eastAsia="zh-CN"/>
                  </w:rPr>
                  <m:t>n</m:t>
                </m:r>
                <m:ctrlPr>
                  <w:rPr>
                    <w:rFonts w:hint="default" w:ascii="Cambria Math" w:hAnsi="Cambria Math" w:cs="Times New Roman"/>
                    <w:b w:val="0"/>
                    <w:bCs w:val="0"/>
                    <w:sz w:val="24"/>
                    <w:szCs w:val="24"/>
                    <w:lang w:val="en-US" w:eastAsia="zh-CN"/>
                  </w:rPr>
                </m:ctrlPr>
              </m:sup>
            </m:sSup>
            <m:ctrlPr>
              <w:rPr>
                <w:rFonts w:hint="default" w:ascii="Cambria Math" w:hAnsi="Cambria Math" w:cs="Times New Roman"/>
                <w:b w:val="0"/>
                <w:bCs w:val="0"/>
                <w:sz w:val="24"/>
                <w:szCs w:val="24"/>
                <w:lang w:val="en-US" w:eastAsia="zh-CN"/>
              </w:rPr>
            </m:ctrlPr>
          </m:den>
        </m:f>
      </m:oMath>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b w:val="0"/>
          <w:bCs w:val="0"/>
          <w:i w:val="0"/>
          <w:sz w:val="24"/>
          <w:szCs w:val="24"/>
          <w:lang w:val="en-US" w:eastAsia="zh-CN"/>
        </w:rPr>
      </w:pPr>
      <w:r>
        <w:rPr>
          <w:rFonts w:hint="default" w:ascii="Times New Roman" w:hAnsi="Times New Roman" w:cs="Times New Roman"/>
          <w:b w:val="0"/>
          <w:bCs w:val="0"/>
          <w:i w:val="0"/>
          <w:sz w:val="24"/>
          <w:szCs w:val="24"/>
          <w:lang w:val="en-US" w:eastAsia="zh-CN"/>
        </w:rPr>
        <w:t xml:space="preserve">    =(</w:t>
      </w:r>
      <m:oMath>
        <m:f>
          <m:fPr>
            <m:ctrlPr>
              <w:rPr>
                <w:rFonts w:hint="default" w:ascii="Cambria Math" w:hAnsi="Cambria Math" w:cs="Times New Roman"/>
                <w:b w:val="0"/>
                <w:bCs w:val="0"/>
                <w:sz w:val="24"/>
                <w:szCs w:val="24"/>
                <w:lang w:val="en-US" w:eastAsia="zh-CN"/>
              </w:rPr>
            </m:ctrlPr>
          </m:fPr>
          <m:num>
            <m:r>
              <m:rPr>
                <m:sty m:val="p"/>
              </m:rPr>
              <w:rPr>
                <w:rFonts w:hint="default" w:ascii="Cambria Math" w:hAnsi="Cambria Math" w:cs="Times New Roman"/>
                <w:sz w:val="24"/>
                <w:szCs w:val="24"/>
                <w:lang w:val="en-US" w:eastAsia="zh-CN"/>
              </w:rPr>
              <m:t>25,000</m:t>
            </m:r>
            <m:ctrlPr>
              <w:rPr>
                <w:rFonts w:hint="default" w:ascii="Cambria Math" w:hAnsi="Cambria Math" w:cs="Times New Roman"/>
                <w:b w:val="0"/>
                <w:bCs w:val="0"/>
                <w:sz w:val="24"/>
                <w:szCs w:val="24"/>
                <w:lang w:val="en-US" w:eastAsia="zh-CN"/>
              </w:rPr>
            </m:ctrlPr>
          </m:num>
          <m:den>
            <m:r>
              <m:rPr>
                <m:sty m:val="p"/>
              </m:rPr>
              <w:rPr>
                <w:rFonts w:hint="default" w:ascii="Cambria Math" w:hAnsi="Cambria Math" w:cs="Times New Roman"/>
                <w:sz w:val="24"/>
                <w:szCs w:val="24"/>
                <w:lang w:val="en-US" w:eastAsia="zh-CN"/>
              </w:rPr>
              <m:t>1+0.2</m:t>
            </m:r>
            <m:ctrlPr>
              <w:rPr>
                <w:rFonts w:hint="default" w:ascii="Cambria Math" w:hAnsi="Cambria Math" w:cs="Times New Roman"/>
                <w:b w:val="0"/>
                <w:bCs w:val="0"/>
                <w:sz w:val="24"/>
                <w:szCs w:val="24"/>
                <w:lang w:val="en-US" w:eastAsia="zh-CN"/>
              </w:rPr>
            </m:ctrlPr>
          </m:den>
        </m:f>
        <m:r>
          <m:rPr>
            <m:sty m:val="p"/>
          </m:rPr>
          <w:rPr>
            <w:rFonts w:hint="default" w:ascii="Cambria Math" w:hAnsi="Cambria Math" w:cs="Times New Roman"/>
            <w:sz w:val="24"/>
            <w:szCs w:val="24"/>
            <w:lang w:val="en-US" w:eastAsia="zh-CN"/>
          </w:rPr>
          <m:t>+</m:t>
        </m:r>
        <m:f>
          <m:fPr>
            <m:ctrlPr>
              <w:rPr>
                <w:rFonts w:hint="default" w:ascii="Cambria Math" w:hAnsi="Cambria Math" w:cs="Times New Roman"/>
                <w:b w:val="0"/>
                <w:bCs w:val="0"/>
                <w:sz w:val="24"/>
                <w:szCs w:val="24"/>
                <w:lang w:val="en-US" w:eastAsia="zh-CN"/>
              </w:rPr>
            </m:ctrlPr>
          </m:fPr>
          <m:num>
            <m:r>
              <m:rPr>
                <m:sty m:val="p"/>
              </m:rPr>
              <w:rPr>
                <w:rFonts w:hint="default" w:ascii="Cambria Math" w:hAnsi="Cambria Math" w:cs="Times New Roman"/>
                <w:sz w:val="24"/>
                <w:szCs w:val="24"/>
                <w:lang w:val="en-US" w:eastAsia="zh-CN"/>
              </w:rPr>
              <m:t>40,000</m:t>
            </m:r>
            <m:ctrlPr>
              <w:rPr>
                <w:rFonts w:hint="default" w:ascii="Cambria Math" w:hAnsi="Cambria Math" w:cs="Times New Roman"/>
                <w:b w:val="0"/>
                <w:bCs w:val="0"/>
                <w:sz w:val="24"/>
                <w:szCs w:val="24"/>
                <w:lang w:val="en-US" w:eastAsia="zh-CN"/>
              </w:rPr>
            </m:ctrlPr>
          </m:num>
          <m:den>
            <m:sSup>
              <m:sSupPr>
                <m:ctrlPr>
                  <w:rPr>
                    <w:rFonts w:hint="default" w:ascii="Cambria Math" w:hAnsi="Cambria Math" w:cs="Times New Roman"/>
                    <w:b w:val="0"/>
                    <w:bCs w:val="0"/>
                    <w:sz w:val="24"/>
                    <w:szCs w:val="24"/>
                    <w:lang w:val="en-US" w:eastAsia="zh-CN"/>
                  </w:rPr>
                </m:ctrlPr>
              </m:sSupPr>
              <m:e>
                <m:r>
                  <m:rPr>
                    <m:sty m:val="p"/>
                  </m:rPr>
                  <w:rPr>
                    <w:rFonts w:hint="default" w:ascii="Cambria Math" w:hAnsi="Cambria Math" w:cs="Times New Roman"/>
                    <w:sz w:val="24"/>
                    <w:szCs w:val="24"/>
                    <w:lang w:val="en-US" w:eastAsia="zh-CN"/>
                  </w:rPr>
                  <m:t>(1+0.2)</m:t>
                </m:r>
                <m:ctrlPr>
                  <w:rPr>
                    <w:rFonts w:hint="default" w:ascii="Cambria Math" w:hAnsi="Cambria Math" w:cs="Times New Roman"/>
                    <w:b w:val="0"/>
                    <w:bCs w:val="0"/>
                    <w:sz w:val="24"/>
                    <w:szCs w:val="24"/>
                    <w:lang w:val="en-US" w:eastAsia="zh-CN"/>
                  </w:rPr>
                </m:ctrlPr>
              </m:e>
              <m:sup>
                <m:r>
                  <m:rPr>
                    <m:sty m:val="p"/>
                  </m:rPr>
                  <w:rPr>
                    <w:rFonts w:hint="default" w:ascii="Cambria Math" w:hAnsi="Cambria Math" w:cs="Times New Roman"/>
                    <w:sz w:val="24"/>
                    <w:szCs w:val="24"/>
                    <w:lang w:val="en-US" w:eastAsia="zh-CN"/>
                  </w:rPr>
                  <m:t>2</m:t>
                </m:r>
                <m:ctrlPr>
                  <w:rPr>
                    <w:rFonts w:hint="default" w:ascii="Cambria Math" w:hAnsi="Cambria Math" w:cs="Times New Roman"/>
                    <w:b w:val="0"/>
                    <w:bCs w:val="0"/>
                    <w:sz w:val="24"/>
                    <w:szCs w:val="24"/>
                    <w:lang w:val="en-US" w:eastAsia="zh-CN"/>
                  </w:rPr>
                </m:ctrlPr>
              </m:sup>
            </m:sSup>
            <m:ctrlPr>
              <w:rPr>
                <w:rFonts w:hint="default" w:ascii="Cambria Math" w:hAnsi="Cambria Math" w:cs="Times New Roman"/>
                <w:b w:val="0"/>
                <w:bCs w:val="0"/>
                <w:sz w:val="24"/>
                <w:szCs w:val="24"/>
                <w:lang w:val="en-US" w:eastAsia="zh-CN"/>
              </w:rPr>
            </m:ctrlPr>
          </m:den>
        </m:f>
      </m:oMath>
      <w:r>
        <w:rPr>
          <w:rFonts w:hint="default" w:ascii="Times New Roman" w:hAnsi="Times New Roman" w:cs="Times New Roman"/>
          <w:b w:val="0"/>
          <w:bCs w:val="0"/>
          <w:i w:val="0"/>
          <w:sz w:val="24"/>
          <w:szCs w:val="24"/>
          <w:lang w:val="en-US" w:eastAsia="zh-CN"/>
        </w:rPr>
        <w:t>+</w:t>
      </w:r>
      <m:oMath>
        <m:f>
          <m:fPr>
            <m:ctrlPr>
              <w:rPr>
                <w:rFonts w:hint="default" w:ascii="Cambria Math" w:hAnsi="Cambria Math" w:cs="Times New Roman"/>
                <w:b w:val="0"/>
                <w:bCs w:val="0"/>
                <w:sz w:val="24"/>
                <w:szCs w:val="24"/>
                <w:lang w:val="en-US" w:eastAsia="zh-CN"/>
              </w:rPr>
            </m:ctrlPr>
          </m:fPr>
          <m:num>
            <m:r>
              <m:rPr>
                <m:sty m:val="p"/>
              </m:rPr>
              <w:rPr>
                <w:rFonts w:hint="default" w:ascii="Cambria Math" w:hAnsi="Cambria Math" w:cs="Times New Roman"/>
                <w:sz w:val="24"/>
                <w:szCs w:val="24"/>
                <w:lang w:val="en-US" w:eastAsia="zh-CN"/>
              </w:rPr>
              <m:t>35,000</m:t>
            </m:r>
            <m:ctrlPr>
              <w:rPr>
                <w:rFonts w:hint="default" w:ascii="Cambria Math" w:hAnsi="Cambria Math" w:cs="Times New Roman"/>
                <w:b w:val="0"/>
                <w:bCs w:val="0"/>
                <w:sz w:val="24"/>
                <w:szCs w:val="24"/>
                <w:lang w:val="en-US" w:eastAsia="zh-CN"/>
              </w:rPr>
            </m:ctrlPr>
          </m:num>
          <m:den>
            <m:sSup>
              <m:sSupPr>
                <m:ctrlPr>
                  <w:rPr>
                    <w:rFonts w:hint="default" w:ascii="Cambria Math" w:hAnsi="Cambria Math" w:cs="Times New Roman"/>
                    <w:b w:val="0"/>
                    <w:bCs w:val="0"/>
                    <w:sz w:val="24"/>
                    <w:szCs w:val="24"/>
                    <w:lang w:val="en-US" w:eastAsia="zh-CN"/>
                  </w:rPr>
                </m:ctrlPr>
              </m:sSupPr>
              <m:e>
                <m:r>
                  <m:rPr>
                    <m:sty m:val="p"/>
                  </m:rPr>
                  <w:rPr>
                    <w:rFonts w:hint="default" w:ascii="Cambria Math" w:hAnsi="Cambria Math" w:cs="Times New Roman"/>
                    <w:sz w:val="24"/>
                    <w:szCs w:val="24"/>
                    <w:lang w:val="en-US" w:eastAsia="zh-CN"/>
                  </w:rPr>
                  <m:t>(1+0.2)</m:t>
                </m:r>
                <m:ctrlPr>
                  <w:rPr>
                    <w:rFonts w:hint="default" w:ascii="Cambria Math" w:hAnsi="Cambria Math" w:cs="Times New Roman"/>
                    <w:b w:val="0"/>
                    <w:bCs w:val="0"/>
                    <w:sz w:val="24"/>
                    <w:szCs w:val="24"/>
                    <w:lang w:val="en-US" w:eastAsia="zh-CN"/>
                  </w:rPr>
                </m:ctrlPr>
              </m:e>
              <m:sup>
                <m:r>
                  <m:rPr>
                    <m:sty m:val="p"/>
                  </m:rPr>
                  <w:rPr>
                    <w:rFonts w:hint="default" w:ascii="Cambria Math" w:hAnsi="Cambria Math" w:cs="Times New Roman"/>
                    <w:sz w:val="24"/>
                    <w:szCs w:val="24"/>
                    <w:lang w:val="en-US" w:eastAsia="zh-CN"/>
                  </w:rPr>
                  <m:t>3</m:t>
                </m:r>
                <m:ctrlPr>
                  <w:rPr>
                    <w:rFonts w:hint="default" w:ascii="Cambria Math" w:hAnsi="Cambria Math" w:cs="Times New Roman"/>
                    <w:b w:val="0"/>
                    <w:bCs w:val="0"/>
                    <w:sz w:val="24"/>
                    <w:szCs w:val="24"/>
                    <w:lang w:val="en-US" w:eastAsia="zh-CN"/>
                  </w:rPr>
                </m:ctrlPr>
              </m:sup>
            </m:sSup>
            <m:ctrlPr>
              <w:rPr>
                <w:rFonts w:hint="default" w:ascii="Cambria Math" w:hAnsi="Cambria Math" w:cs="Times New Roman"/>
                <w:b w:val="0"/>
                <w:bCs w:val="0"/>
                <w:sz w:val="24"/>
                <w:szCs w:val="24"/>
                <w:lang w:val="en-US" w:eastAsia="zh-CN"/>
              </w:rPr>
            </m:ctrlPr>
          </m:den>
        </m:f>
      </m:oMath>
      <w:r>
        <w:rPr>
          <w:rFonts w:hint="default" w:ascii="Times New Roman" w:hAnsi="Times New Roman" w:cs="Times New Roman"/>
          <w:b w:val="0"/>
          <w:bCs w:val="0"/>
          <w:i w:val="0"/>
          <w:sz w:val="24"/>
          <w:szCs w:val="24"/>
          <w:lang w:val="en-US" w:eastAsia="zh-CN"/>
        </w:rPr>
        <w:t>+</w:t>
      </w:r>
      <m:oMath>
        <m:f>
          <m:fPr>
            <m:ctrlPr>
              <w:rPr>
                <w:rFonts w:hint="default" w:ascii="Cambria Math" w:hAnsi="Cambria Math" w:cs="Times New Roman"/>
                <w:b w:val="0"/>
                <w:bCs w:val="0"/>
                <w:sz w:val="24"/>
                <w:szCs w:val="24"/>
                <w:lang w:val="en-US" w:eastAsia="zh-CN"/>
              </w:rPr>
            </m:ctrlPr>
          </m:fPr>
          <m:num>
            <m:r>
              <m:rPr>
                <m:sty m:val="p"/>
              </m:rPr>
              <w:rPr>
                <w:rFonts w:hint="default" w:ascii="Cambria Math" w:hAnsi="Cambria Math" w:cs="Times New Roman"/>
                <w:sz w:val="24"/>
                <w:szCs w:val="24"/>
                <w:lang w:val="en-US" w:eastAsia="zh-CN"/>
              </w:rPr>
              <m:t>75.000</m:t>
            </m:r>
            <m:ctrlPr>
              <w:rPr>
                <w:rFonts w:hint="default" w:ascii="Cambria Math" w:hAnsi="Cambria Math" w:cs="Times New Roman"/>
                <w:b w:val="0"/>
                <w:bCs w:val="0"/>
                <w:sz w:val="24"/>
                <w:szCs w:val="24"/>
                <w:lang w:val="en-US" w:eastAsia="zh-CN"/>
              </w:rPr>
            </m:ctrlPr>
          </m:num>
          <m:den>
            <m:sSup>
              <m:sSupPr>
                <m:ctrlPr>
                  <w:rPr>
                    <w:rFonts w:hint="default" w:ascii="Cambria Math" w:hAnsi="Cambria Math" w:cs="Times New Roman"/>
                    <w:b w:val="0"/>
                    <w:bCs w:val="0"/>
                    <w:sz w:val="24"/>
                    <w:szCs w:val="24"/>
                    <w:lang w:val="en-US" w:eastAsia="zh-CN"/>
                  </w:rPr>
                </m:ctrlPr>
              </m:sSupPr>
              <m:e>
                <m:r>
                  <m:rPr>
                    <m:sty m:val="p"/>
                  </m:rPr>
                  <w:rPr>
                    <w:rFonts w:hint="default" w:ascii="Cambria Math" w:hAnsi="Cambria Math" w:cs="Times New Roman"/>
                    <w:sz w:val="24"/>
                    <w:szCs w:val="24"/>
                    <w:lang w:val="en-US" w:eastAsia="zh-CN"/>
                  </w:rPr>
                  <m:t>(1+0.2)</m:t>
                </m:r>
                <m:ctrlPr>
                  <w:rPr>
                    <w:rFonts w:hint="default" w:ascii="Cambria Math" w:hAnsi="Cambria Math" w:cs="Times New Roman"/>
                    <w:b w:val="0"/>
                    <w:bCs w:val="0"/>
                    <w:sz w:val="24"/>
                    <w:szCs w:val="24"/>
                    <w:lang w:val="en-US" w:eastAsia="zh-CN"/>
                  </w:rPr>
                </m:ctrlPr>
              </m:e>
              <m:sup>
                <m:r>
                  <m:rPr>
                    <m:sty m:val="p"/>
                  </m:rPr>
                  <w:rPr>
                    <w:rFonts w:hint="default" w:ascii="Cambria Math" w:hAnsi="Cambria Math" w:cs="Times New Roman"/>
                    <w:sz w:val="24"/>
                    <w:szCs w:val="24"/>
                    <w:lang w:val="en-US" w:eastAsia="zh-CN"/>
                  </w:rPr>
                  <m:t>4</m:t>
                </m:r>
                <m:ctrlPr>
                  <w:rPr>
                    <w:rFonts w:hint="default" w:ascii="Cambria Math" w:hAnsi="Cambria Math" w:cs="Times New Roman"/>
                    <w:b w:val="0"/>
                    <w:bCs w:val="0"/>
                    <w:sz w:val="24"/>
                    <w:szCs w:val="24"/>
                    <w:lang w:val="en-US" w:eastAsia="zh-CN"/>
                  </w:rPr>
                </m:ctrlPr>
              </m:sup>
            </m:sSup>
            <m:ctrlPr>
              <w:rPr>
                <w:rFonts w:hint="default" w:ascii="Cambria Math" w:hAnsi="Cambria Math" w:cs="Times New Roman"/>
                <w:b w:val="0"/>
                <w:bCs w:val="0"/>
                <w:sz w:val="24"/>
                <w:szCs w:val="24"/>
                <w:lang w:val="en-US" w:eastAsia="zh-CN"/>
              </w:rPr>
            </m:ctrlPr>
          </m:den>
        </m:f>
      </m:oMath>
      <w:r>
        <w:rPr>
          <w:rFonts w:hint="default" w:ascii="Times New Roman" w:hAnsi="Times New Roman" w:cs="Times New Roman"/>
          <w:b w:val="0"/>
          <w:bCs w:val="0"/>
          <w:i w:val="0"/>
          <w:sz w:val="24"/>
          <w:szCs w:val="24"/>
          <w:lang w:val="en-US" w:eastAsia="zh-CN"/>
        </w:rPr>
        <w:t>+</w:t>
      </w:r>
      <m:oMath>
        <m:f>
          <m:fPr>
            <m:ctrlPr>
              <w:rPr>
                <w:rFonts w:hint="default" w:ascii="Cambria Math" w:hAnsi="Cambria Math" w:cs="Times New Roman"/>
                <w:b w:val="0"/>
                <w:bCs w:val="0"/>
                <w:sz w:val="24"/>
                <w:szCs w:val="24"/>
                <w:lang w:val="en-US" w:eastAsia="zh-CN"/>
              </w:rPr>
            </m:ctrlPr>
          </m:fPr>
          <m:num>
            <m:r>
              <m:rPr>
                <m:sty m:val="p"/>
              </m:rPr>
              <w:rPr>
                <w:rFonts w:hint="default" w:ascii="Cambria Math" w:hAnsi="Cambria Math" w:cs="Times New Roman"/>
                <w:sz w:val="24"/>
                <w:szCs w:val="24"/>
                <w:lang w:val="en-US" w:eastAsia="zh-CN"/>
              </w:rPr>
              <m:t>25,000+25,000</m:t>
            </m:r>
            <m:ctrlPr>
              <w:rPr>
                <w:rFonts w:hint="default" w:ascii="Cambria Math" w:hAnsi="Cambria Math" w:cs="Times New Roman"/>
                <w:b w:val="0"/>
                <w:bCs w:val="0"/>
                <w:sz w:val="24"/>
                <w:szCs w:val="24"/>
                <w:lang w:val="en-US" w:eastAsia="zh-CN"/>
              </w:rPr>
            </m:ctrlPr>
          </m:num>
          <m:den>
            <m:sSup>
              <m:sSupPr>
                <m:ctrlPr>
                  <w:rPr>
                    <w:rFonts w:hint="default" w:ascii="Cambria Math" w:hAnsi="Cambria Math" w:cs="Times New Roman"/>
                    <w:b w:val="0"/>
                    <w:bCs w:val="0"/>
                    <w:sz w:val="24"/>
                    <w:szCs w:val="24"/>
                    <w:lang w:val="en-US" w:eastAsia="zh-CN"/>
                  </w:rPr>
                </m:ctrlPr>
              </m:sSupPr>
              <m:e>
                <m:r>
                  <m:rPr>
                    <m:sty m:val="p"/>
                  </m:rPr>
                  <w:rPr>
                    <w:rFonts w:hint="default" w:ascii="Cambria Math" w:hAnsi="Cambria Math" w:cs="Times New Roman"/>
                    <w:sz w:val="24"/>
                    <w:szCs w:val="24"/>
                    <w:lang w:val="en-US" w:eastAsia="zh-CN"/>
                  </w:rPr>
                  <m:t>(1+0.2)</m:t>
                </m:r>
                <m:ctrlPr>
                  <w:rPr>
                    <w:rFonts w:hint="default" w:ascii="Cambria Math" w:hAnsi="Cambria Math" w:cs="Times New Roman"/>
                    <w:b w:val="0"/>
                    <w:bCs w:val="0"/>
                    <w:sz w:val="24"/>
                    <w:szCs w:val="24"/>
                    <w:lang w:val="en-US" w:eastAsia="zh-CN"/>
                  </w:rPr>
                </m:ctrlPr>
              </m:e>
              <m:sup>
                <m:r>
                  <m:rPr>
                    <m:sty m:val="p"/>
                  </m:rPr>
                  <w:rPr>
                    <w:rFonts w:hint="default" w:ascii="Cambria Math" w:hAnsi="Cambria Math" w:cs="Times New Roman"/>
                    <w:sz w:val="24"/>
                    <w:szCs w:val="24"/>
                    <w:lang w:val="en-US" w:eastAsia="zh-CN"/>
                  </w:rPr>
                  <m:t>5</m:t>
                </m:r>
                <m:ctrlPr>
                  <w:rPr>
                    <w:rFonts w:hint="default" w:ascii="Cambria Math" w:hAnsi="Cambria Math" w:cs="Times New Roman"/>
                    <w:b w:val="0"/>
                    <w:bCs w:val="0"/>
                    <w:sz w:val="24"/>
                    <w:szCs w:val="24"/>
                    <w:lang w:val="en-US" w:eastAsia="zh-CN"/>
                  </w:rPr>
                </m:ctrlPr>
              </m:sup>
            </m:sSup>
            <m:ctrlPr>
              <w:rPr>
                <w:rFonts w:hint="default" w:ascii="Cambria Math" w:hAnsi="Cambria Math" w:cs="Times New Roman"/>
                <w:b w:val="0"/>
                <w:bCs w:val="0"/>
                <w:sz w:val="24"/>
                <w:szCs w:val="24"/>
                <w:lang w:val="en-US" w:eastAsia="zh-CN"/>
              </w:rPr>
            </m:ctrlPr>
          </m:den>
        </m:f>
      </m:oMath>
      <w:r>
        <w:rPr>
          <w:rFonts w:hint="default" w:ascii="Times New Roman" w:hAnsi="Times New Roman" w:cs="Times New Roman"/>
          <w:b w:val="0"/>
          <w:bCs w:val="0"/>
          <w:i w:val="0"/>
          <w:sz w:val="24"/>
          <w:szCs w:val="24"/>
          <w:lang w:val="en-US" w:eastAsia="zh-CN"/>
        </w:rPr>
        <w:t>)-</w:t>
      </w:r>
      <m:oMath>
        <m:f>
          <m:fPr>
            <m:ctrlPr>
              <w:rPr>
                <w:rFonts w:hint="default" w:ascii="Cambria Math" w:hAnsi="Cambria Math" w:cs="Times New Roman"/>
                <w:b w:val="0"/>
                <w:bCs w:val="0"/>
                <w:sz w:val="24"/>
                <w:szCs w:val="24"/>
                <w:lang w:val="en-US" w:eastAsia="zh-CN"/>
              </w:rPr>
            </m:ctrlPr>
          </m:fPr>
          <m:num>
            <m:r>
              <m:rPr>
                <m:sty m:val="p"/>
              </m:rPr>
              <w:rPr>
                <w:rFonts w:hint="default" w:ascii="Cambria Math" w:hAnsi="Cambria Math" w:cs="Times New Roman"/>
                <w:sz w:val="24"/>
                <w:szCs w:val="24"/>
                <w:lang w:val="en-US" w:eastAsia="zh-CN"/>
              </w:rPr>
              <m:t>100,000</m:t>
            </m:r>
            <m:ctrlPr>
              <w:rPr>
                <w:rFonts w:hint="default" w:ascii="Cambria Math" w:hAnsi="Cambria Math" w:cs="Times New Roman"/>
                <w:b w:val="0"/>
                <w:bCs w:val="0"/>
                <w:sz w:val="24"/>
                <w:szCs w:val="24"/>
                <w:lang w:val="en-US" w:eastAsia="zh-CN"/>
              </w:rPr>
            </m:ctrlPr>
          </m:num>
          <m:den>
            <m:r>
              <m:rPr>
                <m:sty m:val="p"/>
              </m:rPr>
              <w:rPr>
                <w:rFonts w:hint="default" w:ascii="Cambria Math" w:hAnsi="Cambria Math" w:cs="Times New Roman"/>
                <w:sz w:val="24"/>
                <w:szCs w:val="24"/>
                <w:lang w:val="en-US" w:eastAsia="zh-CN"/>
              </w:rPr>
              <m:t>1+0.2</m:t>
            </m:r>
            <m:ctrlPr>
              <w:rPr>
                <w:rFonts w:hint="default" w:ascii="Cambria Math" w:hAnsi="Cambria Math" w:cs="Times New Roman"/>
                <w:b w:val="0"/>
                <w:bCs w:val="0"/>
                <w:sz w:val="24"/>
                <w:szCs w:val="24"/>
                <w:lang w:val="en-US" w:eastAsia="zh-CN"/>
              </w:rPr>
            </m:ctrlPr>
          </m:den>
        </m:f>
      </m:oMath>
    </w:p>
    <w:p>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default" w:ascii="Times New Roman" w:hAnsi="Times New Roman" w:cs="Times New Roman"/>
          <w:b w:val="0"/>
          <w:bCs w:val="0"/>
          <w:i w:val="0"/>
          <w:sz w:val="24"/>
          <w:szCs w:val="24"/>
          <w:lang w:val="en-US" w:eastAsia="zh-CN"/>
        </w:rPr>
      </w:pPr>
      <w:r>
        <w:rPr>
          <w:rFonts w:hint="default" w:ascii="Times New Roman" w:hAnsi="Times New Roman" w:cs="Times New Roman"/>
          <w:b w:val="0"/>
          <w:bCs w:val="0"/>
          <w:i w:val="0"/>
          <w:sz w:val="24"/>
          <w:szCs w:val="24"/>
          <w:lang w:val="en-US" w:eastAsia="zh-CN"/>
        </w:rPr>
        <w:t>=</w:t>
      </w:r>
      <w:r>
        <w:rPr>
          <w:rFonts w:hint="eastAsia" w:ascii="Times New Roman" w:hAnsi="Times New Roman" w:cs="Times New Roman"/>
          <w:b w:val="0"/>
          <w:bCs w:val="0"/>
          <w:i w:val="0"/>
          <w:sz w:val="24"/>
          <w:szCs w:val="24"/>
          <w:lang w:val="en-US" w:eastAsia="zh-CN"/>
        </w:rPr>
        <w:t>￡</w:t>
      </w:r>
      <w:r>
        <w:rPr>
          <w:rFonts w:hint="default" w:ascii="Times New Roman" w:hAnsi="Times New Roman" w:cs="Times New Roman"/>
          <w:b w:val="0"/>
          <w:bCs w:val="0"/>
          <w:i w:val="0"/>
          <w:sz w:val="24"/>
          <w:szCs w:val="24"/>
          <w:lang w:val="en-US" w:eastAsia="zh-CN"/>
        </w:rPr>
        <w:t>25,128.60</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b/>
          <w:bCs/>
          <w:i w:val="0"/>
          <w:sz w:val="24"/>
          <w:szCs w:val="24"/>
          <w:lang w:val="en-US" w:eastAsia="zh-CN"/>
        </w:rPr>
      </w:pPr>
      <w:r>
        <w:rPr>
          <w:rFonts w:hint="default" w:ascii="Times New Roman" w:hAnsi="Times New Roman" w:cs="Times New Roman"/>
          <w:b/>
          <w:bCs/>
          <w:i w:val="0"/>
          <w:sz w:val="24"/>
          <w:szCs w:val="24"/>
          <w:lang w:val="en-US" w:eastAsia="zh-CN"/>
        </w:rPr>
        <w:t>Choice of machine on basis of NPV</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val="0"/>
          <w:bCs w:val="0"/>
          <w:i w:val="0"/>
          <w:sz w:val="24"/>
          <w:szCs w:val="24"/>
          <w:lang w:val="en-US" w:eastAsia="zh-CN"/>
        </w:rPr>
      </w:pPr>
      <w:r>
        <w:rPr>
          <w:rFonts w:hint="default" w:ascii="Times New Roman" w:hAnsi="Times New Roman" w:cs="Times New Roman"/>
          <w:b w:val="0"/>
          <w:bCs w:val="0"/>
          <w:i w:val="0"/>
          <w:sz w:val="24"/>
          <w:szCs w:val="24"/>
          <w:lang w:val="en-US" w:eastAsia="zh-CN"/>
        </w:rPr>
        <w:t xml:space="preserve">Both projects have positive NPVs when using a 20% discount rate, which increases shareholders value. </w:t>
      </w:r>
      <w:r>
        <w:rPr>
          <w:rFonts w:hint="eastAsia" w:ascii="Times New Roman" w:hAnsi="Times New Roman" w:cs="Times New Roman"/>
          <w:b w:val="0"/>
          <w:bCs w:val="0"/>
          <w:i w:val="0"/>
          <w:sz w:val="24"/>
          <w:szCs w:val="24"/>
          <w:lang w:val="en-US" w:eastAsia="zh-CN"/>
        </w:rPr>
        <w:t>An improvement in the company</w:t>
      </w:r>
      <w:r>
        <w:rPr>
          <w:rFonts w:hint="default" w:ascii="Times New Roman" w:hAnsi="Times New Roman" w:cs="Times New Roman"/>
          <w:b w:val="0"/>
          <w:bCs w:val="0"/>
          <w:i w:val="0"/>
          <w:sz w:val="24"/>
          <w:szCs w:val="24"/>
          <w:lang w:val="en-US" w:eastAsia="zh-CN"/>
        </w:rPr>
        <w:t>’</w:t>
      </w:r>
      <w:r>
        <w:rPr>
          <w:rFonts w:hint="eastAsia" w:ascii="Times New Roman" w:hAnsi="Times New Roman" w:cs="Times New Roman"/>
          <w:b w:val="0"/>
          <w:bCs w:val="0"/>
          <w:i w:val="0"/>
          <w:sz w:val="24"/>
          <w:szCs w:val="24"/>
          <w:lang w:val="en-US" w:eastAsia="zh-CN"/>
        </w:rPr>
        <w:t>s financial performance and a yield greater than the required minimum rate are both indicated by a positive NPV</w:t>
      </w:r>
      <w:r>
        <w:rPr>
          <w:rFonts w:hint="default" w:ascii="Times New Roman" w:hAnsi="Times New Roman" w:cs="Times New Roman"/>
          <w:b w:val="0"/>
          <w:bCs w:val="0"/>
          <w:i w:val="0"/>
          <w:sz w:val="24"/>
          <w:szCs w:val="24"/>
          <w:lang w:val="en-US" w:eastAsia="zh-CN"/>
        </w:rPr>
        <w:t xml:space="preserve"> (Fabozzi and Drake, 2009). But, Machine A is better than Machine B since it generates more revenue.</w:t>
      </w:r>
    </w:p>
    <w:p>
      <w:pPr>
        <w:pStyle w:val="4"/>
        <w:keepNext/>
        <w:keepLines/>
        <w:pageBreakBefore w:val="0"/>
        <w:widowControl w:val="0"/>
        <w:kinsoku/>
        <w:wordWrap/>
        <w:overflowPunct/>
        <w:topLinePunct w:val="0"/>
        <w:autoSpaceDE/>
        <w:autoSpaceDN/>
        <w:bidi w:val="0"/>
        <w:adjustRightInd/>
        <w:snapToGrid/>
        <w:spacing w:before="0" w:after="0" w:line="360" w:lineRule="auto"/>
        <w:textAlignment w:val="auto"/>
        <w:rPr>
          <w:rFonts w:hint="default" w:ascii="Times New Roman" w:hAnsi="Times New Roman" w:cs="Times New Roman"/>
          <w:sz w:val="24"/>
          <w:szCs w:val="24"/>
          <w:lang w:val="en-US" w:eastAsia="zh-CN"/>
        </w:rPr>
      </w:pPr>
      <w:bookmarkStart w:id="31" w:name="_Toc9805"/>
      <w:r>
        <w:rPr>
          <w:rFonts w:hint="default" w:ascii="Times New Roman" w:hAnsi="Times New Roman" w:cs="Times New Roman"/>
          <w:sz w:val="24"/>
          <w:szCs w:val="24"/>
          <w:lang w:val="en-US" w:eastAsia="zh-CN"/>
        </w:rPr>
        <w:t>2.1.2 Internal Rate of Return</w:t>
      </w:r>
      <w:bookmarkEnd w:id="31"/>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eastAsia="sans-serif" w:cs="Times New Roman"/>
          <w:i w:val="0"/>
          <w:iCs w:val="0"/>
          <w:caps w:val="0"/>
          <w:color w:val="111111"/>
          <w:spacing w:val="0"/>
          <w:sz w:val="24"/>
          <w:szCs w:val="24"/>
          <w:shd w:val="clear" w:fill="FFFFFF"/>
        </w:rPr>
      </w:pPr>
      <w:r>
        <w:rPr>
          <w:rFonts w:hint="default" w:ascii="Times New Roman" w:hAnsi="Times New Roman" w:eastAsia="sans-serif" w:cs="Times New Roman"/>
          <w:i w:val="0"/>
          <w:iCs w:val="0"/>
          <w:caps w:val="0"/>
          <w:color w:val="111111"/>
          <w:spacing w:val="0"/>
          <w:sz w:val="24"/>
          <w:szCs w:val="24"/>
          <w:shd w:val="clear" w:fill="FFFFFF"/>
        </w:rPr>
        <w:t>The internal rate of return</w:t>
      </w:r>
      <w:r>
        <w:rPr>
          <w:rFonts w:hint="eastAsia" w:ascii="Times New Roman" w:hAnsi="Times New Roman" w:eastAsia="宋体" w:cs="Times New Roman"/>
          <w:i w:val="0"/>
          <w:iCs w:val="0"/>
          <w:caps w:val="0"/>
          <w:color w:val="111111"/>
          <w:spacing w:val="0"/>
          <w:sz w:val="24"/>
          <w:szCs w:val="24"/>
          <w:shd w:val="clear" w:fill="FFFFFF"/>
          <w:lang w:val="en-US" w:eastAsia="zh-CN"/>
        </w:rPr>
        <w:t xml:space="preserve"> (IRR)</w:t>
      </w:r>
      <w:r>
        <w:rPr>
          <w:rFonts w:hint="default" w:ascii="Times New Roman" w:hAnsi="Times New Roman" w:eastAsia="sans-serif" w:cs="Times New Roman"/>
          <w:i w:val="0"/>
          <w:iCs w:val="0"/>
          <w:caps w:val="0"/>
          <w:color w:val="111111"/>
          <w:spacing w:val="0"/>
          <w:sz w:val="24"/>
          <w:szCs w:val="24"/>
          <w:shd w:val="clear" w:fill="FFFFFF"/>
        </w:rPr>
        <w:t xml:space="preserve"> is a term used in financial evaluation to measure the sustainability of investment options. The net present value (NPV) of all cash flows is set to zero in a discounted cash flow analysis via the use of the internal rate of return (Vernimmen, 2018).</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eastAsia="Helvetica" w:cs="Times New Roman"/>
          <w:i w:val="0"/>
          <w:iCs w:val="0"/>
          <w:caps w:val="0"/>
          <w:color w:val="auto"/>
          <w:spacing w:val="0"/>
          <w:sz w:val="24"/>
          <w:szCs w:val="24"/>
          <w:shd w:val="clear" w:fill="FFFFFF"/>
        </w:rPr>
      </w:pPr>
      <w:r>
        <w:rPr>
          <w:rFonts w:hint="default" w:ascii="Times New Roman" w:hAnsi="Times New Roman" w:eastAsia="Helvetica" w:cs="Times New Roman"/>
          <w:i w:val="0"/>
          <w:iCs w:val="0"/>
          <w:caps w:val="0"/>
          <w:color w:val="auto"/>
          <w:spacing w:val="0"/>
          <w:sz w:val="24"/>
          <w:szCs w:val="24"/>
          <w:shd w:val="clear" w:fill="FFFFFF"/>
        </w:rPr>
        <w:t>The time of all financial flows is logically managed while being considered. IRR's primary flaw, though, is that it doesn't deal with how shareholders' wealth is created in a direct manner. Hence, it can typically provide the same messages as NPV, but it might be misleading in cases when there are competing projects of various sizes.</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eastAsia="sans-serif" w:cs="Times New Roman"/>
          <w:i w:val="0"/>
          <w:iCs w:val="0"/>
          <w:caps w:val="0"/>
          <w:color w:val="111111"/>
          <w:spacing w:val="0"/>
          <w:sz w:val="24"/>
          <w:szCs w:val="24"/>
          <w:shd w:val="clear" w:fill="FFFFFF"/>
        </w:rPr>
      </w:pPr>
      <w:r>
        <w:rPr>
          <w:rFonts w:hint="default" w:ascii="Times New Roman" w:hAnsi="Times New Roman" w:eastAsia="sans-serif" w:cs="Times New Roman"/>
          <w:i w:val="0"/>
          <w:iCs w:val="0"/>
          <w:caps w:val="0"/>
          <w:color w:val="111111"/>
          <w:spacing w:val="0"/>
          <w:sz w:val="24"/>
          <w:szCs w:val="24"/>
          <w:shd w:val="clear" w:fill="FFFFFF"/>
        </w:rPr>
        <w:t>IRR must be determined repeatedly by trial and error or by utilizing software designed to compute IRR because it cannot be determined simply by using analysis tools.</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IRR for Machine (A)</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05"/>
        <w:gridCol w:w="1207"/>
        <w:gridCol w:w="1200"/>
        <w:gridCol w:w="1200"/>
        <w:gridCol w:w="1201"/>
        <w:gridCol w:w="1201"/>
        <w:gridCol w:w="13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p>
        </w:tc>
        <w:tc>
          <w:tcPr>
            <w:tcW w:w="121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Year 0</w:t>
            </w:r>
          </w:p>
        </w:tc>
        <w:tc>
          <w:tcPr>
            <w:tcW w:w="121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Year 1</w:t>
            </w:r>
          </w:p>
        </w:tc>
        <w:tc>
          <w:tcPr>
            <w:tcW w:w="121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Year 2</w:t>
            </w:r>
          </w:p>
        </w:tc>
        <w:tc>
          <w:tcPr>
            <w:tcW w:w="1218"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Year 3</w:t>
            </w:r>
          </w:p>
        </w:tc>
        <w:tc>
          <w:tcPr>
            <w:tcW w:w="1218"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Year 4</w:t>
            </w:r>
          </w:p>
        </w:tc>
        <w:tc>
          <w:tcPr>
            <w:tcW w:w="1218"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Year 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Machine (A)</w:t>
            </w:r>
          </w:p>
        </w:tc>
        <w:tc>
          <w:tcPr>
            <w:tcW w:w="121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(100,000)</w:t>
            </w:r>
          </w:p>
        </w:tc>
        <w:tc>
          <w:tcPr>
            <w:tcW w:w="121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40,000</w:t>
            </w:r>
          </w:p>
        </w:tc>
        <w:tc>
          <w:tcPr>
            <w:tcW w:w="121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50,000</w:t>
            </w:r>
          </w:p>
        </w:tc>
        <w:tc>
          <w:tcPr>
            <w:tcW w:w="1218"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55,000</w:t>
            </w:r>
          </w:p>
        </w:tc>
        <w:tc>
          <w:tcPr>
            <w:tcW w:w="1218"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45,000</w:t>
            </w:r>
          </w:p>
        </w:tc>
        <w:tc>
          <w:tcPr>
            <w:tcW w:w="1218"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30,000+30,000</w:t>
            </w:r>
          </w:p>
        </w:tc>
      </w:tr>
    </w:tbl>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b w:val="0"/>
          <w:bCs w:val="0"/>
          <w:i w:val="0"/>
          <w:sz w:val="24"/>
          <w:szCs w:val="24"/>
          <w:lang w:val="en-US" w:eastAsia="zh-CN"/>
        </w:rPr>
      </w:pPr>
      <w:r>
        <w:rPr>
          <w:rFonts w:hint="default" w:ascii="Times New Roman" w:hAnsi="Times New Roman" w:cs="Times New Roman"/>
          <w:b w:val="0"/>
          <w:bCs w:val="0"/>
          <w:sz w:val="24"/>
          <w:szCs w:val="24"/>
          <w:lang w:val="en-US" w:eastAsia="zh-CN"/>
        </w:rPr>
        <w:t>CF</w:t>
      </w:r>
      <w:r>
        <w:rPr>
          <w:rFonts w:hint="default" w:ascii="Times New Roman" w:hAnsi="Times New Roman" w:cs="Times New Roman"/>
          <w:b w:val="0"/>
          <w:bCs w:val="0"/>
          <w:sz w:val="24"/>
          <w:szCs w:val="24"/>
          <w:vertAlign w:val="subscript"/>
          <w:lang w:val="en-US" w:eastAsia="zh-CN"/>
        </w:rPr>
        <w:t>0</w:t>
      </w:r>
      <w:r>
        <w:rPr>
          <w:rFonts w:hint="default" w:ascii="Times New Roman" w:hAnsi="Times New Roman" w:cs="Times New Roman"/>
          <w:b w:val="0"/>
          <w:bCs w:val="0"/>
          <w:sz w:val="24"/>
          <w:szCs w:val="24"/>
          <w:vertAlign w:val="baseline"/>
          <w:lang w:val="en-US" w:eastAsia="zh-CN"/>
        </w:rPr>
        <w:t>+</w:t>
      </w:r>
      <m:oMath>
        <m:f>
          <m:fPr>
            <m:ctrlPr>
              <w:rPr>
                <w:rFonts w:hint="default" w:ascii="Cambria Math" w:hAnsi="Cambria Math" w:cs="Times New Roman"/>
                <w:b w:val="0"/>
                <w:bCs w:val="0"/>
                <w:sz w:val="24"/>
                <w:szCs w:val="24"/>
                <w:lang w:val="en-US" w:eastAsia="zh-CN"/>
              </w:rPr>
            </m:ctrlPr>
          </m:fPr>
          <m:num>
            <m:sSub>
              <m:sSubPr>
                <m:ctrlPr>
                  <w:rPr>
                    <w:rFonts w:hint="default" w:ascii="Cambria Math" w:hAnsi="Cambria Math" w:cs="Times New Roman"/>
                    <w:b w:val="0"/>
                    <w:bCs w:val="0"/>
                    <w:sz w:val="24"/>
                    <w:szCs w:val="24"/>
                    <w:lang w:val="en-US" w:eastAsia="zh-CN"/>
                  </w:rPr>
                </m:ctrlPr>
              </m:sSubPr>
              <m:e>
                <m:r>
                  <m:rPr>
                    <m:sty m:val="p"/>
                  </m:rPr>
                  <w:rPr>
                    <w:rFonts w:hint="default" w:ascii="Cambria Math" w:hAnsi="Cambria Math" w:cs="Times New Roman"/>
                    <w:sz w:val="24"/>
                    <w:szCs w:val="24"/>
                    <w:lang w:val="en-US" w:eastAsia="zh-CN"/>
                  </w:rPr>
                  <m:t>CF</m:t>
                </m:r>
                <m:ctrlPr>
                  <w:rPr>
                    <w:rFonts w:hint="default" w:ascii="Cambria Math" w:hAnsi="Cambria Math" w:cs="Times New Roman"/>
                    <w:b w:val="0"/>
                    <w:bCs w:val="0"/>
                    <w:sz w:val="24"/>
                    <w:szCs w:val="24"/>
                    <w:lang w:val="en-US" w:eastAsia="zh-CN"/>
                  </w:rPr>
                </m:ctrlPr>
              </m:e>
              <m:sub>
                <m:r>
                  <m:rPr>
                    <m:sty m:val="p"/>
                  </m:rPr>
                  <w:rPr>
                    <w:rFonts w:hint="default" w:ascii="Cambria Math" w:hAnsi="Cambria Math" w:cs="Times New Roman"/>
                    <w:sz w:val="24"/>
                    <w:szCs w:val="24"/>
                    <w:lang w:val="en-US" w:eastAsia="zh-CN"/>
                  </w:rPr>
                  <m:t>1</m:t>
                </m:r>
                <m:ctrlPr>
                  <w:rPr>
                    <w:rFonts w:hint="default" w:ascii="Cambria Math" w:hAnsi="Cambria Math" w:cs="Times New Roman"/>
                    <w:b w:val="0"/>
                    <w:bCs w:val="0"/>
                    <w:sz w:val="24"/>
                    <w:szCs w:val="24"/>
                    <w:lang w:val="en-US" w:eastAsia="zh-CN"/>
                  </w:rPr>
                </m:ctrlPr>
              </m:sub>
            </m:sSub>
            <m:ctrlPr>
              <w:rPr>
                <w:rFonts w:hint="default" w:ascii="Cambria Math" w:hAnsi="Cambria Math" w:cs="Times New Roman"/>
                <w:b w:val="0"/>
                <w:bCs w:val="0"/>
                <w:sz w:val="24"/>
                <w:szCs w:val="24"/>
                <w:lang w:val="en-US" w:eastAsia="zh-CN"/>
              </w:rPr>
            </m:ctrlPr>
          </m:num>
          <m:den>
            <m:r>
              <m:rPr>
                <m:sty m:val="p"/>
              </m:rPr>
              <w:rPr>
                <w:rFonts w:hint="default" w:ascii="Cambria Math" w:hAnsi="Cambria Math" w:cs="Times New Roman"/>
                <w:sz w:val="24"/>
                <w:szCs w:val="24"/>
                <w:lang w:val="en-US" w:eastAsia="zh-CN"/>
              </w:rPr>
              <m:t>1+r</m:t>
            </m:r>
            <m:ctrlPr>
              <w:rPr>
                <w:rFonts w:hint="default" w:ascii="Cambria Math" w:hAnsi="Cambria Math" w:cs="Times New Roman"/>
                <w:b w:val="0"/>
                <w:bCs w:val="0"/>
                <w:sz w:val="24"/>
                <w:szCs w:val="24"/>
                <w:lang w:val="en-US" w:eastAsia="zh-CN"/>
              </w:rPr>
            </m:ctrlPr>
          </m:den>
        </m:f>
      </m:oMath>
      <w:r>
        <w:rPr>
          <w:rFonts w:hint="default" w:ascii="Times New Roman" w:hAnsi="Times New Roman" w:cs="Times New Roman"/>
          <w:b w:val="0"/>
          <w:bCs w:val="0"/>
          <w:i w:val="0"/>
          <w:sz w:val="24"/>
          <w:szCs w:val="24"/>
          <w:lang w:val="en-US" w:eastAsia="zh-CN"/>
        </w:rPr>
        <w:t>+</w:t>
      </w:r>
      <m:oMath>
        <m:f>
          <m:fPr>
            <m:ctrlPr>
              <w:rPr>
                <w:rFonts w:hint="default" w:ascii="Cambria Math" w:hAnsi="Cambria Math" w:cs="Times New Roman"/>
                <w:b w:val="0"/>
                <w:bCs w:val="0"/>
                <w:sz w:val="24"/>
                <w:szCs w:val="24"/>
                <w:lang w:val="en-US" w:eastAsia="zh-CN"/>
              </w:rPr>
            </m:ctrlPr>
          </m:fPr>
          <m:num>
            <m:sSub>
              <m:sSubPr>
                <m:ctrlPr>
                  <w:rPr>
                    <w:rFonts w:hint="default" w:ascii="Cambria Math" w:hAnsi="Cambria Math" w:cs="Times New Roman"/>
                    <w:b w:val="0"/>
                    <w:bCs w:val="0"/>
                    <w:sz w:val="24"/>
                    <w:szCs w:val="24"/>
                    <w:lang w:val="en-US" w:eastAsia="zh-CN"/>
                  </w:rPr>
                </m:ctrlPr>
              </m:sSubPr>
              <m:e>
                <m:r>
                  <m:rPr>
                    <m:sty m:val="p"/>
                  </m:rPr>
                  <w:rPr>
                    <w:rFonts w:hint="default" w:ascii="Cambria Math" w:hAnsi="Cambria Math" w:cs="Times New Roman"/>
                    <w:sz w:val="24"/>
                    <w:szCs w:val="24"/>
                    <w:lang w:val="en-US" w:eastAsia="zh-CN"/>
                  </w:rPr>
                  <m:t>CF</m:t>
                </m:r>
                <m:ctrlPr>
                  <w:rPr>
                    <w:rFonts w:hint="default" w:ascii="Cambria Math" w:hAnsi="Cambria Math" w:cs="Times New Roman"/>
                    <w:b w:val="0"/>
                    <w:bCs w:val="0"/>
                    <w:sz w:val="24"/>
                    <w:szCs w:val="24"/>
                    <w:lang w:val="en-US" w:eastAsia="zh-CN"/>
                  </w:rPr>
                </m:ctrlPr>
              </m:e>
              <m:sub>
                <m:r>
                  <m:rPr>
                    <m:sty m:val="p"/>
                  </m:rPr>
                  <w:rPr>
                    <w:rFonts w:hint="default" w:ascii="Cambria Math" w:hAnsi="Cambria Math" w:cs="Times New Roman"/>
                    <w:sz w:val="24"/>
                    <w:szCs w:val="24"/>
                    <w:lang w:val="en-US" w:eastAsia="zh-CN"/>
                  </w:rPr>
                  <m:t>2</m:t>
                </m:r>
                <m:ctrlPr>
                  <w:rPr>
                    <w:rFonts w:hint="default" w:ascii="Cambria Math" w:hAnsi="Cambria Math" w:cs="Times New Roman"/>
                    <w:b w:val="0"/>
                    <w:bCs w:val="0"/>
                    <w:sz w:val="24"/>
                    <w:szCs w:val="24"/>
                    <w:lang w:val="en-US" w:eastAsia="zh-CN"/>
                  </w:rPr>
                </m:ctrlPr>
              </m:sub>
            </m:sSub>
            <m:ctrlPr>
              <w:rPr>
                <w:rFonts w:hint="default" w:ascii="Cambria Math" w:hAnsi="Cambria Math" w:cs="Times New Roman"/>
                <w:b w:val="0"/>
                <w:bCs w:val="0"/>
                <w:sz w:val="24"/>
                <w:szCs w:val="24"/>
                <w:lang w:val="en-US" w:eastAsia="zh-CN"/>
              </w:rPr>
            </m:ctrlPr>
          </m:num>
          <m:den>
            <m:sSup>
              <m:sSupPr>
                <m:ctrlPr>
                  <w:rPr>
                    <w:rFonts w:hint="default" w:ascii="Cambria Math" w:hAnsi="Cambria Math" w:cs="Times New Roman"/>
                    <w:b w:val="0"/>
                    <w:bCs w:val="0"/>
                    <w:sz w:val="24"/>
                    <w:szCs w:val="24"/>
                    <w:lang w:val="en-US" w:eastAsia="zh-CN"/>
                  </w:rPr>
                </m:ctrlPr>
              </m:sSupPr>
              <m:e>
                <m:r>
                  <m:rPr>
                    <m:sty m:val="p"/>
                  </m:rPr>
                  <w:rPr>
                    <w:rFonts w:hint="default" w:ascii="Cambria Math" w:hAnsi="Cambria Math" w:cs="Times New Roman"/>
                    <w:sz w:val="24"/>
                    <w:szCs w:val="24"/>
                    <w:lang w:val="en-US" w:eastAsia="zh-CN"/>
                  </w:rPr>
                  <m:t>(1+r)</m:t>
                </m:r>
                <m:ctrlPr>
                  <w:rPr>
                    <w:rFonts w:hint="default" w:ascii="Cambria Math" w:hAnsi="Cambria Math" w:cs="Times New Roman"/>
                    <w:b w:val="0"/>
                    <w:bCs w:val="0"/>
                    <w:sz w:val="24"/>
                    <w:szCs w:val="24"/>
                    <w:lang w:val="en-US" w:eastAsia="zh-CN"/>
                  </w:rPr>
                </m:ctrlPr>
              </m:e>
              <m:sup>
                <m:r>
                  <m:rPr>
                    <m:sty m:val="p"/>
                  </m:rPr>
                  <w:rPr>
                    <w:rFonts w:hint="default" w:ascii="Cambria Math" w:hAnsi="Cambria Math" w:cs="Times New Roman"/>
                    <w:sz w:val="24"/>
                    <w:szCs w:val="24"/>
                    <w:lang w:val="en-US" w:eastAsia="zh-CN"/>
                  </w:rPr>
                  <m:t>2</m:t>
                </m:r>
                <m:ctrlPr>
                  <w:rPr>
                    <w:rFonts w:hint="default" w:ascii="Cambria Math" w:hAnsi="Cambria Math" w:cs="Times New Roman"/>
                    <w:b w:val="0"/>
                    <w:bCs w:val="0"/>
                    <w:sz w:val="24"/>
                    <w:szCs w:val="24"/>
                    <w:lang w:val="en-US" w:eastAsia="zh-CN"/>
                  </w:rPr>
                </m:ctrlPr>
              </m:sup>
            </m:sSup>
            <m:ctrlPr>
              <w:rPr>
                <w:rFonts w:hint="default" w:ascii="Cambria Math" w:hAnsi="Cambria Math" w:cs="Times New Roman"/>
                <w:b w:val="0"/>
                <w:bCs w:val="0"/>
                <w:sz w:val="24"/>
                <w:szCs w:val="24"/>
                <w:lang w:val="en-US" w:eastAsia="zh-CN"/>
              </w:rPr>
            </m:ctrlPr>
          </m:den>
        </m:f>
      </m:oMath>
      <w:r>
        <w:rPr>
          <w:rFonts w:hint="default" w:ascii="Times New Roman" w:hAnsi="Times New Roman" w:cs="Times New Roman"/>
          <w:b w:val="0"/>
          <w:bCs w:val="0"/>
          <w:i w:val="0"/>
          <w:sz w:val="24"/>
          <w:szCs w:val="24"/>
          <w:lang w:val="en-US" w:eastAsia="zh-CN"/>
        </w:rPr>
        <w:t>+</w:t>
      </w:r>
      <m:oMath>
        <m:f>
          <m:fPr>
            <m:ctrlPr>
              <w:rPr>
                <w:rFonts w:hint="default" w:ascii="Cambria Math" w:hAnsi="Cambria Math" w:cs="Times New Roman"/>
                <w:b w:val="0"/>
                <w:bCs w:val="0"/>
                <w:sz w:val="24"/>
                <w:szCs w:val="24"/>
                <w:lang w:val="en-US" w:eastAsia="zh-CN"/>
              </w:rPr>
            </m:ctrlPr>
          </m:fPr>
          <m:num>
            <m:sSub>
              <m:sSubPr>
                <m:ctrlPr>
                  <w:rPr>
                    <w:rFonts w:hint="default" w:ascii="Cambria Math" w:hAnsi="Cambria Math" w:cs="Times New Roman"/>
                    <w:b w:val="0"/>
                    <w:bCs w:val="0"/>
                    <w:sz w:val="24"/>
                    <w:szCs w:val="24"/>
                    <w:lang w:val="en-US" w:eastAsia="zh-CN"/>
                  </w:rPr>
                </m:ctrlPr>
              </m:sSubPr>
              <m:e>
                <m:r>
                  <m:rPr>
                    <m:sty m:val="p"/>
                  </m:rPr>
                  <w:rPr>
                    <w:rFonts w:hint="default" w:ascii="Cambria Math" w:hAnsi="Cambria Math" w:cs="Times New Roman"/>
                    <w:sz w:val="24"/>
                    <w:szCs w:val="24"/>
                    <w:lang w:val="en-US" w:eastAsia="zh-CN"/>
                  </w:rPr>
                  <m:t>CF</m:t>
                </m:r>
                <m:ctrlPr>
                  <w:rPr>
                    <w:rFonts w:hint="default" w:ascii="Cambria Math" w:hAnsi="Cambria Math" w:cs="Times New Roman"/>
                    <w:b w:val="0"/>
                    <w:bCs w:val="0"/>
                    <w:sz w:val="24"/>
                    <w:szCs w:val="24"/>
                    <w:lang w:val="en-US" w:eastAsia="zh-CN"/>
                  </w:rPr>
                </m:ctrlPr>
              </m:e>
              <m:sub>
                <m:r>
                  <m:rPr>
                    <m:sty m:val="p"/>
                  </m:rPr>
                  <w:rPr>
                    <w:rFonts w:hint="default" w:ascii="Cambria Math" w:hAnsi="Cambria Math" w:cs="Times New Roman"/>
                    <w:sz w:val="24"/>
                    <w:szCs w:val="24"/>
                    <w:lang w:val="en-US" w:eastAsia="zh-CN"/>
                  </w:rPr>
                  <m:t>3</m:t>
                </m:r>
                <m:ctrlPr>
                  <w:rPr>
                    <w:rFonts w:hint="default" w:ascii="Cambria Math" w:hAnsi="Cambria Math" w:cs="Times New Roman"/>
                    <w:b w:val="0"/>
                    <w:bCs w:val="0"/>
                    <w:sz w:val="24"/>
                    <w:szCs w:val="24"/>
                    <w:lang w:val="en-US" w:eastAsia="zh-CN"/>
                  </w:rPr>
                </m:ctrlPr>
              </m:sub>
            </m:sSub>
            <m:ctrlPr>
              <w:rPr>
                <w:rFonts w:hint="default" w:ascii="Cambria Math" w:hAnsi="Cambria Math" w:cs="Times New Roman"/>
                <w:b w:val="0"/>
                <w:bCs w:val="0"/>
                <w:sz w:val="24"/>
                <w:szCs w:val="24"/>
                <w:lang w:val="en-US" w:eastAsia="zh-CN"/>
              </w:rPr>
            </m:ctrlPr>
          </m:num>
          <m:den>
            <m:sSup>
              <m:sSupPr>
                <m:ctrlPr>
                  <w:rPr>
                    <w:rFonts w:hint="default" w:ascii="Cambria Math" w:hAnsi="Cambria Math" w:cs="Times New Roman"/>
                    <w:b w:val="0"/>
                    <w:bCs w:val="0"/>
                    <w:sz w:val="24"/>
                    <w:szCs w:val="24"/>
                    <w:lang w:val="en-US" w:eastAsia="zh-CN"/>
                  </w:rPr>
                </m:ctrlPr>
              </m:sSupPr>
              <m:e>
                <m:r>
                  <m:rPr>
                    <m:sty m:val="p"/>
                  </m:rPr>
                  <w:rPr>
                    <w:rFonts w:hint="default" w:ascii="Cambria Math" w:hAnsi="Cambria Math" w:cs="Times New Roman"/>
                    <w:sz w:val="24"/>
                    <w:szCs w:val="24"/>
                    <w:lang w:val="en-US" w:eastAsia="zh-CN"/>
                  </w:rPr>
                  <m:t>(1+r)</m:t>
                </m:r>
                <m:ctrlPr>
                  <w:rPr>
                    <w:rFonts w:hint="default" w:ascii="Cambria Math" w:hAnsi="Cambria Math" w:cs="Times New Roman"/>
                    <w:b w:val="0"/>
                    <w:bCs w:val="0"/>
                    <w:sz w:val="24"/>
                    <w:szCs w:val="24"/>
                    <w:lang w:val="en-US" w:eastAsia="zh-CN"/>
                  </w:rPr>
                </m:ctrlPr>
              </m:e>
              <m:sup>
                <m:r>
                  <m:rPr>
                    <m:sty m:val="p"/>
                  </m:rPr>
                  <w:rPr>
                    <w:rFonts w:hint="default" w:ascii="Cambria Math" w:hAnsi="Cambria Math" w:cs="Times New Roman"/>
                    <w:sz w:val="24"/>
                    <w:szCs w:val="24"/>
                    <w:lang w:val="en-US" w:eastAsia="zh-CN"/>
                  </w:rPr>
                  <m:t>3</m:t>
                </m:r>
                <m:ctrlPr>
                  <w:rPr>
                    <w:rFonts w:hint="default" w:ascii="Cambria Math" w:hAnsi="Cambria Math" w:cs="Times New Roman"/>
                    <w:b w:val="0"/>
                    <w:bCs w:val="0"/>
                    <w:sz w:val="24"/>
                    <w:szCs w:val="24"/>
                    <w:lang w:val="en-US" w:eastAsia="zh-CN"/>
                  </w:rPr>
                </m:ctrlPr>
              </m:sup>
            </m:sSup>
            <m:ctrlPr>
              <w:rPr>
                <w:rFonts w:hint="default" w:ascii="Cambria Math" w:hAnsi="Cambria Math" w:cs="Times New Roman"/>
                <w:b w:val="0"/>
                <w:bCs w:val="0"/>
                <w:sz w:val="24"/>
                <w:szCs w:val="24"/>
                <w:lang w:val="en-US" w:eastAsia="zh-CN"/>
              </w:rPr>
            </m:ctrlPr>
          </m:den>
        </m:f>
      </m:oMath>
      <w:r>
        <w:rPr>
          <w:rFonts w:hint="default" w:ascii="Times New Roman" w:hAnsi="Times New Roman" w:cs="Times New Roman"/>
          <w:b w:val="0"/>
          <w:bCs w:val="0"/>
          <w:i w:val="0"/>
          <w:sz w:val="24"/>
          <w:szCs w:val="24"/>
          <w:lang w:val="en-US" w:eastAsia="zh-CN"/>
        </w:rPr>
        <w:t xml:space="preserve"> ... +</w:t>
      </w:r>
      <m:oMath>
        <m:f>
          <m:fPr>
            <m:ctrlPr>
              <w:rPr>
                <w:rFonts w:hint="default" w:ascii="Cambria Math" w:hAnsi="Cambria Math" w:cs="Times New Roman"/>
                <w:b w:val="0"/>
                <w:bCs w:val="0"/>
                <w:sz w:val="24"/>
                <w:szCs w:val="24"/>
                <w:lang w:val="en-US" w:eastAsia="zh-CN"/>
              </w:rPr>
            </m:ctrlPr>
          </m:fPr>
          <m:num>
            <m:sSub>
              <m:sSubPr>
                <m:ctrlPr>
                  <w:rPr>
                    <w:rFonts w:hint="default" w:ascii="Cambria Math" w:hAnsi="Cambria Math" w:cs="Times New Roman"/>
                    <w:b w:val="0"/>
                    <w:bCs w:val="0"/>
                    <w:sz w:val="24"/>
                    <w:szCs w:val="24"/>
                    <w:lang w:val="en-US" w:eastAsia="zh-CN"/>
                  </w:rPr>
                </m:ctrlPr>
              </m:sSubPr>
              <m:e>
                <m:r>
                  <m:rPr>
                    <m:sty m:val="p"/>
                  </m:rPr>
                  <w:rPr>
                    <w:rFonts w:hint="default" w:ascii="Cambria Math" w:hAnsi="Cambria Math" w:cs="Times New Roman"/>
                    <w:sz w:val="24"/>
                    <w:szCs w:val="24"/>
                    <w:lang w:val="en-US" w:eastAsia="zh-CN"/>
                  </w:rPr>
                  <m:t>CF</m:t>
                </m:r>
                <m:ctrlPr>
                  <w:rPr>
                    <w:rFonts w:hint="default" w:ascii="Cambria Math" w:hAnsi="Cambria Math" w:cs="Times New Roman"/>
                    <w:b w:val="0"/>
                    <w:bCs w:val="0"/>
                    <w:sz w:val="24"/>
                    <w:szCs w:val="24"/>
                    <w:lang w:val="en-US" w:eastAsia="zh-CN"/>
                  </w:rPr>
                </m:ctrlPr>
              </m:e>
              <m:sub>
                <m:r>
                  <m:rPr>
                    <m:sty m:val="p"/>
                  </m:rPr>
                  <w:rPr>
                    <w:rFonts w:hint="default" w:ascii="Cambria Math" w:hAnsi="Cambria Math" w:cs="Times New Roman"/>
                    <w:sz w:val="24"/>
                    <w:szCs w:val="24"/>
                    <w:lang w:val="en-US" w:eastAsia="zh-CN"/>
                  </w:rPr>
                  <m:t>n</m:t>
                </m:r>
                <m:ctrlPr>
                  <w:rPr>
                    <w:rFonts w:hint="default" w:ascii="Cambria Math" w:hAnsi="Cambria Math" w:cs="Times New Roman"/>
                    <w:b w:val="0"/>
                    <w:bCs w:val="0"/>
                    <w:sz w:val="24"/>
                    <w:szCs w:val="24"/>
                    <w:lang w:val="en-US" w:eastAsia="zh-CN"/>
                  </w:rPr>
                </m:ctrlPr>
              </m:sub>
            </m:sSub>
            <m:ctrlPr>
              <w:rPr>
                <w:rFonts w:hint="default" w:ascii="Cambria Math" w:hAnsi="Cambria Math" w:cs="Times New Roman"/>
                <w:b w:val="0"/>
                <w:bCs w:val="0"/>
                <w:sz w:val="24"/>
                <w:szCs w:val="24"/>
                <w:lang w:val="en-US" w:eastAsia="zh-CN"/>
              </w:rPr>
            </m:ctrlPr>
          </m:num>
          <m:den>
            <m:sSup>
              <m:sSupPr>
                <m:ctrlPr>
                  <w:rPr>
                    <w:rFonts w:hint="default" w:ascii="Cambria Math" w:hAnsi="Cambria Math" w:cs="Times New Roman"/>
                    <w:b w:val="0"/>
                    <w:bCs w:val="0"/>
                    <w:sz w:val="24"/>
                    <w:szCs w:val="24"/>
                    <w:lang w:val="en-US" w:eastAsia="zh-CN"/>
                  </w:rPr>
                </m:ctrlPr>
              </m:sSupPr>
              <m:e>
                <m:r>
                  <m:rPr>
                    <m:sty m:val="p"/>
                  </m:rPr>
                  <w:rPr>
                    <w:rFonts w:hint="default" w:ascii="Cambria Math" w:hAnsi="Cambria Math" w:cs="Times New Roman"/>
                    <w:sz w:val="24"/>
                    <w:szCs w:val="24"/>
                    <w:lang w:val="en-US" w:eastAsia="zh-CN"/>
                  </w:rPr>
                  <m:t>(1+r)</m:t>
                </m:r>
                <m:ctrlPr>
                  <w:rPr>
                    <w:rFonts w:hint="default" w:ascii="Cambria Math" w:hAnsi="Cambria Math" w:cs="Times New Roman"/>
                    <w:b w:val="0"/>
                    <w:bCs w:val="0"/>
                    <w:sz w:val="24"/>
                    <w:szCs w:val="24"/>
                    <w:lang w:val="en-US" w:eastAsia="zh-CN"/>
                  </w:rPr>
                </m:ctrlPr>
              </m:e>
              <m:sup>
                <m:r>
                  <m:rPr>
                    <m:sty m:val="p"/>
                  </m:rPr>
                  <w:rPr>
                    <w:rFonts w:hint="default" w:ascii="Cambria Math" w:hAnsi="Cambria Math" w:cs="Times New Roman"/>
                    <w:sz w:val="24"/>
                    <w:szCs w:val="24"/>
                    <w:lang w:val="en-US" w:eastAsia="zh-CN"/>
                  </w:rPr>
                  <m:t>n</m:t>
                </m:r>
                <m:ctrlPr>
                  <w:rPr>
                    <w:rFonts w:hint="default" w:ascii="Cambria Math" w:hAnsi="Cambria Math" w:cs="Times New Roman"/>
                    <w:b w:val="0"/>
                    <w:bCs w:val="0"/>
                    <w:sz w:val="24"/>
                    <w:szCs w:val="24"/>
                    <w:lang w:val="en-US" w:eastAsia="zh-CN"/>
                  </w:rPr>
                </m:ctrlPr>
              </m:sup>
            </m:sSup>
            <m:ctrlPr>
              <w:rPr>
                <w:rFonts w:hint="default" w:ascii="Cambria Math" w:hAnsi="Cambria Math" w:cs="Times New Roman"/>
                <w:b w:val="0"/>
                <w:bCs w:val="0"/>
                <w:sz w:val="24"/>
                <w:szCs w:val="24"/>
                <w:lang w:val="en-US" w:eastAsia="zh-CN"/>
              </w:rPr>
            </m:ctrlPr>
          </m:den>
        </m:f>
      </m:oMath>
      <w:r>
        <w:rPr>
          <w:rFonts w:hint="default" w:ascii="Times New Roman" w:hAnsi="Times New Roman" w:cs="Times New Roman"/>
          <w:b w:val="0"/>
          <w:bCs w:val="0"/>
          <w:i w:val="0"/>
          <w:sz w:val="24"/>
          <w:szCs w:val="24"/>
          <w:lang w:val="en-US" w:eastAsia="zh-CN"/>
        </w:rPr>
        <w:t>=0</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b/>
          <w:bCs/>
          <w:sz w:val="24"/>
          <w:szCs w:val="24"/>
          <w:lang w:val="en-US" w:eastAsia="zh-CN"/>
        </w:rPr>
      </w:pPr>
      <w:r>
        <w:rPr>
          <w:rFonts w:hint="default" w:ascii="Times New Roman" w:hAnsi="Times New Roman" w:cs="Times New Roman"/>
          <w:b w:val="0"/>
          <w:bCs w:val="0"/>
          <w:sz w:val="24"/>
          <w:szCs w:val="24"/>
          <w:lang w:val="en-US" w:eastAsia="zh-CN"/>
        </w:rPr>
        <w:t>-100,000+</w:t>
      </w:r>
      <m:oMath>
        <m:f>
          <m:fPr>
            <m:ctrlPr>
              <w:rPr>
                <w:rFonts w:hint="default" w:ascii="Cambria Math" w:hAnsi="Cambria Math" w:cs="Times New Roman"/>
                <w:b w:val="0"/>
                <w:bCs w:val="0"/>
                <w:sz w:val="24"/>
                <w:szCs w:val="24"/>
                <w:lang w:val="en-US" w:eastAsia="zh-CN"/>
              </w:rPr>
            </m:ctrlPr>
          </m:fPr>
          <m:num>
            <m:r>
              <m:rPr>
                <m:sty m:val="p"/>
              </m:rPr>
              <w:rPr>
                <w:rFonts w:hint="default" w:ascii="Cambria Math" w:hAnsi="Cambria Math" w:cs="Times New Roman"/>
                <w:sz w:val="24"/>
                <w:szCs w:val="24"/>
                <w:lang w:val="en-US" w:eastAsia="zh-CN"/>
              </w:rPr>
              <m:t>40,000</m:t>
            </m:r>
            <m:ctrlPr>
              <w:rPr>
                <w:rFonts w:hint="default" w:ascii="Cambria Math" w:hAnsi="Cambria Math" w:cs="Times New Roman"/>
                <w:b w:val="0"/>
                <w:bCs w:val="0"/>
                <w:sz w:val="24"/>
                <w:szCs w:val="24"/>
                <w:lang w:val="en-US" w:eastAsia="zh-CN"/>
              </w:rPr>
            </m:ctrlPr>
          </m:num>
          <m:den>
            <m:r>
              <m:rPr>
                <m:sty m:val="p"/>
              </m:rPr>
              <w:rPr>
                <w:rFonts w:hint="default" w:ascii="Cambria Math" w:hAnsi="Cambria Math" w:cs="Times New Roman"/>
                <w:sz w:val="24"/>
                <w:szCs w:val="24"/>
                <w:lang w:val="en-US" w:eastAsia="zh-CN"/>
              </w:rPr>
              <m:t>1+r</m:t>
            </m:r>
            <m:ctrlPr>
              <w:rPr>
                <w:rFonts w:hint="default" w:ascii="Cambria Math" w:hAnsi="Cambria Math" w:cs="Times New Roman"/>
                <w:b w:val="0"/>
                <w:bCs w:val="0"/>
                <w:sz w:val="24"/>
                <w:szCs w:val="24"/>
                <w:lang w:val="en-US" w:eastAsia="zh-CN"/>
              </w:rPr>
            </m:ctrlPr>
          </m:den>
        </m:f>
      </m:oMath>
      <w:r>
        <w:rPr>
          <w:rFonts w:hint="default" w:ascii="Times New Roman" w:hAnsi="Times New Roman" w:cs="Times New Roman"/>
          <w:b w:val="0"/>
          <w:bCs w:val="0"/>
          <w:i w:val="0"/>
          <w:sz w:val="24"/>
          <w:szCs w:val="24"/>
          <w:lang w:val="en-US" w:eastAsia="zh-CN"/>
        </w:rPr>
        <w:t>+</w:t>
      </w:r>
      <m:oMath>
        <m:f>
          <m:fPr>
            <m:ctrlPr>
              <w:rPr>
                <w:rFonts w:hint="default" w:ascii="Cambria Math" w:hAnsi="Cambria Math" w:cs="Times New Roman"/>
                <w:b w:val="0"/>
                <w:bCs w:val="0"/>
                <w:sz w:val="24"/>
                <w:szCs w:val="24"/>
                <w:lang w:val="en-US" w:eastAsia="zh-CN"/>
              </w:rPr>
            </m:ctrlPr>
          </m:fPr>
          <m:num>
            <m:r>
              <m:rPr>
                <m:sty m:val="p"/>
              </m:rPr>
              <w:rPr>
                <w:rFonts w:hint="default" w:ascii="Cambria Math" w:hAnsi="Cambria Math" w:cs="Times New Roman"/>
                <w:sz w:val="24"/>
                <w:szCs w:val="24"/>
                <w:lang w:val="en-US" w:eastAsia="zh-CN"/>
              </w:rPr>
              <m:t>50,000</m:t>
            </m:r>
            <m:ctrlPr>
              <w:rPr>
                <w:rFonts w:hint="default" w:ascii="Cambria Math" w:hAnsi="Cambria Math" w:cs="Times New Roman"/>
                <w:b w:val="0"/>
                <w:bCs w:val="0"/>
                <w:sz w:val="24"/>
                <w:szCs w:val="24"/>
                <w:lang w:val="en-US" w:eastAsia="zh-CN"/>
              </w:rPr>
            </m:ctrlPr>
          </m:num>
          <m:den>
            <m:sSup>
              <m:sSupPr>
                <m:ctrlPr>
                  <w:rPr>
                    <w:rFonts w:hint="default" w:ascii="Cambria Math" w:hAnsi="Cambria Math" w:cs="Times New Roman"/>
                    <w:b w:val="0"/>
                    <w:bCs w:val="0"/>
                    <w:sz w:val="24"/>
                    <w:szCs w:val="24"/>
                    <w:lang w:val="en-US" w:eastAsia="zh-CN"/>
                  </w:rPr>
                </m:ctrlPr>
              </m:sSupPr>
              <m:e>
                <m:r>
                  <m:rPr>
                    <m:sty m:val="p"/>
                  </m:rPr>
                  <w:rPr>
                    <w:rFonts w:hint="default" w:ascii="Cambria Math" w:hAnsi="Cambria Math" w:cs="Times New Roman"/>
                    <w:sz w:val="24"/>
                    <w:szCs w:val="24"/>
                    <w:lang w:val="en-US" w:eastAsia="zh-CN"/>
                  </w:rPr>
                  <m:t>(1+r)</m:t>
                </m:r>
                <m:ctrlPr>
                  <w:rPr>
                    <w:rFonts w:hint="default" w:ascii="Cambria Math" w:hAnsi="Cambria Math" w:cs="Times New Roman"/>
                    <w:b w:val="0"/>
                    <w:bCs w:val="0"/>
                    <w:sz w:val="24"/>
                    <w:szCs w:val="24"/>
                    <w:lang w:val="en-US" w:eastAsia="zh-CN"/>
                  </w:rPr>
                </m:ctrlPr>
              </m:e>
              <m:sup>
                <m:r>
                  <m:rPr>
                    <m:sty m:val="p"/>
                  </m:rPr>
                  <w:rPr>
                    <w:rFonts w:hint="default" w:ascii="Cambria Math" w:hAnsi="Cambria Math" w:cs="Times New Roman"/>
                    <w:sz w:val="24"/>
                    <w:szCs w:val="24"/>
                    <w:lang w:val="en-US" w:eastAsia="zh-CN"/>
                  </w:rPr>
                  <m:t>2</m:t>
                </m:r>
                <m:ctrlPr>
                  <w:rPr>
                    <w:rFonts w:hint="default" w:ascii="Cambria Math" w:hAnsi="Cambria Math" w:cs="Times New Roman"/>
                    <w:b w:val="0"/>
                    <w:bCs w:val="0"/>
                    <w:sz w:val="24"/>
                    <w:szCs w:val="24"/>
                    <w:lang w:val="en-US" w:eastAsia="zh-CN"/>
                  </w:rPr>
                </m:ctrlPr>
              </m:sup>
            </m:sSup>
            <m:ctrlPr>
              <w:rPr>
                <w:rFonts w:hint="default" w:ascii="Cambria Math" w:hAnsi="Cambria Math" w:cs="Times New Roman"/>
                <w:b w:val="0"/>
                <w:bCs w:val="0"/>
                <w:sz w:val="24"/>
                <w:szCs w:val="24"/>
                <w:lang w:val="en-US" w:eastAsia="zh-CN"/>
              </w:rPr>
            </m:ctrlPr>
          </m:den>
        </m:f>
      </m:oMath>
      <w:r>
        <w:rPr>
          <w:rFonts w:hint="default" w:ascii="Times New Roman" w:hAnsi="Times New Roman" w:cs="Times New Roman"/>
          <w:b w:val="0"/>
          <w:bCs w:val="0"/>
          <w:i w:val="0"/>
          <w:sz w:val="24"/>
          <w:szCs w:val="24"/>
          <w:lang w:val="en-US" w:eastAsia="zh-CN"/>
        </w:rPr>
        <w:t>+</w:t>
      </w:r>
      <m:oMath>
        <m:f>
          <m:fPr>
            <m:ctrlPr>
              <w:rPr>
                <w:rFonts w:hint="default" w:ascii="Cambria Math" w:hAnsi="Cambria Math" w:cs="Times New Roman"/>
                <w:b w:val="0"/>
                <w:bCs w:val="0"/>
                <w:sz w:val="24"/>
                <w:szCs w:val="24"/>
                <w:lang w:val="en-US" w:eastAsia="zh-CN"/>
              </w:rPr>
            </m:ctrlPr>
          </m:fPr>
          <m:num>
            <m:r>
              <m:rPr>
                <m:sty m:val="p"/>
              </m:rPr>
              <w:rPr>
                <w:rFonts w:hint="default" w:ascii="Cambria Math" w:hAnsi="Cambria Math" w:cs="Times New Roman"/>
                <w:sz w:val="24"/>
                <w:szCs w:val="24"/>
                <w:lang w:val="en-US" w:eastAsia="zh-CN"/>
              </w:rPr>
              <m:t>55,000</m:t>
            </m:r>
            <m:ctrlPr>
              <w:rPr>
                <w:rFonts w:hint="default" w:ascii="Cambria Math" w:hAnsi="Cambria Math" w:cs="Times New Roman"/>
                <w:b w:val="0"/>
                <w:bCs w:val="0"/>
                <w:sz w:val="24"/>
                <w:szCs w:val="24"/>
                <w:lang w:val="en-US" w:eastAsia="zh-CN"/>
              </w:rPr>
            </m:ctrlPr>
          </m:num>
          <m:den>
            <m:sSup>
              <m:sSupPr>
                <m:ctrlPr>
                  <w:rPr>
                    <w:rFonts w:hint="default" w:ascii="Cambria Math" w:hAnsi="Cambria Math" w:cs="Times New Roman"/>
                    <w:b w:val="0"/>
                    <w:bCs w:val="0"/>
                    <w:sz w:val="24"/>
                    <w:szCs w:val="24"/>
                    <w:lang w:val="en-US" w:eastAsia="zh-CN"/>
                  </w:rPr>
                </m:ctrlPr>
              </m:sSupPr>
              <m:e>
                <m:r>
                  <m:rPr>
                    <m:sty m:val="p"/>
                  </m:rPr>
                  <w:rPr>
                    <w:rFonts w:hint="default" w:ascii="Cambria Math" w:hAnsi="Cambria Math" w:cs="Times New Roman"/>
                    <w:sz w:val="24"/>
                    <w:szCs w:val="24"/>
                    <w:lang w:val="en-US" w:eastAsia="zh-CN"/>
                  </w:rPr>
                  <m:t>(1+r)</m:t>
                </m:r>
                <m:ctrlPr>
                  <w:rPr>
                    <w:rFonts w:hint="default" w:ascii="Cambria Math" w:hAnsi="Cambria Math" w:cs="Times New Roman"/>
                    <w:b w:val="0"/>
                    <w:bCs w:val="0"/>
                    <w:sz w:val="24"/>
                    <w:szCs w:val="24"/>
                    <w:lang w:val="en-US" w:eastAsia="zh-CN"/>
                  </w:rPr>
                </m:ctrlPr>
              </m:e>
              <m:sup>
                <m:r>
                  <m:rPr>
                    <m:sty m:val="p"/>
                  </m:rPr>
                  <w:rPr>
                    <w:rFonts w:hint="default" w:ascii="Cambria Math" w:hAnsi="Cambria Math" w:cs="Times New Roman"/>
                    <w:sz w:val="24"/>
                    <w:szCs w:val="24"/>
                    <w:lang w:val="en-US" w:eastAsia="zh-CN"/>
                  </w:rPr>
                  <m:t>3</m:t>
                </m:r>
                <m:ctrlPr>
                  <w:rPr>
                    <w:rFonts w:hint="default" w:ascii="Cambria Math" w:hAnsi="Cambria Math" w:cs="Times New Roman"/>
                    <w:b w:val="0"/>
                    <w:bCs w:val="0"/>
                    <w:sz w:val="24"/>
                    <w:szCs w:val="24"/>
                    <w:lang w:val="en-US" w:eastAsia="zh-CN"/>
                  </w:rPr>
                </m:ctrlPr>
              </m:sup>
            </m:sSup>
            <m:ctrlPr>
              <w:rPr>
                <w:rFonts w:hint="default" w:ascii="Cambria Math" w:hAnsi="Cambria Math" w:cs="Times New Roman"/>
                <w:b w:val="0"/>
                <w:bCs w:val="0"/>
                <w:sz w:val="24"/>
                <w:szCs w:val="24"/>
                <w:lang w:val="en-US" w:eastAsia="zh-CN"/>
              </w:rPr>
            </m:ctrlPr>
          </m:den>
        </m:f>
      </m:oMath>
      <w:r>
        <w:rPr>
          <w:rFonts w:hint="default" w:ascii="Times New Roman" w:hAnsi="Times New Roman" w:cs="Times New Roman"/>
          <w:b w:val="0"/>
          <w:bCs w:val="0"/>
          <w:i w:val="0"/>
          <w:sz w:val="24"/>
          <w:szCs w:val="24"/>
          <w:lang w:val="en-US" w:eastAsia="zh-CN"/>
        </w:rPr>
        <w:t>+</w:t>
      </w:r>
      <m:oMath>
        <m:f>
          <m:fPr>
            <m:ctrlPr>
              <w:rPr>
                <w:rFonts w:hint="default" w:ascii="Cambria Math" w:hAnsi="Cambria Math" w:cs="Times New Roman"/>
                <w:b w:val="0"/>
                <w:bCs w:val="0"/>
                <w:sz w:val="24"/>
                <w:szCs w:val="24"/>
                <w:lang w:val="en-US" w:eastAsia="zh-CN"/>
              </w:rPr>
            </m:ctrlPr>
          </m:fPr>
          <m:num>
            <m:r>
              <m:rPr>
                <m:sty m:val="p"/>
              </m:rPr>
              <w:rPr>
                <w:rFonts w:hint="default" w:ascii="Cambria Math" w:hAnsi="Cambria Math" w:cs="Times New Roman"/>
                <w:sz w:val="24"/>
                <w:szCs w:val="24"/>
                <w:lang w:val="en-US" w:eastAsia="zh-CN"/>
              </w:rPr>
              <m:t>45,000</m:t>
            </m:r>
            <m:ctrlPr>
              <w:rPr>
                <w:rFonts w:hint="default" w:ascii="Cambria Math" w:hAnsi="Cambria Math" w:cs="Times New Roman"/>
                <w:b w:val="0"/>
                <w:bCs w:val="0"/>
                <w:sz w:val="24"/>
                <w:szCs w:val="24"/>
                <w:lang w:val="en-US" w:eastAsia="zh-CN"/>
              </w:rPr>
            </m:ctrlPr>
          </m:num>
          <m:den>
            <m:sSup>
              <m:sSupPr>
                <m:ctrlPr>
                  <w:rPr>
                    <w:rFonts w:hint="default" w:ascii="Cambria Math" w:hAnsi="Cambria Math" w:cs="Times New Roman"/>
                    <w:b w:val="0"/>
                    <w:bCs w:val="0"/>
                    <w:sz w:val="24"/>
                    <w:szCs w:val="24"/>
                    <w:lang w:val="en-US" w:eastAsia="zh-CN"/>
                  </w:rPr>
                </m:ctrlPr>
              </m:sSupPr>
              <m:e>
                <m:r>
                  <m:rPr>
                    <m:sty m:val="p"/>
                  </m:rPr>
                  <w:rPr>
                    <w:rFonts w:hint="default" w:ascii="Cambria Math" w:hAnsi="Cambria Math" w:cs="Times New Roman"/>
                    <w:sz w:val="24"/>
                    <w:szCs w:val="24"/>
                    <w:lang w:val="en-US" w:eastAsia="zh-CN"/>
                  </w:rPr>
                  <m:t>(1+r)</m:t>
                </m:r>
                <m:ctrlPr>
                  <w:rPr>
                    <w:rFonts w:hint="default" w:ascii="Cambria Math" w:hAnsi="Cambria Math" w:cs="Times New Roman"/>
                    <w:b w:val="0"/>
                    <w:bCs w:val="0"/>
                    <w:sz w:val="24"/>
                    <w:szCs w:val="24"/>
                    <w:lang w:val="en-US" w:eastAsia="zh-CN"/>
                  </w:rPr>
                </m:ctrlPr>
              </m:e>
              <m:sup>
                <m:r>
                  <m:rPr>
                    <m:sty m:val="p"/>
                  </m:rPr>
                  <w:rPr>
                    <w:rFonts w:hint="default" w:ascii="Cambria Math" w:hAnsi="Cambria Math" w:cs="Times New Roman"/>
                    <w:sz w:val="24"/>
                    <w:szCs w:val="24"/>
                    <w:lang w:val="en-US" w:eastAsia="zh-CN"/>
                  </w:rPr>
                  <m:t>4</m:t>
                </m:r>
                <m:ctrlPr>
                  <w:rPr>
                    <w:rFonts w:hint="default" w:ascii="Cambria Math" w:hAnsi="Cambria Math" w:cs="Times New Roman"/>
                    <w:b w:val="0"/>
                    <w:bCs w:val="0"/>
                    <w:sz w:val="24"/>
                    <w:szCs w:val="24"/>
                    <w:lang w:val="en-US" w:eastAsia="zh-CN"/>
                  </w:rPr>
                </m:ctrlPr>
              </m:sup>
            </m:sSup>
            <m:ctrlPr>
              <w:rPr>
                <w:rFonts w:hint="default" w:ascii="Cambria Math" w:hAnsi="Cambria Math" w:cs="Times New Roman"/>
                <w:b w:val="0"/>
                <w:bCs w:val="0"/>
                <w:sz w:val="24"/>
                <w:szCs w:val="24"/>
                <w:lang w:val="en-US" w:eastAsia="zh-CN"/>
              </w:rPr>
            </m:ctrlPr>
          </m:den>
        </m:f>
      </m:oMath>
      <w:r>
        <w:rPr>
          <w:rFonts w:hint="default" w:ascii="Times New Roman" w:hAnsi="Times New Roman" w:cs="Times New Roman"/>
          <w:b w:val="0"/>
          <w:bCs w:val="0"/>
          <w:i w:val="0"/>
          <w:sz w:val="24"/>
          <w:szCs w:val="24"/>
          <w:lang w:val="en-US" w:eastAsia="zh-CN"/>
        </w:rPr>
        <w:t>+</w:t>
      </w:r>
      <m:oMath>
        <m:f>
          <m:fPr>
            <m:ctrlPr>
              <w:rPr>
                <w:rFonts w:hint="default" w:ascii="Cambria Math" w:hAnsi="Cambria Math" w:cs="Times New Roman"/>
                <w:b w:val="0"/>
                <w:bCs w:val="0"/>
                <w:sz w:val="24"/>
                <w:szCs w:val="24"/>
                <w:lang w:val="en-US" w:eastAsia="zh-CN"/>
              </w:rPr>
            </m:ctrlPr>
          </m:fPr>
          <m:num>
            <m:r>
              <m:rPr>
                <m:sty m:val="p"/>
              </m:rPr>
              <w:rPr>
                <w:rFonts w:hint="default" w:ascii="Cambria Math" w:hAnsi="Cambria Math" w:cs="Times New Roman"/>
                <w:sz w:val="24"/>
                <w:szCs w:val="24"/>
                <w:lang w:val="en-US" w:eastAsia="zh-CN"/>
              </w:rPr>
              <m:t>30,000+30,000</m:t>
            </m:r>
            <m:ctrlPr>
              <w:rPr>
                <w:rFonts w:hint="default" w:ascii="Cambria Math" w:hAnsi="Cambria Math" w:cs="Times New Roman"/>
                <w:b w:val="0"/>
                <w:bCs w:val="0"/>
                <w:sz w:val="24"/>
                <w:szCs w:val="24"/>
                <w:lang w:val="en-US" w:eastAsia="zh-CN"/>
              </w:rPr>
            </m:ctrlPr>
          </m:num>
          <m:den>
            <m:sSup>
              <m:sSupPr>
                <m:ctrlPr>
                  <w:rPr>
                    <w:rFonts w:hint="default" w:ascii="Cambria Math" w:hAnsi="Cambria Math" w:cs="Times New Roman"/>
                    <w:b w:val="0"/>
                    <w:bCs w:val="0"/>
                    <w:sz w:val="24"/>
                    <w:szCs w:val="24"/>
                    <w:lang w:val="en-US" w:eastAsia="zh-CN"/>
                  </w:rPr>
                </m:ctrlPr>
              </m:sSupPr>
              <m:e>
                <m:r>
                  <m:rPr>
                    <m:sty m:val="p"/>
                  </m:rPr>
                  <w:rPr>
                    <w:rFonts w:hint="default" w:ascii="Cambria Math" w:hAnsi="Cambria Math" w:cs="Times New Roman"/>
                    <w:sz w:val="24"/>
                    <w:szCs w:val="24"/>
                    <w:lang w:val="en-US" w:eastAsia="zh-CN"/>
                  </w:rPr>
                  <m:t>(1+r)</m:t>
                </m:r>
                <m:ctrlPr>
                  <w:rPr>
                    <w:rFonts w:hint="default" w:ascii="Cambria Math" w:hAnsi="Cambria Math" w:cs="Times New Roman"/>
                    <w:b w:val="0"/>
                    <w:bCs w:val="0"/>
                    <w:sz w:val="24"/>
                    <w:szCs w:val="24"/>
                    <w:lang w:val="en-US" w:eastAsia="zh-CN"/>
                  </w:rPr>
                </m:ctrlPr>
              </m:e>
              <m:sup>
                <m:r>
                  <m:rPr>
                    <m:sty m:val="p"/>
                  </m:rPr>
                  <w:rPr>
                    <w:rFonts w:hint="default" w:ascii="Cambria Math" w:hAnsi="Cambria Math" w:cs="Times New Roman"/>
                    <w:sz w:val="24"/>
                    <w:szCs w:val="24"/>
                    <w:lang w:val="en-US" w:eastAsia="zh-CN"/>
                  </w:rPr>
                  <m:t>5</m:t>
                </m:r>
                <m:ctrlPr>
                  <w:rPr>
                    <w:rFonts w:hint="default" w:ascii="Cambria Math" w:hAnsi="Cambria Math" w:cs="Times New Roman"/>
                    <w:b w:val="0"/>
                    <w:bCs w:val="0"/>
                    <w:sz w:val="24"/>
                    <w:szCs w:val="24"/>
                    <w:lang w:val="en-US" w:eastAsia="zh-CN"/>
                  </w:rPr>
                </m:ctrlPr>
              </m:sup>
            </m:sSup>
            <m:ctrlPr>
              <w:rPr>
                <w:rFonts w:hint="default" w:ascii="Cambria Math" w:hAnsi="Cambria Math" w:cs="Times New Roman"/>
                <w:b w:val="0"/>
                <w:bCs w:val="0"/>
                <w:sz w:val="24"/>
                <w:szCs w:val="24"/>
                <w:lang w:val="en-US" w:eastAsia="zh-CN"/>
              </w:rPr>
            </m:ctrlPr>
          </m:den>
        </m:f>
      </m:oMath>
      <w:r>
        <w:rPr>
          <w:rFonts w:hint="default" w:ascii="Times New Roman" w:hAnsi="Times New Roman" w:cs="Times New Roman"/>
          <w:b w:val="0"/>
          <w:bCs w:val="0"/>
          <w:i w:val="0"/>
          <w:sz w:val="24"/>
          <w:szCs w:val="24"/>
          <w:lang w:val="en-US" w:eastAsia="zh-CN"/>
        </w:rPr>
        <w:t>=0</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b/>
          <w:bCs/>
          <w:sz w:val="24"/>
          <w:szCs w:val="24"/>
          <w:lang w:val="en-US" w:eastAsia="zh-CN"/>
        </w:rPr>
      </w:pPr>
      <w:r>
        <w:rPr>
          <w:rFonts w:hint="default" w:ascii="Times New Roman" w:hAnsi="Times New Roman" w:cs="Times New Roman"/>
          <w:b w:val="0"/>
          <w:bCs w:val="0"/>
          <w:sz w:val="24"/>
          <w:szCs w:val="24"/>
          <w:lang w:val="en-US" w:eastAsia="zh-CN"/>
        </w:rPr>
        <w:t>IRR=38.31%</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IRR for Machine (B)</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05"/>
        <w:gridCol w:w="1207"/>
        <w:gridCol w:w="1200"/>
        <w:gridCol w:w="1200"/>
        <w:gridCol w:w="1201"/>
        <w:gridCol w:w="1201"/>
        <w:gridCol w:w="13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bCs/>
                <w:sz w:val="18"/>
                <w:szCs w:val="18"/>
                <w:vertAlign w:val="baseline"/>
                <w:lang w:val="en-US" w:eastAsia="zh-CN"/>
              </w:rPr>
            </w:pPr>
          </w:p>
        </w:tc>
        <w:tc>
          <w:tcPr>
            <w:tcW w:w="121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Year 0</w:t>
            </w:r>
          </w:p>
        </w:tc>
        <w:tc>
          <w:tcPr>
            <w:tcW w:w="121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Year 1</w:t>
            </w:r>
          </w:p>
        </w:tc>
        <w:tc>
          <w:tcPr>
            <w:tcW w:w="121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Year 2</w:t>
            </w:r>
          </w:p>
        </w:tc>
        <w:tc>
          <w:tcPr>
            <w:tcW w:w="1218"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Year 3</w:t>
            </w:r>
          </w:p>
        </w:tc>
        <w:tc>
          <w:tcPr>
            <w:tcW w:w="1218"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Year 4</w:t>
            </w:r>
          </w:p>
        </w:tc>
        <w:tc>
          <w:tcPr>
            <w:tcW w:w="1218"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Year 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Machine (B)</w:t>
            </w:r>
          </w:p>
        </w:tc>
        <w:tc>
          <w:tcPr>
            <w:tcW w:w="121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(100,000)</w:t>
            </w:r>
          </w:p>
        </w:tc>
        <w:tc>
          <w:tcPr>
            <w:tcW w:w="121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25,000</w:t>
            </w:r>
          </w:p>
        </w:tc>
        <w:tc>
          <w:tcPr>
            <w:tcW w:w="121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40,000</w:t>
            </w:r>
          </w:p>
        </w:tc>
        <w:tc>
          <w:tcPr>
            <w:tcW w:w="1218"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35,000</w:t>
            </w:r>
          </w:p>
        </w:tc>
        <w:tc>
          <w:tcPr>
            <w:tcW w:w="1218"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75,000</w:t>
            </w:r>
          </w:p>
        </w:tc>
        <w:tc>
          <w:tcPr>
            <w:tcW w:w="1218"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25,000+25,000</w:t>
            </w:r>
          </w:p>
        </w:tc>
      </w:tr>
    </w:tbl>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b w:val="0"/>
          <w:bCs w:val="0"/>
          <w:i w:val="0"/>
          <w:sz w:val="24"/>
          <w:szCs w:val="24"/>
          <w:lang w:val="en-US" w:eastAsia="zh-CN"/>
        </w:rPr>
      </w:pPr>
      <w:r>
        <w:rPr>
          <w:rFonts w:hint="default" w:ascii="Times New Roman" w:hAnsi="Times New Roman" w:cs="Times New Roman"/>
          <w:b w:val="0"/>
          <w:bCs w:val="0"/>
          <w:sz w:val="24"/>
          <w:szCs w:val="24"/>
          <w:lang w:val="en-US" w:eastAsia="zh-CN"/>
        </w:rPr>
        <w:t>CF</w:t>
      </w:r>
      <w:r>
        <w:rPr>
          <w:rFonts w:hint="default" w:ascii="Times New Roman" w:hAnsi="Times New Roman" w:cs="Times New Roman"/>
          <w:b w:val="0"/>
          <w:bCs w:val="0"/>
          <w:sz w:val="24"/>
          <w:szCs w:val="24"/>
          <w:vertAlign w:val="subscript"/>
          <w:lang w:val="en-US" w:eastAsia="zh-CN"/>
        </w:rPr>
        <w:t>0</w:t>
      </w:r>
      <w:r>
        <w:rPr>
          <w:rFonts w:hint="default" w:ascii="Times New Roman" w:hAnsi="Times New Roman" w:cs="Times New Roman"/>
          <w:b w:val="0"/>
          <w:bCs w:val="0"/>
          <w:sz w:val="24"/>
          <w:szCs w:val="24"/>
          <w:vertAlign w:val="baseline"/>
          <w:lang w:val="en-US" w:eastAsia="zh-CN"/>
        </w:rPr>
        <w:t>+</w:t>
      </w:r>
      <m:oMath>
        <m:f>
          <m:fPr>
            <m:ctrlPr>
              <w:rPr>
                <w:rFonts w:hint="default" w:ascii="Cambria Math" w:hAnsi="Cambria Math" w:cs="Times New Roman"/>
                <w:b w:val="0"/>
                <w:bCs w:val="0"/>
                <w:sz w:val="24"/>
                <w:szCs w:val="24"/>
                <w:lang w:val="en-US" w:eastAsia="zh-CN"/>
              </w:rPr>
            </m:ctrlPr>
          </m:fPr>
          <m:num>
            <m:sSub>
              <m:sSubPr>
                <m:ctrlPr>
                  <w:rPr>
                    <w:rFonts w:hint="default" w:ascii="Cambria Math" w:hAnsi="Cambria Math" w:cs="Times New Roman"/>
                    <w:b w:val="0"/>
                    <w:bCs w:val="0"/>
                    <w:sz w:val="24"/>
                    <w:szCs w:val="24"/>
                    <w:lang w:val="en-US" w:eastAsia="zh-CN"/>
                  </w:rPr>
                </m:ctrlPr>
              </m:sSubPr>
              <m:e>
                <m:r>
                  <m:rPr>
                    <m:sty m:val="p"/>
                  </m:rPr>
                  <w:rPr>
                    <w:rFonts w:hint="default" w:ascii="Cambria Math" w:hAnsi="Cambria Math" w:cs="Times New Roman"/>
                    <w:sz w:val="24"/>
                    <w:szCs w:val="24"/>
                    <w:lang w:val="en-US" w:eastAsia="zh-CN"/>
                  </w:rPr>
                  <m:t>CF</m:t>
                </m:r>
                <m:ctrlPr>
                  <w:rPr>
                    <w:rFonts w:hint="default" w:ascii="Cambria Math" w:hAnsi="Cambria Math" w:cs="Times New Roman"/>
                    <w:b w:val="0"/>
                    <w:bCs w:val="0"/>
                    <w:sz w:val="24"/>
                    <w:szCs w:val="24"/>
                    <w:lang w:val="en-US" w:eastAsia="zh-CN"/>
                  </w:rPr>
                </m:ctrlPr>
              </m:e>
              <m:sub>
                <m:r>
                  <m:rPr>
                    <m:sty m:val="p"/>
                  </m:rPr>
                  <w:rPr>
                    <w:rFonts w:hint="default" w:ascii="Cambria Math" w:hAnsi="Cambria Math" w:cs="Times New Roman"/>
                    <w:sz w:val="24"/>
                    <w:szCs w:val="24"/>
                    <w:lang w:val="en-US" w:eastAsia="zh-CN"/>
                  </w:rPr>
                  <m:t>1</m:t>
                </m:r>
                <m:ctrlPr>
                  <w:rPr>
                    <w:rFonts w:hint="default" w:ascii="Cambria Math" w:hAnsi="Cambria Math" w:cs="Times New Roman"/>
                    <w:b w:val="0"/>
                    <w:bCs w:val="0"/>
                    <w:sz w:val="24"/>
                    <w:szCs w:val="24"/>
                    <w:lang w:val="en-US" w:eastAsia="zh-CN"/>
                  </w:rPr>
                </m:ctrlPr>
              </m:sub>
            </m:sSub>
            <m:ctrlPr>
              <w:rPr>
                <w:rFonts w:hint="default" w:ascii="Cambria Math" w:hAnsi="Cambria Math" w:cs="Times New Roman"/>
                <w:b w:val="0"/>
                <w:bCs w:val="0"/>
                <w:sz w:val="24"/>
                <w:szCs w:val="24"/>
                <w:lang w:val="en-US" w:eastAsia="zh-CN"/>
              </w:rPr>
            </m:ctrlPr>
          </m:num>
          <m:den>
            <m:r>
              <m:rPr>
                <m:sty m:val="p"/>
              </m:rPr>
              <w:rPr>
                <w:rFonts w:hint="default" w:ascii="Cambria Math" w:hAnsi="Cambria Math" w:cs="Times New Roman"/>
                <w:sz w:val="24"/>
                <w:szCs w:val="24"/>
                <w:lang w:val="en-US" w:eastAsia="zh-CN"/>
              </w:rPr>
              <m:t>1+r</m:t>
            </m:r>
            <m:ctrlPr>
              <w:rPr>
                <w:rFonts w:hint="default" w:ascii="Cambria Math" w:hAnsi="Cambria Math" w:cs="Times New Roman"/>
                <w:b w:val="0"/>
                <w:bCs w:val="0"/>
                <w:sz w:val="24"/>
                <w:szCs w:val="24"/>
                <w:lang w:val="en-US" w:eastAsia="zh-CN"/>
              </w:rPr>
            </m:ctrlPr>
          </m:den>
        </m:f>
      </m:oMath>
      <w:r>
        <w:rPr>
          <w:rFonts w:hint="default" w:ascii="Times New Roman" w:hAnsi="Times New Roman" w:cs="Times New Roman"/>
          <w:b w:val="0"/>
          <w:bCs w:val="0"/>
          <w:i w:val="0"/>
          <w:sz w:val="24"/>
          <w:szCs w:val="24"/>
          <w:lang w:val="en-US" w:eastAsia="zh-CN"/>
        </w:rPr>
        <w:t>+</w:t>
      </w:r>
      <m:oMath>
        <m:f>
          <m:fPr>
            <m:ctrlPr>
              <w:rPr>
                <w:rFonts w:hint="default" w:ascii="Cambria Math" w:hAnsi="Cambria Math" w:cs="Times New Roman"/>
                <w:b w:val="0"/>
                <w:bCs w:val="0"/>
                <w:sz w:val="24"/>
                <w:szCs w:val="24"/>
                <w:lang w:val="en-US" w:eastAsia="zh-CN"/>
              </w:rPr>
            </m:ctrlPr>
          </m:fPr>
          <m:num>
            <m:sSub>
              <m:sSubPr>
                <m:ctrlPr>
                  <w:rPr>
                    <w:rFonts w:hint="default" w:ascii="Cambria Math" w:hAnsi="Cambria Math" w:cs="Times New Roman"/>
                    <w:b w:val="0"/>
                    <w:bCs w:val="0"/>
                    <w:sz w:val="24"/>
                    <w:szCs w:val="24"/>
                    <w:lang w:val="en-US" w:eastAsia="zh-CN"/>
                  </w:rPr>
                </m:ctrlPr>
              </m:sSubPr>
              <m:e>
                <m:r>
                  <m:rPr>
                    <m:sty m:val="p"/>
                  </m:rPr>
                  <w:rPr>
                    <w:rFonts w:hint="default" w:ascii="Cambria Math" w:hAnsi="Cambria Math" w:cs="Times New Roman"/>
                    <w:sz w:val="24"/>
                    <w:szCs w:val="24"/>
                    <w:lang w:val="en-US" w:eastAsia="zh-CN"/>
                  </w:rPr>
                  <m:t>CF</m:t>
                </m:r>
                <m:ctrlPr>
                  <w:rPr>
                    <w:rFonts w:hint="default" w:ascii="Cambria Math" w:hAnsi="Cambria Math" w:cs="Times New Roman"/>
                    <w:b w:val="0"/>
                    <w:bCs w:val="0"/>
                    <w:sz w:val="24"/>
                    <w:szCs w:val="24"/>
                    <w:lang w:val="en-US" w:eastAsia="zh-CN"/>
                  </w:rPr>
                </m:ctrlPr>
              </m:e>
              <m:sub>
                <m:r>
                  <m:rPr>
                    <m:sty m:val="p"/>
                  </m:rPr>
                  <w:rPr>
                    <w:rFonts w:hint="default" w:ascii="Cambria Math" w:hAnsi="Cambria Math" w:cs="Times New Roman"/>
                    <w:sz w:val="24"/>
                    <w:szCs w:val="24"/>
                    <w:lang w:val="en-US" w:eastAsia="zh-CN"/>
                  </w:rPr>
                  <m:t>2</m:t>
                </m:r>
                <m:ctrlPr>
                  <w:rPr>
                    <w:rFonts w:hint="default" w:ascii="Cambria Math" w:hAnsi="Cambria Math" w:cs="Times New Roman"/>
                    <w:b w:val="0"/>
                    <w:bCs w:val="0"/>
                    <w:sz w:val="24"/>
                    <w:szCs w:val="24"/>
                    <w:lang w:val="en-US" w:eastAsia="zh-CN"/>
                  </w:rPr>
                </m:ctrlPr>
              </m:sub>
            </m:sSub>
            <m:ctrlPr>
              <w:rPr>
                <w:rFonts w:hint="default" w:ascii="Cambria Math" w:hAnsi="Cambria Math" w:cs="Times New Roman"/>
                <w:b w:val="0"/>
                <w:bCs w:val="0"/>
                <w:sz w:val="24"/>
                <w:szCs w:val="24"/>
                <w:lang w:val="en-US" w:eastAsia="zh-CN"/>
              </w:rPr>
            </m:ctrlPr>
          </m:num>
          <m:den>
            <m:sSup>
              <m:sSupPr>
                <m:ctrlPr>
                  <w:rPr>
                    <w:rFonts w:hint="default" w:ascii="Cambria Math" w:hAnsi="Cambria Math" w:cs="Times New Roman"/>
                    <w:b w:val="0"/>
                    <w:bCs w:val="0"/>
                    <w:sz w:val="24"/>
                    <w:szCs w:val="24"/>
                    <w:lang w:val="en-US" w:eastAsia="zh-CN"/>
                  </w:rPr>
                </m:ctrlPr>
              </m:sSupPr>
              <m:e>
                <m:r>
                  <m:rPr>
                    <m:sty m:val="p"/>
                  </m:rPr>
                  <w:rPr>
                    <w:rFonts w:hint="default" w:ascii="Cambria Math" w:hAnsi="Cambria Math" w:cs="Times New Roman"/>
                    <w:sz w:val="24"/>
                    <w:szCs w:val="24"/>
                    <w:lang w:val="en-US" w:eastAsia="zh-CN"/>
                  </w:rPr>
                  <m:t>(1+r)</m:t>
                </m:r>
                <m:ctrlPr>
                  <w:rPr>
                    <w:rFonts w:hint="default" w:ascii="Cambria Math" w:hAnsi="Cambria Math" w:cs="Times New Roman"/>
                    <w:b w:val="0"/>
                    <w:bCs w:val="0"/>
                    <w:sz w:val="24"/>
                    <w:szCs w:val="24"/>
                    <w:lang w:val="en-US" w:eastAsia="zh-CN"/>
                  </w:rPr>
                </m:ctrlPr>
              </m:e>
              <m:sup>
                <m:r>
                  <m:rPr>
                    <m:sty m:val="p"/>
                  </m:rPr>
                  <w:rPr>
                    <w:rFonts w:hint="default" w:ascii="Cambria Math" w:hAnsi="Cambria Math" w:cs="Times New Roman"/>
                    <w:sz w:val="24"/>
                    <w:szCs w:val="24"/>
                    <w:lang w:val="en-US" w:eastAsia="zh-CN"/>
                  </w:rPr>
                  <m:t>2</m:t>
                </m:r>
                <m:ctrlPr>
                  <w:rPr>
                    <w:rFonts w:hint="default" w:ascii="Cambria Math" w:hAnsi="Cambria Math" w:cs="Times New Roman"/>
                    <w:b w:val="0"/>
                    <w:bCs w:val="0"/>
                    <w:sz w:val="24"/>
                    <w:szCs w:val="24"/>
                    <w:lang w:val="en-US" w:eastAsia="zh-CN"/>
                  </w:rPr>
                </m:ctrlPr>
              </m:sup>
            </m:sSup>
            <m:ctrlPr>
              <w:rPr>
                <w:rFonts w:hint="default" w:ascii="Cambria Math" w:hAnsi="Cambria Math" w:cs="Times New Roman"/>
                <w:b w:val="0"/>
                <w:bCs w:val="0"/>
                <w:sz w:val="24"/>
                <w:szCs w:val="24"/>
                <w:lang w:val="en-US" w:eastAsia="zh-CN"/>
              </w:rPr>
            </m:ctrlPr>
          </m:den>
        </m:f>
      </m:oMath>
      <w:r>
        <w:rPr>
          <w:rFonts w:hint="default" w:ascii="Times New Roman" w:hAnsi="Times New Roman" w:cs="Times New Roman"/>
          <w:b w:val="0"/>
          <w:bCs w:val="0"/>
          <w:i w:val="0"/>
          <w:sz w:val="24"/>
          <w:szCs w:val="24"/>
          <w:lang w:val="en-US" w:eastAsia="zh-CN"/>
        </w:rPr>
        <w:t>+</w:t>
      </w:r>
      <m:oMath>
        <m:f>
          <m:fPr>
            <m:ctrlPr>
              <w:rPr>
                <w:rFonts w:hint="default" w:ascii="Cambria Math" w:hAnsi="Cambria Math" w:cs="Times New Roman"/>
                <w:b w:val="0"/>
                <w:bCs w:val="0"/>
                <w:sz w:val="24"/>
                <w:szCs w:val="24"/>
                <w:lang w:val="en-US" w:eastAsia="zh-CN"/>
              </w:rPr>
            </m:ctrlPr>
          </m:fPr>
          <m:num>
            <m:sSub>
              <m:sSubPr>
                <m:ctrlPr>
                  <w:rPr>
                    <w:rFonts w:hint="default" w:ascii="Cambria Math" w:hAnsi="Cambria Math" w:cs="Times New Roman"/>
                    <w:b w:val="0"/>
                    <w:bCs w:val="0"/>
                    <w:sz w:val="24"/>
                    <w:szCs w:val="24"/>
                    <w:lang w:val="en-US" w:eastAsia="zh-CN"/>
                  </w:rPr>
                </m:ctrlPr>
              </m:sSubPr>
              <m:e>
                <m:r>
                  <m:rPr>
                    <m:sty m:val="p"/>
                  </m:rPr>
                  <w:rPr>
                    <w:rFonts w:hint="default" w:ascii="Cambria Math" w:hAnsi="Cambria Math" w:cs="Times New Roman"/>
                    <w:sz w:val="24"/>
                    <w:szCs w:val="24"/>
                    <w:lang w:val="en-US" w:eastAsia="zh-CN"/>
                  </w:rPr>
                  <m:t>CF</m:t>
                </m:r>
                <m:ctrlPr>
                  <w:rPr>
                    <w:rFonts w:hint="default" w:ascii="Cambria Math" w:hAnsi="Cambria Math" w:cs="Times New Roman"/>
                    <w:b w:val="0"/>
                    <w:bCs w:val="0"/>
                    <w:sz w:val="24"/>
                    <w:szCs w:val="24"/>
                    <w:lang w:val="en-US" w:eastAsia="zh-CN"/>
                  </w:rPr>
                </m:ctrlPr>
              </m:e>
              <m:sub>
                <m:r>
                  <m:rPr>
                    <m:sty m:val="p"/>
                  </m:rPr>
                  <w:rPr>
                    <w:rFonts w:hint="default" w:ascii="Cambria Math" w:hAnsi="Cambria Math" w:cs="Times New Roman"/>
                    <w:sz w:val="24"/>
                    <w:szCs w:val="24"/>
                    <w:lang w:val="en-US" w:eastAsia="zh-CN"/>
                  </w:rPr>
                  <m:t>3</m:t>
                </m:r>
                <m:ctrlPr>
                  <w:rPr>
                    <w:rFonts w:hint="default" w:ascii="Cambria Math" w:hAnsi="Cambria Math" w:cs="Times New Roman"/>
                    <w:b w:val="0"/>
                    <w:bCs w:val="0"/>
                    <w:sz w:val="24"/>
                    <w:szCs w:val="24"/>
                    <w:lang w:val="en-US" w:eastAsia="zh-CN"/>
                  </w:rPr>
                </m:ctrlPr>
              </m:sub>
            </m:sSub>
            <m:ctrlPr>
              <w:rPr>
                <w:rFonts w:hint="default" w:ascii="Cambria Math" w:hAnsi="Cambria Math" w:cs="Times New Roman"/>
                <w:b w:val="0"/>
                <w:bCs w:val="0"/>
                <w:sz w:val="24"/>
                <w:szCs w:val="24"/>
                <w:lang w:val="en-US" w:eastAsia="zh-CN"/>
              </w:rPr>
            </m:ctrlPr>
          </m:num>
          <m:den>
            <m:sSup>
              <m:sSupPr>
                <m:ctrlPr>
                  <w:rPr>
                    <w:rFonts w:hint="default" w:ascii="Cambria Math" w:hAnsi="Cambria Math" w:cs="Times New Roman"/>
                    <w:b w:val="0"/>
                    <w:bCs w:val="0"/>
                    <w:sz w:val="24"/>
                    <w:szCs w:val="24"/>
                    <w:lang w:val="en-US" w:eastAsia="zh-CN"/>
                  </w:rPr>
                </m:ctrlPr>
              </m:sSupPr>
              <m:e>
                <m:r>
                  <m:rPr>
                    <m:sty m:val="p"/>
                  </m:rPr>
                  <w:rPr>
                    <w:rFonts w:hint="default" w:ascii="Cambria Math" w:hAnsi="Cambria Math" w:cs="Times New Roman"/>
                    <w:sz w:val="24"/>
                    <w:szCs w:val="24"/>
                    <w:lang w:val="en-US" w:eastAsia="zh-CN"/>
                  </w:rPr>
                  <m:t>(1+r)</m:t>
                </m:r>
                <m:ctrlPr>
                  <w:rPr>
                    <w:rFonts w:hint="default" w:ascii="Cambria Math" w:hAnsi="Cambria Math" w:cs="Times New Roman"/>
                    <w:b w:val="0"/>
                    <w:bCs w:val="0"/>
                    <w:sz w:val="24"/>
                    <w:szCs w:val="24"/>
                    <w:lang w:val="en-US" w:eastAsia="zh-CN"/>
                  </w:rPr>
                </m:ctrlPr>
              </m:e>
              <m:sup>
                <m:r>
                  <m:rPr>
                    <m:sty m:val="p"/>
                  </m:rPr>
                  <w:rPr>
                    <w:rFonts w:hint="default" w:ascii="Cambria Math" w:hAnsi="Cambria Math" w:cs="Times New Roman"/>
                    <w:sz w:val="24"/>
                    <w:szCs w:val="24"/>
                    <w:lang w:val="en-US" w:eastAsia="zh-CN"/>
                  </w:rPr>
                  <m:t>3</m:t>
                </m:r>
                <m:ctrlPr>
                  <w:rPr>
                    <w:rFonts w:hint="default" w:ascii="Cambria Math" w:hAnsi="Cambria Math" w:cs="Times New Roman"/>
                    <w:b w:val="0"/>
                    <w:bCs w:val="0"/>
                    <w:sz w:val="24"/>
                    <w:szCs w:val="24"/>
                    <w:lang w:val="en-US" w:eastAsia="zh-CN"/>
                  </w:rPr>
                </m:ctrlPr>
              </m:sup>
            </m:sSup>
            <m:ctrlPr>
              <w:rPr>
                <w:rFonts w:hint="default" w:ascii="Cambria Math" w:hAnsi="Cambria Math" w:cs="Times New Roman"/>
                <w:b w:val="0"/>
                <w:bCs w:val="0"/>
                <w:sz w:val="24"/>
                <w:szCs w:val="24"/>
                <w:lang w:val="en-US" w:eastAsia="zh-CN"/>
              </w:rPr>
            </m:ctrlPr>
          </m:den>
        </m:f>
      </m:oMath>
      <w:r>
        <w:rPr>
          <w:rFonts w:hint="default" w:ascii="Times New Roman" w:hAnsi="Times New Roman" w:cs="Times New Roman"/>
          <w:b w:val="0"/>
          <w:bCs w:val="0"/>
          <w:i w:val="0"/>
          <w:sz w:val="24"/>
          <w:szCs w:val="24"/>
          <w:lang w:val="en-US" w:eastAsia="zh-CN"/>
        </w:rPr>
        <w:t xml:space="preserve"> ... +</w:t>
      </w:r>
      <m:oMath>
        <m:f>
          <m:fPr>
            <m:ctrlPr>
              <w:rPr>
                <w:rFonts w:hint="default" w:ascii="Cambria Math" w:hAnsi="Cambria Math" w:cs="Times New Roman"/>
                <w:b w:val="0"/>
                <w:bCs w:val="0"/>
                <w:sz w:val="24"/>
                <w:szCs w:val="24"/>
                <w:lang w:val="en-US" w:eastAsia="zh-CN"/>
              </w:rPr>
            </m:ctrlPr>
          </m:fPr>
          <m:num>
            <m:sSub>
              <m:sSubPr>
                <m:ctrlPr>
                  <w:rPr>
                    <w:rFonts w:hint="default" w:ascii="Cambria Math" w:hAnsi="Cambria Math" w:cs="Times New Roman"/>
                    <w:b w:val="0"/>
                    <w:bCs w:val="0"/>
                    <w:sz w:val="24"/>
                    <w:szCs w:val="24"/>
                    <w:lang w:val="en-US" w:eastAsia="zh-CN"/>
                  </w:rPr>
                </m:ctrlPr>
              </m:sSubPr>
              <m:e>
                <m:r>
                  <m:rPr>
                    <m:sty m:val="p"/>
                  </m:rPr>
                  <w:rPr>
                    <w:rFonts w:hint="default" w:ascii="Cambria Math" w:hAnsi="Cambria Math" w:cs="Times New Roman"/>
                    <w:sz w:val="24"/>
                    <w:szCs w:val="24"/>
                    <w:lang w:val="en-US" w:eastAsia="zh-CN"/>
                  </w:rPr>
                  <m:t>CF</m:t>
                </m:r>
                <m:ctrlPr>
                  <w:rPr>
                    <w:rFonts w:hint="default" w:ascii="Cambria Math" w:hAnsi="Cambria Math" w:cs="Times New Roman"/>
                    <w:b w:val="0"/>
                    <w:bCs w:val="0"/>
                    <w:sz w:val="24"/>
                    <w:szCs w:val="24"/>
                    <w:lang w:val="en-US" w:eastAsia="zh-CN"/>
                  </w:rPr>
                </m:ctrlPr>
              </m:e>
              <m:sub>
                <m:r>
                  <m:rPr>
                    <m:sty m:val="p"/>
                  </m:rPr>
                  <w:rPr>
                    <w:rFonts w:hint="default" w:ascii="Cambria Math" w:hAnsi="Cambria Math" w:cs="Times New Roman"/>
                    <w:sz w:val="24"/>
                    <w:szCs w:val="24"/>
                    <w:lang w:val="en-US" w:eastAsia="zh-CN"/>
                  </w:rPr>
                  <m:t>n</m:t>
                </m:r>
                <m:ctrlPr>
                  <w:rPr>
                    <w:rFonts w:hint="default" w:ascii="Cambria Math" w:hAnsi="Cambria Math" w:cs="Times New Roman"/>
                    <w:b w:val="0"/>
                    <w:bCs w:val="0"/>
                    <w:sz w:val="24"/>
                    <w:szCs w:val="24"/>
                    <w:lang w:val="en-US" w:eastAsia="zh-CN"/>
                  </w:rPr>
                </m:ctrlPr>
              </m:sub>
            </m:sSub>
            <m:ctrlPr>
              <w:rPr>
                <w:rFonts w:hint="default" w:ascii="Cambria Math" w:hAnsi="Cambria Math" w:cs="Times New Roman"/>
                <w:b w:val="0"/>
                <w:bCs w:val="0"/>
                <w:sz w:val="24"/>
                <w:szCs w:val="24"/>
                <w:lang w:val="en-US" w:eastAsia="zh-CN"/>
              </w:rPr>
            </m:ctrlPr>
          </m:num>
          <m:den>
            <m:sSup>
              <m:sSupPr>
                <m:ctrlPr>
                  <w:rPr>
                    <w:rFonts w:hint="default" w:ascii="Cambria Math" w:hAnsi="Cambria Math" w:cs="Times New Roman"/>
                    <w:b w:val="0"/>
                    <w:bCs w:val="0"/>
                    <w:sz w:val="24"/>
                    <w:szCs w:val="24"/>
                    <w:lang w:val="en-US" w:eastAsia="zh-CN"/>
                  </w:rPr>
                </m:ctrlPr>
              </m:sSupPr>
              <m:e>
                <m:r>
                  <m:rPr>
                    <m:sty m:val="p"/>
                  </m:rPr>
                  <w:rPr>
                    <w:rFonts w:hint="default" w:ascii="Cambria Math" w:hAnsi="Cambria Math" w:cs="Times New Roman"/>
                    <w:sz w:val="24"/>
                    <w:szCs w:val="24"/>
                    <w:lang w:val="en-US" w:eastAsia="zh-CN"/>
                  </w:rPr>
                  <m:t>(1+r)</m:t>
                </m:r>
                <m:ctrlPr>
                  <w:rPr>
                    <w:rFonts w:hint="default" w:ascii="Cambria Math" w:hAnsi="Cambria Math" w:cs="Times New Roman"/>
                    <w:b w:val="0"/>
                    <w:bCs w:val="0"/>
                    <w:sz w:val="24"/>
                    <w:szCs w:val="24"/>
                    <w:lang w:val="en-US" w:eastAsia="zh-CN"/>
                  </w:rPr>
                </m:ctrlPr>
              </m:e>
              <m:sup>
                <m:r>
                  <m:rPr>
                    <m:sty m:val="p"/>
                  </m:rPr>
                  <w:rPr>
                    <w:rFonts w:hint="default" w:ascii="Cambria Math" w:hAnsi="Cambria Math" w:cs="Times New Roman"/>
                    <w:sz w:val="24"/>
                    <w:szCs w:val="24"/>
                    <w:lang w:val="en-US" w:eastAsia="zh-CN"/>
                  </w:rPr>
                  <m:t>n</m:t>
                </m:r>
                <m:ctrlPr>
                  <w:rPr>
                    <w:rFonts w:hint="default" w:ascii="Cambria Math" w:hAnsi="Cambria Math" w:cs="Times New Roman"/>
                    <w:b w:val="0"/>
                    <w:bCs w:val="0"/>
                    <w:sz w:val="24"/>
                    <w:szCs w:val="24"/>
                    <w:lang w:val="en-US" w:eastAsia="zh-CN"/>
                  </w:rPr>
                </m:ctrlPr>
              </m:sup>
            </m:sSup>
            <m:ctrlPr>
              <w:rPr>
                <w:rFonts w:hint="default" w:ascii="Cambria Math" w:hAnsi="Cambria Math" w:cs="Times New Roman"/>
                <w:b w:val="0"/>
                <w:bCs w:val="0"/>
                <w:sz w:val="24"/>
                <w:szCs w:val="24"/>
                <w:lang w:val="en-US" w:eastAsia="zh-CN"/>
              </w:rPr>
            </m:ctrlPr>
          </m:den>
        </m:f>
      </m:oMath>
      <w:r>
        <w:rPr>
          <w:rFonts w:hint="default" w:ascii="Times New Roman" w:hAnsi="Times New Roman" w:cs="Times New Roman"/>
          <w:b w:val="0"/>
          <w:bCs w:val="0"/>
          <w:i w:val="0"/>
          <w:sz w:val="24"/>
          <w:szCs w:val="24"/>
          <w:lang w:val="en-US" w:eastAsia="zh-CN"/>
        </w:rPr>
        <w:t>=0</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b/>
          <w:bCs/>
          <w:sz w:val="24"/>
          <w:szCs w:val="24"/>
          <w:lang w:val="en-US" w:eastAsia="zh-CN"/>
        </w:rPr>
      </w:pPr>
      <w:r>
        <w:rPr>
          <w:rFonts w:hint="default" w:ascii="Times New Roman" w:hAnsi="Times New Roman" w:cs="Times New Roman"/>
          <w:b w:val="0"/>
          <w:bCs w:val="0"/>
          <w:sz w:val="24"/>
          <w:szCs w:val="24"/>
          <w:lang w:val="en-US" w:eastAsia="zh-CN"/>
        </w:rPr>
        <w:t>-100,000+</w:t>
      </w:r>
      <m:oMath>
        <m:f>
          <m:fPr>
            <m:ctrlPr>
              <w:rPr>
                <w:rFonts w:hint="default" w:ascii="Cambria Math" w:hAnsi="Cambria Math" w:cs="Times New Roman"/>
                <w:b w:val="0"/>
                <w:bCs w:val="0"/>
                <w:sz w:val="24"/>
                <w:szCs w:val="24"/>
                <w:lang w:val="en-US" w:eastAsia="zh-CN"/>
              </w:rPr>
            </m:ctrlPr>
          </m:fPr>
          <m:num>
            <m:r>
              <m:rPr>
                <m:sty m:val="p"/>
              </m:rPr>
              <w:rPr>
                <w:rFonts w:hint="default" w:ascii="Cambria Math" w:hAnsi="Cambria Math" w:cs="Times New Roman"/>
                <w:sz w:val="24"/>
                <w:szCs w:val="24"/>
                <w:lang w:val="en-US" w:eastAsia="zh-CN"/>
              </w:rPr>
              <m:t>25,000</m:t>
            </m:r>
            <m:ctrlPr>
              <w:rPr>
                <w:rFonts w:hint="default" w:ascii="Cambria Math" w:hAnsi="Cambria Math" w:cs="Times New Roman"/>
                <w:b w:val="0"/>
                <w:bCs w:val="0"/>
                <w:sz w:val="24"/>
                <w:szCs w:val="24"/>
                <w:lang w:val="en-US" w:eastAsia="zh-CN"/>
              </w:rPr>
            </m:ctrlPr>
          </m:num>
          <m:den>
            <m:r>
              <m:rPr>
                <m:sty m:val="p"/>
              </m:rPr>
              <w:rPr>
                <w:rFonts w:hint="default" w:ascii="Cambria Math" w:hAnsi="Cambria Math" w:cs="Times New Roman"/>
                <w:sz w:val="24"/>
                <w:szCs w:val="24"/>
                <w:lang w:val="en-US" w:eastAsia="zh-CN"/>
              </w:rPr>
              <m:t>1+r</m:t>
            </m:r>
            <m:ctrlPr>
              <w:rPr>
                <w:rFonts w:hint="default" w:ascii="Cambria Math" w:hAnsi="Cambria Math" w:cs="Times New Roman"/>
                <w:b w:val="0"/>
                <w:bCs w:val="0"/>
                <w:sz w:val="24"/>
                <w:szCs w:val="24"/>
                <w:lang w:val="en-US" w:eastAsia="zh-CN"/>
              </w:rPr>
            </m:ctrlPr>
          </m:den>
        </m:f>
      </m:oMath>
      <w:r>
        <w:rPr>
          <w:rFonts w:hint="default" w:ascii="Times New Roman" w:hAnsi="Times New Roman" w:cs="Times New Roman"/>
          <w:b w:val="0"/>
          <w:bCs w:val="0"/>
          <w:i w:val="0"/>
          <w:sz w:val="24"/>
          <w:szCs w:val="24"/>
          <w:lang w:val="en-US" w:eastAsia="zh-CN"/>
        </w:rPr>
        <w:t>+</w:t>
      </w:r>
      <m:oMath>
        <m:f>
          <m:fPr>
            <m:ctrlPr>
              <w:rPr>
                <w:rFonts w:hint="default" w:ascii="Cambria Math" w:hAnsi="Cambria Math" w:cs="Times New Roman"/>
                <w:b w:val="0"/>
                <w:bCs w:val="0"/>
                <w:sz w:val="24"/>
                <w:szCs w:val="24"/>
                <w:lang w:val="en-US" w:eastAsia="zh-CN"/>
              </w:rPr>
            </m:ctrlPr>
          </m:fPr>
          <m:num>
            <m:r>
              <m:rPr>
                <m:sty m:val="p"/>
              </m:rPr>
              <w:rPr>
                <w:rFonts w:hint="default" w:ascii="Cambria Math" w:hAnsi="Cambria Math" w:cs="Times New Roman"/>
                <w:sz w:val="24"/>
                <w:szCs w:val="24"/>
                <w:lang w:val="en-US" w:eastAsia="zh-CN"/>
              </w:rPr>
              <m:t>40,000</m:t>
            </m:r>
            <m:ctrlPr>
              <w:rPr>
                <w:rFonts w:hint="default" w:ascii="Cambria Math" w:hAnsi="Cambria Math" w:cs="Times New Roman"/>
                <w:b w:val="0"/>
                <w:bCs w:val="0"/>
                <w:sz w:val="24"/>
                <w:szCs w:val="24"/>
                <w:lang w:val="en-US" w:eastAsia="zh-CN"/>
              </w:rPr>
            </m:ctrlPr>
          </m:num>
          <m:den>
            <m:sSup>
              <m:sSupPr>
                <m:ctrlPr>
                  <w:rPr>
                    <w:rFonts w:hint="default" w:ascii="Cambria Math" w:hAnsi="Cambria Math" w:cs="Times New Roman"/>
                    <w:b w:val="0"/>
                    <w:bCs w:val="0"/>
                    <w:sz w:val="24"/>
                    <w:szCs w:val="24"/>
                    <w:lang w:val="en-US" w:eastAsia="zh-CN"/>
                  </w:rPr>
                </m:ctrlPr>
              </m:sSupPr>
              <m:e>
                <m:r>
                  <m:rPr>
                    <m:sty m:val="p"/>
                  </m:rPr>
                  <w:rPr>
                    <w:rFonts w:hint="default" w:ascii="Cambria Math" w:hAnsi="Cambria Math" w:cs="Times New Roman"/>
                    <w:sz w:val="24"/>
                    <w:szCs w:val="24"/>
                    <w:lang w:val="en-US" w:eastAsia="zh-CN"/>
                  </w:rPr>
                  <m:t>(1+r)</m:t>
                </m:r>
                <m:ctrlPr>
                  <w:rPr>
                    <w:rFonts w:hint="default" w:ascii="Cambria Math" w:hAnsi="Cambria Math" w:cs="Times New Roman"/>
                    <w:b w:val="0"/>
                    <w:bCs w:val="0"/>
                    <w:sz w:val="24"/>
                    <w:szCs w:val="24"/>
                    <w:lang w:val="en-US" w:eastAsia="zh-CN"/>
                  </w:rPr>
                </m:ctrlPr>
              </m:e>
              <m:sup>
                <m:r>
                  <m:rPr>
                    <m:sty m:val="p"/>
                  </m:rPr>
                  <w:rPr>
                    <w:rFonts w:hint="default" w:ascii="Cambria Math" w:hAnsi="Cambria Math" w:cs="Times New Roman"/>
                    <w:sz w:val="24"/>
                    <w:szCs w:val="24"/>
                    <w:lang w:val="en-US" w:eastAsia="zh-CN"/>
                  </w:rPr>
                  <m:t>2</m:t>
                </m:r>
                <m:ctrlPr>
                  <w:rPr>
                    <w:rFonts w:hint="default" w:ascii="Cambria Math" w:hAnsi="Cambria Math" w:cs="Times New Roman"/>
                    <w:b w:val="0"/>
                    <w:bCs w:val="0"/>
                    <w:sz w:val="24"/>
                    <w:szCs w:val="24"/>
                    <w:lang w:val="en-US" w:eastAsia="zh-CN"/>
                  </w:rPr>
                </m:ctrlPr>
              </m:sup>
            </m:sSup>
            <m:ctrlPr>
              <w:rPr>
                <w:rFonts w:hint="default" w:ascii="Cambria Math" w:hAnsi="Cambria Math" w:cs="Times New Roman"/>
                <w:b w:val="0"/>
                <w:bCs w:val="0"/>
                <w:sz w:val="24"/>
                <w:szCs w:val="24"/>
                <w:lang w:val="en-US" w:eastAsia="zh-CN"/>
              </w:rPr>
            </m:ctrlPr>
          </m:den>
        </m:f>
      </m:oMath>
      <w:r>
        <w:rPr>
          <w:rFonts w:hint="default" w:ascii="Times New Roman" w:hAnsi="Times New Roman" w:cs="Times New Roman"/>
          <w:b w:val="0"/>
          <w:bCs w:val="0"/>
          <w:i w:val="0"/>
          <w:sz w:val="24"/>
          <w:szCs w:val="24"/>
          <w:lang w:val="en-US" w:eastAsia="zh-CN"/>
        </w:rPr>
        <w:t>+</w:t>
      </w:r>
      <m:oMath>
        <m:f>
          <m:fPr>
            <m:ctrlPr>
              <w:rPr>
                <w:rFonts w:hint="default" w:ascii="Cambria Math" w:hAnsi="Cambria Math" w:cs="Times New Roman"/>
                <w:b w:val="0"/>
                <w:bCs w:val="0"/>
                <w:sz w:val="24"/>
                <w:szCs w:val="24"/>
                <w:lang w:val="en-US" w:eastAsia="zh-CN"/>
              </w:rPr>
            </m:ctrlPr>
          </m:fPr>
          <m:num>
            <m:r>
              <m:rPr>
                <m:sty m:val="p"/>
              </m:rPr>
              <w:rPr>
                <w:rFonts w:hint="default" w:ascii="Cambria Math" w:hAnsi="Cambria Math" w:cs="Times New Roman"/>
                <w:sz w:val="24"/>
                <w:szCs w:val="24"/>
                <w:lang w:val="en-US" w:eastAsia="zh-CN"/>
              </w:rPr>
              <m:t>35,000</m:t>
            </m:r>
            <m:ctrlPr>
              <w:rPr>
                <w:rFonts w:hint="default" w:ascii="Cambria Math" w:hAnsi="Cambria Math" w:cs="Times New Roman"/>
                <w:b w:val="0"/>
                <w:bCs w:val="0"/>
                <w:sz w:val="24"/>
                <w:szCs w:val="24"/>
                <w:lang w:val="en-US" w:eastAsia="zh-CN"/>
              </w:rPr>
            </m:ctrlPr>
          </m:num>
          <m:den>
            <m:sSup>
              <m:sSupPr>
                <m:ctrlPr>
                  <w:rPr>
                    <w:rFonts w:hint="default" w:ascii="Cambria Math" w:hAnsi="Cambria Math" w:cs="Times New Roman"/>
                    <w:b w:val="0"/>
                    <w:bCs w:val="0"/>
                    <w:sz w:val="24"/>
                    <w:szCs w:val="24"/>
                    <w:lang w:val="en-US" w:eastAsia="zh-CN"/>
                  </w:rPr>
                </m:ctrlPr>
              </m:sSupPr>
              <m:e>
                <m:r>
                  <m:rPr>
                    <m:sty m:val="p"/>
                  </m:rPr>
                  <w:rPr>
                    <w:rFonts w:hint="default" w:ascii="Cambria Math" w:hAnsi="Cambria Math" w:cs="Times New Roman"/>
                    <w:sz w:val="24"/>
                    <w:szCs w:val="24"/>
                    <w:lang w:val="en-US" w:eastAsia="zh-CN"/>
                  </w:rPr>
                  <m:t>(1+r)</m:t>
                </m:r>
                <m:ctrlPr>
                  <w:rPr>
                    <w:rFonts w:hint="default" w:ascii="Cambria Math" w:hAnsi="Cambria Math" w:cs="Times New Roman"/>
                    <w:b w:val="0"/>
                    <w:bCs w:val="0"/>
                    <w:sz w:val="24"/>
                    <w:szCs w:val="24"/>
                    <w:lang w:val="en-US" w:eastAsia="zh-CN"/>
                  </w:rPr>
                </m:ctrlPr>
              </m:e>
              <m:sup>
                <m:r>
                  <m:rPr>
                    <m:sty m:val="p"/>
                  </m:rPr>
                  <w:rPr>
                    <w:rFonts w:hint="default" w:ascii="Cambria Math" w:hAnsi="Cambria Math" w:cs="Times New Roman"/>
                    <w:sz w:val="24"/>
                    <w:szCs w:val="24"/>
                    <w:lang w:val="en-US" w:eastAsia="zh-CN"/>
                  </w:rPr>
                  <m:t>3</m:t>
                </m:r>
                <m:ctrlPr>
                  <w:rPr>
                    <w:rFonts w:hint="default" w:ascii="Cambria Math" w:hAnsi="Cambria Math" w:cs="Times New Roman"/>
                    <w:b w:val="0"/>
                    <w:bCs w:val="0"/>
                    <w:sz w:val="24"/>
                    <w:szCs w:val="24"/>
                    <w:lang w:val="en-US" w:eastAsia="zh-CN"/>
                  </w:rPr>
                </m:ctrlPr>
              </m:sup>
            </m:sSup>
            <m:ctrlPr>
              <w:rPr>
                <w:rFonts w:hint="default" w:ascii="Cambria Math" w:hAnsi="Cambria Math" w:cs="Times New Roman"/>
                <w:b w:val="0"/>
                <w:bCs w:val="0"/>
                <w:sz w:val="24"/>
                <w:szCs w:val="24"/>
                <w:lang w:val="en-US" w:eastAsia="zh-CN"/>
              </w:rPr>
            </m:ctrlPr>
          </m:den>
        </m:f>
      </m:oMath>
      <w:r>
        <w:rPr>
          <w:rFonts w:hint="default" w:ascii="Times New Roman" w:hAnsi="Times New Roman" w:cs="Times New Roman"/>
          <w:b w:val="0"/>
          <w:bCs w:val="0"/>
          <w:i w:val="0"/>
          <w:sz w:val="24"/>
          <w:szCs w:val="24"/>
          <w:lang w:val="en-US" w:eastAsia="zh-CN"/>
        </w:rPr>
        <w:t>+</w:t>
      </w:r>
      <m:oMath>
        <m:f>
          <m:fPr>
            <m:ctrlPr>
              <w:rPr>
                <w:rFonts w:hint="default" w:ascii="Cambria Math" w:hAnsi="Cambria Math" w:cs="Times New Roman"/>
                <w:b w:val="0"/>
                <w:bCs w:val="0"/>
                <w:sz w:val="24"/>
                <w:szCs w:val="24"/>
                <w:lang w:val="en-US" w:eastAsia="zh-CN"/>
              </w:rPr>
            </m:ctrlPr>
          </m:fPr>
          <m:num>
            <m:r>
              <m:rPr>
                <m:sty m:val="p"/>
              </m:rPr>
              <w:rPr>
                <w:rFonts w:hint="default" w:ascii="Cambria Math" w:hAnsi="Cambria Math" w:cs="Times New Roman"/>
                <w:sz w:val="24"/>
                <w:szCs w:val="24"/>
                <w:lang w:val="en-US" w:eastAsia="zh-CN"/>
              </w:rPr>
              <m:t>75,000</m:t>
            </m:r>
            <m:ctrlPr>
              <w:rPr>
                <w:rFonts w:hint="default" w:ascii="Cambria Math" w:hAnsi="Cambria Math" w:cs="Times New Roman"/>
                <w:b w:val="0"/>
                <w:bCs w:val="0"/>
                <w:sz w:val="24"/>
                <w:szCs w:val="24"/>
                <w:lang w:val="en-US" w:eastAsia="zh-CN"/>
              </w:rPr>
            </m:ctrlPr>
          </m:num>
          <m:den>
            <m:sSup>
              <m:sSupPr>
                <m:ctrlPr>
                  <w:rPr>
                    <w:rFonts w:hint="default" w:ascii="Cambria Math" w:hAnsi="Cambria Math" w:cs="Times New Roman"/>
                    <w:b w:val="0"/>
                    <w:bCs w:val="0"/>
                    <w:sz w:val="24"/>
                    <w:szCs w:val="24"/>
                    <w:lang w:val="en-US" w:eastAsia="zh-CN"/>
                  </w:rPr>
                </m:ctrlPr>
              </m:sSupPr>
              <m:e>
                <m:r>
                  <m:rPr>
                    <m:sty m:val="p"/>
                  </m:rPr>
                  <w:rPr>
                    <w:rFonts w:hint="default" w:ascii="Cambria Math" w:hAnsi="Cambria Math" w:cs="Times New Roman"/>
                    <w:sz w:val="24"/>
                    <w:szCs w:val="24"/>
                    <w:lang w:val="en-US" w:eastAsia="zh-CN"/>
                  </w:rPr>
                  <m:t>(1+r)</m:t>
                </m:r>
                <m:ctrlPr>
                  <w:rPr>
                    <w:rFonts w:hint="default" w:ascii="Cambria Math" w:hAnsi="Cambria Math" w:cs="Times New Roman"/>
                    <w:b w:val="0"/>
                    <w:bCs w:val="0"/>
                    <w:sz w:val="24"/>
                    <w:szCs w:val="24"/>
                    <w:lang w:val="en-US" w:eastAsia="zh-CN"/>
                  </w:rPr>
                </m:ctrlPr>
              </m:e>
              <m:sup>
                <m:r>
                  <m:rPr>
                    <m:sty m:val="p"/>
                  </m:rPr>
                  <w:rPr>
                    <w:rFonts w:hint="default" w:ascii="Cambria Math" w:hAnsi="Cambria Math" w:cs="Times New Roman"/>
                    <w:sz w:val="24"/>
                    <w:szCs w:val="24"/>
                    <w:lang w:val="en-US" w:eastAsia="zh-CN"/>
                  </w:rPr>
                  <m:t>4</m:t>
                </m:r>
                <m:ctrlPr>
                  <w:rPr>
                    <w:rFonts w:hint="default" w:ascii="Cambria Math" w:hAnsi="Cambria Math" w:cs="Times New Roman"/>
                    <w:b w:val="0"/>
                    <w:bCs w:val="0"/>
                    <w:sz w:val="24"/>
                    <w:szCs w:val="24"/>
                    <w:lang w:val="en-US" w:eastAsia="zh-CN"/>
                  </w:rPr>
                </m:ctrlPr>
              </m:sup>
            </m:sSup>
            <m:ctrlPr>
              <w:rPr>
                <w:rFonts w:hint="default" w:ascii="Cambria Math" w:hAnsi="Cambria Math" w:cs="Times New Roman"/>
                <w:b w:val="0"/>
                <w:bCs w:val="0"/>
                <w:sz w:val="24"/>
                <w:szCs w:val="24"/>
                <w:lang w:val="en-US" w:eastAsia="zh-CN"/>
              </w:rPr>
            </m:ctrlPr>
          </m:den>
        </m:f>
      </m:oMath>
      <w:r>
        <w:rPr>
          <w:rFonts w:hint="default" w:ascii="Times New Roman" w:hAnsi="Times New Roman" w:cs="Times New Roman"/>
          <w:b w:val="0"/>
          <w:bCs w:val="0"/>
          <w:i w:val="0"/>
          <w:sz w:val="24"/>
          <w:szCs w:val="24"/>
          <w:lang w:val="en-US" w:eastAsia="zh-CN"/>
        </w:rPr>
        <w:t>+</w:t>
      </w:r>
      <m:oMath>
        <m:f>
          <m:fPr>
            <m:ctrlPr>
              <w:rPr>
                <w:rFonts w:hint="default" w:ascii="Cambria Math" w:hAnsi="Cambria Math" w:cs="Times New Roman"/>
                <w:b w:val="0"/>
                <w:bCs w:val="0"/>
                <w:sz w:val="24"/>
                <w:szCs w:val="24"/>
                <w:lang w:val="en-US" w:eastAsia="zh-CN"/>
              </w:rPr>
            </m:ctrlPr>
          </m:fPr>
          <m:num>
            <m:r>
              <m:rPr>
                <m:sty m:val="p"/>
              </m:rPr>
              <w:rPr>
                <w:rFonts w:hint="default" w:ascii="Cambria Math" w:hAnsi="Cambria Math" w:cs="Times New Roman"/>
                <w:sz w:val="24"/>
                <w:szCs w:val="24"/>
                <w:lang w:val="en-US" w:eastAsia="zh-CN"/>
              </w:rPr>
              <m:t>25,000+25,000</m:t>
            </m:r>
            <m:ctrlPr>
              <w:rPr>
                <w:rFonts w:hint="default" w:ascii="Cambria Math" w:hAnsi="Cambria Math" w:cs="Times New Roman"/>
                <w:b w:val="0"/>
                <w:bCs w:val="0"/>
                <w:sz w:val="24"/>
                <w:szCs w:val="24"/>
                <w:lang w:val="en-US" w:eastAsia="zh-CN"/>
              </w:rPr>
            </m:ctrlPr>
          </m:num>
          <m:den>
            <m:sSup>
              <m:sSupPr>
                <m:ctrlPr>
                  <w:rPr>
                    <w:rFonts w:hint="default" w:ascii="Cambria Math" w:hAnsi="Cambria Math" w:cs="Times New Roman"/>
                    <w:b w:val="0"/>
                    <w:bCs w:val="0"/>
                    <w:sz w:val="24"/>
                    <w:szCs w:val="24"/>
                    <w:lang w:val="en-US" w:eastAsia="zh-CN"/>
                  </w:rPr>
                </m:ctrlPr>
              </m:sSupPr>
              <m:e>
                <m:r>
                  <m:rPr>
                    <m:sty m:val="p"/>
                  </m:rPr>
                  <w:rPr>
                    <w:rFonts w:hint="default" w:ascii="Cambria Math" w:hAnsi="Cambria Math" w:cs="Times New Roman"/>
                    <w:sz w:val="24"/>
                    <w:szCs w:val="24"/>
                    <w:lang w:val="en-US" w:eastAsia="zh-CN"/>
                  </w:rPr>
                  <m:t>(1+r)</m:t>
                </m:r>
                <m:ctrlPr>
                  <w:rPr>
                    <w:rFonts w:hint="default" w:ascii="Cambria Math" w:hAnsi="Cambria Math" w:cs="Times New Roman"/>
                    <w:b w:val="0"/>
                    <w:bCs w:val="0"/>
                    <w:sz w:val="24"/>
                    <w:szCs w:val="24"/>
                    <w:lang w:val="en-US" w:eastAsia="zh-CN"/>
                  </w:rPr>
                </m:ctrlPr>
              </m:e>
              <m:sup>
                <m:r>
                  <m:rPr>
                    <m:sty m:val="p"/>
                  </m:rPr>
                  <w:rPr>
                    <w:rFonts w:hint="default" w:ascii="Cambria Math" w:hAnsi="Cambria Math" w:cs="Times New Roman"/>
                    <w:sz w:val="24"/>
                    <w:szCs w:val="24"/>
                    <w:lang w:val="en-US" w:eastAsia="zh-CN"/>
                  </w:rPr>
                  <m:t>5</m:t>
                </m:r>
                <m:ctrlPr>
                  <w:rPr>
                    <w:rFonts w:hint="default" w:ascii="Cambria Math" w:hAnsi="Cambria Math" w:cs="Times New Roman"/>
                    <w:b w:val="0"/>
                    <w:bCs w:val="0"/>
                    <w:sz w:val="24"/>
                    <w:szCs w:val="24"/>
                    <w:lang w:val="en-US" w:eastAsia="zh-CN"/>
                  </w:rPr>
                </m:ctrlPr>
              </m:sup>
            </m:sSup>
            <m:ctrlPr>
              <w:rPr>
                <w:rFonts w:hint="default" w:ascii="Cambria Math" w:hAnsi="Cambria Math" w:cs="Times New Roman"/>
                <w:b w:val="0"/>
                <w:bCs w:val="0"/>
                <w:sz w:val="24"/>
                <w:szCs w:val="24"/>
                <w:lang w:val="en-US" w:eastAsia="zh-CN"/>
              </w:rPr>
            </m:ctrlPr>
          </m:den>
        </m:f>
      </m:oMath>
      <w:r>
        <w:rPr>
          <w:rFonts w:hint="default" w:ascii="Times New Roman" w:hAnsi="Times New Roman" w:cs="Times New Roman"/>
          <w:b w:val="0"/>
          <w:bCs w:val="0"/>
          <w:i w:val="0"/>
          <w:sz w:val="24"/>
          <w:szCs w:val="24"/>
          <w:lang w:val="en-US" w:eastAsia="zh-CN"/>
        </w:rPr>
        <w:t>=0</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IRR=29.36%</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bCs/>
          <w:color w:val="auto"/>
          <w:sz w:val="24"/>
          <w:szCs w:val="24"/>
          <w:lang w:val="en-US" w:eastAsia="zh-CN"/>
        </w:rPr>
      </w:pPr>
      <w:r>
        <w:rPr>
          <w:rFonts w:hint="default" w:ascii="Times New Roman" w:hAnsi="Times New Roman" w:cs="Times New Roman"/>
          <w:b/>
          <w:bCs/>
          <w:color w:val="auto"/>
          <w:sz w:val="24"/>
          <w:szCs w:val="24"/>
          <w:lang w:val="en-US" w:eastAsia="zh-CN"/>
        </w:rPr>
        <w:t>Choice of machine on basis of IRR</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eastAsia="宋体" w:cs="Times New Roman"/>
          <w:i w:val="0"/>
          <w:iCs w:val="0"/>
          <w:caps w:val="0"/>
          <w:color w:val="auto"/>
          <w:spacing w:val="0"/>
          <w:sz w:val="24"/>
          <w:szCs w:val="24"/>
          <w:shd w:val="clear" w:fill="FFFFFF"/>
          <w:lang w:val="en-US" w:eastAsia="zh-CN"/>
        </w:rPr>
      </w:pPr>
      <w:r>
        <w:rPr>
          <w:rFonts w:hint="eastAsia" w:ascii="Times New Roman" w:hAnsi="Times New Roman" w:eastAsia="宋体" w:cs="Times New Roman"/>
          <w:i w:val="0"/>
          <w:iCs w:val="0"/>
          <w:caps w:val="0"/>
          <w:color w:val="auto"/>
          <w:spacing w:val="0"/>
          <w:sz w:val="24"/>
          <w:szCs w:val="24"/>
          <w:shd w:val="clear" w:fill="FFFFFF"/>
          <w:lang w:val="en-US" w:eastAsia="zh-CN"/>
        </w:rPr>
        <w:t>The term IRR, which includes the potential revenues and expenses over the course of a project, stands for average percentage return on investment. Programmes with an IRR over the cost of capital are achievable; the larger the IRR, the more attractive the project.</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b/>
          <w:bCs/>
          <w:sz w:val="24"/>
          <w:szCs w:val="24"/>
          <w:lang w:val="en-US" w:eastAsia="zh-CN"/>
        </w:rPr>
      </w:pPr>
      <w:r>
        <w:rPr>
          <w:rFonts w:hint="eastAsia" w:ascii="Times New Roman" w:hAnsi="Times New Roman" w:eastAsia="宋体" w:cs="Times New Roman"/>
          <w:i w:val="0"/>
          <w:iCs w:val="0"/>
          <w:caps w:val="0"/>
          <w:color w:val="auto"/>
          <w:spacing w:val="0"/>
          <w:sz w:val="24"/>
          <w:szCs w:val="24"/>
          <w:shd w:val="clear" w:fill="FFFFFF"/>
          <w:lang w:val="en-US" w:eastAsia="zh-CN"/>
        </w:rPr>
        <w:t>It could seem that the project with the larger IRR is the better option. Programme (A) is ranked higher in this instance than Programme (B).</w:t>
      </w:r>
    </w:p>
    <w:p>
      <w:pPr>
        <w:pStyle w:val="3"/>
        <w:keepNext/>
        <w:keepLines/>
        <w:pageBreakBefore w:val="0"/>
        <w:widowControl w:val="0"/>
        <w:kinsoku/>
        <w:wordWrap/>
        <w:overflowPunct/>
        <w:topLinePunct w:val="0"/>
        <w:autoSpaceDE/>
        <w:autoSpaceDN/>
        <w:bidi w:val="0"/>
        <w:adjustRightInd/>
        <w:snapToGrid/>
        <w:spacing w:before="0" w:after="0" w:line="360" w:lineRule="auto"/>
        <w:textAlignment w:val="auto"/>
        <w:rPr>
          <w:rFonts w:hint="default" w:ascii="Times New Roman" w:hAnsi="Times New Roman" w:cs="Times New Roman"/>
          <w:sz w:val="24"/>
          <w:szCs w:val="24"/>
          <w:lang w:val="en-US" w:eastAsia="zh-CN"/>
        </w:rPr>
      </w:pPr>
      <w:bookmarkStart w:id="32" w:name="_Toc292"/>
      <w:r>
        <w:rPr>
          <w:rFonts w:hint="default" w:ascii="Times New Roman" w:hAnsi="Times New Roman" w:cs="Times New Roman"/>
          <w:sz w:val="24"/>
          <w:szCs w:val="24"/>
          <w:lang w:val="en-US" w:eastAsia="zh-CN"/>
        </w:rPr>
        <w:t>2.2 Non-discounting Approaches</w:t>
      </w:r>
      <w:bookmarkEnd w:id="32"/>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Non-time value techniques, which are frequently employed as assessment instruments, do not compare the worth of money today to that in the future. The accounting rate of return and the payback method are two non-time value evaluative methods.</w:t>
      </w:r>
    </w:p>
    <w:p>
      <w:pPr>
        <w:pStyle w:val="4"/>
        <w:keepNext/>
        <w:keepLines/>
        <w:pageBreakBefore w:val="0"/>
        <w:widowControl w:val="0"/>
        <w:kinsoku/>
        <w:wordWrap/>
        <w:overflowPunct/>
        <w:topLinePunct w:val="0"/>
        <w:autoSpaceDE/>
        <w:autoSpaceDN/>
        <w:bidi w:val="0"/>
        <w:adjustRightInd/>
        <w:snapToGrid/>
        <w:spacing w:before="0" w:after="0" w:line="360" w:lineRule="auto"/>
        <w:textAlignment w:val="auto"/>
        <w:rPr>
          <w:rFonts w:hint="default" w:ascii="Times New Roman" w:hAnsi="Times New Roman" w:cs="Times New Roman"/>
          <w:sz w:val="24"/>
          <w:szCs w:val="24"/>
          <w:lang w:val="en-US" w:eastAsia="zh-CN"/>
        </w:rPr>
      </w:pPr>
      <w:bookmarkStart w:id="33" w:name="_Toc5662"/>
      <w:r>
        <w:rPr>
          <w:rFonts w:hint="default" w:ascii="Times New Roman" w:hAnsi="Times New Roman" w:cs="Times New Roman"/>
          <w:sz w:val="24"/>
          <w:szCs w:val="24"/>
          <w:lang w:val="en-US" w:eastAsia="zh-CN"/>
        </w:rPr>
        <w:t>2.2.1 ARR</w:t>
      </w:r>
      <w:bookmarkEnd w:id="33"/>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The accounting rate of return is to give an indication of the project's profitability over the course of the asset's life. Instead of cash flows, it compares the project's average yield to the investment.</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b w:val="0"/>
          <w:bCs w:val="0"/>
          <w:color w:val="auto"/>
          <w:sz w:val="24"/>
          <w:szCs w:val="24"/>
          <w:lang w:val="en-US" w:eastAsia="zh-CN"/>
        </w:rPr>
      </w:pPr>
      <w:r>
        <w:rPr>
          <w:rFonts w:hint="eastAsia" w:ascii="Times New Roman" w:hAnsi="Times New Roman" w:cs="Times New Roman"/>
          <w:b w:val="0"/>
          <w:bCs w:val="0"/>
          <w:color w:val="auto"/>
          <w:sz w:val="24"/>
          <w:szCs w:val="24"/>
          <w:lang w:val="en-US" w:eastAsia="zh-CN"/>
        </w:rPr>
        <w:t>Instead of concentrating only on the cash flows generated, this strategy may offer a more comprehensive understanding of the effect by reviewing earnings, cost reductions, and expenditures related to the investment. ARR is limited, however, in that it lacks the consideration of the time worth of money, much like the payback approach does. Moreover, this strategy relies on profits rather than financial flows. ARR is unsuitable as the primary investment assessment approach due to these significant flaws.</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eastAsiaTheme="minorEastAsia"/>
          <w:b/>
          <w:bCs/>
          <w:color w:val="auto"/>
          <w:sz w:val="24"/>
          <w:szCs w:val="24"/>
          <w:lang w:val="en-US" w:eastAsia="zh-CN"/>
        </w:rPr>
      </w:pPr>
      <w:r>
        <w:rPr>
          <w:rFonts w:hint="default" w:ascii="Times New Roman" w:hAnsi="Times New Roman" w:cs="Times New Roman"/>
          <w:b w:val="0"/>
          <w:bCs w:val="0"/>
          <w:color w:val="auto"/>
          <w:sz w:val="24"/>
          <w:szCs w:val="24"/>
          <w:lang w:val="en-US" w:eastAsia="zh-CN"/>
        </w:rPr>
        <w:t>ARR=</w:t>
      </w:r>
      <m:oMath>
        <m:f>
          <m:fPr>
            <m:ctrlPr>
              <w:rPr>
                <w:rFonts w:hint="default" w:ascii="Cambria Math" w:hAnsi="Cambria Math" w:cs="Times New Roman"/>
                <w:bCs/>
                <w:i/>
                <w:color w:val="auto"/>
                <w:sz w:val="24"/>
                <w:szCs w:val="24"/>
                <w:lang w:val="en-US"/>
              </w:rPr>
            </m:ctrlPr>
          </m:fPr>
          <m:num>
            <m:r>
              <m:rPr/>
              <w:rPr>
                <w:rFonts w:hint="default" w:ascii="Cambria Math" w:hAnsi="Cambria Math" w:cs="Times New Roman"/>
                <w:color w:val="auto"/>
                <w:sz w:val="24"/>
                <w:szCs w:val="24"/>
                <w:lang w:val="en-US" w:eastAsia="zh-CN"/>
              </w:rPr>
              <m:t>Average annual operating profit</m:t>
            </m:r>
            <m:ctrlPr>
              <w:rPr>
                <w:rFonts w:hint="default" w:ascii="Cambria Math" w:hAnsi="Cambria Math" w:cs="Times New Roman"/>
                <w:bCs/>
                <w:i/>
                <w:color w:val="auto"/>
                <w:sz w:val="24"/>
                <w:szCs w:val="24"/>
                <w:lang w:val="en-US"/>
              </w:rPr>
            </m:ctrlPr>
          </m:num>
          <m:den>
            <m:r>
              <m:rPr/>
              <w:rPr>
                <w:rFonts w:hint="default" w:ascii="Cambria Math" w:hAnsi="Cambria Math" w:cs="Times New Roman"/>
                <w:color w:val="auto"/>
                <w:sz w:val="24"/>
                <w:szCs w:val="24"/>
                <w:lang w:val="en-US" w:eastAsia="zh-CN"/>
              </w:rPr>
              <m:t>Average investment to earn tℎat profit</m:t>
            </m:r>
            <m:ctrlPr>
              <w:rPr>
                <w:rFonts w:hint="default" w:ascii="Cambria Math" w:hAnsi="Cambria Math" w:cs="Times New Roman"/>
                <w:bCs/>
                <w:i/>
                <w:color w:val="auto"/>
                <w:sz w:val="24"/>
                <w:szCs w:val="24"/>
                <w:lang w:val="en-US"/>
              </w:rPr>
            </m:ctrlPr>
          </m:den>
        </m:f>
      </m:oMath>
      <w:r>
        <w:rPr>
          <w:rFonts w:hint="default" w:ascii="Times New Roman" w:hAnsi="Times New Roman" w:cs="Times New Roman"/>
          <w:bCs/>
          <w:i w:val="0"/>
          <w:color w:val="auto"/>
          <w:sz w:val="24"/>
          <w:szCs w:val="24"/>
          <w:lang w:val="en-US"/>
        </w:rPr>
        <w:t>×</w:t>
      </w:r>
      <w:r>
        <w:rPr>
          <w:rFonts w:hint="default" w:ascii="Times New Roman" w:hAnsi="Times New Roman" w:cs="Times New Roman"/>
          <w:bCs/>
          <w:i w:val="0"/>
          <w:color w:val="auto"/>
          <w:sz w:val="24"/>
          <w:szCs w:val="24"/>
          <w:lang w:val="en-US" w:eastAsia="zh-CN"/>
        </w:rPr>
        <w:t>100%</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imes New Roman" w:hAnsi="Times New Roman" w:cs="Times New Roman"/>
          <w:b/>
          <w:bCs/>
          <w:color w:val="auto"/>
          <w:sz w:val="24"/>
          <w:szCs w:val="24"/>
          <w:lang w:val="en-US" w:eastAsia="zh-CN"/>
        </w:rPr>
      </w:pPr>
      <w:r>
        <w:rPr>
          <w:rFonts w:hint="eastAsia" w:ascii="Times New Roman" w:hAnsi="Times New Roman" w:cs="Times New Roman"/>
          <w:b/>
          <w:bCs/>
          <w:color w:val="auto"/>
          <w:sz w:val="24"/>
          <w:szCs w:val="24"/>
          <w:lang w:val="en-US" w:eastAsia="zh-CN"/>
        </w:rPr>
        <w:t>ARR for Machine A</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05"/>
        <w:gridCol w:w="1207"/>
        <w:gridCol w:w="1200"/>
        <w:gridCol w:w="1200"/>
        <w:gridCol w:w="1201"/>
        <w:gridCol w:w="1201"/>
        <w:gridCol w:w="13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p>
        </w:tc>
        <w:tc>
          <w:tcPr>
            <w:tcW w:w="121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Year 0</w:t>
            </w:r>
          </w:p>
        </w:tc>
        <w:tc>
          <w:tcPr>
            <w:tcW w:w="121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Year 1</w:t>
            </w:r>
          </w:p>
        </w:tc>
        <w:tc>
          <w:tcPr>
            <w:tcW w:w="121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Year 2</w:t>
            </w:r>
          </w:p>
        </w:tc>
        <w:tc>
          <w:tcPr>
            <w:tcW w:w="1218"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Year 3</w:t>
            </w:r>
          </w:p>
        </w:tc>
        <w:tc>
          <w:tcPr>
            <w:tcW w:w="1218"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Year 4</w:t>
            </w:r>
          </w:p>
        </w:tc>
        <w:tc>
          <w:tcPr>
            <w:tcW w:w="1218"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Year 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Machine (A)</w:t>
            </w:r>
          </w:p>
        </w:tc>
        <w:tc>
          <w:tcPr>
            <w:tcW w:w="121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(100,000)</w:t>
            </w:r>
          </w:p>
        </w:tc>
        <w:tc>
          <w:tcPr>
            <w:tcW w:w="121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40,000</w:t>
            </w:r>
          </w:p>
        </w:tc>
        <w:tc>
          <w:tcPr>
            <w:tcW w:w="121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50,000</w:t>
            </w:r>
          </w:p>
        </w:tc>
        <w:tc>
          <w:tcPr>
            <w:tcW w:w="1218"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55,000</w:t>
            </w:r>
          </w:p>
        </w:tc>
        <w:tc>
          <w:tcPr>
            <w:tcW w:w="1218"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45,000</w:t>
            </w:r>
          </w:p>
        </w:tc>
        <w:tc>
          <w:tcPr>
            <w:tcW w:w="1218"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30,000+30,000</w:t>
            </w:r>
          </w:p>
        </w:tc>
      </w:tr>
    </w:tbl>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b w:val="0"/>
          <w:bCs w:val="0"/>
          <w:color w:val="auto"/>
          <w:sz w:val="24"/>
          <w:szCs w:val="24"/>
          <w:lang w:val="en-US" w:eastAsia="zh-CN"/>
        </w:rPr>
      </w:pPr>
      <w:r>
        <w:rPr>
          <w:rFonts w:hint="default" w:ascii="Times New Roman" w:hAnsi="Times New Roman" w:cs="Times New Roman"/>
          <w:b w:val="0"/>
          <w:bCs w:val="0"/>
          <w:color w:val="auto"/>
          <w:sz w:val="24"/>
          <w:szCs w:val="24"/>
          <w:lang w:val="en-US" w:eastAsia="zh-CN"/>
        </w:rPr>
        <w:t>Average annual operating profit=</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b w:val="0"/>
          <w:bCs w:val="0"/>
          <w:color w:val="auto"/>
          <w:sz w:val="24"/>
          <w:szCs w:val="24"/>
          <w:lang w:val="en-US" w:eastAsia="zh-CN"/>
        </w:rPr>
      </w:pPr>
      <m:oMath>
        <m:f>
          <m:fPr>
            <m:ctrlPr>
              <w:rPr>
                <w:rFonts w:hint="default" w:ascii="Cambria Math" w:hAnsi="Cambria Math" w:cs="Times New Roman"/>
                <w:bCs/>
                <w:i/>
                <w:color w:val="auto"/>
                <w:sz w:val="24"/>
                <w:szCs w:val="24"/>
                <w:lang w:val="en-US"/>
              </w:rPr>
            </m:ctrlPr>
          </m:fPr>
          <m:num>
            <m:r>
              <m:rPr/>
              <w:rPr>
                <w:rFonts w:hint="default" w:ascii="Cambria Math" w:hAnsi="Cambria Math" w:cs="Times New Roman"/>
                <w:color w:val="auto"/>
                <w:sz w:val="24"/>
                <w:szCs w:val="24"/>
                <w:lang w:val="en-US" w:eastAsia="zh-CN"/>
              </w:rPr>
              <m:t>40,000+50,000+55,000+45,000+60,000</m:t>
            </m:r>
            <m:ctrlPr>
              <w:rPr>
                <w:rFonts w:hint="default" w:ascii="Cambria Math" w:hAnsi="Cambria Math" w:cs="Times New Roman"/>
                <w:bCs/>
                <w:i/>
                <w:color w:val="auto"/>
                <w:sz w:val="24"/>
                <w:szCs w:val="24"/>
                <w:lang w:val="en-US"/>
              </w:rPr>
            </m:ctrlPr>
          </m:num>
          <m:den>
            <m:r>
              <m:rPr/>
              <w:rPr>
                <w:rFonts w:hint="default" w:ascii="Cambria Math" w:hAnsi="Cambria Math" w:cs="Times New Roman"/>
                <w:color w:val="auto"/>
                <w:sz w:val="24"/>
                <w:szCs w:val="24"/>
                <w:lang w:val="en-US" w:eastAsia="zh-CN"/>
              </w:rPr>
              <m:t>5</m:t>
            </m:r>
            <m:ctrlPr>
              <w:rPr>
                <w:rFonts w:hint="default" w:ascii="Cambria Math" w:hAnsi="Cambria Math" w:cs="Times New Roman"/>
                <w:bCs/>
                <w:i/>
                <w:color w:val="auto"/>
                <w:sz w:val="24"/>
                <w:szCs w:val="24"/>
                <w:lang w:val="en-US"/>
              </w:rPr>
            </m:ctrlPr>
          </m:den>
        </m:f>
      </m:oMath>
      <w:r>
        <w:rPr>
          <w:rFonts w:hint="default" w:ascii="Times New Roman" w:hAnsi="Times New Roman" w:cs="Times New Roman"/>
          <w:bCs/>
          <w:i w:val="0"/>
          <w:color w:val="auto"/>
          <w:sz w:val="24"/>
          <w:szCs w:val="24"/>
          <w:lang w:val="en-US" w:eastAsia="zh-CN"/>
        </w:rPr>
        <w:t xml:space="preserve"> - </w:t>
      </w:r>
      <m:oMath>
        <m:f>
          <m:fPr>
            <m:ctrlPr>
              <w:rPr>
                <w:rFonts w:hint="default" w:ascii="Cambria Math" w:hAnsi="Cambria Math" w:cs="Times New Roman"/>
                <w:bCs/>
                <w:i/>
                <w:color w:val="auto"/>
                <w:sz w:val="24"/>
                <w:szCs w:val="24"/>
                <w:lang w:val="en-US"/>
              </w:rPr>
            </m:ctrlPr>
          </m:fPr>
          <m:num>
            <m:r>
              <m:rPr/>
              <w:rPr>
                <w:rFonts w:hint="default" w:ascii="Cambria Math" w:hAnsi="Cambria Math" w:cs="Times New Roman"/>
                <w:color w:val="auto"/>
                <w:sz w:val="24"/>
                <w:szCs w:val="24"/>
                <w:lang w:val="en-US" w:eastAsia="zh-CN"/>
              </w:rPr>
              <m:t>100,000−30,000</m:t>
            </m:r>
            <m:ctrlPr>
              <w:rPr>
                <w:rFonts w:hint="default" w:ascii="Cambria Math" w:hAnsi="Cambria Math" w:cs="Times New Roman"/>
                <w:bCs/>
                <w:i/>
                <w:color w:val="auto"/>
                <w:sz w:val="24"/>
                <w:szCs w:val="24"/>
                <w:lang w:val="en-US"/>
              </w:rPr>
            </m:ctrlPr>
          </m:num>
          <m:den>
            <m:r>
              <m:rPr/>
              <w:rPr>
                <w:rFonts w:hint="default" w:ascii="Cambria Math" w:hAnsi="Cambria Math" w:cs="Times New Roman"/>
                <w:color w:val="auto"/>
                <w:sz w:val="24"/>
                <w:szCs w:val="24"/>
                <w:lang w:val="en-US" w:eastAsia="zh-CN"/>
              </w:rPr>
              <m:t>5</m:t>
            </m:r>
            <m:ctrlPr>
              <w:rPr>
                <w:rFonts w:hint="default" w:ascii="Cambria Math" w:hAnsi="Cambria Math" w:cs="Times New Roman"/>
                <w:bCs/>
                <w:i/>
                <w:color w:val="auto"/>
                <w:sz w:val="24"/>
                <w:szCs w:val="24"/>
                <w:lang w:val="en-US"/>
              </w:rPr>
            </m:ctrlPr>
          </m:den>
        </m:f>
      </m:oMath>
      <w:r>
        <w:rPr>
          <w:rFonts w:hint="default" w:ascii="Times New Roman" w:hAnsi="Times New Roman" w:cs="Times New Roman"/>
          <w:bCs/>
          <w:i w:val="0"/>
          <w:color w:val="auto"/>
          <w:sz w:val="24"/>
          <w:szCs w:val="24"/>
          <w:lang w:val="en-US" w:eastAsia="zh-CN"/>
        </w:rPr>
        <w:t xml:space="preserve"> = 50,000-14,000=</w:t>
      </w:r>
      <w:r>
        <w:rPr>
          <w:rFonts w:hint="eastAsia" w:ascii="Times New Roman" w:hAnsi="Times New Roman" w:cs="Times New Roman"/>
          <w:bCs/>
          <w:i w:val="0"/>
          <w:color w:val="auto"/>
          <w:sz w:val="24"/>
          <w:szCs w:val="24"/>
          <w:lang w:val="en-US" w:eastAsia="zh-CN"/>
        </w:rPr>
        <w:t>￡</w:t>
      </w:r>
      <w:r>
        <w:rPr>
          <w:rFonts w:hint="default" w:ascii="Times New Roman" w:hAnsi="Times New Roman" w:cs="Times New Roman"/>
          <w:bCs/>
          <w:i w:val="0"/>
          <w:color w:val="auto"/>
          <w:sz w:val="24"/>
          <w:szCs w:val="24"/>
          <w:lang w:val="en-US" w:eastAsia="zh-CN"/>
        </w:rPr>
        <w:t>36,000</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eastAsiaTheme="minorEastAsia"/>
          <w:b w:val="0"/>
          <w:bCs w:val="0"/>
          <w:color w:val="auto"/>
          <w:sz w:val="24"/>
          <w:szCs w:val="24"/>
          <w:lang w:val="en-US" w:eastAsia="zh-CN"/>
        </w:rPr>
      </w:pPr>
      <w:r>
        <w:rPr>
          <w:rFonts w:hint="default" w:ascii="Times New Roman" w:hAnsi="Times New Roman" w:cs="Times New Roman"/>
          <w:b w:val="0"/>
          <w:bCs w:val="0"/>
          <w:color w:val="auto"/>
          <w:sz w:val="24"/>
          <w:szCs w:val="24"/>
          <w:lang w:val="en-US" w:eastAsia="zh-CN"/>
        </w:rPr>
        <w:t xml:space="preserve">Average investment = </w:t>
      </w:r>
      <m:oMath>
        <m:f>
          <m:fPr>
            <m:ctrlPr>
              <w:rPr>
                <w:rFonts w:hint="default" w:ascii="Cambria Math" w:hAnsi="Cambria Math" w:cs="Times New Roman"/>
                <w:bCs/>
                <w:i/>
                <w:color w:val="auto"/>
                <w:sz w:val="24"/>
                <w:szCs w:val="24"/>
                <w:lang w:val="en-US"/>
              </w:rPr>
            </m:ctrlPr>
          </m:fPr>
          <m:num>
            <m:r>
              <m:rPr/>
              <w:rPr>
                <w:rFonts w:hint="default" w:ascii="Cambria Math" w:hAnsi="Cambria Math" w:cs="Times New Roman"/>
                <w:color w:val="auto"/>
                <w:sz w:val="24"/>
                <w:szCs w:val="24"/>
                <w:lang w:val="en-US" w:eastAsia="zh-CN"/>
              </w:rPr>
              <m:t>cost of macℎine+disposal value</m:t>
            </m:r>
            <m:ctrlPr>
              <w:rPr>
                <w:rFonts w:hint="default" w:ascii="Cambria Math" w:hAnsi="Cambria Math" w:cs="Times New Roman"/>
                <w:bCs/>
                <w:i/>
                <w:color w:val="auto"/>
                <w:sz w:val="24"/>
                <w:szCs w:val="24"/>
                <w:lang w:val="en-US"/>
              </w:rPr>
            </m:ctrlPr>
          </m:num>
          <m:den>
            <m:r>
              <m:rPr/>
              <w:rPr>
                <w:rFonts w:hint="default" w:ascii="Cambria Math" w:hAnsi="Cambria Math" w:cs="Times New Roman"/>
                <w:color w:val="auto"/>
                <w:sz w:val="24"/>
                <w:szCs w:val="24"/>
                <w:lang w:val="en-US" w:eastAsia="zh-CN"/>
              </w:rPr>
              <m:t>2</m:t>
            </m:r>
            <m:ctrlPr>
              <w:rPr>
                <w:rFonts w:hint="default" w:ascii="Cambria Math" w:hAnsi="Cambria Math" w:cs="Times New Roman"/>
                <w:bCs/>
                <w:i/>
                <w:color w:val="auto"/>
                <w:sz w:val="24"/>
                <w:szCs w:val="24"/>
                <w:lang w:val="en-US"/>
              </w:rPr>
            </m:ctrlPr>
          </m:den>
        </m:f>
      </m:oMath>
      <w:r>
        <w:rPr>
          <w:rFonts w:hint="default" w:ascii="Times New Roman" w:hAnsi="Times New Roman" w:cs="Times New Roman"/>
          <w:bCs/>
          <w:i w:val="0"/>
          <w:color w:val="auto"/>
          <w:sz w:val="24"/>
          <w:szCs w:val="24"/>
          <w:lang w:val="en-US" w:eastAsia="zh-CN"/>
        </w:rPr>
        <w:t>=</w:t>
      </w:r>
      <m:oMath>
        <m:f>
          <m:fPr>
            <m:ctrlPr>
              <w:rPr>
                <w:rFonts w:hint="default" w:ascii="Cambria Math" w:hAnsi="Cambria Math" w:cs="Times New Roman"/>
                <w:bCs/>
                <w:i/>
                <w:color w:val="auto"/>
                <w:sz w:val="24"/>
                <w:szCs w:val="24"/>
                <w:lang w:val="en-US"/>
              </w:rPr>
            </m:ctrlPr>
          </m:fPr>
          <m:num>
            <m:r>
              <m:rPr/>
              <w:rPr>
                <w:rFonts w:hint="default" w:ascii="Cambria Math" w:hAnsi="Cambria Math" w:cs="Times New Roman"/>
                <w:color w:val="auto"/>
                <w:sz w:val="24"/>
                <w:szCs w:val="24"/>
                <w:lang w:val="en-US" w:eastAsia="zh-CN"/>
              </w:rPr>
              <m:t>100,000−30,000</m:t>
            </m:r>
            <m:ctrlPr>
              <w:rPr>
                <w:rFonts w:hint="default" w:ascii="Cambria Math" w:hAnsi="Cambria Math" w:cs="Times New Roman"/>
                <w:bCs/>
                <w:i/>
                <w:color w:val="auto"/>
                <w:sz w:val="24"/>
                <w:szCs w:val="24"/>
                <w:lang w:val="en-US"/>
              </w:rPr>
            </m:ctrlPr>
          </m:num>
          <m:den>
            <m:r>
              <m:rPr/>
              <w:rPr>
                <w:rFonts w:hint="default" w:ascii="Cambria Math" w:hAnsi="Cambria Math" w:cs="Times New Roman"/>
                <w:color w:val="auto"/>
                <w:sz w:val="24"/>
                <w:szCs w:val="24"/>
                <w:lang w:val="en-US" w:eastAsia="zh-CN"/>
              </w:rPr>
              <m:t>2</m:t>
            </m:r>
            <m:ctrlPr>
              <w:rPr>
                <w:rFonts w:hint="default" w:ascii="Cambria Math" w:hAnsi="Cambria Math" w:cs="Times New Roman"/>
                <w:bCs/>
                <w:i/>
                <w:color w:val="auto"/>
                <w:sz w:val="24"/>
                <w:szCs w:val="24"/>
                <w:lang w:val="en-US"/>
              </w:rPr>
            </m:ctrlPr>
          </m:den>
        </m:f>
      </m:oMath>
      <w:r>
        <w:rPr>
          <w:rFonts w:hint="default" w:ascii="Times New Roman" w:hAnsi="Times New Roman" w:cs="Times New Roman"/>
          <w:bCs/>
          <w:i w:val="0"/>
          <w:color w:val="auto"/>
          <w:sz w:val="24"/>
          <w:szCs w:val="24"/>
          <w:lang w:val="en-US" w:eastAsia="zh-CN"/>
        </w:rPr>
        <w:t>=</w:t>
      </w:r>
      <w:r>
        <w:rPr>
          <w:rFonts w:hint="eastAsia" w:ascii="Times New Roman" w:hAnsi="Times New Roman" w:cs="Times New Roman"/>
          <w:bCs/>
          <w:i w:val="0"/>
          <w:color w:val="auto"/>
          <w:sz w:val="24"/>
          <w:szCs w:val="24"/>
          <w:lang w:val="en-US" w:eastAsia="zh-CN"/>
        </w:rPr>
        <w:t>￡</w:t>
      </w:r>
      <w:r>
        <w:rPr>
          <w:rFonts w:hint="default" w:ascii="Times New Roman" w:hAnsi="Times New Roman" w:cs="Times New Roman"/>
          <w:bCs/>
          <w:i w:val="0"/>
          <w:color w:val="auto"/>
          <w:sz w:val="24"/>
          <w:szCs w:val="24"/>
          <w:lang w:val="en-US" w:eastAsia="zh-CN"/>
        </w:rPr>
        <w:t>35,000</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bCs/>
          <w:i w:val="0"/>
          <w:color w:val="auto"/>
          <w:sz w:val="24"/>
          <w:szCs w:val="24"/>
          <w:lang w:val="en-US" w:eastAsia="zh-CN"/>
        </w:rPr>
      </w:pPr>
      <w:r>
        <w:rPr>
          <w:rFonts w:hint="default" w:ascii="Times New Roman" w:hAnsi="Times New Roman" w:cs="Times New Roman"/>
          <w:b w:val="0"/>
          <w:bCs w:val="0"/>
          <w:color w:val="auto"/>
          <w:sz w:val="24"/>
          <w:szCs w:val="24"/>
          <w:lang w:val="en-US" w:eastAsia="zh-CN"/>
        </w:rPr>
        <w:t>ARR=</w:t>
      </w:r>
      <m:oMath>
        <m:f>
          <m:fPr>
            <m:ctrlPr>
              <w:rPr>
                <w:rFonts w:hint="default" w:ascii="Cambria Math" w:hAnsi="Cambria Math" w:cs="Times New Roman"/>
                <w:bCs/>
                <w:i/>
                <w:color w:val="auto"/>
                <w:sz w:val="24"/>
                <w:szCs w:val="24"/>
                <w:lang w:val="en-US"/>
              </w:rPr>
            </m:ctrlPr>
          </m:fPr>
          <m:num>
            <m:r>
              <m:rPr/>
              <w:rPr>
                <w:rFonts w:hint="default" w:ascii="Cambria Math" w:hAnsi="Cambria Math" w:cs="Times New Roman"/>
                <w:color w:val="auto"/>
                <w:sz w:val="24"/>
                <w:szCs w:val="24"/>
                <w:lang w:val="en-US" w:eastAsia="zh-CN"/>
              </w:rPr>
              <m:t>36,000</m:t>
            </m:r>
            <m:ctrlPr>
              <w:rPr>
                <w:rFonts w:hint="default" w:ascii="Cambria Math" w:hAnsi="Cambria Math" w:cs="Times New Roman"/>
                <w:bCs/>
                <w:i/>
                <w:color w:val="auto"/>
                <w:sz w:val="24"/>
                <w:szCs w:val="24"/>
                <w:lang w:val="en-US"/>
              </w:rPr>
            </m:ctrlPr>
          </m:num>
          <m:den>
            <m:r>
              <m:rPr/>
              <w:rPr>
                <w:rFonts w:hint="default" w:ascii="Cambria Math" w:hAnsi="Cambria Math" w:cs="Times New Roman"/>
                <w:color w:val="auto"/>
                <w:sz w:val="24"/>
                <w:szCs w:val="24"/>
                <w:lang w:val="en-US" w:eastAsia="zh-CN"/>
              </w:rPr>
              <m:t>35,000</m:t>
            </m:r>
            <m:ctrlPr>
              <w:rPr>
                <w:rFonts w:hint="default" w:ascii="Cambria Math" w:hAnsi="Cambria Math" w:cs="Times New Roman"/>
                <w:bCs/>
                <w:i/>
                <w:color w:val="auto"/>
                <w:sz w:val="24"/>
                <w:szCs w:val="24"/>
                <w:lang w:val="en-US"/>
              </w:rPr>
            </m:ctrlPr>
          </m:den>
        </m:f>
      </m:oMath>
      <w:r>
        <w:rPr>
          <w:rFonts w:hint="default" w:ascii="Times New Roman" w:hAnsi="Times New Roman" w:cs="Times New Roman"/>
          <w:bCs/>
          <w:i w:val="0"/>
          <w:color w:val="auto"/>
          <w:sz w:val="24"/>
          <w:szCs w:val="24"/>
          <w:lang w:val="en-US" w:eastAsia="zh-CN"/>
        </w:rPr>
        <w:t>=1.02</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imes New Roman" w:hAnsi="Times New Roman" w:cs="Times New Roman"/>
          <w:b/>
          <w:bCs w:val="0"/>
          <w:i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imes New Roman" w:hAnsi="Times New Roman" w:cs="Times New Roman"/>
          <w:b/>
          <w:bCs w:val="0"/>
          <w:i w:val="0"/>
          <w:sz w:val="24"/>
          <w:szCs w:val="24"/>
          <w:lang w:val="en-US" w:eastAsia="zh-CN"/>
        </w:rPr>
      </w:pPr>
      <w:r>
        <w:rPr>
          <w:rFonts w:hint="eastAsia" w:ascii="Times New Roman" w:hAnsi="Times New Roman" w:cs="Times New Roman"/>
          <w:b/>
          <w:bCs w:val="0"/>
          <w:i w:val="0"/>
          <w:sz w:val="24"/>
          <w:szCs w:val="24"/>
          <w:lang w:val="en-US" w:eastAsia="zh-CN"/>
        </w:rPr>
        <w:t>ARR for Machine B</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05"/>
        <w:gridCol w:w="1207"/>
        <w:gridCol w:w="1200"/>
        <w:gridCol w:w="1200"/>
        <w:gridCol w:w="1201"/>
        <w:gridCol w:w="1201"/>
        <w:gridCol w:w="13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bCs/>
                <w:sz w:val="18"/>
                <w:szCs w:val="18"/>
                <w:vertAlign w:val="baseline"/>
                <w:lang w:val="en-US" w:eastAsia="zh-CN"/>
              </w:rPr>
            </w:pPr>
          </w:p>
        </w:tc>
        <w:tc>
          <w:tcPr>
            <w:tcW w:w="121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Year 0</w:t>
            </w:r>
          </w:p>
        </w:tc>
        <w:tc>
          <w:tcPr>
            <w:tcW w:w="121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Year 1</w:t>
            </w:r>
          </w:p>
        </w:tc>
        <w:tc>
          <w:tcPr>
            <w:tcW w:w="121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Year 2</w:t>
            </w:r>
          </w:p>
        </w:tc>
        <w:tc>
          <w:tcPr>
            <w:tcW w:w="1218"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Year 3</w:t>
            </w:r>
          </w:p>
        </w:tc>
        <w:tc>
          <w:tcPr>
            <w:tcW w:w="1218"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Year 4</w:t>
            </w:r>
          </w:p>
        </w:tc>
        <w:tc>
          <w:tcPr>
            <w:tcW w:w="1218"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Year 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Machine (B)</w:t>
            </w:r>
          </w:p>
        </w:tc>
        <w:tc>
          <w:tcPr>
            <w:tcW w:w="121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(100,000)</w:t>
            </w:r>
          </w:p>
        </w:tc>
        <w:tc>
          <w:tcPr>
            <w:tcW w:w="121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25,000</w:t>
            </w:r>
          </w:p>
        </w:tc>
        <w:tc>
          <w:tcPr>
            <w:tcW w:w="121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40,000</w:t>
            </w:r>
          </w:p>
        </w:tc>
        <w:tc>
          <w:tcPr>
            <w:tcW w:w="1218"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35,000</w:t>
            </w:r>
          </w:p>
        </w:tc>
        <w:tc>
          <w:tcPr>
            <w:tcW w:w="1218"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75,000</w:t>
            </w:r>
          </w:p>
        </w:tc>
        <w:tc>
          <w:tcPr>
            <w:tcW w:w="1218"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25,000+25,000</w:t>
            </w:r>
          </w:p>
        </w:tc>
      </w:tr>
    </w:tbl>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eastAsiaTheme="minorEastAsia"/>
          <w:bCs/>
          <w:i w:val="0"/>
          <w:color w:val="auto"/>
          <w:sz w:val="24"/>
          <w:szCs w:val="24"/>
          <w:lang w:val="en-US" w:eastAsia="zh-CN"/>
        </w:rPr>
      </w:pPr>
      <w:r>
        <w:rPr>
          <w:rFonts w:hint="default" w:ascii="Times New Roman" w:hAnsi="Times New Roman" w:cs="Times New Roman"/>
          <w:bCs/>
          <w:i w:val="0"/>
          <w:color w:val="auto"/>
          <w:sz w:val="24"/>
          <w:szCs w:val="24"/>
          <w:lang w:val="en-US" w:eastAsia="zh-CN"/>
        </w:rPr>
        <w:t>Average annual operating profit=</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bCs/>
          <w:i w:val="0"/>
          <w:sz w:val="24"/>
          <w:szCs w:val="24"/>
          <w:lang w:val="en-US" w:eastAsia="zh-CN"/>
        </w:rPr>
      </w:pPr>
      <m:oMath>
        <m:f>
          <m:fPr>
            <m:ctrlPr>
              <w:rPr>
                <w:rFonts w:hint="default" w:ascii="Cambria Math" w:hAnsi="Cambria Math" w:cs="Times New Roman"/>
                <w:bCs/>
                <w:i/>
                <w:sz w:val="24"/>
                <w:szCs w:val="24"/>
                <w:lang w:val="en-US"/>
              </w:rPr>
            </m:ctrlPr>
          </m:fPr>
          <m:num>
            <m:r>
              <m:rPr/>
              <w:rPr>
                <w:rFonts w:hint="default" w:ascii="Cambria Math" w:hAnsi="Cambria Math" w:cs="Times New Roman"/>
                <w:sz w:val="24"/>
                <w:szCs w:val="24"/>
                <w:lang w:val="en-US" w:eastAsia="zh-CN"/>
              </w:rPr>
              <m:t>25,000+40,000+35,000+75,000+50,000</m:t>
            </m:r>
            <m:ctrlPr>
              <w:rPr>
                <w:rFonts w:hint="default" w:ascii="Cambria Math" w:hAnsi="Cambria Math" w:cs="Times New Roman"/>
                <w:bCs/>
                <w:i/>
                <w:sz w:val="24"/>
                <w:szCs w:val="24"/>
                <w:lang w:val="en-US"/>
              </w:rPr>
            </m:ctrlPr>
          </m:num>
          <m:den>
            <m:r>
              <m:rPr/>
              <w:rPr>
                <w:rFonts w:hint="default" w:ascii="Cambria Math" w:hAnsi="Cambria Math" w:cs="Times New Roman"/>
                <w:sz w:val="24"/>
                <w:szCs w:val="24"/>
                <w:lang w:val="en-US" w:eastAsia="zh-CN"/>
              </w:rPr>
              <m:t>5</m:t>
            </m:r>
            <m:ctrlPr>
              <w:rPr>
                <w:rFonts w:hint="default" w:ascii="Cambria Math" w:hAnsi="Cambria Math" w:cs="Times New Roman"/>
                <w:bCs/>
                <w:i/>
                <w:sz w:val="24"/>
                <w:szCs w:val="24"/>
                <w:lang w:val="en-US"/>
              </w:rPr>
            </m:ctrlPr>
          </m:den>
        </m:f>
      </m:oMath>
      <w:r>
        <w:rPr>
          <w:rFonts w:hint="default" w:ascii="Times New Roman" w:hAnsi="Times New Roman" w:cs="Times New Roman"/>
          <w:bCs/>
          <w:i w:val="0"/>
          <w:sz w:val="24"/>
          <w:szCs w:val="24"/>
          <w:lang w:val="en-US" w:eastAsia="zh-CN"/>
        </w:rPr>
        <w:t xml:space="preserve"> - </w:t>
      </w:r>
      <m:oMath>
        <m:f>
          <m:fPr>
            <m:ctrlPr>
              <w:rPr>
                <w:rFonts w:hint="default" w:ascii="Cambria Math" w:hAnsi="Cambria Math" w:cs="Times New Roman"/>
                <w:bCs/>
                <w:i/>
                <w:sz w:val="24"/>
                <w:szCs w:val="24"/>
                <w:lang w:val="en-US"/>
              </w:rPr>
            </m:ctrlPr>
          </m:fPr>
          <m:num>
            <m:r>
              <m:rPr/>
              <w:rPr>
                <w:rFonts w:hint="default" w:ascii="Cambria Math" w:hAnsi="Cambria Math" w:cs="Times New Roman"/>
                <w:sz w:val="24"/>
                <w:szCs w:val="24"/>
                <w:lang w:val="en-US" w:eastAsia="zh-CN"/>
              </w:rPr>
              <m:t>100,000−25,000</m:t>
            </m:r>
            <m:ctrlPr>
              <w:rPr>
                <w:rFonts w:hint="default" w:ascii="Cambria Math" w:hAnsi="Cambria Math" w:cs="Times New Roman"/>
                <w:bCs/>
                <w:i/>
                <w:sz w:val="24"/>
                <w:szCs w:val="24"/>
                <w:lang w:val="en-US"/>
              </w:rPr>
            </m:ctrlPr>
          </m:num>
          <m:den>
            <m:r>
              <m:rPr/>
              <w:rPr>
                <w:rFonts w:hint="default" w:ascii="Cambria Math" w:hAnsi="Cambria Math" w:cs="Times New Roman"/>
                <w:sz w:val="24"/>
                <w:szCs w:val="24"/>
                <w:lang w:val="en-US" w:eastAsia="zh-CN"/>
              </w:rPr>
              <m:t>5</m:t>
            </m:r>
            <m:ctrlPr>
              <w:rPr>
                <w:rFonts w:hint="default" w:ascii="Cambria Math" w:hAnsi="Cambria Math" w:cs="Times New Roman"/>
                <w:bCs/>
                <w:i/>
                <w:sz w:val="24"/>
                <w:szCs w:val="24"/>
                <w:lang w:val="en-US"/>
              </w:rPr>
            </m:ctrlPr>
          </m:den>
        </m:f>
      </m:oMath>
      <w:r>
        <w:rPr>
          <w:rFonts w:hint="default" w:ascii="Times New Roman" w:hAnsi="Times New Roman" w:cs="Times New Roman"/>
          <w:bCs/>
          <w:i w:val="0"/>
          <w:sz w:val="24"/>
          <w:szCs w:val="24"/>
          <w:lang w:val="en-US" w:eastAsia="zh-CN"/>
        </w:rPr>
        <w:t>=45,000-15,000=</w:t>
      </w:r>
      <w:r>
        <w:rPr>
          <w:rFonts w:hint="eastAsia" w:ascii="Times New Roman" w:hAnsi="Times New Roman" w:cs="Times New Roman"/>
          <w:bCs/>
          <w:i w:val="0"/>
          <w:sz w:val="24"/>
          <w:szCs w:val="24"/>
          <w:lang w:val="en-US" w:eastAsia="zh-CN"/>
        </w:rPr>
        <w:t>￡</w:t>
      </w:r>
      <w:r>
        <w:rPr>
          <w:rFonts w:hint="default" w:ascii="Times New Roman" w:hAnsi="Times New Roman" w:cs="Times New Roman"/>
          <w:bCs/>
          <w:i w:val="0"/>
          <w:sz w:val="24"/>
          <w:szCs w:val="24"/>
          <w:lang w:val="en-US" w:eastAsia="zh-CN"/>
        </w:rPr>
        <w:t>30,000</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bCs/>
          <w:i w:val="0"/>
          <w:sz w:val="24"/>
          <w:szCs w:val="24"/>
          <w:lang w:val="en-US" w:eastAsia="zh-CN"/>
        </w:rPr>
      </w:pPr>
      <w:r>
        <w:rPr>
          <w:rFonts w:hint="eastAsia" w:hAnsi="Cambria Math" w:cs="Times New Roman"/>
          <w:bCs/>
          <w:i w:val="0"/>
          <w:sz w:val="24"/>
          <w:szCs w:val="24"/>
          <w:lang w:val="en-US" w:eastAsia="zh-CN"/>
        </w:rPr>
        <w:t xml:space="preserve">Average investment= </w:t>
      </w:r>
      <m:oMath>
        <m:f>
          <m:fPr>
            <m:ctrlPr>
              <w:rPr>
                <w:rFonts w:hint="default" w:ascii="Cambria Math" w:hAnsi="Cambria Math" w:cs="Times New Roman"/>
                <w:bCs/>
                <w:i/>
                <w:sz w:val="24"/>
                <w:szCs w:val="24"/>
                <w:lang w:val="en-US"/>
              </w:rPr>
            </m:ctrlPr>
          </m:fPr>
          <m:num>
            <m:r>
              <m:rPr/>
              <w:rPr>
                <w:rFonts w:hint="default" w:ascii="Cambria Math" w:hAnsi="Cambria Math" w:cs="Times New Roman"/>
                <w:sz w:val="24"/>
                <w:szCs w:val="24"/>
                <w:lang w:val="en-US" w:eastAsia="zh-CN"/>
              </w:rPr>
              <m:t>100,000−25,000</m:t>
            </m:r>
            <m:ctrlPr>
              <w:rPr>
                <w:rFonts w:hint="default" w:ascii="Cambria Math" w:hAnsi="Cambria Math" w:cs="Times New Roman"/>
                <w:bCs/>
                <w:i/>
                <w:sz w:val="24"/>
                <w:szCs w:val="24"/>
                <w:lang w:val="en-US"/>
              </w:rPr>
            </m:ctrlPr>
          </m:num>
          <m:den>
            <m:r>
              <m:rPr/>
              <w:rPr>
                <w:rFonts w:hint="default" w:ascii="Cambria Math" w:hAnsi="Cambria Math" w:cs="Times New Roman"/>
                <w:sz w:val="24"/>
                <w:szCs w:val="24"/>
                <w:lang w:val="en-US" w:eastAsia="zh-CN"/>
              </w:rPr>
              <m:t>2</m:t>
            </m:r>
            <m:ctrlPr>
              <w:rPr>
                <w:rFonts w:hint="default" w:ascii="Cambria Math" w:hAnsi="Cambria Math" w:cs="Times New Roman"/>
                <w:bCs/>
                <w:i/>
                <w:sz w:val="24"/>
                <w:szCs w:val="24"/>
                <w:lang w:val="en-US"/>
              </w:rPr>
            </m:ctrlPr>
          </m:den>
        </m:f>
      </m:oMath>
      <w:r>
        <w:rPr>
          <w:rFonts w:hint="default" w:ascii="Times New Roman" w:hAnsi="Times New Roman" w:cs="Times New Roman"/>
          <w:bCs/>
          <w:i w:val="0"/>
          <w:sz w:val="24"/>
          <w:szCs w:val="24"/>
          <w:lang w:val="en-US" w:eastAsia="zh-CN"/>
        </w:rPr>
        <w:t xml:space="preserve"> =</w:t>
      </w:r>
      <w:r>
        <w:rPr>
          <w:rFonts w:hint="eastAsia" w:ascii="Times New Roman" w:hAnsi="Times New Roman" w:cs="Times New Roman"/>
          <w:bCs/>
          <w:i w:val="0"/>
          <w:sz w:val="24"/>
          <w:szCs w:val="24"/>
          <w:lang w:val="en-US" w:eastAsia="zh-CN"/>
        </w:rPr>
        <w:t>￡</w:t>
      </w:r>
      <w:r>
        <w:rPr>
          <w:rFonts w:hint="default" w:ascii="Times New Roman" w:hAnsi="Times New Roman" w:cs="Times New Roman"/>
          <w:bCs/>
          <w:i w:val="0"/>
          <w:sz w:val="24"/>
          <w:szCs w:val="24"/>
          <w:lang w:val="en-US" w:eastAsia="zh-CN"/>
        </w:rPr>
        <w:t>37,500</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eastAsiaTheme="minorEastAsia"/>
          <w:bCs/>
          <w:i w:val="0"/>
          <w:sz w:val="24"/>
          <w:szCs w:val="24"/>
          <w:lang w:val="en-US" w:eastAsia="zh-CN"/>
        </w:rPr>
      </w:pPr>
      <w:r>
        <w:rPr>
          <w:rFonts w:hint="default" w:ascii="Times New Roman" w:hAnsi="Times New Roman" w:cs="Times New Roman"/>
          <w:bCs/>
          <w:i w:val="0"/>
          <w:sz w:val="24"/>
          <w:szCs w:val="24"/>
          <w:lang w:val="en-US" w:eastAsia="zh-CN"/>
        </w:rPr>
        <w:t>ARR=</w:t>
      </w:r>
      <m:oMath>
        <m:f>
          <m:fPr>
            <m:ctrlPr>
              <w:rPr>
                <w:rFonts w:hint="default" w:ascii="Cambria Math" w:hAnsi="Cambria Math" w:cs="Times New Roman"/>
                <w:bCs/>
                <w:i/>
                <w:sz w:val="24"/>
                <w:szCs w:val="24"/>
                <w:lang w:val="en-US"/>
              </w:rPr>
            </m:ctrlPr>
          </m:fPr>
          <m:num>
            <m:r>
              <m:rPr/>
              <w:rPr>
                <w:rFonts w:hint="default" w:ascii="Cambria Math" w:hAnsi="Cambria Math" w:cs="Times New Roman"/>
                <w:sz w:val="24"/>
                <w:szCs w:val="24"/>
                <w:lang w:val="en-US" w:eastAsia="zh-CN"/>
              </w:rPr>
              <m:t>30,000</m:t>
            </m:r>
            <m:ctrlPr>
              <w:rPr>
                <w:rFonts w:hint="default" w:ascii="Cambria Math" w:hAnsi="Cambria Math" w:cs="Times New Roman"/>
                <w:bCs/>
                <w:i/>
                <w:sz w:val="24"/>
                <w:szCs w:val="24"/>
                <w:lang w:val="en-US"/>
              </w:rPr>
            </m:ctrlPr>
          </m:num>
          <m:den>
            <m:r>
              <m:rPr/>
              <w:rPr>
                <w:rFonts w:hint="default" w:ascii="Cambria Math" w:hAnsi="Cambria Math" w:cs="Times New Roman"/>
                <w:sz w:val="24"/>
                <w:szCs w:val="24"/>
                <w:lang w:val="en-US" w:eastAsia="zh-CN"/>
              </w:rPr>
              <m:t>37,500</m:t>
            </m:r>
            <m:ctrlPr>
              <w:rPr>
                <w:rFonts w:hint="default" w:ascii="Cambria Math" w:hAnsi="Cambria Math" w:cs="Times New Roman"/>
                <w:bCs/>
                <w:i/>
                <w:sz w:val="24"/>
                <w:szCs w:val="24"/>
                <w:lang w:val="en-US"/>
              </w:rPr>
            </m:ctrlPr>
          </m:den>
        </m:f>
      </m:oMath>
      <w:r>
        <w:rPr>
          <w:rFonts w:hint="default" w:ascii="Times New Roman" w:hAnsi="Times New Roman" w:cs="Times New Roman"/>
          <w:bCs/>
          <w:i w:val="0"/>
          <w:sz w:val="24"/>
          <w:szCs w:val="24"/>
          <w:lang w:val="en-US" w:eastAsia="zh-CN"/>
        </w:rPr>
        <w:t>=80%</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b/>
          <w:bCs w:val="0"/>
          <w:i w:val="0"/>
          <w:sz w:val="24"/>
          <w:szCs w:val="24"/>
          <w:lang w:val="en-US" w:eastAsia="zh-CN"/>
        </w:rPr>
      </w:pPr>
      <w:r>
        <w:rPr>
          <w:rFonts w:hint="default" w:ascii="Times New Roman" w:hAnsi="Times New Roman" w:cs="Times New Roman"/>
          <w:b/>
          <w:bCs w:val="0"/>
          <w:i w:val="0"/>
          <w:sz w:val="24"/>
          <w:szCs w:val="24"/>
          <w:lang w:val="en-US" w:eastAsia="zh-CN"/>
        </w:rPr>
        <w:t>Choice of machine on basis of ARR</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val="0"/>
          <w:bCs w:val="0"/>
          <w:color w:val="auto"/>
          <w:sz w:val="24"/>
          <w:szCs w:val="24"/>
          <w:lang w:val="en-US" w:eastAsia="zh-CN"/>
        </w:rPr>
      </w:pPr>
      <w:r>
        <w:rPr>
          <w:rFonts w:hint="default" w:ascii="Times New Roman" w:hAnsi="Times New Roman" w:cs="Times New Roman"/>
          <w:b w:val="0"/>
          <w:bCs w:val="0"/>
          <w:color w:val="auto"/>
          <w:sz w:val="24"/>
          <w:szCs w:val="24"/>
          <w:lang w:val="en-US" w:eastAsia="zh-CN"/>
        </w:rPr>
        <w:t>The ARR measures the project's average accounting profit as a percentage of the average investment; Project profitability grows alongside rising ARR.</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b w:val="0"/>
          <w:bCs w:val="0"/>
          <w:color w:val="auto"/>
          <w:sz w:val="24"/>
          <w:szCs w:val="24"/>
          <w:lang w:val="en-US" w:eastAsia="zh-CN"/>
        </w:rPr>
      </w:pPr>
      <w:r>
        <w:rPr>
          <w:rFonts w:hint="eastAsia" w:ascii="Times New Roman" w:hAnsi="Times New Roman" w:cs="Times New Roman"/>
          <w:b w:val="0"/>
          <w:bCs w:val="0"/>
          <w:color w:val="auto"/>
          <w:sz w:val="24"/>
          <w:szCs w:val="24"/>
          <w:lang w:val="en-US" w:eastAsia="zh-CN"/>
        </w:rPr>
        <w:t xml:space="preserve">The ARR of </w:t>
      </w:r>
      <w:r>
        <w:rPr>
          <w:rFonts w:hint="default" w:ascii="Times New Roman" w:hAnsi="Times New Roman" w:cs="Times New Roman"/>
          <w:b w:val="0"/>
          <w:bCs w:val="0"/>
          <w:color w:val="auto"/>
          <w:sz w:val="24"/>
          <w:szCs w:val="24"/>
          <w:lang w:val="en-US" w:eastAsia="zh-CN"/>
        </w:rPr>
        <w:t xml:space="preserve">Machine A is 102%. Machine B's ARR is 80%. Thus, Machine A </w:t>
      </w:r>
      <w:r>
        <w:rPr>
          <w:rFonts w:hint="eastAsia" w:ascii="Times New Roman" w:hAnsi="Times New Roman" w:cs="Times New Roman"/>
          <w:b w:val="0"/>
          <w:bCs w:val="0"/>
          <w:color w:val="auto"/>
          <w:sz w:val="24"/>
          <w:szCs w:val="24"/>
          <w:lang w:val="en-US" w:eastAsia="zh-CN"/>
        </w:rPr>
        <w:t>is more appealing.</w:t>
      </w:r>
    </w:p>
    <w:p>
      <w:pPr>
        <w:pStyle w:val="4"/>
        <w:keepNext/>
        <w:keepLines/>
        <w:pageBreakBefore w:val="0"/>
        <w:widowControl w:val="0"/>
        <w:kinsoku/>
        <w:wordWrap/>
        <w:overflowPunct/>
        <w:topLinePunct w:val="0"/>
        <w:autoSpaceDE/>
        <w:autoSpaceDN/>
        <w:bidi w:val="0"/>
        <w:adjustRightInd/>
        <w:snapToGrid/>
        <w:spacing w:before="0" w:after="0" w:line="360" w:lineRule="auto"/>
        <w:textAlignment w:val="auto"/>
        <w:rPr>
          <w:rFonts w:hint="default" w:ascii="Times New Roman" w:hAnsi="Times New Roman" w:cs="Times New Roman"/>
          <w:sz w:val="24"/>
          <w:szCs w:val="24"/>
          <w:lang w:val="en-US" w:eastAsia="zh-CN"/>
        </w:rPr>
      </w:pPr>
      <w:bookmarkStart w:id="34" w:name="_Toc30302"/>
      <w:r>
        <w:rPr>
          <w:rFonts w:hint="default" w:ascii="Times New Roman" w:hAnsi="Times New Roman" w:cs="Times New Roman"/>
          <w:sz w:val="24"/>
          <w:szCs w:val="24"/>
          <w:lang w:val="en-US" w:eastAsia="zh-CN"/>
        </w:rPr>
        <w:t>2.1.2 Payback period</w:t>
      </w:r>
      <w:bookmarkEnd w:id="34"/>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eastAsia="Helvetica" w:cs="Times New Roman"/>
          <w:i w:val="0"/>
          <w:iCs w:val="0"/>
          <w:caps w:val="0"/>
          <w:color w:val="auto"/>
          <w:spacing w:val="0"/>
          <w:sz w:val="24"/>
          <w:szCs w:val="24"/>
          <w:shd w:val="clear" w:fill="FFFFFF"/>
        </w:rPr>
      </w:pPr>
      <w:r>
        <w:rPr>
          <w:rFonts w:hint="default" w:ascii="Times New Roman" w:hAnsi="Times New Roman" w:eastAsia="Helvetica" w:cs="Times New Roman"/>
          <w:i w:val="0"/>
          <w:iCs w:val="0"/>
          <w:caps w:val="0"/>
          <w:color w:val="auto"/>
          <w:spacing w:val="0"/>
          <w:sz w:val="24"/>
          <w:szCs w:val="24"/>
          <w:shd w:val="clear" w:fill="FFFFFF"/>
        </w:rPr>
        <w:t>Payback period (PP) analysis is another method for evaluating potential investments. This is the amount of time needed for net cash inflows to equal initial investment for a project. Since it takes into account time and works with cash instead of earnings, the PP approach aims to address the ARR method's two main drawbacks.</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When estimating how quickly an investment will recoup its cash outlay and when assessing if a project is suitable for investment, payback period is a relevant indicator (Boardman et al., 1982).</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The timing of cash flows, however, is unimportant to the PP technique. After-payback cash flows are not taken into account. As a result, it disregards the entire profitability of an investment.</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eastAsia="宋体" w:cs="Times New Roman"/>
          <w:b/>
          <w:bCs/>
          <w:i w:val="0"/>
          <w:iCs w:val="0"/>
          <w:caps w:val="0"/>
          <w:color w:val="auto"/>
          <w:spacing w:val="0"/>
          <w:sz w:val="24"/>
          <w:szCs w:val="24"/>
          <w:shd w:val="clear" w:fill="FFFFFF"/>
          <w:lang w:val="en-US" w:eastAsia="zh-CN"/>
        </w:rPr>
      </w:pPr>
      <w:r>
        <w:rPr>
          <w:rFonts w:hint="eastAsia" w:ascii="Times New Roman" w:hAnsi="Times New Roman" w:eastAsia="宋体" w:cs="Times New Roman"/>
          <w:b/>
          <w:bCs/>
          <w:i w:val="0"/>
          <w:iCs w:val="0"/>
          <w:caps w:val="0"/>
          <w:color w:val="auto"/>
          <w:spacing w:val="0"/>
          <w:sz w:val="24"/>
          <w:szCs w:val="24"/>
          <w:shd w:val="clear" w:fill="FFFFFF"/>
          <w:lang w:val="en-US" w:eastAsia="zh-CN"/>
        </w:rPr>
        <w:t xml:space="preserve">PP for </w:t>
      </w:r>
      <w:r>
        <w:rPr>
          <w:rFonts w:hint="default" w:ascii="Times New Roman" w:hAnsi="Times New Roman" w:eastAsia="宋体" w:cs="Times New Roman"/>
          <w:b/>
          <w:bCs/>
          <w:i w:val="0"/>
          <w:iCs w:val="0"/>
          <w:caps w:val="0"/>
          <w:color w:val="auto"/>
          <w:spacing w:val="0"/>
          <w:sz w:val="24"/>
          <w:szCs w:val="24"/>
          <w:shd w:val="clear" w:fill="FFFFFF"/>
          <w:lang w:val="en-US" w:eastAsia="zh-CN"/>
        </w:rPr>
        <w:t>Machine A</w:t>
      </w:r>
    </w:p>
    <w:tbl>
      <w:tblPr>
        <w:tblStyle w:val="10"/>
        <w:tblW w:w="0" w:type="auto"/>
        <w:tblInd w:w="136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60"/>
        <w:gridCol w:w="1524"/>
        <w:gridCol w:w="19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1260"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Helvetica" w:hAnsi="Helvetica" w:eastAsia="Helvetica" w:cs="Helvetica"/>
                <w:i w:val="0"/>
                <w:iCs w:val="0"/>
                <w:caps w:val="0"/>
                <w:color w:val="auto"/>
                <w:spacing w:val="0"/>
                <w:sz w:val="18"/>
                <w:szCs w:val="18"/>
                <w:shd w:val="clear" w:fill="FFFFFF"/>
                <w:vertAlign w:val="baseline"/>
                <w:lang w:val="en-US" w:eastAsia="zh-CN"/>
              </w:rPr>
            </w:pPr>
            <w:r>
              <w:rPr>
                <w:rFonts w:hint="eastAsia" w:ascii="Helvetica" w:hAnsi="Helvetica" w:eastAsia="Helvetica" w:cs="Helvetica"/>
                <w:i w:val="0"/>
                <w:iCs w:val="0"/>
                <w:caps w:val="0"/>
                <w:color w:val="auto"/>
                <w:spacing w:val="0"/>
                <w:sz w:val="18"/>
                <w:szCs w:val="18"/>
                <w:shd w:val="clear" w:fill="FFFFFF"/>
                <w:vertAlign w:val="baseline"/>
                <w:lang w:val="en-US" w:eastAsia="zh-CN"/>
              </w:rPr>
              <w:t>Year</w:t>
            </w:r>
          </w:p>
        </w:tc>
        <w:tc>
          <w:tcPr>
            <w:tcW w:w="152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Helvetica" w:hAnsi="Helvetica" w:eastAsia="Helvetica" w:cs="Helvetica"/>
                <w:i w:val="0"/>
                <w:iCs w:val="0"/>
                <w:caps w:val="0"/>
                <w:color w:val="auto"/>
                <w:spacing w:val="0"/>
                <w:sz w:val="18"/>
                <w:szCs w:val="18"/>
                <w:shd w:val="clear" w:fill="FFFFFF"/>
                <w:vertAlign w:val="baseline"/>
                <w:lang w:val="en-US" w:eastAsia="zh-CN"/>
              </w:rPr>
            </w:pPr>
            <w:r>
              <w:rPr>
                <w:rFonts w:hint="eastAsia" w:ascii="Helvetica" w:hAnsi="Helvetica" w:eastAsia="Helvetica" w:cs="Helvetica"/>
                <w:i w:val="0"/>
                <w:iCs w:val="0"/>
                <w:caps w:val="0"/>
                <w:color w:val="auto"/>
                <w:spacing w:val="0"/>
                <w:sz w:val="18"/>
                <w:szCs w:val="18"/>
                <w:shd w:val="clear" w:fill="FFFFFF"/>
                <w:vertAlign w:val="baseline"/>
                <w:lang w:val="en-US" w:eastAsia="zh-CN"/>
              </w:rPr>
              <w:t>Cash flow</w:t>
            </w:r>
          </w:p>
        </w:tc>
        <w:tc>
          <w:tcPr>
            <w:tcW w:w="193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Helvetica" w:hAnsi="Helvetica" w:eastAsia="Helvetica" w:cs="Helvetica"/>
                <w:i w:val="0"/>
                <w:iCs w:val="0"/>
                <w:caps w:val="0"/>
                <w:color w:val="auto"/>
                <w:spacing w:val="0"/>
                <w:sz w:val="18"/>
                <w:szCs w:val="18"/>
                <w:shd w:val="clear" w:fill="FFFFFF"/>
                <w:vertAlign w:val="baseline"/>
                <w:lang w:val="en-US" w:eastAsia="zh-CN"/>
              </w:rPr>
            </w:pPr>
            <w:r>
              <w:rPr>
                <w:rFonts w:hint="eastAsia" w:ascii="Helvetica" w:hAnsi="Helvetica" w:eastAsia="Helvetica" w:cs="Helvetica"/>
                <w:i w:val="0"/>
                <w:iCs w:val="0"/>
                <w:color w:val="auto"/>
                <w:spacing w:val="0"/>
                <w:sz w:val="18"/>
                <w:szCs w:val="18"/>
                <w:shd w:val="clear" w:fill="FFFFFF"/>
                <w:vertAlign w:val="baseline"/>
                <w:lang w:val="en-US" w:eastAsia="zh-CN"/>
              </w:rPr>
              <w:t>C</w:t>
            </w:r>
            <w:r>
              <w:rPr>
                <w:rFonts w:hint="eastAsia" w:ascii="Helvetica" w:hAnsi="Helvetica" w:eastAsia="Helvetica" w:cs="Helvetica"/>
                <w:i w:val="0"/>
                <w:iCs w:val="0"/>
                <w:caps w:val="0"/>
                <w:color w:val="auto"/>
                <w:spacing w:val="0"/>
                <w:sz w:val="18"/>
                <w:szCs w:val="18"/>
                <w:shd w:val="clear" w:fill="FFFFFF"/>
                <w:vertAlign w:val="baseline"/>
                <w:lang w:val="en-US" w:eastAsia="zh-CN"/>
              </w:rPr>
              <w:t>umulative cash flow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1260"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Helvetica" w:hAnsi="Helvetica" w:eastAsia="Helvetica" w:cs="Helvetica"/>
                <w:i w:val="0"/>
                <w:iCs w:val="0"/>
                <w:caps w:val="0"/>
                <w:color w:val="auto"/>
                <w:spacing w:val="0"/>
                <w:sz w:val="18"/>
                <w:szCs w:val="18"/>
                <w:shd w:val="clear" w:fill="FFFFFF"/>
                <w:vertAlign w:val="baseline"/>
                <w:lang w:val="en-US" w:eastAsia="zh-CN"/>
              </w:rPr>
            </w:pPr>
            <w:r>
              <w:rPr>
                <w:rFonts w:hint="eastAsia" w:ascii="Helvetica" w:hAnsi="Helvetica" w:eastAsia="Helvetica" w:cs="Helvetica"/>
                <w:i w:val="0"/>
                <w:iCs w:val="0"/>
                <w:caps w:val="0"/>
                <w:color w:val="auto"/>
                <w:spacing w:val="0"/>
                <w:sz w:val="18"/>
                <w:szCs w:val="18"/>
                <w:shd w:val="clear" w:fill="FFFFFF"/>
                <w:vertAlign w:val="baseline"/>
                <w:lang w:val="en-US" w:eastAsia="zh-CN"/>
              </w:rPr>
              <w:t>0</w:t>
            </w:r>
          </w:p>
        </w:tc>
        <w:tc>
          <w:tcPr>
            <w:tcW w:w="152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Helvetica" w:hAnsi="Helvetica" w:eastAsia="Helvetica" w:cs="Helvetica"/>
                <w:i w:val="0"/>
                <w:iCs w:val="0"/>
                <w:caps w:val="0"/>
                <w:color w:val="auto"/>
                <w:spacing w:val="0"/>
                <w:sz w:val="18"/>
                <w:szCs w:val="18"/>
                <w:shd w:val="clear" w:fill="FFFFFF"/>
                <w:vertAlign w:val="baseline"/>
                <w:lang w:val="en-US" w:eastAsia="zh-CN"/>
              </w:rPr>
            </w:pPr>
            <w:r>
              <w:rPr>
                <w:rFonts w:hint="eastAsia" w:ascii="Helvetica" w:hAnsi="Helvetica" w:eastAsia="Helvetica" w:cs="Helvetica"/>
                <w:i w:val="0"/>
                <w:iCs w:val="0"/>
                <w:caps w:val="0"/>
                <w:color w:val="auto"/>
                <w:spacing w:val="0"/>
                <w:sz w:val="18"/>
                <w:szCs w:val="18"/>
                <w:shd w:val="clear" w:fill="FFFFFF"/>
                <w:vertAlign w:val="baseline"/>
                <w:lang w:val="en-US" w:eastAsia="zh-CN"/>
              </w:rPr>
              <w:t>(100,000)</w:t>
            </w:r>
          </w:p>
        </w:tc>
        <w:tc>
          <w:tcPr>
            <w:tcW w:w="193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Helvetica" w:hAnsi="Helvetica" w:eastAsia="Helvetica" w:cs="Helvetica"/>
                <w:i w:val="0"/>
                <w:iCs w:val="0"/>
                <w:caps w:val="0"/>
                <w:color w:val="auto"/>
                <w:spacing w:val="0"/>
                <w:sz w:val="18"/>
                <w:szCs w:val="18"/>
                <w:shd w:val="clear" w:fill="FFFFFF"/>
                <w:vertAlign w:val="baseline"/>
                <w:lang w:val="en-US" w:eastAsia="zh-CN"/>
              </w:rPr>
            </w:pPr>
            <w:r>
              <w:rPr>
                <w:rFonts w:hint="eastAsia" w:ascii="Helvetica" w:hAnsi="Helvetica" w:eastAsia="Helvetica" w:cs="Helvetica"/>
                <w:i w:val="0"/>
                <w:iCs w:val="0"/>
                <w:caps w:val="0"/>
                <w:color w:val="auto"/>
                <w:spacing w:val="0"/>
                <w:sz w:val="18"/>
                <w:szCs w:val="18"/>
                <w:shd w:val="clear" w:fill="FFFFFF"/>
                <w:vertAlign w:val="baseline"/>
                <w:lang w:val="en-US" w:eastAsia="zh-CN"/>
              </w:rPr>
              <w:t>(100,000)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1260"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Helvetica" w:hAnsi="Helvetica" w:eastAsia="Helvetica" w:cs="Helvetica"/>
                <w:i w:val="0"/>
                <w:iCs w:val="0"/>
                <w:caps w:val="0"/>
                <w:color w:val="auto"/>
                <w:spacing w:val="0"/>
                <w:sz w:val="18"/>
                <w:szCs w:val="18"/>
                <w:shd w:val="clear" w:fill="FFFFFF"/>
                <w:vertAlign w:val="baseline"/>
                <w:lang w:val="en-US" w:eastAsia="zh-CN"/>
              </w:rPr>
            </w:pPr>
            <w:r>
              <w:rPr>
                <w:rFonts w:hint="eastAsia" w:ascii="Helvetica" w:hAnsi="Helvetica" w:eastAsia="Helvetica" w:cs="Helvetica"/>
                <w:i w:val="0"/>
                <w:iCs w:val="0"/>
                <w:caps w:val="0"/>
                <w:color w:val="auto"/>
                <w:spacing w:val="0"/>
                <w:sz w:val="18"/>
                <w:szCs w:val="18"/>
                <w:shd w:val="clear" w:fill="FFFFFF"/>
                <w:vertAlign w:val="baseline"/>
                <w:lang w:val="en-US" w:eastAsia="zh-CN"/>
              </w:rPr>
              <w:t>1</w:t>
            </w:r>
          </w:p>
        </w:tc>
        <w:tc>
          <w:tcPr>
            <w:tcW w:w="152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Helvetica" w:hAnsi="Helvetica" w:eastAsia="Helvetica" w:cs="Helvetica"/>
                <w:i w:val="0"/>
                <w:iCs w:val="0"/>
                <w:caps w:val="0"/>
                <w:color w:val="auto"/>
                <w:spacing w:val="0"/>
                <w:sz w:val="18"/>
                <w:szCs w:val="18"/>
                <w:shd w:val="clear" w:fill="FFFFFF"/>
                <w:vertAlign w:val="baseline"/>
                <w:lang w:val="en-US" w:eastAsia="zh-CN"/>
              </w:rPr>
            </w:pPr>
            <w:r>
              <w:rPr>
                <w:rFonts w:hint="eastAsia" w:ascii="Helvetica" w:hAnsi="Helvetica" w:eastAsia="Helvetica" w:cs="Helvetica"/>
                <w:i w:val="0"/>
                <w:iCs w:val="0"/>
                <w:caps w:val="0"/>
                <w:color w:val="auto"/>
                <w:spacing w:val="0"/>
                <w:sz w:val="18"/>
                <w:szCs w:val="18"/>
                <w:shd w:val="clear" w:fill="FFFFFF"/>
                <w:vertAlign w:val="baseline"/>
                <w:lang w:val="en-US" w:eastAsia="zh-CN"/>
              </w:rPr>
              <w:t>40,000</w:t>
            </w:r>
          </w:p>
        </w:tc>
        <w:tc>
          <w:tcPr>
            <w:tcW w:w="193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Helvetica" w:hAnsi="Helvetica" w:eastAsia="Helvetica" w:cs="Helvetica"/>
                <w:i w:val="0"/>
                <w:iCs w:val="0"/>
                <w:caps w:val="0"/>
                <w:color w:val="auto"/>
                <w:spacing w:val="0"/>
                <w:sz w:val="18"/>
                <w:szCs w:val="18"/>
                <w:shd w:val="clear" w:fill="FFFFFF"/>
                <w:vertAlign w:val="baseline"/>
                <w:lang w:val="en-US" w:eastAsia="zh-CN"/>
              </w:rPr>
            </w:pPr>
            <w:r>
              <w:rPr>
                <w:rFonts w:hint="eastAsia" w:ascii="Helvetica" w:hAnsi="Helvetica" w:eastAsia="Helvetica" w:cs="Helvetica"/>
                <w:i w:val="0"/>
                <w:iCs w:val="0"/>
                <w:caps w:val="0"/>
                <w:color w:val="auto"/>
                <w:spacing w:val="0"/>
                <w:sz w:val="18"/>
                <w:szCs w:val="18"/>
                <w:shd w:val="clear" w:fill="FFFFFF"/>
                <w:vertAlign w:val="baseline"/>
                <w:lang w:val="en-US" w:eastAsia="zh-CN"/>
              </w:rPr>
              <w:t>(60,000)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1260"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Helvetica" w:hAnsi="Helvetica" w:eastAsia="Helvetica" w:cs="Helvetica"/>
                <w:i w:val="0"/>
                <w:iCs w:val="0"/>
                <w:caps w:val="0"/>
                <w:color w:val="auto"/>
                <w:spacing w:val="0"/>
                <w:sz w:val="18"/>
                <w:szCs w:val="18"/>
                <w:shd w:val="clear" w:fill="FFFFFF"/>
                <w:vertAlign w:val="baseline"/>
                <w:lang w:val="en-US" w:eastAsia="zh-CN"/>
              </w:rPr>
            </w:pPr>
            <w:r>
              <w:rPr>
                <w:rFonts w:hint="eastAsia" w:ascii="Helvetica" w:hAnsi="Helvetica" w:eastAsia="Helvetica" w:cs="Helvetica"/>
                <w:i w:val="0"/>
                <w:iCs w:val="0"/>
                <w:caps w:val="0"/>
                <w:color w:val="auto"/>
                <w:spacing w:val="0"/>
                <w:sz w:val="18"/>
                <w:szCs w:val="18"/>
                <w:shd w:val="clear" w:fill="FFFFFF"/>
                <w:vertAlign w:val="baseline"/>
                <w:lang w:val="en-US" w:eastAsia="zh-CN"/>
              </w:rPr>
              <w:t>2</w:t>
            </w:r>
          </w:p>
        </w:tc>
        <w:tc>
          <w:tcPr>
            <w:tcW w:w="152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Helvetica" w:hAnsi="Helvetica" w:eastAsia="Helvetica" w:cs="Helvetica"/>
                <w:i w:val="0"/>
                <w:iCs w:val="0"/>
                <w:caps w:val="0"/>
                <w:color w:val="auto"/>
                <w:spacing w:val="0"/>
                <w:sz w:val="18"/>
                <w:szCs w:val="18"/>
                <w:shd w:val="clear" w:fill="FFFFFF"/>
                <w:vertAlign w:val="baseline"/>
                <w:lang w:val="en-US" w:eastAsia="zh-CN"/>
              </w:rPr>
            </w:pPr>
            <w:r>
              <w:rPr>
                <w:rFonts w:hint="eastAsia" w:ascii="Helvetica" w:hAnsi="Helvetica" w:eastAsia="Helvetica" w:cs="Helvetica"/>
                <w:i w:val="0"/>
                <w:iCs w:val="0"/>
                <w:caps w:val="0"/>
                <w:color w:val="auto"/>
                <w:spacing w:val="0"/>
                <w:sz w:val="18"/>
                <w:szCs w:val="18"/>
                <w:shd w:val="clear" w:fill="FFFFFF"/>
                <w:vertAlign w:val="baseline"/>
                <w:lang w:val="en-US" w:eastAsia="zh-CN"/>
              </w:rPr>
              <w:t>50,000</w:t>
            </w:r>
          </w:p>
        </w:tc>
        <w:tc>
          <w:tcPr>
            <w:tcW w:w="193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Helvetica" w:hAnsi="Helvetica" w:eastAsia="Helvetica" w:cs="Helvetica"/>
                <w:i w:val="0"/>
                <w:iCs w:val="0"/>
                <w:caps w:val="0"/>
                <w:color w:val="auto"/>
                <w:spacing w:val="0"/>
                <w:sz w:val="18"/>
                <w:szCs w:val="18"/>
                <w:shd w:val="clear" w:fill="FFFFFF"/>
                <w:vertAlign w:val="baseline"/>
                <w:lang w:val="en-US" w:eastAsia="zh-CN"/>
              </w:rPr>
            </w:pPr>
            <w:r>
              <w:rPr>
                <w:rFonts w:hint="eastAsia" w:ascii="Helvetica" w:hAnsi="Helvetica" w:eastAsia="Helvetica" w:cs="Helvetica"/>
                <w:i w:val="0"/>
                <w:iCs w:val="0"/>
                <w:caps w:val="0"/>
                <w:color w:val="auto"/>
                <w:spacing w:val="0"/>
                <w:sz w:val="18"/>
                <w:szCs w:val="18"/>
                <w:shd w:val="clear" w:fill="FFFFFF"/>
                <w:vertAlign w:val="baseline"/>
                <w:lang w:val="en-US" w:eastAsia="zh-CN"/>
              </w:rPr>
              <w:t>(10,000)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1260"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Helvetica" w:hAnsi="Helvetica" w:eastAsia="Helvetica" w:cs="Helvetica"/>
                <w:i w:val="0"/>
                <w:iCs w:val="0"/>
                <w:caps w:val="0"/>
                <w:color w:val="auto"/>
                <w:spacing w:val="0"/>
                <w:sz w:val="18"/>
                <w:szCs w:val="18"/>
                <w:shd w:val="clear" w:fill="FFFFFF"/>
                <w:vertAlign w:val="baseline"/>
                <w:lang w:val="en-US" w:eastAsia="zh-CN"/>
              </w:rPr>
            </w:pPr>
            <w:r>
              <w:rPr>
                <w:rFonts w:hint="eastAsia" w:ascii="Helvetica" w:hAnsi="Helvetica" w:eastAsia="Helvetica" w:cs="Helvetica"/>
                <w:i w:val="0"/>
                <w:iCs w:val="0"/>
                <w:caps w:val="0"/>
                <w:color w:val="auto"/>
                <w:spacing w:val="0"/>
                <w:sz w:val="18"/>
                <w:szCs w:val="18"/>
                <w:shd w:val="clear" w:fill="FFFFFF"/>
                <w:vertAlign w:val="baseline"/>
                <w:lang w:val="en-US" w:eastAsia="zh-CN"/>
              </w:rPr>
              <w:t>3</w:t>
            </w:r>
          </w:p>
        </w:tc>
        <w:tc>
          <w:tcPr>
            <w:tcW w:w="152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Helvetica" w:hAnsi="Helvetica" w:eastAsia="Helvetica" w:cs="Helvetica"/>
                <w:i w:val="0"/>
                <w:iCs w:val="0"/>
                <w:caps w:val="0"/>
                <w:color w:val="auto"/>
                <w:spacing w:val="0"/>
                <w:sz w:val="18"/>
                <w:szCs w:val="18"/>
                <w:shd w:val="clear" w:fill="FFFFFF"/>
                <w:vertAlign w:val="baseline"/>
                <w:lang w:val="en-US" w:eastAsia="zh-CN"/>
              </w:rPr>
            </w:pPr>
            <w:r>
              <w:rPr>
                <w:rFonts w:hint="eastAsia" w:ascii="Helvetica" w:hAnsi="Helvetica" w:eastAsia="Helvetica" w:cs="Helvetica"/>
                <w:i w:val="0"/>
                <w:iCs w:val="0"/>
                <w:caps w:val="0"/>
                <w:color w:val="auto"/>
                <w:spacing w:val="0"/>
                <w:sz w:val="18"/>
                <w:szCs w:val="18"/>
                <w:shd w:val="clear" w:fill="FFFFFF"/>
                <w:vertAlign w:val="baseline"/>
                <w:lang w:val="en-US" w:eastAsia="zh-CN"/>
              </w:rPr>
              <w:t>55,000</w:t>
            </w:r>
          </w:p>
        </w:tc>
        <w:tc>
          <w:tcPr>
            <w:tcW w:w="193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Helvetica" w:hAnsi="Helvetica" w:eastAsia="Helvetica" w:cs="Helvetica"/>
                <w:i w:val="0"/>
                <w:iCs w:val="0"/>
                <w:caps w:val="0"/>
                <w:color w:val="auto"/>
                <w:spacing w:val="0"/>
                <w:sz w:val="18"/>
                <w:szCs w:val="18"/>
                <w:shd w:val="clear" w:fill="FFFFFF"/>
                <w:vertAlign w:val="baseline"/>
                <w:lang w:val="en-US" w:eastAsia="zh-CN"/>
              </w:rPr>
            </w:pPr>
            <w:r>
              <w:rPr>
                <w:rFonts w:hint="eastAsia" w:ascii="Helvetica" w:hAnsi="Helvetica" w:eastAsia="Helvetica" w:cs="Helvetica"/>
                <w:i w:val="0"/>
                <w:iCs w:val="0"/>
                <w:caps w:val="0"/>
                <w:color w:val="auto"/>
                <w:spacing w:val="0"/>
                <w:sz w:val="18"/>
                <w:szCs w:val="18"/>
                <w:shd w:val="clear" w:fill="FFFFFF"/>
                <w:vertAlign w:val="baseline"/>
                <w:lang w:val="en-US" w:eastAsia="zh-CN"/>
              </w:rPr>
              <w:t>45,000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1260"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Helvetica" w:hAnsi="Helvetica" w:eastAsia="Helvetica" w:cs="Helvetica"/>
                <w:i w:val="0"/>
                <w:iCs w:val="0"/>
                <w:caps w:val="0"/>
                <w:color w:val="auto"/>
                <w:spacing w:val="0"/>
                <w:sz w:val="18"/>
                <w:szCs w:val="18"/>
                <w:shd w:val="clear" w:fill="FFFFFF"/>
                <w:vertAlign w:val="baseline"/>
                <w:lang w:val="en-US" w:eastAsia="zh-CN"/>
              </w:rPr>
            </w:pPr>
            <w:r>
              <w:rPr>
                <w:rFonts w:hint="eastAsia" w:ascii="Helvetica" w:hAnsi="Helvetica" w:eastAsia="Helvetica" w:cs="Helvetica"/>
                <w:i w:val="0"/>
                <w:iCs w:val="0"/>
                <w:caps w:val="0"/>
                <w:color w:val="auto"/>
                <w:spacing w:val="0"/>
                <w:sz w:val="18"/>
                <w:szCs w:val="18"/>
                <w:shd w:val="clear" w:fill="FFFFFF"/>
                <w:vertAlign w:val="baseline"/>
                <w:lang w:val="en-US" w:eastAsia="zh-CN"/>
              </w:rPr>
              <w:t>4</w:t>
            </w:r>
          </w:p>
        </w:tc>
        <w:tc>
          <w:tcPr>
            <w:tcW w:w="152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Helvetica" w:hAnsi="Helvetica" w:eastAsia="Helvetica" w:cs="Helvetica"/>
                <w:i w:val="0"/>
                <w:iCs w:val="0"/>
                <w:caps w:val="0"/>
                <w:color w:val="auto"/>
                <w:spacing w:val="0"/>
                <w:sz w:val="18"/>
                <w:szCs w:val="18"/>
                <w:shd w:val="clear" w:fill="FFFFFF"/>
                <w:vertAlign w:val="baseline"/>
                <w:lang w:val="en-US" w:eastAsia="zh-CN"/>
              </w:rPr>
            </w:pPr>
            <w:r>
              <w:rPr>
                <w:rFonts w:hint="eastAsia" w:ascii="Helvetica" w:hAnsi="Helvetica" w:eastAsia="Helvetica" w:cs="Helvetica"/>
                <w:i w:val="0"/>
                <w:iCs w:val="0"/>
                <w:caps w:val="0"/>
                <w:color w:val="auto"/>
                <w:spacing w:val="0"/>
                <w:sz w:val="18"/>
                <w:szCs w:val="18"/>
                <w:shd w:val="clear" w:fill="FFFFFF"/>
                <w:vertAlign w:val="baseline"/>
                <w:lang w:val="en-US" w:eastAsia="zh-CN"/>
              </w:rPr>
              <w:t>45,000</w:t>
            </w:r>
          </w:p>
        </w:tc>
        <w:tc>
          <w:tcPr>
            <w:tcW w:w="193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Helvetica" w:hAnsi="Helvetica" w:eastAsia="Helvetica" w:cs="Helvetica"/>
                <w:i w:val="0"/>
                <w:iCs w:val="0"/>
                <w:caps w:val="0"/>
                <w:color w:val="auto"/>
                <w:spacing w:val="0"/>
                <w:sz w:val="18"/>
                <w:szCs w:val="18"/>
                <w:shd w:val="clear" w:fill="FFFFFF"/>
                <w:vertAlign w:val="baseline"/>
                <w:lang w:val="en-US" w:eastAsia="zh-CN"/>
              </w:rPr>
            </w:pPr>
            <w:r>
              <w:rPr>
                <w:rFonts w:hint="eastAsia" w:ascii="Helvetica" w:hAnsi="Helvetica" w:eastAsia="Helvetica" w:cs="Helvetica"/>
                <w:i w:val="0"/>
                <w:iCs w:val="0"/>
                <w:caps w:val="0"/>
                <w:color w:val="auto"/>
                <w:spacing w:val="0"/>
                <w:sz w:val="18"/>
                <w:szCs w:val="18"/>
                <w:shd w:val="clear" w:fill="FFFFFF"/>
                <w:vertAlign w:val="baseline"/>
                <w:lang w:val="en-US" w:eastAsia="zh-CN"/>
              </w:rPr>
              <w:t>90,000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1260"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Helvetica" w:hAnsi="Helvetica" w:eastAsia="Helvetica" w:cs="Helvetica"/>
                <w:i w:val="0"/>
                <w:iCs w:val="0"/>
                <w:caps w:val="0"/>
                <w:color w:val="auto"/>
                <w:spacing w:val="0"/>
                <w:sz w:val="18"/>
                <w:szCs w:val="18"/>
                <w:shd w:val="clear" w:fill="FFFFFF"/>
                <w:vertAlign w:val="baseline"/>
                <w:lang w:val="en-US" w:eastAsia="zh-CN"/>
              </w:rPr>
            </w:pPr>
            <w:r>
              <w:rPr>
                <w:rFonts w:hint="eastAsia" w:ascii="Helvetica" w:hAnsi="Helvetica" w:eastAsia="Helvetica" w:cs="Helvetica"/>
                <w:i w:val="0"/>
                <w:iCs w:val="0"/>
                <w:caps w:val="0"/>
                <w:color w:val="auto"/>
                <w:spacing w:val="0"/>
                <w:sz w:val="18"/>
                <w:szCs w:val="18"/>
                <w:shd w:val="clear" w:fill="FFFFFF"/>
                <w:vertAlign w:val="baseline"/>
                <w:lang w:val="en-US" w:eastAsia="zh-CN"/>
              </w:rPr>
              <w:t>5</w:t>
            </w:r>
          </w:p>
        </w:tc>
        <w:tc>
          <w:tcPr>
            <w:tcW w:w="152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Helvetica" w:hAnsi="Helvetica" w:eastAsia="Helvetica" w:cs="Helvetica"/>
                <w:i w:val="0"/>
                <w:iCs w:val="0"/>
                <w:caps w:val="0"/>
                <w:color w:val="auto"/>
                <w:spacing w:val="0"/>
                <w:sz w:val="18"/>
                <w:szCs w:val="18"/>
                <w:shd w:val="clear" w:fill="FFFFFF"/>
                <w:vertAlign w:val="baseline"/>
                <w:lang w:val="en-US" w:eastAsia="zh-CN"/>
              </w:rPr>
            </w:pPr>
            <w:r>
              <w:rPr>
                <w:rFonts w:hint="eastAsia" w:ascii="Helvetica" w:hAnsi="Helvetica" w:eastAsia="Helvetica" w:cs="Helvetica"/>
                <w:i w:val="0"/>
                <w:iCs w:val="0"/>
                <w:caps w:val="0"/>
                <w:color w:val="auto"/>
                <w:spacing w:val="0"/>
                <w:sz w:val="18"/>
                <w:szCs w:val="18"/>
                <w:shd w:val="clear" w:fill="FFFFFF"/>
                <w:vertAlign w:val="baseline"/>
                <w:lang w:val="en-US" w:eastAsia="zh-CN"/>
              </w:rPr>
              <w:t>60,000</w:t>
            </w:r>
          </w:p>
        </w:tc>
        <w:tc>
          <w:tcPr>
            <w:tcW w:w="193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Helvetica" w:hAnsi="Helvetica" w:eastAsia="Helvetica" w:cs="Helvetica"/>
                <w:i w:val="0"/>
                <w:iCs w:val="0"/>
                <w:caps w:val="0"/>
                <w:color w:val="auto"/>
                <w:spacing w:val="0"/>
                <w:sz w:val="18"/>
                <w:szCs w:val="18"/>
                <w:shd w:val="clear" w:fill="FFFFFF"/>
                <w:vertAlign w:val="baseline"/>
                <w:lang w:val="en-US" w:eastAsia="zh-CN"/>
              </w:rPr>
            </w:pPr>
            <w:r>
              <w:rPr>
                <w:rFonts w:hint="eastAsia" w:ascii="Helvetica" w:hAnsi="Helvetica" w:eastAsia="Helvetica" w:cs="Helvetica"/>
                <w:i w:val="0"/>
                <w:iCs w:val="0"/>
                <w:caps w:val="0"/>
                <w:color w:val="auto"/>
                <w:spacing w:val="0"/>
                <w:sz w:val="18"/>
                <w:szCs w:val="18"/>
                <w:shd w:val="clear" w:fill="FFFFFF"/>
                <w:vertAlign w:val="baseline"/>
                <w:lang w:val="en-US" w:eastAsia="zh-CN"/>
              </w:rPr>
              <w:t>150,000</w:t>
            </w:r>
          </w:p>
        </w:tc>
      </w:tr>
    </w:tbl>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bCs/>
          <w:sz w:val="24"/>
          <w:szCs w:val="24"/>
          <w:lang w:val="en-US" w:eastAsia="zh-CN"/>
        </w:rPr>
      </w:pPr>
      <w:r>
        <w:rPr>
          <w:rFonts w:hint="default" w:ascii="Times New Roman" w:hAnsi="Times New Roman" w:eastAsia="Helvetica" w:cs="Times New Roman"/>
          <w:i w:val="0"/>
          <w:iCs w:val="0"/>
          <w:caps w:val="0"/>
          <w:color w:val="auto"/>
          <w:spacing w:val="0"/>
          <w:sz w:val="24"/>
          <w:szCs w:val="24"/>
          <w:shd w:val="clear" w:fill="FFFFFF"/>
        </w:rPr>
        <w:t xml:space="preserve">Towards the end of the third year, as can be seen, the total cash flows start to turn positive. The exact payback period would be: </w:t>
      </w:r>
      <w:r>
        <w:rPr>
          <w:rFonts w:hint="default" w:ascii="Times New Roman" w:hAnsi="Times New Roman" w:eastAsia="宋体" w:cs="Times New Roman"/>
          <w:i w:val="0"/>
          <w:iCs w:val="0"/>
          <w:caps w:val="0"/>
          <w:color w:val="auto"/>
          <w:spacing w:val="0"/>
          <w:sz w:val="24"/>
          <w:szCs w:val="24"/>
          <w:shd w:val="clear" w:fill="FFFFFF"/>
          <w:lang w:val="en-US" w:eastAsia="zh-CN"/>
        </w:rPr>
        <w:t>2 years+(</w:t>
      </w:r>
      <m:oMath>
        <m:f>
          <m:fPr>
            <m:ctrlPr>
              <w:rPr>
                <w:rFonts w:hint="default" w:ascii="Cambria Math" w:hAnsi="Cambria Math" w:cs="Times New Roman"/>
                <w:i/>
                <w:iCs w:val="0"/>
                <w:caps w:val="0"/>
                <w:color w:val="auto"/>
                <w:spacing w:val="0"/>
                <w:sz w:val="24"/>
                <w:szCs w:val="24"/>
                <w:shd w:val="clear" w:fill="FFFFFF"/>
                <w:lang w:val="en-US"/>
              </w:rPr>
            </m:ctrlPr>
          </m:fPr>
          <m:num>
            <m:r>
              <m:rPr/>
              <w:rPr>
                <w:rFonts w:hint="default" w:ascii="Cambria Math" w:hAnsi="Cambria Math" w:cs="Times New Roman"/>
                <w:caps w:val="0"/>
                <w:color w:val="auto"/>
                <w:spacing w:val="0"/>
                <w:sz w:val="24"/>
                <w:szCs w:val="24"/>
                <w:shd w:val="clear" w:fill="FFFFFF"/>
                <w:lang w:val="en-US" w:eastAsia="zh-CN"/>
              </w:rPr>
              <m:t>10,000</m:t>
            </m:r>
            <m:ctrlPr>
              <w:rPr>
                <w:rFonts w:hint="default" w:ascii="Cambria Math" w:hAnsi="Cambria Math" w:cs="Times New Roman"/>
                <w:i/>
                <w:iCs w:val="0"/>
                <w:caps w:val="0"/>
                <w:color w:val="auto"/>
                <w:spacing w:val="0"/>
                <w:sz w:val="24"/>
                <w:szCs w:val="24"/>
                <w:shd w:val="clear" w:fill="FFFFFF"/>
                <w:lang w:val="en-US"/>
              </w:rPr>
            </m:ctrlPr>
          </m:num>
          <m:den>
            <m:r>
              <m:rPr/>
              <w:rPr>
                <w:rFonts w:hint="default" w:ascii="Cambria Math" w:hAnsi="Cambria Math" w:cs="Times New Roman"/>
                <w:caps w:val="0"/>
                <w:color w:val="auto"/>
                <w:spacing w:val="0"/>
                <w:sz w:val="24"/>
                <w:szCs w:val="24"/>
                <w:shd w:val="clear" w:fill="FFFFFF"/>
                <w:lang w:val="en-US" w:eastAsia="zh-CN"/>
              </w:rPr>
              <m:t>55,000</m:t>
            </m:r>
            <m:ctrlPr>
              <w:rPr>
                <w:rFonts w:hint="default" w:ascii="Cambria Math" w:hAnsi="Cambria Math" w:cs="Times New Roman"/>
                <w:i/>
                <w:iCs w:val="0"/>
                <w:caps w:val="0"/>
                <w:color w:val="auto"/>
                <w:spacing w:val="0"/>
                <w:sz w:val="24"/>
                <w:szCs w:val="24"/>
                <w:shd w:val="clear" w:fill="FFFFFF"/>
                <w:lang w:val="en-US"/>
              </w:rPr>
            </m:ctrlPr>
          </m:den>
        </m:f>
      </m:oMath>
      <w:r>
        <w:rPr>
          <w:rFonts w:hint="default" w:ascii="Times New Roman" w:hAnsi="Times New Roman" w:eastAsia="宋体" w:cs="Times New Roman"/>
          <w:i w:val="0"/>
          <w:iCs w:val="0"/>
          <w:caps w:val="0"/>
          <w:color w:val="auto"/>
          <w:spacing w:val="0"/>
          <w:sz w:val="24"/>
          <w:szCs w:val="24"/>
          <w:shd w:val="clear" w:fill="FFFFFF"/>
          <w:lang w:val="en-US" w:eastAsia="zh-CN"/>
        </w:rPr>
        <w:t>) years=2.18 years</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PP for Machine B</w:t>
      </w:r>
    </w:p>
    <w:tbl>
      <w:tblPr>
        <w:tblStyle w:val="10"/>
        <w:tblW w:w="0" w:type="auto"/>
        <w:tblInd w:w="12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23"/>
        <w:gridCol w:w="1797"/>
        <w:gridCol w:w="22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1123"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Helvetica" w:hAnsi="Helvetica" w:eastAsia="Helvetica" w:cs="Helvetica"/>
                <w:i w:val="0"/>
                <w:iCs w:val="0"/>
                <w:caps w:val="0"/>
                <w:color w:val="auto"/>
                <w:spacing w:val="0"/>
                <w:sz w:val="18"/>
                <w:szCs w:val="18"/>
                <w:shd w:val="clear" w:fill="FFFFFF"/>
                <w:vertAlign w:val="baseline"/>
                <w:lang w:val="en-US" w:eastAsia="zh-CN"/>
              </w:rPr>
            </w:pPr>
            <w:r>
              <w:rPr>
                <w:rFonts w:hint="eastAsia" w:ascii="Helvetica" w:hAnsi="Helvetica" w:eastAsia="Helvetica" w:cs="Helvetica"/>
                <w:i w:val="0"/>
                <w:iCs w:val="0"/>
                <w:caps w:val="0"/>
                <w:color w:val="auto"/>
                <w:spacing w:val="0"/>
                <w:sz w:val="18"/>
                <w:szCs w:val="18"/>
                <w:shd w:val="clear" w:fill="FFFFFF"/>
                <w:vertAlign w:val="baseline"/>
                <w:lang w:val="en-US" w:eastAsia="zh-CN"/>
              </w:rPr>
              <w:t>Year</w:t>
            </w:r>
          </w:p>
        </w:tc>
        <w:tc>
          <w:tcPr>
            <w:tcW w:w="179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Helvetica" w:hAnsi="Helvetica" w:eastAsia="Helvetica" w:cs="Helvetica"/>
                <w:i w:val="0"/>
                <w:iCs w:val="0"/>
                <w:caps w:val="0"/>
                <w:color w:val="auto"/>
                <w:spacing w:val="0"/>
                <w:sz w:val="18"/>
                <w:szCs w:val="18"/>
                <w:shd w:val="clear" w:fill="FFFFFF"/>
                <w:vertAlign w:val="baseline"/>
                <w:lang w:val="en-US" w:eastAsia="zh-CN"/>
              </w:rPr>
            </w:pPr>
            <w:r>
              <w:rPr>
                <w:rFonts w:hint="eastAsia" w:ascii="Helvetica" w:hAnsi="Helvetica" w:eastAsia="Helvetica" w:cs="Helvetica"/>
                <w:i w:val="0"/>
                <w:iCs w:val="0"/>
                <w:caps w:val="0"/>
                <w:color w:val="auto"/>
                <w:spacing w:val="0"/>
                <w:sz w:val="18"/>
                <w:szCs w:val="18"/>
                <w:shd w:val="clear" w:fill="FFFFFF"/>
                <w:vertAlign w:val="baseline"/>
                <w:lang w:val="en-US" w:eastAsia="zh-CN"/>
              </w:rPr>
              <w:t>Cash flow</w:t>
            </w:r>
          </w:p>
        </w:tc>
        <w:tc>
          <w:tcPr>
            <w:tcW w:w="2270"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Helvetica" w:hAnsi="Helvetica" w:eastAsia="Helvetica" w:cs="Helvetica"/>
                <w:i w:val="0"/>
                <w:iCs w:val="0"/>
                <w:caps w:val="0"/>
                <w:color w:val="auto"/>
                <w:spacing w:val="0"/>
                <w:sz w:val="18"/>
                <w:szCs w:val="18"/>
                <w:shd w:val="clear" w:fill="FFFFFF"/>
                <w:vertAlign w:val="baseline"/>
                <w:lang w:val="en-US" w:eastAsia="zh-CN"/>
              </w:rPr>
            </w:pPr>
            <w:r>
              <w:rPr>
                <w:rFonts w:hint="eastAsia" w:ascii="Helvetica" w:hAnsi="Helvetica" w:eastAsia="Helvetica" w:cs="Helvetica"/>
                <w:i w:val="0"/>
                <w:iCs w:val="0"/>
                <w:color w:val="auto"/>
                <w:spacing w:val="0"/>
                <w:sz w:val="18"/>
                <w:szCs w:val="18"/>
                <w:shd w:val="clear" w:fill="FFFFFF"/>
                <w:vertAlign w:val="baseline"/>
                <w:lang w:val="en-US" w:eastAsia="zh-CN"/>
              </w:rPr>
              <w:t>C</w:t>
            </w:r>
            <w:r>
              <w:rPr>
                <w:rFonts w:hint="eastAsia" w:ascii="Helvetica" w:hAnsi="Helvetica" w:eastAsia="Helvetica" w:cs="Helvetica"/>
                <w:i w:val="0"/>
                <w:iCs w:val="0"/>
                <w:caps w:val="0"/>
                <w:color w:val="auto"/>
                <w:spacing w:val="0"/>
                <w:sz w:val="18"/>
                <w:szCs w:val="18"/>
                <w:shd w:val="clear" w:fill="FFFFFF"/>
                <w:vertAlign w:val="baseline"/>
                <w:lang w:val="en-US" w:eastAsia="zh-CN"/>
              </w:rPr>
              <w:t>umulative cash flow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1123"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Helvetica" w:hAnsi="Helvetica" w:eastAsia="Helvetica" w:cs="Helvetica"/>
                <w:i w:val="0"/>
                <w:iCs w:val="0"/>
                <w:caps w:val="0"/>
                <w:color w:val="auto"/>
                <w:spacing w:val="0"/>
                <w:sz w:val="18"/>
                <w:szCs w:val="18"/>
                <w:shd w:val="clear" w:fill="FFFFFF"/>
                <w:vertAlign w:val="baseline"/>
                <w:lang w:val="en-US" w:eastAsia="zh-CN"/>
              </w:rPr>
            </w:pPr>
            <w:r>
              <w:rPr>
                <w:rFonts w:hint="eastAsia" w:ascii="Helvetica" w:hAnsi="Helvetica" w:eastAsia="Helvetica" w:cs="Helvetica"/>
                <w:i w:val="0"/>
                <w:iCs w:val="0"/>
                <w:caps w:val="0"/>
                <w:color w:val="auto"/>
                <w:spacing w:val="0"/>
                <w:sz w:val="18"/>
                <w:szCs w:val="18"/>
                <w:shd w:val="clear" w:fill="FFFFFF"/>
                <w:vertAlign w:val="baseline"/>
                <w:lang w:val="en-US" w:eastAsia="zh-CN"/>
              </w:rPr>
              <w:t>0</w:t>
            </w:r>
          </w:p>
        </w:tc>
        <w:tc>
          <w:tcPr>
            <w:tcW w:w="179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Helvetica" w:hAnsi="Helvetica" w:eastAsia="Helvetica" w:cs="Helvetica"/>
                <w:i w:val="0"/>
                <w:iCs w:val="0"/>
                <w:caps w:val="0"/>
                <w:color w:val="auto"/>
                <w:spacing w:val="0"/>
                <w:sz w:val="18"/>
                <w:szCs w:val="18"/>
                <w:shd w:val="clear" w:fill="FFFFFF"/>
                <w:vertAlign w:val="baseline"/>
                <w:lang w:val="en-US" w:eastAsia="zh-CN"/>
              </w:rPr>
            </w:pPr>
            <w:r>
              <w:rPr>
                <w:rFonts w:hint="eastAsia" w:ascii="Helvetica" w:hAnsi="Helvetica" w:eastAsia="Helvetica" w:cs="Helvetica"/>
                <w:i w:val="0"/>
                <w:iCs w:val="0"/>
                <w:caps w:val="0"/>
                <w:color w:val="auto"/>
                <w:spacing w:val="0"/>
                <w:sz w:val="18"/>
                <w:szCs w:val="18"/>
                <w:shd w:val="clear" w:fill="FFFFFF"/>
                <w:vertAlign w:val="baseline"/>
                <w:lang w:val="en-US" w:eastAsia="zh-CN"/>
              </w:rPr>
              <w:t>(100,000)</w:t>
            </w:r>
          </w:p>
        </w:tc>
        <w:tc>
          <w:tcPr>
            <w:tcW w:w="2270"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Helvetica" w:hAnsi="Helvetica" w:eastAsia="Helvetica" w:cs="Helvetica"/>
                <w:i w:val="0"/>
                <w:iCs w:val="0"/>
                <w:caps w:val="0"/>
                <w:color w:val="auto"/>
                <w:spacing w:val="0"/>
                <w:sz w:val="18"/>
                <w:szCs w:val="18"/>
                <w:shd w:val="clear" w:fill="FFFFFF"/>
                <w:vertAlign w:val="baseline"/>
                <w:lang w:val="en-US" w:eastAsia="zh-CN"/>
              </w:rPr>
            </w:pPr>
            <w:r>
              <w:rPr>
                <w:rFonts w:hint="eastAsia" w:ascii="Helvetica" w:hAnsi="Helvetica" w:eastAsia="Helvetica" w:cs="Helvetica"/>
                <w:i w:val="0"/>
                <w:iCs w:val="0"/>
                <w:caps w:val="0"/>
                <w:color w:val="auto"/>
                <w:spacing w:val="0"/>
                <w:sz w:val="18"/>
                <w:szCs w:val="18"/>
                <w:shd w:val="clear" w:fill="FFFFFF"/>
                <w:vertAlign w:val="baseline"/>
                <w:lang w:val="en-US" w:eastAsia="zh-CN"/>
              </w:rPr>
              <w:t>(100,000)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1123"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Helvetica" w:hAnsi="Helvetica" w:eastAsia="Helvetica" w:cs="Helvetica"/>
                <w:i w:val="0"/>
                <w:iCs w:val="0"/>
                <w:caps w:val="0"/>
                <w:color w:val="auto"/>
                <w:spacing w:val="0"/>
                <w:sz w:val="18"/>
                <w:szCs w:val="18"/>
                <w:shd w:val="clear" w:fill="FFFFFF"/>
                <w:vertAlign w:val="baseline"/>
                <w:lang w:val="en-US" w:eastAsia="zh-CN"/>
              </w:rPr>
            </w:pPr>
            <w:r>
              <w:rPr>
                <w:rFonts w:hint="eastAsia" w:ascii="Helvetica" w:hAnsi="Helvetica" w:eastAsia="Helvetica" w:cs="Helvetica"/>
                <w:i w:val="0"/>
                <w:iCs w:val="0"/>
                <w:caps w:val="0"/>
                <w:color w:val="auto"/>
                <w:spacing w:val="0"/>
                <w:sz w:val="18"/>
                <w:szCs w:val="18"/>
                <w:shd w:val="clear" w:fill="FFFFFF"/>
                <w:vertAlign w:val="baseline"/>
                <w:lang w:val="en-US" w:eastAsia="zh-CN"/>
              </w:rPr>
              <w:t>1</w:t>
            </w:r>
          </w:p>
        </w:tc>
        <w:tc>
          <w:tcPr>
            <w:tcW w:w="179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Helvetica" w:hAnsi="Helvetica" w:eastAsia="Helvetica" w:cs="Helvetica"/>
                <w:i w:val="0"/>
                <w:iCs w:val="0"/>
                <w:caps w:val="0"/>
                <w:color w:val="auto"/>
                <w:spacing w:val="0"/>
                <w:sz w:val="18"/>
                <w:szCs w:val="18"/>
                <w:shd w:val="clear" w:fill="FFFFFF"/>
                <w:vertAlign w:val="baseline"/>
                <w:lang w:val="en-US" w:eastAsia="zh-CN"/>
              </w:rPr>
            </w:pPr>
            <w:r>
              <w:rPr>
                <w:rFonts w:hint="eastAsia" w:ascii="Helvetica" w:hAnsi="Helvetica" w:eastAsia="Helvetica" w:cs="Helvetica"/>
                <w:i w:val="0"/>
                <w:iCs w:val="0"/>
                <w:caps w:val="0"/>
                <w:color w:val="auto"/>
                <w:spacing w:val="0"/>
                <w:sz w:val="18"/>
                <w:szCs w:val="18"/>
                <w:shd w:val="clear" w:fill="FFFFFF"/>
                <w:vertAlign w:val="baseline"/>
                <w:lang w:val="en-US" w:eastAsia="zh-CN"/>
              </w:rPr>
              <w:t>25,000</w:t>
            </w:r>
          </w:p>
        </w:tc>
        <w:tc>
          <w:tcPr>
            <w:tcW w:w="2270"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Helvetica" w:hAnsi="Helvetica" w:eastAsia="Helvetica" w:cs="Helvetica"/>
                <w:i w:val="0"/>
                <w:iCs w:val="0"/>
                <w:caps w:val="0"/>
                <w:color w:val="auto"/>
                <w:spacing w:val="0"/>
                <w:sz w:val="18"/>
                <w:szCs w:val="18"/>
                <w:shd w:val="clear" w:fill="FFFFFF"/>
                <w:vertAlign w:val="baseline"/>
                <w:lang w:val="en-US" w:eastAsia="zh-CN"/>
              </w:rPr>
            </w:pPr>
            <w:r>
              <w:rPr>
                <w:rFonts w:hint="eastAsia" w:ascii="Helvetica" w:hAnsi="Helvetica" w:eastAsia="Helvetica" w:cs="Helvetica"/>
                <w:i w:val="0"/>
                <w:iCs w:val="0"/>
                <w:caps w:val="0"/>
                <w:color w:val="auto"/>
                <w:spacing w:val="0"/>
                <w:sz w:val="18"/>
                <w:szCs w:val="18"/>
                <w:shd w:val="clear" w:fill="FFFFFF"/>
                <w:vertAlign w:val="baseline"/>
                <w:lang w:val="en-US" w:eastAsia="zh-CN"/>
              </w:rPr>
              <w:t>(75,000)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1123"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Helvetica" w:hAnsi="Helvetica" w:eastAsia="Helvetica" w:cs="Helvetica"/>
                <w:i w:val="0"/>
                <w:iCs w:val="0"/>
                <w:caps w:val="0"/>
                <w:color w:val="auto"/>
                <w:spacing w:val="0"/>
                <w:sz w:val="18"/>
                <w:szCs w:val="18"/>
                <w:shd w:val="clear" w:fill="FFFFFF"/>
                <w:vertAlign w:val="baseline"/>
                <w:lang w:val="en-US" w:eastAsia="zh-CN"/>
              </w:rPr>
            </w:pPr>
            <w:r>
              <w:rPr>
                <w:rFonts w:hint="eastAsia" w:ascii="Helvetica" w:hAnsi="Helvetica" w:eastAsia="Helvetica" w:cs="Helvetica"/>
                <w:i w:val="0"/>
                <w:iCs w:val="0"/>
                <w:caps w:val="0"/>
                <w:color w:val="auto"/>
                <w:spacing w:val="0"/>
                <w:sz w:val="18"/>
                <w:szCs w:val="18"/>
                <w:shd w:val="clear" w:fill="FFFFFF"/>
                <w:vertAlign w:val="baseline"/>
                <w:lang w:val="en-US" w:eastAsia="zh-CN"/>
              </w:rPr>
              <w:t>2</w:t>
            </w:r>
          </w:p>
        </w:tc>
        <w:tc>
          <w:tcPr>
            <w:tcW w:w="179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Helvetica" w:hAnsi="Helvetica" w:eastAsia="Helvetica" w:cs="Helvetica"/>
                <w:i w:val="0"/>
                <w:iCs w:val="0"/>
                <w:caps w:val="0"/>
                <w:color w:val="auto"/>
                <w:spacing w:val="0"/>
                <w:sz w:val="18"/>
                <w:szCs w:val="18"/>
                <w:shd w:val="clear" w:fill="FFFFFF"/>
                <w:vertAlign w:val="baseline"/>
                <w:lang w:val="en-US" w:eastAsia="zh-CN"/>
              </w:rPr>
            </w:pPr>
            <w:r>
              <w:rPr>
                <w:rFonts w:hint="eastAsia" w:ascii="Helvetica" w:hAnsi="Helvetica" w:eastAsia="Helvetica" w:cs="Helvetica"/>
                <w:i w:val="0"/>
                <w:iCs w:val="0"/>
                <w:caps w:val="0"/>
                <w:color w:val="auto"/>
                <w:spacing w:val="0"/>
                <w:sz w:val="18"/>
                <w:szCs w:val="18"/>
                <w:shd w:val="clear" w:fill="FFFFFF"/>
                <w:vertAlign w:val="baseline"/>
                <w:lang w:val="en-US" w:eastAsia="zh-CN"/>
              </w:rPr>
              <w:t>40,000</w:t>
            </w:r>
          </w:p>
        </w:tc>
        <w:tc>
          <w:tcPr>
            <w:tcW w:w="2270"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Helvetica" w:hAnsi="Helvetica" w:eastAsia="Helvetica" w:cs="Helvetica"/>
                <w:i w:val="0"/>
                <w:iCs w:val="0"/>
                <w:caps w:val="0"/>
                <w:color w:val="auto"/>
                <w:spacing w:val="0"/>
                <w:sz w:val="18"/>
                <w:szCs w:val="18"/>
                <w:shd w:val="clear" w:fill="FFFFFF"/>
                <w:vertAlign w:val="baseline"/>
                <w:lang w:val="en-US" w:eastAsia="zh-CN"/>
              </w:rPr>
            </w:pPr>
            <w:r>
              <w:rPr>
                <w:rFonts w:hint="eastAsia" w:ascii="Helvetica" w:hAnsi="Helvetica" w:eastAsia="Helvetica" w:cs="Helvetica"/>
                <w:i w:val="0"/>
                <w:iCs w:val="0"/>
                <w:caps w:val="0"/>
                <w:color w:val="auto"/>
                <w:spacing w:val="0"/>
                <w:sz w:val="18"/>
                <w:szCs w:val="18"/>
                <w:shd w:val="clear" w:fill="FFFFFF"/>
                <w:vertAlign w:val="baseline"/>
                <w:lang w:val="en-US" w:eastAsia="zh-CN"/>
              </w:rPr>
              <w:t>(35,000)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1123"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Helvetica" w:hAnsi="Helvetica" w:eastAsia="Helvetica" w:cs="Helvetica"/>
                <w:i w:val="0"/>
                <w:iCs w:val="0"/>
                <w:caps w:val="0"/>
                <w:color w:val="auto"/>
                <w:spacing w:val="0"/>
                <w:sz w:val="18"/>
                <w:szCs w:val="18"/>
                <w:shd w:val="clear" w:fill="FFFFFF"/>
                <w:vertAlign w:val="baseline"/>
                <w:lang w:val="en-US" w:eastAsia="zh-CN"/>
              </w:rPr>
            </w:pPr>
            <w:r>
              <w:rPr>
                <w:rFonts w:hint="eastAsia" w:ascii="Helvetica" w:hAnsi="Helvetica" w:eastAsia="Helvetica" w:cs="Helvetica"/>
                <w:i w:val="0"/>
                <w:iCs w:val="0"/>
                <w:caps w:val="0"/>
                <w:color w:val="auto"/>
                <w:spacing w:val="0"/>
                <w:sz w:val="18"/>
                <w:szCs w:val="18"/>
                <w:shd w:val="clear" w:fill="FFFFFF"/>
                <w:vertAlign w:val="baseline"/>
                <w:lang w:val="en-US" w:eastAsia="zh-CN"/>
              </w:rPr>
              <w:t>3</w:t>
            </w:r>
          </w:p>
        </w:tc>
        <w:tc>
          <w:tcPr>
            <w:tcW w:w="179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Helvetica" w:hAnsi="Helvetica" w:eastAsia="Helvetica" w:cs="Helvetica"/>
                <w:i w:val="0"/>
                <w:iCs w:val="0"/>
                <w:caps w:val="0"/>
                <w:color w:val="auto"/>
                <w:spacing w:val="0"/>
                <w:sz w:val="18"/>
                <w:szCs w:val="18"/>
                <w:shd w:val="clear" w:fill="FFFFFF"/>
                <w:vertAlign w:val="baseline"/>
                <w:lang w:val="en-US" w:eastAsia="zh-CN"/>
              </w:rPr>
            </w:pPr>
            <w:r>
              <w:rPr>
                <w:rFonts w:hint="eastAsia" w:ascii="Helvetica" w:hAnsi="Helvetica" w:eastAsia="Helvetica" w:cs="Helvetica"/>
                <w:i w:val="0"/>
                <w:iCs w:val="0"/>
                <w:caps w:val="0"/>
                <w:color w:val="auto"/>
                <w:spacing w:val="0"/>
                <w:sz w:val="18"/>
                <w:szCs w:val="18"/>
                <w:shd w:val="clear" w:fill="FFFFFF"/>
                <w:vertAlign w:val="baseline"/>
                <w:lang w:val="en-US" w:eastAsia="zh-CN"/>
              </w:rPr>
              <w:t>35,000</w:t>
            </w:r>
          </w:p>
        </w:tc>
        <w:tc>
          <w:tcPr>
            <w:tcW w:w="2270"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Helvetica" w:hAnsi="Helvetica" w:eastAsia="Helvetica" w:cs="Helvetica"/>
                <w:i w:val="0"/>
                <w:iCs w:val="0"/>
                <w:caps w:val="0"/>
                <w:color w:val="auto"/>
                <w:spacing w:val="0"/>
                <w:sz w:val="18"/>
                <w:szCs w:val="18"/>
                <w:shd w:val="clear" w:fill="FFFFFF"/>
                <w:vertAlign w:val="baseline"/>
                <w:lang w:val="en-US" w:eastAsia="zh-CN"/>
              </w:rPr>
            </w:pPr>
            <w:r>
              <w:rPr>
                <w:rFonts w:hint="eastAsia" w:ascii="Helvetica" w:hAnsi="Helvetica" w:eastAsia="Helvetica" w:cs="Helvetica"/>
                <w:i w:val="0"/>
                <w:iCs w:val="0"/>
                <w:caps w:val="0"/>
                <w:color w:val="auto"/>
                <w:spacing w:val="0"/>
                <w:sz w:val="18"/>
                <w:szCs w:val="18"/>
                <w:shd w:val="clear" w:fill="FFFFFF"/>
                <w:vertAlign w:val="baseline"/>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1123"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Helvetica" w:hAnsi="Helvetica" w:eastAsia="Helvetica" w:cs="Helvetica"/>
                <w:i w:val="0"/>
                <w:iCs w:val="0"/>
                <w:caps w:val="0"/>
                <w:color w:val="auto"/>
                <w:spacing w:val="0"/>
                <w:sz w:val="18"/>
                <w:szCs w:val="18"/>
                <w:shd w:val="clear" w:fill="FFFFFF"/>
                <w:vertAlign w:val="baseline"/>
                <w:lang w:val="en-US" w:eastAsia="zh-CN"/>
              </w:rPr>
            </w:pPr>
            <w:r>
              <w:rPr>
                <w:rFonts w:hint="eastAsia" w:ascii="Helvetica" w:hAnsi="Helvetica" w:eastAsia="Helvetica" w:cs="Helvetica"/>
                <w:i w:val="0"/>
                <w:iCs w:val="0"/>
                <w:caps w:val="0"/>
                <w:color w:val="auto"/>
                <w:spacing w:val="0"/>
                <w:sz w:val="18"/>
                <w:szCs w:val="18"/>
                <w:shd w:val="clear" w:fill="FFFFFF"/>
                <w:vertAlign w:val="baseline"/>
                <w:lang w:val="en-US" w:eastAsia="zh-CN"/>
              </w:rPr>
              <w:t>4</w:t>
            </w:r>
          </w:p>
        </w:tc>
        <w:tc>
          <w:tcPr>
            <w:tcW w:w="179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Helvetica" w:hAnsi="Helvetica" w:eastAsia="Helvetica" w:cs="Helvetica"/>
                <w:i w:val="0"/>
                <w:iCs w:val="0"/>
                <w:caps w:val="0"/>
                <w:color w:val="auto"/>
                <w:spacing w:val="0"/>
                <w:sz w:val="18"/>
                <w:szCs w:val="18"/>
                <w:shd w:val="clear" w:fill="FFFFFF"/>
                <w:vertAlign w:val="baseline"/>
                <w:lang w:val="en-US" w:eastAsia="zh-CN"/>
              </w:rPr>
            </w:pPr>
            <w:r>
              <w:rPr>
                <w:rFonts w:hint="eastAsia" w:ascii="Helvetica" w:hAnsi="Helvetica" w:eastAsia="Helvetica" w:cs="Helvetica"/>
                <w:i w:val="0"/>
                <w:iCs w:val="0"/>
                <w:caps w:val="0"/>
                <w:color w:val="auto"/>
                <w:spacing w:val="0"/>
                <w:sz w:val="18"/>
                <w:szCs w:val="18"/>
                <w:shd w:val="clear" w:fill="FFFFFF"/>
                <w:vertAlign w:val="baseline"/>
                <w:lang w:val="en-US" w:eastAsia="zh-CN"/>
              </w:rPr>
              <w:t>75,000</w:t>
            </w:r>
          </w:p>
        </w:tc>
        <w:tc>
          <w:tcPr>
            <w:tcW w:w="2270"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Helvetica" w:hAnsi="Helvetica" w:eastAsia="Helvetica" w:cs="Helvetica"/>
                <w:i w:val="0"/>
                <w:iCs w:val="0"/>
                <w:caps w:val="0"/>
                <w:color w:val="auto"/>
                <w:spacing w:val="0"/>
                <w:sz w:val="18"/>
                <w:szCs w:val="18"/>
                <w:shd w:val="clear" w:fill="FFFFFF"/>
                <w:vertAlign w:val="baseline"/>
                <w:lang w:val="en-US" w:eastAsia="zh-CN"/>
              </w:rPr>
            </w:pPr>
            <w:r>
              <w:rPr>
                <w:rFonts w:hint="eastAsia" w:ascii="Helvetica" w:hAnsi="Helvetica" w:eastAsia="Helvetica" w:cs="Helvetica"/>
                <w:i w:val="0"/>
                <w:iCs w:val="0"/>
                <w:caps w:val="0"/>
                <w:color w:val="auto"/>
                <w:spacing w:val="0"/>
                <w:sz w:val="18"/>
                <w:szCs w:val="18"/>
                <w:shd w:val="clear" w:fill="FFFFFF"/>
                <w:vertAlign w:val="baseline"/>
                <w:lang w:val="en-US" w:eastAsia="zh-CN"/>
              </w:rPr>
              <w:t>75,000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1123"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Helvetica" w:hAnsi="Helvetica" w:eastAsia="Helvetica" w:cs="Helvetica"/>
                <w:i w:val="0"/>
                <w:iCs w:val="0"/>
                <w:caps w:val="0"/>
                <w:color w:val="auto"/>
                <w:spacing w:val="0"/>
                <w:sz w:val="18"/>
                <w:szCs w:val="18"/>
                <w:shd w:val="clear" w:fill="FFFFFF"/>
                <w:vertAlign w:val="baseline"/>
                <w:lang w:val="en-US" w:eastAsia="zh-CN"/>
              </w:rPr>
            </w:pPr>
            <w:r>
              <w:rPr>
                <w:rFonts w:hint="eastAsia" w:ascii="Helvetica" w:hAnsi="Helvetica" w:eastAsia="Helvetica" w:cs="Helvetica"/>
                <w:i w:val="0"/>
                <w:iCs w:val="0"/>
                <w:caps w:val="0"/>
                <w:color w:val="auto"/>
                <w:spacing w:val="0"/>
                <w:sz w:val="18"/>
                <w:szCs w:val="18"/>
                <w:shd w:val="clear" w:fill="FFFFFF"/>
                <w:vertAlign w:val="baseline"/>
                <w:lang w:val="en-US" w:eastAsia="zh-CN"/>
              </w:rPr>
              <w:t>5</w:t>
            </w:r>
          </w:p>
        </w:tc>
        <w:tc>
          <w:tcPr>
            <w:tcW w:w="179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Helvetica" w:hAnsi="Helvetica" w:eastAsia="Helvetica" w:cs="Helvetica"/>
                <w:i w:val="0"/>
                <w:iCs w:val="0"/>
                <w:caps w:val="0"/>
                <w:color w:val="auto"/>
                <w:spacing w:val="0"/>
                <w:sz w:val="18"/>
                <w:szCs w:val="18"/>
                <w:shd w:val="clear" w:fill="FFFFFF"/>
                <w:vertAlign w:val="baseline"/>
                <w:lang w:val="en-US" w:eastAsia="zh-CN"/>
              </w:rPr>
            </w:pPr>
            <w:r>
              <w:rPr>
                <w:rFonts w:hint="eastAsia" w:ascii="Helvetica" w:hAnsi="Helvetica" w:eastAsia="Helvetica" w:cs="Helvetica"/>
                <w:i w:val="0"/>
                <w:iCs w:val="0"/>
                <w:caps w:val="0"/>
                <w:color w:val="auto"/>
                <w:spacing w:val="0"/>
                <w:sz w:val="18"/>
                <w:szCs w:val="18"/>
                <w:shd w:val="clear" w:fill="FFFFFF"/>
                <w:vertAlign w:val="baseline"/>
                <w:lang w:val="en-US" w:eastAsia="zh-CN"/>
              </w:rPr>
              <w:t>50,000</w:t>
            </w:r>
          </w:p>
        </w:tc>
        <w:tc>
          <w:tcPr>
            <w:tcW w:w="2270"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Helvetica" w:hAnsi="Helvetica" w:eastAsia="Helvetica" w:cs="Helvetica"/>
                <w:i w:val="0"/>
                <w:iCs w:val="0"/>
                <w:caps w:val="0"/>
                <w:color w:val="auto"/>
                <w:spacing w:val="0"/>
                <w:sz w:val="18"/>
                <w:szCs w:val="18"/>
                <w:shd w:val="clear" w:fill="FFFFFF"/>
                <w:vertAlign w:val="baseline"/>
                <w:lang w:val="en-US" w:eastAsia="zh-CN"/>
              </w:rPr>
            </w:pPr>
            <w:r>
              <w:rPr>
                <w:rFonts w:hint="eastAsia" w:ascii="Helvetica" w:hAnsi="Helvetica" w:eastAsia="Helvetica" w:cs="Helvetica"/>
                <w:i w:val="0"/>
                <w:iCs w:val="0"/>
                <w:caps w:val="0"/>
                <w:color w:val="auto"/>
                <w:spacing w:val="0"/>
                <w:sz w:val="18"/>
                <w:szCs w:val="18"/>
                <w:shd w:val="clear" w:fill="FFFFFF"/>
                <w:vertAlign w:val="baseline"/>
                <w:lang w:val="en-US" w:eastAsia="zh-CN"/>
              </w:rPr>
              <w:t>125,000</w:t>
            </w:r>
          </w:p>
        </w:tc>
      </w:tr>
    </w:tbl>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b/>
          <w:bCs/>
          <w:sz w:val="24"/>
          <w:szCs w:val="24"/>
          <w:lang w:val="en-US" w:eastAsia="zh-CN"/>
        </w:rPr>
      </w:pPr>
      <w:r>
        <w:rPr>
          <w:rFonts w:hint="eastAsia" w:ascii="Times New Roman" w:hAnsi="Times New Roman" w:cs="Times New Roman"/>
          <w:b w:val="0"/>
          <w:bCs w:val="0"/>
          <w:color w:val="auto"/>
          <w:sz w:val="24"/>
          <w:szCs w:val="24"/>
          <w:lang w:val="en-US" w:eastAsia="zh-CN"/>
        </w:rPr>
        <w:t>Towards the conclusion of the third year, the total cash flows start to turn positive. The payback period would be: 3 years.</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Choice of machine on basis of Payback period</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Managers that are focused in increasing shareholders</w:t>
      </w:r>
      <w:r>
        <w:rPr>
          <w:rFonts w:hint="default" w:ascii="Times New Roman" w:hAnsi="Times New Roman" w:cs="Times New Roman"/>
          <w:b w:val="0"/>
          <w:bCs w:val="0"/>
          <w:sz w:val="24"/>
          <w:szCs w:val="24"/>
          <w:lang w:val="en-US" w:eastAsia="zh-CN"/>
        </w:rPr>
        <w:t>’</w:t>
      </w:r>
      <w:r>
        <w:rPr>
          <w:rFonts w:hint="eastAsia" w:ascii="Times New Roman" w:hAnsi="Times New Roman" w:cs="Times New Roman"/>
          <w:b w:val="0"/>
          <w:bCs w:val="0"/>
          <w:sz w:val="24"/>
          <w:szCs w:val="24"/>
          <w:lang w:val="en-US" w:eastAsia="zh-CN"/>
        </w:rPr>
        <w:t xml:space="preserve"> value should prioritize the early cash inflows from Machine A. Most of the investment's startup investment have been recovered by the end of the second year. Also, there have been larger cash inflows overall during the programme.</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The corporation has a stronger chance of making money thanks to Programme A, which will pay off faster. The first programme, according to the payback period method, is a preferable investment if the company wants to stress quickly recovering its capital spending.</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b w:val="0"/>
          <w:bCs w:val="0"/>
          <w:sz w:val="24"/>
          <w:szCs w:val="24"/>
          <w:lang w:val="en-US" w:eastAsia="zh-CN"/>
        </w:rPr>
      </w:pPr>
    </w:p>
    <w:p>
      <w:pPr>
        <w:pStyle w:val="2"/>
        <w:keepNext/>
        <w:keepLines/>
        <w:pageBreakBefore w:val="0"/>
        <w:widowControl w:val="0"/>
        <w:numPr>
          <w:ilvl w:val="0"/>
          <w:numId w:val="2"/>
        </w:numPr>
        <w:kinsoku/>
        <w:wordWrap/>
        <w:overflowPunct/>
        <w:topLinePunct w:val="0"/>
        <w:autoSpaceDE/>
        <w:autoSpaceDN/>
        <w:bidi w:val="0"/>
        <w:adjustRightInd/>
        <w:snapToGrid/>
        <w:spacing w:before="0" w:after="0" w:line="360" w:lineRule="auto"/>
        <w:textAlignment w:val="auto"/>
        <w:rPr>
          <w:rFonts w:hint="default" w:ascii="Times New Roman" w:hAnsi="Times New Roman" w:cs="Times New Roman"/>
          <w:sz w:val="24"/>
          <w:szCs w:val="24"/>
          <w:lang w:val="en-US" w:eastAsia="zh-CN"/>
        </w:rPr>
      </w:pPr>
      <w:bookmarkStart w:id="35" w:name="_Toc2305"/>
      <w:r>
        <w:rPr>
          <w:rFonts w:hint="default" w:ascii="Times New Roman" w:hAnsi="Times New Roman" w:cs="Times New Roman"/>
          <w:sz w:val="24"/>
          <w:szCs w:val="24"/>
          <w:lang w:val="en-US" w:eastAsia="zh-CN"/>
        </w:rPr>
        <w:t>Popularity of non-discounting methods</w:t>
      </w:r>
      <w:bookmarkEnd w:id="35"/>
    </w:p>
    <w:p>
      <w:pPr>
        <w:keepNext w:val="0"/>
        <w:keepLines w:val="0"/>
        <w:pageBreakBefore w:val="0"/>
        <w:widowControl w:val="0"/>
        <w:numPr>
          <w:ilvl w:val="0"/>
          <w:numId w:val="0"/>
        </w:numPr>
        <w:tabs>
          <w:tab w:val="left" w:pos="2160"/>
        </w:tabs>
        <w:kinsoku/>
        <w:wordWrap/>
        <w:overflowPunct/>
        <w:topLinePunct w:val="0"/>
        <w:autoSpaceDE/>
        <w:autoSpaceDN/>
        <w:bidi w:val="0"/>
        <w:adjustRightInd/>
        <w:snapToGrid/>
        <w:spacing w:line="360" w:lineRule="auto"/>
        <w:ind w:right="23" w:rightChars="0"/>
        <w:jc w:val="both"/>
        <w:textAlignment w:val="auto"/>
        <w:rPr>
          <w:rFonts w:hint="default" w:ascii="Times New Roman" w:hAnsi="Times New Roman" w:eastAsia="Helvetica" w:cs="Times New Roman"/>
          <w:i w:val="0"/>
          <w:iCs w:val="0"/>
          <w:caps w:val="0"/>
          <w:color w:val="auto"/>
          <w:spacing w:val="0"/>
          <w:sz w:val="24"/>
          <w:szCs w:val="24"/>
          <w:shd w:val="clear" w:fill="FFFFFF"/>
        </w:rPr>
      </w:pPr>
      <w:r>
        <w:rPr>
          <w:rFonts w:hint="eastAsia" w:ascii="Times New Roman" w:hAnsi="Times New Roman" w:eastAsia="宋体" w:cs="Times New Roman"/>
          <w:i w:val="0"/>
          <w:iCs w:val="0"/>
          <w:caps w:val="0"/>
          <w:color w:val="auto"/>
          <w:spacing w:val="0"/>
          <w:sz w:val="24"/>
          <w:szCs w:val="24"/>
          <w:shd w:val="clear" w:fill="FFFFFF"/>
          <w:lang w:val="en-US" w:eastAsia="zh-CN"/>
        </w:rPr>
        <w:t xml:space="preserve">Firstly, </w:t>
      </w:r>
      <w:r>
        <w:rPr>
          <w:rFonts w:hint="default" w:ascii="Times New Roman" w:hAnsi="Times New Roman" w:eastAsia="Helvetica" w:cs="Times New Roman"/>
          <w:i w:val="0"/>
          <w:iCs w:val="0"/>
          <w:caps w:val="0"/>
          <w:color w:val="auto"/>
          <w:spacing w:val="0"/>
          <w:sz w:val="24"/>
          <w:szCs w:val="24"/>
          <w:shd w:val="clear" w:fill="FFFFFF"/>
        </w:rPr>
        <w:t>PP is simple to use and comprehend. It can prevent the issues associated with making long-term predictions. When there is a higher degree of confidence in the correctness of their expected value, early cash flows are given greater significance. It accentuates the necessity of liquidity.</w:t>
      </w:r>
    </w:p>
    <w:p>
      <w:pPr>
        <w:keepNext w:val="0"/>
        <w:keepLines w:val="0"/>
        <w:pageBreakBefore w:val="0"/>
        <w:widowControl w:val="0"/>
        <w:numPr>
          <w:ilvl w:val="0"/>
          <w:numId w:val="0"/>
        </w:numPr>
        <w:tabs>
          <w:tab w:val="left" w:pos="2160"/>
        </w:tabs>
        <w:kinsoku/>
        <w:wordWrap/>
        <w:overflowPunct/>
        <w:topLinePunct w:val="0"/>
        <w:autoSpaceDE/>
        <w:autoSpaceDN/>
        <w:bidi w:val="0"/>
        <w:adjustRightInd/>
        <w:snapToGrid/>
        <w:spacing w:line="360" w:lineRule="auto"/>
        <w:ind w:right="23" w:rightChars="0"/>
        <w:jc w:val="both"/>
        <w:textAlignment w:val="auto"/>
        <w:rPr>
          <w:rFonts w:hint="eastAsia" w:ascii="Times New Roman" w:hAnsi="Times New Roman" w:eastAsia="Helvetica" w:cs="Times New Roman"/>
          <w:i w:val="0"/>
          <w:iCs w:val="0"/>
          <w:caps w:val="0"/>
          <w:color w:val="auto"/>
          <w:spacing w:val="0"/>
          <w:sz w:val="24"/>
          <w:szCs w:val="24"/>
          <w:shd w:val="clear" w:fill="FFFFFF"/>
          <w:lang w:val="en-US" w:eastAsia="zh-CN"/>
        </w:rPr>
      </w:pPr>
      <w:r>
        <w:rPr>
          <w:rFonts w:hint="eastAsia" w:ascii="Times New Roman" w:hAnsi="Times New Roman" w:eastAsia="宋体" w:cs="Times New Roman"/>
          <w:i w:val="0"/>
          <w:iCs w:val="0"/>
          <w:caps w:val="0"/>
          <w:color w:val="auto"/>
          <w:spacing w:val="0"/>
          <w:sz w:val="24"/>
          <w:szCs w:val="24"/>
          <w:shd w:val="clear" w:fill="FFFFFF"/>
          <w:lang w:val="en-US" w:eastAsia="zh-CN"/>
        </w:rPr>
        <w:t>Secondly</w:t>
      </w:r>
      <w:r>
        <w:rPr>
          <w:rFonts w:hint="default" w:ascii="Times New Roman" w:hAnsi="Times New Roman" w:eastAsia="Helvetica" w:cs="Times New Roman"/>
          <w:i w:val="0"/>
          <w:iCs w:val="0"/>
          <w:caps w:val="0"/>
          <w:color w:val="auto"/>
          <w:spacing w:val="0"/>
          <w:sz w:val="24"/>
          <w:szCs w:val="24"/>
          <w:shd w:val="clear" w:fill="FFFFFF"/>
        </w:rPr>
        <w:t>, the time of the break-even point is solely taken into account by the PP. It can be applied as a risk timing indicator in analyses of capital budgets. For a long time prior to the break-even point, executives are inclined to be great risk evaders</w:t>
      </w:r>
      <w:r>
        <w:rPr>
          <w:rFonts w:hint="eastAsia" w:ascii="Times New Roman" w:hAnsi="Times New Roman" w:eastAsia="宋体" w:cs="Times New Roman"/>
          <w:b w:val="0"/>
          <w:bCs w:val="0"/>
          <w:sz w:val="24"/>
          <w:szCs w:val="24"/>
          <w:lang w:val="en-US" w:eastAsia="zh-CN"/>
        </w:rPr>
        <w:t xml:space="preserve"> (Choi and Levary, 1987).</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eastAsia="Helvetica" w:cs="Times New Roman"/>
          <w:i w:val="0"/>
          <w:iCs w:val="0"/>
          <w:caps w:val="0"/>
          <w:color w:val="auto"/>
          <w:spacing w:val="0"/>
          <w:sz w:val="24"/>
          <w:szCs w:val="24"/>
          <w:shd w:val="clear" w:fill="FFFFFF"/>
          <w:lang w:val="en-US"/>
        </w:rPr>
      </w:pPr>
      <w:r>
        <w:rPr>
          <w:rFonts w:hint="eastAsia" w:ascii="Times New Roman" w:hAnsi="Times New Roman" w:cs="Times New Roman"/>
          <w:b w:val="0"/>
          <w:bCs w:val="0"/>
          <w:sz w:val="24"/>
          <w:szCs w:val="24"/>
          <w:lang w:val="en-US" w:eastAsia="zh-CN"/>
        </w:rPr>
        <w:t>Thirdly, when it comes to the timing of cash flows from investment projects, shareholders and managers have distinct preferences. Regardless of which investment project has a shorter payback period, most stockholders are unconcerned about the difference between two projects with similar net present values. Professional managers, on the other hand, frequently take the safe route when it comes to investment projects. They frequently choose shorter payback periods and tend to be risk-averse. This may help to explain why, in spite of being long regarded as a less suitable decision rule than discounted cash flow approaches, the payback method is still widely used in operation (Chen and Clark, 1994).</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val="0"/>
          <w:bCs w:val="0"/>
          <w:sz w:val="24"/>
          <w:szCs w:val="24"/>
          <w:lang w:val="en-US" w:eastAsia="zh-CN"/>
        </w:rPr>
      </w:pPr>
      <w:r>
        <w:rPr>
          <w:rFonts w:hint="eastAsia" w:ascii="Times New Roman" w:hAnsi="Times New Roman" w:eastAsia="宋体" w:cs="Times New Roman"/>
          <w:i w:val="0"/>
          <w:iCs w:val="0"/>
          <w:caps w:val="0"/>
          <w:color w:val="auto"/>
          <w:spacing w:val="0"/>
          <w:sz w:val="24"/>
          <w:szCs w:val="24"/>
          <w:shd w:val="clear" w:fill="FFFFFF"/>
          <w:lang w:val="en-US" w:eastAsia="zh-CN"/>
        </w:rPr>
        <w:t>Third, the prevalence of PP may also suggest an absence of managerial competence. In comparison to bigger companies, smaller ones use discounted cash flow methods (NPV and IRR) significantly less frequently</w:t>
      </w:r>
      <w:r>
        <w:rPr>
          <w:rFonts w:hint="default" w:ascii="Times New Roman" w:hAnsi="Times New Roman" w:eastAsia="Helvetica" w:cs="Times New Roman"/>
          <w:i w:val="0"/>
          <w:iCs w:val="0"/>
          <w:caps w:val="0"/>
          <w:color w:val="auto"/>
          <w:spacing w:val="0"/>
          <w:sz w:val="24"/>
          <w:szCs w:val="24"/>
          <w:shd w:val="clear" w:fill="FFFFFF"/>
        </w:rPr>
        <w:t xml:space="preserve"> </w:t>
      </w:r>
      <w:r>
        <w:rPr>
          <w:rFonts w:hint="eastAsia" w:ascii="Times New Roman" w:hAnsi="Times New Roman" w:cs="Times New Roman"/>
          <w:b w:val="0"/>
          <w:bCs w:val="0"/>
          <w:sz w:val="24"/>
          <w:szCs w:val="24"/>
          <w:lang w:val="en-US" w:eastAsia="zh-CN"/>
        </w:rPr>
        <w:t>(Atrill and McLaney, 2019).</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val="0"/>
          <w:bCs w:val="0"/>
          <w:sz w:val="24"/>
          <w:szCs w:val="24"/>
          <w:lang w:val="en-US" w:eastAsia="zh-CN"/>
        </w:rPr>
      </w:pPr>
    </w:p>
    <w:p>
      <w:pPr>
        <w:pStyle w:val="2"/>
        <w:keepNext/>
        <w:keepLines/>
        <w:pageBreakBefore w:val="0"/>
        <w:widowControl w:val="0"/>
        <w:numPr>
          <w:ilvl w:val="0"/>
          <w:numId w:val="2"/>
        </w:numPr>
        <w:kinsoku/>
        <w:wordWrap/>
        <w:overflowPunct/>
        <w:topLinePunct w:val="0"/>
        <w:autoSpaceDE/>
        <w:autoSpaceDN/>
        <w:bidi w:val="0"/>
        <w:adjustRightInd/>
        <w:snapToGrid/>
        <w:spacing w:before="0" w:after="0" w:line="360" w:lineRule="auto"/>
        <w:textAlignment w:val="auto"/>
        <w:rPr>
          <w:rFonts w:hint="default" w:ascii="Times New Roman" w:hAnsi="Times New Roman" w:cs="Times New Roman"/>
          <w:sz w:val="24"/>
          <w:szCs w:val="24"/>
          <w:lang w:val="en-US" w:eastAsia="zh-CN"/>
        </w:rPr>
      </w:pPr>
      <w:bookmarkStart w:id="36" w:name="_Toc17443"/>
      <w:r>
        <w:rPr>
          <w:rFonts w:hint="default" w:ascii="Times New Roman" w:hAnsi="Times New Roman" w:cs="Times New Roman"/>
          <w:sz w:val="24"/>
          <w:szCs w:val="24"/>
          <w:lang w:val="en-US" w:eastAsia="zh-CN"/>
        </w:rPr>
        <w:t>Other factors considered before making investment decision</w:t>
      </w:r>
      <w:bookmarkEnd w:id="36"/>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eastAsia="宋体" w:cs="Times New Roman"/>
          <w:b/>
          <w:bCs/>
          <w:i w:val="0"/>
          <w:iCs w:val="0"/>
          <w:caps w:val="0"/>
          <w:color w:val="auto"/>
          <w:spacing w:val="0"/>
          <w:sz w:val="24"/>
          <w:szCs w:val="24"/>
          <w:lang w:val="en-US" w:eastAsia="zh-CN"/>
        </w:rPr>
      </w:pPr>
      <w:r>
        <w:rPr>
          <w:rFonts w:hint="eastAsia" w:ascii="Times New Roman" w:hAnsi="Times New Roman" w:eastAsia="宋体" w:cs="Times New Roman"/>
          <w:b/>
          <w:bCs/>
          <w:i w:val="0"/>
          <w:iCs w:val="0"/>
          <w:caps w:val="0"/>
          <w:color w:val="auto"/>
          <w:spacing w:val="0"/>
          <w:sz w:val="24"/>
          <w:szCs w:val="24"/>
          <w:lang w:val="en-US" w:eastAsia="zh-CN"/>
        </w:rPr>
        <w:t>Inflation Rate</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eastAsia="宋体" w:cs="Times New Roman"/>
          <w:b w:val="0"/>
          <w:bCs w:val="0"/>
          <w:i w:val="0"/>
          <w:iCs w:val="0"/>
          <w:caps w:val="0"/>
          <w:color w:val="auto"/>
          <w:spacing w:val="0"/>
          <w:sz w:val="24"/>
          <w:szCs w:val="24"/>
          <w:lang w:val="en-US" w:eastAsia="zh-CN"/>
        </w:rPr>
      </w:pPr>
      <w:r>
        <w:rPr>
          <w:rFonts w:hint="eastAsia" w:ascii="Times New Roman" w:hAnsi="Times New Roman" w:eastAsia="宋体" w:cs="Times New Roman"/>
          <w:b w:val="0"/>
          <w:bCs w:val="0"/>
          <w:i w:val="0"/>
          <w:iCs w:val="0"/>
          <w:caps w:val="0"/>
          <w:color w:val="auto"/>
          <w:spacing w:val="0"/>
          <w:sz w:val="24"/>
          <w:szCs w:val="24"/>
          <w:lang w:val="en-US" w:eastAsia="zh-CN"/>
        </w:rPr>
        <w:t>Consistent increases in the cost of basic goods and services cause inflation, which lowers the purchasing power of money.</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eastAsia="宋体" w:cs="Times New Roman"/>
          <w:b/>
          <w:bCs/>
          <w:i w:val="0"/>
          <w:iCs w:val="0"/>
          <w:caps w:val="0"/>
          <w:color w:val="auto"/>
          <w:spacing w:val="0"/>
          <w:sz w:val="24"/>
          <w:szCs w:val="24"/>
          <w:lang w:val="en-US" w:eastAsia="zh-CN"/>
        </w:rPr>
      </w:pPr>
      <w:r>
        <w:rPr>
          <w:rFonts w:hint="default" w:ascii="Times New Roman" w:hAnsi="Times New Roman" w:eastAsia="宋体" w:cs="Times New Roman"/>
          <w:b/>
          <w:bCs/>
          <w:i w:val="0"/>
          <w:iCs w:val="0"/>
          <w:caps w:val="0"/>
          <w:color w:val="auto"/>
          <w:spacing w:val="0"/>
          <w:sz w:val="24"/>
          <w:szCs w:val="24"/>
          <w:lang w:val="en-US" w:eastAsia="zh-CN"/>
        </w:rPr>
        <w:t>Taxation</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imes New Roman" w:hAnsi="Times New Roman" w:eastAsia="宋体" w:cs="Times New Roman"/>
          <w:b w:val="0"/>
          <w:bCs w:val="0"/>
          <w:i w:val="0"/>
          <w:iCs w:val="0"/>
          <w:caps w:val="0"/>
          <w:color w:val="auto"/>
          <w:spacing w:val="0"/>
          <w:sz w:val="24"/>
          <w:szCs w:val="24"/>
          <w:lang w:val="en-US" w:eastAsia="zh-CN"/>
        </w:rPr>
      </w:pPr>
      <w:r>
        <w:rPr>
          <w:rFonts w:hint="eastAsia" w:ascii="Times New Roman" w:hAnsi="Times New Roman" w:eastAsia="宋体" w:cs="Times New Roman"/>
          <w:b w:val="0"/>
          <w:bCs w:val="0"/>
          <w:i w:val="0"/>
          <w:iCs w:val="0"/>
          <w:caps w:val="0"/>
          <w:color w:val="auto"/>
          <w:spacing w:val="0"/>
          <w:sz w:val="24"/>
          <w:szCs w:val="24"/>
          <w:lang w:val="en-US" w:eastAsia="zh-CN"/>
        </w:rPr>
        <w:t>Corporate taxes differ based on the kind of investment. The investor must consider the impact of income taxes in order to obtain a massive net after-tax profit.</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W</w:t>
      </w:r>
      <w:r>
        <w:rPr>
          <w:rFonts w:hint="default" w:ascii="Times New Roman" w:hAnsi="Times New Roman" w:cs="Times New Roman"/>
          <w:b/>
          <w:bCs/>
          <w:sz w:val="24"/>
          <w:szCs w:val="24"/>
          <w:lang w:val="en-US" w:eastAsia="zh-CN"/>
        </w:rPr>
        <w:t>orking capital</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Long-term asset investments and any additional rises in working capital must be represented as cash outflows as needed over the course of one or more years, which must be balanced out by cash inflows to bring the overall balance to zero by the project's conclusion.</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The length of the project</w:t>
      </w:r>
      <w:r>
        <w:rPr>
          <w:rFonts w:hint="eastAsia" w:ascii="Times New Roman" w:hAnsi="Times New Roman" w:cs="Times New Roman"/>
          <w:b/>
          <w:bCs/>
          <w:sz w:val="24"/>
          <w:szCs w:val="24"/>
          <w:lang w:val="en-US" w:eastAsia="zh-CN"/>
        </w:rPr>
        <w:t xml:space="preserve"> and risk</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Expected and actual results frequently deviate greatly from one another. When it comes to capital expenditure, the longer the project will take to complete, the more time there will be for errors can occur; therefore, the influence might be bigger with a huge investment (David and Crawford, 2011).</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imes New Roman" w:hAnsi="Times New Roman" w:cs="Times New Roman"/>
          <w:b/>
          <w:bCs/>
          <w:sz w:val="24"/>
          <w:szCs w:val="24"/>
          <w:lang w:val="en-US" w:eastAsia="zh-CN"/>
        </w:rPr>
      </w:pPr>
    </w:p>
    <w:p>
      <w:pPr>
        <w:pStyle w:val="2"/>
        <w:keepNext/>
        <w:keepLines/>
        <w:pageBreakBefore w:val="0"/>
        <w:widowControl w:val="0"/>
        <w:numPr>
          <w:ilvl w:val="0"/>
          <w:numId w:val="2"/>
        </w:numPr>
        <w:kinsoku/>
        <w:wordWrap/>
        <w:overflowPunct/>
        <w:topLinePunct w:val="0"/>
        <w:autoSpaceDE/>
        <w:autoSpaceDN/>
        <w:bidi w:val="0"/>
        <w:adjustRightInd/>
        <w:snapToGrid/>
        <w:spacing w:before="0" w:after="0" w:line="360" w:lineRule="auto"/>
        <w:textAlignment w:val="auto"/>
        <w:rPr>
          <w:rFonts w:hint="default" w:ascii="Times New Roman" w:hAnsi="Times New Roman" w:cs="Times New Roman"/>
          <w:sz w:val="24"/>
          <w:szCs w:val="24"/>
          <w:lang w:val="en-US" w:eastAsia="zh-CN"/>
        </w:rPr>
      </w:pPr>
      <w:bookmarkStart w:id="37" w:name="_Toc21004"/>
      <w:r>
        <w:rPr>
          <w:rFonts w:hint="default" w:ascii="Times New Roman" w:hAnsi="Times New Roman" w:cs="Times New Roman"/>
          <w:sz w:val="24"/>
          <w:szCs w:val="24"/>
          <w:lang w:val="en-US" w:eastAsia="zh-CN"/>
        </w:rPr>
        <w:t>Recommendation</w:t>
      </w:r>
      <w:bookmarkEnd w:id="37"/>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eastAsia="宋体" w:cs="Times New Roman"/>
          <w:i w:val="0"/>
          <w:iCs w:val="0"/>
          <w:caps w:val="0"/>
          <w:color w:val="auto"/>
          <w:spacing w:val="0"/>
          <w:sz w:val="24"/>
          <w:szCs w:val="24"/>
          <w:shd w:val="clear" w:fill="FFFFFF"/>
          <w:lang w:val="en-US" w:eastAsia="zh-CN"/>
        </w:rPr>
      </w:pPr>
      <w:r>
        <w:rPr>
          <w:rFonts w:hint="default" w:ascii="Times New Roman" w:hAnsi="Times New Roman" w:eastAsia="宋体" w:cs="Times New Roman"/>
          <w:i w:val="0"/>
          <w:iCs w:val="0"/>
          <w:caps w:val="0"/>
          <w:color w:val="auto"/>
          <w:spacing w:val="0"/>
          <w:sz w:val="24"/>
          <w:szCs w:val="24"/>
          <w:shd w:val="clear" w:fill="FFFFFF"/>
          <w:lang w:val="en-US" w:eastAsia="zh-CN"/>
        </w:rPr>
        <w:t xml:space="preserve">The biggest advantage of </w:t>
      </w:r>
      <w:r>
        <w:rPr>
          <w:rFonts w:hint="eastAsia" w:ascii="Times New Roman" w:hAnsi="Times New Roman" w:eastAsia="宋体" w:cs="Times New Roman"/>
          <w:i w:val="0"/>
          <w:iCs w:val="0"/>
          <w:caps w:val="0"/>
          <w:color w:val="auto"/>
          <w:spacing w:val="0"/>
          <w:sz w:val="24"/>
          <w:szCs w:val="24"/>
          <w:shd w:val="clear" w:fill="FFFFFF"/>
          <w:lang w:val="en-US" w:eastAsia="zh-CN"/>
        </w:rPr>
        <w:t>programme A</w:t>
      </w:r>
      <w:r>
        <w:rPr>
          <w:rFonts w:hint="default" w:ascii="Times New Roman" w:hAnsi="Times New Roman" w:eastAsia="宋体" w:cs="Times New Roman"/>
          <w:i w:val="0"/>
          <w:iCs w:val="0"/>
          <w:caps w:val="0"/>
          <w:color w:val="auto"/>
          <w:spacing w:val="0"/>
          <w:sz w:val="24"/>
          <w:szCs w:val="24"/>
          <w:shd w:val="clear" w:fill="FFFFFF"/>
          <w:lang w:val="en-US" w:eastAsia="zh-CN"/>
        </w:rPr>
        <w:t xml:space="preserve"> is that its NPV is far greater than </w:t>
      </w:r>
      <w:r>
        <w:rPr>
          <w:rFonts w:hint="eastAsia" w:ascii="Times New Roman" w:hAnsi="Times New Roman" w:eastAsia="宋体" w:cs="Times New Roman"/>
          <w:i w:val="0"/>
          <w:iCs w:val="0"/>
          <w:caps w:val="0"/>
          <w:color w:val="auto"/>
          <w:spacing w:val="0"/>
          <w:sz w:val="24"/>
          <w:szCs w:val="24"/>
          <w:shd w:val="clear" w:fill="FFFFFF"/>
          <w:lang w:val="en-US" w:eastAsia="zh-CN"/>
        </w:rPr>
        <w:t>programme</w:t>
      </w:r>
      <w:r>
        <w:rPr>
          <w:rFonts w:hint="default" w:ascii="Times New Roman" w:hAnsi="Times New Roman" w:eastAsia="宋体" w:cs="Times New Roman"/>
          <w:i w:val="0"/>
          <w:iCs w:val="0"/>
          <w:caps w:val="0"/>
          <w:color w:val="auto"/>
          <w:spacing w:val="0"/>
          <w:sz w:val="24"/>
          <w:szCs w:val="24"/>
          <w:shd w:val="clear" w:fill="FFFFFF"/>
          <w:lang w:val="en-US" w:eastAsia="zh-CN"/>
        </w:rPr>
        <w:t xml:space="preserve"> B</w:t>
      </w:r>
      <w:r>
        <w:rPr>
          <w:rFonts w:hint="eastAsia" w:ascii="Times New Roman" w:hAnsi="Times New Roman" w:eastAsia="宋体" w:cs="Times New Roman"/>
          <w:i w:val="0"/>
          <w:iCs w:val="0"/>
          <w:caps w:val="0"/>
          <w:color w:val="auto"/>
          <w:spacing w:val="0"/>
          <w:sz w:val="24"/>
          <w:szCs w:val="24"/>
          <w:shd w:val="clear" w:fill="FFFFFF"/>
          <w:lang w:val="en-US" w:eastAsia="zh-CN"/>
        </w:rPr>
        <w:t>. Meanwhile, this is also where the largest weakness of programme B.</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eastAsia="宋体" w:cs="Times New Roman"/>
          <w:i w:val="0"/>
          <w:iCs w:val="0"/>
          <w:caps w:val="0"/>
          <w:color w:val="auto"/>
          <w:spacing w:val="0"/>
          <w:sz w:val="24"/>
          <w:szCs w:val="24"/>
          <w:shd w:val="clear" w:fill="FFFFFF"/>
          <w:lang w:val="en-US" w:eastAsia="zh-CN"/>
        </w:rPr>
      </w:pPr>
      <w:r>
        <w:rPr>
          <w:rFonts w:hint="default" w:ascii="Times New Roman" w:hAnsi="Times New Roman" w:eastAsia="宋体" w:cs="Times New Roman"/>
          <w:i w:val="0"/>
          <w:iCs w:val="0"/>
          <w:caps w:val="0"/>
          <w:color w:val="auto"/>
          <w:spacing w:val="0"/>
          <w:sz w:val="24"/>
          <w:szCs w:val="24"/>
          <w:shd w:val="clear" w:fill="FFFFFF"/>
          <w:lang w:val="en-US" w:eastAsia="zh-CN"/>
        </w:rPr>
        <w:t>The programme A's estimated NPV of £45,698.30 indicates that the project's future cash flows will be ample for the company to cover all project financing expenses and to give shareholders a fair return.</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eastAsia="宋体" w:cs="Times New Roman"/>
          <w:i w:val="0"/>
          <w:iCs w:val="0"/>
          <w:caps w:val="0"/>
          <w:color w:val="auto"/>
          <w:spacing w:val="0"/>
          <w:sz w:val="24"/>
          <w:szCs w:val="24"/>
          <w:shd w:val="clear" w:fill="FFFFFF"/>
          <w:lang w:val="en-US" w:eastAsia="zh-CN"/>
        </w:rPr>
      </w:pPr>
      <w:r>
        <w:rPr>
          <w:rFonts w:hint="default" w:ascii="Times New Roman" w:hAnsi="Times New Roman" w:eastAsia="宋体" w:cs="Times New Roman"/>
          <w:i w:val="0"/>
          <w:iCs w:val="0"/>
          <w:caps w:val="0"/>
          <w:color w:val="auto"/>
          <w:spacing w:val="0"/>
          <w:sz w:val="24"/>
          <w:szCs w:val="24"/>
          <w:shd w:val="clear" w:fill="FFFFFF"/>
          <w:lang w:val="en-US" w:eastAsia="zh-CN"/>
        </w:rPr>
        <w:t>From the perspective of the shareholder, this indicates that the business could borrow £145,698.30 (the cost plus the NPV) to buy the equipment, distribute a dividend</w:t>
      </w:r>
      <w:r>
        <w:rPr>
          <w:rFonts w:hint="eastAsia" w:ascii="Times New Roman" w:hAnsi="Times New Roman" w:eastAsia="宋体" w:cs="Times New Roman"/>
          <w:i w:val="0"/>
          <w:iCs w:val="0"/>
          <w:caps w:val="0"/>
          <w:color w:val="auto"/>
          <w:spacing w:val="0"/>
          <w:sz w:val="24"/>
          <w:szCs w:val="24"/>
          <w:shd w:val="clear" w:fill="FFFFFF"/>
          <w:lang w:val="en-US" w:eastAsia="zh-CN"/>
        </w:rPr>
        <w:t xml:space="preserve"> </w:t>
      </w:r>
      <w:r>
        <w:rPr>
          <w:rFonts w:hint="default" w:ascii="Times New Roman" w:hAnsi="Times New Roman" w:eastAsia="宋体" w:cs="Times New Roman"/>
          <w:i w:val="0"/>
          <w:iCs w:val="0"/>
          <w:caps w:val="0"/>
          <w:color w:val="auto"/>
          <w:spacing w:val="0"/>
          <w:sz w:val="24"/>
          <w:szCs w:val="24"/>
          <w:shd w:val="clear" w:fill="FFFFFF"/>
          <w:lang w:val="en-US" w:eastAsia="zh-CN"/>
        </w:rPr>
        <w:t>of £45,698.30, and continue to use the money left over from the project to pay the interest.</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The internal rate of return for investment machine A is 38.31%, which is greater than programme B's 29.36% and indicates that the project can endure the maximum annual currency devaluation of that amount.</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ARR and payback period are also greater for Programme A because this is often a less riskier investment. The less risk a business has of suffering a possible loss on the venture, the faster it may recover its initial investment.</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Based on the above four analysis methods, Wales Company should invest in machine A</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 xml:space="preserve">. </w:t>
      </w:r>
      <w:r>
        <w:rPr>
          <w:rFonts w:hint="eastAsia" w:ascii="Times New Roman" w:hAnsi="Times New Roman" w:eastAsia="宋体" w:cs="Times New Roman"/>
          <w:i w:val="0"/>
          <w:iCs w:val="0"/>
          <w:caps w:val="0"/>
          <w:color w:val="000000" w:themeColor="text1"/>
          <w:spacing w:val="0"/>
          <w:sz w:val="24"/>
          <w:szCs w:val="24"/>
          <w:shd w:val="clear" w:fill="FFFFFF"/>
          <w:lang w:val="en-US" w:eastAsia="zh-CN"/>
          <w14:textFill>
            <w14:solidFill>
              <w14:schemeClr w14:val="tx1"/>
            </w14:solidFill>
          </w14:textFill>
        </w:rPr>
        <w:t>It</w:t>
      </w:r>
      <w:r>
        <w:rPr>
          <w:rFonts w:hint="default" w:ascii="Times New Roman" w:hAnsi="Times New Roman" w:eastAsia="Helvetica" w:cs="Times New Roman"/>
          <w:i w:val="0"/>
          <w:iCs w:val="0"/>
          <w:caps w:val="0"/>
          <w:color w:val="000000" w:themeColor="text1"/>
          <w:spacing w:val="0"/>
          <w:sz w:val="24"/>
          <w:szCs w:val="24"/>
          <w:shd w:val="clear" w:fill="FFFFFF"/>
          <w14:textFill>
            <w14:solidFill>
              <w14:schemeClr w14:val="tx1"/>
            </w14:solidFill>
          </w14:textFill>
        </w:rPr>
        <w:t xml:space="preserve"> has the highest net present value and </w:t>
      </w:r>
      <w:r>
        <w:rPr>
          <w:rFonts w:hint="eastAsia" w:ascii="Times New Roman" w:hAnsi="Times New Roman" w:eastAsia="宋体" w:cs="Times New Roman"/>
          <w:i w:val="0"/>
          <w:iCs w:val="0"/>
          <w:caps w:val="0"/>
          <w:color w:val="000000" w:themeColor="text1"/>
          <w:spacing w:val="0"/>
          <w:sz w:val="24"/>
          <w:szCs w:val="24"/>
          <w:shd w:val="clear" w:fill="FFFFFF"/>
          <w:lang w:val="en-US" w:eastAsia="zh-CN"/>
          <w14:textFill>
            <w14:solidFill>
              <w14:schemeClr w14:val="tx1"/>
            </w14:solidFill>
          </w14:textFill>
        </w:rPr>
        <w:t xml:space="preserve">thus is </w:t>
      </w:r>
      <w:r>
        <w:rPr>
          <w:rFonts w:hint="default" w:ascii="Times New Roman" w:hAnsi="Times New Roman" w:eastAsia="Helvetica" w:cs="Times New Roman"/>
          <w:i w:val="0"/>
          <w:iCs w:val="0"/>
          <w:caps w:val="0"/>
          <w:color w:val="000000" w:themeColor="text1"/>
          <w:spacing w:val="0"/>
          <w:sz w:val="24"/>
          <w:szCs w:val="24"/>
          <w:shd w:val="clear" w:fill="FFFFFF"/>
          <w14:textFill>
            <w14:solidFill>
              <w14:schemeClr w14:val="tx1"/>
            </w14:solidFill>
          </w14:textFill>
        </w:rPr>
        <w:t xml:space="preserve">the most attractive to shareholders. </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imes New Roman" w:hAnsi="Times New Roman" w:cs="Times New Roman"/>
          <w:b/>
          <w:bCs/>
          <w:sz w:val="24"/>
          <w:szCs w:val="24"/>
          <w:lang w:val="en-US" w:eastAsia="zh-CN"/>
        </w:rPr>
      </w:pPr>
    </w:p>
    <w:p>
      <w:pPr>
        <w:pStyle w:val="2"/>
        <w:keepNext/>
        <w:keepLines/>
        <w:pageBreakBefore w:val="0"/>
        <w:widowControl w:val="0"/>
        <w:numPr>
          <w:ilvl w:val="0"/>
          <w:numId w:val="2"/>
        </w:numPr>
        <w:kinsoku/>
        <w:wordWrap/>
        <w:overflowPunct/>
        <w:topLinePunct w:val="0"/>
        <w:autoSpaceDE/>
        <w:autoSpaceDN/>
        <w:bidi w:val="0"/>
        <w:adjustRightInd/>
        <w:snapToGrid/>
        <w:spacing w:before="0" w:after="0" w:line="360" w:lineRule="auto"/>
        <w:textAlignment w:val="auto"/>
        <w:rPr>
          <w:rFonts w:hint="default" w:ascii="Times New Roman" w:hAnsi="Times New Roman" w:cs="Times New Roman"/>
          <w:sz w:val="24"/>
          <w:szCs w:val="24"/>
          <w:lang w:val="en-US" w:eastAsia="zh-CN"/>
        </w:rPr>
      </w:pPr>
      <w:bookmarkStart w:id="38" w:name="_Toc24856"/>
      <w:r>
        <w:rPr>
          <w:rFonts w:hint="default" w:ascii="Times New Roman" w:hAnsi="Times New Roman" w:cs="Times New Roman"/>
          <w:sz w:val="24"/>
          <w:szCs w:val="24"/>
          <w:lang w:val="en-US" w:eastAsia="zh-CN"/>
        </w:rPr>
        <w:t>Conclusion</w:t>
      </w:r>
      <w:bookmarkEnd w:id="38"/>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eastAsia="宋体" w:cs="Times New Roman"/>
          <w:i w:val="0"/>
          <w:iCs w:val="0"/>
          <w:caps w:val="0"/>
          <w:color w:val="auto"/>
          <w:spacing w:val="0"/>
          <w:sz w:val="24"/>
          <w:szCs w:val="24"/>
          <w:shd w:val="clear" w:fill="FFFFFF"/>
          <w:lang w:val="en-US" w:eastAsia="zh-CN"/>
        </w:rPr>
      </w:pPr>
      <w:r>
        <w:rPr>
          <w:rFonts w:hint="eastAsia" w:ascii="Times New Roman" w:hAnsi="Times New Roman" w:eastAsia="宋体" w:cs="Times New Roman"/>
          <w:i w:val="0"/>
          <w:iCs w:val="0"/>
          <w:caps w:val="0"/>
          <w:color w:val="auto"/>
          <w:spacing w:val="0"/>
          <w:sz w:val="24"/>
          <w:szCs w:val="24"/>
          <w:shd w:val="clear" w:fill="FFFFFF"/>
          <w:lang w:val="en-US" w:eastAsia="zh-CN"/>
        </w:rPr>
        <w:t>Information that is pertinent and valuable may be obtained using non-time value approaches like payback period and accounting rate of return. There are, however, more sophisticated models that may be applied. These models frequently employ the time value of money concept.</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eastAsia="宋体" w:cs="Times New Roman"/>
          <w:i w:val="0"/>
          <w:iCs w:val="0"/>
          <w:caps w:val="0"/>
          <w:color w:val="auto"/>
          <w:spacing w:val="0"/>
          <w:sz w:val="24"/>
          <w:szCs w:val="24"/>
          <w:shd w:val="clear" w:fill="FFFFFF"/>
          <w:lang w:val="en-US" w:eastAsia="zh-CN"/>
        </w:rPr>
      </w:pPr>
      <w:r>
        <w:rPr>
          <w:rFonts w:hint="eastAsia" w:ascii="Times New Roman" w:hAnsi="Times New Roman" w:eastAsia="宋体" w:cs="Times New Roman"/>
          <w:i w:val="0"/>
          <w:iCs w:val="0"/>
          <w:caps w:val="0"/>
          <w:color w:val="auto"/>
          <w:spacing w:val="0"/>
          <w:sz w:val="24"/>
          <w:szCs w:val="24"/>
          <w:shd w:val="clear" w:fill="FFFFFF"/>
          <w:lang w:val="en-US" w:eastAsia="zh-CN"/>
        </w:rPr>
        <w:t>Only NPV is a totally reasonable strategy for evaluating the efficacy of each of these strategies. As it accounts for the time value of money and evaluates in absolute amounts of cash, NPV offers a more effective method for evaluating investment prospects than either ARR or PP.</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b/>
          <w:bCs/>
          <w:sz w:val="24"/>
          <w:szCs w:val="24"/>
          <w:lang w:val="en-US" w:eastAsia="zh-CN"/>
        </w:rPr>
      </w:pPr>
      <w:r>
        <w:rPr>
          <w:rFonts w:hint="eastAsia" w:ascii="Times New Roman" w:hAnsi="Times New Roman" w:eastAsia="宋体" w:cs="Times New Roman"/>
          <w:i w:val="0"/>
          <w:iCs w:val="0"/>
          <w:caps w:val="0"/>
          <w:color w:val="auto"/>
          <w:spacing w:val="0"/>
          <w:sz w:val="24"/>
          <w:szCs w:val="24"/>
          <w:shd w:val="clear" w:fill="FFFFFF"/>
          <w:lang w:val="en-US" w:eastAsia="zh-CN"/>
        </w:rPr>
        <w:t>With the use of four investment analysis techniques, which demonstrate that program A is more lucrative than B, The Wales Company should invest machine A.</w:t>
      </w:r>
    </w:p>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eastAsiaTheme="minorEastAsia"/>
          <w:b/>
          <w:bCs/>
          <w:kern w:val="2"/>
          <w:sz w:val="21"/>
          <w:szCs w:val="24"/>
          <w:lang w:val="en-US" w:eastAsia="zh-CN" w:bidi="ar-SA"/>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bCs/>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eastAsia" w:ascii="Times New Roman" w:hAnsi="Times New Roman" w:cs="Times New Roman"/>
          <w:b/>
          <w:bCs/>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eastAsia" w:ascii="Times New Roman" w:hAnsi="Times New Roman" w:cs="Times New Roman"/>
          <w:b/>
          <w:bCs/>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eastAsia" w:ascii="Times New Roman" w:hAnsi="Times New Roman" w:cs="Times New Roman"/>
          <w:b/>
          <w:bCs/>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eastAsia" w:ascii="Times New Roman" w:hAnsi="Times New Roman" w:cs="Times New Roman"/>
          <w:b/>
          <w:bCs/>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eastAsia" w:ascii="Times New Roman" w:hAnsi="Times New Roman" w:cs="Times New Roman"/>
          <w:b/>
          <w:bCs/>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eastAsia" w:ascii="Times New Roman" w:hAnsi="Times New Roman" w:cs="Times New Roman"/>
          <w:b/>
          <w:bCs/>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eastAsia" w:ascii="Times New Roman" w:hAnsi="Times New Roman" w:cs="Times New Roman"/>
          <w:b/>
          <w:bCs/>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eastAsia" w:ascii="Times New Roman" w:hAnsi="Times New Roman" w:cs="Times New Roman"/>
          <w:b/>
          <w:bCs/>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eastAsia" w:ascii="Times New Roman" w:hAnsi="Times New Roman" w:cs="Times New Roman"/>
          <w:b/>
          <w:bCs/>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eastAsia" w:ascii="Times New Roman" w:hAnsi="Times New Roman" w:cs="Times New Roman"/>
          <w:b/>
          <w:bCs/>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eastAsia" w:ascii="Times New Roman" w:hAnsi="Times New Roman" w:cs="Times New Roman"/>
          <w:b/>
          <w:bCs/>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eastAsia" w:ascii="Times New Roman" w:hAnsi="Times New Roman" w:cs="Times New Roman"/>
          <w:b/>
          <w:bCs/>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eastAsia" w:ascii="Times New Roman" w:hAnsi="Times New Roman" w:cs="Times New Roman"/>
          <w:b/>
          <w:bCs/>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eastAsia" w:ascii="Times New Roman" w:hAnsi="Times New Roman" w:cs="Times New Roman"/>
          <w:b/>
          <w:bCs/>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eastAsia" w:ascii="Times New Roman" w:hAnsi="Times New Roman" w:cs="Times New Roman"/>
          <w:b/>
          <w:bCs/>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eastAsia" w:ascii="Times New Roman" w:hAnsi="Times New Roman" w:cs="Times New Roman"/>
          <w:b/>
          <w:bCs/>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eastAsia" w:ascii="Times New Roman" w:hAnsi="Times New Roman" w:cs="Times New Roman"/>
          <w:b/>
          <w:bCs/>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eastAsia" w:ascii="Times New Roman" w:hAnsi="Times New Roman" w:cs="Times New Roman"/>
          <w:b/>
          <w:bCs/>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eastAsia" w:ascii="Times New Roman" w:hAnsi="Times New Roman" w:cs="Times New Roman"/>
          <w:b/>
          <w:bCs/>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eastAsia" w:ascii="Times New Roman" w:hAnsi="Times New Roman" w:cs="Times New Roman"/>
          <w:b/>
          <w:bCs/>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eastAsia" w:ascii="Times New Roman" w:hAnsi="Times New Roman" w:cs="Times New Roman"/>
          <w:b/>
          <w:bCs/>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eastAsia"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Reference</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val="0"/>
          <w:bCs w:val="0"/>
          <w:color w:val="auto"/>
          <w:sz w:val="24"/>
          <w:szCs w:val="24"/>
          <w:lang w:val="en-US" w:eastAsia="zh-CN"/>
        </w:rPr>
      </w:pPr>
      <w:r>
        <w:rPr>
          <w:rFonts w:hint="default" w:ascii="Times New Roman" w:hAnsi="Times New Roman" w:cs="Times New Roman"/>
          <w:b w:val="0"/>
          <w:bCs w:val="0"/>
          <w:color w:val="auto"/>
          <w:sz w:val="24"/>
          <w:szCs w:val="24"/>
          <w:lang w:val="en-US" w:eastAsia="zh-CN"/>
        </w:rPr>
        <w:t xml:space="preserve">Atrill, P. and McLaney, E.J. (2019) </w:t>
      </w:r>
      <w:r>
        <w:rPr>
          <w:rFonts w:hint="default" w:ascii="Times New Roman" w:hAnsi="Times New Roman" w:cs="Times New Roman"/>
          <w:b w:val="0"/>
          <w:bCs w:val="0"/>
          <w:i/>
          <w:iCs/>
          <w:color w:val="auto"/>
          <w:sz w:val="24"/>
          <w:szCs w:val="24"/>
          <w:lang w:val="en-US" w:eastAsia="zh-CN"/>
        </w:rPr>
        <w:t>Accounting and finance for non-specialists</w:t>
      </w:r>
      <w:r>
        <w:rPr>
          <w:rFonts w:hint="default" w:ascii="Times New Roman" w:hAnsi="Times New Roman" w:cs="Times New Roman"/>
          <w:b w:val="0"/>
          <w:bCs w:val="0"/>
          <w:color w:val="auto"/>
          <w:sz w:val="24"/>
          <w:szCs w:val="24"/>
          <w:lang w:val="en-US" w:eastAsia="zh-CN"/>
        </w:rPr>
        <w:t>. Eleventh edition. Harlow: Pearson.</w:t>
      </w:r>
    </w:p>
    <w:p>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宋体" w:cs="Times New Roman"/>
          <w:sz w:val="24"/>
          <w:szCs w:val="24"/>
        </w:rPr>
      </w:pPr>
    </w:p>
    <w:p>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sz w:val="24"/>
          <w:szCs w:val="24"/>
        </w:rPr>
        <w:t>Bhattacharya, H. (2007). Total management by ratios an analytic approach to management control hrishikes bhattacharya (2nd ed.). Sage publications.</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val="0"/>
          <w:bCs w:val="0"/>
          <w:color w:val="auto"/>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eastAsia="Roboto" w:cs="Times New Roman"/>
          <w:i w:val="0"/>
          <w:iCs w:val="0"/>
          <w:caps w:val="0"/>
          <w:color w:val="auto"/>
          <w:spacing w:val="0"/>
          <w:sz w:val="24"/>
          <w:szCs w:val="24"/>
          <w:shd w:val="clear" w:fill="FFFFFF"/>
        </w:rPr>
      </w:pPr>
      <w:r>
        <w:rPr>
          <w:rFonts w:hint="default" w:ascii="Times New Roman" w:hAnsi="Times New Roman" w:eastAsia="monospace" w:cs="Times New Roman"/>
          <w:i w:val="0"/>
          <w:iCs w:val="0"/>
          <w:caps w:val="0"/>
          <w:color w:val="000000" w:themeColor="text1"/>
          <w:spacing w:val="0"/>
          <w:sz w:val="24"/>
          <w:szCs w:val="24"/>
          <w:shd w:val="clear" w:fill="FFFFFF"/>
          <w14:textFill>
            <w14:solidFill>
              <w14:schemeClr w14:val="tx1"/>
            </w14:solidFill>
          </w14:textFill>
        </w:rPr>
        <w:t xml:space="preserve">Boardman, C. M., Reinhart, W. J., </w:t>
      </w:r>
      <w:r>
        <w:rPr>
          <w:rFonts w:hint="default" w:ascii="Times New Roman" w:hAnsi="Times New Roman" w:eastAsia="宋体" w:cs="Times New Roman"/>
          <w:i w:val="0"/>
          <w:iCs w:val="0"/>
          <w:caps w:val="0"/>
          <w:color w:val="000000" w:themeColor="text1"/>
          <w:spacing w:val="0"/>
          <w:sz w:val="24"/>
          <w:szCs w:val="24"/>
          <w:shd w:val="clear" w:fill="FFFFFF"/>
          <w:lang w:val="en-US" w:eastAsia="zh-CN"/>
          <w14:textFill>
            <w14:solidFill>
              <w14:schemeClr w14:val="tx1"/>
            </w14:solidFill>
          </w14:textFill>
        </w:rPr>
        <w:t>and</w:t>
      </w:r>
      <w:r>
        <w:rPr>
          <w:rFonts w:hint="default" w:ascii="Times New Roman" w:hAnsi="Times New Roman" w:eastAsia="monospace" w:cs="Times New Roman"/>
          <w:i w:val="0"/>
          <w:iCs w:val="0"/>
          <w:caps w:val="0"/>
          <w:color w:val="000000" w:themeColor="text1"/>
          <w:spacing w:val="0"/>
          <w:sz w:val="24"/>
          <w:szCs w:val="24"/>
          <w:shd w:val="clear" w:fill="FFFFFF"/>
          <w14:textFill>
            <w14:solidFill>
              <w14:schemeClr w14:val="tx1"/>
            </w14:solidFill>
          </w14:textFill>
        </w:rPr>
        <w:t xml:space="preserve"> Celec, S. E. (1982). THE ROLE OF THE PAYBACK PERIOD IN THE THEORY AND APPLICATION OF DURATION TO CAPITAL BUDGETING.</w:t>
      </w:r>
      <w:r>
        <w:rPr>
          <w:rFonts w:hint="default" w:ascii="Times New Roman" w:hAnsi="Times New Roman" w:eastAsia="monospace" w:cs="Times New Roman"/>
          <w:i/>
          <w:iCs/>
          <w:caps w:val="0"/>
          <w:color w:val="000000" w:themeColor="text1"/>
          <w:spacing w:val="0"/>
          <w:sz w:val="24"/>
          <w:szCs w:val="24"/>
          <w:shd w:val="clear" w:fill="FFFFFF"/>
          <w14:textFill>
            <w14:solidFill>
              <w14:schemeClr w14:val="tx1"/>
            </w14:solidFill>
          </w14:textFill>
        </w:rPr>
        <w:t xml:space="preserve"> Journal of Business Finance &amp; Accounting</w:t>
      </w:r>
      <w:r>
        <w:rPr>
          <w:rFonts w:hint="default" w:ascii="Times New Roman" w:hAnsi="Times New Roman" w:eastAsia="monospace" w:cs="Times New Roman"/>
          <w:i w:val="0"/>
          <w:iCs w:val="0"/>
          <w:caps w:val="0"/>
          <w:color w:val="000000" w:themeColor="text1"/>
          <w:spacing w:val="0"/>
          <w:sz w:val="24"/>
          <w:szCs w:val="24"/>
          <w:shd w:val="clear" w:fill="FFFFFF"/>
          <w14:textFill>
            <w14:solidFill>
              <w14:schemeClr w14:val="tx1"/>
            </w14:solidFill>
          </w14:textFill>
        </w:rPr>
        <w:t xml:space="preserve">, 9(4), </w:t>
      </w:r>
      <w:r>
        <w:rPr>
          <w:rFonts w:hint="default" w:ascii="Times New Roman" w:hAnsi="Times New Roman" w:eastAsia="宋体" w:cs="Times New Roman"/>
          <w:i w:val="0"/>
          <w:iCs w:val="0"/>
          <w:caps w:val="0"/>
          <w:color w:val="000000" w:themeColor="text1"/>
          <w:spacing w:val="0"/>
          <w:sz w:val="24"/>
          <w:szCs w:val="24"/>
          <w:shd w:val="clear" w:fill="FFFFFF"/>
          <w:lang w:val="en-US" w:eastAsia="zh-CN"/>
          <w14:textFill>
            <w14:solidFill>
              <w14:schemeClr w14:val="tx1"/>
            </w14:solidFill>
          </w14:textFill>
        </w:rPr>
        <w:t xml:space="preserve">pp. </w:t>
      </w:r>
      <w:r>
        <w:rPr>
          <w:rFonts w:hint="default" w:ascii="Times New Roman" w:hAnsi="Times New Roman" w:eastAsia="monospace" w:cs="Times New Roman"/>
          <w:i w:val="0"/>
          <w:iCs w:val="0"/>
          <w:caps w:val="0"/>
          <w:color w:val="000000" w:themeColor="text1"/>
          <w:spacing w:val="0"/>
          <w:sz w:val="24"/>
          <w:szCs w:val="24"/>
          <w:shd w:val="clear" w:fill="FFFFFF"/>
          <w14:textFill>
            <w14:solidFill>
              <w14:schemeClr w14:val="tx1"/>
            </w14:solidFill>
          </w14:textFill>
        </w:rPr>
        <w:t>511–522.</w:t>
      </w:r>
    </w:p>
    <w:p>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宋体" w:cs="Times New Roman"/>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eastAsia="sans-serif" w:cs="Times New Roman"/>
          <w:i w:val="0"/>
          <w:iCs w:val="0"/>
          <w:caps w:val="0"/>
          <w:color w:val="1C1D1E"/>
          <w:spacing w:val="0"/>
          <w:sz w:val="24"/>
          <w:szCs w:val="24"/>
          <w:shd w:val="clear" w:fill="FFFFFF"/>
        </w:rPr>
      </w:pPr>
      <w:r>
        <w:rPr>
          <w:rFonts w:hint="default" w:ascii="Times New Roman" w:hAnsi="Times New Roman" w:eastAsia="sans-serif" w:cs="Times New Roman"/>
          <w:i w:val="0"/>
          <w:iCs w:val="0"/>
          <w:caps w:val="0"/>
          <w:color w:val="1C1D1E"/>
          <w:spacing w:val="0"/>
          <w:sz w:val="24"/>
          <w:szCs w:val="24"/>
          <w:shd w:val="clear" w:fill="FFFFFF"/>
        </w:rPr>
        <w:t>Brealey, R., Myers, S., &amp; Allen, F. (2011). </w:t>
      </w:r>
      <w:r>
        <w:rPr>
          <w:rFonts w:hint="default" w:ascii="Times New Roman" w:hAnsi="Times New Roman" w:eastAsia="sans-serif" w:cs="Times New Roman"/>
          <w:i/>
          <w:iCs/>
          <w:caps w:val="0"/>
          <w:color w:val="1C1D1E"/>
          <w:spacing w:val="0"/>
          <w:sz w:val="24"/>
          <w:szCs w:val="24"/>
          <w:shd w:val="clear" w:fill="FFFFFF"/>
        </w:rPr>
        <w:t>Principles of corporate finance</w:t>
      </w:r>
      <w:r>
        <w:rPr>
          <w:rFonts w:hint="default" w:ascii="Times New Roman" w:hAnsi="Times New Roman" w:eastAsia="sans-serif" w:cs="Times New Roman"/>
          <w:i w:val="0"/>
          <w:iCs w:val="0"/>
          <w:caps w:val="0"/>
          <w:color w:val="1C1D1E"/>
          <w:spacing w:val="0"/>
          <w:sz w:val="24"/>
          <w:szCs w:val="24"/>
          <w:shd w:val="clear" w:fill="FFFFFF"/>
        </w:rPr>
        <w:t> ( Tenth ed.). McGraw-Hill/Irwin.</w:t>
      </w:r>
    </w:p>
    <w:p>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宋体" w:cs="Times New Roman"/>
          <w:b w:val="0"/>
          <w:bCs w:val="0"/>
          <w:sz w:val="24"/>
          <w:szCs w:val="24"/>
          <w:lang w:val="en-US" w:eastAsia="zh-CN"/>
        </w:rPr>
      </w:pPr>
    </w:p>
    <w:p>
      <w:pPr>
        <w:pStyle w:val="8"/>
        <w:keepNext w:val="0"/>
        <w:keepLines w:val="0"/>
        <w:pageBreakBefore w:val="0"/>
        <w:widowControl/>
        <w:suppressLineNumbers w:val="0"/>
        <w:kinsoku/>
        <w:wordWrap/>
        <w:overflowPunct/>
        <w:topLinePunct w:val="0"/>
        <w:autoSpaceDE/>
        <w:autoSpaceDN/>
        <w:bidi w:val="0"/>
        <w:adjustRightInd/>
        <w:snapToGrid/>
        <w:spacing w:before="0" w:beforeAutospacing="0" w:after="146" w:afterAutospacing="0" w:line="360" w:lineRule="auto"/>
        <w:ind w:left="0" w:right="0"/>
        <w:jc w:val="both"/>
        <w:textAlignment w:val="auto"/>
        <w:rPr>
          <w:rFonts w:hint="default" w:ascii="Times New Roman" w:hAnsi="Times New Roman" w:eastAsia="sans-serif" w:cs="Times New Roman"/>
          <w:i w:val="0"/>
          <w:iCs w:val="0"/>
          <w:caps w:val="0"/>
          <w:color w:val="1C1D1E"/>
          <w:spacing w:val="0"/>
          <w:kern w:val="2"/>
          <w:sz w:val="24"/>
          <w:szCs w:val="24"/>
          <w:shd w:val="clear" w:fill="FFFFFF"/>
          <w:lang w:val="en-US" w:eastAsia="zh-CN" w:bidi="ar-SA"/>
        </w:rPr>
      </w:pPr>
      <w:r>
        <w:rPr>
          <w:rFonts w:hint="default" w:ascii="Times New Roman" w:hAnsi="Times New Roman" w:eastAsia="sans-serif" w:cs="Times New Roman"/>
          <w:i w:val="0"/>
          <w:iCs w:val="0"/>
          <w:caps w:val="0"/>
          <w:color w:val="1C1D1E"/>
          <w:spacing w:val="0"/>
          <w:kern w:val="2"/>
          <w:sz w:val="24"/>
          <w:szCs w:val="24"/>
          <w:shd w:val="clear" w:fill="FFFFFF"/>
          <w:lang w:val="en-US" w:eastAsia="zh-CN" w:bidi="ar-SA"/>
        </w:rPr>
        <w:t>Brigham, E.F. and Ehrhardt, M.C. (2002), Financial Management: Theory and Practice, 10th ed., South-Western, Mason, OH.</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eastAsia="宋体" w:cs="Times New Roman"/>
          <w:i w:val="0"/>
          <w:iCs w:val="0"/>
          <w:caps w:val="0"/>
          <w:color w:val="auto"/>
          <w:spacing w:val="0"/>
          <w:sz w:val="24"/>
          <w:szCs w:val="24"/>
          <w:shd w:val="clear" w:fill="FFFFFF"/>
          <w:lang w:val="en-US" w:eastAsia="zh-CN"/>
        </w:rPr>
      </w:pPr>
      <w:r>
        <w:rPr>
          <w:rFonts w:hint="default" w:ascii="Times New Roman" w:hAnsi="Times New Roman" w:eastAsia="宋体" w:cs="Times New Roman"/>
          <w:i w:val="0"/>
          <w:iCs w:val="0"/>
          <w:caps w:val="0"/>
          <w:color w:val="auto"/>
          <w:spacing w:val="0"/>
          <w:sz w:val="24"/>
          <w:szCs w:val="24"/>
          <w:shd w:val="clear" w:fill="FFFFFF"/>
          <w:lang w:val="en-US" w:eastAsia="zh-CN"/>
        </w:rPr>
        <w:t xml:space="preserve">Carmichael, D.G. and Balatbat, M.C.A. (2008) ‘Probabilistic DCF Analysis and Capital Budgeting and Investment-a Survey’, </w:t>
      </w:r>
      <w:r>
        <w:rPr>
          <w:rFonts w:hint="default" w:ascii="Times New Roman" w:hAnsi="Times New Roman" w:eastAsia="宋体" w:cs="Times New Roman"/>
          <w:i/>
          <w:iCs/>
          <w:caps w:val="0"/>
          <w:color w:val="auto"/>
          <w:spacing w:val="0"/>
          <w:sz w:val="24"/>
          <w:szCs w:val="24"/>
          <w:shd w:val="clear" w:fill="FFFFFF"/>
          <w:lang w:val="en-US" w:eastAsia="zh-CN"/>
        </w:rPr>
        <w:t>The Engineering economist</w:t>
      </w:r>
      <w:r>
        <w:rPr>
          <w:rFonts w:hint="default" w:ascii="Times New Roman" w:hAnsi="Times New Roman" w:eastAsia="宋体" w:cs="Times New Roman"/>
          <w:i w:val="0"/>
          <w:iCs w:val="0"/>
          <w:caps w:val="0"/>
          <w:color w:val="auto"/>
          <w:spacing w:val="0"/>
          <w:sz w:val="24"/>
          <w:szCs w:val="24"/>
          <w:shd w:val="clear" w:fill="FFFFFF"/>
          <w:lang w:val="en-US" w:eastAsia="zh-CN"/>
        </w:rPr>
        <w:t>, 53(1), pp. 84–102.</w:t>
      </w:r>
    </w:p>
    <w:p>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宋体" w:cs="Times New Roman"/>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 xml:space="preserve">Chen, S. and Clark, R.L. (1994) ‘Management Compensation and Payback Method in Capital Budgeting: A Path Analysis’, </w:t>
      </w:r>
      <w:r>
        <w:rPr>
          <w:rFonts w:hint="default" w:ascii="Times New Roman" w:hAnsi="Times New Roman" w:cs="Times New Roman"/>
          <w:b w:val="0"/>
          <w:bCs w:val="0"/>
          <w:i/>
          <w:iCs/>
          <w:sz w:val="24"/>
          <w:szCs w:val="24"/>
          <w:lang w:val="en-US" w:eastAsia="zh-CN"/>
        </w:rPr>
        <w:t>Accounting and business research</w:t>
      </w:r>
      <w:r>
        <w:rPr>
          <w:rFonts w:hint="default" w:ascii="Times New Roman" w:hAnsi="Times New Roman" w:cs="Times New Roman"/>
          <w:b w:val="0"/>
          <w:bCs w:val="0"/>
          <w:sz w:val="24"/>
          <w:szCs w:val="24"/>
          <w:lang w:val="en-US" w:eastAsia="zh-CN"/>
        </w:rPr>
        <w:t xml:space="preserve">, 24(94), pp. 121–132. </w:t>
      </w:r>
    </w:p>
    <w:p>
      <w:pPr>
        <w:keepNext w:val="0"/>
        <w:keepLines w:val="0"/>
        <w:pageBreakBefore w:val="0"/>
        <w:widowControl w:val="0"/>
        <w:numPr>
          <w:ilvl w:val="0"/>
          <w:numId w:val="0"/>
        </w:numPr>
        <w:tabs>
          <w:tab w:val="left" w:pos="2160"/>
        </w:tabs>
        <w:kinsoku/>
        <w:wordWrap/>
        <w:overflowPunct/>
        <w:topLinePunct w:val="0"/>
        <w:autoSpaceDE/>
        <w:autoSpaceDN/>
        <w:bidi w:val="0"/>
        <w:adjustRightInd/>
        <w:snapToGrid/>
        <w:spacing w:line="360" w:lineRule="auto"/>
        <w:ind w:right="23" w:rightChars="0"/>
        <w:jc w:val="both"/>
        <w:textAlignment w:val="auto"/>
        <w:rPr>
          <w:rFonts w:hint="default" w:ascii="Times New Roman" w:hAnsi="Times New Roman" w:eastAsia="monospace" w:cs="Times New Roman"/>
          <w:i w:val="0"/>
          <w:iCs w:val="0"/>
          <w:caps w:val="0"/>
          <w:color w:val="000000" w:themeColor="text1"/>
          <w:spacing w:val="0"/>
          <w:sz w:val="24"/>
          <w:szCs w:val="24"/>
          <w:shd w:val="clear" w:fill="FFFFFF"/>
          <w14:textFill>
            <w14:solidFill>
              <w14:schemeClr w14:val="tx1"/>
            </w14:solidFill>
          </w14:textFill>
        </w:rPr>
      </w:pPr>
    </w:p>
    <w:p>
      <w:pPr>
        <w:keepNext w:val="0"/>
        <w:keepLines w:val="0"/>
        <w:pageBreakBefore w:val="0"/>
        <w:widowControl w:val="0"/>
        <w:numPr>
          <w:ilvl w:val="0"/>
          <w:numId w:val="0"/>
        </w:numPr>
        <w:tabs>
          <w:tab w:val="left" w:pos="2160"/>
        </w:tabs>
        <w:kinsoku/>
        <w:wordWrap/>
        <w:overflowPunct/>
        <w:topLinePunct w:val="0"/>
        <w:autoSpaceDE/>
        <w:autoSpaceDN/>
        <w:bidi w:val="0"/>
        <w:adjustRightInd/>
        <w:snapToGrid/>
        <w:spacing w:line="360" w:lineRule="auto"/>
        <w:ind w:right="23" w:rightChars="0"/>
        <w:jc w:val="both"/>
        <w:textAlignment w:val="auto"/>
        <w:rPr>
          <w:rFonts w:hint="default" w:ascii="Times New Roman" w:hAnsi="Times New Roman" w:eastAsia="宋体" w:cs="Times New Roman"/>
          <w:b w:val="0"/>
          <w:bCs w:val="0"/>
          <w:color w:val="000000" w:themeColor="text1"/>
          <w:sz w:val="24"/>
          <w:szCs w:val="24"/>
          <w:lang w:val="en-US" w:eastAsia="zh-CN"/>
          <w14:textFill>
            <w14:solidFill>
              <w14:schemeClr w14:val="tx1"/>
            </w14:solidFill>
          </w14:textFill>
        </w:rPr>
      </w:pPr>
      <w:r>
        <w:rPr>
          <w:rFonts w:hint="default" w:ascii="Times New Roman" w:hAnsi="Times New Roman" w:eastAsia="monospace" w:cs="Times New Roman"/>
          <w:i w:val="0"/>
          <w:iCs w:val="0"/>
          <w:caps w:val="0"/>
          <w:color w:val="000000" w:themeColor="text1"/>
          <w:spacing w:val="0"/>
          <w:sz w:val="24"/>
          <w:szCs w:val="24"/>
          <w:shd w:val="clear" w:fill="FFFFFF"/>
          <w14:textFill>
            <w14:solidFill>
              <w14:schemeClr w14:val="tx1"/>
            </w14:solidFill>
          </w14:textFill>
        </w:rPr>
        <w:t>Choi, T. S., &amp; Levary, R. R. (1987). Payback Method in Capital Budgeting: A New Insight.</w:t>
      </w:r>
      <w:r>
        <w:rPr>
          <w:rFonts w:hint="default" w:ascii="Times New Roman" w:hAnsi="Times New Roman" w:eastAsia="monospace" w:cs="Times New Roman"/>
          <w:i/>
          <w:iCs/>
          <w:caps w:val="0"/>
          <w:color w:val="000000" w:themeColor="text1"/>
          <w:spacing w:val="0"/>
          <w:sz w:val="24"/>
          <w:szCs w:val="24"/>
          <w:shd w:val="clear" w:fill="FFFFFF"/>
          <w14:textFill>
            <w14:solidFill>
              <w14:schemeClr w14:val="tx1"/>
            </w14:solidFill>
          </w14:textFill>
        </w:rPr>
        <w:t xml:space="preserve"> Journal of Information and Optimization Sciences</w:t>
      </w:r>
      <w:r>
        <w:rPr>
          <w:rFonts w:hint="default" w:ascii="Times New Roman" w:hAnsi="Times New Roman" w:eastAsia="monospace" w:cs="Times New Roman"/>
          <w:i w:val="0"/>
          <w:iCs w:val="0"/>
          <w:caps w:val="0"/>
          <w:color w:val="000000" w:themeColor="text1"/>
          <w:spacing w:val="0"/>
          <w:sz w:val="24"/>
          <w:szCs w:val="24"/>
          <w:shd w:val="clear" w:fill="FFFFFF"/>
          <w14:textFill>
            <w14:solidFill>
              <w14:schemeClr w14:val="tx1"/>
            </w14:solidFill>
          </w14:textFill>
        </w:rPr>
        <w:t xml:space="preserve">, 8(1), </w:t>
      </w:r>
      <w:r>
        <w:rPr>
          <w:rFonts w:hint="eastAsia" w:ascii="Times New Roman" w:hAnsi="Times New Roman" w:eastAsia="宋体" w:cs="Times New Roman"/>
          <w:i w:val="0"/>
          <w:iCs w:val="0"/>
          <w:caps w:val="0"/>
          <w:color w:val="000000" w:themeColor="text1"/>
          <w:spacing w:val="0"/>
          <w:sz w:val="24"/>
          <w:szCs w:val="24"/>
          <w:shd w:val="clear" w:fill="FFFFFF"/>
          <w:lang w:val="en-US" w:eastAsia="zh-CN"/>
          <w14:textFill>
            <w14:solidFill>
              <w14:schemeClr w14:val="tx1"/>
            </w14:solidFill>
          </w14:textFill>
        </w:rPr>
        <w:t xml:space="preserve">pp. </w:t>
      </w:r>
      <w:r>
        <w:rPr>
          <w:rFonts w:hint="default" w:ascii="Times New Roman" w:hAnsi="Times New Roman" w:eastAsia="monospace" w:cs="Times New Roman"/>
          <w:i w:val="0"/>
          <w:iCs w:val="0"/>
          <w:caps w:val="0"/>
          <w:color w:val="000000" w:themeColor="text1"/>
          <w:spacing w:val="0"/>
          <w:sz w:val="24"/>
          <w:szCs w:val="24"/>
          <w:shd w:val="clear" w:fill="FFFFFF"/>
          <w14:textFill>
            <w14:solidFill>
              <w14:schemeClr w14:val="tx1"/>
            </w14:solidFill>
          </w14:textFill>
        </w:rPr>
        <w:t>57–63.</w:t>
      </w:r>
    </w:p>
    <w:p>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宋体" w:cs="Times New Roman"/>
          <w:b w:val="0"/>
          <w:bCs w:val="0"/>
          <w:sz w:val="24"/>
          <w:szCs w:val="24"/>
          <w:lang w:val="en-US" w:eastAsia="zh-CN"/>
        </w:rPr>
      </w:pPr>
    </w:p>
    <w:p>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 xml:space="preserve">Davies, T. et al. (2011) </w:t>
      </w:r>
      <w:r>
        <w:rPr>
          <w:rFonts w:hint="default" w:ascii="Times New Roman" w:hAnsi="Times New Roman" w:eastAsia="宋体" w:cs="Times New Roman"/>
          <w:b w:val="0"/>
          <w:bCs w:val="0"/>
          <w:i/>
          <w:iCs/>
          <w:sz w:val="24"/>
          <w:szCs w:val="24"/>
          <w:lang w:val="en-US" w:eastAsia="zh-CN"/>
        </w:rPr>
        <w:t>Business accounting and finance</w:t>
      </w:r>
      <w:r>
        <w:rPr>
          <w:rFonts w:hint="default" w:ascii="Times New Roman" w:hAnsi="Times New Roman" w:eastAsia="宋体" w:cs="Times New Roman"/>
          <w:b w:val="0"/>
          <w:bCs w:val="0"/>
          <w:sz w:val="24"/>
          <w:szCs w:val="24"/>
          <w:lang w:val="en-US" w:eastAsia="zh-CN"/>
        </w:rPr>
        <w:t>. 1st ed. Harlow, England: Pearson.</w:t>
      </w:r>
    </w:p>
    <w:p>
      <w:pPr>
        <w:keepNext w:val="0"/>
        <w:keepLines w:val="0"/>
        <w:pageBreakBefore w:val="0"/>
        <w:widowControl/>
        <w:kinsoku w:val="0"/>
        <w:wordWrap/>
        <w:overflowPunct/>
        <w:topLinePunct w:val="0"/>
        <w:autoSpaceDE w:val="0"/>
        <w:autoSpaceDN w:val="0"/>
        <w:bidi w:val="0"/>
        <w:adjustRightInd w:val="0"/>
        <w:snapToGrid w:val="0"/>
        <w:spacing w:before="60" w:line="360" w:lineRule="auto"/>
        <w:ind w:left="21"/>
        <w:jc w:val="both"/>
        <w:textAlignment w:val="baseline"/>
        <w:rPr>
          <w:rFonts w:hint="default" w:ascii="Times New Roman" w:hAnsi="Times New Roman" w:eastAsia="宋体" w:cs="Times New Roman"/>
          <w:sz w:val="24"/>
          <w:szCs w:val="24"/>
        </w:rPr>
      </w:pPr>
    </w:p>
    <w:p>
      <w:pPr>
        <w:keepNext w:val="0"/>
        <w:keepLines w:val="0"/>
        <w:pageBreakBefore w:val="0"/>
        <w:widowControl/>
        <w:kinsoku w:val="0"/>
        <w:wordWrap/>
        <w:overflowPunct/>
        <w:topLinePunct w:val="0"/>
        <w:autoSpaceDE w:val="0"/>
        <w:autoSpaceDN w:val="0"/>
        <w:bidi w:val="0"/>
        <w:adjustRightInd w:val="0"/>
        <w:snapToGrid w:val="0"/>
        <w:spacing w:before="60" w:line="360" w:lineRule="auto"/>
        <w:ind w:left="21"/>
        <w:jc w:val="both"/>
        <w:textAlignment w:val="baseline"/>
        <w:rPr>
          <w:rFonts w:hint="default" w:ascii="Times New Roman" w:hAnsi="Times New Roman" w:eastAsia="宋体" w:cs="Times New Roman"/>
          <w:sz w:val="24"/>
          <w:szCs w:val="24"/>
        </w:rPr>
      </w:pPr>
      <w:r>
        <w:rPr>
          <w:rFonts w:hint="default" w:ascii="Times New Roman" w:hAnsi="Times New Roman" w:eastAsia="宋体" w:cs="Times New Roman"/>
          <w:sz w:val="24"/>
          <w:szCs w:val="24"/>
        </w:rPr>
        <w:t>Dechow</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sz w:val="24"/>
          <w:szCs w:val="24"/>
        </w:rPr>
        <w:t xml:space="preserve"> P. (1994). ‘Accounting earnings and cash flows as measures of firm performance: the role of accounting accruals’. </w:t>
      </w:r>
      <w:r>
        <w:rPr>
          <w:rFonts w:hint="default" w:ascii="Times New Roman" w:hAnsi="Times New Roman" w:eastAsia="宋体" w:cs="Times New Roman"/>
          <w:i/>
          <w:iCs/>
          <w:sz w:val="24"/>
          <w:szCs w:val="24"/>
        </w:rPr>
        <w:t>Journal of Accounting and Economics</w:t>
      </w:r>
      <w:r>
        <w:rPr>
          <w:rFonts w:hint="default" w:ascii="Times New Roman" w:hAnsi="Times New Roman" w:eastAsia="宋体" w:cs="Times New Roman"/>
          <w:sz w:val="24"/>
          <w:szCs w:val="24"/>
        </w:rPr>
        <w:t xml:space="preserve">. (July): </w:t>
      </w:r>
      <w:r>
        <w:rPr>
          <w:rFonts w:hint="eastAsia" w:ascii="Times New Roman" w:hAnsi="Times New Roman" w:eastAsia="宋体" w:cs="Times New Roman"/>
          <w:sz w:val="24"/>
          <w:szCs w:val="24"/>
          <w:lang w:val="en-US" w:eastAsia="zh-CN"/>
        </w:rPr>
        <w:t xml:space="preserve">pp. </w:t>
      </w:r>
      <w:r>
        <w:rPr>
          <w:rFonts w:hint="default" w:ascii="Times New Roman" w:hAnsi="Times New Roman" w:eastAsia="宋体" w:cs="Times New Roman"/>
          <w:sz w:val="24"/>
          <w:szCs w:val="24"/>
        </w:rPr>
        <w:t>3-42.</w:t>
      </w:r>
    </w:p>
    <w:p>
      <w:pPr>
        <w:keepNext w:val="0"/>
        <w:keepLines w:val="0"/>
        <w:pageBreakBefore w:val="0"/>
        <w:widowControl/>
        <w:kinsoku w:val="0"/>
        <w:wordWrap/>
        <w:overflowPunct/>
        <w:topLinePunct w:val="0"/>
        <w:autoSpaceDE w:val="0"/>
        <w:autoSpaceDN w:val="0"/>
        <w:bidi w:val="0"/>
        <w:adjustRightInd w:val="0"/>
        <w:snapToGrid w:val="0"/>
        <w:spacing w:before="69" w:line="360" w:lineRule="auto"/>
        <w:ind w:left="23"/>
        <w:jc w:val="both"/>
        <w:textAlignment w:val="baseline"/>
        <w:rPr>
          <w:rFonts w:hint="default" w:ascii="Times New Roman" w:hAnsi="Times New Roman" w:eastAsia="monospace" w:cs="Times New Roman"/>
          <w:i w:val="0"/>
          <w:iCs w:val="0"/>
          <w:caps w:val="0"/>
          <w:color w:val="auto"/>
          <w:spacing w:val="0"/>
          <w:sz w:val="24"/>
          <w:szCs w:val="24"/>
          <w:shd w:val="clear" w:fill="FFFFFF"/>
        </w:rPr>
      </w:pPr>
    </w:p>
    <w:p>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default" w:ascii="Times New Roman" w:hAnsi="Times New Roman" w:eastAsia="sans-serif" w:cs="Times New Roman"/>
          <w:i w:val="0"/>
          <w:iCs w:val="0"/>
          <w:caps w:val="0"/>
          <w:color w:val="005274"/>
          <w:spacing w:val="0"/>
          <w:sz w:val="24"/>
          <w:szCs w:val="24"/>
          <w:u w:val="none"/>
          <w:shd w:val="clear" w:fill="FFFFFF"/>
        </w:rPr>
      </w:pPr>
      <w:r>
        <w:rPr>
          <w:rFonts w:hint="default" w:ascii="Times New Roman" w:hAnsi="Times New Roman" w:eastAsia="sans-serif" w:cs="Times New Roman"/>
          <w:i w:val="0"/>
          <w:iCs w:val="0"/>
          <w:caps w:val="0"/>
          <w:color w:val="1C1D1E"/>
          <w:spacing w:val="0"/>
          <w:sz w:val="24"/>
          <w:szCs w:val="24"/>
          <w:shd w:val="clear" w:fill="FFFFFF"/>
        </w:rPr>
        <w:t xml:space="preserve">Drake, P.P. and Fabozzi, F.J. (2012). </w:t>
      </w:r>
      <w:r>
        <w:rPr>
          <w:rFonts w:hint="default" w:ascii="Times New Roman" w:hAnsi="Times New Roman" w:eastAsia="sans-serif" w:cs="Times New Roman"/>
          <w:i/>
          <w:iCs/>
          <w:caps w:val="0"/>
          <w:color w:val="1C1D1E"/>
          <w:spacing w:val="0"/>
          <w:sz w:val="24"/>
          <w:szCs w:val="24"/>
          <w:shd w:val="clear" w:fill="FFFFFF"/>
        </w:rPr>
        <w:t>Financial Ratio Analysis. In Encyclopedia of Financial Models</w:t>
      </w:r>
      <w:r>
        <w:rPr>
          <w:rFonts w:hint="default" w:ascii="Times New Roman" w:hAnsi="Times New Roman" w:eastAsia="sans-serif" w:cs="Times New Roman"/>
          <w:i w:val="0"/>
          <w:iCs w:val="0"/>
          <w:caps w:val="0"/>
          <w:color w:val="1C1D1E"/>
          <w:spacing w:val="0"/>
          <w:sz w:val="24"/>
          <w:szCs w:val="24"/>
          <w:shd w:val="clear" w:fill="FFFFFF"/>
        </w:rPr>
        <w:t>, F.J. Fabozzi (Ed.). </w:t>
      </w:r>
    </w:p>
    <w:p>
      <w:pPr>
        <w:keepNext w:val="0"/>
        <w:keepLines w:val="0"/>
        <w:pageBreakBefore w:val="0"/>
        <w:widowControl/>
        <w:kinsoku w:val="0"/>
        <w:wordWrap/>
        <w:overflowPunct/>
        <w:topLinePunct w:val="0"/>
        <w:autoSpaceDE w:val="0"/>
        <w:autoSpaceDN w:val="0"/>
        <w:bidi w:val="0"/>
        <w:adjustRightInd w:val="0"/>
        <w:snapToGrid w:val="0"/>
        <w:spacing w:before="69" w:line="360" w:lineRule="auto"/>
        <w:ind w:left="23"/>
        <w:jc w:val="both"/>
        <w:textAlignment w:val="baseline"/>
        <w:rPr>
          <w:rFonts w:hint="default" w:ascii="Times New Roman" w:hAnsi="Times New Roman" w:eastAsia="monospace" w:cs="Times New Roman"/>
          <w:i w:val="0"/>
          <w:iCs w:val="0"/>
          <w:caps w:val="0"/>
          <w:color w:val="auto"/>
          <w:spacing w:val="0"/>
          <w:sz w:val="24"/>
          <w:szCs w:val="24"/>
          <w:shd w:val="clear" w:fill="FFFFFF"/>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eastAsia="宋体" w:cs="Times New Roman"/>
          <w:i w:val="0"/>
          <w:iCs w:val="0"/>
          <w:caps w:val="0"/>
          <w:color w:val="auto"/>
          <w:spacing w:val="0"/>
          <w:sz w:val="24"/>
          <w:szCs w:val="24"/>
          <w:shd w:val="clear" w:fill="FFFFFF"/>
          <w:lang w:val="en-US" w:eastAsia="zh-CN"/>
        </w:rPr>
      </w:pPr>
      <w:r>
        <w:rPr>
          <w:rFonts w:hint="default" w:ascii="Times New Roman" w:hAnsi="Times New Roman" w:eastAsia="sans-serif" w:cs="Times New Roman"/>
          <w:i w:val="0"/>
          <w:iCs w:val="0"/>
          <w:caps w:val="0"/>
          <w:color w:val="1C1D1E"/>
          <w:spacing w:val="0"/>
          <w:sz w:val="24"/>
          <w:szCs w:val="24"/>
          <w:shd w:val="clear" w:fill="FFFFFF"/>
        </w:rPr>
        <w:t>Fabozzi, F.J. and Drake, P.P. (2009). Capital Budgeting Techniques. In Finance (eds F.J. Fabozzi and P.P. Drake).</w:t>
      </w:r>
    </w:p>
    <w:p>
      <w:pPr>
        <w:keepNext w:val="0"/>
        <w:keepLines w:val="0"/>
        <w:pageBreakBefore w:val="0"/>
        <w:widowControl/>
        <w:kinsoku w:val="0"/>
        <w:wordWrap/>
        <w:overflowPunct/>
        <w:topLinePunct w:val="0"/>
        <w:autoSpaceDE w:val="0"/>
        <w:autoSpaceDN w:val="0"/>
        <w:bidi w:val="0"/>
        <w:adjustRightInd w:val="0"/>
        <w:snapToGrid w:val="0"/>
        <w:spacing w:before="69" w:line="360" w:lineRule="auto"/>
        <w:ind w:left="23"/>
        <w:jc w:val="both"/>
        <w:textAlignment w:val="baseline"/>
        <w:rPr>
          <w:rFonts w:hint="default" w:ascii="Times New Roman" w:hAnsi="Times New Roman" w:eastAsia="monospace" w:cs="Times New Roman"/>
          <w:i w:val="0"/>
          <w:iCs w:val="0"/>
          <w:caps w:val="0"/>
          <w:color w:val="auto"/>
          <w:spacing w:val="0"/>
          <w:sz w:val="24"/>
          <w:szCs w:val="24"/>
          <w:shd w:val="clear" w:fill="FFFFFF"/>
        </w:rPr>
      </w:pPr>
    </w:p>
    <w:p>
      <w:pPr>
        <w:keepNext w:val="0"/>
        <w:keepLines w:val="0"/>
        <w:pageBreakBefore w:val="0"/>
        <w:widowControl/>
        <w:kinsoku w:val="0"/>
        <w:wordWrap/>
        <w:overflowPunct/>
        <w:topLinePunct w:val="0"/>
        <w:autoSpaceDE w:val="0"/>
        <w:autoSpaceDN w:val="0"/>
        <w:bidi w:val="0"/>
        <w:adjustRightInd w:val="0"/>
        <w:snapToGrid w:val="0"/>
        <w:spacing w:before="69" w:line="360" w:lineRule="auto"/>
        <w:ind w:left="23"/>
        <w:jc w:val="both"/>
        <w:textAlignment w:val="baseline"/>
        <w:rPr>
          <w:rFonts w:hint="default" w:ascii="Times New Roman" w:hAnsi="Times New Roman" w:eastAsia="monospace" w:cs="Times New Roman"/>
          <w:i/>
          <w:iCs/>
          <w:caps w:val="0"/>
          <w:color w:val="auto"/>
          <w:spacing w:val="0"/>
          <w:sz w:val="24"/>
          <w:szCs w:val="24"/>
          <w:shd w:val="clear" w:fill="FFFFFF"/>
        </w:rPr>
      </w:pPr>
      <w:r>
        <w:rPr>
          <w:rFonts w:hint="default" w:ascii="Times New Roman" w:hAnsi="Times New Roman" w:eastAsia="monospace" w:cs="Times New Roman"/>
          <w:i w:val="0"/>
          <w:iCs w:val="0"/>
          <w:caps w:val="0"/>
          <w:color w:val="auto"/>
          <w:spacing w:val="0"/>
          <w:sz w:val="24"/>
          <w:szCs w:val="24"/>
          <w:shd w:val="clear" w:fill="FFFFFF"/>
        </w:rPr>
        <w:t xml:space="preserve">Fadel, H., </w:t>
      </w:r>
      <w:r>
        <w:rPr>
          <w:rFonts w:hint="default" w:ascii="Times New Roman" w:hAnsi="Times New Roman" w:eastAsia="宋体" w:cs="Times New Roman"/>
          <w:i w:val="0"/>
          <w:iCs w:val="0"/>
          <w:caps w:val="0"/>
          <w:color w:val="auto"/>
          <w:spacing w:val="0"/>
          <w:sz w:val="24"/>
          <w:szCs w:val="24"/>
          <w:shd w:val="clear" w:fill="FFFFFF"/>
          <w:lang w:val="en-US" w:eastAsia="zh-CN"/>
        </w:rPr>
        <w:t>and</w:t>
      </w:r>
      <w:r>
        <w:rPr>
          <w:rFonts w:hint="default" w:ascii="Times New Roman" w:hAnsi="Times New Roman" w:eastAsia="monospace" w:cs="Times New Roman"/>
          <w:i w:val="0"/>
          <w:iCs w:val="0"/>
          <w:caps w:val="0"/>
          <w:color w:val="auto"/>
          <w:spacing w:val="0"/>
          <w:sz w:val="24"/>
          <w:szCs w:val="24"/>
          <w:shd w:val="clear" w:fill="FFFFFF"/>
        </w:rPr>
        <w:t xml:space="preserve"> Parkinson, J. M. (1978). </w:t>
      </w:r>
      <w:r>
        <w:rPr>
          <w:rFonts w:hint="default" w:ascii="Times New Roman" w:hAnsi="Times New Roman" w:eastAsia="monospace" w:cs="Times New Roman"/>
          <w:i/>
          <w:iCs/>
          <w:caps w:val="0"/>
          <w:color w:val="auto"/>
          <w:spacing w:val="0"/>
          <w:sz w:val="24"/>
          <w:szCs w:val="24"/>
          <w:shd w:val="clear" w:fill="FFFFFF"/>
        </w:rPr>
        <w:t xml:space="preserve">Liquidity Evaluation by Means of Ratio Analysis. Accounting and Business Research, 8(30), </w:t>
      </w:r>
      <w:r>
        <w:rPr>
          <w:rFonts w:hint="default" w:ascii="Times New Roman" w:hAnsi="Times New Roman" w:eastAsia="宋体" w:cs="Times New Roman"/>
          <w:i/>
          <w:iCs/>
          <w:caps w:val="0"/>
          <w:color w:val="auto"/>
          <w:spacing w:val="0"/>
          <w:sz w:val="24"/>
          <w:szCs w:val="24"/>
          <w:shd w:val="clear" w:fill="FFFFFF"/>
          <w:lang w:val="en-US" w:eastAsia="zh-CN"/>
        </w:rPr>
        <w:t xml:space="preserve">pp. </w:t>
      </w:r>
      <w:r>
        <w:rPr>
          <w:rFonts w:hint="default" w:ascii="Times New Roman" w:hAnsi="Times New Roman" w:eastAsia="monospace" w:cs="Times New Roman"/>
          <w:i/>
          <w:iCs/>
          <w:caps w:val="0"/>
          <w:color w:val="auto"/>
          <w:spacing w:val="0"/>
          <w:sz w:val="24"/>
          <w:szCs w:val="24"/>
          <w:shd w:val="clear" w:fill="FFFFFF"/>
        </w:rPr>
        <w:t>101–107.</w:t>
      </w:r>
    </w:p>
    <w:p>
      <w:pPr>
        <w:keepNext w:val="0"/>
        <w:keepLines w:val="0"/>
        <w:pageBreakBefore w:val="0"/>
        <w:widowControl/>
        <w:kinsoku w:val="0"/>
        <w:wordWrap/>
        <w:overflowPunct/>
        <w:topLinePunct w:val="0"/>
        <w:autoSpaceDE w:val="0"/>
        <w:autoSpaceDN w:val="0"/>
        <w:bidi w:val="0"/>
        <w:adjustRightInd w:val="0"/>
        <w:snapToGrid w:val="0"/>
        <w:spacing w:before="69" w:line="360" w:lineRule="auto"/>
        <w:jc w:val="both"/>
        <w:textAlignment w:val="baseline"/>
        <w:rPr>
          <w:rFonts w:hint="default" w:ascii="Times New Roman" w:hAnsi="Times New Roman" w:eastAsia="宋体" w:cs="Times New Roman"/>
          <w:sz w:val="24"/>
          <w:szCs w:val="24"/>
        </w:rPr>
      </w:pPr>
    </w:p>
    <w:p>
      <w:pPr>
        <w:keepNext w:val="0"/>
        <w:keepLines w:val="0"/>
        <w:pageBreakBefore w:val="0"/>
        <w:widowControl/>
        <w:kinsoku w:val="0"/>
        <w:wordWrap/>
        <w:overflowPunct/>
        <w:topLinePunct w:val="0"/>
        <w:autoSpaceDE w:val="0"/>
        <w:autoSpaceDN w:val="0"/>
        <w:bidi w:val="0"/>
        <w:adjustRightInd w:val="0"/>
        <w:snapToGrid w:val="0"/>
        <w:spacing w:before="69" w:line="360" w:lineRule="auto"/>
        <w:jc w:val="both"/>
        <w:textAlignment w:val="baseline"/>
        <w:rPr>
          <w:rFonts w:hint="default" w:ascii="Times New Roman" w:hAnsi="Times New Roman" w:eastAsia="宋体" w:cs="Times New Roman"/>
          <w:sz w:val="24"/>
          <w:szCs w:val="24"/>
        </w:rPr>
      </w:pPr>
      <w:r>
        <w:rPr>
          <w:rFonts w:hint="default" w:ascii="Times New Roman" w:hAnsi="Times New Roman" w:eastAsia="宋体" w:cs="Times New Roman"/>
          <w:sz w:val="24"/>
          <w:szCs w:val="24"/>
        </w:rPr>
        <w:t>Gitman, L.J. (2008) Principles of managerial finance. Brief 4th ed. Boston, Mass. ;: Addison-Wesley.</w:t>
      </w:r>
    </w:p>
    <w:p>
      <w:pPr>
        <w:keepNext w:val="0"/>
        <w:keepLines w:val="0"/>
        <w:pageBreakBefore w:val="0"/>
        <w:widowControl/>
        <w:kinsoku w:val="0"/>
        <w:wordWrap/>
        <w:overflowPunct/>
        <w:topLinePunct w:val="0"/>
        <w:autoSpaceDE w:val="0"/>
        <w:autoSpaceDN w:val="0"/>
        <w:bidi w:val="0"/>
        <w:adjustRightInd w:val="0"/>
        <w:snapToGrid w:val="0"/>
        <w:spacing w:before="69" w:line="360" w:lineRule="auto"/>
        <w:ind w:left="40"/>
        <w:jc w:val="both"/>
        <w:textAlignment w:val="baseline"/>
        <w:rPr>
          <w:rFonts w:hint="default" w:ascii="Times New Roman" w:hAnsi="Times New Roman" w:eastAsia="宋体"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eastAsia="Roboto" w:cs="Times New Roman"/>
          <w:i w:val="0"/>
          <w:iCs w:val="0"/>
          <w:caps w:val="0"/>
          <w:color w:val="auto"/>
          <w:spacing w:val="0"/>
          <w:sz w:val="24"/>
          <w:szCs w:val="24"/>
          <w:shd w:val="clear" w:fill="FFFFFF"/>
        </w:rPr>
      </w:pPr>
      <w:r>
        <w:rPr>
          <w:rFonts w:hint="default" w:ascii="Times New Roman" w:hAnsi="Times New Roman" w:eastAsia="Roboto" w:cs="Times New Roman"/>
          <w:i w:val="0"/>
          <w:iCs w:val="0"/>
          <w:caps w:val="0"/>
          <w:color w:val="auto"/>
          <w:spacing w:val="0"/>
          <w:sz w:val="24"/>
          <w:szCs w:val="24"/>
          <w:shd w:val="clear" w:fill="FFFFFF"/>
        </w:rPr>
        <w:t>Peterson, P.P. and Fabozzi, F.J. (2002), Capital Budgeting: Theory and Practice, Wiley &amp; Sons, New York, NY.</w:t>
      </w:r>
    </w:p>
    <w:p>
      <w:pPr>
        <w:keepNext w:val="0"/>
        <w:keepLines w:val="0"/>
        <w:pageBreakBefore w:val="0"/>
        <w:widowControl/>
        <w:kinsoku w:val="0"/>
        <w:wordWrap/>
        <w:overflowPunct/>
        <w:topLinePunct w:val="0"/>
        <w:autoSpaceDE w:val="0"/>
        <w:autoSpaceDN w:val="0"/>
        <w:bidi w:val="0"/>
        <w:adjustRightInd w:val="0"/>
        <w:snapToGrid w:val="0"/>
        <w:spacing w:before="69" w:line="360" w:lineRule="auto"/>
        <w:ind w:left="40"/>
        <w:jc w:val="both"/>
        <w:textAlignment w:val="baseline"/>
        <w:rPr>
          <w:rFonts w:hint="default" w:ascii="Times New Roman" w:hAnsi="Times New Roman" w:eastAsia="宋体"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Pike, R. et al. (2018) </w:t>
      </w:r>
      <w:r>
        <w:rPr>
          <w:rFonts w:hint="default" w:ascii="Times New Roman" w:hAnsi="Times New Roman" w:eastAsia="宋体" w:cs="Times New Roman"/>
          <w:i/>
          <w:iCs/>
          <w:sz w:val="24"/>
          <w:szCs w:val="24"/>
          <w:lang w:val="en-US" w:eastAsia="zh-CN"/>
        </w:rPr>
        <w:t>Corporate finance and investment : decisions and strategies</w:t>
      </w:r>
      <w:r>
        <w:rPr>
          <w:rFonts w:hint="default" w:ascii="Times New Roman" w:hAnsi="Times New Roman" w:eastAsia="宋体" w:cs="Times New Roman"/>
          <w:sz w:val="24"/>
          <w:szCs w:val="24"/>
          <w:lang w:val="en-US" w:eastAsia="zh-CN"/>
        </w:rPr>
        <w:t>. 9th ed. Harlow, United Kingdom: Pearson Education Limited.</w:t>
      </w:r>
    </w:p>
    <w:p>
      <w:pPr>
        <w:keepNext w:val="0"/>
        <w:keepLines w:val="0"/>
        <w:pageBreakBefore w:val="0"/>
        <w:widowControl/>
        <w:kinsoku w:val="0"/>
        <w:wordWrap/>
        <w:overflowPunct/>
        <w:topLinePunct w:val="0"/>
        <w:autoSpaceDE w:val="0"/>
        <w:autoSpaceDN w:val="0"/>
        <w:bidi w:val="0"/>
        <w:adjustRightInd w:val="0"/>
        <w:snapToGrid w:val="0"/>
        <w:spacing w:before="69" w:line="360" w:lineRule="auto"/>
        <w:ind w:left="40"/>
        <w:jc w:val="both"/>
        <w:textAlignment w:val="baseline"/>
        <w:rPr>
          <w:rFonts w:hint="default" w:ascii="Times New Roman" w:hAnsi="Times New Roman" w:eastAsia="宋体" w:cs="Times New Roman"/>
          <w:sz w:val="24"/>
          <w:szCs w:val="24"/>
        </w:rPr>
      </w:pPr>
    </w:p>
    <w:p>
      <w:pPr>
        <w:keepNext w:val="0"/>
        <w:keepLines w:val="0"/>
        <w:pageBreakBefore w:val="0"/>
        <w:widowControl/>
        <w:kinsoku w:val="0"/>
        <w:wordWrap/>
        <w:overflowPunct/>
        <w:topLinePunct w:val="0"/>
        <w:autoSpaceDE w:val="0"/>
        <w:autoSpaceDN w:val="0"/>
        <w:bidi w:val="0"/>
        <w:adjustRightInd w:val="0"/>
        <w:snapToGrid w:val="0"/>
        <w:spacing w:before="69" w:line="360" w:lineRule="auto"/>
        <w:ind w:left="40"/>
        <w:jc w:val="both"/>
        <w:textAlignment w:val="baseline"/>
        <w:rPr>
          <w:rFonts w:hint="eastAsia"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 xml:space="preserve">Rivero, Orlando. (2015). Starbucks Corporation: Leading Innovation in the 21st Century. </w:t>
      </w:r>
      <w:r>
        <w:rPr>
          <w:rFonts w:hint="default" w:ascii="Times New Roman" w:hAnsi="Times New Roman" w:eastAsia="宋体" w:cs="Times New Roman"/>
          <w:i/>
          <w:iCs/>
          <w:sz w:val="24"/>
          <w:szCs w:val="24"/>
        </w:rPr>
        <w:t>Journal of Alternative Perspectives in the Social Sciences</w:t>
      </w:r>
      <w:r>
        <w:rPr>
          <w:rFonts w:hint="default" w:ascii="Times New Roman" w:hAnsi="Times New Roman" w:eastAsia="宋体" w:cs="Times New Roman"/>
          <w:sz w:val="24"/>
          <w:szCs w:val="24"/>
        </w:rPr>
        <w:t xml:space="preserve">. </w:t>
      </w:r>
      <w:r>
        <w:rPr>
          <w:rFonts w:hint="eastAsia" w:ascii="Times New Roman" w:hAnsi="Times New Roman" w:eastAsia="宋体" w:cs="Times New Roman"/>
          <w:sz w:val="24"/>
          <w:szCs w:val="24"/>
          <w:lang w:val="en-US" w:eastAsia="zh-CN"/>
        </w:rPr>
        <w:t xml:space="preserve">Volume </w:t>
      </w:r>
      <w:r>
        <w:rPr>
          <w:rFonts w:hint="default" w:ascii="Times New Roman" w:hAnsi="Times New Roman" w:eastAsia="宋体" w:cs="Times New Roman"/>
          <w:sz w:val="24"/>
          <w:szCs w:val="24"/>
        </w:rPr>
        <w:t xml:space="preserve">7. </w:t>
      </w:r>
      <w:r>
        <w:rPr>
          <w:rFonts w:hint="eastAsia" w:ascii="Times New Roman" w:hAnsi="Times New Roman" w:eastAsia="宋体" w:cs="Times New Roman"/>
          <w:sz w:val="24"/>
          <w:szCs w:val="24"/>
          <w:lang w:val="en-US" w:eastAsia="zh-CN"/>
        </w:rPr>
        <w:t xml:space="preserve">pp. </w:t>
      </w:r>
      <w:r>
        <w:rPr>
          <w:rFonts w:hint="default" w:ascii="Times New Roman" w:hAnsi="Times New Roman" w:eastAsia="宋体" w:cs="Times New Roman"/>
          <w:sz w:val="24"/>
          <w:szCs w:val="24"/>
        </w:rPr>
        <w:t xml:space="preserve">23-38. </w:t>
      </w:r>
    </w:p>
    <w:p>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default" w:eastAsia="宋体" w:cs="Arial"/>
          <w:b/>
          <w:bCs/>
          <w:spacing w:val="-1"/>
          <w:sz w:val="21"/>
          <w:szCs w:val="21"/>
          <w:lang w:val="en-US" w:eastAsia="zh-CN"/>
        </w:rPr>
      </w:pPr>
    </w:p>
    <w:p>
      <w:pPr>
        <w:pStyle w:val="8"/>
        <w:keepNext w:val="0"/>
        <w:keepLines w:val="0"/>
        <w:pageBreakBefore w:val="0"/>
        <w:widowControl/>
        <w:suppressLineNumbers w:val="0"/>
        <w:kinsoku/>
        <w:wordWrap/>
        <w:overflowPunct/>
        <w:topLinePunct w:val="0"/>
        <w:autoSpaceDE/>
        <w:autoSpaceDN/>
        <w:bidi w:val="0"/>
        <w:adjustRightInd/>
        <w:snapToGrid/>
        <w:spacing w:before="0" w:beforeAutospacing="0" w:after="146" w:afterAutospacing="0" w:line="360" w:lineRule="auto"/>
        <w:ind w:left="0" w:right="0"/>
        <w:jc w:val="both"/>
        <w:textAlignment w:val="auto"/>
        <w:rPr>
          <w:rFonts w:hint="default" w:ascii="Times New Roman" w:hAnsi="Times New Roman" w:eastAsia="sans-serif" w:cs="Times New Roman"/>
          <w:i w:val="0"/>
          <w:iCs w:val="0"/>
          <w:caps w:val="0"/>
          <w:color w:val="auto"/>
          <w:spacing w:val="0"/>
          <w:kern w:val="2"/>
          <w:sz w:val="24"/>
          <w:szCs w:val="24"/>
          <w:shd w:val="clear" w:fill="FFFFFF"/>
          <w:lang w:val="en-US" w:eastAsia="zh-CN" w:bidi="ar-SA"/>
        </w:rPr>
      </w:pPr>
      <w:r>
        <w:rPr>
          <w:rFonts w:hint="default" w:ascii="Times New Roman" w:hAnsi="Times New Roman" w:eastAsia="Roboto" w:cs="Times New Roman"/>
          <w:i w:val="0"/>
          <w:iCs w:val="0"/>
          <w:caps w:val="0"/>
          <w:color w:val="auto"/>
          <w:spacing w:val="0"/>
          <w:sz w:val="24"/>
          <w:szCs w:val="24"/>
          <w:shd w:val="clear" w:fill="FFFFFF"/>
        </w:rPr>
        <w:t>Ross, S.A</w:t>
      </w:r>
      <w:r>
        <w:rPr>
          <w:rFonts w:hint="eastAsia" w:ascii="Times New Roman" w:hAnsi="Times New Roman" w:eastAsia="宋体" w:cs="Times New Roman"/>
          <w:i w:val="0"/>
          <w:iCs w:val="0"/>
          <w:caps w:val="0"/>
          <w:color w:val="auto"/>
          <w:spacing w:val="0"/>
          <w:sz w:val="24"/>
          <w:szCs w:val="24"/>
          <w:shd w:val="clear" w:fill="FFFFFF"/>
          <w:lang w:val="en-US" w:eastAsia="zh-CN"/>
        </w:rPr>
        <w:t xml:space="preserve">. </w:t>
      </w:r>
      <w:r>
        <w:rPr>
          <w:rFonts w:hint="default" w:ascii="Times New Roman" w:hAnsi="Times New Roman" w:eastAsia="Roboto" w:cs="Times New Roman"/>
          <w:i w:val="0"/>
          <w:iCs w:val="0"/>
          <w:caps w:val="0"/>
          <w:color w:val="auto"/>
          <w:spacing w:val="0"/>
          <w:sz w:val="24"/>
          <w:szCs w:val="24"/>
          <w:shd w:val="clear" w:fill="FFFFFF"/>
        </w:rPr>
        <w:t>(2007), Fundamentals of Corporate Finance, 4th ed., McGraw Hill, Sydney.</w:t>
      </w:r>
    </w:p>
    <w:p>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default" w:eastAsia="宋体" w:cs="Arial"/>
          <w:b/>
          <w:bCs/>
          <w:spacing w:val="-1"/>
          <w:sz w:val="21"/>
          <w:szCs w:val="21"/>
          <w:lang w:val="en-US" w:eastAsia="zh-CN"/>
        </w:rPr>
      </w:pPr>
    </w:p>
    <w:p>
      <w:pPr>
        <w:keepNext w:val="0"/>
        <w:keepLines w:val="0"/>
        <w:pageBreakBefore w:val="0"/>
        <w:widowControl/>
        <w:kinsoku w:val="0"/>
        <w:wordWrap/>
        <w:overflowPunct/>
        <w:topLinePunct w:val="0"/>
        <w:autoSpaceDE w:val="0"/>
        <w:autoSpaceDN w:val="0"/>
        <w:bidi w:val="0"/>
        <w:adjustRightInd w:val="0"/>
        <w:snapToGrid w:val="0"/>
        <w:spacing w:before="60" w:line="360" w:lineRule="auto"/>
        <w:jc w:val="both"/>
        <w:textAlignment w:val="baseline"/>
        <w:rPr>
          <w:rFonts w:hint="default" w:ascii="Times New Roman" w:hAnsi="Times New Roman" w:eastAsia="宋体" w:cs="Times New Roman"/>
          <w:b w:val="0"/>
          <w:bCs w:val="0"/>
          <w:spacing w:val="-1"/>
          <w:sz w:val="24"/>
          <w:szCs w:val="24"/>
          <w:lang w:val="en-US" w:eastAsia="zh-CN"/>
        </w:rPr>
      </w:pPr>
      <w:r>
        <w:rPr>
          <w:rFonts w:hint="default" w:ascii="Times New Roman" w:hAnsi="Times New Roman" w:eastAsia="宋体" w:cs="Times New Roman"/>
          <w:b w:val="0"/>
          <w:bCs w:val="0"/>
          <w:spacing w:val="-1"/>
          <w:sz w:val="24"/>
          <w:szCs w:val="24"/>
          <w:lang w:val="en-US" w:eastAsia="zh-CN"/>
        </w:rPr>
        <w:t xml:space="preserve">Lewis, R. and Pendrill, D. (2004) </w:t>
      </w:r>
      <w:r>
        <w:rPr>
          <w:rFonts w:hint="default" w:ascii="Times New Roman" w:hAnsi="Times New Roman" w:eastAsia="宋体" w:cs="Times New Roman"/>
          <w:b w:val="0"/>
          <w:bCs w:val="0"/>
          <w:i/>
          <w:iCs/>
          <w:spacing w:val="-1"/>
          <w:sz w:val="24"/>
          <w:szCs w:val="24"/>
          <w:lang w:val="en-US" w:eastAsia="zh-CN"/>
        </w:rPr>
        <w:t>Advanced financial accounting</w:t>
      </w:r>
      <w:r>
        <w:rPr>
          <w:rFonts w:hint="default" w:ascii="Times New Roman" w:hAnsi="Times New Roman" w:eastAsia="宋体" w:cs="Times New Roman"/>
          <w:b w:val="0"/>
          <w:bCs w:val="0"/>
          <w:spacing w:val="-1"/>
          <w:sz w:val="24"/>
          <w:szCs w:val="24"/>
          <w:lang w:val="en-US" w:eastAsia="zh-CN"/>
        </w:rPr>
        <w:t>. 7th ed. Harlow: Financial Times Prentice Hall.</w:t>
      </w:r>
    </w:p>
    <w:p>
      <w:pPr>
        <w:keepNext w:val="0"/>
        <w:keepLines w:val="0"/>
        <w:pageBreakBefore w:val="0"/>
        <w:widowControl/>
        <w:kinsoku w:val="0"/>
        <w:wordWrap/>
        <w:overflowPunct/>
        <w:topLinePunct w:val="0"/>
        <w:autoSpaceDE w:val="0"/>
        <w:autoSpaceDN w:val="0"/>
        <w:bidi w:val="0"/>
        <w:adjustRightInd w:val="0"/>
        <w:snapToGrid w:val="0"/>
        <w:spacing w:before="60" w:line="360" w:lineRule="auto"/>
        <w:jc w:val="both"/>
        <w:textAlignment w:val="baseline"/>
        <w:rPr>
          <w:rFonts w:hint="eastAsia" w:ascii="Times New Roman" w:hAnsi="Times New Roman" w:eastAsia="宋体" w:cs="Times New Roman"/>
          <w:b w:val="0"/>
          <w:bCs w:val="0"/>
          <w:spacing w:val="-1"/>
          <w:sz w:val="24"/>
          <w:szCs w:val="24"/>
          <w:lang w:val="en-US" w:eastAsia="zh-CN"/>
        </w:rPr>
      </w:pPr>
    </w:p>
    <w:p>
      <w:pPr>
        <w:keepNext w:val="0"/>
        <w:keepLines w:val="0"/>
        <w:pageBreakBefore w:val="0"/>
        <w:widowControl/>
        <w:kinsoku w:val="0"/>
        <w:wordWrap/>
        <w:overflowPunct/>
        <w:topLinePunct w:val="0"/>
        <w:autoSpaceDE w:val="0"/>
        <w:autoSpaceDN w:val="0"/>
        <w:bidi w:val="0"/>
        <w:adjustRightInd w:val="0"/>
        <w:snapToGrid w:val="0"/>
        <w:spacing w:before="60" w:line="360" w:lineRule="auto"/>
        <w:ind w:left="21"/>
        <w:jc w:val="both"/>
        <w:textAlignment w:val="baseline"/>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Lev, B. (1989). ‘On the usefulness of earnings and earnings research: lessons from two decades of empirical research’. Journal of Accounting Research (Supplement): </w:t>
      </w:r>
      <w:r>
        <w:rPr>
          <w:rFonts w:hint="eastAsia" w:ascii="Times New Roman" w:hAnsi="Times New Roman" w:eastAsia="宋体" w:cs="Times New Roman"/>
          <w:sz w:val="24"/>
          <w:szCs w:val="24"/>
          <w:lang w:val="en-US" w:eastAsia="zh-CN"/>
        </w:rPr>
        <w:t xml:space="preserve">pp. </w:t>
      </w:r>
      <w:r>
        <w:rPr>
          <w:rFonts w:hint="default" w:ascii="Times New Roman" w:hAnsi="Times New Roman" w:eastAsia="宋体" w:cs="Times New Roman"/>
          <w:sz w:val="24"/>
          <w:szCs w:val="24"/>
        </w:rPr>
        <w:t>153-189.</w:t>
      </w:r>
    </w:p>
    <w:p>
      <w:pPr>
        <w:keepNext w:val="0"/>
        <w:keepLines w:val="0"/>
        <w:pageBreakBefore w:val="0"/>
        <w:widowControl/>
        <w:kinsoku w:val="0"/>
        <w:wordWrap/>
        <w:overflowPunct/>
        <w:topLinePunct w:val="0"/>
        <w:autoSpaceDE w:val="0"/>
        <w:autoSpaceDN w:val="0"/>
        <w:bidi w:val="0"/>
        <w:adjustRightInd w:val="0"/>
        <w:snapToGrid w:val="0"/>
        <w:spacing w:before="60" w:line="360" w:lineRule="auto"/>
        <w:ind w:left="21"/>
        <w:jc w:val="both"/>
        <w:textAlignment w:val="baseline"/>
        <w:rPr>
          <w:rFonts w:hint="default" w:ascii="Times New Roman" w:hAnsi="Times New Roman" w:eastAsia="宋体" w:cs="Times New Roman"/>
          <w:sz w:val="24"/>
          <w:szCs w:val="24"/>
        </w:rPr>
      </w:pPr>
    </w:p>
    <w:p>
      <w:pPr>
        <w:keepNext w:val="0"/>
        <w:keepLines w:val="0"/>
        <w:pageBreakBefore w:val="0"/>
        <w:widowControl/>
        <w:kinsoku w:val="0"/>
        <w:wordWrap/>
        <w:overflowPunct/>
        <w:topLinePunct w:val="0"/>
        <w:autoSpaceDE w:val="0"/>
        <w:autoSpaceDN w:val="0"/>
        <w:bidi w:val="0"/>
        <w:adjustRightInd w:val="0"/>
        <w:snapToGrid w:val="0"/>
        <w:spacing w:before="60" w:line="360" w:lineRule="auto"/>
        <w:ind w:left="21"/>
        <w:jc w:val="both"/>
        <w:textAlignment w:val="baseline"/>
        <w:rPr>
          <w:rFonts w:hint="default" w:ascii="Times New Roman" w:hAnsi="Times New Roman" w:eastAsia="宋体" w:cs="Times New Roman"/>
          <w:color w:val="auto"/>
          <w:sz w:val="24"/>
          <w:szCs w:val="24"/>
        </w:rPr>
      </w:pPr>
      <w:r>
        <w:rPr>
          <w:rFonts w:hint="default" w:ascii="Times New Roman" w:hAnsi="Times New Roman" w:eastAsia="Roboto" w:cs="Times New Roman"/>
          <w:i w:val="0"/>
          <w:iCs w:val="0"/>
          <w:caps w:val="0"/>
          <w:color w:val="auto"/>
          <w:spacing w:val="0"/>
          <w:sz w:val="24"/>
          <w:szCs w:val="24"/>
          <w:shd w:val="clear" w:fill="FFFFFF"/>
        </w:rPr>
        <w:t>Nadar, D.S., &amp; Wadhwa, B. (2019). Theoretical Review of the Role of Financial Ratios. </w:t>
      </w:r>
      <w:r>
        <w:rPr>
          <w:rStyle w:val="12"/>
          <w:rFonts w:hint="default" w:ascii="Times New Roman" w:hAnsi="Times New Roman" w:eastAsia="Roboto" w:cs="Times New Roman"/>
          <w:i/>
          <w:iCs/>
          <w:caps w:val="0"/>
          <w:color w:val="auto"/>
          <w:spacing w:val="0"/>
          <w:sz w:val="24"/>
          <w:szCs w:val="24"/>
        </w:rPr>
        <w:t>Finance Educator: Courses</w:t>
      </w:r>
      <w:r>
        <w:rPr>
          <w:rFonts w:hint="default" w:ascii="Times New Roman" w:hAnsi="Times New Roman" w:eastAsia="Roboto" w:cs="Times New Roman"/>
          <w:i w:val="0"/>
          <w:iCs w:val="0"/>
          <w:caps w:val="0"/>
          <w:color w:val="auto"/>
          <w:spacing w:val="0"/>
          <w:sz w:val="24"/>
          <w:szCs w:val="24"/>
          <w:shd w:val="clear" w:fill="FFFFFF"/>
        </w:rPr>
        <w:t>.</w:t>
      </w:r>
    </w:p>
    <w:p>
      <w:pPr>
        <w:keepNext w:val="0"/>
        <w:keepLines w:val="0"/>
        <w:pageBreakBefore w:val="0"/>
        <w:widowControl/>
        <w:kinsoku w:val="0"/>
        <w:wordWrap/>
        <w:overflowPunct/>
        <w:topLinePunct w:val="0"/>
        <w:autoSpaceDE w:val="0"/>
        <w:autoSpaceDN w:val="0"/>
        <w:bidi w:val="0"/>
        <w:adjustRightInd w:val="0"/>
        <w:snapToGrid w:val="0"/>
        <w:spacing w:before="69" w:line="360" w:lineRule="auto"/>
        <w:jc w:val="both"/>
        <w:textAlignment w:val="baseline"/>
        <w:rPr>
          <w:rFonts w:hint="eastAsia" w:ascii="Times New Roman" w:hAnsi="Times New Roman" w:eastAsia="宋体" w:cs="Times New Roman"/>
          <w:sz w:val="24"/>
          <w:szCs w:val="24"/>
          <w:lang w:val="en-US" w:eastAsia="zh-CN"/>
        </w:rPr>
      </w:pPr>
    </w:p>
    <w:p>
      <w:pPr>
        <w:keepNext w:val="0"/>
        <w:keepLines w:val="0"/>
        <w:pageBreakBefore w:val="0"/>
        <w:widowControl/>
        <w:kinsoku w:val="0"/>
        <w:wordWrap/>
        <w:overflowPunct/>
        <w:topLinePunct w:val="0"/>
        <w:autoSpaceDE w:val="0"/>
        <w:autoSpaceDN w:val="0"/>
        <w:bidi w:val="0"/>
        <w:adjustRightInd w:val="0"/>
        <w:snapToGrid w:val="0"/>
        <w:spacing w:before="69" w:line="360" w:lineRule="auto"/>
        <w:jc w:val="both"/>
        <w:textAlignment w:val="baseline"/>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Starbucks (2023). </w:t>
      </w:r>
      <w:r>
        <w:rPr>
          <w:rFonts w:hint="eastAsia" w:ascii="Times New Roman" w:hAnsi="Times New Roman" w:eastAsia="宋体" w:cs="Times New Roman"/>
          <w:i/>
          <w:iCs/>
          <w:sz w:val="24"/>
          <w:szCs w:val="24"/>
          <w:lang w:val="en-US" w:eastAsia="zh-CN"/>
        </w:rPr>
        <w:t>About us.</w:t>
      </w:r>
      <w:r>
        <w:rPr>
          <w:rFonts w:hint="eastAsia" w:ascii="Times New Roman" w:hAnsi="Times New Roman" w:eastAsia="宋体" w:cs="Times New Roman"/>
          <w:sz w:val="24"/>
          <w:szCs w:val="24"/>
          <w:lang w:val="en-US" w:eastAsia="zh-CN"/>
        </w:rPr>
        <w:t xml:space="preserve"> Available at:</w:t>
      </w:r>
    </w:p>
    <w:p>
      <w:pPr>
        <w:keepNext w:val="0"/>
        <w:keepLines w:val="0"/>
        <w:pageBreakBefore w:val="0"/>
        <w:widowControl/>
        <w:kinsoku w:val="0"/>
        <w:wordWrap/>
        <w:overflowPunct/>
        <w:topLinePunct w:val="0"/>
        <w:autoSpaceDE w:val="0"/>
        <w:autoSpaceDN w:val="0"/>
        <w:bidi w:val="0"/>
        <w:adjustRightInd w:val="0"/>
        <w:snapToGrid w:val="0"/>
        <w:spacing w:before="69" w:line="360" w:lineRule="auto"/>
        <w:jc w:val="both"/>
        <w:textAlignment w:val="baseline"/>
        <w:rPr>
          <w:rFonts w:hint="default" w:ascii="Times New Roman" w:hAnsi="Times New Roman" w:eastAsia="宋体" w:cs="Times New Roman"/>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"https://www.starbucks.co.uk/about-us" </w:instrText>
      </w:r>
      <w:r>
        <w:rPr>
          <w:rFonts w:hint="default" w:ascii="Times New Roman" w:hAnsi="Times New Roman" w:eastAsia="宋体" w:cs="Times New Roman"/>
          <w:sz w:val="24"/>
          <w:szCs w:val="24"/>
        </w:rPr>
        <w:fldChar w:fldCharType="separate"/>
      </w:r>
      <w:r>
        <w:rPr>
          <w:rStyle w:val="13"/>
          <w:rFonts w:hint="default" w:ascii="Times New Roman" w:hAnsi="Times New Roman" w:eastAsia="宋体" w:cs="Times New Roman"/>
          <w:sz w:val="24"/>
          <w:szCs w:val="24"/>
        </w:rPr>
        <w:t>https://www.starbucks.co.uk/about-us</w:t>
      </w:r>
      <w:r>
        <w:rPr>
          <w:rFonts w:hint="default" w:ascii="Times New Roman" w:hAnsi="Times New Roman" w:eastAsia="宋体" w:cs="Times New Roman"/>
          <w:sz w:val="24"/>
          <w:szCs w:val="24"/>
        </w:rPr>
        <w:fldChar w:fldCharType="end"/>
      </w:r>
      <w:r>
        <w:rPr>
          <w:rFonts w:hint="eastAsia" w:ascii="Times New Roman" w:hAnsi="Times New Roman" w:eastAsia="宋体" w:cs="Times New Roman"/>
          <w:sz w:val="24"/>
          <w:szCs w:val="24"/>
          <w:lang w:val="en-US" w:eastAsia="zh-CN"/>
        </w:rPr>
        <w:t xml:space="preserve"> (Accessed: 22 February 2023)</w:t>
      </w:r>
    </w:p>
    <w:p>
      <w:pPr>
        <w:keepNext w:val="0"/>
        <w:keepLines w:val="0"/>
        <w:pageBreakBefore w:val="0"/>
        <w:widowControl/>
        <w:suppressLineNumbers w:val="0"/>
        <w:shd w:val="clear" w:fill="FFFFFF"/>
        <w:kinsoku w:val="0"/>
        <w:wordWrap/>
        <w:overflowPunct/>
        <w:topLinePunct w:val="0"/>
        <w:autoSpaceDE w:val="0"/>
        <w:autoSpaceDN w:val="0"/>
        <w:bidi w:val="0"/>
        <w:adjustRightInd w:val="0"/>
        <w:snapToGrid w:val="0"/>
        <w:spacing w:line="360" w:lineRule="auto"/>
        <w:ind w:left="0" w:firstLine="0"/>
        <w:jc w:val="both"/>
        <w:textAlignment w:val="baseline"/>
        <w:rPr>
          <w:rFonts w:hint="default" w:ascii="Times New Roman" w:hAnsi="Times New Roman" w:eastAsia="ff2" w:cs="Times New Roman"/>
          <w:i w:val="0"/>
          <w:iCs w:val="0"/>
          <w:caps w:val="0"/>
          <w:snapToGrid w:val="0"/>
          <w:color w:val="000000"/>
          <w:spacing w:val="0"/>
          <w:kern w:val="0"/>
          <w:sz w:val="24"/>
          <w:szCs w:val="24"/>
          <w:shd w:val="clear" w:fill="FFFFFF"/>
          <w:lang w:val="en-US" w:eastAsia="zh-CN" w:bidi="ar"/>
        </w:rPr>
      </w:pPr>
    </w:p>
    <w:p>
      <w:pPr>
        <w:keepNext w:val="0"/>
        <w:keepLines w:val="0"/>
        <w:pageBreakBefore w:val="0"/>
        <w:widowControl/>
        <w:kinsoku w:val="0"/>
        <w:wordWrap/>
        <w:overflowPunct/>
        <w:topLinePunct w:val="0"/>
        <w:autoSpaceDE w:val="0"/>
        <w:autoSpaceDN w:val="0"/>
        <w:bidi w:val="0"/>
        <w:adjustRightInd w:val="0"/>
        <w:snapToGrid w:val="0"/>
        <w:spacing w:before="69" w:line="360" w:lineRule="auto"/>
        <w:ind w:left="23"/>
        <w:jc w:val="both"/>
        <w:textAlignment w:val="baseline"/>
        <w:rPr>
          <w:rFonts w:hint="eastAsia" w:ascii="Times New Roman" w:hAnsi="Times New Roman" w:eastAsia="宋体" w:cs="Times New Roman"/>
          <w:i w:val="0"/>
          <w:iCs w:val="0"/>
          <w:caps w:val="0"/>
          <w:color w:val="auto"/>
          <w:spacing w:val="0"/>
          <w:sz w:val="24"/>
          <w:szCs w:val="24"/>
          <w:shd w:val="clear" w:fill="FFFFFF"/>
          <w:lang w:val="en-US" w:eastAsia="zh-CN"/>
        </w:rPr>
      </w:pPr>
      <w:r>
        <w:rPr>
          <w:rFonts w:hint="default" w:ascii="Times New Roman" w:hAnsi="Times New Roman" w:eastAsia="NexusSansWebPro" w:cs="Times New Roman"/>
          <w:i w:val="0"/>
          <w:iCs w:val="0"/>
          <w:caps w:val="0"/>
          <w:color w:val="auto"/>
          <w:spacing w:val="0"/>
          <w:sz w:val="24"/>
          <w:szCs w:val="24"/>
          <w:shd w:val="clear" w:fill="FFFFFF"/>
        </w:rPr>
        <w:t>Velez-Pareja, Ignacio</w:t>
      </w:r>
      <w:r>
        <w:rPr>
          <w:rFonts w:hint="eastAsia" w:ascii="Times New Roman" w:hAnsi="Times New Roman" w:eastAsia="宋体" w:cs="Times New Roman"/>
          <w:i w:val="0"/>
          <w:iCs w:val="0"/>
          <w:caps w:val="0"/>
          <w:color w:val="auto"/>
          <w:spacing w:val="0"/>
          <w:sz w:val="24"/>
          <w:szCs w:val="24"/>
          <w:shd w:val="clear" w:fill="FFFFFF"/>
          <w:lang w:val="en-US" w:eastAsia="zh-CN"/>
        </w:rPr>
        <w:t>. (2012)</w:t>
      </w:r>
      <w:r>
        <w:rPr>
          <w:rFonts w:hint="default" w:ascii="Times New Roman" w:hAnsi="Times New Roman" w:eastAsia="NexusSansWebPro" w:cs="Times New Roman"/>
          <w:i w:val="0"/>
          <w:iCs w:val="0"/>
          <w:caps w:val="0"/>
          <w:color w:val="auto"/>
          <w:spacing w:val="0"/>
          <w:sz w:val="24"/>
          <w:szCs w:val="24"/>
          <w:shd w:val="clear" w:fill="FFFFFF"/>
        </w:rPr>
        <w:t xml:space="preserve"> Financial Analysis and Control - Financial Ratio Analysis</w:t>
      </w:r>
      <w:r>
        <w:rPr>
          <w:rFonts w:hint="eastAsia" w:ascii="Times New Roman" w:hAnsi="Times New Roman" w:eastAsia="宋体" w:cs="Times New Roman"/>
          <w:i w:val="0"/>
          <w:iCs w:val="0"/>
          <w:caps w:val="0"/>
          <w:color w:val="auto"/>
          <w:spacing w:val="0"/>
          <w:sz w:val="24"/>
          <w:szCs w:val="24"/>
          <w:shd w:val="clear" w:fill="FFFFFF"/>
          <w:lang w:val="en-US" w:eastAsia="zh-CN"/>
        </w:rPr>
        <w:t>.</w:t>
      </w:r>
    </w:p>
    <w:p>
      <w:pPr>
        <w:keepNext w:val="0"/>
        <w:keepLines w:val="0"/>
        <w:pageBreakBefore w:val="0"/>
        <w:widowControl/>
        <w:suppressLineNumbers w:val="0"/>
        <w:shd w:val="clear" w:fill="FFFFFF"/>
        <w:kinsoku w:val="0"/>
        <w:wordWrap/>
        <w:overflowPunct/>
        <w:topLinePunct w:val="0"/>
        <w:autoSpaceDE w:val="0"/>
        <w:autoSpaceDN w:val="0"/>
        <w:bidi w:val="0"/>
        <w:adjustRightInd w:val="0"/>
        <w:snapToGrid w:val="0"/>
        <w:spacing w:line="360" w:lineRule="auto"/>
        <w:ind w:left="0" w:firstLine="0"/>
        <w:jc w:val="both"/>
        <w:textAlignment w:val="baseline"/>
        <w:rPr>
          <w:rFonts w:hint="default" w:ascii="Times New Roman" w:hAnsi="Times New Roman" w:eastAsia="ff2" w:cs="Times New Roman"/>
          <w:i w:val="0"/>
          <w:iCs w:val="0"/>
          <w:caps w:val="0"/>
          <w:snapToGrid w:val="0"/>
          <w:color w:val="000000"/>
          <w:spacing w:val="0"/>
          <w:kern w:val="0"/>
          <w:sz w:val="24"/>
          <w:szCs w:val="24"/>
          <w:shd w:val="clear" w:fill="FFFFFF"/>
          <w:lang w:val="en-US" w:eastAsia="zh-CN" w:bidi="ar"/>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eastAsia="sans-serif" w:cs="Times New Roman"/>
          <w:i w:val="0"/>
          <w:iCs w:val="0"/>
          <w:caps w:val="0"/>
          <w:color w:val="auto"/>
          <w:spacing w:val="0"/>
          <w:sz w:val="24"/>
          <w:szCs w:val="24"/>
          <w:shd w:val="clear" w:fill="FFFFFF"/>
        </w:rPr>
      </w:pPr>
      <w:r>
        <w:rPr>
          <w:rFonts w:hint="default" w:ascii="Times New Roman" w:hAnsi="Times New Roman" w:eastAsia="sans-serif" w:cs="Times New Roman"/>
          <w:i w:val="0"/>
          <w:iCs w:val="0"/>
          <w:caps w:val="0"/>
          <w:color w:val="1C1D1E"/>
          <w:spacing w:val="0"/>
          <w:sz w:val="24"/>
          <w:szCs w:val="24"/>
          <w:shd w:val="clear" w:fill="FFFFFF"/>
        </w:rPr>
        <w:t>Vernimmen, P. (2018). </w:t>
      </w:r>
      <w:r>
        <w:rPr>
          <w:rFonts w:hint="default" w:ascii="Times New Roman" w:hAnsi="Times New Roman" w:eastAsia="sans-serif" w:cs="Times New Roman"/>
          <w:i/>
          <w:iCs/>
          <w:caps w:val="0"/>
          <w:color w:val="1C1D1E"/>
          <w:spacing w:val="0"/>
          <w:sz w:val="24"/>
          <w:szCs w:val="24"/>
          <w:shd w:val="clear" w:fill="FFFFFF"/>
        </w:rPr>
        <w:t>Corporate finance theory and practice</w:t>
      </w:r>
      <w:r>
        <w:rPr>
          <w:rFonts w:hint="default" w:ascii="Times New Roman" w:hAnsi="Times New Roman" w:eastAsia="sans-serif" w:cs="Times New Roman"/>
          <w:i w:val="0"/>
          <w:iCs w:val="0"/>
          <w:caps w:val="0"/>
          <w:color w:val="1C1D1E"/>
          <w:spacing w:val="0"/>
          <w:sz w:val="24"/>
          <w:szCs w:val="24"/>
          <w:shd w:val="clear" w:fill="FFFFFF"/>
        </w:rPr>
        <w:t> ( Fifth ed.). John Wiley and Sons Ltd.</w:t>
      </w:r>
    </w:p>
    <w:p>
      <w:pPr>
        <w:keepNext w:val="0"/>
        <w:keepLines w:val="0"/>
        <w:pageBreakBefore w:val="0"/>
        <w:widowControl/>
        <w:suppressLineNumbers w:val="0"/>
        <w:shd w:val="clear" w:fill="FFFFFF"/>
        <w:kinsoku w:val="0"/>
        <w:wordWrap/>
        <w:overflowPunct/>
        <w:topLinePunct w:val="0"/>
        <w:autoSpaceDE w:val="0"/>
        <w:autoSpaceDN w:val="0"/>
        <w:bidi w:val="0"/>
        <w:adjustRightInd w:val="0"/>
        <w:snapToGrid w:val="0"/>
        <w:spacing w:line="360" w:lineRule="auto"/>
        <w:ind w:left="0" w:firstLine="0"/>
        <w:jc w:val="both"/>
        <w:textAlignment w:val="baseline"/>
        <w:rPr>
          <w:rFonts w:hint="default" w:ascii="Times New Roman" w:hAnsi="Times New Roman" w:eastAsia="ff2" w:cs="Times New Roman"/>
          <w:i w:val="0"/>
          <w:iCs w:val="0"/>
          <w:caps w:val="0"/>
          <w:snapToGrid w:val="0"/>
          <w:color w:val="000000"/>
          <w:spacing w:val="0"/>
          <w:kern w:val="0"/>
          <w:sz w:val="24"/>
          <w:szCs w:val="24"/>
          <w:shd w:val="clear" w:fill="FFFFFF"/>
          <w:lang w:val="en-US" w:eastAsia="zh-CN" w:bidi="ar"/>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left="21"/>
        <w:textAlignment w:val="baseline"/>
        <w:rPr>
          <w:rFonts w:hint="default" w:eastAsia="宋体" w:cs="Arial"/>
          <w:b/>
          <w:bCs/>
          <w:spacing w:val="-1"/>
          <w:sz w:val="21"/>
          <w:szCs w:val="21"/>
          <w:lang w:val="en-US" w:eastAsia="zh-CN"/>
        </w:rPr>
      </w:pPr>
    </w:p>
    <w:p>
      <w:pPr>
        <w:spacing w:line="198" w:lineRule="auto"/>
        <w:ind w:left="21"/>
        <w:rPr>
          <w:rFonts w:hint="default" w:eastAsia="宋体" w:cs="Arial"/>
          <w:b/>
          <w:bCs/>
          <w:spacing w:val="-1"/>
          <w:sz w:val="21"/>
          <w:szCs w:val="21"/>
          <w:lang w:val="en-US" w:eastAsia="zh-CN"/>
        </w:rPr>
      </w:pPr>
    </w:p>
    <w:p>
      <w:pPr>
        <w:spacing w:line="198" w:lineRule="auto"/>
        <w:ind w:left="21"/>
        <w:rPr>
          <w:rFonts w:hint="default" w:eastAsia="宋体" w:cs="Arial"/>
          <w:b/>
          <w:bCs/>
          <w:spacing w:val="-1"/>
          <w:sz w:val="21"/>
          <w:szCs w:val="21"/>
          <w:lang w:val="en-US" w:eastAsia="zh-CN"/>
        </w:rPr>
      </w:pPr>
    </w:p>
    <w:p>
      <w:pPr>
        <w:spacing w:line="198" w:lineRule="auto"/>
        <w:ind w:left="21"/>
        <w:rPr>
          <w:rFonts w:hint="default" w:eastAsia="宋体" w:cs="Arial"/>
          <w:b/>
          <w:bCs/>
          <w:spacing w:val="-1"/>
          <w:sz w:val="21"/>
          <w:szCs w:val="21"/>
          <w:lang w:val="en-US" w:eastAsia="zh-CN"/>
        </w:rPr>
      </w:pPr>
    </w:p>
    <w:p>
      <w:pPr>
        <w:spacing w:line="198" w:lineRule="auto"/>
        <w:ind w:left="21"/>
        <w:rPr>
          <w:rFonts w:hint="default" w:eastAsia="宋体" w:cs="Arial"/>
          <w:b/>
          <w:bCs/>
          <w:spacing w:val="-1"/>
          <w:sz w:val="21"/>
          <w:szCs w:val="21"/>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bCs/>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bCs/>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bCs/>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bCs/>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bCs/>
          <w:sz w:val="24"/>
          <w:szCs w:val="24"/>
          <w:lang w:val="en-US" w:eastAsia="zh-CN"/>
        </w:rPr>
      </w:pPr>
    </w:p>
    <w:p>
      <w:pPr>
        <w:spacing w:line="198" w:lineRule="auto"/>
        <w:rPr>
          <w:rFonts w:hint="default" w:ascii="Times New Roman" w:hAnsi="Times New Roman" w:eastAsia="宋体" w:cs="Times New Roman"/>
          <w:b/>
          <w:bCs/>
          <w:spacing w:val="-1"/>
          <w:sz w:val="24"/>
          <w:szCs w:val="24"/>
          <w:lang w:val="en-US" w:eastAsia="zh-CN"/>
        </w:rPr>
      </w:pPr>
    </w:p>
    <w:p>
      <w:pPr>
        <w:spacing w:line="198" w:lineRule="auto"/>
        <w:rPr>
          <w:rFonts w:hint="default" w:ascii="Times New Roman" w:hAnsi="Times New Roman" w:eastAsia="宋体" w:cs="Times New Roman"/>
          <w:b/>
          <w:bCs/>
          <w:spacing w:val="-1"/>
          <w:sz w:val="24"/>
          <w:szCs w:val="24"/>
          <w:lang w:val="en-US" w:eastAsia="zh-CN"/>
        </w:rPr>
      </w:pPr>
    </w:p>
    <w:p>
      <w:pPr>
        <w:spacing w:line="198" w:lineRule="auto"/>
        <w:rPr>
          <w:rFonts w:hint="default" w:ascii="Times New Roman" w:hAnsi="Times New Roman" w:eastAsia="宋体" w:cs="Times New Roman"/>
          <w:b/>
          <w:bCs/>
          <w:spacing w:val="-1"/>
          <w:sz w:val="24"/>
          <w:szCs w:val="24"/>
          <w:lang w:val="en-US" w:eastAsia="zh-CN"/>
        </w:rPr>
      </w:pPr>
    </w:p>
    <w:p>
      <w:pPr>
        <w:spacing w:line="198" w:lineRule="auto"/>
        <w:rPr>
          <w:rFonts w:hint="default" w:ascii="Times New Roman" w:hAnsi="Times New Roman" w:eastAsia="宋体" w:cs="Times New Roman"/>
          <w:b/>
          <w:bCs/>
          <w:spacing w:val="-1"/>
          <w:sz w:val="24"/>
          <w:szCs w:val="24"/>
          <w:lang w:val="en-US" w:eastAsia="zh-CN"/>
        </w:rPr>
      </w:pPr>
    </w:p>
    <w:p>
      <w:pPr>
        <w:spacing w:line="198" w:lineRule="auto"/>
        <w:rPr>
          <w:rFonts w:hint="default" w:ascii="Times New Roman" w:hAnsi="Times New Roman" w:eastAsia="宋体" w:cs="Times New Roman"/>
          <w:b/>
          <w:bCs/>
          <w:spacing w:val="-1"/>
          <w:sz w:val="24"/>
          <w:szCs w:val="24"/>
          <w:lang w:val="en-US" w:eastAsia="zh-CN"/>
        </w:rPr>
      </w:pPr>
      <w:r>
        <w:rPr>
          <w:rFonts w:hint="default" w:ascii="Times New Roman" w:hAnsi="Times New Roman" w:eastAsia="宋体" w:cs="Times New Roman"/>
          <w:b/>
          <w:bCs/>
          <w:spacing w:val="-1"/>
          <w:sz w:val="24"/>
          <w:szCs w:val="24"/>
          <w:lang w:val="en-US" w:eastAsia="zh-CN"/>
        </w:rPr>
        <w:t>Appendix</w:t>
      </w:r>
    </w:p>
    <w:p>
      <w:pPr>
        <w:keepNext w:val="0"/>
        <w:keepLines w:val="0"/>
        <w:widowControl/>
        <w:suppressLineNumbers w:val="0"/>
        <w:spacing w:before="0" w:beforeAutospacing="0" w:after="0" w:afterAutospacing="0" w:line="256" w:lineRule="auto"/>
        <w:ind w:right="0" w:firstLine="2091" w:firstLineChars="1100"/>
        <w:jc w:val="both"/>
        <w:rPr>
          <w:lang w:val="en-US"/>
        </w:rPr>
      </w:pPr>
      <w:r>
        <w:rPr>
          <w:rFonts w:hint="default" w:ascii="Times New Roman" w:hAnsi="Times New Roman" w:eastAsia="Times New Roman" w:cs="Times New Roman"/>
          <w:b/>
          <w:bCs w:val="0"/>
          <w:snapToGrid w:val="0"/>
          <w:color w:val="000000"/>
          <w:kern w:val="2"/>
          <w:sz w:val="19"/>
          <w:szCs w:val="22"/>
          <w:lang w:val="en-US" w:eastAsia="zh-CN" w:bidi="ar"/>
        </w:rPr>
        <w:t>STARBUCKS CORPORATION</w:t>
      </w:r>
    </w:p>
    <w:p>
      <w:pPr>
        <w:keepNext w:val="0"/>
        <w:keepLines w:val="0"/>
        <w:widowControl/>
        <w:suppressLineNumbers w:val="0"/>
        <w:spacing w:before="0" w:beforeAutospacing="0" w:after="0" w:afterAutospacing="0" w:line="256" w:lineRule="auto"/>
        <w:ind w:left="0" w:right="2836"/>
        <w:jc w:val="center"/>
        <w:rPr>
          <w:lang w:val="en-US"/>
        </w:rPr>
      </w:pPr>
      <w:r>
        <w:rPr>
          <w:rFonts w:hint="eastAsia" w:ascii="Times New Roman" w:hAnsi="Times New Roman" w:eastAsia="Times New Roman" w:cs="Times New Roman"/>
          <w:b/>
          <w:bCs w:val="0"/>
          <w:snapToGrid w:val="0"/>
          <w:color w:val="000000"/>
          <w:kern w:val="2"/>
          <w:sz w:val="19"/>
          <w:szCs w:val="22"/>
          <w:lang w:val="en-US" w:eastAsia="zh-CN" w:bidi="ar"/>
        </w:rPr>
        <w:t xml:space="preserve">             </w:t>
      </w:r>
      <w:r>
        <w:rPr>
          <w:rFonts w:hint="default" w:ascii="Times New Roman" w:hAnsi="Times New Roman" w:eastAsia="Times New Roman" w:cs="Times New Roman"/>
          <w:b/>
          <w:bCs w:val="0"/>
          <w:snapToGrid w:val="0"/>
          <w:color w:val="000000"/>
          <w:kern w:val="2"/>
          <w:sz w:val="19"/>
          <w:szCs w:val="22"/>
          <w:lang w:val="en-US" w:eastAsia="zh-CN" w:bidi="ar"/>
        </w:rPr>
        <w:t>CONSOLIDATED STATEMENTS OF EARNINGS</w:t>
      </w:r>
    </w:p>
    <w:p>
      <w:pPr>
        <w:keepNext w:val="0"/>
        <w:keepLines w:val="0"/>
        <w:widowControl/>
        <w:suppressLineNumbers w:val="0"/>
        <w:spacing w:before="0" w:beforeAutospacing="0" w:after="0" w:afterAutospacing="0" w:line="256" w:lineRule="auto"/>
        <w:ind w:right="0" w:firstLine="2090" w:firstLineChars="1100"/>
        <w:jc w:val="both"/>
        <w:rPr>
          <w:lang w:val="en-US"/>
        </w:rPr>
      </w:pPr>
      <w:r>
        <w:rPr>
          <w:rFonts w:hint="default" w:ascii="Times New Roman" w:hAnsi="Times New Roman" w:eastAsia="Times New Roman" w:cs="Times New Roman"/>
          <w:i/>
          <w:iCs w:val="0"/>
          <w:snapToGrid w:val="0"/>
          <w:color w:val="000000"/>
          <w:kern w:val="2"/>
          <w:sz w:val="19"/>
          <w:szCs w:val="22"/>
          <w:lang w:val="en-US" w:eastAsia="zh-CN" w:bidi="ar"/>
        </w:rPr>
        <w:t>(in millions, except per share data)</w:t>
      </w:r>
    </w:p>
    <w:p>
      <w:pPr>
        <w:spacing w:line="198" w:lineRule="auto"/>
        <w:rPr>
          <w:rFonts w:hint="default" w:eastAsia="宋体" w:cs="Arial"/>
          <w:b/>
          <w:bCs/>
          <w:spacing w:val="-1"/>
          <w:sz w:val="21"/>
          <w:szCs w:val="21"/>
          <w:lang w:val="en-US" w:eastAsia="zh-CN"/>
        </w:rPr>
      </w:pPr>
    </w:p>
    <w:p>
      <w:pPr>
        <w:spacing w:line="198" w:lineRule="auto"/>
        <w:rPr>
          <w:rFonts w:hint="default" w:eastAsia="宋体" w:cs="Arial"/>
          <w:b/>
          <w:bCs/>
          <w:spacing w:val="-1"/>
          <w:sz w:val="21"/>
          <w:szCs w:val="21"/>
          <w:lang w:val="en-US" w:eastAsia="zh-CN"/>
        </w:rPr>
      </w:pPr>
    </w:p>
    <w:p>
      <w:pPr>
        <w:spacing w:line="198" w:lineRule="auto"/>
      </w:pPr>
      <w:r>
        <w:drawing>
          <wp:inline distT="0" distB="0" distL="114300" distR="114300">
            <wp:extent cx="4650105" cy="3871595"/>
            <wp:effectExtent l="0" t="0" r="17145" b="1460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5"/>
                    <a:stretch>
                      <a:fillRect/>
                    </a:stretch>
                  </pic:blipFill>
                  <pic:spPr>
                    <a:xfrm>
                      <a:off x="0" y="0"/>
                      <a:ext cx="4650105" cy="3871595"/>
                    </a:xfrm>
                    <a:prstGeom prst="rect">
                      <a:avLst/>
                    </a:prstGeom>
                    <a:noFill/>
                    <a:ln>
                      <a:noFill/>
                    </a:ln>
                  </pic:spPr>
                </pic:pic>
              </a:graphicData>
            </a:graphic>
          </wp:inline>
        </w:drawing>
      </w:r>
    </w:p>
    <w:p>
      <w:pPr>
        <w:spacing w:line="198" w:lineRule="auto"/>
      </w:pPr>
    </w:p>
    <w:p>
      <w:pPr>
        <w:spacing w:line="198" w:lineRule="auto"/>
      </w:pPr>
    </w:p>
    <w:p>
      <w:pPr>
        <w:spacing w:line="198" w:lineRule="auto"/>
      </w:pPr>
    </w:p>
    <w:p>
      <w:pPr>
        <w:spacing w:line="198" w:lineRule="auto"/>
      </w:pPr>
    </w:p>
    <w:p>
      <w:pPr>
        <w:keepNext w:val="0"/>
        <w:keepLines w:val="0"/>
        <w:widowControl/>
        <w:suppressLineNumbers w:val="0"/>
        <w:spacing w:before="0" w:beforeAutospacing="0" w:after="0" w:afterAutospacing="0" w:line="256" w:lineRule="auto"/>
        <w:ind w:left="10" w:right="34" w:hanging="10"/>
        <w:jc w:val="center"/>
        <w:rPr>
          <w:lang w:val="en-US"/>
        </w:rPr>
      </w:pPr>
      <w:r>
        <w:rPr>
          <w:rFonts w:hint="default" w:ascii="Times New Roman" w:hAnsi="Times New Roman" w:eastAsia="Times New Roman" w:cs="Times New Roman"/>
          <w:b/>
          <w:bCs w:val="0"/>
          <w:snapToGrid w:val="0"/>
          <w:color w:val="000000"/>
          <w:kern w:val="2"/>
          <w:sz w:val="19"/>
          <w:szCs w:val="22"/>
          <w:lang w:val="en-US" w:eastAsia="zh-CN" w:bidi="ar"/>
        </w:rPr>
        <w:t>STARBUCKS CORPORATION</w:t>
      </w:r>
    </w:p>
    <w:p>
      <w:pPr>
        <w:keepNext w:val="0"/>
        <w:keepLines w:val="0"/>
        <w:widowControl/>
        <w:suppressLineNumbers w:val="0"/>
        <w:spacing w:before="0" w:beforeAutospacing="0" w:after="0" w:afterAutospacing="0" w:line="256" w:lineRule="auto"/>
        <w:ind w:left="10" w:right="33" w:hanging="10"/>
        <w:jc w:val="center"/>
        <w:rPr>
          <w:lang w:val="en-US"/>
        </w:rPr>
      </w:pPr>
      <w:r>
        <w:rPr>
          <w:rFonts w:hint="default" w:ascii="Times New Roman" w:hAnsi="Times New Roman" w:eastAsia="Times New Roman" w:cs="Times New Roman"/>
          <w:b/>
          <w:bCs w:val="0"/>
          <w:snapToGrid w:val="0"/>
          <w:color w:val="000000"/>
          <w:kern w:val="2"/>
          <w:sz w:val="19"/>
          <w:szCs w:val="22"/>
          <w:lang w:val="en-US" w:eastAsia="zh-CN" w:bidi="ar"/>
        </w:rPr>
        <w:t>CONSOLIDATED BALANCE SHEETS</w:t>
      </w:r>
    </w:p>
    <w:p>
      <w:pPr>
        <w:keepNext w:val="0"/>
        <w:keepLines w:val="0"/>
        <w:widowControl/>
        <w:suppressLineNumbers w:val="0"/>
        <w:spacing w:before="0" w:beforeAutospacing="0" w:after="0" w:afterAutospacing="0" w:line="256" w:lineRule="auto"/>
        <w:ind w:left="0" w:right="34"/>
        <w:jc w:val="center"/>
        <w:rPr>
          <w:rFonts w:hint="default" w:ascii="Times New Roman" w:hAnsi="Times New Roman" w:eastAsia="Times New Roman" w:cs="Times New Roman"/>
          <w:i/>
          <w:iCs w:val="0"/>
          <w:snapToGrid w:val="0"/>
          <w:color w:val="000000"/>
          <w:kern w:val="2"/>
          <w:sz w:val="19"/>
          <w:szCs w:val="22"/>
          <w:lang w:val="en-US" w:eastAsia="zh-CN" w:bidi="ar"/>
        </w:rPr>
      </w:pPr>
      <w:r>
        <w:rPr>
          <w:rFonts w:hint="default" w:ascii="Times New Roman" w:hAnsi="Times New Roman" w:eastAsia="Times New Roman" w:cs="Times New Roman"/>
          <w:i/>
          <w:iCs w:val="0"/>
          <w:snapToGrid w:val="0"/>
          <w:color w:val="000000"/>
          <w:kern w:val="2"/>
          <w:sz w:val="19"/>
          <w:szCs w:val="22"/>
          <w:lang w:val="en-US" w:eastAsia="zh-CN" w:bidi="ar"/>
        </w:rPr>
        <w:t>(in millions, except per share data)</w:t>
      </w:r>
    </w:p>
    <w:p>
      <w:pPr>
        <w:keepNext w:val="0"/>
        <w:keepLines w:val="0"/>
        <w:widowControl/>
        <w:suppressLineNumbers w:val="0"/>
        <w:spacing w:before="0" w:beforeAutospacing="0" w:after="0" w:afterAutospacing="0" w:line="256" w:lineRule="auto"/>
        <w:ind w:left="0" w:right="34"/>
        <w:jc w:val="center"/>
        <w:rPr>
          <w:rFonts w:hint="default" w:ascii="Times New Roman" w:hAnsi="Times New Roman" w:eastAsia="Times New Roman" w:cs="Times New Roman"/>
          <w:i/>
          <w:iCs w:val="0"/>
          <w:snapToGrid w:val="0"/>
          <w:color w:val="000000"/>
          <w:kern w:val="2"/>
          <w:sz w:val="19"/>
          <w:szCs w:val="22"/>
          <w:lang w:val="en-US" w:eastAsia="zh-CN" w:bidi="ar"/>
        </w:rPr>
      </w:pPr>
    </w:p>
    <w:p>
      <w:pPr>
        <w:keepNext w:val="0"/>
        <w:keepLines w:val="0"/>
        <w:widowControl/>
        <w:suppressLineNumbers w:val="0"/>
        <w:spacing w:before="0" w:beforeAutospacing="0" w:after="34" w:afterAutospacing="0" w:line="256" w:lineRule="auto"/>
        <w:ind w:left="0" w:right="0"/>
        <w:jc w:val="left"/>
        <w:rPr>
          <w:lang w:val="en-US"/>
        </w:rPr>
      </w:pPr>
      <w:r>
        <w:rPr>
          <w:rFonts w:hint="default" w:ascii="Calibri" w:hAnsi="Calibri" w:eastAsia="Calibri" w:cs="Calibri"/>
          <w:snapToGrid w:val="0"/>
          <w:color w:val="000000"/>
          <w:kern w:val="2"/>
          <w:sz w:val="22"/>
          <w:szCs w:val="22"/>
          <w:lang w:val="en-US" w:eastAsia="zh-CN" w:bidi="ar"/>
        </w:rPr>
        <mc:AlternateContent>
          <mc:Choice Requires="wpg">
            <w:drawing>
              <wp:inline distT="0" distB="0" distL="114300" distR="114300">
                <wp:extent cx="4954270" cy="447675"/>
                <wp:effectExtent l="0" t="0" r="17780" b="9525"/>
                <wp:docPr id="17" name="Group 270003"/>
                <wp:cNvGraphicFramePr/>
                <a:graphic xmlns:a="http://schemas.openxmlformats.org/drawingml/2006/main">
                  <a:graphicData uri="http://schemas.microsoft.com/office/word/2010/wordprocessingGroup">
                    <wpg:wgp>
                      <wpg:cNvGrpSpPr/>
                      <wpg:grpSpPr>
                        <a:xfrm>
                          <a:off x="0" y="0"/>
                          <a:ext cx="4954264" cy="447717"/>
                          <a:chOff x="-162" y="0"/>
                          <a:chExt cx="63228" cy="4650"/>
                        </a:xfrm>
                      </wpg:grpSpPr>
                      <wps:wsp>
                        <wps:cNvPr id="3" name="Shape 279656"/>
                        <wps:cNvSpPr/>
                        <wps:spPr>
                          <a:xfrm>
                            <a:off x="-162" y="3080"/>
                            <a:ext cx="63066" cy="1570"/>
                          </a:xfrm>
                          <a:custGeom>
                            <a:avLst/>
                            <a:gdLst>
                              <a:gd name="txL" fmla="*/ 0 w 6306617"/>
                              <a:gd name="txT" fmla="*/ 0 h 156743"/>
                              <a:gd name="txR" fmla="*/ 6306617 w 6306617"/>
                              <a:gd name="txB" fmla="*/ 156743 h 156743"/>
                            </a:gdLst>
                            <a:ahLst/>
                            <a:cxnLst/>
                            <a:rect l="txL" t="txT" r="txR" b="txB"/>
                            <a:pathLst>
                              <a:path w="6306617" h="156743">
                                <a:moveTo>
                                  <a:pt x="0" y="0"/>
                                </a:moveTo>
                                <a:lnTo>
                                  <a:pt x="6306617" y="0"/>
                                </a:lnTo>
                                <a:lnTo>
                                  <a:pt x="6306617" y="156743"/>
                                </a:lnTo>
                                <a:lnTo>
                                  <a:pt x="0" y="156743"/>
                                </a:lnTo>
                                <a:lnTo>
                                  <a:pt x="0" y="0"/>
                                </a:lnTo>
                              </a:path>
                            </a:pathLst>
                          </a:custGeom>
                          <a:solidFill>
                            <a:srgbClr val="CDE0D8"/>
                          </a:solidFill>
                          <a:ln w="0">
                            <a:noFill/>
                          </a:ln>
                        </wps:spPr>
                        <wps:bodyPr wrap="square" upright="1"/>
                      </wps:wsp>
                      <wps:wsp>
                        <wps:cNvPr id="4" name="Shape 279657"/>
                        <wps:cNvSpPr/>
                        <wps:spPr>
                          <a:xfrm>
                            <a:off x="42505" y="0"/>
                            <a:ext cx="10050" cy="2489"/>
                          </a:xfrm>
                          <a:custGeom>
                            <a:avLst/>
                            <a:gdLst>
                              <a:gd name="txL" fmla="*/ 0 w 1005002"/>
                              <a:gd name="txT" fmla="*/ 0 h 248945"/>
                              <a:gd name="txR" fmla="*/ 1005002 w 1005002"/>
                              <a:gd name="txB" fmla="*/ 248945 h 248945"/>
                            </a:gdLst>
                            <a:ahLst/>
                            <a:cxnLst/>
                            <a:rect l="txL" t="txT" r="txR" b="txB"/>
                            <a:pathLst>
                              <a:path w="1005002" h="248945">
                                <a:moveTo>
                                  <a:pt x="0" y="0"/>
                                </a:moveTo>
                                <a:lnTo>
                                  <a:pt x="1005002" y="0"/>
                                </a:lnTo>
                                <a:lnTo>
                                  <a:pt x="1005002" y="248945"/>
                                </a:lnTo>
                                <a:lnTo>
                                  <a:pt x="0" y="248945"/>
                                </a:lnTo>
                                <a:lnTo>
                                  <a:pt x="0" y="0"/>
                                </a:lnTo>
                              </a:path>
                            </a:pathLst>
                          </a:custGeom>
                          <a:solidFill>
                            <a:srgbClr val="00613F"/>
                          </a:solidFill>
                          <a:ln w="0">
                            <a:noFill/>
                          </a:ln>
                        </wps:spPr>
                        <wps:bodyPr wrap="square" upright="1"/>
                      </wps:wsp>
                      <wps:wsp>
                        <wps:cNvPr id="5" name="Shape 279658"/>
                        <wps:cNvSpPr/>
                        <wps:spPr>
                          <a:xfrm>
                            <a:off x="53016" y="0"/>
                            <a:ext cx="10050" cy="2489"/>
                          </a:xfrm>
                          <a:custGeom>
                            <a:avLst/>
                            <a:gdLst>
                              <a:gd name="txL" fmla="*/ 0 w 1005002"/>
                              <a:gd name="txT" fmla="*/ 0 h 248945"/>
                              <a:gd name="txR" fmla="*/ 1005002 w 1005002"/>
                              <a:gd name="txB" fmla="*/ 248945 h 248945"/>
                            </a:gdLst>
                            <a:ahLst/>
                            <a:cxnLst/>
                            <a:rect l="txL" t="txT" r="txR" b="txB"/>
                            <a:pathLst>
                              <a:path w="1005002" h="248945">
                                <a:moveTo>
                                  <a:pt x="0" y="0"/>
                                </a:moveTo>
                                <a:lnTo>
                                  <a:pt x="1005002" y="0"/>
                                </a:lnTo>
                                <a:lnTo>
                                  <a:pt x="1005002" y="248945"/>
                                </a:lnTo>
                                <a:lnTo>
                                  <a:pt x="0" y="248945"/>
                                </a:lnTo>
                                <a:lnTo>
                                  <a:pt x="0" y="0"/>
                                </a:lnTo>
                              </a:path>
                            </a:pathLst>
                          </a:custGeom>
                          <a:solidFill>
                            <a:srgbClr val="00613F"/>
                          </a:solidFill>
                          <a:ln w="0">
                            <a:noFill/>
                          </a:ln>
                        </wps:spPr>
                        <wps:bodyPr wrap="square" upright="1"/>
                      </wps:wsp>
                      <wps:wsp>
                        <wps:cNvPr id="6" name="Rectangle 4866"/>
                        <wps:cNvSpPr/>
                        <wps:spPr>
                          <a:xfrm>
                            <a:off x="46274" y="233"/>
                            <a:ext cx="3342" cy="1449"/>
                          </a:xfrm>
                          <a:prstGeom prst="rect">
                            <a:avLst/>
                          </a:prstGeom>
                          <a:noFill/>
                          <a:ln>
                            <a:noFill/>
                          </a:ln>
                        </wps:spPr>
                        <wps:txbx>
                          <w:txbxContent>
                            <w:p>
                              <w:pPr>
                                <w:keepNext w:val="0"/>
                                <w:keepLines w:val="0"/>
                                <w:widowControl/>
                                <w:suppressLineNumbers w:val="0"/>
                                <w:spacing w:before="0" w:beforeAutospacing="0" w:after="160" w:afterAutospacing="0" w:line="256" w:lineRule="auto"/>
                                <w:ind w:left="0" w:right="0"/>
                                <w:jc w:val="left"/>
                                <w:rPr>
                                  <w:lang w:val="en-US"/>
                                </w:rPr>
                              </w:pPr>
                              <w:r>
                                <w:rPr>
                                  <w:rFonts w:hint="default" w:ascii="Times New Roman" w:hAnsi="Times New Roman" w:eastAsia="Times New Roman" w:cs="Times New Roman"/>
                                  <w:b/>
                                  <w:bCs w:val="0"/>
                                  <w:snapToGrid w:val="0"/>
                                  <w:color w:val="000000"/>
                                  <w:kern w:val="2"/>
                                  <w:sz w:val="15"/>
                                  <w:szCs w:val="22"/>
                                  <w:lang w:val="en-US" w:eastAsia="zh-CN" w:bidi="ar"/>
                                </w:rPr>
                                <w:t>Oct 3,</w:t>
                              </w:r>
                            </w:p>
                          </w:txbxContent>
                        </wps:txbx>
                        <wps:bodyPr wrap="square" lIns="0" tIns="0" rIns="0" bIns="0" upright="1"/>
                      </wps:wsp>
                      <wps:wsp>
                        <wps:cNvPr id="7" name="Rectangle 4867"/>
                        <wps:cNvSpPr/>
                        <wps:spPr>
                          <a:xfrm>
                            <a:off x="46545" y="1217"/>
                            <a:ext cx="2616" cy="1448"/>
                          </a:xfrm>
                          <a:prstGeom prst="rect">
                            <a:avLst/>
                          </a:prstGeom>
                          <a:noFill/>
                          <a:ln>
                            <a:noFill/>
                          </a:ln>
                        </wps:spPr>
                        <wps:txbx>
                          <w:txbxContent>
                            <w:p>
                              <w:pPr>
                                <w:keepNext w:val="0"/>
                                <w:keepLines w:val="0"/>
                                <w:widowControl/>
                                <w:suppressLineNumbers w:val="0"/>
                                <w:spacing w:before="0" w:beforeAutospacing="0" w:after="160" w:afterAutospacing="0" w:line="256" w:lineRule="auto"/>
                                <w:ind w:left="0" w:right="0"/>
                                <w:jc w:val="left"/>
                                <w:rPr>
                                  <w:lang w:val="en-US"/>
                                </w:rPr>
                              </w:pPr>
                              <w:r>
                                <w:rPr>
                                  <w:rFonts w:hint="default" w:ascii="Times New Roman" w:hAnsi="Times New Roman" w:eastAsia="Times New Roman" w:cs="Times New Roman"/>
                                  <w:b/>
                                  <w:bCs w:val="0"/>
                                  <w:snapToGrid w:val="0"/>
                                  <w:color w:val="000000"/>
                                  <w:kern w:val="2"/>
                                  <w:sz w:val="15"/>
                                  <w:szCs w:val="22"/>
                                  <w:lang w:val="en-US" w:eastAsia="zh-CN" w:bidi="ar"/>
                                </w:rPr>
                                <w:t>2021</w:t>
                              </w:r>
                            </w:p>
                          </w:txbxContent>
                        </wps:txbx>
                        <wps:bodyPr wrap="square" lIns="0" tIns="0" rIns="0" bIns="0" upright="1"/>
                      </wps:wsp>
                      <wps:wsp>
                        <wps:cNvPr id="8" name="Rectangle 4868"/>
                        <wps:cNvSpPr/>
                        <wps:spPr>
                          <a:xfrm>
                            <a:off x="56539" y="233"/>
                            <a:ext cx="3994" cy="1449"/>
                          </a:xfrm>
                          <a:prstGeom prst="rect">
                            <a:avLst/>
                          </a:prstGeom>
                          <a:noFill/>
                          <a:ln>
                            <a:noFill/>
                          </a:ln>
                        </wps:spPr>
                        <wps:txbx>
                          <w:txbxContent>
                            <w:p>
                              <w:pPr>
                                <w:keepNext w:val="0"/>
                                <w:keepLines w:val="0"/>
                                <w:widowControl/>
                                <w:suppressLineNumbers w:val="0"/>
                                <w:spacing w:before="0" w:beforeAutospacing="0" w:after="160" w:afterAutospacing="0" w:line="256" w:lineRule="auto"/>
                                <w:ind w:left="0" w:right="0"/>
                                <w:jc w:val="left"/>
                                <w:rPr>
                                  <w:lang w:val="en-US"/>
                                </w:rPr>
                              </w:pPr>
                              <w:r>
                                <w:rPr>
                                  <w:rFonts w:hint="default" w:ascii="Times New Roman" w:hAnsi="Times New Roman" w:eastAsia="Times New Roman" w:cs="Times New Roman"/>
                                  <w:b/>
                                  <w:bCs w:val="0"/>
                                  <w:snapToGrid w:val="0"/>
                                  <w:color w:val="000000"/>
                                  <w:kern w:val="2"/>
                                  <w:sz w:val="15"/>
                                  <w:szCs w:val="22"/>
                                  <w:lang w:val="en-US" w:eastAsia="zh-CN" w:bidi="ar"/>
                                </w:rPr>
                                <w:t>Sep 27,</w:t>
                              </w:r>
                            </w:p>
                          </w:txbxContent>
                        </wps:txbx>
                        <wps:bodyPr wrap="square" lIns="0" tIns="0" rIns="0" bIns="0" upright="1"/>
                      </wps:wsp>
                      <wps:wsp>
                        <wps:cNvPr id="9" name="Rectangle 4869"/>
                        <wps:cNvSpPr/>
                        <wps:spPr>
                          <a:xfrm>
                            <a:off x="57056" y="1217"/>
                            <a:ext cx="2616" cy="1448"/>
                          </a:xfrm>
                          <a:prstGeom prst="rect">
                            <a:avLst/>
                          </a:prstGeom>
                          <a:noFill/>
                          <a:ln>
                            <a:noFill/>
                          </a:ln>
                        </wps:spPr>
                        <wps:txbx>
                          <w:txbxContent>
                            <w:p>
                              <w:pPr>
                                <w:keepNext w:val="0"/>
                                <w:keepLines w:val="0"/>
                                <w:widowControl/>
                                <w:suppressLineNumbers w:val="0"/>
                                <w:spacing w:before="0" w:beforeAutospacing="0" w:after="160" w:afterAutospacing="0" w:line="256" w:lineRule="auto"/>
                                <w:ind w:left="0" w:right="0"/>
                                <w:jc w:val="left"/>
                                <w:rPr>
                                  <w:lang w:val="en-US"/>
                                </w:rPr>
                              </w:pPr>
                              <w:r>
                                <w:rPr>
                                  <w:rFonts w:hint="default" w:ascii="Times New Roman" w:hAnsi="Times New Roman" w:eastAsia="Times New Roman" w:cs="Times New Roman"/>
                                  <w:b/>
                                  <w:bCs w:val="0"/>
                                  <w:snapToGrid w:val="0"/>
                                  <w:color w:val="000000"/>
                                  <w:kern w:val="2"/>
                                  <w:sz w:val="15"/>
                                  <w:szCs w:val="22"/>
                                  <w:lang w:val="en-US" w:eastAsia="zh-CN" w:bidi="ar"/>
                                </w:rPr>
                                <w:t>2020</w:t>
                              </w:r>
                            </w:p>
                          </w:txbxContent>
                        </wps:txbx>
                        <wps:bodyPr wrap="square" lIns="0" tIns="0" rIns="0" bIns="0" upright="1"/>
                      </wps:wsp>
                      <wps:wsp>
                        <wps:cNvPr id="10" name="Rectangle 4870"/>
                        <wps:cNvSpPr/>
                        <wps:spPr>
                          <a:xfrm>
                            <a:off x="18964" y="2687"/>
                            <a:ext cx="6085" cy="1810"/>
                          </a:xfrm>
                          <a:prstGeom prst="rect">
                            <a:avLst/>
                          </a:prstGeom>
                          <a:noFill/>
                          <a:ln>
                            <a:noFill/>
                          </a:ln>
                        </wps:spPr>
                        <wps:txbx>
                          <w:txbxContent>
                            <w:p>
                              <w:pPr>
                                <w:keepNext w:val="0"/>
                                <w:keepLines w:val="0"/>
                                <w:widowControl/>
                                <w:suppressLineNumbers w:val="0"/>
                                <w:spacing w:before="0" w:beforeAutospacing="0" w:after="160" w:afterAutospacing="0" w:line="256" w:lineRule="auto"/>
                                <w:ind w:left="0" w:right="0"/>
                                <w:jc w:val="left"/>
                                <w:rPr>
                                  <w:lang w:val="en-US"/>
                                </w:rPr>
                              </w:pPr>
                              <w:r>
                                <w:rPr>
                                  <w:rFonts w:hint="default" w:ascii="Times New Roman" w:hAnsi="Times New Roman" w:eastAsia="Times New Roman" w:cs="Times New Roman"/>
                                  <w:b/>
                                  <w:bCs w:val="0"/>
                                  <w:snapToGrid w:val="0"/>
                                  <w:color w:val="000000"/>
                                  <w:kern w:val="2"/>
                                  <w:sz w:val="19"/>
                                  <w:szCs w:val="22"/>
                                  <w:lang w:val="en-US" w:eastAsia="zh-CN" w:bidi="ar"/>
                                </w:rPr>
                                <w:t>ASSETS</w:t>
                              </w:r>
                            </w:p>
                          </w:txbxContent>
                        </wps:txbx>
                        <wps:bodyPr wrap="square" lIns="0" tIns="0" rIns="0" bIns="0" upright="1"/>
                      </wps:wsp>
                      <wps:wsp>
                        <wps:cNvPr id="11" name="Shape 4981"/>
                        <wps:cNvSpPr/>
                        <wps:spPr>
                          <a:xfrm>
                            <a:off x="42505" y="2489"/>
                            <a:ext cx="10050" cy="0"/>
                          </a:xfrm>
                          <a:custGeom>
                            <a:avLst/>
                            <a:gdLst>
                              <a:gd name="txL" fmla="*/ 0 w 1005002"/>
                              <a:gd name="txT" fmla="*/ 0 h 0"/>
                              <a:gd name="txR" fmla="*/ 1005002 w 1005002"/>
                              <a:gd name="txB" fmla="*/ 0 h 0"/>
                            </a:gdLst>
                            <a:ahLst/>
                            <a:cxnLst/>
                            <a:rect l="txL" t="txT" r="txR" b="txB"/>
                            <a:pathLst>
                              <a:path w="1005002">
                                <a:moveTo>
                                  <a:pt x="0" y="0"/>
                                </a:moveTo>
                                <a:lnTo>
                                  <a:pt x="1005002" y="0"/>
                                </a:lnTo>
                              </a:path>
                            </a:pathLst>
                          </a:custGeom>
                          <a:noFill/>
                          <a:ln w="12294" cap="flat" cmpd="sng">
                            <a:solidFill>
                              <a:srgbClr val="181717"/>
                            </a:solidFill>
                            <a:prstDash val="solid"/>
                            <a:miter lim="1018167297"/>
                            <a:headEnd type="none" w="med" len="med"/>
                            <a:tailEnd type="none" w="med" len="med"/>
                          </a:ln>
                        </wps:spPr>
                        <wps:bodyPr wrap="square" upright="1"/>
                      </wps:wsp>
                      <wps:wsp>
                        <wps:cNvPr id="14" name="Shape 4983"/>
                        <wps:cNvSpPr/>
                        <wps:spPr>
                          <a:xfrm>
                            <a:off x="53016" y="2489"/>
                            <a:ext cx="10050" cy="0"/>
                          </a:xfrm>
                          <a:custGeom>
                            <a:avLst/>
                            <a:gdLst>
                              <a:gd name="txL" fmla="*/ 0 w 1005002"/>
                              <a:gd name="txT" fmla="*/ 0 h 0"/>
                              <a:gd name="txR" fmla="*/ 1005002 w 1005002"/>
                              <a:gd name="txB" fmla="*/ 0 h 0"/>
                            </a:gdLst>
                            <a:ahLst/>
                            <a:cxnLst/>
                            <a:rect l="txL" t="txT" r="txR" b="txB"/>
                            <a:pathLst>
                              <a:path w="1005002">
                                <a:moveTo>
                                  <a:pt x="0" y="0"/>
                                </a:moveTo>
                                <a:lnTo>
                                  <a:pt x="1005002" y="0"/>
                                </a:lnTo>
                              </a:path>
                            </a:pathLst>
                          </a:custGeom>
                          <a:noFill/>
                          <a:ln w="12294" cap="flat" cmpd="sng">
                            <a:solidFill>
                              <a:srgbClr val="181717"/>
                            </a:solidFill>
                            <a:prstDash val="solid"/>
                            <a:miter lim="1018167297"/>
                            <a:headEnd type="none" w="med" len="med"/>
                            <a:tailEnd type="none" w="med" len="med"/>
                          </a:ln>
                        </wps:spPr>
                        <wps:bodyPr wrap="square" upright="1"/>
                      </wps:wsp>
                    </wpg:wgp>
                  </a:graphicData>
                </a:graphic>
              </wp:inline>
            </w:drawing>
          </mc:Choice>
          <mc:Fallback>
            <w:pict>
              <v:group id="Group 270003" o:spid="_x0000_s1026" o:spt="203" style="height:35.25pt;width:390.1pt;" coordorigin="-162,0" coordsize="63228,4650" o:gfxdata="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">
                <o:lock v:ext="edit" aspectratio="f"/>
                <v:shape id="Shape 279656" o:spid="_x0000_s1026" o:spt="100" style="position:absolute;left:-162;top:3080;height:1570;width:63066;" fillcolor="#CDE0D8" filled="t" stroked="f" coordsize="6306617,156743" o:gfxdata="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5gE3f7sAAADa&#10;AAAADwAAAAAAAAABACAAAAAiAAAAZHJzL2Rvd25yZXYueG1sUEsBAhQAFAAAAAgAh07iQDMvBZ47&#10;AAAAOQAAABAAAAAAAAAAAQAgAAAACgEAAGRycy9zaGFwZXhtbC54bWxQSwUGAAAAAAYABgBbAQAA&#10;tAMAAAAA&#10;" path="m0,0l6306617,0,6306617,156743,0,156743,0,0e">
                  <v:fill on="t" focussize="0,0"/>
                  <v:stroke on="f" weight="0pt"/>
                  <v:imagedata o:title=""/>
                  <o:lock v:ext="edit" aspectratio="f"/>
                </v:shape>
                <v:shape id="Shape 279657" o:spid="_x0000_s1026" o:spt="100" style="position:absolute;left:42505;top:0;height:2489;width:10050;" fillcolor="#00613F" filled="t" stroked="f" coordsize="1005002,248945" o:gfxdata="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iU4DxvQAA&#10;ANoAAAAPAAAAAAAAAAEAIAAAACIAAABkcnMvZG93bnJldi54bWxQSwECFAAUAAAACACHTuJAMy8F&#10;njsAAAA5AAAAEAAAAAAAAAABACAAAAAMAQAAZHJzL3NoYXBleG1sLnhtbFBLBQYAAAAABgAGAFsB&#10;AAC2AwAAAAA=&#10;" path="m0,0l1005002,0,1005002,248945,0,248945,0,0e">
                  <v:fill on="t" focussize="0,0"/>
                  <v:stroke on="f" weight="0pt"/>
                  <v:imagedata o:title=""/>
                  <o:lock v:ext="edit" aspectratio="f"/>
                </v:shape>
                <v:shape id="Shape 279658" o:spid="_x0000_s1026" o:spt="100" style="position:absolute;left:53016;top:0;height:2489;width:10050;" fillcolor="#00613F" filled="t" stroked="f" coordsize="1005002,248945" o:gfxdata="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NHyVqvQAA&#10;ANoAAAAPAAAAAAAAAAEAIAAAACIAAABkcnMvZG93bnJldi54bWxQSwECFAAUAAAACACHTuJAMy8F&#10;njsAAAA5AAAAEAAAAAAAAAABACAAAAAMAQAAZHJzL3NoYXBleG1sLnhtbFBLBQYAAAAABgAGAFsB&#10;AAC2AwAAAAA=&#10;" path="m0,0l1005002,0,1005002,248945,0,248945,0,0e">
                  <v:fill on="t" focussize="0,0"/>
                  <v:stroke on="f" weight="0pt"/>
                  <v:imagedata o:title=""/>
                  <o:lock v:ext="edit" aspectratio="f"/>
                </v:shape>
                <v:rect id="Rectangle 4866" o:spid="_x0000_s1026" o:spt="1" style="position:absolute;left:46274;top:233;height:1449;width:3342;" filled="f" stroked="f" coordsize="21600,21600" o:gfxdata="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kILC5r4A&#10;AADa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pPr>
                          <w:keepNext w:val="0"/>
                          <w:keepLines w:val="0"/>
                          <w:widowControl/>
                          <w:suppressLineNumbers w:val="0"/>
                          <w:spacing w:before="0" w:beforeAutospacing="0" w:after="160" w:afterAutospacing="0" w:line="256" w:lineRule="auto"/>
                          <w:ind w:left="0" w:right="0"/>
                          <w:jc w:val="left"/>
                          <w:rPr>
                            <w:lang w:val="en-US"/>
                          </w:rPr>
                        </w:pPr>
                        <w:r>
                          <w:rPr>
                            <w:rFonts w:hint="default" w:ascii="Times New Roman" w:hAnsi="Times New Roman" w:eastAsia="Times New Roman" w:cs="Times New Roman"/>
                            <w:b/>
                            <w:bCs w:val="0"/>
                            <w:snapToGrid w:val="0"/>
                            <w:color w:val="000000"/>
                            <w:kern w:val="2"/>
                            <w:sz w:val="15"/>
                            <w:szCs w:val="22"/>
                            <w:lang w:val="en-US" w:eastAsia="zh-CN" w:bidi="ar"/>
                          </w:rPr>
                          <w:t>Oct 3,</w:t>
                        </w:r>
                      </w:p>
                    </w:txbxContent>
                  </v:textbox>
                </v:rect>
                <v:rect id="Rectangle 4867" o:spid="_x0000_s1026" o:spt="1" style="position:absolute;left:46545;top:1217;height:1448;width:2616;" filled="f" stroked="f" coordsize="21600,21600" o:gfxdata="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zmd9vQAA&#10;ANo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pPr>
                          <w:keepNext w:val="0"/>
                          <w:keepLines w:val="0"/>
                          <w:widowControl/>
                          <w:suppressLineNumbers w:val="0"/>
                          <w:spacing w:before="0" w:beforeAutospacing="0" w:after="160" w:afterAutospacing="0" w:line="256" w:lineRule="auto"/>
                          <w:ind w:left="0" w:right="0"/>
                          <w:jc w:val="left"/>
                          <w:rPr>
                            <w:lang w:val="en-US"/>
                          </w:rPr>
                        </w:pPr>
                        <w:r>
                          <w:rPr>
                            <w:rFonts w:hint="default" w:ascii="Times New Roman" w:hAnsi="Times New Roman" w:eastAsia="Times New Roman" w:cs="Times New Roman"/>
                            <w:b/>
                            <w:bCs w:val="0"/>
                            <w:snapToGrid w:val="0"/>
                            <w:color w:val="000000"/>
                            <w:kern w:val="2"/>
                            <w:sz w:val="15"/>
                            <w:szCs w:val="22"/>
                            <w:lang w:val="en-US" w:eastAsia="zh-CN" w:bidi="ar"/>
                          </w:rPr>
                          <w:t>2021</w:t>
                        </w:r>
                      </w:p>
                    </w:txbxContent>
                  </v:textbox>
                </v:rect>
                <v:rect id="Rectangle 4868" o:spid="_x0000_s1026" o:spt="1" style="position:absolute;left:56539;top:233;height:1449;width:3994;" filled="f" stroked="f" coordsize="21600,21600" o:gfxdata="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I5R8w+2AAAA2gAAAA8A&#10;AAAAAAAAAQAgAAAAIgAAAGRycy9kb3ducmV2LnhtbFBLAQIUABQAAAAIAIdO4kAzLwWeOwAAADkA&#10;AAAQAAAAAAAAAAEAIAAAAAUBAABkcnMvc2hhcGV4bWwueG1sUEsFBgAAAAAGAAYAWwEAAK8DAAAA&#10;AA==&#10;">
                  <v:fill on="f" focussize="0,0"/>
                  <v:stroke on="f"/>
                  <v:imagedata o:title=""/>
                  <o:lock v:ext="edit" aspectratio="f"/>
                  <v:textbox inset="0mm,0mm,0mm,0mm">
                    <w:txbxContent>
                      <w:p>
                        <w:pPr>
                          <w:keepNext w:val="0"/>
                          <w:keepLines w:val="0"/>
                          <w:widowControl/>
                          <w:suppressLineNumbers w:val="0"/>
                          <w:spacing w:before="0" w:beforeAutospacing="0" w:after="160" w:afterAutospacing="0" w:line="256" w:lineRule="auto"/>
                          <w:ind w:left="0" w:right="0"/>
                          <w:jc w:val="left"/>
                          <w:rPr>
                            <w:lang w:val="en-US"/>
                          </w:rPr>
                        </w:pPr>
                        <w:r>
                          <w:rPr>
                            <w:rFonts w:hint="default" w:ascii="Times New Roman" w:hAnsi="Times New Roman" w:eastAsia="Times New Roman" w:cs="Times New Roman"/>
                            <w:b/>
                            <w:bCs w:val="0"/>
                            <w:snapToGrid w:val="0"/>
                            <w:color w:val="000000"/>
                            <w:kern w:val="2"/>
                            <w:sz w:val="15"/>
                            <w:szCs w:val="22"/>
                            <w:lang w:val="en-US" w:eastAsia="zh-CN" w:bidi="ar"/>
                          </w:rPr>
                          <w:t>Sep 27,</w:t>
                        </w:r>
                      </w:p>
                    </w:txbxContent>
                  </v:textbox>
                </v:rect>
                <v:rect id="Rectangle 4869" o:spid="_x0000_s1026" o:spt="1" style="position:absolute;left:57056;top:1217;height:1448;width:2616;" filled="f" stroked="f" coordsize="21600,21600" o:gfxdata="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hHVaUvQAA&#10;ANo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pPr>
                          <w:keepNext w:val="0"/>
                          <w:keepLines w:val="0"/>
                          <w:widowControl/>
                          <w:suppressLineNumbers w:val="0"/>
                          <w:spacing w:before="0" w:beforeAutospacing="0" w:after="160" w:afterAutospacing="0" w:line="256" w:lineRule="auto"/>
                          <w:ind w:left="0" w:right="0"/>
                          <w:jc w:val="left"/>
                          <w:rPr>
                            <w:lang w:val="en-US"/>
                          </w:rPr>
                        </w:pPr>
                        <w:r>
                          <w:rPr>
                            <w:rFonts w:hint="default" w:ascii="Times New Roman" w:hAnsi="Times New Roman" w:eastAsia="Times New Roman" w:cs="Times New Roman"/>
                            <w:b/>
                            <w:bCs w:val="0"/>
                            <w:snapToGrid w:val="0"/>
                            <w:color w:val="000000"/>
                            <w:kern w:val="2"/>
                            <w:sz w:val="15"/>
                            <w:szCs w:val="22"/>
                            <w:lang w:val="en-US" w:eastAsia="zh-CN" w:bidi="ar"/>
                          </w:rPr>
                          <w:t>2020</w:t>
                        </w:r>
                      </w:p>
                    </w:txbxContent>
                  </v:textbox>
                </v:rect>
                <v:rect id="Rectangle 4870" o:spid="_x0000_s1026" o:spt="1" style="position:absolute;left:18964;top:2687;height:1810;width:6085;" filled="f" stroked="f" coordsize="21600,21600" o:gfxdata="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Lc+hD7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pPr>
                          <w:keepNext w:val="0"/>
                          <w:keepLines w:val="0"/>
                          <w:widowControl/>
                          <w:suppressLineNumbers w:val="0"/>
                          <w:spacing w:before="0" w:beforeAutospacing="0" w:after="160" w:afterAutospacing="0" w:line="256" w:lineRule="auto"/>
                          <w:ind w:left="0" w:right="0"/>
                          <w:jc w:val="left"/>
                          <w:rPr>
                            <w:lang w:val="en-US"/>
                          </w:rPr>
                        </w:pPr>
                        <w:r>
                          <w:rPr>
                            <w:rFonts w:hint="default" w:ascii="Times New Roman" w:hAnsi="Times New Roman" w:eastAsia="Times New Roman" w:cs="Times New Roman"/>
                            <w:b/>
                            <w:bCs w:val="0"/>
                            <w:snapToGrid w:val="0"/>
                            <w:color w:val="000000"/>
                            <w:kern w:val="2"/>
                            <w:sz w:val="19"/>
                            <w:szCs w:val="22"/>
                            <w:lang w:val="en-US" w:eastAsia="zh-CN" w:bidi="ar"/>
                          </w:rPr>
                          <w:t>ASSETS</w:t>
                        </w:r>
                      </w:p>
                    </w:txbxContent>
                  </v:textbox>
                </v:rect>
                <v:shape id="Shape 4981" o:spid="_x0000_s1026" o:spt="100" style="position:absolute;left:42505;top:2489;height:0;width:10050;" filled="f" stroked="t" coordsize="1005002,1" o:gfxdata="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2qYWUugAAANsA&#10;AAAPAAAAAAAAAAEAIAAAACIAAABkcnMvZG93bnJldi54bWxQSwECFAAUAAAACACHTuJAMy8FnjsA&#10;AAA5AAAAEAAAAAAAAAABACAAAAAJAQAAZHJzL3NoYXBleG1sLnhtbFBLBQYAAAAABgAGAFsBAACz&#10;AwAAAAA=&#10;" path="m0,0l1005002,0e">
                  <v:fill on="f" focussize="0,0"/>
                  <v:stroke weight="0.968031496062992pt" color="#181717" miterlimit="10181" joinstyle="miter"/>
                  <v:imagedata o:title=""/>
                  <o:lock v:ext="edit" aspectratio="f"/>
                </v:shape>
                <v:shape id="Shape 4983" o:spid="_x0000_s1026" o:spt="100" style="position:absolute;left:53016;top:2489;height:0;width:10050;" filled="f" stroked="t" coordsize="1005002,1" o:gfxdata="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beJgy8AAAA&#10;2wAAAA8AAAAAAAAAAQAgAAAAIgAAAGRycy9kb3ducmV2LnhtbFBLAQIUABQAAAAIAIdO4kAzLwWe&#10;OwAAADkAAAAQAAAAAAAAAAEAIAAAAAsBAABkcnMvc2hhcGV4bWwueG1sUEsFBgAAAAAGAAYAWwEA&#10;ALUDAAAAAA==&#10;" path="m0,0l1005002,0e">
                  <v:fill on="f" focussize="0,0"/>
                  <v:stroke weight="0.968031496062992pt" color="#181717" miterlimit="10181" joinstyle="miter"/>
                  <v:imagedata o:title=""/>
                  <o:lock v:ext="edit" aspectratio="f"/>
                </v:shape>
                <w10:wrap type="none"/>
                <w10:anchorlock/>
              </v:group>
            </w:pict>
          </mc:Fallback>
        </mc:AlternateContent>
      </w:r>
    </w:p>
    <w:p>
      <w:pPr>
        <w:keepNext w:val="0"/>
        <w:keepLines w:val="0"/>
        <w:widowControl/>
        <w:suppressLineNumbers w:val="0"/>
        <w:spacing w:before="0" w:beforeAutospacing="0" w:after="0" w:afterAutospacing="0" w:line="256" w:lineRule="auto"/>
        <w:ind w:left="51" w:right="0"/>
        <w:jc w:val="left"/>
        <w:rPr>
          <w:lang w:val="en-US"/>
        </w:rPr>
      </w:pPr>
      <w:r>
        <w:rPr>
          <w:rFonts w:hint="default" w:ascii="Times New Roman" w:hAnsi="Times New Roman" w:eastAsia="Times New Roman" w:cs="Times New Roman"/>
          <w:snapToGrid w:val="0"/>
          <w:color w:val="000000"/>
          <w:kern w:val="2"/>
          <w:sz w:val="19"/>
          <w:szCs w:val="22"/>
          <w:lang w:val="en-US" w:eastAsia="zh-CN" w:bidi="ar"/>
        </w:rPr>
        <w:t>Current assets:</w:t>
      </w:r>
    </w:p>
    <w:tbl>
      <w:tblPr>
        <w:tblStyle w:val="14"/>
        <w:tblW w:w="777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4" w:type="dxa"/>
          <w:left w:w="0" w:type="dxa"/>
          <w:bottom w:w="1" w:type="dxa"/>
          <w:right w:w="0" w:type="dxa"/>
        </w:tblCellMar>
      </w:tblPr>
      <w:tblGrid>
        <w:gridCol w:w="5253"/>
        <w:gridCol w:w="422"/>
        <w:gridCol w:w="907"/>
        <w:gridCol w:w="391"/>
        <w:gridCol w:w="80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4" w:type="dxa"/>
            <w:left w:w="0" w:type="dxa"/>
            <w:bottom w:w="1" w:type="dxa"/>
            <w:right w:w="0" w:type="dxa"/>
          </w:tblCellMar>
        </w:tblPrEx>
        <w:trPr>
          <w:trHeight w:val="250" w:hRule="atLeast"/>
        </w:trPr>
        <w:tc>
          <w:tcPr>
            <w:tcW w:w="5283" w:type="dxa"/>
            <w:shd w:val="clear" w:color="auto" w:fill="CDE0D8"/>
            <w:vAlign w:val="top"/>
          </w:tcPr>
          <w:p>
            <w:pPr>
              <w:keepNext w:val="0"/>
              <w:keepLines w:val="0"/>
              <w:widowControl/>
              <w:suppressLineNumbers w:val="0"/>
              <w:spacing w:before="0" w:beforeAutospacing="0" w:after="0" w:afterAutospacing="0" w:line="256" w:lineRule="auto"/>
              <w:ind w:left="399"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Cash and cash equivalents</w:t>
            </w:r>
          </w:p>
        </w:tc>
        <w:tc>
          <w:tcPr>
            <w:tcW w:w="425" w:type="dxa"/>
            <w:shd w:val="clear" w:color="auto" w:fill="CDE0D8"/>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871" w:type="dxa"/>
            <w:shd w:val="clear" w:color="auto" w:fill="CDE0D8"/>
            <w:vAlign w:val="top"/>
          </w:tcPr>
          <w:p>
            <w:pPr>
              <w:keepNext w:val="0"/>
              <w:keepLines w:val="0"/>
              <w:widowControl/>
              <w:suppressLineNumbers w:val="0"/>
              <w:spacing w:before="0" w:beforeAutospacing="0" w:after="0" w:afterAutospacing="0" w:line="256" w:lineRule="auto"/>
              <w:ind w:left="329"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6,455.7 </w:t>
            </w:r>
          </w:p>
        </w:tc>
        <w:tc>
          <w:tcPr>
            <w:tcW w:w="394" w:type="dxa"/>
            <w:shd w:val="clear" w:color="auto" w:fill="CDE0D8"/>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805" w:type="dxa"/>
            <w:shd w:val="clear" w:color="auto" w:fill="CDE0D8"/>
            <w:vAlign w:val="top"/>
          </w:tcPr>
          <w:p>
            <w:pPr>
              <w:keepNext w:val="0"/>
              <w:keepLines w:val="0"/>
              <w:widowControl/>
              <w:suppressLineNumbers w:val="0"/>
              <w:spacing w:before="0" w:beforeAutospacing="0" w:after="0" w:afterAutospacing="0" w:line="256" w:lineRule="auto"/>
              <w:ind w:left="0" w:right="79"/>
              <w:jc w:val="righ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4,350.9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4" w:type="dxa"/>
            <w:left w:w="0" w:type="dxa"/>
            <w:bottom w:w="1" w:type="dxa"/>
            <w:right w:w="0" w:type="dxa"/>
          </w:tblCellMar>
        </w:tblPrEx>
        <w:trPr>
          <w:trHeight w:val="250" w:hRule="atLeast"/>
        </w:trPr>
        <w:tc>
          <w:tcPr>
            <w:tcW w:w="5283" w:type="dxa"/>
            <w:shd w:val="clear" w:color="auto" w:fill="FFFEFD"/>
            <w:vAlign w:val="top"/>
          </w:tcPr>
          <w:p>
            <w:pPr>
              <w:keepNext w:val="0"/>
              <w:keepLines w:val="0"/>
              <w:widowControl/>
              <w:suppressLineNumbers w:val="0"/>
              <w:spacing w:before="0" w:beforeAutospacing="0" w:after="0" w:afterAutospacing="0" w:line="256" w:lineRule="auto"/>
              <w:ind w:left="399"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Short-term investments</w:t>
            </w:r>
          </w:p>
        </w:tc>
        <w:tc>
          <w:tcPr>
            <w:tcW w:w="425" w:type="dxa"/>
            <w:shd w:val="clear" w:color="auto" w:fill="FFFEFD"/>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871" w:type="dxa"/>
            <w:shd w:val="clear" w:color="auto" w:fill="FFFEFD"/>
            <w:vAlign w:val="top"/>
          </w:tcPr>
          <w:p>
            <w:pPr>
              <w:keepNext w:val="0"/>
              <w:keepLines w:val="0"/>
              <w:widowControl/>
              <w:suppressLineNumbers w:val="0"/>
              <w:spacing w:before="0" w:beforeAutospacing="0" w:after="0" w:afterAutospacing="0" w:line="256" w:lineRule="auto"/>
              <w:ind w:left="475"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162.2 </w:t>
            </w:r>
          </w:p>
        </w:tc>
        <w:tc>
          <w:tcPr>
            <w:tcW w:w="394" w:type="dxa"/>
            <w:shd w:val="clear" w:color="auto" w:fill="FFFEFD"/>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805" w:type="dxa"/>
            <w:shd w:val="clear" w:color="auto" w:fill="FFFEFD"/>
            <w:vAlign w:val="top"/>
          </w:tcPr>
          <w:p>
            <w:pPr>
              <w:keepNext w:val="0"/>
              <w:keepLines w:val="0"/>
              <w:widowControl/>
              <w:suppressLineNumbers w:val="0"/>
              <w:spacing w:before="0" w:beforeAutospacing="0" w:after="0" w:afterAutospacing="0" w:line="256" w:lineRule="auto"/>
              <w:ind w:left="0" w:right="79"/>
              <w:jc w:val="righ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281.2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4" w:type="dxa"/>
            <w:left w:w="0" w:type="dxa"/>
            <w:bottom w:w="1" w:type="dxa"/>
            <w:right w:w="0" w:type="dxa"/>
          </w:tblCellMar>
        </w:tblPrEx>
        <w:trPr>
          <w:trHeight w:val="250" w:hRule="atLeast"/>
        </w:trPr>
        <w:tc>
          <w:tcPr>
            <w:tcW w:w="5283" w:type="dxa"/>
            <w:shd w:val="clear" w:color="auto" w:fill="CDE0D8"/>
            <w:vAlign w:val="top"/>
          </w:tcPr>
          <w:p>
            <w:pPr>
              <w:keepNext w:val="0"/>
              <w:keepLines w:val="0"/>
              <w:widowControl/>
              <w:suppressLineNumbers w:val="0"/>
              <w:spacing w:before="0" w:beforeAutospacing="0" w:after="0" w:afterAutospacing="0" w:line="256" w:lineRule="auto"/>
              <w:ind w:left="399"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Accounts receivable, net</w:t>
            </w:r>
          </w:p>
        </w:tc>
        <w:tc>
          <w:tcPr>
            <w:tcW w:w="425" w:type="dxa"/>
            <w:shd w:val="clear" w:color="auto" w:fill="CDE0D8"/>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871" w:type="dxa"/>
            <w:shd w:val="clear" w:color="auto" w:fill="CDE0D8"/>
            <w:vAlign w:val="top"/>
          </w:tcPr>
          <w:p>
            <w:pPr>
              <w:keepNext w:val="0"/>
              <w:keepLines w:val="0"/>
              <w:widowControl/>
              <w:suppressLineNumbers w:val="0"/>
              <w:spacing w:before="0" w:beforeAutospacing="0" w:after="0" w:afterAutospacing="0" w:line="256" w:lineRule="auto"/>
              <w:ind w:left="475"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940.0 </w:t>
            </w:r>
          </w:p>
        </w:tc>
        <w:tc>
          <w:tcPr>
            <w:tcW w:w="394" w:type="dxa"/>
            <w:shd w:val="clear" w:color="auto" w:fill="CDE0D8"/>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805" w:type="dxa"/>
            <w:shd w:val="clear" w:color="auto" w:fill="CDE0D8"/>
            <w:vAlign w:val="top"/>
          </w:tcPr>
          <w:p>
            <w:pPr>
              <w:keepNext w:val="0"/>
              <w:keepLines w:val="0"/>
              <w:widowControl/>
              <w:suppressLineNumbers w:val="0"/>
              <w:spacing w:before="0" w:beforeAutospacing="0" w:after="0" w:afterAutospacing="0" w:line="256" w:lineRule="auto"/>
              <w:ind w:left="0" w:right="79"/>
              <w:jc w:val="righ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883.4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4" w:type="dxa"/>
            <w:left w:w="0" w:type="dxa"/>
            <w:bottom w:w="1" w:type="dxa"/>
            <w:right w:w="0" w:type="dxa"/>
          </w:tblCellMar>
        </w:tblPrEx>
        <w:trPr>
          <w:trHeight w:val="250" w:hRule="atLeast"/>
        </w:trPr>
        <w:tc>
          <w:tcPr>
            <w:tcW w:w="5283" w:type="dxa"/>
            <w:shd w:val="clear" w:color="auto" w:fill="FFFEFD"/>
            <w:vAlign w:val="top"/>
          </w:tcPr>
          <w:p>
            <w:pPr>
              <w:keepNext w:val="0"/>
              <w:keepLines w:val="0"/>
              <w:widowControl/>
              <w:suppressLineNumbers w:val="0"/>
              <w:spacing w:before="0" w:beforeAutospacing="0" w:after="0" w:afterAutospacing="0" w:line="256" w:lineRule="auto"/>
              <w:ind w:left="399"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Inventories</w:t>
            </w:r>
          </w:p>
        </w:tc>
        <w:tc>
          <w:tcPr>
            <w:tcW w:w="425" w:type="dxa"/>
            <w:shd w:val="clear" w:color="auto" w:fill="FFFEFD"/>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871" w:type="dxa"/>
            <w:shd w:val="clear" w:color="auto" w:fill="FFFEFD"/>
            <w:vAlign w:val="top"/>
          </w:tcPr>
          <w:p>
            <w:pPr>
              <w:keepNext w:val="0"/>
              <w:keepLines w:val="0"/>
              <w:widowControl/>
              <w:suppressLineNumbers w:val="0"/>
              <w:spacing w:before="0" w:beforeAutospacing="0" w:after="0" w:afterAutospacing="0" w:line="256" w:lineRule="auto"/>
              <w:ind w:left="329"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1,603.9 </w:t>
            </w:r>
          </w:p>
        </w:tc>
        <w:tc>
          <w:tcPr>
            <w:tcW w:w="394" w:type="dxa"/>
            <w:shd w:val="clear" w:color="auto" w:fill="FFFEFD"/>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805" w:type="dxa"/>
            <w:shd w:val="clear" w:color="auto" w:fill="FFFEFD"/>
            <w:vAlign w:val="top"/>
          </w:tcPr>
          <w:p>
            <w:pPr>
              <w:keepNext w:val="0"/>
              <w:keepLines w:val="0"/>
              <w:widowControl/>
              <w:suppressLineNumbers w:val="0"/>
              <w:spacing w:before="0" w:beforeAutospacing="0" w:after="0" w:afterAutospacing="0" w:line="256" w:lineRule="auto"/>
              <w:ind w:left="0" w:right="79"/>
              <w:jc w:val="righ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1,551.4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4" w:type="dxa"/>
            <w:left w:w="0" w:type="dxa"/>
            <w:bottom w:w="1" w:type="dxa"/>
            <w:right w:w="0" w:type="dxa"/>
          </w:tblCellMar>
        </w:tblPrEx>
        <w:trPr>
          <w:trHeight w:val="250" w:hRule="atLeast"/>
        </w:trPr>
        <w:tc>
          <w:tcPr>
            <w:tcW w:w="5283" w:type="dxa"/>
            <w:shd w:val="clear" w:color="auto" w:fill="CDE0D8"/>
            <w:vAlign w:val="top"/>
          </w:tcPr>
          <w:p>
            <w:pPr>
              <w:keepNext w:val="0"/>
              <w:keepLines w:val="0"/>
              <w:widowControl/>
              <w:suppressLineNumbers w:val="0"/>
              <w:spacing w:before="0" w:beforeAutospacing="0" w:after="0" w:afterAutospacing="0" w:line="256" w:lineRule="auto"/>
              <w:ind w:left="399"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Prepaid expenses and other current assets</w:t>
            </w:r>
          </w:p>
        </w:tc>
        <w:tc>
          <w:tcPr>
            <w:tcW w:w="425" w:type="dxa"/>
            <w:tcBorders>
              <w:top w:val="nil"/>
              <w:left w:val="nil"/>
              <w:bottom w:val="single" w:color="181717" w:sz="8" w:space="0"/>
              <w:right w:val="nil"/>
            </w:tcBorders>
            <w:shd w:val="clear" w:color="auto" w:fill="CDE0D8"/>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871" w:type="dxa"/>
            <w:tcBorders>
              <w:top w:val="nil"/>
              <w:left w:val="nil"/>
              <w:bottom w:val="single" w:color="181717" w:sz="8" w:space="0"/>
              <w:right w:val="nil"/>
            </w:tcBorders>
            <w:shd w:val="clear" w:color="auto" w:fill="CDE0D8"/>
            <w:vAlign w:val="top"/>
          </w:tcPr>
          <w:p>
            <w:pPr>
              <w:keepNext w:val="0"/>
              <w:keepLines w:val="0"/>
              <w:widowControl/>
              <w:suppressLineNumbers w:val="0"/>
              <w:spacing w:before="0" w:beforeAutospacing="0" w:after="0" w:afterAutospacing="0" w:line="256" w:lineRule="auto"/>
              <w:ind w:left="475"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594.6 </w:t>
            </w:r>
          </w:p>
        </w:tc>
        <w:tc>
          <w:tcPr>
            <w:tcW w:w="394" w:type="dxa"/>
            <w:tcBorders>
              <w:top w:val="nil"/>
              <w:left w:val="nil"/>
              <w:bottom w:val="single" w:color="181717" w:sz="8" w:space="0"/>
              <w:right w:val="nil"/>
            </w:tcBorders>
            <w:shd w:val="clear" w:color="auto" w:fill="CDE0D8"/>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805" w:type="dxa"/>
            <w:tcBorders>
              <w:top w:val="nil"/>
              <w:left w:val="nil"/>
              <w:bottom w:val="single" w:color="181717" w:sz="8" w:space="0"/>
              <w:right w:val="nil"/>
            </w:tcBorders>
            <w:shd w:val="clear" w:color="auto" w:fill="CDE0D8"/>
            <w:vAlign w:val="top"/>
          </w:tcPr>
          <w:p>
            <w:pPr>
              <w:keepNext w:val="0"/>
              <w:keepLines w:val="0"/>
              <w:widowControl/>
              <w:suppressLineNumbers w:val="0"/>
              <w:spacing w:before="0" w:beforeAutospacing="0" w:after="0" w:afterAutospacing="0" w:line="256" w:lineRule="auto"/>
              <w:ind w:left="0" w:right="79"/>
              <w:jc w:val="righ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739.5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4" w:type="dxa"/>
            <w:left w:w="0" w:type="dxa"/>
            <w:bottom w:w="1" w:type="dxa"/>
            <w:right w:w="0" w:type="dxa"/>
          </w:tblCellMar>
        </w:tblPrEx>
        <w:trPr>
          <w:trHeight w:val="285" w:hRule="atLeast"/>
        </w:trPr>
        <w:tc>
          <w:tcPr>
            <w:tcW w:w="5283" w:type="dxa"/>
            <w:shd w:val="clear" w:color="auto" w:fill="FFFEFD"/>
            <w:vAlign w:val="top"/>
          </w:tcPr>
          <w:p>
            <w:pPr>
              <w:keepNext w:val="0"/>
              <w:keepLines w:val="0"/>
              <w:widowControl/>
              <w:suppressLineNumbers w:val="0"/>
              <w:spacing w:before="0" w:beforeAutospacing="0" w:after="0" w:afterAutospacing="0" w:line="256" w:lineRule="auto"/>
              <w:ind w:left="748"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Total current assets</w:t>
            </w:r>
          </w:p>
        </w:tc>
        <w:tc>
          <w:tcPr>
            <w:tcW w:w="425" w:type="dxa"/>
            <w:tcBorders>
              <w:top w:val="single" w:color="181717" w:sz="8" w:space="0"/>
              <w:left w:val="nil"/>
              <w:bottom w:val="nil"/>
              <w:right w:val="nil"/>
            </w:tcBorders>
            <w:shd w:val="clear" w:color="auto" w:fill="FFFEFD"/>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871" w:type="dxa"/>
            <w:tcBorders>
              <w:top w:val="single" w:color="181717" w:sz="8" w:space="0"/>
              <w:left w:val="nil"/>
              <w:bottom w:val="nil"/>
              <w:right w:val="nil"/>
            </w:tcBorders>
            <w:shd w:val="clear" w:color="auto" w:fill="FFFEFD"/>
            <w:vAlign w:val="top"/>
          </w:tcPr>
          <w:p>
            <w:pPr>
              <w:keepNext w:val="0"/>
              <w:keepLines w:val="0"/>
              <w:widowControl/>
              <w:suppressLineNumbers w:val="0"/>
              <w:spacing w:before="0" w:beforeAutospacing="0" w:after="0" w:afterAutospacing="0" w:line="256" w:lineRule="auto"/>
              <w:ind w:left="329"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9,756.4 </w:t>
            </w:r>
          </w:p>
        </w:tc>
        <w:tc>
          <w:tcPr>
            <w:tcW w:w="394" w:type="dxa"/>
            <w:tcBorders>
              <w:top w:val="single" w:color="181717" w:sz="8" w:space="0"/>
              <w:left w:val="nil"/>
              <w:bottom w:val="nil"/>
              <w:right w:val="nil"/>
            </w:tcBorders>
            <w:shd w:val="clear" w:color="auto" w:fill="FFFEFD"/>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805" w:type="dxa"/>
            <w:tcBorders>
              <w:top w:val="single" w:color="181717" w:sz="8" w:space="0"/>
              <w:left w:val="nil"/>
              <w:bottom w:val="nil"/>
              <w:right w:val="nil"/>
            </w:tcBorders>
            <w:shd w:val="clear" w:color="auto" w:fill="FFFEFD"/>
            <w:vAlign w:val="top"/>
          </w:tcPr>
          <w:p>
            <w:pPr>
              <w:keepNext w:val="0"/>
              <w:keepLines w:val="0"/>
              <w:widowControl/>
              <w:suppressLineNumbers w:val="0"/>
              <w:spacing w:before="0" w:beforeAutospacing="0" w:after="0" w:afterAutospacing="0" w:line="256" w:lineRule="auto"/>
              <w:ind w:left="0" w:right="79"/>
              <w:jc w:val="righ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7,806.4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4" w:type="dxa"/>
            <w:left w:w="0" w:type="dxa"/>
            <w:bottom w:w="1" w:type="dxa"/>
            <w:right w:w="0" w:type="dxa"/>
          </w:tblCellMar>
        </w:tblPrEx>
        <w:trPr>
          <w:trHeight w:val="250" w:hRule="atLeast"/>
        </w:trPr>
        <w:tc>
          <w:tcPr>
            <w:tcW w:w="5283" w:type="dxa"/>
            <w:shd w:val="clear" w:color="auto" w:fill="CDE0D8"/>
            <w:vAlign w:val="top"/>
          </w:tcPr>
          <w:p>
            <w:pPr>
              <w:keepNext w:val="0"/>
              <w:keepLines w:val="0"/>
              <w:widowControl/>
              <w:suppressLineNumbers w:val="0"/>
              <w:spacing w:before="0" w:beforeAutospacing="0" w:after="0" w:afterAutospacing="0" w:line="256" w:lineRule="auto"/>
              <w:ind w:left="51"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Long-term investments</w:t>
            </w:r>
          </w:p>
        </w:tc>
        <w:tc>
          <w:tcPr>
            <w:tcW w:w="425" w:type="dxa"/>
            <w:shd w:val="clear" w:color="auto" w:fill="CDE0D8"/>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871" w:type="dxa"/>
            <w:shd w:val="clear" w:color="auto" w:fill="CDE0D8"/>
            <w:vAlign w:val="top"/>
          </w:tcPr>
          <w:p>
            <w:pPr>
              <w:keepNext w:val="0"/>
              <w:keepLines w:val="0"/>
              <w:widowControl/>
              <w:suppressLineNumbers w:val="0"/>
              <w:spacing w:before="0" w:beforeAutospacing="0" w:after="0" w:afterAutospacing="0" w:line="256" w:lineRule="auto"/>
              <w:ind w:left="475"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281.7 </w:t>
            </w:r>
          </w:p>
        </w:tc>
        <w:tc>
          <w:tcPr>
            <w:tcW w:w="394" w:type="dxa"/>
            <w:shd w:val="clear" w:color="auto" w:fill="CDE0D8"/>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805" w:type="dxa"/>
            <w:shd w:val="clear" w:color="auto" w:fill="CDE0D8"/>
            <w:vAlign w:val="top"/>
          </w:tcPr>
          <w:p>
            <w:pPr>
              <w:keepNext w:val="0"/>
              <w:keepLines w:val="0"/>
              <w:widowControl/>
              <w:suppressLineNumbers w:val="0"/>
              <w:spacing w:before="0" w:beforeAutospacing="0" w:after="0" w:afterAutospacing="0" w:line="256" w:lineRule="auto"/>
              <w:ind w:left="0" w:right="79"/>
              <w:jc w:val="righ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206.1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4" w:type="dxa"/>
            <w:left w:w="0" w:type="dxa"/>
            <w:bottom w:w="1" w:type="dxa"/>
            <w:right w:w="0" w:type="dxa"/>
          </w:tblCellMar>
        </w:tblPrEx>
        <w:trPr>
          <w:trHeight w:val="250" w:hRule="atLeast"/>
        </w:trPr>
        <w:tc>
          <w:tcPr>
            <w:tcW w:w="5283" w:type="dxa"/>
            <w:shd w:val="clear" w:color="auto" w:fill="FFFEFD"/>
            <w:vAlign w:val="top"/>
          </w:tcPr>
          <w:p>
            <w:pPr>
              <w:keepNext w:val="0"/>
              <w:keepLines w:val="0"/>
              <w:widowControl/>
              <w:suppressLineNumbers w:val="0"/>
              <w:spacing w:before="0" w:beforeAutospacing="0" w:after="0" w:afterAutospacing="0" w:line="256" w:lineRule="auto"/>
              <w:ind w:left="51"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Equity investments</w:t>
            </w:r>
          </w:p>
        </w:tc>
        <w:tc>
          <w:tcPr>
            <w:tcW w:w="425" w:type="dxa"/>
            <w:shd w:val="clear" w:color="auto" w:fill="FFFEFD"/>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871" w:type="dxa"/>
            <w:shd w:val="clear" w:color="auto" w:fill="FFFEFD"/>
            <w:vAlign w:val="top"/>
          </w:tcPr>
          <w:p>
            <w:pPr>
              <w:keepNext w:val="0"/>
              <w:keepLines w:val="0"/>
              <w:widowControl/>
              <w:suppressLineNumbers w:val="0"/>
              <w:spacing w:before="0" w:beforeAutospacing="0" w:after="0" w:afterAutospacing="0" w:line="256" w:lineRule="auto"/>
              <w:ind w:left="475"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268.5 </w:t>
            </w:r>
          </w:p>
        </w:tc>
        <w:tc>
          <w:tcPr>
            <w:tcW w:w="394" w:type="dxa"/>
            <w:shd w:val="clear" w:color="auto" w:fill="FFFEFD"/>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805" w:type="dxa"/>
            <w:shd w:val="clear" w:color="auto" w:fill="FFFEFD"/>
            <w:vAlign w:val="top"/>
          </w:tcPr>
          <w:p>
            <w:pPr>
              <w:keepNext w:val="0"/>
              <w:keepLines w:val="0"/>
              <w:widowControl/>
              <w:suppressLineNumbers w:val="0"/>
              <w:spacing w:before="0" w:beforeAutospacing="0" w:after="0" w:afterAutospacing="0" w:line="256" w:lineRule="auto"/>
              <w:ind w:left="0" w:right="79"/>
              <w:jc w:val="righ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478.7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4" w:type="dxa"/>
            <w:left w:w="0" w:type="dxa"/>
            <w:bottom w:w="1" w:type="dxa"/>
            <w:right w:w="0" w:type="dxa"/>
          </w:tblCellMar>
        </w:tblPrEx>
        <w:trPr>
          <w:trHeight w:val="250" w:hRule="atLeast"/>
        </w:trPr>
        <w:tc>
          <w:tcPr>
            <w:tcW w:w="5283" w:type="dxa"/>
            <w:shd w:val="clear" w:color="auto" w:fill="CDE0D8"/>
            <w:vAlign w:val="top"/>
          </w:tcPr>
          <w:p>
            <w:pPr>
              <w:keepNext w:val="0"/>
              <w:keepLines w:val="0"/>
              <w:widowControl/>
              <w:suppressLineNumbers w:val="0"/>
              <w:spacing w:before="0" w:beforeAutospacing="0" w:after="0" w:afterAutospacing="0" w:line="256" w:lineRule="auto"/>
              <w:ind w:left="51"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Property, plant and equipment, net</w:t>
            </w:r>
          </w:p>
        </w:tc>
        <w:tc>
          <w:tcPr>
            <w:tcW w:w="425" w:type="dxa"/>
            <w:shd w:val="clear" w:color="auto" w:fill="CDE0D8"/>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871" w:type="dxa"/>
            <w:shd w:val="clear" w:color="auto" w:fill="CDE0D8"/>
            <w:vAlign w:val="top"/>
          </w:tcPr>
          <w:p>
            <w:pPr>
              <w:keepNext w:val="0"/>
              <w:keepLines w:val="0"/>
              <w:widowControl/>
              <w:suppressLineNumbers w:val="0"/>
              <w:spacing w:before="0" w:beforeAutospacing="0" w:after="0" w:afterAutospacing="0" w:line="256" w:lineRule="auto"/>
              <w:ind w:left="329"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6,369.5 </w:t>
            </w:r>
          </w:p>
        </w:tc>
        <w:tc>
          <w:tcPr>
            <w:tcW w:w="394" w:type="dxa"/>
            <w:shd w:val="clear" w:color="auto" w:fill="CDE0D8"/>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805" w:type="dxa"/>
            <w:shd w:val="clear" w:color="auto" w:fill="CDE0D8"/>
            <w:vAlign w:val="top"/>
          </w:tcPr>
          <w:p>
            <w:pPr>
              <w:keepNext w:val="0"/>
              <w:keepLines w:val="0"/>
              <w:widowControl/>
              <w:suppressLineNumbers w:val="0"/>
              <w:spacing w:before="0" w:beforeAutospacing="0" w:after="0" w:afterAutospacing="0" w:line="256" w:lineRule="auto"/>
              <w:ind w:left="0" w:right="79"/>
              <w:jc w:val="righ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6,241.4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4" w:type="dxa"/>
            <w:left w:w="0" w:type="dxa"/>
            <w:bottom w:w="1" w:type="dxa"/>
            <w:right w:w="0" w:type="dxa"/>
          </w:tblCellMar>
        </w:tblPrEx>
        <w:trPr>
          <w:trHeight w:val="250" w:hRule="atLeast"/>
        </w:trPr>
        <w:tc>
          <w:tcPr>
            <w:tcW w:w="5283" w:type="dxa"/>
            <w:shd w:val="clear" w:color="auto" w:fill="FFFEFD"/>
            <w:vAlign w:val="top"/>
          </w:tcPr>
          <w:p>
            <w:pPr>
              <w:keepNext w:val="0"/>
              <w:keepLines w:val="0"/>
              <w:widowControl/>
              <w:suppressLineNumbers w:val="0"/>
              <w:spacing w:before="0" w:beforeAutospacing="0" w:after="0" w:afterAutospacing="0" w:line="256" w:lineRule="auto"/>
              <w:ind w:left="51"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Operating lease, right-of-use asset</w:t>
            </w:r>
          </w:p>
        </w:tc>
        <w:tc>
          <w:tcPr>
            <w:tcW w:w="425" w:type="dxa"/>
            <w:shd w:val="clear" w:color="auto" w:fill="FFFEFD"/>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871" w:type="dxa"/>
            <w:shd w:val="clear" w:color="auto" w:fill="FFFEFD"/>
            <w:vAlign w:val="top"/>
          </w:tcPr>
          <w:p>
            <w:pPr>
              <w:keepNext w:val="0"/>
              <w:keepLines w:val="0"/>
              <w:widowControl/>
              <w:suppressLineNumbers w:val="0"/>
              <w:spacing w:before="0" w:beforeAutospacing="0" w:after="0" w:afterAutospacing="0" w:line="256" w:lineRule="auto"/>
              <w:ind w:left="329"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8,236.0 </w:t>
            </w:r>
          </w:p>
        </w:tc>
        <w:tc>
          <w:tcPr>
            <w:tcW w:w="394" w:type="dxa"/>
            <w:shd w:val="clear" w:color="auto" w:fill="FFFEFD"/>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805" w:type="dxa"/>
            <w:shd w:val="clear" w:color="auto" w:fill="FFFEFD"/>
            <w:vAlign w:val="top"/>
          </w:tcPr>
          <w:p>
            <w:pPr>
              <w:keepNext w:val="0"/>
              <w:keepLines w:val="0"/>
              <w:widowControl/>
              <w:suppressLineNumbers w:val="0"/>
              <w:spacing w:before="0" w:beforeAutospacing="0" w:after="0" w:afterAutospacing="0" w:line="256" w:lineRule="auto"/>
              <w:ind w:left="0" w:right="79"/>
              <w:jc w:val="righ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8,134.1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4" w:type="dxa"/>
            <w:left w:w="0" w:type="dxa"/>
            <w:bottom w:w="1" w:type="dxa"/>
            <w:right w:w="0" w:type="dxa"/>
          </w:tblCellMar>
        </w:tblPrEx>
        <w:trPr>
          <w:trHeight w:val="250" w:hRule="atLeast"/>
        </w:trPr>
        <w:tc>
          <w:tcPr>
            <w:tcW w:w="5283" w:type="dxa"/>
            <w:shd w:val="clear" w:color="auto" w:fill="CDE0D8"/>
            <w:vAlign w:val="top"/>
          </w:tcPr>
          <w:p>
            <w:pPr>
              <w:keepNext w:val="0"/>
              <w:keepLines w:val="0"/>
              <w:widowControl/>
              <w:suppressLineNumbers w:val="0"/>
              <w:spacing w:before="0" w:beforeAutospacing="0" w:after="0" w:afterAutospacing="0" w:line="256" w:lineRule="auto"/>
              <w:ind w:left="51"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Deferred income taxes, net</w:t>
            </w:r>
          </w:p>
        </w:tc>
        <w:tc>
          <w:tcPr>
            <w:tcW w:w="425" w:type="dxa"/>
            <w:shd w:val="clear" w:color="auto" w:fill="CDE0D8"/>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871" w:type="dxa"/>
            <w:shd w:val="clear" w:color="auto" w:fill="CDE0D8"/>
            <w:vAlign w:val="top"/>
          </w:tcPr>
          <w:p>
            <w:pPr>
              <w:keepNext w:val="0"/>
              <w:keepLines w:val="0"/>
              <w:widowControl/>
              <w:suppressLineNumbers w:val="0"/>
              <w:spacing w:before="0" w:beforeAutospacing="0" w:after="0" w:afterAutospacing="0" w:line="256" w:lineRule="auto"/>
              <w:ind w:left="329"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1,874.8 </w:t>
            </w:r>
          </w:p>
        </w:tc>
        <w:tc>
          <w:tcPr>
            <w:tcW w:w="394" w:type="dxa"/>
            <w:shd w:val="clear" w:color="auto" w:fill="CDE0D8"/>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805" w:type="dxa"/>
            <w:shd w:val="clear" w:color="auto" w:fill="CDE0D8"/>
            <w:vAlign w:val="top"/>
          </w:tcPr>
          <w:p>
            <w:pPr>
              <w:keepNext w:val="0"/>
              <w:keepLines w:val="0"/>
              <w:widowControl/>
              <w:suppressLineNumbers w:val="0"/>
              <w:spacing w:before="0" w:beforeAutospacing="0" w:after="0" w:afterAutospacing="0" w:line="256" w:lineRule="auto"/>
              <w:ind w:left="0" w:right="79"/>
              <w:jc w:val="righ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1,789.9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4" w:type="dxa"/>
            <w:left w:w="0" w:type="dxa"/>
            <w:bottom w:w="1" w:type="dxa"/>
            <w:right w:w="0" w:type="dxa"/>
          </w:tblCellMar>
        </w:tblPrEx>
        <w:trPr>
          <w:trHeight w:val="250" w:hRule="atLeast"/>
        </w:trPr>
        <w:tc>
          <w:tcPr>
            <w:tcW w:w="5283" w:type="dxa"/>
            <w:shd w:val="clear" w:color="auto" w:fill="FFFEFD"/>
            <w:vAlign w:val="top"/>
          </w:tcPr>
          <w:p>
            <w:pPr>
              <w:keepNext w:val="0"/>
              <w:keepLines w:val="0"/>
              <w:widowControl/>
              <w:suppressLineNumbers w:val="0"/>
              <w:spacing w:before="0" w:beforeAutospacing="0" w:after="0" w:afterAutospacing="0" w:line="256" w:lineRule="auto"/>
              <w:ind w:left="51"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Other long-term assets</w:t>
            </w:r>
          </w:p>
        </w:tc>
        <w:tc>
          <w:tcPr>
            <w:tcW w:w="425" w:type="dxa"/>
            <w:shd w:val="clear" w:color="auto" w:fill="FFFEFD"/>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871" w:type="dxa"/>
            <w:shd w:val="clear" w:color="auto" w:fill="FFFEFD"/>
            <w:vAlign w:val="top"/>
          </w:tcPr>
          <w:p>
            <w:pPr>
              <w:keepNext w:val="0"/>
              <w:keepLines w:val="0"/>
              <w:widowControl/>
              <w:suppressLineNumbers w:val="0"/>
              <w:spacing w:before="0" w:beforeAutospacing="0" w:after="0" w:afterAutospacing="0" w:line="256" w:lineRule="auto"/>
              <w:ind w:left="475"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578.5 </w:t>
            </w:r>
          </w:p>
        </w:tc>
        <w:tc>
          <w:tcPr>
            <w:tcW w:w="394" w:type="dxa"/>
            <w:shd w:val="clear" w:color="auto" w:fill="FFFEFD"/>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805" w:type="dxa"/>
            <w:shd w:val="clear" w:color="auto" w:fill="FFFEFD"/>
            <w:vAlign w:val="top"/>
          </w:tcPr>
          <w:p>
            <w:pPr>
              <w:keepNext w:val="0"/>
              <w:keepLines w:val="0"/>
              <w:widowControl/>
              <w:suppressLineNumbers w:val="0"/>
              <w:spacing w:before="0" w:beforeAutospacing="0" w:after="0" w:afterAutospacing="0" w:line="256" w:lineRule="auto"/>
              <w:ind w:left="0" w:right="79"/>
              <w:jc w:val="righ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568.6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4" w:type="dxa"/>
            <w:left w:w="0" w:type="dxa"/>
            <w:bottom w:w="1" w:type="dxa"/>
            <w:right w:w="0" w:type="dxa"/>
          </w:tblCellMar>
        </w:tblPrEx>
        <w:trPr>
          <w:trHeight w:val="250" w:hRule="atLeast"/>
        </w:trPr>
        <w:tc>
          <w:tcPr>
            <w:tcW w:w="5283" w:type="dxa"/>
            <w:shd w:val="clear" w:color="auto" w:fill="CDE0D8"/>
            <w:vAlign w:val="top"/>
          </w:tcPr>
          <w:p>
            <w:pPr>
              <w:keepNext w:val="0"/>
              <w:keepLines w:val="0"/>
              <w:widowControl/>
              <w:suppressLineNumbers w:val="0"/>
              <w:spacing w:before="0" w:beforeAutospacing="0" w:after="0" w:afterAutospacing="0" w:line="256" w:lineRule="auto"/>
              <w:ind w:left="51"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Other intangible assets</w:t>
            </w:r>
          </w:p>
        </w:tc>
        <w:tc>
          <w:tcPr>
            <w:tcW w:w="425" w:type="dxa"/>
            <w:shd w:val="clear" w:color="auto" w:fill="CDE0D8"/>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871" w:type="dxa"/>
            <w:shd w:val="clear" w:color="auto" w:fill="CDE0D8"/>
            <w:vAlign w:val="top"/>
          </w:tcPr>
          <w:p>
            <w:pPr>
              <w:keepNext w:val="0"/>
              <w:keepLines w:val="0"/>
              <w:widowControl/>
              <w:suppressLineNumbers w:val="0"/>
              <w:spacing w:before="0" w:beforeAutospacing="0" w:after="0" w:afterAutospacing="0" w:line="256" w:lineRule="auto"/>
              <w:ind w:left="475"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349.9 </w:t>
            </w:r>
          </w:p>
        </w:tc>
        <w:tc>
          <w:tcPr>
            <w:tcW w:w="394" w:type="dxa"/>
            <w:shd w:val="clear" w:color="auto" w:fill="CDE0D8"/>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805" w:type="dxa"/>
            <w:shd w:val="clear" w:color="auto" w:fill="CDE0D8"/>
            <w:vAlign w:val="top"/>
          </w:tcPr>
          <w:p>
            <w:pPr>
              <w:keepNext w:val="0"/>
              <w:keepLines w:val="0"/>
              <w:widowControl/>
              <w:suppressLineNumbers w:val="0"/>
              <w:spacing w:before="0" w:beforeAutospacing="0" w:after="0" w:afterAutospacing="0" w:line="256" w:lineRule="auto"/>
              <w:ind w:left="0" w:right="79"/>
              <w:jc w:val="righ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552.1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4" w:type="dxa"/>
            <w:left w:w="0" w:type="dxa"/>
            <w:bottom w:w="1" w:type="dxa"/>
            <w:right w:w="0" w:type="dxa"/>
          </w:tblCellMar>
        </w:tblPrEx>
        <w:trPr>
          <w:trHeight w:val="250" w:hRule="atLeast"/>
        </w:trPr>
        <w:tc>
          <w:tcPr>
            <w:tcW w:w="5283" w:type="dxa"/>
            <w:shd w:val="clear" w:color="auto" w:fill="FFFEFD"/>
            <w:vAlign w:val="top"/>
          </w:tcPr>
          <w:p>
            <w:pPr>
              <w:keepNext w:val="0"/>
              <w:keepLines w:val="0"/>
              <w:widowControl/>
              <w:suppressLineNumbers w:val="0"/>
              <w:spacing w:before="0" w:beforeAutospacing="0" w:after="0" w:afterAutospacing="0" w:line="256" w:lineRule="auto"/>
              <w:ind w:left="51"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Goodwill</w:t>
            </w:r>
          </w:p>
        </w:tc>
        <w:tc>
          <w:tcPr>
            <w:tcW w:w="425" w:type="dxa"/>
            <w:tcBorders>
              <w:top w:val="nil"/>
              <w:left w:val="nil"/>
              <w:bottom w:val="single" w:color="181717" w:sz="8" w:space="0"/>
              <w:right w:val="nil"/>
            </w:tcBorders>
            <w:shd w:val="clear" w:color="auto" w:fill="FFFEFD"/>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871" w:type="dxa"/>
            <w:tcBorders>
              <w:top w:val="nil"/>
              <w:left w:val="nil"/>
              <w:bottom w:val="single" w:color="181717" w:sz="8" w:space="0"/>
              <w:right w:val="nil"/>
            </w:tcBorders>
            <w:shd w:val="clear" w:color="auto" w:fill="FFFEFD"/>
            <w:vAlign w:val="top"/>
          </w:tcPr>
          <w:p>
            <w:pPr>
              <w:keepNext w:val="0"/>
              <w:keepLines w:val="0"/>
              <w:widowControl/>
              <w:suppressLineNumbers w:val="0"/>
              <w:spacing w:before="0" w:beforeAutospacing="0" w:after="0" w:afterAutospacing="0" w:line="256" w:lineRule="auto"/>
              <w:ind w:left="329"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3,677.3 </w:t>
            </w:r>
          </w:p>
        </w:tc>
        <w:tc>
          <w:tcPr>
            <w:tcW w:w="394" w:type="dxa"/>
            <w:tcBorders>
              <w:top w:val="nil"/>
              <w:left w:val="nil"/>
              <w:bottom w:val="single" w:color="181717" w:sz="8" w:space="0"/>
              <w:right w:val="nil"/>
            </w:tcBorders>
            <w:shd w:val="clear" w:color="auto" w:fill="FFFEFD"/>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805" w:type="dxa"/>
            <w:tcBorders>
              <w:top w:val="nil"/>
              <w:left w:val="nil"/>
              <w:bottom w:val="single" w:color="181717" w:sz="8" w:space="0"/>
              <w:right w:val="nil"/>
            </w:tcBorders>
            <w:shd w:val="clear" w:color="auto" w:fill="FFFEFD"/>
            <w:vAlign w:val="top"/>
          </w:tcPr>
          <w:p>
            <w:pPr>
              <w:keepNext w:val="0"/>
              <w:keepLines w:val="0"/>
              <w:widowControl/>
              <w:suppressLineNumbers w:val="0"/>
              <w:spacing w:before="0" w:beforeAutospacing="0" w:after="0" w:afterAutospacing="0" w:line="256" w:lineRule="auto"/>
              <w:ind w:left="0" w:right="79"/>
              <w:jc w:val="righ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3,597.2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4" w:type="dxa"/>
            <w:left w:w="0" w:type="dxa"/>
            <w:bottom w:w="1" w:type="dxa"/>
            <w:right w:w="0" w:type="dxa"/>
          </w:tblCellMar>
        </w:tblPrEx>
        <w:trPr>
          <w:trHeight w:val="296" w:hRule="atLeast"/>
        </w:trPr>
        <w:tc>
          <w:tcPr>
            <w:tcW w:w="5283" w:type="dxa"/>
            <w:shd w:val="clear" w:color="auto" w:fill="CDE0D8"/>
            <w:vAlign w:val="top"/>
          </w:tcPr>
          <w:p>
            <w:pPr>
              <w:keepNext w:val="0"/>
              <w:keepLines w:val="0"/>
              <w:widowControl/>
              <w:suppressLineNumbers w:val="0"/>
              <w:spacing w:before="0" w:beforeAutospacing="0" w:after="0" w:afterAutospacing="0" w:line="256" w:lineRule="auto"/>
              <w:ind w:left="51"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TOTAL ASSETS</w:t>
            </w:r>
          </w:p>
        </w:tc>
        <w:tc>
          <w:tcPr>
            <w:tcW w:w="425" w:type="dxa"/>
            <w:tcBorders>
              <w:top w:val="single" w:color="181717" w:sz="8" w:space="0"/>
              <w:left w:val="nil"/>
              <w:bottom w:val="single" w:color="181717" w:sz="8" w:space="0"/>
              <w:right w:val="nil"/>
            </w:tcBorders>
            <w:shd w:val="clear" w:color="auto" w:fill="CDE0D8"/>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u w:val="single" w:color="181717"/>
                <w:lang w:val="en-US" w:eastAsia="zh-CN" w:bidi="ar"/>
              </w:rPr>
              <w:t xml:space="preserve">$ </w:t>
            </w:r>
          </w:p>
        </w:tc>
        <w:tc>
          <w:tcPr>
            <w:tcW w:w="871" w:type="dxa"/>
            <w:tcBorders>
              <w:top w:val="single" w:color="181717" w:sz="8" w:space="0"/>
              <w:left w:val="nil"/>
              <w:bottom w:val="single" w:color="181717" w:sz="8" w:space="0"/>
              <w:right w:val="nil"/>
            </w:tcBorders>
            <w:shd w:val="clear" w:color="auto" w:fill="CDE0D8"/>
            <w:vAlign w:val="top"/>
          </w:tcPr>
          <w:p>
            <w:pPr>
              <w:keepNext w:val="0"/>
              <w:keepLines w:val="0"/>
              <w:widowControl/>
              <w:suppressLineNumbers w:val="0"/>
              <w:spacing w:before="0" w:beforeAutospacing="0" w:after="0" w:afterAutospacing="0" w:line="256" w:lineRule="auto"/>
              <w:ind w:left="30" w:right="0"/>
              <w:jc w:val="center"/>
              <w:rPr>
                <w:rFonts w:hint="eastAsia"/>
                <w:lang w:val="en-US"/>
              </w:rPr>
            </w:pPr>
            <w:r>
              <w:rPr>
                <w:rFonts w:hint="default" w:ascii="Times New Roman" w:hAnsi="Times New Roman" w:eastAsia="Times New Roman" w:cs="Times New Roman"/>
                <w:snapToGrid w:val="0"/>
                <w:color w:val="000000"/>
                <w:kern w:val="2"/>
                <w:sz w:val="19"/>
                <w:szCs w:val="22"/>
                <w:u w:val="single" w:color="181717"/>
                <w:lang w:val="en-US" w:eastAsia="zh-CN" w:bidi="ar"/>
              </w:rPr>
              <w:t xml:space="preserve">31,392.6 </w:t>
            </w:r>
          </w:p>
        </w:tc>
        <w:tc>
          <w:tcPr>
            <w:tcW w:w="394" w:type="dxa"/>
            <w:tcBorders>
              <w:top w:val="single" w:color="181717" w:sz="8" w:space="0"/>
              <w:left w:val="nil"/>
              <w:bottom w:val="single" w:color="181717" w:sz="8" w:space="0"/>
              <w:right w:val="nil"/>
            </w:tcBorders>
            <w:shd w:val="clear" w:color="auto" w:fill="CDE0D8"/>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u w:val="single" w:color="181717"/>
                <w:lang w:val="en-US" w:eastAsia="zh-CN" w:bidi="ar"/>
              </w:rPr>
              <w:t xml:space="preserve">$ </w:t>
            </w:r>
          </w:p>
        </w:tc>
        <w:tc>
          <w:tcPr>
            <w:tcW w:w="805" w:type="dxa"/>
            <w:tcBorders>
              <w:top w:val="single" w:color="181717" w:sz="8" w:space="0"/>
              <w:left w:val="nil"/>
              <w:bottom w:val="single" w:color="181717" w:sz="8" w:space="0"/>
              <w:right w:val="nil"/>
            </w:tcBorders>
            <w:shd w:val="clear" w:color="auto" w:fill="CDE0D8"/>
            <w:vAlign w:val="top"/>
          </w:tcPr>
          <w:p>
            <w:pPr>
              <w:keepNext w:val="0"/>
              <w:keepLines w:val="0"/>
              <w:widowControl/>
              <w:suppressLineNumbers w:val="0"/>
              <w:spacing w:before="0" w:beforeAutospacing="0" w:after="0" w:afterAutospacing="0" w:line="256" w:lineRule="auto"/>
              <w:ind w:left="0" w:right="79"/>
              <w:jc w:val="right"/>
              <w:rPr>
                <w:rFonts w:hint="eastAsia"/>
                <w:lang w:val="en-US"/>
              </w:rPr>
            </w:pPr>
            <w:r>
              <w:rPr>
                <w:rFonts w:hint="default" w:ascii="Times New Roman" w:hAnsi="Times New Roman" w:eastAsia="Times New Roman" w:cs="Times New Roman"/>
                <w:snapToGrid w:val="0"/>
                <w:color w:val="000000"/>
                <w:kern w:val="2"/>
                <w:sz w:val="19"/>
                <w:szCs w:val="22"/>
                <w:u w:val="single" w:color="181717"/>
                <w:lang w:val="en-US" w:eastAsia="zh-CN" w:bidi="ar"/>
              </w:rPr>
              <w:t xml:space="preserve">29,374.5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4" w:type="dxa"/>
            <w:left w:w="0" w:type="dxa"/>
            <w:bottom w:w="1" w:type="dxa"/>
            <w:right w:w="0" w:type="dxa"/>
          </w:tblCellMar>
        </w:tblPrEx>
        <w:trPr>
          <w:trHeight w:val="409" w:hRule="atLeast"/>
        </w:trPr>
        <w:tc>
          <w:tcPr>
            <w:tcW w:w="5283" w:type="dxa"/>
            <w:shd w:val="clear" w:color="auto" w:fill="FFFEFD"/>
            <w:vAlign w:val="top"/>
          </w:tcPr>
          <w:p>
            <w:pPr>
              <w:keepNext w:val="0"/>
              <w:keepLines w:val="0"/>
              <w:widowControl/>
              <w:suppressLineNumbers w:val="0"/>
              <w:spacing w:before="0" w:beforeAutospacing="0" w:after="0" w:afterAutospacing="0" w:line="256" w:lineRule="auto"/>
              <w:ind w:left="0" w:right="51"/>
              <w:jc w:val="center"/>
              <w:rPr>
                <w:rFonts w:hint="eastAsia"/>
                <w:lang w:val="en-US"/>
              </w:rPr>
            </w:pPr>
            <w:r>
              <w:rPr>
                <w:rFonts w:hint="default" w:ascii="Times New Roman" w:hAnsi="Times New Roman" w:eastAsia="Times New Roman" w:cs="Times New Roman"/>
                <w:b/>
                <w:bCs w:val="0"/>
                <w:snapToGrid w:val="0"/>
                <w:color w:val="000000"/>
                <w:kern w:val="2"/>
                <w:sz w:val="19"/>
                <w:szCs w:val="22"/>
                <w:lang w:val="en-US" w:eastAsia="zh-CN" w:bidi="ar"/>
              </w:rPr>
              <w:t>LIABILITIES AND SHAREHOLDERS' EQUITY/(DEFICIT)</w:t>
            </w:r>
          </w:p>
        </w:tc>
        <w:tc>
          <w:tcPr>
            <w:tcW w:w="425" w:type="dxa"/>
            <w:tcBorders>
              <w:top w:val="single" w:color="181717" w:sz="8" w:space="0"/>
              <w:left w:val="nil"/>
              <w:bottom w:val="nil"/>
              <w:right w:val="nil"/>
            </w:tcBorders>
            <w:shd w:val="clear" w:color="auto" w:fill="FFFEFD"/>
            <w:vAlign w:val="top"/>
          </w:tcPr>
          <w:p>
            <w:pPr>
              <w:keepNext w:val="0"/>
              <w:keepLines w:val="0"/>
              <w:widowControl/>
              <w:suppressLineNumbers w:val="0"/>
              <w:spacing w:before="0" w:beforeAutospacing="0" w:after="160" w:afterAutospacing="0" w:line="256" w:lineRule="auto"/>
              <w:ind w:left="0" w:right="0"/>
              <w:jc w:val="left"/>
              <w:rPr>
                <w:rFonts w:hint="eastAsia"/>
                <w:lang w:val="en-US"/>
              </w:rPr>
            </w:pPr>
          </w:p>
        </w:tc>
        <w:tc>
          <w:tcPr>
            <w:tcW w:w="871" w:type="dxa"/>
            <w:tcBorders>
              <w:top w:val="single" w:color="181717" w:sz="8" w:space="0"/>
              <w:left w:val="nil"/>
              <w:bottom w:val="nil"/>
              <w:right w:val="nil"/>
            </w:tcBorders>
            <w:shd w:val="clear" w:color="auto" w:fill="FFFEFD"/>
            <w:vAlign w:val="top"/>
          </w:tcPr>
          <w:p>
            <w:pPr>
              <w:keepNext w:val="0"/>
              <w:keepLines w:val="0"/>
              <w:widowControl/>
              <w:suppressLineNumbers w:val="0"/>
              <w:spacing w:before="0" w:beforeAutospacing="0" w:after="160" w:afterAutospacing="0" w:line="256" w:lineRule="auto"/>
              <w:ind w:left="0" w:right="0"/>
              <w:jc w:val="left"/>
              <w:rPr>
                <w:rFonts w:hint="eastAsia"/>
                <w:lang w:val="en-US"/>
              </w:rPr>
            </w:pPr>
          </w:p>
        </w:tc>
        <w:tc>
          <w:tcPr>
            <w:tcW w:w="394" w:type="dxa"/>
            <w:tcBorders>
              <w:top w:val="single" w:color="181717" w:sz="8" w:space="0"/>
              <w:left w:val="nil"/>
              <w:bottom w:val="nil"/>
              <w:right w:val="nil"/>
            </w:tcBorders>
            <w:shd w:val="clear" w:color="auto" w:fill="FFFEFD"/>
            <w:vAlign w:val="top"/>
          </w:tcPr>
          <w:p>
            <w:pPr>
              <w:keepNext w:val="0"/>
              <w:keepLines w:val="0"/>
              <w:widowControl/>
              <w:suppressLineNumbers w:val="0"/>
              <w:spacing w:before="0" w:beforeAutospacing="0" w:after="160" w:afterAutospacing="0" w:line="256" w:lineRule="auto"/>
              <w:ind w:left="0" w:right="0"/>
              <w:jc w:val="left"/>
              <w:rPr>
                <w:rFonts w:hint="eastAsia"/>
                <w:lang w:val="en-US"/>
              </w:rPr>
            </w:pPr>
          </w:p>
        </w:tc>
        <w:tc>
          <w:tcPr>
            <w:tcW w:w="805" w:type="dxa"/>
            <w:tcBorders>
              <w:top w:val="single" w:color="181717" w:sz="8" w:space="0"/>
              <w:left w:val="nil"/>
              <w:bottom w:val="nil"/>
              <w:right w:val="nil"/>
            </w:tcBorders>
            <w:shd w:val="clear" w:color="auto" w:fill="FFFEFD"/>
            <w:vAlign w:val="top"/>
          </w:tcPr>
          <w:p>
            <w:pPr>
              <w:keepNext w:val="0"/>
              <w:keepLines w:val="0"/>
              <w:widowControl/>
              <w:suppressLineNumbers w:val="0"/>
              <w:spacing w:before="0" w:beforeAutospacing="0" w:after="160" w:afterAutospacing="0" w:line="256" w:lineRule="auto"/>
              <w:ind w:left="0" w:right="0"/>
              <w:jc w:val="left"/>
              <w:rPr>
                <w:rFonts w:hint="eastAsia"/>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4" w:type="dxa"/>
            <w:left w:w="0" w:type="dxa"/>
            <w:bottom w:w="1" w:type="dxa"/>
            <w:right w:w="0" w:type="dxa"/>
          </w:tblCellMar>
        </w:tblPrEx>
        <w:trPr>
          <w:trHeight w:val="383" w:hRule="atLeast"/>
        </w:trPr>
        <w:tc>
          <w:tcPr>
            <w:tcW w:w="5283" w:type="dxa"/>
            <w:shd w:val="clear" w:color="auto" w:fill="CDE0D8"/>
            <w:vAlign w:val="top"/>
          </w:tcPr>
          <w:p>
            <w:pPr>
              <w:keepNext w:val="0"/>
              <w:keepLines w:val="0"/>
              <w:widowControl/>
              <w:suppressLineNumbers w:val="0"/>
              <w:spacing w:before="0" w:beforeAutospacing="0" w:after="0" w:afterAutospacing="0" w:line="256" w:lineRule="auto"/>
              <w:ind w:left="51"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Current liabilities:</w:t>
            </w:r>
          </w:p>
        </w:tc>
        <w:tc>
          <w:tcPr>
            <w:tcW w:w="425" w:type="dxa"/>
            <w:shd w:val="clear" w:color="auto" w:fill="CDE0D8"/>
            <w:vAlign w:val="top"/>
          </w:tcPr>
          <w:p>
            <w:pPr>
              <w:keepNext w:val="0"/>
              <w:keepLines w:val="0"/>
              <w:widowControl/>
              <w:suppressLineNumbers w:val="0"/>
              <w:spacing w:before="0" w:beforeAutospacing="0" w:after="160" w:afterAutospacing="0" w:line="256" w:lineRule="auto"/>
              <w:ind w:left="0" w:right="0"/>
              <w:jc w:val="left"/>
              <w:rPr>
                <w:rFonts w:hint="eastAsia"/>
                <w:lang w:val="en-US"/>
              </w:rPr>
            </w:pPr>
          </w:p>
        </w:tc>
        <w:tc>
          <w:tcPr>
            <w:tcW w:w="871" w:type="dxa"/>
            <w:shd w:val="clear" w:color="auto" w:fill="CDE0D8"/>
            <w:vAlign w:val="top"/>
          </w:tcPr>
          <w:p>
            <w:pPr>
              <w:keepNext w:val="0"/>
              <w:keepLines w:val="0"/>
              <w:widowControl/>
              <w:suppressLineNumbers w:val="0"/>
              <w:spacing w:before="0" w:beforeAutospacing="0" w:after="160" w:afterAutospacing="0" w:line="256" w:lineRule="auto"/>
              <w:ind w:left="0" w:right="0"/>
              <w:jc w:val="left"/>
              <w:rPr>
                <w:rFonts w:hint="eastAsia"/>
                <w:lang w:val="en-US"/>
              </w:rPr>
            </w:pPr>
          </w:p>
        </w:tc>
        <w:tc>
          <w:tcPr>
            <w:tcW w:w="394" w:type="dxa"/>
            <w:shd w:val="clear" w:color="auto" w:fill="CDE0D8"/>
            <w:vAlign w:val="top"/>
          </w:tcPr>
          <w:p>
            <w:pPr>
              <w:keepNext w:val="0"/>
              <w:keepLines w:val="0"/>
              <w:widowControl/>
              <w:suppressLineNumbers w:val="0"/>
              <w:spacing w:before="0" w:beforeAutospacing="0" w:after="160" w:afterAutospacing="0" w:line="256" w:lineRule="auto"/>
              <w:ind w:left="0" w:right="0"/>
              <w:jc w:val="left"/>
              <w:rPr>
                <w:rFonts w:hint="eastAsia"/>
                <w:lang w:val="en-US"/>
              </w:rPr>
            </w:pPr>
          </w:p>
        </w:tc>
        <w:tc>
          <w:tcPr>
            <w:tcW w:w="805" w:type="dxa"/>
            <w:shd w:val="clear" w:color="auto" w:fill="CDE0D8"/>
            <w:vAlign w:val="top"/>
          </w:tcPr>
          <w:p>
            <w:pPr>
              <w:keepNext w:val="0"/>
              <w:keepLines w:val="0"/>
              <w:widowControl/>
              <w:suppressLineNumbers w:val="0"/>
              <w:spacing w:before="0" w:beforeAutospacing="0" w:after="160" w:afterAutospacing="0" w:line="256" w:lineRule="auto"/>
              <w:ind w:left="0" w:right="0"/>
              <w:jc w:val="left"/>
              <w:rPr>
                <w:rFonts w:hint="eastAsia"/>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4" w:type="dxa"/>
            <w:left w:w="0" w:type="dxa"/>
            <w:bottom w:w="1" w:type="dxa"/>
            <w:right w:w="0" w:type="dxa"/>
          </w:tblCellMar>
        </w:tblPrEx>
        <w:trPr>
          <w:trHeight w:val="250" w:hRule="atLeast"/>
        </w:trPr>
        <w:tc>
          <w:tcPr>
            <w:tcW w:w="5283" w:type="dxa"/>
            <w:shd w:val="clear" w:color="auto" w:fill="FFFEFD"/>
            <w:vAlign w:val="top"/>
          </w:tcPr>
          <w:p>
            <w:pPr>
              <w:keepNext w:val="0"/>
              <w:keepLines w:val="0"/>
              <w:widowControl/>
              <w:suppressLineNumbers w:val="0"/>
              <w:spacing w:before="0" w:beforeAutospacing="0" w:after="0" w:afterAutospacing="0" w:line="256" w:lineRule="auto"/>
              <w:ind w:left="399"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Accounts payable</w:t>
            </w:r>
          </w:p>
        </w:tc>
        <w:tc>
          <w:tcPr>
            <w:tcW w:w="425" w:type="dxa"/>
            <w:shd w:val="clear" w:color="auto" w:fill="FFFEFD"/>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871" w:type="dxa"/>
            <w:shd w:val="clear" w:color="auto" w:fill="FFFEFD"/>
            <w:vAlign w:val="top"/>
          </w:tcPr>
          <w:p>
            <w:pPr>
              <w:keepNext w:val="0"/>
              <w:keepLines w:val="0"/>
              <w:widowControl/>
              <w:suppressLineNumbers w:val="0"/>
              <w:spacing w:before="0" w:beforeAutospacing="0" w:after="0" w:afterAutospacing="0" w:line="256" w:lineRule="auto"/>
              <w:ind w:left="329"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1,211.6 </w:t>
            </w:r>
          </w:p>
        </w:tc>
        <w:tc>
          <w:tcPr>
            <w:tcW w:w="394" w:type="dxa"/>
            <w:shd w:val="clear" w:color="auto" w:fill="FFFEFD"/>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805" w:type="dxa"/>
            <w:shd w:val="clear" w:color="auto" w:fill="FFFEFD"/>
            <w:vAlign w:val="top"/>
          </w:tcPr>
          <w:p>
            <w:pPr>
              <w:keepNext w:val="0"/>
              <w:keepLines w:val="0"/>
              <w:widowControl/>
              <w:suppressLineNumbers w:val="0"/>
              <w:spacing w:before="0" w:beforeAutospacing="0" w:after="0" w:afterAutospacing="0" w:line="256" w:lineRule="auto"/>
              <w:ind w:left="0" w:right="79"/>
              <w:jc w:val="righ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997.9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4" w:type="dxa"/>
            <w:left w:w="0" w:type="dxa"/>
            <w:bottom w:w="1" w:type="dxa"/>
            <w:right w:w="0" w:type="dxa"/>
          </w:tblCellMar>
        </w:tblPrEx>
        <w:trPr>
          <w:trHeight w:val="250" w:hRule="atLeast"/>
        </w:trPr>
        <w:tc>
          <w:tcPr>
            <w:tcW w:w="5283" w:type="dxa"/>
            <w:shd w:val="clear" w:color="auto" w:fill="CDE0D8"/>
            <w:vAlign w:val="top"/>
          </w:tcPr>
          <w:p>
            <w:pPr>
              <w:keepNext w:val="0"/>
              <w:keepLines w:val="0"/>
              <w:widowControl/>
              <w:suppressLineNumbers w:val="0"/>
              <w:spacing w:before="0" w:beforeAutospacing="0" w:after="0" w:afterAutospacing="0" w:line="256" w:lineRule="auto"/>
              <w:ind w:left="399"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Accrued liabilities</w:t>
            </w:r>
          </w:p>
        </w:tc>
        <w:tc>
          <w:tcPr>
            <w:tcW w:w="425" w:type="dxa"/>
            <w:shd w:val="clear" w:color="auto" w:fill="CDE0D8"/>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871" w:type="dxa"/>
            <w:shd w:val="clear" w:color="auto" w:fill="CDE0D8"/>
            <w:vAlign w:val="top"/>
          </w:tcPr>
          <w:p>
            <w:pPr>
              <w:keepNext w:val="0"/>
              <w:keepLines w:val="0"/>
              <w:widowControl/>
              <w:suppressLineNumbers w:val="0"/>
              <w:spacing w:before="0" w:beforeAutospacing="0" w:after="0" w:afterAutospacing="0" w:line="256" w:lineRule="auto"/>
              <w:ind w:left="329"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1,973.2 </w:t>
            </w:r>
          </w:p>
        </w:tc>
        <w:tc>
          <w:tcPr>
            <w:tcW w:w="394" w:type="dxa"/>
            <w:shd w:val="clear" w:color="auto" w:fill="CDE0D8"/>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805" w:type="dxa"/>
            <w:shd w:val="clear" w:color="auto" w:fill="CDE0D8"/>
            <w:vAlign w:val="top"/>
          </w:tcPr>
          <w:p>
            <w:pPr>
              <w:keepNext w:val="0"/>
              <w:keepLines w:val="0"/>
              <w:widowControl/>
              <w:suppressLineNumbers w:val="0"/>
              <w:spacing w:before="0" w:beforeAutospacing="0" w:after="0" w:afterAutospacing="0" w:line="256" w:lineRule="auto"/>
              <w:ind w:left="0" w:right="79"/>
              <w:jc w:val="righ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1,160.7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4" w:type="dxa"/>
            <w:left w:w="0" w:type="dxa"/>
            <w:bottom w:w="1" w:type="dxa"/>
            <w:right w:w="0" w:type="dxa"/>
          </w:tblCellMar>
        </w:tblPrEx>
        <w:trPr>
          <w:trHeight w:val="250" w:hRule="atLeast"/>
        </w:trPr>
        <w:tc>
          <w:tcPr>
            <w:tcW w:w="5283" w:type="dxa"/>
            <w:shd w:val="clear" w:color="auto" w:fill="FFFEFD"/>
            <w:vAlign w:val="top"/>
          </w:tcPr>
          <w:p>
            <w:pPr>
              <w:keepNext w:val="0"/>
              <w:keepLines w:val="0"/>
              <w:widowControl/>
              <w:suppressLineNumbers w:val="0"/>
              <w:spacing w:before="0" w:beforeAutospacing="0" w:after="0" w:afterAutospacing="0" w:line="256" w:lineRule="auto"/>
              <w:ind w:left="399"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Accrued payroll and benefits</w:t>
            </w:r>
          </w:p>
        </w:tc>
        <w:tc>
          <w:tcPr>
            <w:tcW w:w="425" w:type="dxa"/>
            <w:shd w:val="clear" w:color="auto" w:fill="FFFEFD"/>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871" w:type="dxa"/>
            <w:shd w:val="clear" w:color="auto" w:fill="FFFEFD"/>
            <w:vAlign w:val="top"/>
          </w:tcPr>
          <w:p>
            <w:pPr>
              <w:keepNext w:val="0"/>
              <w:keepLines w:val="0"/>
              <w:widowControl/>
              <w:suppressLineNumbers w:val="0"/>
              <w:spacing w:before="0" w:beforeAutospacing="0" w:after="0" w:afterAutospacing="0" w:line="256" w:lineRule="auto"/>
              <w:ind w:left="475"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772.3 </w:t>
            </w:r>
          </w:p>
        </w:tc>
        <w:tc>
          <w:tcPr>
            <w:tcW w:w="394" w:type="dxa"/>
            <w:shd w:val="clear" w:color="auto" w:fill="FFFEFD"/>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805" w:type="dxa"/>
            <w:shd w:val="clear" w:color="auto" w:fill="FFFEFD"/>
            <w:vAlign w:val="top"/>
          </w:tcPr>
          <w:p>
            <w:pPr>
              <w:keepNext w:val="0"/>
              <w:keepLines w:val="0"/>
              <w:widowControl/>
              <w:suppressLineNumbers w:val="0"/>
              <w:spacing w:before="0" w:beforeAutospacing="0" w:after="0" w:afterAutospacing="0" w:line="256" w:lineRule="auto"/>
              <w:ind w:left="0" w:right="79"/>
              <w:jc w:val="righ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696.0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4" w:type="dxa"/>
            <w:left w:w="0" w:type="dxa"/>
            <w:bottom w:w="1" w:type="dxa"/>
            <w:right w:w="0" w:type="dxa"/>
          </w:tblCellMar>
        </w:tblPrEx>
        <w:trPr>
          <w:trHeight w:val="250" w:hRule="atLeast"/>
        </w:trPr>
        <w:tc>
          <w:tcPr>
            <w:tcW w:w="5283" w:type="dxa"/>
            <w:shd w:val="clear" w:color="auto" w:fill="CDE0D8"/>
            <w:vAlign w:val="top"/>
          </w:tcPr>
          <w:p>
            <w:pPr>
              <w:keepNext w:val="0"/>
              <w:keepLines w:val="0"/>
              <w:widowControl/>
              <w:suppressLineNumbers w:val="0"/>
              <w:spacing w:before="0" w:beforeAutospacing="0" w:after="0" w:afterAutospacing="0" w:line="256" w:lineRule="auto"/>
              <w:ind w:left="399"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Income taxes payable</w:t>
            </w:r>
          </w:p>
        </w:tc>
        <w:tc>
          <w:tcPr>
            <w:tcW w:w="425" w:type="dxa"/>
            <w:shd w:val="clear" w:color="auto" w:fill="CDE0D8"/>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871" w:type="dxa"/>
            <w:shd w:val="clear" w:color="auto" w:fill="CDE0D8"/>
            <w:vAlign w:val="top"/>
          </w:tcPr>
          <w:p>
            <w:pPr>
              <w:keepNext w:val="0"/>
              <w:keepLines w:val="0"/>
              <w:widowControl/>
              <w:suppressLineNumbers w:val="0"/>
              <w:spacing w:before="0" w:beforeAutospacing="0" w:after="0" w:afterAutospacing="0" w:line="256" w:lineRule="auto"/>
              <w:ind w:left="475"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348.0 </w:t>
            </w:r>
          </w:p>
        </w:tc>
        <w:tc>
          <w:tcPr>
            <w:tcW w:w="394" w:type="dxa"/>
            <w:shd w:val="clear" w:color="auto" w:fill="CDE0D8"/>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805" w:type="dxa"/>
            <w:shd w:val="clear" w:color="auto" w:fill="CDE0D8"/>
            <w:vAlign w:val="top"/>
          </w:tcPr>
          <w:p>
            <w:pPr>
              <w:keepNext w:val="0"/>
              <w:keepLines w:val="0"/>
              <w:widowControl/>
              <w:suppressLineNumbers w:val="0"/>
              <w:spacing w:before="0" w:beforeAutospacing="0" w:after="0" w:afterAutospacing="0" w:line="256" w:lineRule="auto"/>
              <w:ind w:left="0" w:right="79"/>
              <w:jc w:val="righ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98.2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4" w:type="dxa"/>
            <w:left w:w="0" w:type="dxa"/>
            <w:bottom w:w="1" w:type="dxa"/>
            <w:right w:w="0" w:type="dxa"/>
          </w:tblCellMar>
        </w:tblPrEx>
        <w:trPr>
          <w:trHeight w:val="250" w:hRule="atLeast"/>
        </w:trPr>
        <w:tc>
          <w:tcPr>
            <w:tcW w:w="5283" w:type="dxa"/>
            <w:shd w:val="clear" w:color="auto" w:fill="FFFEFD"/>
            <w:vAlign w:val="top"/>
          </w:tcPr>
          <w:p>
            <w:pPr>
              <w:keepNext w:val="0"/>
              <w:keepLines w:val="0"/>
              <w:widowControl/>
              <w:suppressLineNumbers w:val="0"/>
              <w:spacing w:before="0" w:beforeAutospacing="0" w:after="0" w:afterAutospacing="0" w:line="256" w:lineRule="auto"/>
              <w:ind w:left="399"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Current portion of operating lease liability</w:t>
            </w:r>
          </w:p>
        </w:tc>
        <w:tc>
          <w:tcPr>
            <w:tcW w:w="425" w:type="dxa"/>
            <w:shd w:val="clear" w:color="auto" w:fill="FFFEFD"/>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871" w:type="dxa"/>
            <w:shd w:val="clear" w:color="auto" w:fill="FFFEFD"/>
            <w:vAlign w:val="top"/>
          </w:tcPr>
          <w:p>
            <w:pPr>
              <w:keepNext w:val="0"/>
              <w:keepLines w:val="0"/>
              <w:widowControl/>
              <w:suppressLineNumbers w:val="0"/>
              <w:spacing w:before="0" w:beforeAutospacing="0" w:after="0" w:afterAutospacing="0" w:line="256" w:lineRule="auto"/>
              <w:ind w:left="329"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1,251.3 </w:t>
            </w:r>
          </w:p>
        </w:tc>
        <w:tc>
          <w:tcPr>
            <w:tcW w:w="394" w:type="dxa"/>
            <w:shd w:val="clear" w:color="auto" w:fill="FFFEFD"/>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805" w:type="dxa"/>
            <w:shd w:val="clear" w:color="auto" w:fill="FFFEFD"/>
            <w:vAlign w:val="top"/>
          </w:tcPr>
          <w:p>
            <w:pPr>
              <w:keepNext w:val="0"/>
              <w:keepLines w:val="0"/>
              <w:widowControl/>
              <w:suppressLineNumbers w:val="0"/>
              <w:spacing w:before="0" w:beforeAutospacing="0" w:after="0" w:afterAutospacing="0" w:line="256" w:lineRule="auto"/>
              <w:ind w:left="0" w:right="79"/>
              <w:jc w:val="righ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1,248.8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4" w:type="dxa"/>
            <w:left w:w="0" w:type="dxa"/>
            <w:bottom w:w="1" w:type="dxa"/>
            <w:right w:w="0" w:type="dxa"/>
          </w:tblCellMar>
        </w:tblPrEx>
        <w:trPr>
          <w:trHeight w:val="250" w:hRule="atLeast"/>
        </w:trPr>
        <w:tc>
          <w:tcPr>
            <w:tcW w:w="5283" w:type="dxa"/>
            <w:shd w:val="clear" w:color="auto" w:fill="CDE0D8"/>
            <w:vAlign w:val="top"/>
          </w:tcPr>
          <w:p>
            <w:pPr>
              <w:keepNext w:val="0"/>
              <w:keepLines w:val="0"/>
              <w:widowControl/>
              <w:suppressLineNumbers w:val="0"/>
              <w:spacing w:before="0" w:beforeAutospacing="0" w:after="0" w:afterAutospacing="0" w:line="256" w:lineRule="auto"/>
              <w:ind w:left="399"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Stored value card liability and current portion of deferred revenue </w:t>
            </w:r>
          </w:p>
        </w:tc>
        <w:tc>
          <w:tcPr>
            <w:tcW w:w="425" w:type="dxa"/>
            <w:shd w:val="clear" w:color="auto" w:fill="CDE0D8"/>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871" w:type="dxa"/>
            <w:shd w:val="clear" w:color="auto" w:fill="CDE0D8"/>
            <w:vAlign w:val="top"/>
          </w:tcPr>
          <w:p>
            <w:pPr>
              <w:keepNext w:val="0"/>
              <w:keepLines w:val="0"/>
              <w:widowControl/>
              <w:suppressLineNumbers w:val="0"/>
              <w:spacing w:before="0" w:beforeAutospacing="0" w:after="0" w:afterAutospacing="0" w:line="256" w:lineRule="auto"/>
              <w:ind w:left="329"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1,596.1 </w:t>
            </w:r>
          </w:p>
        </w:tc>
        <w:tc>
          <w:tcPr>
            <w:tcW w:w="394" w:type="dxa"/>
            <w:shd w:val="clear" w:color="auto" w:fill="CDE0D8"/>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805" w:type="dxa"/>
            <w:shd w:val="clear" w:color="auto" w:fill="CDE0D8"/>
            <w:vAlign w:val="top"/>
          </w:tcPr>
          <w:p>
            <w:pPr>
              <w:keepNext w:val="0"/>
              <w:keepLines w:val="0"/>
              <w:widowControl/>
              <w:suppressLineNumbers w:val="0"/>
              <w:spacing w:before="0" w:beforeAutospacing="0" w:after="0" w:afterAutospacing="0" w:line="256" w:lineRule="auto"/>
              <w:ind w:left="0" w:right="79"/>
              <w:jc w:val="righ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1,456.5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4" w:type="dxa"/>
            <w:left w:w="0" w:type="dxa"/>
            <w:bottom w:w="1" w:type="dxa"/>
            <w:right w:w="0" w:type="dxa"/>
          </w:tblCellMar>
        </w:tblPrEx>
        <w:trPr>
          <w:trHeight w:val="250" w:hRule="atLeast"/>
        </w:trPr>
        <w:tc>
          <w:tcPr>
            <w:tcW w:w="5283" w:type="dxa"/>
            <w:shd w:val="clear" w:color="auto" w:fill="FFFEFD"/>
            <w:vAlign w:val="top"/>
          </w:tcPr>
          <w:p>
            <w:pPr>
              <w:keepNext w:val="0"/>
              <w:keepLines w:val="0"/>
              <w:widowControl/>
              <w:suppressLineNumbers w:val="0"/>
              <w:spacing w:before="0" w:beforeAutospacing="0" w:after="0" w:afterAutospacing="0" w:line="256" w:lineRule="auto"/>
              <w:ind w:left="399"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Short-term debt</w:t>
            </w:r>
          </w:p>
        </w:tc>
        <w:tc>
          <w:tcPr>
            <w:tcW w:w="425" w:type="dxa"/>
            <w:shd w:val="clear" w:color="auto" w:fill="FFFEFD"/>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871" w:type="dxa"/>
            <w:shd w:val="clear" w:color="auto" w:fill="FFFEFD"/>
            <w:vAlign w:val="top"/>
          </w:tcPr>
          <w:p>
            <w:pPr>
              <w:keepNext w:val="0"/>
              <w:keepLines w:val="0"/>
              <w:widowControl/>
              <w:suppressLineNumbers w:val="0"/>
              <w:spacing w:before="0" w:beforeAutospacing="0" w:after="0" w:afterAutospacing="0" w:line="256" w:lineRule="auto"/>
              <w:ind w:left="717"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394" w:type="dxa"/>
            <w:shd w:val="clear" w:color="auto" w:fill="FFFEFD"/>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805" w:type="dxa"/>
            <w:shd w:val="clear" w:color="auto" w:fill="FFFEFD"/>
            <w:vAlign w:val="top"/>
          </w:tcPr>
          <w:p>
            <w:pPr>
              <w:keepNext w:val="0"/>
              <w:keepLines w:val="0"/>
              <w:widowControl/>
              <w:suppressLineNumbers w:val="0"/>
              <w:spacing w:before="0" w:beforeAutospacing="0" w:after="0" w:afterAutospacing="0" w:line="256" w:lineRule="auto"/>
              <w:ind w:left="0" w:right="79"/>
              <w:jc w:val="righ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438.8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4" w:type="dxa"/>
            <w:left w:w="0" w:type="dxa"/>
            <w:bottom w:w="1" w:type="dxa"/>
            <w:right w:w="0" w:type="dxa"/>
          </w:tblCellMar>
        </w:tblPrEx>
        <w:trPr>
          <w:trHeight w:val="250" w:hRule="atLeast"/>
        </w:trPr>
        <w:tc>
          <w:tcPr>
            <w:tcW w:w="5283" w:type="dxa"/>
            <w:shd w:val="clear" w:color="auto" w:fill="CDE0D8"/>
            <w:vAlign w:val="top"/>
          </w:tcPr>
          <w:p>
            <w:pPr>
              <w:keepNext w:val="0"/>
              <w:keepLines w:val="0"/>
              <w:widowControl/>
              <w:suppressLineNumbers w:val="0"/>
              <w:spacing w:before="0" w:beforeAutospacing="0" w:after="0" w:afterAutospacing="0" w:line="256" w:lineRule="auto"/>
              <w:ind w:left="399"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Current portion of long-term debt</w:t>
            </w:r>
          </w:p>
        </w:tc>
        <w:tc>
          <w:tcPr>
            <w:tcW w:w="425" w:type="dxa"/>
            <w:tcBorders>
              <w:top w:val="nil"/>
              <w:left w:val="nil"/>
              <w:bottom w:val="single" w:color="181717" w:sz="8" w:space="0"/>
              <w:right w:val="nil"/>
            </w:tcBorders>
            <w:shd w:val="clear" w:color="auto" w:fill="CDE0D8"/>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871" w:type="dxa"/>
            <w:tcBorders>
              <w:top w:val="nil"/>
              <w:left w:val="nil"/>
              <w:bottom w:val="single" w:color="181717" w:sz="8" w:space="0"/>
              <w:right w:val="nil"/>
            </w:tcBorders>
            <w:shd w:val="clear" w:color="auto" w:fill="CDE0D8"/>
            <w:vAlign w:val="top"/>
          </w:tcPr>
          <w:p>
            <w:pPr>
              <w:keepNext w:val="0"/>
              <w:keepLines w:val="0"/>
              <w:widowControl/>
              <w:suppressLineNumbers w:val="0"/>
              <w:spacing w:before="0" w:beforeAutospacing="0" w:after="0" w:afterAutospacing="0" w:line="256" w:lineRule="auto"/>
              <w:ind w:left="475"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998.9 </w:t>
            </w:r>
          </w:p>
        </w:tc>
        <w:tc>
          <w:tcPr>
            <w:tcW w:w="394" w:type="dxa"/>
            <w:tcBorders>
              <w:top w:val="nil"/>
              <w:left w:val="nil"/>
              <w:bottom w:val="single" w:color="181717" w:sz="8" w:space="0"/>
              <w:right w:val="nil"/>
            </w:tcBorders>
            <w:shd w:val="clear" w:color="auto" w:fill="CDE0D8"/>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805" w:type="dxa"/>
            <w:tcBorders>
              <w:top w:val="nil"/>
              <w:left w:val="nil"/>
              <w:bottom w:val="single" w:color="181717" w:sz="8" w:space="0"/>
              <w:right w:val="nil"/>
            </w:tcBorders>
            <w:shd w:val="clear" w:color="auto" w:fill="CDE0D8"/>
            <w:vAlign w:val="top"/>
          </w:tcPr>
          <w:p>
            <w:pPr>
              <w:keepNext w:val="0"/>
              <w:keepLines w:val="0"/>
              <w:widowControl/>
              <w:suppressLineNumbers w:val="0"/>
              <w:spacing w:before="0" w:beforeAutospacing="0" w:after="0" w:afterAutospacing="0" w:line="256" w:lineRule="auto"/>
              <w:ind w:left="0" w:right="79"/>
              <w:jc w:val="righ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1,249.9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4" w:type="dxa"/>
            <w:left w:w="0" w:type="dxa"/>
            <w:bottom w:w="1" w:type="dxa"/>
            <w:right w:w="0" w:type="dxa"/>
          </w:tblCellMar>
        </w:tblPrEx>
        <w:trPr>
          <w:trHeight w:val="285" w:hRule="atLeast"/>
        </w:trPr>
        <w:tc>
          <w:tcPr>
            <w:tcW w:w="5283" w:type="dxa"/>
            <w:shd w:val="clear" w:color="auto" w:fill="FFFEFD"/>
            <w:vAlign w:val="top"/>
          </w:tcPr>
          <w:p>
            <w:pPr>
              <w:keepNext w:val="0"/>
              <w:keepLines w:val="0"/>
              <w:widowControl/>
              <w:suppressLineNumbers w:val="0"/>
              <w:spacing w:before="0" w:beforeAutospacing="0" w:after="0" w:afterAutospacing="0" w:line="256" w:lineRule="auto"/>
              <w:ind w:left="748"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Total current liabilities</w:t>
            </w:r>
          </w:p>
        </w:tc>
        <w:tc>
          <w:tcPr>
            <w:tcW w:w="425" w:type="dxa"/>
            <w:tcBorders>
              <w:top w:val="single" w:color="181717" w:sz="8" w:space="0"/>
              <w:left w:val="nil"/>
              <w:bottom w:val="nil"/>
              <w:right w:val="nil"/>
            </w:tcBorders>
            <w:shd w:val="clear" w:color="auto" w:fill="FFFEFD"/>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871" w:type="dxa"/>
            <w:tcBorders>
              <w:top w:val="single" w:color="181717" w:sz="8" w:space="0"/>
              <w:left w:val="nil"/>
              <w:bottom w:val="nil"/>
              <w:right w:val="nil"/>
            </w:tcBorders>
            <w:shd w:val="clear" w:color="auto" w:fill="FFFEFD"/>
            <w:vAlign w:val="top"/>
          </w:tcPr>
          <w:p>
            <w:pPr>
              <w:keepNext w:val="0"/>
              <w:keepLines w:val="0"/>
              <w:widowControl/>
              <w:suppressLineNumbers w:val="0"/>
              <w:spacing w:before="0" w:beforeAutospacing="0" w:after="0" w:afterAutospacing="0" w:line="256" w:lineRule="auto"/>
              <w:ind w:left="329"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8,151.4 </w:t>
            </w:r>
          </w:p>
        </w:tc>
        <w:tc>
          <w:tcPr>
            <w:tcW w:w="394" w:type="dxa"/>
            <w:tcBorders>
              <w:top w:val="single" w:color="181717" w:sz="8" w:space="0"/>
              <w:left w:val="nil"/>
              <w:bottom w:val="nil"/>
              <w:right w:val="nil"/>
            </w:tcBorders>
            <w:shd w:val="clear" w:color="auto" w:fill="FFFEFD"/>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805" w:type="dxa"/>
            <w:tcBorders>
              <w:top w:val="single" w:color="181717" w:sz="8" w:space="0"/>
              <w:left w:val="nil"/>
              <w:bottom w:val="nil"/>
              <w:right w:val="nil"/>
            </w:tcBorders>
            <w:shd w:val="clear" w:color="auto" w:fill="FFFEFD"/>
            <w:vAlign w:val="top"/>
          </w:tcPr>
          <w:p>
            <w:pPr>
              <w:keepNext w:val="0"/>
              <w:keepLines w:val="0"/>
              <w:widowControl/>
              <w:suppressLineNumbers w:val="0"/>
              <w:spacing w:before="0" w:beforeAutospacing="0" w:after="0" w:afterAutospacing="0" w:line="256" w:lineRule="auto"/>
              <w:ind w:left="0" w:right="79"/>
              <w:jc w:val="righ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7,346.8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4" w:type="dxa"/>
            <w:left w:w="0" w:type="dxa"/>
            <w:bottom w:w="1" w:type="dxa"/>
            <w:right w:w="0" w:type="dxa"/>
          </w:tblCellMar>
        </w:tblPrEx>
        <w:trPr>
          <w:trHeight w:val="250" w:hRule="atLeast"/>
        </w:trPr>
        <w:tc>
          <w:tcPr>
            <w:tcW w:w="5283" w:type="dxa"/>
            <w:shd w:val="clear" w:color="auto" w:fill="CDE0D8"/>
            <w:vAlign w:val="top"/>
          </w:tcPr>
          <w:p>
            <w:pPr>
              <w:keepNext w:val="0"/>
              <w:keepLines w:val="0"/>
              <w:widowControl/>
              <w:suppressLineNumbers w:val="0"/>
              <w:spacing w:before="0" w:beforeAutospacing="0" w:after="0" w:afterAutospacing="0" w:line="256" w:lineRule="auto"/>
              <w:ind w:left="51"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Long-term debt</w:t>
            </w:r>
          </w:p>
        </w:tc>
        <w:tc>
          <w:tcPr>
            <w:tcW w:w="425" w:type="dxa"/>
            <w:shd w:val="clear" w:color="auto" w:fill="CDE0D8"/>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871" w:type="dxa"/>
            <w:shd w:val="clear" w:color="auto" w:fill="CDE0D8"/>
            <w:vAlign w:val="top"/>
          </w:tcPr>
          <w:p>
            <w:pPr>
              <w:keepNext w:val="0"/>
              <w:keepLines w:val="0"/>
              <w:widowControl/>
              <w:suppressLineNumbers w:val="0"/>
              <w:spacing w:before="0" w:beforeAutospacing="0" w:after="0" w:afterAutospacing="0" w:line="256" w:lineRule="auto"/>
              <w:ind w:left="30" w:right="0"/>
              <w:jc w:val="center"/>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13,616.9 </w:t>
            </w:r>
          </w:p>
        </w:tc>
        <w:tc>
          <w:tcPr>
            <w:tcW w:w="394" w:type="dxa"/>
            <w:shd w:val="clear" w:color="auto" w:fill="CDE0D8"/>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805" w:type="dxa"/>
            <w:shd w:val="clear" w:color="auto" w:fill="CDE0D8"/>
            <w:vAlign w:val="top"/>
          </w:tcPr>
          <w:p>
            <w:pPr>
              <w:keepNext w:val="0"/>
              <w:keepLines w:val="0"/>
              <w:widowControl/>
              <w:suppressLineNumbers w:val="0"/>
              <w:spacing w:before="0" w:beforeAutospacing="0" w:after="0" w:afterAutospacing="0" w:line="256" w:lineRule="auto"/>
              <w:ind w:left="0" w:right="79"/>
              <w:jc w:val="righ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14,659.6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4" w:type="dxa"/>
            <w:left w:w="0" w:type="dxa"/>
            <w:bottom w:w="1" w:type="dxa"/>
            <w:right w:w="0" w:type="dxa"/>
          </w:tblCellMar>
        </w:tblPrEx>
        <w:trPr>
          <w:trHeight w:val="250" w:hRule="atLeast"/>
        </w:trPr>
        <w:tc>
          <w:tcPr>
            <w:tcW w:w="5283" w:type="dxa"/>
            <w:shd w:val="clear" w:color="auto" w:fill="FFFEFD"/>
            <w:vAlign w:val="top"/>
          </w:tcPr>
          <w:p>
            <w:pPr>
              <w:keepNext w:val="0"/>
              <w:keepLines w:val="0"/>
              <w:widowControl/>
              <w:suppressLineNumbers w:val="0"/>
              <w:spacing w:before="0" w:beforeAutospacing="0" w:after="0" w:afterAutospacing="0" w:line="256" w:lineRule="auto"/>
              <w:ind w:left="51"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Operating lease liability</w:t>
            </w:r>
          </w:p>
        </w:tc>
        <w:tc>
          <w:tcPr>
            <w:tcW w:w="425" w:type="dxa"/>
            <w:shd w:val="clear" w:color="auto" w:fill="FFFEFD"/>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871" w:type="dxa"/>
            <w:shd w:val="clear" w:color="auto" w:fill="FFFEFD"/>
            <w:vAlign w:val="top"/>
          </w:tcPr>
          <w:p>
            <w:pPr>
              <w:keepNext w:val="0"/>
              <w:keepLines w:val="0"/>
              <w:widowControl/>
              <w:suppressLineNumbers w:val="0"/>
              <w:spacing w:before="0" w:beforeAutospacing="0" w:after="0" w:afterAutospacing="0" w:line="256" w:lineRule="auto"/>
              <w:ind w:left="329"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7,738.0 </w:t>
            </w:r>
          </w:p>
        </w:tc>
        <w:tc>
          <w:tcPr>
            <w:tcW w:w="394" w:type="dxa"/>
            <w:shd w:val="clear" w:color="auto" w:fill="FFFEFD"/>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805" w:type="dxa"/>
            <w:shd w:val="clear" w:color="auto" w:fill="FFFEFD"/>
            <w:vAlign w:val="top"/>
          </w:tcPr>
          <w:p>
            <w:pPr>
              <w:keepNext w:val="0"/>
              <w:keepLines w:val="0"/>
              <w:widowControl/>
              <w:suppressLineNumbers w:val="0"/>
              <w:spacing w:before="0" w:beforeAutospacing="0" w:after="0" w:afterAutospacing="0" w:line="256" w:lineRule="auto"/>
              <w:ind w:left="0" w:right="79"/>
              <w:jc w:val="righ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7,661.7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4" w:type="dxa"/>
            <w:left w:w="0" w:type="dxa"/>
            <w:bottom w:w="1" w:type="dxa"/>
            <w:right w:w="0" w:type="dxa"/>
          </w:tblCellMar>
        </w:tblPrEx>
        <w:trPr>
          <w:trHeight w:val="250" w:hRule="atLeast"/>
        </w:trPr>
        <w:tc>
          <w:tcPr>
            <w:tcW w:w="5283" w:type="dxa"/>
            <w:shd w:val="clear" w:color="auto" w:fill="CDE0D8"/>
            <w:vAlign w:val="top"/>
          </w:tcPr>
          <w:p>
            <w:pPr>
              <w:keepNext w:val="0"/>
              <w:keepLines w:val="0"/>
              <w:widowControl/>
              <w:suppressLineNumbers w:val="0"/>
              <w:spacing w:before="0" w:beforeAutospacing="0" w:after="0" w:afterAutospacing="0" w:line="256" w:lineRule="auto"/>
              <w:ind w:left="51"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Deferred revenue </w:t>
            </w:r>
          </w:p>
        </w:tc>
        <w:tc>
          <w:tcPr>
            <w:tcW w:w="425" w:type="dxa"/>
            <w:shd w:val="clear" w:color="auto" w:fill="CDE0D8"/>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871" w:type="dxa"/>
            <w:shd w:val="clear" w:color="auto" w:fill="CDE0D8"/>
            <w:vAlign w:val="top"/>
          </w:tcPr>
          <w:p>
            <w:pPr>
              <w:keepNext w:val="0"/>
              <w:keepLines w:val="0"/>
              <w:widowControl/>
              <w:suppressLineNumbers w:val="0"/>
              <w:spacing w:before="0" w:beforeAutospacing="0" w:after="0" w:afterAutospacing="0" w:line="256" w:lineRule="auto"/>
              <w:ind w:left="329"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6,463.0 </w:t>
            </w:r>
          </w:p>
        </w:tc>
        <w:tc>
          <w:tcPr>
            <w:tcW w:w="394" w:type="dxa"/>
            <w:shd w:val="clear" w:color="auto" w:fill="CDE0D8"/>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805" w:type="dxa"/>
            <w:shd w:val="clear" w:color="auto" w:fill="CDE0D8"/>
            <w:vAlign w:val="top"/>
          </w:tcPr>
          <w:p>
            <w:pPr>
              <w:keepNext w:val="0"/>
              <w:keepLines w:val="0"/>
              <w:widowControl/>
              <w:suppressLineNumbers w:val="0"/>
              <w:spacing w:before="0" w:beforeAutospacing="0" w:after="0" w:afterAutospacing="0" w:line="256" w:lineRule="auto"/>
              <w:ind w:left="0" w:right="79"/>
              <w:jc w:val="righ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6,598.5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4" w:type="dxa"/>
            <w:left w:w="0" w:type="dxa"/>
            <w:bottom w:w="1" w:type="dxa"/>
            <w:right w:w="0" w:type="dxa"/>
          </w:tblCellMar>
        </w:tblPrEx>
        <w:trPr>
          <w:trHeight w:val="250" w:hRule="atLeast"/>
        </w:trPr>
        <w:tc>
          <w:tcPr>
            <w:tcW w:w="5283" w:type="dxa"/>
            <w:shd w:val="clear" w:color="auto" w:fill="FFFEFD"/>
            <w:vAlign w:val="top"/>
          </w:tcPr>
          <w:p>
            <w:pPr>
              <w:keepNext w:val="0"/>
              <w:keepLines w:val="0"/>
              <w:widowControl/>
              <w:suppressLineNumbers w:val="0"/>
              <w:spacing w:before="0" w:beforeAutospacing="0" w:after="0" w:afterAutospacing="0" w:line="256" w:lineRule="auto"/>
              <w:ind w:left="51"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Other long-term liabilities</w:t>
            </w:r>
          </w:p>
        </w:tc>
        <w:tc>
          <w:tcPr>
            <w:tcW w:w="425" w:type="dxa"/>
            <w:tcBorders>
              <w:top w:val="nil"/>
              <w:left w:val="nil"/>
              <w:bottom w:val="single" w:color="181717" w:sz="8" w:space="0"/>
              <w:right w:val="nil"/>
            </w:tcBorders>
            <w:shd w:val="clear" w:color="auto" w:fill="FFFEFD"/>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871" w:type="dxa"/>
            <w:tcBorders>
              <w:top w:val="nil"/>
              <w:left w:val="nil"/>
              <w:bottom w:val="single" w:color="181717" w:sz="8" w:space="0"/>
              <w:right w:val="nil"/>
            </w:tcBorders>
            <w:shd w:val="clear" w:color="auto" w:fill="FFFEFD"/>
            <w:vAlign w:val="top"/>
          </w:tcPr>
          <w:p>
            <w:pPr>
              <w:keepNext w:val="0"/>
              <w:keepLines w:val="0"/>
              <w:widowControl/>
              <w:suppressLineNumbers w:val="0"/>
              <w:spacing w:before="0" w:beforeAutospacing="0" w:after="0" w:afterAutospacing="0" w:line="256" w:lineRule="auto"/>
              <w:ind w:left="475"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737.8 </w:t>
            </w:r>
          </w:p>
        </w:tc>
        <w:tc>
          <w:tcPr>
            <w:tcW w:w="394" w:type="dxa"/>
            <w:tcBorders>
              <w:top w:val="nil"/>
              <w:left w:val="nil"/>
              <w:bottom w:val="single" w:color="181717" w:sz="8" w:space="0"/>
              <w:right w:val="nil"/>
            </w:tcBorders>
            <w:shd w:val="clear" w:color="auto" w:fill="FFFEFD"/>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805" w:type="dxa"/>
            <w:tcBorders>
              <w:top w:val="nil"/>
              <w:left w:val="nil"/>
              <w:bottom w:val="single" w:color="181717" w:sz="8" w:space="0"/>
              <w:right w:val="nil"/>
            </w:tcBorders>
            <w:shd w:val="clear" w:color="auto" w:fill="FFFEFD"/>
            <w:vAlign w:val="top"/>
          </w:tcPr>
          <w:p>
            <w:pPr>
              <w:keepNext w:val="0"/>
              <w:keepLines w:val="0"/>
              <w:widowControl/>
              <w:suppressLineNumbers w:val="0"/>
              <w:spacing w:before="0" w:beforeAutospacing="0" w:after="0" w:afterAutospacing="0" w:line="256" w:lineRule="auto"/>
              <w:ind w:left="0" w:right="79"/>
              <w:jc w:val="righ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907.3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4" w:type="dxa"/>
            <w:left w:w="0" w:type="dxa"/>
            <w:bottom w:w="1" w:type="dxa"/>
            <w:right w:w="0" w:type="dxa"/>
          </w:tblCellMar>
        </w:tblPrEx>
        <w:trPr>
          <w:trHeight w:val="285" w:hRule="atLeast"/>
        </w:trPr>
        <w:tc>
          <w:tcPr>
            <w:tcW w:w="5283" w:type="dxa"/>
            <w:shd w:val="clear" w:color="auto" w:fill="CDE0D8"/>
            <w:vAlign w:val="top"/>
          </w:tcPr>
          <w:p>
            <w:pPr>
              <w:keepNext w:val="0"/>
              <w:keepLines w:val="0"/>
              <w:widowControl/>
              <w:suppressLineNumbers w:val="0"/>
              <w:spacing w:before="0" w:beforeAutospacing="0" w:after="0" w:afterAutospacing="0" w:line="256" w:lineRule="auto"/>
              <w:ind w:left="748"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Total liabilities</w:t>
            </w:r>
          </w:p>
        </w:tc>
        <w:tc>
          <w:tcPr>
            <w:tcW w:w="425" w:type="dxa"/>
            <w:tcBorders>
              <w:top w:val="single" w:color="181717" w:sz="8" w:space="0"/>
              <w:left w:val="nil"/>
              <w:bottom w:val="nil"/>
              <w:right w:val="nil"/>
            </w:tcBorders>
            <w:shd w:val="clear" w:color="auto" w:fill="CDE0D8"/>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871" w:type="dxa"/>
            <w:tcBorders>
              <w:top w:val="single" w:color="181717" w:sz="8" w:space="0"/>
              <w:left w:val="nil"/>
              <w:bottom w:val="nil"/>
              <w:right w:val="nil"/>
            </w:tcBorders>
            <w:shd w:val="clear" w:color="auto" w:fill="CDE0D8"/>
            <w:vAlign w:val="top"/>
          </w:tcPr>
          <w:p>
            <w:pPr>
              <w:keepNext w:val="0"/>
              <w:keepLines w:val="0"/>
              <w:widowControl/>
              <w:suppressLineNumbers w:val="0"/>
              <w:spacing w:before="0" w:beforeAutospacing="0" w:after="0" w:afterAutospacing="0" w:line="256" w:lineRule="auto"/>
              <w:ind w:left="30" w:right="0"/>
              <w:jc w:val="center"/>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36,707.1 </w:t>
            </w:r>
          </w:p>
        </w:tc>
        <w:tc>
          <w:tcPr>
            <w:tcW w:w="394" w:type="dxa"/>
            <w:tcBorders>
              <w:top w:val="single" w:color="181717" w:sz="8" w:space="0"/>
              <w:left w:val="nil"/>
              <w:bottom w:val="nil"/>
              <w:right w:val="nil"/>
            </w:tcBorders>
            <w:shd w:val="clear" w:color="auto" w:fill="CDE0D8"/>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805" w:type="dxa"/>
            <w:tcBorders>
              <w:top w:val="single" w:color="181717" w:sz="8" w:space="0"/>
              <w:left w:val="nil"/>
              <w:bottom w:val="nil"/>
              <w:right w:val="nil"/>
            </w:tcBorders>
            <w:shd w:val="clear" w:color="auto" w:fill="CDE0D8"/>
            <w:vAlign w:val="top"/>
          </w:tcPr>
          <w:p>
            <w:pPr>
              <w:keepNext w:val="0"/>
              <w:keepLines w:val="0"/>
              <w:widowControl/>
              <w:suppressLineNumbers w:val="0"/>
              <w:spacing w:before="0" w:beforeAutospacing="0" w:after="0" w:afterAutospacing="0" w:line="256" w:lineRule="auto"/>
              <w:ind w:left="0" w:right="79"/>
              <w:jc w:val="righ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37,173.9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4" w:type="dxa"/>
            <w:left w:w="0" w:type="dxa"/>
            <w:bottom w:w="1" w:type="dxa"/>
            <w:right w:w="0" w:type="dxa"/>
          </w:tblCellMar>
        </w:tblPrEx>
        <w:trPr>
          <w:trHeight w:val="383" w:hRule="atLeast"/>
        </w:trPr>
        <w:tc>
          <w:tcPr>
            <w:tcW w:w="5283" w:type="dxa"/>
            <w:shd w:val="clear" w:color="auto" w:fill="FFFEFD"/>
            <w:vAlign w:val="top"/>
          </w:tcPr>
          <w:p>
            <w:pPr>
              <w:keepNext w:val="0"/>
              <w:keepLines w:val="0"/>
              <w:widowControl/>
              <w:suppressLineNumbers w:val="0"/>
              <w:spacing w:before="0" w:beforeAutospacing="0" w:after="0" w:afterAutospacing="0" w:line="256" w:lineRule="auto"/>
              <w:ind w:left="51"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Shareholders’ deficit:</w:t>
            </w:r>
          </w:p>
        </w:tc>
        <w:tc>
          <w:tcPr>
            <w:tcW w:w="425" w:type="dxa"/>
            <w:shd w:val="clear" w:color="auto" w:fill="FFFEFD"/>
            <w:vAlign w:val="top"/>
          </w:tcPr>
          <w:p>
            <w:pPr>
              <w:keepNext w:val="0"/>
              <w:keepLines w:val="0"/>
              <w:widowControl/>
              <w:suppressLineNumbers w:val="0"/>
              <w:spacing w:before="0" w:beforeAutospacing="0" w:after="160" w:afterAutospacing="0" w:line="256" w:lineRule="auto"/>
              <w:ind w:left="0" w:right="0"/>
              <w:jc w:val="left"/>
              <w:rPr>
                <w:rFonts w:hint="eastAsia"/>
                <w:lang w:val="en-US"/>
              </w:rPr>
            </w:pPr>
          </w:p>
        </w:tc>
        <w:tc>
          <w:tcPr>
            <w:tcW w:w="871" w:type="dxa"/>
            <w:shd w:val="clear" w:color="auto" w:fill="FFFEFD"/>
            <w:vAlign w:val="top"/>
          </w:tcPr>
          <w:p>
            <w:pPr>
              <w:keepNext w:val="0"/>
              <w:keepLines w:val="0"/>
              <w:widowControl/>
              <w:suppressLineNumbers w:val="0"/>
              <w:spacing w:before="0" w:beforeAutospacing="0" w:after="160" w:afterAutospacing="0" w:line="256" w:lineRule="auto"/>
              <w:ind w:left="0" w:right="0"/>
              <w:jc w:val="left"/>
              <w:rPr>
                <w:rFonts w:hint="eastAsia"/>
                <w:lang w:val="en-US"/>
              </w:rPr>
            </w:pPr>
          </w:p>
        </w:tc>
        <w:tc>
          <w:tcPr>
            <w:tcW w:w="394" w:type="dxa"/>
            <w:shd w:val="clear" w:color="auto" w:fill="FFFEFD"/>
            <w:vAlign w:val="top"/>
          </w:tcPr>
          <w:p>
            <w:pPr>
              <w:keepNext w:val="0"/>
              <w:keepLines w:val="0"/>
              <w:widowControl/>
              <w:suppressLineNumbers w:val="0"/>
              <w:spacing w:before="0" w:beforeAutospacing="0" w:after="160" w:afterAutospacing="0" w:line="256" w:lineRule="auto"/>
              <w:ind w:left="0" w:right="0"/>
              <w:jc w:val="left"/>
              <w:rPr>
                <w:rFonts w:hint="eastAsia"/>
                <w:lang w:val="en-US"/>
              </w:rPr>
            </w:pPr>
          </w:p>
        </w:tc>
        <w:tc>
          <w:tcPr>
            <w:tcW w:w="805" w:type="dxa"/>
            <w:shd w:val="clear" w:color="auto" w:fill="FFFEFD"/>
            <w:vAlign w:val="top"/>
          </w:tcPr>
          <w:p>
            <w:pPr>
              <w:keepNext w:val="0"/>
              <w:keepLines w:val="0"/>
              <w:widowControl/>
              <w:suppressLineNumbers w:val="0"/>
              <w:spacing w:before="0" w:beforeAutospacing="0" w:after="160" w:afterAutospacing="0" w:line="256" w:lineRule="auto"/>
              <w:ind w:left="0" w:right="0"/>
              <w:jc w:val="left"/>
              <w:rPr>
                <w:rFonts w:hint="eastAsia"/>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4" w:type="dxa"/>
            <w:left w:w="0" w:type="dxa"/>
            <w:bottom w:w="1" w:type="dxa"/>
            <w:right w:w="0" w:type="dxa"/>
          </w:tblCellMar>
        </w:tblPrEx>
        <w:trPr>
          <w:trHeight w:val="428" w:hRule="atLeast"/>
        </w:trPr>
        <w:tc>
          <w:tcPr>
            <w:tcW w:w="5283" w:type="dxa"/>
            <w:shd w:val="clear" w:color="auto" w:fill="CDE0D8"/>
            <w:vAlign w:val="top"/>
          </w:tcPr>
          <w:p>
            <w:pPr>
              <w:keepNext w:val="0"/>
              <w:keepLines w:val="0"/>
              <w:widowControl/>
              <w:suppressLineNumbers w:val="0"/>
              <w:spacing w:before="0" w:beforeAutospacing="0" w:after="0" w:afterAutospacing="0" w:line="256" w:lineRule="auto"/>
              <w:ind w:left="399"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Common stock ($0.001 par value) — authorized, 2,400.0 shares; issued and outstanding, 1,180.0 and 1,173.3 shares, respectively</w:t>
            </w:r>
          </w:p>
        </w:tc>
        <w:tc>
          <w:tcPr>
            <w:tcW w:w="425" w:type="dxa"/>
            <w:shd w:val="clear" w:color="auto" w:fill="CDE0D8"/>
            <w:vAlign w:val="bottom"/>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871" w:type="dxa"/>
            <w:shd w:val="clear" w:color="auto" w:fill="CDE0D8"/>
            <w:vAlign w:val="bottom"/>
          </w:tcPr>
          <w:p>
            <w:pPr>
              <w:keepNext w:val="0"/>
              <w:keepLines w:val="0"/>
              <w:widowControl/>
              <w:suppressLineNumbers w:val="0"/>
              <w:spacing w:before="0" w:beforeAutospacing="0" w:after="0" w:afterAutospacing="0" w:line="256" w:lineRule="auto"/>
              <w:ind w:left="668"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1.2 </w:t>
            </w:r>
          </w:p>
        </w:tc>
        <w:tc>
          <w:tcPr>
            <w:tcW w:w="394" w:type="dxa"/>
            <w:shd w:val="clear" w:color="auto" w:fill="CDE0D8"/>
            <w:vAlign w:val="bottom"/>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805" w:type="dxa"/>
            <w:shd w:val="clear" w:color="auto" w:fill="CDE0D8"/>
            <w:vAlign w:val="bottom"/>
          </w:tcPr>
          <w:p>
            <w:pPr>
              <w:keepNext w:val="0"/>
              <w:keepLines w:val="0"/>
              <w:widowControl/>
              <w:suppressLineNumbers w:val="0"/>
              <w:spacing w:before="0" w:beforeAutospacing="0" w:after="0" w:afterAutospacing="0" w:line="256" w:lineRule="auto"/>
              <w:ind w:left="0" w:right="79"/>
              <w:jc w:val="righ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1.2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4" w:type="dxa"/>
            <w:left w:w="0" w:type="dxa"/>
            <w:bottom w:w="1" w:type="dxa"/>
            <w:right w:w="0" w:type="dxa"/>
          </w:tblCellMar>
        </w:tblPrEx>
        <w:trPr>
          <w:trHeight w:val="250" w:hRule="atLeast"/>
        </w:trPr>
        <w:tc>
          <w:tcPr>
            <w:tcW w:w="5283" w:type="dxa"/>
            <w:shd w:val="clear" w:color="auto" w:fill="FFFEFD"/>
            <w:vAlign w:val="top"/>
          </w:tcPr>
          <w:p>
            <w:pPr>
              <w:keepNext w:val="0"/>
              <w:keepLines w:val="0"/>
              <w:widowControl/>
              <w:suppressLineNumbers w:val="0"/>
              <w:spacing w:before="0" w:beforeAutospacing="0" w:after="0" w:afterAutospacing="0" w:line="256" w:lineRule="auto"/>
              <w:ind w:left="399"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Additional paid-in capital</w:t>
            </w:r>
          </w:p>
        </w:tc>
        <w:tc>
          <w:tcPr>
            <w:tcW w:w="425" w:type="dxa"/>
            <w:shd w:val="clear" w:color="auto" w:fill="FFFEFD"/>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871" w:type="dxa"/>
            <w:shd w:val="clear" w:color="auto" w:fill="FFFEFD"/>
            <w:vAlign w:val="top"/>
          </w:tcPr>
          <w:p>
            <w:pPr>
              <w:keepNext w:val="0"/>
              <w:keepLines w:val="0"/>
              <w:widowControl/>
              <w:suppressLineNumbers w:val="0"/>
              <w:spacing w:before="0" w:beforeAutospacing="0" w:after="0" w:afterAutospacing="0" w:line="256" w:lineRule="auto"/>
              <w:ind w:left="475"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846.1 </w:t>
            </w:r>
          </w:p>
        </w:tc>
        <w:tc>
          <w:tcPr>
            <w:tcW w:w="394" w:type="dxa"/>
            <w:shd w:val="clear" w:color="auto" w:fill="FFFEFD"/>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805" w:type="dxa"/>
            <w:shd w:val="clear" w:color="auto" w:fill="FFFEFD"/>
            <w:vAlign w:val="top"/>
          </w:tcPr>
          <w:p>
            <w:pPr>
              <w:keepNext w:val="0"/>
              <w:keepLines w:val="0"/>
              <w:widowControl/>
              <w:suppressLineNumbers w:val="0"/>
              <w:spacing w:before="0" w:beforeAutospacing="0" w:after="0" w:afterAutospacing="0" w:line="256" w:lineRule="auto"/>
              <w:ind w:left="0" w:right="79"/>
              <w:jc w:val="righ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373.9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4" w:type="dxa"/>
            <w:left w:w="0" w:type="dxa"/>
            <w:bottom w:w="1" w:type="dxa"/>
            <w:right w:w="0" w:type="dxa"/>
          </w:tblCellMar>
        </w:tblPrEx>
        <w:trPr>
          <w:trHeight w:val="250" w:hRule="atLeast"/>
        </w:trPr>
        <w:tc>
          <w:tcPr>
            <w:tcW w:w="5283" w:type="dxa"/>
            <w:shd w:val="clear" w:color="auto" w:fill="CDE0D8"/>
            <w:vAlign w:val="top"/>
          </w:tcPr>
          <w:p>
            <w:pPr>
              <w:keepNext w:val="0"/>
              <w:keepLines w:val="0"/>
              <w:widowControl/>
              <w:suppressLineNumbers w:val="0"/>
              <w:spacing w:before="0" w:beforeAutospacing="0" w:after="0" w:afterAutospacing="0" w:line="256" w:lineRule="auto"/>
              <w:ind w:left="399"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Retained deficit</w:t>
            </w:r>
          </w:p>
        </w:tc>
        <w:tc>
          <w:tcPr>
            <w:tcW w:w="425" w:type="dxa"/>
            <w:shd w:val="clear" w:color="auto" w:fill="CDE0D8"/>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1265" w:type="dxa"/>
            <w:gridSpan w:val="2"/>
            <w:shd w:val="clear" w:color="auto" w:fill="CDE0D8"/>
            <w:vAlign w:val="top"/>
          </w:tcPr>
          <w:p>
            <w:pPr>
              <w:keepNext w:val="0"/>
              <w:keepLines w:val="0"/>
              <w:widowControl/>
              <w:suppressLineNumbers w:val="0"/>
              <w:spacing w:before="0" w:beforeAutospacing="0" w:after="0" w:afterAutospacing="0" w:line="256" w:lineRule="auto"/>
              <w:ind w:left="265"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(6,315.7)  </w:t>
            </w:r>
          </w:p>
        </w:tc>
        <w:tc>
          <w:tcPr>
            <w:tcW w:w="805" w:type="dxa"/>
            <w:shd w:val="clear" w:color="auto" w:fill="CDE0D8"/>
            <w:vAlign w:val="top"/>
          </w:tcPr>
          <w:p>
            <w:pPr>
              <w:keepNext w:val="0"/>
              <w:keepLines w:val="0"/>
              <w:widowControl/>
              <w:suppressLineNumbers w:val="0"/>
              <w:spacing w:before="0" w:beforeAutospacing="0" w:after="0" w:afterAutospacing="0" w:line="256" w:lineRule="auto"/>
              <w:ind w:left="0" w:right="15"/>
              <w:jc w:val="righ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(7,815.6)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4" w:type="dxa"/>
            <w:left w:w="0" w:type="dxa"/>
            <w:bottom w:w="1" w:type="dxa"/>
            <w:right w:w="0" w:type="dxa"/>
          </w:tblCellMar>
        </w:tblPrEx>
        <w:trPr>
          <w:trHeight w:val="250" w:hRule="atLeast"/>
        </w:trPr>
        <w:tc>
          <w:tcPr>
            <w:tcW w:w="5283" w:type="dxa"/>
            <w:shd w:val="clear" w:color="auto" w:fill="FFFEFD"/>
            <w:vAlign w:val="top"/>
          </w:tcPr>
          <w:p>
            <w:pPr>
              <w:keepNext w:val="0"/>
              <w:keepLines w:val="0"/>
              <w:widowControl/>
              <w:suppressLineNumbers w:val="0"/>
              <w:spacing w:before="0" w:beforeAutospacing="0" w:after="0" w:afterAutospacing="0" w:line="256" w:lineRule="auto"/>
              <w:ind w:left="399"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Accumulated other comprehensive income/(loss)</w:t>
            </w:r>
          </w:p>
        </w:tc>
        <w:tc>
          <w:tcPr>
            <w:tcW w:w="425" w:type="dxa"/>
            <w:tcBorders>
              <w:top w:val="nil"/>
              <w:left w:val="nil"/>
              <w:bottom w:val="single" w:color="181717" w:sz="8" w:space="0"/>
              <w:right w:val="nil"/>
            </w:tcBorders>
            <w:shd w:val="clear" w:color="auto" w:fill="FFFEFD"/>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1265" w:type="dxa"/>
            <w:gridSpan w:val="2"/>
            <w:tcBorders>
              <w:top w:val="nil"/>
              <w:left w:val="nil"/>
              <w:bottom w:val="single" w:color="181717" w:sz="8" w:space="0"/>
              <w:right w:val="nil"/>
            </w:tcBorders>
            <w:shd w:val="clear" w:color="auto" w:fill="FFFEFD"/>
            <w:vAlign w:val="top"/>
          </w:tcPr>
          <w:p>
            <w:pPr>
              <w:keepNext w:val="0"/>
              <w:keepLines w:val="0"/>
              <w:widowControl/>
              <w:suppressLineNumbers w:val="0"/>
              <w:tabs>
                <w:tab w:val="center" w:pos="692"/>
                <w:tab w:val="center" w:pos="1113"/>
              </w:tabs>
              <w:spacing w:before="0" w:beforeAutospacing="0" w:after="0" w:afterAutospacing="0" w:line="256" w:lineRule="auto"/>
              <w:ind w:left="0" w:right="0"/>
              <w:jc w:val="left"/>
              <w:rPr>
                <w:rFonts w:hint="eastAsia"/>
                <w:lang w:val="en-US"/>
              </w:rPr>
            </w:pPr>
            <w:r>
              <w:rPr>
                <w:rFonts w:hint="default" w:ascii="Calibri" w:hAnsi="Calibri" w:eastAsia="Calibri" w:cs="Calibri"/>
                <w:snapToGrid w:val="0"/>
                <w:color w:val="000000"/>
                <w:kern w:val="2"/>
                <w:sz w:val="22"/>
                <w:szCs w:val="22"/>
                <w:lang w:val="en-US" w:eastAsia="zh-CN" w:bidi="ar"/>
              </w:rPr>
              <w:tab/>
            </w:r>
            <w:r>
              <w:rPr>
                <w:rFonts w:hint="default" w:ascii="Times New Roman" w:hAnsi="Times New Roman" w:eastAsia="Times New Roman" w:cs="Times New Roman"/>
                <w:snapToGrid w:val="0"/>
                <w:color w:val="000000"/>
                <w:kern w:val="2"/>
                <w:sz w:val="19"/>
                <w:szCs w:val="22"/>
                <w:lang w:val="en-US" w:eastAsia="zh-CN" w:bidi="ar"/>
              </w:rPr>
              <w:t xml:space="preserve">147.2 </w:t>
            </w:r>
            <w:r>
              <w:rPr>
                <w:rFonts w:hint="default" w:ascii="Times New Roman" w:hAnsi="Times New Roman" w:eastAsia="Times New Roman" w:cs="Times New Roman"/>
                <w:snapToGrid w:val="0"/>
                <w:color w:val="000000"/>
                <w:kern w:val="2"/>
                <w:sz w:val="19"/>
                <w:szCs w:val="22"/>
                <w:lang w:val="en-US" w:eastAsia="zh-CN" w:bidi="ar"/>
              </w:rPr>
              <w:tab/>
            </w: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805" w:type="dxa"/>
            <w:tcBorders>
              <w:top w:val="nil"/>
              <w:left w:val="nil"/>
              <w:bottom w:val="single" w:color="181717" w:sz="8" w:space="0"/>
              <w:right w:val="nil"/>
            </w:tcBorders>
            <w:shd w:val="clear" w:color="auto" w:fill="FFFEFD"/>
            <w:vAlign w:val="top"/>
          </w:tcPr>
          <w:p>
            <w:pPr>
              <w:keepNext w:val="0"/>
              <w:keepLines w:val="0"/>
              <w:widowControl/>
              <w:suppressLineNumbers w:val="0"/>
              <w:spacing w:before="0" w:beforeAutospacing="0" w:after="0" w:afterAutospacing="0" w:line="256" w:lineRule="auto"/>
              <w:ind w:left="0" w:right="15"/>
              <w:jc w:val="righ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(364.6)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4" w:type="dxa"/>
            <w:left w:w="0" w:type="dxa"/>
            <w:bottom w:w="1" w:type="dxa"/>
            <w:right w:w="0" w:type="dxa"/>
          </w:tblCellMar>
        </w:tblPrEx>
        <w:trPr>
          <w:trHeight w:val="285" w:hRule="atLeast"/>
        </w:trPr>
        <w:tc>
          <w:tcPr>
            <w:tcW w:w="5283" w:type="dxa"/>
            <w:shd w:val="clear" w:color="auto" w:fill="CDE0D8"/>
            <w:vAlign w:val="top"/>
          </w:tcPr>
          <w:p>
            <w:pPr>
              <w:keepNext w:val="0"/>
              <w:keepLines w:val="0"/>
              <w:widowControl/>
              <w:suppressLineNumbers w:val="0"/>
              <w:spacing w:before="0" w:beforeAutospacing="0" w:after="0" w:afterAutospacing="0" w:line="256" w:lineRule="auto"/>
              <w:ind w:left="748"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Total shareholders’ deficit</w:t>
            </w:r>
          </w:p>
        </w:tc>
        <w:tc>
          <w:tcPr>
            <w:tcW w:w="425" w:type="dxa"/>
            <w:tcBorders>
              <w:top w:val="single" w:color="181717" w:sz="8" w:space="0"/>
              <w:left w:val="nil"/>
              <w:bottom w:val="nil"/>
              <w:right w:val="nil"/>
            </w:tcBorders>
            <w:shd w:val="clear" w:color="auto" w:fill="CDE0D8"/>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1265" w:type="dxa"/>
            <w:gridSpan w:val="2"/>
            <w:tcBorders>
              <w:top w:val="single" w:color="181717" w:sz="8" w:space="0"/>
              <w:left w:val="nil"/>
              <w:bottom w:val="nil"/>
              <w:right w:val="nil"/>
            </w:tcBorders>
            <w:shd w:val="clear" w:color="auto" w:fill="CDE0D8"/>
            <w:vAlign w:val="top"/>
          </w:tcPr>
          <w:p>
            <w:pPr>
              <w:keepNext w:val="0"/>
              <w:keepLines w:val="0"/>
              <w:widowControl/>
              <w:suppressLineNumbers w:val="0"/>
              <w:spacing w:before="0" w:beforeAutospacing="0" w:after="0" w:afterAutospacing="0" w:line="256" w:lineRule="auto"/>
              <w:ind w:left="265"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(5,321.2)  </w:t>
            </w:r>
          </w:p>
        </w:tc>
        <w:tc>
          <w:tcPr>
            <w:tcW w:w="805" w:type="dxa"/>
            <w:tcBorders>
              <w:top w:val="single" w:color="181717" w:sz="8" w:space="0"/>
              <w:left w:val="nil"/>
              <w:bottom w:val="nil"/>
              <w:right w:val="nil"/>
            </w:tcBorders>
            <w:shd w:val="clear" w:color="auto" w:fill="CDE0D8"/>
            <w:vAlign w:val="top"/>
          </w:tcPr>
          <w:p>
            <w:pPr>
              <w:keepNext w:val="0"/>
              <w:keepLines w:val="0"/>
              <w:widowControl/>
              <w:suppressLineNumbers w:val="0"/>
              <w:spacing w:before="0" w:beforeAutospacing="0" w:after="0" w:afterAutospacing="0" w:line="256" w:lineRule="auto"/>
              <w:ind w:left="0" w:right="15"/>
              <w:jc w:val="righ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(7,805.1)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4" w:type="dxa"/>
            <w:left w:w="0" w:type="dxa"/>
            <w:bottom w:w="1" w:type="dxa"/>
            <w:right w:w="0" w:type="dxa"/>
          </w:tblCellMar>
        </w:tblPrEx>
        <w:trPr>
          <w:trHeight w:val="250" w:hRule="atLeast"/>
        </w:trPr>
        <w:tc>
          <w:tcPr>
            <w:tcW w:w="5283" w:type="dxa"/>
            <w:shd w:val="clear" w:color="auto" w:fill="FFFEFD"/>
            <w:vAlign w:val="top"/>
          </w:tcPr>
          <w:p>
            <w:pPr>
              <w:keepNext w:val="0"/>
              <w:keepLines w:val="0"/>
              <w:widowControl/>
              <w:suppressLineNumbers w:val="0"/>
              <w:spacing w:before="0" w:beforeAutospacing="0" w:after="0" w:afterAutospacing="0" w:line="256" w:lineRule="auto"/>
              <w:ind w:left="399"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Noncontrolling interests</w:t>
            </w:r>
          </w:p>
        </w:tc>
        <w:tc>
          <w:tcPr>
            <w:tcW w:w="425" w:type="dxa"/>
            <w:tcBorders>
              <w:top w:val="nil"/>
              <w:left w:val="nil"/>
              <w:bottom w:val="single" w:color="181717" w:sz="8" w:space="0"/>
              <w:right w:val="nil"/>
            </w:tcBorders>
            <w:shd w:val="clear" w:color="auto" w:fill="FFFEFD"/>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1265" w:type="dxa"/>
            <w:gridSpan w:val="2"/>
            <w:tcBorders>
              <w:top w:val="nil"/>
              <w:left w:val="nil"/>
              <w:bottom w:val="single" w:color="181717" w:sz="8" w:space="0"/>
              <w:right w:val="nil"/>
            </w:tcBorders>
            <w:shd w:val="clear" w:color="auto" w:fill="FFFEFD"/>
            <w:vAlign w:val="top"/>
          </w:tcPr>
          <w:p>
            <w:pPr>
              <w:keepNext w:val="0"/>
              <w:keepLines w:val="0"/>
              <w:widowControl/>
              <w:suppressLineNumbers w:val="0"/>
              <w:tabs>
                <w:tab w:val="center" w:pos="789"/>
                <w:tab w:val="center" w:pos="1113"/>
              </w:tabs>
              <w:spacing w:before="0" w:beforeAutospacing="0" w:after="0" w:afterAutospacing="0" w:line="256" w:lineRule="auto"/>
              <w:ind w:left="0" w:right="0"/>
              <w:jc w:val="left"/>
              <w:rPr>
                <w:rFonts w:hint="eastAsia"/>
                <w:lang w:val="en-US"/>
              </w:rPr>
            </w:pPr>
            <w:r>
              <w:rPr>
                <w:rFonts w:hint="default" w:ascii="Calibri" w:hAnsi="Calibri" w:eastAsia="Calibri" w:cs="Calibri"/>
                <w:snapToGrid w:val="0"/>
                <w:color w:val="000000"/>
                <w:kern w:val="2"/>
                <w:sz w:val="22"/>
                <w:szCs w:val="22"/>
                <w:lang w:val="en-US" w:eastAsia="zh-CN" w:bidi="ar"/>
              </w:rPr>
              <w:tab/>
            </w:r>
            <w:r>
              <w:rPr>
                <w:rFonts w:hint="default" w:ascii="Times New Roman" w:hAnsi="Times New Roman" w:eastAsia="Times New Roman" w:cs="Times New Roman"/>
                <w:snapToGrid w:val="0"/>
                <w:color w:val="000000"/>
                <w:kern w:val="2"/>
                <w:sz w:val="19"/>
                <w:szCs w:val="22"/>
                <w:lang w:val="en-US" w:eastAsia="zh-CN" w:bidi="ar"/>
              </w:rPr>
              <w:t xml:space="preserve">6.7 </w:t>
            </w:r>
            <w:r>
              <w:rPr>
                <w:rFonts w:hint="default" w:ascii="Times New Roman" w:hAnsi="Times New Roman" w:eastAsia="Times New Roman" w:cs="Times New Roman"/>
                <w:snapToGrid w:val="0"/>
                <w:color w:val="000000"/>
                <w:kern w:val="2"/>
                <w:sz w:val="19"/>
                <w:szCs w:val="22"/>
                <w:lang w:val="en-US" w:eastAsia="zh-CN" w:bidi="ar"/>
              </w:rPr>
              <w:tab/>
            </w: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805" w:type="dxa"/>
            <w:tcBorders>
              <w:top w:val="nil"/>
              <w:left w:val="nil"/>
              <w:bottom w:val="single" w:color="181717" w:sz="8" w:space="0"/>
              <w:right w:val="nil"/>
            </w:tcBorders>
            <w:shd w:val="clear" w:color="auto" w:fill="FFFEFD"/>
            <w:vAlign w:val="top"/>
          </w:tcPr>
          <w:p>
            <w:pPr>
              <w:keepNext w:val="0"/>
              <w:keepLines w:val="0"/>
              <w:widowControl/>
              <w:suppressLineNumbers w:val="0"/>
              <w:spacing w:before="0" w:beforeAutospacing="0" w:after="0" w:afterAutospacing="0" w:line="256" w:lineRule="auto"/>
              <w:ind w:left="0" w:right="79"/>
              <w:jc w:val="righ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5.7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4" w:type="dxa"/>
            <w:left w:w="0" w:type="dxa"/>
            <w:bottom w:w="1" w:type="dxa"/>
            <w:right w:w="0" w:type="dxa"/>
          </w:tblCellMar>
        </w:tblPrEx>
        <w:trPr>
          <w:trHeight w:val="285" w:hRule="atLeast"/>
        </w:trPr>
        <w:tc>
          <w:tcPr>
            <w:tcW w:w="5283" w:type="dxa"/>
            <w:shd w:val="clear" w:color="auto" w:fill="CDE0D8"/>
            <w:vAlign w:val="top"/>
          </w:tcPr>
          <w:p>
            <w:pPr>
              <w:keepNext w:val="0"/>
              <w:keepLines w:val="0"/>
              <w:widowControl/>
              <w:suppressLineNumbers w:val="0"/>
              <w:spacing w:before="0" w:beforeAutospacing="0" w:after="0" w:afterAutospacing="0" w:line="256" w:lineRule="auto"/>
              <w:ind w:left="748"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Total deficit</w:t>
            </w:r>
          </w:p>
        </w:tc>
        <w:tc>
          <w:tcPr>
            <w:tcW w:w="425" w:type="dxa"/>
            <w:tcBorders>
              <w:top w:val="single" w:color="181717" w:sz="8" w:space="0"/>
              <w:left w:val="nil"/>
              <w:bottom w:val="single" w:color="181717" w:sz="8" w:space="0"/>
              <w:right w:val="nil"/>
            </w:tcBorders>
            <w:shd w:val="clear" w:color="auto" w:fill="CDE0D8"/>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1265" w:type="dxa"/>
            <w:gridSpan w:val="2"/>
            <w:tcBorders>
              <w:top w:val="single" w:color="181717" w:sz="8" w:space="0"/>
              <w:left w:val="nil"/>
              <w:bottom w:val="single" w:color="181717" w:sz="8" w:space="0"/>
              <w:right w:val="nil"/>
            </w:tcBorders>
            <w:shd w:val="clear" w:color="auto" w:fill="CDE0D8"/>
            <w:vAlign w:val="top"/>
          </w:tcPr>
          <w:p>
            <w:pPr>
              <w:keepNext w:val="0"/>
              <w:keepLines w:val="0"/>
              <w:widowControl/>
              <w:suppressLineNumbers w:val="0"/>
              <w:spacing w:before="0" w:beforeAutospacing="0" w:after="0" w:afterAutospacing="0" w:line="256" w:lineRule="auto"/>
              <w:ind w:left="265"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(5,314.5)  </w:t>
            </w:r>
          </w:p>
        </w:tc>
        <w:tc>
          <w:tcPr>
            <w:tcW w:w="805" w:type="dxa"/>
            <w:tcBorders>
              <w:top w:val="single" w:color="181717" w:sz="8" w:space="0"/>
              <w:left w:val="nil"/>
              <w:bottom w:val="single" w:color="181717" w:sz="8" w:space="0"/>
              <w:right w:val="nil"/>
            </w:tcBorders>
            <w:shd w:val="clear" w:color="auto" w:fill="CDE0D8"/>
            <w:vAlign w:val="top"/>
          </w:tcPr>
          <w:p>
            <w:pPr>
              <w:keepNext w:val="0"/>
              <w:keepLines w:val="0"/>
              <w:widowControl/>
              <w:suppressLineNumbers w:val="0"/>
              <w:spacing w:before="0" w:beforeAutospacing="0" w:after="0" w:afterAutospacing="0" w:line="256" w:lineRule="auto"/>
              <w:ind w:left="0" w:right="15"/>
              <w:jc w:val="righ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(7,799.4)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4" w:type="dxa"/>
            <w:left w:w="0" w:type="dxa"/>
            <w:bottom w:w="1" w:type="dxa"/>
            <w:right w:w="0" w:type="dxa"/>
          </w:tblCellMar>
        </w:tblPrEx>
        <w:trPr>
          <w:trHeight w:val="306" w:hRule="atLeast"/>
        </w:trPr>
        <w:tc>
          <w:tcPr>
            <w:tcW w:w="5283" w:type="dxa"/>
            <w:shd w:val="clear" w:color="auto" w:fill="FFFEFD"/>
            <w:vAlign w:val="top"/>
          </w:tcPr>
          <w:p>
            <w:pPr>
              <w:keepNext w:val="0"/>
              <w:keepLines w:val="0"/>
              <w:widowControl/>
              <w:suppressLineNumbers w:val="0"/>
              <w:spacing w:before="0" w:beforeAutospacing="0" w:after="0" w:afterAutospacing="0" w:line="256" w:lineRule="auto"/>
              <w:ind w:left="51"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TOTAL LIABILITIES AND SHAREHOLDERS’ EQUITY/(DEFICIT)</w:t>
            </w:r>
          </w:p>
        </w:tc>
        <w:tc>
          <w:tcPr>
            <w:tcW w:w="425" w:type="dxa"/>
            <w:tcBorders>
              <w:top w:val="single" w:color="181717" w:sz="8" w:space="0"/>
              <w:left w:val="nil"/>
              <w:bottom w:val="single" w:color="181717" w:sz="8" w:space="0"/>
              <w:right w:val="nil"/>
            </w:tcBorders>
            <w:shd w:val="clear" w:color="auto" w:fill="FFFEFD"/>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u w:val="single" w:color="181717"/>
                <w:lang w:val="en-US" w:eastAsia="zh-CN" w:bidi="ar"/>
              </w:rPr>
              <w:t xml:space="preserve">$ </w:t>
            </w:r>
          </w:p>
        </w:tc>
        <w:tc>
          <w:tcPr>
            <w:tcW w:w="1265" w:type="dxa"/>
            <w:gridSpan w:val="2"/>
            <w:tcBorders>
              <w:top w:val="single" w:color="181717" w:sz="8" w:space="0"/>
              <w:left w:val="nil"/>
              <w:bottom w:val="single" w:color="181717" w:sz="8" w:space="0"/>
              <w:right w:val="nil"/>
            </w:tcBorders>
            <w:shd w:val="clear" w:color="auto" w:fill="FFFEFD"/>
            <w:vAlign w:val="top"/>
          </w:tcPr>
          <w:p>
            <w:pPr>
              <w:keepNext w:val="0"/>
              <w:keepLines w:val="0"/>
              <w:widowControl/>
              <w:suppressLineNumbers w:val="0"/>
              <w:tabs>
                <w:tab w:val="center" w:pos="571"/>
                <w:tab w:val="center" w:pos="1161"/>
              </w:tabs>
              <w:spacing w:before="0" w:beforeAutospacing="0" w:after="0" w:afterAutospacing="0" w:line="256" w:lineRule="auto"/>
              <w:ind w:left="0" w:right="0"/>
              <w:jc w:val="left"/>
              <w:rPr>
                <w:rFonts w:hint="eastAsia"/>
                <w:lang w:val="en-US"/>
              </w:rPr>
            </w:pPr>
            <w:r>
              <w:rPr>
                <w:rFonts w:hint="default" w:ascii="Calibri" w:hAnsi="Calibri" w:eastAsia="Calibri" w:cs="Calibri"/>
                <w:snapToGrid w:val="0"/>
                <w:color w:val="000000"/>
                <w:kern w:val="2"/>
                <w:sz w:val="22"/>
                <w:szCs w:val="22"/>
                <w:lang w:val="en-US" w:eastAsia="zh-CN" w:bidi="ar"/>
              </w:rPr>
              <w:tab/>
            </w:r>
            <w:r>
              <w:rPr>
                <w:rFonts w:hint="default" w:ascii="Times New Roman" w:hAnsi="Times New Roman" w:eastAsia="Times New Roman" w:cs="Times New Roman"/>
                <w:snapToGrid w:val="0"/>
                <w:color w:val="000000"/>
                <w:kern w:val="2"/>
                <w:sz w:val="19"/>
                <w:szCs w:val="22"/>
                <w:u w:val="single" w:color="181717"/>
                <w:lang w:val="en-US" w:eastAsia="zh-CN" w:bidi="ar"/>
              </w:rPr>
              <w:t xml:space="preserve">31,392.6 </w:t>
            </w:r>
            <w:r>
              <w:rPr>
                <w:rFonts w:hint="default" w:ascii="Times New Roman" w:hAnsi="Times New Roman" w:eastAsia="Times New Roman" w:cs="Times New Roman"/>
                <w:snapToGrid w:val="0"/>
                <w:color w:val="000000"/>
                <w:kern w:val="2"/>
                <w:sz w:val="19"/>
                <w:szCs w:val="22"/>
                <w:u w:val="single" w:color="181717"/>
                <w:lang w:val="en-US" w:eastAsia="zh-CN" w:bidi="ar"/>
              </w:rPr>
              <w:tab/>
            </w:r>
            <w:r>
              <w:rPr>
                <w:rFonts w:hint="default" w:ascii="Times New Roman" w:hAnsi="Times New Roman" w:eastAsia="Times New Roman" w:cs="Times New Roman"/>
                <w:snapToGrid w:val="0"/>
                <w:color w:val="000000"/>
                <w:kern w:val="2"/>
                <w:sz w:val="19"/>
                <w:szCs w:val="22"/>
                <w:u w:val="single" w:color="181717"/>
                <w:lang w:val="en-US" w:eastAsia="zh-CN" w:bidi="ar"/>
              </w:rPr>
              <w:t xml:space="preserve">$ </w:t>
            </w:r>
          </w:p>
        </w:tc>
        <w:tc>
          <w:tcPr>
            <w:tcW w:w="805" w:type="dxa"/>
            <w:tcBorders>
              <w:top w:val="single" w:color="181717" w:sz="8" w:space="0"/>
              <w:left w:val="nil"/>
              <w:bottom w:val="single" w:color="181717" w:sz="8" w:space="0"/>
              <w:right w:val="nil"/>
            </w:tcBorders>
            <w:shd w:val="clear" w:color="auto" w:fill="FFFEFD"/>
            <w:vAlign w:val="top"/>
          </w:tcPr>
          <w:p>
            <w:pPr>
              <w:keepNext w:val="0"/>
              <w:keepLines w:val="0"/>
              <w:widowControl/>
              <w:suppressLineNumbers w:val="0"/>
              <w:spacing w:before="0" w:beforeAutospacing="0" w:after="0" w:afterAutospacing="0" w:line="256" w:lineRule="auto"/>
              <w:ind w:left="0" w:right="79"/>
              <w:jc w:val="right"/>
              <w:rPr>
                <w:rFonts w:hint="eastAsia"/>
                <w:lang w:val="en-US"/>
              </w:rPr>
            </w:pPr>
            <w:r>
              <w:rPr>
                <w:rFonts w:hint="default" w:ascii="Times New Roman" w:hAnsi="Times New Roman" w:eastAsia="Times New Roman" w:cs="Times New Roman"/>
                <w:snapToGrid w:val="0"/>
                <w:color w:val="000000"/>
                <w:kern w:val="2"/>
                <w:sz w:val="19"/>
                <w:szCs w:val="22"/>
                <w:u w:val="single" w:color="181717"/>
                <w:lang w:val="en-US" w:eastAsia="zh-CN" w:bidi="ar"/>
              </w:rPr>
              <w:t xml:space="preserve">29,374.5 </w:t>
            </w:r>
          </w:p>
        </w:tc>
      </w:tr>
    </w:tbl>
    <w:p>
      <w:pPr>
        <w:spacing w:line="198" w:lineRule="auto"/>
        <w:rPr>
          <w:rFonts w:hint="default"/>
          <w:lang w:val="en-US" w:eastAsia="zh-CN"/>
        </w:rPr>
      </w:pPr>
    </w:p>
    <w:p>
      <w:pPr>
        <w:spacing w:line="198" w:lineRule="auto"/>
        <w:rPr>
          <w:rFonts w:hint="default"/>
          <w:lang w:val="en-US" w:eastAsia="zh-CN"/>
        </w:rPr>
      </w:pPr>
    </w:p>
    <w:p>
      <w:pPr>
        <w:spacing w:line="198" w:lineRule="auto"/>
        <w:rPr>
          <w:rFonts w:hint="default"/>
          <w:lang w:val="en-US" w:eastAsia="zh-CN"/>
        </w:rPr>
      </w:pPr>
    </w:p>
    <w:p>
      <w:pPr>
        <w:keepNext w:val="0"/>
        <w:keepLines w:val="0"/>
        <w:widowControl/>
        <w:suppressLineNumbers w:val="0"/>
        <w:spacing w:before="0" w:beforeAutospacing="0" w:after="0" w:afterAutospacing="0" w:line="256" w:lineRule="auto"/>
        <w:ind w:left="10" w:right="34" w:hanging="10"/>
        <w:jc w:val="center"/>
        <w:rPr>
          <w:lang w:val="en-US"/>
        </w:rPr>
      </w:pPr>
      <w:r>
        <w:rPr>
          <w:rFonts w:hint="default" w:ascii="Times New Roman" w:hAnsi="Times New Roman" w:eastAsia="Times New Roman" w:cs="Times New Roman"/>
          <w:b/>
          <w:bCs w:val="0"/>
          <w:snapToGrid w:val="0"/>
          <w:color w:val="000000"/>
          <w:kern w:val="2"/>
          <w:sz w:val="19"/>
          <w:szCs w:val="22"/>
          <w:lang w:val="en-US" w:eastAsia="zh-CN" w:bidi="ar"/>
        </w:rPr>
        <w:t>STARBUCKS CORPORATION</w:t>
      </w:r>
    </w:p>
    <w:p>
      <w:pPr>
        <w:keepNext w:val="0"/>
        <w:keepLines w:val="0"/>
        <w:widowControl/>
        <w:suppressLineNumbers w:val="0"/>
        <w:spacing w:before="0" w:beforeAutospacing="0" w:after="0" w:afterAutospacing="0" w:line="256" w:lineRule="auto"/>
        <w:ind w:left="10" w:right="34" w:hanging="10"/>
        <w:jc w:val="center"/>
        <w:rPr>
          <w:lang w:val="en-US"/>
        </w:rPr>
      </w:pPr>
      <w:r>
        <w:rPr>
          <w:rFonts w:hint="default" w:ascii="Times New Roman" w:hAnsi="Times New Roman" w:eastAsia="Times New Roman" w:cs="Times New Roman"/>
          <w:b/>
          <w:bCs w:val="0"/>
          <w:snapToGrid w:val="0"/>
          <w:color w:val="000000"/>
          <w:kern w:val="2"/>
          <w:sz w:val="19"/>
          <w:szCs w:val="22"/>
          <w:lang w:val="en-US" w:eastAsia="zh-CN" w:bidi="ar"/>
        </w:rPr>
        <w:t>CONSOLIDATED STATEMENTS OF CASH FLOWS</w:t>
      </w:r>
    </w:p>
    <w:p>
      <w:pPr>
        <w:keepNext w:val="0"/>
        <w:keepLines w:val="0"/>
        <w:widowControl/>
        <w:suppressLineNumbers w:val="0"/>
        <w:spacing w:before="0" w:beforeAutospacing="0" w:after="31" w:afterAutospacing="0" w:line="256" w:lineRule="auto"/>
        <w:ind w:left="0" w:right="33"/>
        <w:jc w:val="center"/>
        <w:rPr>
          <w:rFonts w:hint="eastAsia" w:ascii="Times New Roman" w:hAnsi="Times New Roman" w:eastAsia="Times New Roman" w:cs="Times New Roman"/>
          <w:i/>
          <w:iCs w:val="0"/>
          <w:snapToGrid w:val="0"/>
          <w:color w:val="000000"/>
          <w:kern w:val="2"/>
          <w:sz w:val="19"/>
          <w:szCs w:val="22"/>
          <w:lang w:val="en-US" w:eastAsia="zh-CN" w:bidi="ar"/>
        </w:rPr>
      </w:pPr>
      <w:r>
        <w:rPr>
          <w:rFonts w:hint="default" w:ascii="Times New Roman" w:hAnsi="Times New Roman" w:eastAsia="Times New Roman" w:cs="Times New Roman"/>
          <w:i/>
          <w:iCs w:val="0"/>
          <w:snapToGrid w:val="0"/>
          <w:color w:val="000000"/>
          <w:kern w:val="2"/>
          <w:sz w:val="19"/>
          <w:szCs w:val="22"/>
          <w:lang w:val="en-US" w:eastAsia="zh-CN" w:bidi="ar"/>
        </w:rPr>
        <w:t>(in millions)</w:t>
      </w:r>
      <w:r>
        <w:rPr>
          <w:rFonts w:hint="eastAsia" w:ascii="Times New Roman" w:hAnsi="Times New Roman" w:eastAsia="Times New Roman" w:cs="Times New Roman"/>
          <w:i/>
          <w:iCs w:val="0"/>
          <w:snapToGrid w:val="0"/>
          <w:color w:val="000000"/>
          <w:kern w:val="2"/>
          <w:sz w:val="19"/>
          <w:szCs w:val="22"/>
          <w:lang w:val="en-US" w:eastAsia="zh-CN" w:bidi="ar"/>
        </w:rPr>
        <w:t xml:space="preserve">                              </w:t>
      </w:r>
    </w:p>
    <w:p>
      <w:pPr>
        <w:keepNext w:val="0"/>
        <w:keepLines w:val="0"/>
        <w:widowControl/>
        <w:suppressLineNumbers w:val="0"/>
        <w:spacing w:before="0" w:beforeAutospacing="0" w:after="31" w:afterAutospacing="0" w:line="256" w:lineRule="auto"/>
        <w:ind w:left="0" w:right="33" w:firstLine="3990" w:firstLineChars="2100"/>
        <w:jc w:val="both"/>
        <w:rPr>
          <w:rFonts w:hint="default" w:ascii="Times New Roman" w:hAnsi="Times New Roman" w:eastAsia="Times New Roman" w:cs="Times New Roman"/>
          <w:i/>
          <w:iCs w:val="0"/>
          <w:snapToGrid w:val="0"/>
          <w:color w:val="000000"/>
          <w:kern w:val="2"/>
          <w:sz w:val="19"/>
          <w:szCs w:val="22"/>
          <w:lang w:val="en-US" w:eastAsia="zh-CN" w:bidi="ar"/>
        </w:rPr>
      </w:pPr>
      <w:r>
        <w:rPr>
          <w:rFonts w:hint="eastAsia" w:ascii="Times New Roman" w:hAnsi="Times New Roman" w:eastAsia="Times New Roman" w:cs="Times New Roman"/>
          <w:i/>
          <w:iCs w:val="0"/>
          <w:snapToGrid w:val="0"/>
          <w:color w:val="000000"/>
          <w:kern w:val="2"/>
          <w:sz w:val="19"/>
          <w:szCs w:val="22"/>
          <w:lang w:val="en-US" w:eastAsia="zh-CN" w:bidi="ar"/>
        </w:rPr>
        <w:t xml:space="preserve">              Oct 3,     Sep 27         Sep 29,</w:t>
      </w:r>
    </w:p>
    <w:p>
      <w:pPr>
        <w:keepNext w:val="0"/>
        <w:keepLines w:val="0"/>
        <w:widowControl/>
        <w:suppressLineNumbers w:val="0"/>
        <w:spacing w:before="0" w:beforeAutospacing="0" w:after="31" w:afterAutospacing="0" w:line="256" w:lineRule="auto"/>
        <w:ind w:left="0" w:right="33" w:firstLine="3990" w:firstLineChars="2100"/>
        <w:jc w:val="both"/>
        <w:rPr>
          <w:rFonts w:hint="default" w:ascii="Times New Roman" w:hAnsi="Times New Roman" w:eastAsia="Times New Roman" w:cs="Times New Roman"/>
          <w:i/>
          <w:iCs w:val="0"/>
          <w:snapToGrid w:val="0"/>
          <w:color w:val="000000"/>
          <w:kern w:val="2"/>
          <w:sz w:val="19"/>
          <w:szCs w:val="22"/>
          <w:lang w:val="en-US" w:eastAsia="zh-CN" w:bidi="ar"/>
        </w:rPr>
      </w:pPr>
      <w:r>
        <w:rPr>
          <w:rFonts w:hint="eastAsia" w:ascii="Times New Roman" w:hAnsi="Times New Roman" w:eastAsia="Times New Roman" w:cs="Times New Roman"/>
          <w:i/>
          <w:iCs w:val="0"/>
          <w:snapToGrid w:val="0"/>
          <w:color w:val="000000"/>
          <w:kern w:val="2"/>
          <w:sz w:val="19"/>
          <w:szCs w:val="22"/>
          <w:lang w:val="en-US" w:eastAsia="zh-CN" w:bidi="ar"/>
        </w:rPr>
        <w:t xml:space="preserve">               2021       2020          2019                                                              </w:t>
      </w:r>
    </w:p>
    <w:p>
      <w:pPr>
        <w:spacing w:line="198" w:lineRule="auto"/>
        <w:rPr>
          <w:rFonts w:hint="default" w:ascii="Calibri" w:hAnsi="Calibri" w:eastAsia="Calibri" w:cs="Calibri"/>
          <w:snapToGrid w:val="0"/>
          <w:color w:val="000000"/>
          <w:kern w:val="2"/>
          <w:sz w:val="22"/>
          <w:szCs w:val="22"/>
          <w:lang w:val="en-US" w:eastAsia="zh-CN" w:bidi="ar"/>
        </w:rPr>
      </w:pPr>
      <w:r>
        <w:rPr>
          <w:rFonts w:hint="default" w:ascii="Times New Roman" w:hAnsi="Times New Roman" w:eastAsia="Times New Roman" w:cs="Times New Roman"/>
          <w:b/>
          <w:bCs w:val="0"/>
          <w:color w:val="181717"/>
          <w:sz w:val="11"/>
          <w:szCs w:val="20"/>
          <w:u w:val="single" w:color="181717"/>
          <w:lang w:val="en-US" w:eastAsia="zh-CN" w:bidi="ar"/>
        </w:rPr>
        <w:t>Fiscal Year Ended</w:t>
      </w:r>
      <w:r>
        <w:rPr>
          <w:rFonts w:hint="default" w:ascii="Times New Roman" w:hAnsi="Times New Roman" w:eastAsia="Times New Roman" w:cs="Times New Roman"/>
          <w:b/>
          <w:bCs w:val="0"/>
          <w:color w:val="181717"/>
          <w:sz w:val="11"/>
          <w:szCs w:val="20"/>
          <w:u w:val="single" w:color="181717"/>
          <w:lang w:val="en-US" w:eastAsia="zh-CN" w:bidi="ar"/>
        </w:rPr>
        <w:tab/>
      </w:r>
      <w:r>
        <w:rPr>
          <w:rFonts w:hint="eastAsia" w:ascii="Times New Roman" w:hAnsi="Times New Roman" w:eastAsia="Times New Roman" w:cs="Times New Roman"/>
          <w:b/>
          <w:bCs w:val="0"/>
          <w:color w:val="181717"/>
          <w:sz w:val="11"/>
          <w:szCs w:val="20"/>
          <w:u w:val="single" w:color="181717"/>
          <w:lang w:val="en-US" w:eastAsia="zh-CN" w:bidi="ar"/>
        </w:rPr>
        <w:t xml:space="preserve">                                                                                                                                                         </w:t>
      </w:r>
    </w:p>
    <w:p>
      <w:pPr>
        <w:keepNext w:val="0"/>
        <w:keepLines w:val="0"/>
        <w:widowControl/>
        <w:suppressLineNumbers w:val="0"/>
        <w:spacing w:before="0" w:beforeAutospacing="0" w:after="4" w:afterAutospacing="0" w:line="256" w:lineRule="auto"/>
        <w:ind w:left="46" w:right="0" w:hanging="10"/>
        <w:jc w:val="left"/>
        <w:rPr>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OPERATING ACTIVITIES:</w:t>
      </w:r>
    </w:p>
    <w:p>
      <w:pPr>
        <w:keepNext w:val="0"/>
        <w:keepLines w:val="0"/>
        <w:widowControl/>
        <w:suppressLineNumbers w:val="0"/>
        <w:tabs>
          <w:tab w:val="center" w:pos="5530"/>
          <w:tab w:val="center" w:pos="6513"/>
          <w:tab w:val="center" w:pos="7055"/>
          <w:tab w:val="center" w:pos="8111"/>
          <w:tab w:val="center" w:pos="8579"/>
          <w:tab w:val="right" w:pos="9966"/>
        </w:tabs>
        <w:spacing w:before="0" w:beforeAutospacing="0" w:after="4" w:afterAutospacing="0" w:line="256" w:lineRule="auto"/>
        <w:ind w:left="0" w:right="0"/>
        <w:jc w:val="left"/>
        <w:rPr>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Net earnings including noncontrolling interests</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$ 4,200.3 </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$ 924.7</w:t>
      </w:r>
      <w:r>
        <w:rPr>
          <w:rFonts w:hint="eastAsia" w:ascii="Times New Roman" w:hAnsi="Times New Roman" w:eastAsia="Times New Roman" w:cs="Times New Roman"/>
          <w:snapToGrid w:val="0"/>
          <w:color w:val="000000"/>
          <w:kern w:val="2"/>
          <w:sz w:val="16"/>
          <w:szCs w:val="20"/>
          <w:lang w:val="en-US" w:eastAsia="zh-CN" w:bidi="ar"/>
        </w:rPr>
        <w:t xml:space="preserve">    </w:t>
      </w:r>
      <w:r>
        <w:rPr>
          <w:rFonts w:hint="default" w:ascii="Times New Roman" w:hAnsi="Times New Roman" w:eastAsia="Times New Roman" w:cs="Times New Roman"/>
          <w:snapToGrid w:val="0"/>
          <w:color w:val="000000"/>
          <w:kern w:val="2"/>
          <w:sz w:val="16"/>
          <w:szCs w:val="20"/>
          <w:lang w:val="en-US" w:eastAsia="zh-CN" w:bidi="ar"/>
        </w:rPr>
        <w:t xml:space="preserve"> </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$ 3,594.6 </w:t>
      </w:r>
    </w:p>
    <w:p>
      <w:pPr>
        <w:keepNext w:val="0"/>
        <w:keepLines w:val="0"/>
        <w:widowControl/>
        <w:suppressLineNumbers w:val="0"/>
        <w:spacing w:before="0" w:beforeAutospacing="0" w:after="4" w:afterAutospacing="0" w:line="256" w:lineRule="auto"/>
        <w:ind w:left="46" w:right="4360" w:hanging="10"/>
        <w:jc w:val="left"/>
        <w:rPr>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Adjustments to reconcile net earnings to net cash provided by operating activities:</w:t>
      </w:r>
    </w:p>
    <w:p>
      <w:pPr>
        <w:keepNext w:val="0"/>
        <w:keepLines w:val="0"/>
        <w:widowControl/>
        <w:suppressLineNumbers w:val="0"/>
        <w:tabs>
          <w:tab w:val="center" w:pos="1576"/>
          <w:tab w:val="center" w:pos="5482"/>
          <w:tab w:val="center" w:pos="6513"/>
          <w:tab w:val="center" w:pos="7006"/>
          <w:tab w:val="center" w:pos="8038"/>
          <w:tab w:val="center" w:pos="8531"/>
          <w:tab w:val="right" w:pos="9966"/>
        </w:tabs>
        <w:spacing w:before="0" w:beforeAutospacing="0" w:after="4" w:afterAutospacing="0" w:line="256" w:lineRule="auto"/>
        <w:ind w:left="0" w:right="0"/>
        <w:jc w:val="left"/>
        <w:rPr>
          <w:sz w:val="20"/>
          <w:szCs w:val="20"/>
          <w:lang w:val="en-US"/>
        </w:rPr>
      </w:pPr>
      <w:r>
        <w:rPr>
          <w:rFonts w:hint="default" w:ascii="Calibri" w:hAnsi="Calibri" w:eastAsia="Calibri" w:cs="Calibri"/>
          <w:snapToGrid w:val="0"/>
          <w:color w:val="000000"/>
          <w:kern w:val="2"/>
          <w:sz w:val="20"/>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Depreciation and amortization</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 1,524.1 </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 1,503.2 </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 </w:t>
      </w:r>
      <w:r>
        <w:rPr>
          <w:rFonts w:hint="eastAsia" w:ascii="Times New Roman" w:hAnsi="Times New Roman" w:eastAsia="Times New Roman" w:cs="Times New Roman"/>
          <w:snapToGrid w:val="0"/>
          <w:color w:val="000000"/>
          <w:kern w:val="2"/>
          <w:sz w:val="16"/>
          <w:szCs w:val="20"/>
          <w:lang w:val="en-US" w:eastAsia="zh-CN" w:bidi="ar"/>
        </w:rPr>
        <w:t xml:space="preserve">          </w:t>
      </w:r>
      <w:r>
        <w:rPr>
          <w:rFonts w:hint="default" w:ascii="Times New Roman" w:hAnsi="Times New Roman" w:eastAsia="Times New Roman" w:cs="Times New Roman"/>
          <w:snapToGrid w:val="0"/>
          <w:color w:val="000000"/>
          <w:kern w:val="2"/>
          <w:sz w:val="16"/>
          <w:szCs w:val="20"/>
          <w:lang w:val="en-US" w:eastAsia="zh-CN" w:bidi="ar"/>
        </w:rPr>
        <w:t xml:space="preserve">1,449.3 </w:t>
      </w:r>
    </w:p>
    <w:p>
      <w:pPr>
        <w:keepNext w:val="0"/>
        <w:keepLines w:val="0"/>
        <w:widowControl/>
        <w:suppressLineNumbers w:val="0"/>
        <w:tabs>
          <w:tab w:val="center" w:pos="1442"/>
          <w:tab w:val="center" w:pos="5482"/>
          <w:tab w:val="center" w:pos="6586"/>
          <w:tab w:val="center" w:pos="8159"/>
          <w:tab w:val="right" w:pos="9966"/>
        </w:tabs>
        <w:spacing w:before="0" w:beforeAutospacing="0" w:after="4" w:afterAutospacing="0" w:line="256" w:lineRule="auto"/>
        <w:ind w:left="0" w:right="0"/>
        <w:jc w:val="left"/>
        <w:rPr>
          <w:sz w:val="20"/>
          <w:szCs w:val="20"/>
          <w:lang w:val="en-US"/>
        </w:rPr>
      </w:pPr>
      <w:r>
        <w:rPr>
          <w:rFonts w:hint="default" w:ascii="Calibri" w:hAnsi="Calibri" w:eastAsia="Calibri" w:cs="Calibri"/>
          <w:snapToGrid w:val="0"/>
          <w:color w:val="000000"/>
          <w:kern w:val="2"/>
          <w:sz w:val="20"/>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Deferred income taxes, net</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 (146.2)  </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(25.8)  </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(1,495.4) </w:t>
      </w:r>
    </w:p>
    <w:p>
      <w:pPr>
        <w:keepNext w:val="0"/>
        <w:keepLines w:val="0"/>
        <w:widowControl/>
        <w:suppressLineNumbers w:val="0"/>
        <w:tabs>
          <w:tab w:val="center" w:pos="2143"/>
          <w:tab w:val="center" w:pos="5482"/>
          <w:tab w:val="center" w:pos="6586"/>
          <w:tab w:val="center" w:pos="8111"/>
          <w:tab w:val="right" w:pos="9966"/>
        </w:tabs>
        <w:spacing w:before="0" w:beforeAutospacing="0" w:after="4" w:afterAutospacing="0" w:line="256" w:lineRule="auto"/>
        <w:ind w:left="0" w:right="0"/>
        <w:jc w:val="left"/>
        <w:rPr>
          <w:sz w:val="20"/>
          <w:szCs w:val="20"/>
          <w:lang w:val="en-US"/>
        </w:rPr>
      </w:pPr>
      <w:r>
        <w:rPr>
          <w:rFonts w:hint="default" w:ascii="Calibri" w:hAnsi="Calibri" w:eastAsia="Calibri" w:cs="Calibri"/>
          <w:snapToGrid w:val="0"/>
          <w:color w:val="000000"/>
          <w:kern w:val="2"/>
          <w:sz w:val="20"/>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Income earned from equity method investees</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 (347.3)  </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(280.7)  </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(250.6) </w:t>
      </w:r>
    </w:p>
    <w:p>
      <w:pPr>
        <w:keepNext w:val="0"/>
        <w:keepLines w:val="0"/>
        <w:widowControl/>
        <w:suppressLineNumbers w:val="0"/>
        <w:tabs>
          <w:tab w:val="center" w:pos="2428"/>
          <w:tab w:val="center" w:pos="5482"/>
          <w:tab w:val="center" w:pos="6586"/>
          <w:tab w:val="center" w:pos="7006"/>
          <w:tab w:val="center" w:pos="8111"/>
          <w:tab w:val="center" w:pos="8531"/>
          <w:tab w:val="right" w:pos="9966"/>
        </w:tabs>
        <w:spacing w:before="0" w:beforeAutospacing="0" w:after="4" w:afterAutospacing="0" w:line="256" w:lineRule="auto"/>
        <w:ind w:left="0" w:right="0"/>
        <w:jc w:val="left"/>
        <w:rPr>
          <w:sz w:val="20"/>
          <w:szCs w:val="20"/>
          <w:lang w:val="en-US"/>
        </w:rPr>
      </w:pPr>
      <w:r>
        <w:rPr>
          <w:rFonts w:hint="default" w:ascii="Calibri" w:hAnsi="Calibri" w:eastAsia="Calibri" w:cs="Calibri"/>
          <w:snapToGrid w:val="0"/>
          <w:color w:val="000000"/>
          <w:kern w:val="2"/>
          <w:sz w:val="20"/>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Distributions received from equity method investees</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 336.0 </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 227.7 </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 </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216.8 </w:t>
      </w:r>
    </w:p>
    <w:p>
      <w:pPr>
        <w:keepNext w:val="0"/>
        <w:keepLines w:val="0"/>
        <w:widowControl/>
        <w:suppressLineNumbers w:val="0"/>
        <w:tabs>
          <w:tab w:val="center" w:pos="2556"/>
          <w:tab w:val="center" w:pos="5482"/>
          <w:tab w:val="center" w:pos="6586"/>
          <w:tab w:val="center" w:pos="8232"/>
          <w:tab w:val="center" w:pos="8531"/>
          <w:tab w:val="right" w:pos="9966"/>
        </w:tabs>
        <w:spacing w:before="0" w:beforeAutospacing="0" w:after="4" w:afterAutospacing="0" w:line="256" w:lineRule="auto"/>
        <w:ind w:left="0" w:right="0"/>
        <w:jc w:val="left"/>
        <w:rPr>
          <w:sz w:val="20"/>
          <w:szCs w:val="20"/>
          <w:lang w:val="en-US"/>
        </w:rPr>
      </w:pPr>
      <w:r>
        <w:rPr>
          <w:rFonts w:hint="default" w:ascii="Calibri" w:hAnsi="Calibri" w:eastAsia="Calibri" w:cs="Calibri"/>
          <w:snapToGrid w:val="0"/>
          <w:color w:val="000000"/>
          <w:kern w:val="2"/>
          <w:sz w:val="20"/>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Net gain resulting from divestiture of certain operations</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 (864.5)  </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  </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(622.8) </w:t>
      </w:r>
    </w:p>
    <w:p>
      <w:pPr>
        <w:keepNext w:val="0"/>
        <w:keepLines w:val="0"/>
        <w:widowControl/>
        <w:suppressLineNumbers w:val="0"/>
        <w:tabs>
          <w:tab w:val="center" w:pos="1434"/>
          <w:tab w:val="center" w:pos="5482"/>
          <w:tab w:val="center" w:pos="6586"/>
          <w:tab w:val="center" w:pos="7006"/>
          <w:tab w:val="center" w:pos="8111"/>
          <w:tab w:val="center" w:pos="8531"/>
          <w:tab w:val="right" w:pos="9966"/>
        </w:tabs>
        <w:spacing w:before="0" w:beforeAutospacing="0" w:after="32" w:afterAutospacing="0" w:line="256" w:lineRule="auto"/>
        <w:ind w:left="0" w:right="0"/>
        <w:jc w:val="left"/>
        <w:rPr>
          <w:sz w:val="20"/>
          <w:szCs w:val="20"/>
          <w:lang w:val="en-US"/>
        </w:rPr>
      </w:pPr>
      <w:r>
        <w:rPr>
          <w:rFonts w:hint="default" w:ascii="Calibri" w:hAnsi="Calibri" w:eastAsia="Calibri" w:cs="Calibri"/>
          <w:snapToGrid w:val="0"/>
          <w:color w:val="000000"/>
          <w:kern w:val="2"/>
          <w:sz w:val="20"/>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Stock-based compensation</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 319.1 </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 248.6 </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 </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308.0 </w:t>
      </w:r>
    </w:p>
    <w:p>
      <w:pPr>
        <w:keepNext w:val="0"/>
        <w:keepLines w:val="0"/>
        <w:widowControl/>
        <w:suppressLineNumbers w:val="0"/>
        <w:tabs>
          <w:tab w:val="center" w:pos="1273"/>
          <w:tab w:val="center" w:pos="5482"/>
          <w:tab w:val="center" w:pos="6707"/>
          <w:tab w:val="center" w:pos="7006"/>
          <w:tab w:val="center" w:pos="8232"/>
          <w:tab w:val="center" w:pos="8531"/>
          <w:tab w:val="right" w:pos="9966"/>
        </w:tabs>
        <w:spacing w:before="0" w:beforeAutospacing="0" w:after="4" w:afterAutospacing="0" w:line="256" w:lineRule="auto"/>
        <w:ind w:left="0" w:right="0"/>
        <w:jc w:val="left"/>
        <w:rPr>
          <w:sz w:val="20"/>
          <w:szCs w:val="20"/>
          <w:lang w:val="en-US"/>
        </w:rPr>
      </w:pPr>
      <w:r>
        <w:rPr>
          <w:rFonts w:hint="default" w:ascii="Calibri" w:hAnsi="Calibri" w:eastAsia="Calibri" w:cs="Calibri"/>
          <w:snapToGrid w:val="0"/>
          <w:color w:val="000000"/>
          <w:kern w:val="2"/>
          <w:sz w:val="20"/>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Goodwill impairments</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 — </w:t>
      </w:r>
      <w:r>
        <w:rPr>
          <w:rFonts w:hint="eastAsia" w:ascii="Times New Roman" w:hAnsi="Times New Roman" w:eastAsia="Times New Roman" w:cs="Times New Roman"/>
          <w:snapToGrid w:val="0"/>
          <w:color w:val="000000"/>
          <w:kern w:val="2"/>
          <w:sz w:val="16"/>
          <w:szCs w:val="20"/>
          <w:lang w:val="en-US" w:eastAsia="zh-CN" w:bidi="ar"/>
        </w:rPr>
        <w:t xml:space="preserve">    </w:t>
      </w:r>
      <w:r>
        <w:rPr>
          <w:rFonts w:hint="default" w:ascii="Times New Roman" w:hAnsi="Times New Roman" w:eastAsia="Times New Roman" w:cs="Times New Roman"/>
          <w:snapToGrid w:val="0"/>
          <w:color w:val="000000"/>
          <w:kern w:val="2"/>
          <w:sz w:val="16"/>
          <w:szCs w:val="20"/>
          <w:lang w:val="en-US" w:eastAsia="zh-CN" w:bidi="ar"/>
        </w:rPr>
        <w:t xml:space="preserve"> </w:t>
      </w:r>
      <w:r>
        <w:rPr>
          <w:rFonts w:hint="default" w:ascii="Times New Roman" w:hAnsi="Times New Roman" w:eastAsia="Times New Roman" w:cs="Times New Roman"/>
          <w:snapToGrid w:val="0"/>
          <w:color w:val="000000"/>
          <w:kern w:val="2"/>
          <w:sz w:val="16"/>
          <w:szCs w:val="20"/>
          <w:lang w:val="en-US" w:eastAsia="zh-CN" w:bidi="ar"/>
        </w:rPr>
        <w:tab/>
      </w:r>
      <w:r>
        <w:rPr>
          <w:rFonts w:hint="eastAsia" w:ascii="Times New Roman" w:hAnsi="Times New Roman" w:eastAsia="Times New Roman" w:cs="Times New Roman"/>
          <w:snapToGrid w:val="0"/>
          <w:color w:val="000000"/>
          <w:kern w:val="2"/>
          <w:sz w:val="16"/>
          <w:szCs w:val="20"/>
          <w:lang w:val="en-US" w:eastAsia="zh-CN" w:bidi="ar"/>
        </w:rPr>
        <w:t xml:space="preserve">     </w:t>
      </w:r>
      <w:r>
        <w:rPr>
          <w:rFonts w:hint="default" w:ascii="Times New Roman" w:hAnsi="Times New Roman" w:eastAsia="Times New Roman" w:cs="Times New Roman"/>
          <w:snapToGrid w:val="0"/>
          <w:color w:val="000000"/>
          <w:kern w:val="2"/>
          <w:sz w:val="16"/>
          <w:szCs w:val="20"/>
          <w:lang w:val="en-US" w:eastAsia="zh-CN" w:bidi="ar"/>
        </w:rPr>
        <w:t>—</w:t>
      </w:r>
      <w:r>
        <w:rPr>
          <w:rFonts w:hint="eastAsia" w:ascii="Times New Roman" w:hAnsi="Times New Roman" w:eastAsia="Times New Roman" w:cs="Times New Roman"/>
          <w:snapToGrid w:val="0"/>
          <w:color w:val="000000"/>
          <w:kern w:val="2"/>
          <w:sz w:val="16"/>
          <w:szCs w:val="20"/>
          <w:lang w:val="en-US" w:eastAsia="zh-CN" w:bidi="ar"/>
        </w:rPr>
        <w:t xml:space="preserve">                 </w:t>
      </w:r>
      <w:r>
        <w:rPr>
          <w:rFonts w:hint="default" w:ascii="Times New Roman" w:hAnsi="Times New Roman" w:eastAsia="Times New Roman" w:cs="Times New Roman"/>
          <w:snapToGrid w:val="0"/>
          <w:color w:val="000000"/>
          <w:kern w:val="2"/>
          <w:sz w:val="16"/>
          <w:szCs w:val="20"/>
          <w:lang w:val="en-US" w:eastAsia="zh-CN" w:bidi="ar"/>
        </w:rPr>
        <w:t xml:space="preserve">10.5 </w:t>
      </w:r>
    </w:p>
    <w:p>
      <w:pPr>
        <w:keepNext w:val="0"/>
        <w:keepLines w:val="0"/>
        <w:widowControl/>
        <w:suppressLineNumbers w:val="0"/>
        <w:tabs>
          <w:tab w:val="center" w:pos="1168"/>
          <w:tab w:val="center" w:pos="5482"/>
          <w:tab w:val="center" w:pos="6513"/>
          <w:tab w:val="center" w:pos="7006"/>
          <w:tab w:val="center" w:pos="8038"/>
          <w:tab w:val="center" w:pos="8531"/>
          <w:tab w:val="right" w:pos="9966"/>
        </w:tabs>
        <w:spacing w:before="0" w:beforeAutospacing="0" w:after="34" w:afterAutospacing="0" w:line="256" w:lineRule="auto"/>
        <w:ind w:left="0" w:right="0"/>
        <w:jc w:val="left"/>
        <w:rPr>
          <w:sz w:val="20"/>
          <w:szCs w:val="20"/>
          <w:lang w:val="en-US"/>
        </w:rPr>
      </w:pPr>
      <w:r>
        <w:rPr>
          <w:rFonts w:hint="default" w:ascii="Calibri" w:hAnsi="Calibri" w:eastAsia="Calibri" w:cs="Calibri"/>
          <w:snapToGrid w:val="0"/>
          <w:color w:val="000000"/>
          <w:kern w:val="2"/>
          <w:sz w:val="20"/>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Non-cash lease cost</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 1,248.6 </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 1,197.6 </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 </w:t>
      </w:r>
      <w:r>
        <w:rPr>
          <w:rFonts w:hint="default" w:ascii="Times New Roman" w:hAnsi="Times New Roman" w:eastAsia="Times New Roman" w:cs="Times New Roman"/>
          <w:snapToGrid w:val="0"/>
          <w:color w:val="000000"/>
          <w:kern w:val="2"/>
          <w:sz w:val="16"/>
          <w:szCs w:val="20"/>
          <w:lang w:val="en-US" w:eastAsia="zh-CN" w:bidi="ar"/>
        </w:rPr>
        <w:tab/>
      </w:r>
      <w:r>
        <w:rPr>
          <w:rFonts w:hint="eastAsia" w:ascii="Times New Roman" w:hAnsi="Times New Roman" w:eastAsia="Times New Roman" w:cs="Times New Roman"/>
          <w:snapToGrid w:val="0"/>
          <w:color w:val="000000"/>
          <w:kern w:val="2"/>
          <w:sz w:val="16"/>
          <w:szCs w:val="20"/>
          <w:lang w:val="en-US" w:eastAsia="zh-CN" w:bidi="ar"/>
        </w:rPr>
        <w:t xml:space="preserve">   </w:t>
      </w:r>
      <w:r>
        <w:rPr>
          <w:rFonts w:hint="default" w:ascii="Times New Roman" w:hAnsi="Times New Roman" w:eastAsia="Times New Roman" w:cs="Times New Roman"/>
          <w:snapToGrid w:val="0"/>
          <w:color w:val="000000"/>
          <w:kern w:val="2"/>
          <w:sz w:val="16"/>
          <w:szCs w:val="20"/>
          <w:lang w:val="en-US" w:eastAsia="zh-CN" w:bidi="ar"/>
        </w:rPr>
        <w:t xml:space="preserve">— </w:t>
      </w:r>
    </w:p>
    <w:p>
      <w:pPr>
        <w:keepNext w:val="0"/>
        <w:keepLines w:val="0"/>
        <w:widowControl/>
        <w:suppressLineNumbers w:val="0"/>
        <w:tabs>
          <w:tab w:val="center" w:pos="2113"/>
          <w:tab w:val="center" w:pos="5482"/>
          <w:tab w:val="center" w:pos="6586"/>
          <w:tab w:val="center" w:pos="7006"/>
          <w:tab w:val="center" w:pos="8111"/>
          <w:tab w:val="center" w:pos="8531"/>
          <w:tab w:val="right" w:pos="9966"/>
        </w:tabs>
        <w:spacing w:before="0" w:beforeAutospacing="0" w:after="4" w:afterAutospacing="0" w:line="256" w:lineRule="auto"/>
        <w:ind w:left="0" w:right="0"/>
        <w:jc w:val="left"/>
        <w:rPr>
          <w:sz w:val="20"/>
          <w:szCs w:val="20"/>
          <w:lang w:val="en-US"/>
        </w:rPr>
      </w:pPr>
      <w:r>
        <w:rPr>
          <w:rFonts w:hint="default" w:ascii="Calibri" w:hAnsi="Calibri" w:eastAsia="Calibri" w:cs="Calibri"/>
          <w:snapToGrid w:val="0"/>
          <w:color w:val="000000"/>
          <w:kern w:val="2"/>
          <w:sz w:val="20"/>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Loss on retirement and impairment of assets</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 226.2 </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454.4 </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 </w:t>
      </w:r>
      <w:r>
        <w:rPr>
          <w:rFonts w:hint="default" w:ascii="Times New Roman" w:hAnsi="Times New Roman" w:eastAsia="Times New Roman" w:cs="Times New Roman"/>
          <w:snapToGrid w:val="0"/>
          <w:color w:val="000000"/>
          <w:kern w:val="2"/>
          <w:sz w:val="16"/>
          <w:szCs w:val="20"/>
          <w:lang w:val="en-US" w:eastAsia="zh-CN" w:bidi="ar"/>
        </w:rPr>
        <w:tab/>
      </w:r>
      <w:r>
        <w:rPr>
          <w:rFonts w:hint="eastAsia" w:ascii="Times New Roman" w:hAnsi="Times New Roman" w:eastAsia="Times New Roman" w:cs="Times New Roman"/>
          <w:snapToGrid w:val="0"/>
          <w:color w:val="000000"/>
          <w:kern w:val="2"/>
          <w:sz w:val="16"/>
          <w:szCs w:val="20"/>
          <w:lang w:val="en-US" w:eastAsia="zh-CN" w:bidi="ar"/>
        </w:rPr>
        <w:t xml:space="preserve"> </w:t>
      </w:r>
      <w:r>
        <w:rPr>
          <w:rFonts w:hint="default" w:ascii="Times New Roman" w:hAnsi="Times New Roman" w:eastAsia="Times New Roman" w:cs="Times New Roman"/>
          <w:snapToGrid w:val="0"/>
          <w:color w:val="000000"/>
          <w:kern w:val="2"/>
          <w:sz w:val="16"/>
          <w:szCs w:val="20"/>
          <w:lang w:val="en-US" w:eastAsia="zh-CN" w:bidi="ar"/>
        </w:rPr>
        <w:t xml:space="preserve">142.6 </w:t>
      </w:r>
    </w:p>
    <w:p>
      <w:pPr>
        <w:keepNext w:val="0"/>
        <w:keepLines w:val="0"/>
        <w:widowControl/>
        <w:suppressLineNumbers w:val="0"/>
        <w:tabs>
          <w:tab w:val="center" w:pos="620"/>
          <w:tab w:val="center" w:pos="5482"/>
          <w:tab w:val="center" w:pos="6683"/>
          <w:tab w:val="center" w:pos="8159"/>
          <w:tab w:val="center" w:pos="8531"/>
          <w:tab w:val="right" w:pos="9966"/>
        </w:tabs>
        <w:spacing w:before="0" w:beforeAutospacing="0" w:after="4" w:afterAutospacing="0" w:line="256" w:lineRule="auto"/>
        <w:ind w:left="0" w:right="0"/>
        <w:jc w:val="left"/>
        <w:rPr>
          <w:sz w:val="20"/>
          <w:szCs w:val="20"/>
          <w:lang w:val="en-US"/>
        </w:rPr>
      </w:pPr>
      <w:r>
        <w:rPr>
          <w:rFonts w:hint="default" w:ascii="Calibri" w:hAnsi="Calibri" w:eastAsia="Calibri" w:cs="Calibri"/>
          <w:snapToGrid w:val="0"/>
          <w:color w:val="000000"/>
          <w:kern w:val="2"/>
          <w:sz w:val="20"/>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Other</w:t>
      </w:r>
      <w:r>
        <w:rPr>
          <w:rFonts w:hint="default" w:ascii="Times New Roman" w:hAnsi="Times New Roman" w:eastAsia="Times New Roman" w:cs="Times New Roman"/>
          <w:snapToGrid w:val="0"/>
          <w:color w:val="000000"/>
          <w:kern w:val="2"/>
          <w:sz w:val="16"/>
          <w:szCs w:val="20"/>
          <w:lang w:val="en-US" w:eastAsia="zh-CN" w:bidi="ar"/>
        </w:rPr>
        <w:tab/>
      </w:r>
      <w:r>
        <w:rPr>
          <w:rFonts w:hint="eastAsia" w:ascii="Times New Roman" w:hAnsi="Times New Roman" w:eastAsia="Times New Roman" w:cs="Times New Roman"/>
          <w:snapToGrid w:val="0"/>
          <w:color w:val="000000"/>
          <w:kern w:val="2"/>
          <w:sz w:val="16"/>
          <w:szCs w:val="20"/>
          <w:lang w:val="en-US" w:eastAsia="zh-CN" w:bidi="ar"/>
        </w:rPr>
        <w:t xml:space="preserve">             </w:t>
      </w:r>
      <w:r>
        <w:rPr>
          <w:rFonts w:hint="default" w:ascii="Times New Roman" w:hAnsi="Times New Roman" w:eastAsia="Times New Roman" w:cs="Times New Roman"/>
          <w:snapToGrid w:val="0"/>
          <w:color w:val="000000"/>
          <w:kern w:val="2"/>
          <w:sz w:val="16"/>
          <w:szCs w:val="20"/>
          <w:lang w:val="en-US" w:eastAsia="zh-CN" w:bidi="ar"/>
        </w:rPr>
        <w:t xml:space="preserve">(6.0)  </w:t>
      </w:r>
      <w:r>
        <w:rPr>
          <w:rFonts w:hint="eastAsia" w:ascii="Times New Roman" w:hAnsi="Times New Roman" w:eastAsia="Times New Roman" w:cs="Times New Roman"/>
          <w:snapToGrid w:val="0"/>
          <w:color w:val="000000"/>
          <w:kern w:val="2"/>
          <w:sz w:val="16"/>
          <w:szCs w:val="20"/>
          <w:lang w:val="en-US" w:eastAsia="zh-CN" w:bidi="ar"/>
        </w:rPr>
        <w:t xml:space="preserve">        </w:t>
      </w:r>
      <w:r>
        <w:rPr>
          <w:rFonts w:hint="default" w:ascii="Times New Roman" w:hAnsi="Times New Roman" w:eastAsia="Times New Roman" w:cs="Times New Roman"/>
          <w:snapToGrid w:val="0"/>
          <w:color w:val="000000"/>
          <w:kern w:val="2"/>
          <w:sz w:val="16"/>
          <w:szCs w:val="20"/>
          <w:lang w:val="en-US" w:eastAsia="zh-CN" w:bidi="ar"/>
        </w:rPr>
        <w:t xml:space="preserve">24.5 </w:t>
      </w:r>
      <w:r>
        <w:rPr>
          <w:rFonts w:hint="eastAsia" w:ascii="Times New Roman" w:hAnsi="Times New Roman" w:eastAsia="Times New Roman" w:cs="Times New Roman"/>
          <w:snapToGrid w:val="0"/>
          <w:color w:val="000000"/>
          <w:kern w:val="2"/>
          <w:sz w:val="16"/>
          <w:szCs w:val="20"/>
          <w:lang w:val="en-US" w:eastAsia="zh-CN" w:bidi="ar"/>
        </w:rPr>
        <w:t xml:space="preserve"> </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45.3 </w:t>
      </w:r>
    </w:p>
    <w:p>
      <w:pPr>
        <w:keepNext w:val="0"/>
        <w:keepLines w:val="0"/>
        <w:widowControl/>
        <w:suppressLineNumbers w:val="0"/>
        <w:spacing w:before="0" w:beforeAutospacing="0" w:after="4" w:afterAutospacing="0" w:line="256" w:lineRule="auto"/>
        <w:ind w:left="410" w:right="4167" w:hanging="10"/>
        <w:jc w:val="left"/>
        <w:rPr>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Cash provided by/(used in) changes in operating assets and liabilities:</w:t>
      </w:r>
    </w:p>
    <w:p>
      <w:pPr>
        <w:keepNext w:val="0"/>
        <w:keepLines w:val="0"/>
        <w:widowControl/>
        <w:suppressLineNumbers w:val="0"/>
        <w:tabs>
          <w:tab w:val="center" w:pos="1535"/>
          <w:tab w:val="center" w:pos="5482"/>
          <w:tab w:val="center" w:pos="6634"/>
          <w:tab w:val="center" w:pos="8207"/>
          <w:tab w:val="right" w:pos="9966"/>
        </w:tabs>
        <w:spacing w:before="0" w:beforeAutospacing="0" w:after="4" w:afterAutospacing="0" w:line="256" w:lineRule="auto"/>
        <w:ind w:left="0" w:right="0"/>
        <w:jc w:val="left"/>
        <w:rPr>
          <w:sz w:val="20"/>
          <w:szCs w:val="20"/>
          <w:lang w:val="en-US"/>
        </w:rPr>
      </w:pPr>
      <w:r>
        <w:rPr>
          <w:rFonts w:hint="default" w:ascii="Calibri" w:hAnsi="Calibri" w:eastAsia="Calibri" w:cs="Calibri"/>
          <w:snapToGrid w:val="0"/>
          <w:color w:val="000000"/>
          <w:kern w:val="2"/>
          <w:sz w:val="20"/>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Accounts receivable</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 (43.0)  </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(2.7)  </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(197.7) </w:t>
      </w:r>
    </w:p>
    <w:p>
      <w:pPr>
        <w:keepNext w:val="0"/>
        <w:keepLines w:val="0"/>
        <w:widowControl/>
        <w:suppressLineNumbers w:val="0"/>
        <w:tabs>
          <w:tab w:val="center" w:pos="1183"/>
          <w:tab w:val="center" w:pos="5482"/>
          <w:tab w:val="center" w:pos="6634"/>
          <w:tab w:val="center" w:pos="8159"/>
          <w:tab w:val="right" w:pos="9966"/>
        </w:tabs>
        <w:spacing w:before="0" w:beforeAutospacing="0" w:after="4" w:afterAutospacing="0" w:line="256" w:lineRule="auto"/>
        <w:ind w:left="0" w:right="0"/>
        <w:jc w:val="left"/>
        <w:rPr>
          <w:sz w:val="20"/>
          <w:szCs w:val="20"/>
          <w:lang w:val="en-US"/>
        </w:rPr>
      </w:pPr>
      <w:r>
        <w:rPr>
          <w:rFonts w:hint="default" w:ascii="Calibri" w:hAnsi="Calibri" w:eastAsia="Calibri" w:cs="Calibri"/>
          <w:snapToGrid w:val="0"/>
          <w:color w:val="000000"/>
          <w:kern w:val="2"/>
          <w:sz w:val="20"/>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Inventories</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 (49.8)  </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(10.9)  </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(173.0) </w:t>
      </w:r>
    </w:p>
    <w:p>
      <w:pPr>
        <w:keepNext w:val="0"/>
        <w:keepLines w:val="0"/>
        <w:widowControl/>
        <w:suppressLineNumbers w:val="0"/>
        <w:tabs>
          <w:tab w:val="center" w:pos="2352"/>
          <w:tab w:val="center" w:pos="5482"/>
          <w:tab w:val="center" w:pos="6586"/>
          <w:tab w:val="center" w:pos="7006"/>
          <w:tab w:val="center" w:pos="8111"/>
          <w:tab w:val="right" w:pos="9966"/>
        </w:tabs>
        <w:spacing w:before="0" w:beforeAutospacing="0" w:after="4" w:afterAutospacing="0" w:line="256" w:lineRule="auto"/>
        <w:ind w:left="0" w:right="0"/>
        <w:jc w:val="left"/>
        <w:rPr>
          <w:sz w:val="20"/>
          <w:szCs w:val="20"/>
          <w:lang w:val="en-US"/>
        </w:rPr>
      </w:pPr>
      <w:r>
        <w:rPr>
          <w:rFonts w:hint="default" w:ascii="Calibri" w:hAnsi="Calibri" w:eastAsia="Calibri" w:cs="Calibri"/>
          <w:snapToGrid w:val="0"/>
          <w:color w:val="000000"/>
          <w:kern w:val="2"/>
          <w:sz w:val="20"/>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Prepaid expenses and other current assets</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 251.1 </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(317.5)  </w:t>
      </w:r>
      <w:r>
        <w:rPr>
          <w:rFonts w:hint="eastAsia" w:ascii="Times New Roman" w:hAnsi="Times New Roman" w:eastAsia="Times New Roman" w:cs="Times New Roman"/>
          <w:snapToGrid w:val="0"/>
          <w:color w:val="000000"/>
          <w:kern w:val="2"/>
          <w:sz w:val="16"/>
          <w:szCs w:val="20"/>
          <w:lang w:val="en-US" w:eastAsia="zh-CN" w:bidi="ar"/>
        </w:rPr>
        <w:t xml:space="preserve">  </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922.0 </w:t>
      </w:r>
    </w:p>
    <w:p>
      <w:pPr>
        <w:keepNext w:val="0"/>
        <w:keepLines w:val="0"/>
        <w:widowControl/>
        <w:suppressLineNumbers w:val="0"/>
        <w:tabs>
          <w:tab w:val="center" w:pos="1586"/>
          <w:tab w:val="center" w:pos="5482"/>
          <w:tab w:val="center" w:pos="6586"/>
          <w:tab w:val="center" w:pos="7006"/>
          <w:tab w:val="center" w:pos="8038"/>
          <w:tab w:val="right" w:pos="9966"/>
        </w:tabs>
        <w:spacing w:before="0" w:beforeAutospacing="0" w:after="4" w:afterAutospacing="0" w:line="256" w:lineRule="auto"/>
        <w:ind w:left="0" w:right="0"/>
        <w:jc w:val="left"/>
        <w:rPr>
          <w:sz w:val="20"/>
          <w:szCs w:val="20"/>
          <w:lang w:val="en-US"/>
        </w:rPr>
      </w:pPr>
      <w:r>
        <w:rPr>
          <w:rFonts w:hint="default" w:ascii="Calibri" w:hAnsi="Calibri" w:eastAsia="Calibri" w:cs="Calibri"/>
          <w:snapToGrid w:val="0"/>
          <w:color w:val="000000"/>
          <w:kern w:val="2"/>
          <w:sz w:val="20"/>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Income taxes payable</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 286.1 </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 (1,214.6)  </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1,237.1 </w:t>
      </w:r>
    </w:p>
    <w:p>
      <w:pPr>
        <w:keepNext w:val="0"/>
        <w:keepLines w:val="0"/>
        <w:widowControl/>
        <w:suppressLineNumbers w:val="0"/>
        <w:tabs>
          <w:tab w:val="center" w:pos="1439"/>
          <w:tab w:val="center" w:pos="5482"/>
          <w:tab w:val="center" w:pos="6586"/>
          <w:tab w:val="center" w:pos="7006"/>
          <w:tab w:val="center" w:pos="8111"/>
          <w:tab w:val="right" w:pos="9966"/>
        </w:tabs>
        <w:spacing w:before="0" w:beforeAutospacing="0" w:after="4" w:afterAutospacing="0" w:line="256" w:lineRule="auto"/>
        <w:ind w:left="0" w:right="0"/>
        <w:jc w:val="left"/>
        <w:rPr>
          <w:sz w:val="20"/>
          <w:szCs w:val="20"/>
          <w:lang w:val="en-US"/>
        </w:rPr>
      </w:pPr>
      <w:r>
        <w:rPr>
          <w:rFonts w:hint="default" w:ascii="Calibri" w:hAnsi="Calibri" w:eastAsia="Calibri" w:cs="Calibri"/>
          <w:snapToGrid w:val="0"/>
          <w:color w:val="000000"/>
          <w:kern w:val="2"/>
          <w:sz w:val="20"/>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Accounts payable</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 189.9 </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 (210.8)  </w:t>
      </w:r>
      <w:r>
        <w:rPr>
          <w:rFonts w:hint="eastAsia" w:ascii="Times New Roman" w:hAnsi="Times New Roman" w:eastAsia="Times New Roman" w:cs="Times New Roman"/>
          <w:snapToGrid w:val="0"/>
          <w:color w:val="000000"/>
          <w:kern w:val="2"/>
          <w:sz w:val="16"/>
          <w:szCs w:val="20"/>
          <w:lang w:val="en-US" w:eastAsia="zh-CN" w:bidi="ar"/>
        </w:rPr>
        <w:t xml:space="preserve">  </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31.9 </w:t>
      </w:r>
    </w:p>
    <w:p>
      <w:pPr>
        <w:keepNext w:val="0"/>
        <w:keepLines w:val="0"/>
        <w:widowControl/>
        <w:suppressLineNumbers w:val="0"/>
        <w:tabs>
          <w:tab w:val="center" w:pos="1422"/>
          <w:tab w:val="center" w:pos="5482"/>
          <w:tab w:val="center" w:pos="6683"/>
          <w:tab w:val="center" w:pos="8159"/>
          <w:tab w:val="center" w:pos="8531"/>
          <w:tab w:val="right" w:pos="9966"/>
        </w:tabs>
        <w:spacing w:before="0" w:beforeAutospacing="0" w:after="27" w:afterAutospacing="0" w:line="256" w:lineRule="auto"/>
        <w:ind w:left="0" w:right="0"/>
        <w:jc w:val="left"/>
        <w:rPr>
          <w:sz w:val="20"/>
          <w:szCs w:val="20"/>
          <w:lang w:val="en-US"/>
        </w:rPr>
      </w:pPr>
      <w:r>
        <w:rPr>
          <w:rFonts w:hint="default" w:ascii="Calibri" w:hAnsi="Calibri" w:eastAsia="Calibri" w:cs="Calibri"/>
          <w:snapToGrid w:val="0"/>
          <w:color w:val="000000"/>
          <w:kern w:val="2"/>
          <w:sz w:val="20"/>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Deferred revenue</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 (6.1)  </w:t>
      </w:r>
      <w:r>
        <w:rPr>
          <w:rFonts w:hint="default" w:ascii="Times New Roman" w:hAnsi="Times New Roman" w:eastAsia="Times New Roman" w:cs="Times New Roman"/>
          <w:snapToGrid w:val="0"/>
          <w:color w:val="000000"/>
          <w:kern w:val="2"/>
          <w:sz w:val="16"/>
          <w:szCs w:val="20"/>
          <w:lang w:val="en-US" w:eastAsia="zh-CN" w:bidi="ar"/>
        </w:rPr>
        <w:tab/>
      </w:r>
      <w:r>
        <w:rPr>
          <w:rFonts w:hint="eastAsia" w:ascii="Times New Roman" w:hAnsi="Times New Roman" w:eastAsia="Times New Roman" w:cs="Times New Roman"/>
          <w:snapToGrid w:val="0"/>
          <w:color w:val="000000"/>
          <w:kern w:val="2"/>
          <w:sz w:val="16"/>
          <w:szCs w:val="20"/>
          <w:lang w:val="en-US" w:eastAsia="zh-CN" w:bidi="ar"/>
        </w:rPr>
        <w:t xml:space="preserve">        </w:t>
      </w:r>
      <w:r>
        <w:rPr>
          <w:rFonts w:hint="default" w:ascii="Times New Roman" w:hAnsi="Times New Roman" w:eastAsia="Times New Roman" w:cs="Times New Roman"/>
          <w:snapToGrid w:val="0"/>
          <w:color w:val="000000"/>
          <w:kern w:val="2"/>
          <w:sz w:val="16"/>
          <w:szCs w:val="20"/>
          <w:lang w:val="en-US" w:eastAsia="zh-CN" w:bidi="ar"/>
        </w:rPr>
        <w:t xml:space="preserve">31.0 </w:t>
      </w:r>
      <w:r>
        <w:rPr>
          <w:rFonts w:hint="eastAsia" w:ascii="Times New Roman" w:hAnsi="Times New Roman" w:eastAsia="Times New Roman" w:cs="Times New Roman"/>
          <w:snapToGrid w:val="0"/>
          <w:color w:val="000000"/>
          <w:kern w:val="2"/>
          <w:sz w:val="16"/>
          <w:szCs w:val="20"/>
          <w:lang w:val="en-US" w:eastAsia="zh-CN" w:bidi="ar"/>
        </w:rPr>
        <w:t xml:space="preserve">             </w:t>
      </w:r>
      <w:r>
        <w:rPr>
          <w:rFonts w:hint="default" w:ascii="Times New Roman" w:hAnsi="Times New Roman" w:eastAsia="Times New Roman" w:cs="Times New Roman"/>
          <w:snapToGrid w:val="0"/>
          <w:color w:val="000000"/>
          <w:kern w:val="2"/>
          <w:sz w:val="16"/>
          <w:szCs w:val="20"/>
          <w:lang w:val="en-US" w:eastAsia="zh-CN" w:bidi="ar"/>
        </w:rPr>
        <w:t xml:space="preserve">(30.5) </w:t>
      </w:r>
    </w:p>
    <w:p>
      <w:pPr>
        <w:keepNext w:val="0"/>
        <w:keepLines w:val="0"/>
        <w:widowControl/>
        <w:suppressLineNumbers w:val="0"/>
        <w:tabs>
          <w:tab w:val="center" w:pos="1677"/>
          <w:tab w:val="center" w:pos="5482"/>
          <w:tab w:val="center" w:pos="6513"/>
          <w:tab w:val="center" w:pos="8038"/>
          <w:tab w:val="right" w:pos="9966"/>
        </w:tabs>
        <w:spacing w:before="0" w:beforeAutospacing="0" w:after="4" w:afterAutospacing="0" w:line="256" w:lineRule="auto"/>
        <w:ind w:left="0" w:right="0"/>
        <w:jc w:val="left"/>
        <w:rPr>
          <w:sz w:val="20"/>
          <w:szCs w:val="20"/>
          <w:lang w:val="en-US"/>
        </w:rPr>
      </w:pPr>
      <w:r>
        <w:rPr>
          <w:rFonts w:hint="default" w:ascii="Calibri" w:hAnsi="Calibri" w:eastAsia="Calibri" w:cs="Calibri"/>
          <w:snapToGrid w:val="0"/>
          <w:color w:val="000000"/>
          <w:kern w:val="2"/>
          <w:sz w:val="20"/>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Operating lease liability</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 (1,488.1)  </w:t>
      </w:r>
      <w:r>
        <w:rPr>
          <w:rFonts w:hint="default" w:ascii="Times New Roman" w:hAnsi="Times New Roman" w:eastAsia="Times New Roman" w:cs="Times New Roman"/>
          <w:snapToGrid w:val="0"/>
          <w:color w:val="000000"/>
          <w:kern w:val="2"/>
          <w:sz w:val="16"/>
          <w:szCs w:val="20"/>
          <w:lang w:val="en-US" w:eastAsia="zh-CN" w:bidi="ar"/>
        </w:rPr>
        <w:tab/>
      </w:r>
      <w:r>
        <w:rPr>
          <w:rFonts w:hint="eastAsia" w:ascii="Times New Roman" w:hAnsi="Times New Roman" w:eastAsia="Times New Roman" w:cs="Times New Roman"/>
          <w:snapToGrid w:val="0"/>
          <w:color w:val="000000"/>
          <w:kern w:val="2"/>
          <w:sz w:val="16"/>
          <w:szCs w:val="20"/>
          <w:lang w:val="en-US" w:eastAsia="zh-CN" w:bidi="ar"/>
        </w:rPr>
        <w:t xml:space="preserve">  </w:t>
      </w:r>
      <w:r>
        <w:rPr>
          <w:rFonts w:hint="default" w:ascii="Times New Roman" w:hAnsi="Times New Roman" w:eastAsia="Times New Roman" w:cs="Times New Roman"/>
          <w:snapToGrid w:val="0"/>
          <w:color w:val="000000"/>
          <w:kern w:val="2"/>
          <w:sz w:val="16"/>
          <w:szCs w:val="20"/>
          <w:lang w:val="en-US" w:eastAsia="zh-CN" w:bidi="ar"/>
        </w:rPr>
        <w:t xml:space="preserve">(1,231.4)  </w:t>
      </w:r>
      <w:r>
        <w:rPr>
          <w:rFonts w:hint="default" w:ascii="Times New Roman" w:hAnsi="Times New Roman" w:eastAsia="Times New Roman" w:cs="Times New Roman"/>
          <w:snapToGrid w:val="0"/>
          <w:color w:val="000000"/>
          <w:kern w:val="2"/>
          <w:sz w:val="16"/>
          <w:szCs w:val="20"/>
          <w:lang w:val="en-US" w:eastAsia="zh-CN" w:bidi="ar"/>
        </w:rPr>
        <w:tab/>
      </w:r>
      <w:r>
        <w:rPr>
          <w:rFonts w:hint="eastAsia" w:ascii="Times New Roman" w:hAnsi="Times New Roman" w:eastAsia="Times New Roman" w:cs="Times New Roman"/>
          <w:snapToGrid w:val="0"/>
          <w:color w:val="000000"/>
          <w:kern w:val="2"/>
          <w:sz w:val="16"/>
          <w:szCs w:val="20"/>
          <w:lang w:val="en-US" w:eastAsia="zh-CN" w:bidi="ar"/>
        </w:rPr>
        <w:t xml:space="preserve"> </w:t>
      </w:r>
      <w:r>
        <w:rPr>
          <w:rFonts w:hint="default" w:ascii="Times New Roman" w:hAnsi="Times New Roman" w:eastAsia="Times New Roman" w:cs="Times New Roman"/>
          <w:snapToGrid w:val="0"/>
          <w:color w:val="000000"/>
          <w:kern w:val="2"/>
          <w:sz w:val="16"/>
          <w:szCs w:val="20"/>
          <w:lang w:val="en-US" w:eastAsia="zh-CN" w:bidi="ar"/>
        </w:rPr>
        <w:t xml:space="preserve">— </w:t>
      </w:r>
    </w:p>
    <w:p>
      <w:pPr>
        <w:keepNext w:val="0"/>
        <w:keepLines w:val="0"/>
        <w:widowControl/>
        <w:suppressLineNumbers w:val="0"/>
        <w:tabs>
          <w:tab w:val="center" w:pos="2155"/>
          <w:tab w:val="center" w:pos="5482"/>
          <w:tab w:val="center" w:pos="6586"/>
          <w:tab w:val="center" w:pos="7006"/>
          <w:tab w:val="center" w:pos="8111"/>
          <w:tab w:val="center" w:pos="8531"/>
          <w:tab w:val="right" w:pos="9966"/>
        </w:tabs>
        <w:spacing w:before="0" w:beforeAutospacing="0" w:after="4" w:afterAutospacing="0" w:line="256" w:lineRule="auto"/>
        <w:ind w:left="0" w:right="0"/>
        <w:jc w:val="left"/>
        <w:rPr>
          <w:sz w:val="20"/>
          <w:szCs w:val="20"/>
          <w:lang w:val="en-US"/>
        </w:rPr>
      </w:pPr>
      <w:r>
        <w:rPr>
          <w:rFonts w:hint="default" w:ascii="Calibri" w:hAnsi="Calibri" w:eastAsia="Calibri" w:cs="Calibri"/>
          <w:snapToGrid w:val="0"/>
          <w:color w:val="000000"/>
          <w:kern w:val="2"/>
          <w:sz w:val="20"/>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Other operating assets and liabilities</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 358.7 </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 280.5 </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 </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(141.1) </w:t>
      </w:r>
    </w:p>
    <w:p>
      <w:pPr>
        <w:keepNext w:val="0"/>
        <w:keepLines w:val="0"/>
        <w:widowControl/>
        <w:suppressLineNumbers w:val="0"/>
        <w:tabs>
          <w:tab w:val="center" w:pos="5482"/>
          <w:tab w:val="center" w:pos="6513"/>
          <w:tab w:val="center" w:pos="7006"/>
          <w:tab w:val="center" w:pos="8038"/>
          <w:tab w:val="center" w:pos="8531"/>
          <w:tab w:val="right" w:pos="9966"/>
        </w:tabs>
        <w:spacing w:before="0" w:beforeAutospacing="0" w:after="4" w:afterAutospacing="0" w:line="256" w:lineRule="auto"/>
        <w:ind w:left="0" w:right="0"/>
        <w:jc w:val="left"/>
        <w:rPr>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Net cash provided by operating activities</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 5,989.1 </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 </w:t>
      </w:r>
      <w:r>
        <w:rPr>
          <w:rFonts w:hint="eastAsia" w:ascii="Times New Roman" w:hAnsi="Times New Roman" w:eastAsia="Times New Roman" w:cs="Times New Roman"/>
          <w:snapToGrid w:val="0"/>
          <w:color w:val="000000"/>
          <w:kern w:val="2"/>
          <w:sz w:val="16"/>
          <w:szCs w:val="20"/>
          <w:lang w:val="en-US" w:eastAsia="zh-CN" w:bidi="ar"/>
        </w:rPr>
        <w:t xml:space="preserve"> </w:t>
      </w:r>
      <w:r>
        <w:rPr>
          <w:rFonts w:hint="default" w:ascii="Times New Roman" w:hAnsi="Times New Roman" w:eastAsia="Times New Roman" w:cs="Times New Roman"/>
          <w:snapToGrid w:val="0"/>
          <w:color w:val="000000"/>
          <w:kern w:val="2"/>
          <w:sz w:val="16"/>
          <w:szCs w:val="20"/>
          <w:lang w:val="en-US" w:eastAsia="zh-CN" w:bidi="ar"/>
        </w:rPr>
        <w:t xml:space="preserve">1,597.8 </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 </w:t>
      </w:r>
      <w:r>
        <w:rPr>
          <w:rFonts w:hint="default" w:ascii="Times New Roman" w:hAnsi="Times New Roman" w:eastAsia="Times New Roman" w:cs="Times New Roman"/>
          <w:snapToGrid w:val="0"/>
          <w:color w:val="000000"/>
          <w:kern w:val="2"/>
          <w:sz w:val="16"/>
          <w:szCs w:val="20"/>
          <w:lang w:val="en-US" w:eastAsia="zh-CN" w:bidi="ar"/>
        </w:rPr>
        <w:tab/>
      </w:r>
      <w:r>
        <w:rPr>
          <w:rFonts w:hint="eastAsia" w:ascii="Times New Roman" w:hAnsi="Times New Roman" w:eastAsia="Times New Roman" w:cs="Times New Roman"/>
          <w:snapToGrid w:val="0"/>
          <w:color w:val="000000"/>
          <w:kern w:val="2"/>
          <w:sz w:val="16"/>
          <w:szCs w:val="20"/>
          <w:lang w:val="en-US" w:eastAsia="zh-CN" w:bidi="ar"/>
        </w:rPr>
        <w:t xml:space="preserve">   </w:t>
      </w:r>
      <w:r>
        <w:rPr>
          <w:rFonts w:hint="default" w:ascii="Times New Roman" w:hAnsi="Times New Roman" w:eastAsia="Times New Roman" w:cs="Times New Roman"/>
          <w:snapToGrid w:val="0"/>
          <w:color w:val="000000"/>
          <w:kern w:val="2"/>
          <w:sz w:val="16"/>
          <w:szCs w:val="20"/>
          <w:lang w:val="en-US" w:eastAsia="zh-CN" w:bidi="ar"/>
        </w:rPr>
        <w:t xml:space="preserve">5,047.0 </w:t>
      </w:r>
    </w:p>
    <w:p>
      <w:pPr>
        <w:keepNext w:val="0"/>
        <w:keepLines w:val="0"/>
        <w:widowControl/>
        <w:suppressLineNumbers w:val="0"/>
        <w:spacing w:before="0" w:beforeAutospacing="0" w:after="4" w:afterAutospacing="0" w:line="256" w:lineRule="auto"/>
        <w:ind w:left="46" w:right="0" w:hanging="10"/>
        <w:jc w:val="left"/>
        <w:rPr>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INVESTING ACTIVITIES:</w:t>
      </w:r>
    </w:p>
    <w:p>
      <w:pPr>
        <w:keepNext w:val="0"/>
        <w:keepLines w:val="0"/>
        <w:widowControl/>
        <w:suppressLineNumbers w:val="0"/>
        <w:tabs>
          <w:tab w:val="center" w:pos="5482"/>
          <w:tab w:val="center" w:pos="6586"/>
          <w:tab w:val="center" w:pos="8111"/>
          <w:tab w:val="right" w:pos="9966"/>
        </w:tabs>
        <w:spacing w:before="0" w:beforeAutospacing="0" w:after="4" w:afterAutospacing="0" w:line="256" w:lineRule="auto"/>
        <w:ind w:left="0" w:right="0"/>
        <w:jc w:val="left"/>
        <w:rPr>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Purchases of investments</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 (432.0)  </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(443.9)  </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(190.4) </w:t>
      </w:r>
    </w:p>
    <w:p>
      <w:pPr>
        <w:keepNext w:val="0"/>
        <w:keepLines w:val="0"/>
        <w:widowControl/>
        <w:suppressLineNumbers w:val="0"/>
        <w:tabs>
          <w:tab w:val="center" w:pos="5482"/>
          <w:tab w:val="center" w:pos="6586"/>
          <w:tab w:val="center" w:pos="7006"/>
          <w:tab w:val="center" w:pos="8111"/>
          <w:tab w:val="center" w:pos="8531"/>
          <w:tab w:val="right" w:pos="9966"/>
        </w:tabs>
        <w:spacing w:before="0" w:beforeAutospacing="0" w:after="4" w:afterAutospacing="0" w:line="256" w:lineRule="auto"/>
        <w:ind w:left="0" w:right="0"/>
        <w:jc w:val="left"/>
        <w:rPr>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Sales of investments</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 143.2 </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186.7 </w:t>
      </w:r>
      <w:r>
        <w:rPr>
          <w:rFonts w:hint="default" w:ascii="Times New Roman" w:hAnsi="Times New Roman" w:eastAsia="Times New Roman" w:cs="Times New Roman"/>
          <w:snapToGrid w:val="0"/>
          <w:color w:val="000000"/>
          <w:kern w:val="2"/>
          <w:sz w:val="16"/>
          <w:szCs w:val="20"/>
          <w:lang w:val="en-US" w:eastAsia="zh-CN" w:bidi="ar"/>
        </w:rPr>
        <w:tab/>
      </w:r>
      <w:r>
        <w:rPr>
          <w:rFonts w:hint="eastAsia" w:ascii="Times New Roman" w:hAnsi="Times New Roman" w:eastAsia="Times New Roman" w:cs="Times New Roman"/>
          <w:snapToGrid w:val="0"/>
          <w:color w:val="000000"/>
          <w:kern w:val="2"/>
          <w:sz w:val="16"/>
          <w:szCs w:val="20"/>
          <w:lang w:val="en-US" w:eastAsia="zh-CN" w:bidi="ar"/>
        </w:rPr>
        <w:t xml:space="preserve">             </w:t>
      </w:r>
      <w:r>
        <w:rPr>
          <w:rFonts w:hint="default" w:ascii="Times New Roman" w:hAnsi="Times New Roman" w:eastAsia="Times New Roman" w:cs="Times New Roman"/>
          <w:snapToGrid w:val="0"/>
          <w:color w:val="000000"/>
          <w:kern w:val="2"/>
          <w:sz w:val="16"/>
          <w:szCs w:val="20"/>
          <w:lang w:val="en-US" w:eastAsia="zh-CN" w:bidi="ar"/>
        </w:rPr>
        <w:t xml:space="preserve">298.3 </w:t>
      </w:r>
    </w:p>
    <w:p>
      <w:pPr>
        <w:keepNext w:val="0"/>
        <w:keepLines w:val="0"/>
        <w:widowControl/>
        <w:suppressLineNumbers w:val="0"/>
        <w:tabs>
          <w:tab w:val="center" w:pos="5482"/>
          <w:tab w:val="center" w:pos="6586"/>
          <w:tab w:val="center" w:pos="7006"/>
          <w:tab w:val="center" w:pos="8159"/>
          <w:tab w:val="center" w:pos="8531"/>
          <w:tab w:val="right" w:pos="9966"/>
        </w:tabs>
        <w:spacing w:before="0" w:beforeAutospacing="0" w:after="4" w:afterAutospacing="0" w:line="256" w:lineRule="auto"/>
        <w:ind w:left="0" w:right="0"/>
        <w:jc w:val="left"/>
        <w:rPr>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Maturities and calls of investments</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 345.5 </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73.7 </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 </w:t>
      </w:r>
      <w:r>
        <w:rPr>
          <w:rFonts w:hint="eastAsia" w:ascii="Times New Roman" w:hAnsi="Times New Roman" w:eastAsia="Times New Roman" w:cs="Times New Roman"/>
          <w:snapToGrid w:val="0"/>
          <w:color w:val="000000"/>
          <w:kern w:val="2"/>
          <w:sz w:val="16"/>
          <w:szCs w:val="20"/>
          <w:lang w:val="en-US" w:eastAsia="zh-CN" w:bidi="ar"/>
        </w:rPr>
        <w:t xml:space="preserve">             </w:t>
      </w:r>
      <w:r>
        <w:rPr>
          <w:rFonts w:hint="default" w:ascii="Times New Roman" w:hAnsi="Times New Roman" w:eastAsia="Times New Roman" w:cs="Times New Roman"/>
          <w:snapToGrid w:val="0"/>
          <w:color w:val="000000"/>
          <w:kern w:val="2"/>
          <w:sz w:val="16"/>
          <w:szCs w:val="20"/>
          <w:lang w:val="en-US" w:eastAsia="zh-CN" w:bidi="ar"/>
        </w:rPr>
        <w:t xml:space="preserve">59.8 </w:t>
      </w:r>
    </w:p>
    <w:p>
      <w:pPr>
        <w:keepNext w:val="0"/>
        <w:keepLines w:val="0"/>
        <w:widowControl/>
        <w:suppressLineNumbers w:val="0"/>
        <w:tabs>
          <w:tab w:val="center" w:pos="5482"/>
          <w:tab w:val="center" w:pos="6513"/>
          <w:tab w:val="center" w:pos="8038"/>
          <w:tab w:val="right" w:pos="9966"/>
        </w:tabs>
        <w:spacing w:before="0" w:beforeAutospacing="0" w:after="4" w:afterAutospacing="0" w:line="256" w:lineRule="auto"/>
        <w:ind w:left="0" w:right="0"/>
        <w:jc w:val="left"/>
        <w:rPr>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Additions to property, plant and equipment</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 (1,470.0)  </w:t>
      </w:r>
      <w:r>
        <w:rPr>
          <w:rFonts w:hint="default" w:ascii="Times New Roman" w:hAnsi="Times New Roman" w:eastAsia="Times New Roman" w:cs="Times New Roman"/>
          <w:snapToGrid w:val="0"/>
          <w:color w:val="000000"/>
          <w:kern w:val="2"/>
          <w:sz w:val="16"/>
          <w:szCs w:val="20"/>
          <w:lang w:val="en-US" w:eastAsia="zh-CN" w:bidi="ar"/>
        </w:rPr>
        <w:tab/>
      </w:r>
      <w:r>
        <w:rPr>
          <w:rFonts w:hint="eastAsia" w:ascii="Times New Roman" w:hAnsi="Times New Roman" w:eastAsia="Times New Roman" w:cs="Times New Roman"/>
          <w:snapToGrid w:val="0"/>
          <w:color w:val="000000"/>
          <w:kern w:val="2"/>
          <w:sz w:val="16"/>
          <w:szCs w:val="20"/>
          <w:lang w:val="en-US" w:eastAsia="zh-CN" w:bidi="ar"/>
        </w:rPr>
        <w:t xml:space="preserve"> </w:t>
      </w:r>
      <w:r>
        <w:rPr>
          <w:rFonts w:hint="default" w:ascii="Times New Roman" w:hAnsi="Times New Roman" w:eastAsia="Times New Roman" w:cs="Times New Roman"/>
          <w:snapToGrid w:val="0"/>
          <w:color w:val="000000"/>
          <w:kern w:val="2"/>
          <w:sz w:val="16"/>
          <w:szCs w:val="20"/>
          <w:lang w:val="en-US" w:eastAsia="zh-CN" w:bidi="ar"/>
        </w:rPr>
        <w:t xml:space="preserve">(1,483.6)  </w:t>
      </w:r>
      <w:r>
        <w:rPr>
          <w:rFonts w:hint="default" w:ascii="Times New Roman" w:hAnsi="Times New Roman" w:eastAsia="Times New Roman" w:cs="Times New Roman"/>
          <w:snapToGrid w:val="0"/>
          <w:color w:val="000000"/>
          <w:kern w:val="2"/>
          <w:sz w:val="16"/>
          <w:szCs w:val="20"/>
          <w:lang w:val="en-US" w:eastAsia="zh-CN" w:bidi="ar"/>
        </w:rPr>
        <w:tab/>
      </w:r>
      <w:r>
        <w:rPr>
          <w:rFonts w:hint="eastAsia" w:ascii="Times New Roman" w:hAnsi="Times New Roman" w:eastAsia="Times New Roman" w:cs="Times New Roman"/>
          <w:snapToGrid w:val="0"/>
          <w:color w:val="000000"/>
          <w:kern w:val="2"/>
          <w:sz w:val="16"/>
          <w:szCs w:val="20"/>
          <w:lang w:val="en-US" w:eastAsia="zh-CN" w:bidi="ar"/>
        </w:rPr>
        <w:t xml:space="preserve">   </w:t>
      </w:r>
      <w:r>
        <w:rPr>
          <w:rFonts w:hint="default" w:ascii="Times New Roman" w:hAnsi="Times New Roman" w:eastAsia="Times New Roman" w:cs="Times New Roman"/>
          <w:snapToGrid w:val="0"/>
          <w:color w:val="000000"/>
          <w:kern w:val="2"/>
          <w:sz w:val="16"/>
          <w:szCs w:val="20"/>
          <w:lang w:val="en-US" w:eastAsia="zh-CN" w:bidi="ar"/>
        </w:rPr>
        <w:t xml:space="preserve">(1,806.6) </w:t>
      </w:r>
    </w:p>
    <w:p>
      <w:pPr>
        <w:keepNext w:val="0"/>
        <w:keepLines w:val="0"/>
        <w:widowControl/>
        <w:suppressLineNumbers w:val="0"/>
        <w:tabs>
          <w:tab w:val="center" w:pos="5482"/>
          <w:tab w:val="center" w:pos="6513"/>
          <w:tab w:val="center" w:pos="7006"/>
          <w:tab w:val="center" w:pos="8232"/>
          <w:tab w:val="center" w:pos="8531"/>
          <w:tab w:val="right" w:pos="9966"/>
        </w:tabs>
        <w:spacing w:before="0" w:beforeAutospacing="0" w:after="4" w:afterAutospacing="0" w:line="256" w:lineRule="auto"/>
        <w:ind w:left="0" w:right="0"/>
        <w:jc w:val="left"/>
        <w:rPr>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Net proceeds from the divestiture of certain operations</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 1,175.0 </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 — </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 </w:t>
      </w:r>
      <w:r>
        <w:rPr>
          <w:rFonts w:hint="eastAsia" w:ascii="Times New Roman" w:hAnsi="Times New Roman" w:eastAsia="Times New Roman" w:cs="Times New Roman"/>
          <w:snapToGrid w:val="0"/>
          <w:color w:val="000000"/>
          <w:kern w:val="2"/>
          <w:sz w:val="16"/>
          <w:szCs w:val="20"/>
          <w:lang w:val="en-US" w:eastAsia="zh-CN" w:bidi="ar"/>
        </w:rPr>
        <w:t xml:space="preserve">              </w:t>
      </w:r>
      <w:r>
        <w:rPr>
          <w:rFonts w:hint="default" w:ascii="Times New Roman" w:hAnsi="Times New Roman" w:eastAsia="Times New Roman" w:cs="Times New Roman"/>
          <w:snapToGrid w:val="0"/>
          <w:color w:val="000000"/>
          <w:kern w:val="2"/>
          <w:sz w:val="16"/>
          <w:szCs w:val="20"/>
          <w:lang w:val="en-US" w:eastAsia="zh-CN" w:bidi="ar"/>
        </w:rPr>
        <w:t xml:space="preserve">684.3 </w:t>
      </w:r>
    </w:p>
    <w:p>
      <w:pPr>
        <w:keepNext w:val="0"/>
        <w:keepLines w:val="0"/>
        <w:widowControl/>
        <w:suppressLineNumbers w:val="0"/>
        <w:spacing w:before="0" w:beforeAutospacing="0" w:after="4" w:afterAutospacing="0" w:line="256" w:lineRule="auto"/>
        <w:ind w:left="202" w:leftChars="17" w:right="0" w:hanging="166" w:hangingChars="104"/>
        <w:jc w:val="left"/>
        <w:rPr>
          <w:rFonts w:hint="default" w:ascii="Times New Roman" w:hAnsi="Times New Roman" w:eastAsia="Times New Roman" w:cs="Times New Roman"/>
          <w:snapToGrid w:val="0"/>
          <w:color w:val="000000"/>
          <w:kern w:val="2"/>
          <w:sz w:val="16"/>
          <w:szCs w:val="20"/>
          <w:lang w:val="en-US" w:eastAsia="zh-CN" w:bidi="ar"/>
        </w:rPr>
      </w:pPr>
      <w:r>
        <w:rPr>
          <w:rFonts w:hint="default" w:ascii="Times New Roman" w:hAnsi="Times New Roman" w:eastAsia="Times New Roman" w:cs="Times New Roman"/>
          <w:snapToGrid w:val="0"/>
          <w:color w:val="000000"/>
          <w:kern w:val="2"/>
          <w:sz w:val="16"/>
          <w:szCs w:val="20"/>
          <w:lang w:val="en-US" w:eastAsia="zh-CN" w:bidi="ar"/>
        </w:rPr>
        <w:t>Other</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 </w:t>
      </w:r>
      <w:r>
        <w:rPr>
          <w:rFonts w:hint="eastAsia" w:ascii="Times New Roman" w:hAnsi="Times New Roman" w:eastAsia="Times New Roman" w:cs="Times New Roman"/>
          <w:snapToGrid w:val="0"/>
          <w:color w:val="000000"/>
          <w:kern w:val="2"/>
          <w:sz w:val="16"/>
          <w:szCs w:val="20"/>
          <w:lang w:val="en-US" w:eastAsia="zh-CN" w:bidi="ar"/>
        </w:rPr>
        <w:t xml:space="preserve">                                                            </w:t>
      </w:r>
      <w:r>
        <w:rPr>
          <w:rFonts w:hint="default" w:ascii="Times New Roman" w:hAnsi="Times New Roman" w:eastAsia="Times New Roman" w:cs="Times New Roman"/>
          <w:snapToGrid w:val="0"/>
          <w:color w:val="000000"/>
          <w:kern w:val="2"/>
          <w:sz w:val="16"/>
          <w:szCs w:val="20"/>
          <w:lang w:val="en-US" w:eastAsia="zh-CN" w:bidi="ar"/>
        </w:rPr>
        <w:t xml:space="preserve">(81.2)  </w:t>
      </w:r>
      <w:r>
        <w:rPr>
          <w:rFonts w:hint="eastAsia" w:ascii="Times New Roman" w:hAnsi="Times New Roman" w:eastAsia="Times New Roman" w:cs="Times New Roman"/>
          <w:snapToGrid w:val="0"/>
          <w:color w:val="000000"/>
          <w:kern w:val="2"/>
          <w:sz w:val="16"/>
          <w:szCs w:val="20"/>
          <w:lang w:val="en-US" w:eastAsia="zh-CN" w:bidi="ar"/>
        </w:rPr>
        <w:t xml:space="preserve">      </w:t>
      </w:r>
      <w:r>
        <w:rPr>
          <w:rFonts w:hint="default" w:ascii="Times New Roman" w:hAnsi="Times New Roman" w:eastAsia="Times New Roman" w:cs="Times New Roman"/>
          <w:snapToGrid w:val="0"/>
          <w:color w:val="000000"/>
          <w:kern w:val="2"/>
          <w:sz w:val="16"/>
          <w:szCs w:val="20"/>
          <w:lang w:val="en-US" w:eastAsia="zh-CN" w:bidi="ar"/>
        </w:rPr>
        <w:t xml:space="preserve">(44.4)  </w:t>
      </w:r>
      <w:r>
        <w:rPr>
          <w:rFonts w:hint="eastAsia" w:ascii="Times New Roman" w:hAnsi="Times New Roman" w:eastAsia="Times New Roman" w:cs="Times New Roman"/>
          <w:snapToGrid w:val="0"/>
          <w:color w:val="000000"/>
          <w:kern w:val="2"/>
          <w:sz w:val="16"/>
          <w:szCs w:val="20"/>
          <w:lang w:val="en-US" w:eastAsia="zh-CN" w:bidi="ar"/>
        </w:rPr>
        <w:t xml:space="preserve">            </w:t>
      </w:r>
      <w:r>
        <w:rPr>
          <w:rFonts w:hint="default" w:ascii="Times New Roman" w:hAnsi="Times New Roman" w:eastAsia="Times New Roman" w:cs="Times New Roman"/>
          <w:snapToGrid w:val="0"/>
          <w:color w:val="000000"/>
          <w:kern w:val="2"/>
          <w:sz w:val="16"/>
          <w:szCs w:val="20"/>
          <w:lang w:val="en-US" w:eastAsia="zh-CN" w:bidi="ar"/>
        </w:rPr>
        <w:t xml:space="preserve">(56.2) </w:t>
      </w:r>
    </w:p>
    <w:p>
      <w:pPr>
        <w:keepNext w:val="0"/>
        <w:keepLines w:val="0"/>
        <w:widowControl/>
        <w:suppressLineNumbers w:val="0"/>
        <w:spacing w:before="0" w:beforeAutospacing="0" w:after="4" w:afterAutospacing="0" w:line="256" w:lineRule="auto"/>
        <w:ind w:left="202" w:leftChars="17" w:right="0" w:hanging="166" w:hangingChars="104"/>
        <w:jc w:val="left"/>
        <w:rPr>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 xml:space="preserve">Net cash used in investing activities </w:t>
      </w:r>
      <w:r>
        <w:rPr>
          <w:rFonts w:hint="eastAsia" w:ascii="Times New Roman" w:hAnsi="Times New Roman" w:eastAsia="Times New Roman" w:cs="Times New Roman"/>
          <w:snapToGrid w:val="0"/>
          <w:color w:val="000000"/>
          <w:kern w:val="2"/>
          <w:sz w:val="16"/>
          <w:szCs w:val="20"/>
          <w:lang w:val="en-US" w:eastAsia="zh-CN" w:bidi="ar"/>
        </w:rPr>
        <w:t xml:space="preserve">                                    </w:t>
      </w:r>
      <w:r>
        <w:rPr>
          <w:rFonts w:hint="default" w:ascii="Times New Roman" w:hAnsi="Times New Roman" w:eastAsia="Times New Roman" w:cs="Times New Roman"/>
          <w:snapToGrid w:val="0"/>
          <w:color w:val="000000"/>
          <w:kern w:val="2"/>
          <w:sz w:val="16"/>
          <w:szCs w:val="20"/>
          <w:lang w:val="en-US" w:eastAsia="zh-CN" w:bidi="ar"/>
        </w:rPr>
        <w:t xml:space="preserve">(319.5)  </w:t>
      </w:r>
      <w:r>
        <w:rPr>
          <w:rFonts w:hint="eastAsia" w:ascii="Times New Roman" w:hAnsi="Times New Roman" w:eastAsia="Times New Roman" w:cs="Times New Roman"/>
          <w:snapToGrid w:val="0"/>
          <w:color w:val="000000"/>
          <w:kern w:val="2"/>
          <w:sz w:val="16"/>
          <w:szCs w:val="20"/>
          <w:lang w:val="en-US" w:eastAsia="zh-CN" w:bidi="ar"/>
        </w:rPr>
        <w:t xml:space="preserve">      </w:t>
      </w:r>
      <w:r>
        <w:rPr>
          <w:rFonts w:hint="default" w:ascii="Times New Roman" w:hAnsi="Times New Roman" w:eastAsia="Times New Roman" w:cs="Times New Roman"/>
          <w:snapToGrid w:val="0"/>
          <w:color w:val="000000"/>
          <w:kern w:val="2"/>
          <w:sz w:val="16"/>
          <w:szCs w:val="20"/>
          <w:lang w:val="en-US" w:eastAsia="zh-CN" w:bidi="ar"/>
        </w:rPr>
        <w:t xml:space="preserve">(1,711.5)  </w:t>
      </w:r>
      <w:r>
        <w:rPr>
          <w:rFonts w:hint="eastAsia" w:ascii="Times New Roman" w:hAnsi="Times New Roman" w:eastAsia="Times New Roman" w:cs="Times New Roman"/>
          <w:snapToGrid w:val="0"/>
          <w:color w:val="000000"/>
          <w:kern w:val="2"/>
          <w:sz w:val="16"/>
          <w:szCs w:val="20"/>
          <w:lang w:val="en-US" w:eastAsia="zh-CN" w:bidi="ar"/>
        </w:rPr>
        <w:t xml:space="preserve">       </w:t>
      </w:r>
      <w:r>
        <w:rPr>
          <w:rFonts w:hint="default" w:ascii="Times New Roman" w:hAnsi="Times New Roman" w:eastAsia="Times New Roman" w:cs="Times New Roman"/>
          <w:snapToGrid w:val="0"/>
          <w:color w:val="000000"/>
          <w:kern w:val="2"/>
          <w:sz w:val="16"/>
          <w:szCs w:val="20"/>
          <w:lang w:val="en-US" w:eastAsia="zh-CN" w:bidi="ar"/>
        </w:rPr>
        <w:t xml:space="preserve">(1,010.8) </w:t>
      </w:r>
    </w:p>
    <w:p>
      <w:pPr>
        <w:keepNext w:val="0"/>
        <w:keepLines w:val="0"/>
        <w:widowControl/>
        <w:suppressLineNumbers w:val="0"/>
        <w:spacing w:before="0" w:beforeAutospacing="0" w:after="51" w:afterAutospacing="0" w:line="256" w:lineRule="auto"/>
        <w:ind w:left="46" w:right="0" w:hanging="10"/>
        <w:jc w:val="left"/>
        <w:rPr>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FINANCING ACTIVITIES:</w:t>
      </w:r>
    </w:p>
    <w:p>
      <w:pPr>
        <w:keepNext w:val="0"/>
        <w:keepLines w:val="0"/>
        <w:widowControl/>
        <w:suppressLineNumbers w:val="0"/>
        <w:tabs>
          <w:tab w:val="center" w:pos="5482"/>
          <w:tab w:val="center" w:pos="6586"/>
          <w:tab w:val="center" w:pos="8232"/>
          <w:tab w:val="center" w:pos="8531"/>
          <w:tab w:val="right" w:pos="9966"/>
        </w:tabs>
        <w:spacing w:before="0" w:beforeAutospacing="0" w:after="40" w:afterAutospacing="0" w:line="256" w:lineRule="auto"/>
        <w:ind w:left="0" w:right="0"/>
        <w:jc w:val="left"/>
        <w:rPr>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Repayments of commercial paper</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 (296.5)  </w:t>
      </w:r>
      <w:r>
        <w:rPr>
          <w:rFonts w:hint="default" w:ascii="Times New Roman" w:hAnsi="Times New Roman" w:eastAsia="Times New Roman" w:cs="Times New Roman"/>
          <w:snapToGrid w:val="0"/>
          <w:color w:val="000000"/>
          <w:kern w:val="2"/>
          <w:sz w:val="16"/>
          <w:szCs w:val="20"/>
          <w:lang w:val="en-US" w:eastAsia="zh-CN" w:bidi="ar"/>
        </w:rPr>
        <w:tab/>
      </w:r>
      <w:r>
        <w:rPr>
          <w:rFonts w:hint="eastAsia" w:ascii="Times New Roman" w:hAnsi="Times New Roman" w:eastAsia="Times New Roman" w:cs="Times New Roman"/>
          <w:snapToGrid w:val="0"/>
          <w:color w:val="000000"/>
          <w:kern w:val="2"/>
          <w:sz w:val="16"/>
          <w:szCs w:val="20"/>
          <w:lang w:val="en-US" w:eastAsia="zh-CN" w:bidi="ar"/>
        </w:rPr>
        <w:t xml:space="preserve">        </w:t>
      </w:r>
      <w:r>
        <w:rPr>
          <w:rFonts w:hint="default" w:ascii="Times New Roman" w:hAnsi="Times New Roman" w:eastAsia="Times New Roman" w:cs="Times New Roman"/>
          <w:snapToGrid w:val="0"/>
          <w:color w:val="000000"/>
          <w:kern w:val="2"/>
          <w:sz w:val="16"/>
          <w:szCs w:val="20"/>
          <w:lang w:val="en-US" w:eastAsia="zh-CN" w:bidi="ar"/>
        </w:rPr>
        <w:t xml:space="preserve">— </w:t>
      </w:r>
      <w:r>
        <w:rPr>
          <w:rFonts w:hint="eastAsia" w:ascii="Times New Roman" w:hAnsi="Times New Roman" w:eastAsia="Times New Roman" w:cs="Times New Roman"/>
          <w:snapToGrid w:val="0"/>
          <w:color w:val="000000"/>
          <w:kern w:val="2"/>
          <w:sz w:val="16"/>
          <w:szCs w:val="20"/>
          <w:lang w:val="en-US" w:eastAsia="zh-CN" w:bidi="ar"/>
        </w:rPr>
        <w:t xml:space="preserve">                </w:t>
      </w:r>
      <w:r>
        <w:rPr>
          <w:rFonts w:hint="default" w:ascii="Times New Roman" w:hAnsi="Times New Roman" w:eastAsia="Times New Roman" w:cs="Times New Roman"/>
          <w:snapToGrid w:val="0"/>
          <w:color w:val="000000"/>
          <w:kern w:val="2"/>
          <w:sz w:val="16"/>
          <w:szCs w:val="20"/>
          <w:lang w:val="en-US" w:eastAsia="zh-CN" w:bidi="ar"/>
        </w:rPr>
        <w:t xml:space="preserve">— </w:t>
      </w:r>
    </w:p>
    <w:p>
      <w:pPr>
        <w:keepNext w:val="0"/>
        <w:keepLines w:val="0"/>
        <w:widowControl/>
        <w:suppressLineNumbers w:val="0"/>
        <w:tabs>
          <w:tab w:val="center" w:pos="5482"/>
          <w:tab w:val="center" w:pos="6586"/>
          <w:tab w:val="center" w:pos="7006"/>
          <w:tab w:val="center" w:pos="8038"/>
          <w:tab w:val="center" w:pos="8531"/>
          <w:tab w:val="right" w:pos="9966"/>
        </w:tabs>
        <w:spacing w:before="0" w:beforeAutospacing="0" w:after="4" w:afterAutospacing="0" w:line="256" w:lineRule="auto"/>
        <w:ind w:left="0" w:right="0"/>
        <w:jc w:val="left"/>
        <w:rPr>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Proceeds from issuance of short-term debt</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 215.1 </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 1,406.6 </w:t>
      </w:r>
      <w:r>
        <w:rPr>
          <w:rFonts w:hint="default" w:ascii="Times New Roman" w:hAnsi="Times New Roman" w:eastAsia="Times New Roman" w:cs="Times New Roman"/>
          <w:snapToGrid w:val="0"/>
          <w:color w:val="000000"/>
          <w:kern w:val="2"/>
          <w:sz w:val="16"/>
          <w:szCs w:val="20"/>
          <w:lang w:val="en-US" w:eastAsia="zh-CN" w:bidi="ar"/>
        </w:rPr>
        <w:tab/>
      </w:r>
      <w:r>
        <w:rPr>
          <w:rFonts w:hint="eastAsia" w:ascii="Times New Roman" w:hAnsi="Times New Roman" w:eastAsia="Times New Roman" w:cs="Times New Roman"/>
          <w:snapToGrid w:val="0"/>
          <w:color w:val="000000"/>
          <w:kern w:val="2"/>
          <w:sz w:val="16"/>
          <w:szCs w:val="20"/>
          <w:lang w:val="en-US" w:eastAsia="zh-CN" w:bidi="ar"/>
        </w:rPr>
        <w:t xml:space="preserve">  </w:t>
      </w:r>
      <w:r>
        <w:rPr>
          <w:rFonts w:hint="default" w:ascii="Times New Roman" w:hAnsi="Times New Roman" w:eastAsia="Times New Roman" w:cs="Times New Roman"/>
          <w:snapToGrid w:val="0"/>
          <w:color w:val="000000"/>
          <w:kern w:val="2"/>
          <w:sz w:val="16"/>
          <w:szCs w:val="20"/>
          <w:lang w:val="en-US" w:eastAsia="zh-CN" w:bidi="ar"/>
        </w:rPr>
        <w:t xml:space="preserve"> </w:t>
      </w:r>
      <w:r>
        <w:rPr>
          <w:rFonts w:hint="eastAsia" w:ascii="Times New Roman" w:hAnsi="Times New Roman" w:eastAsia="Times New Roman" w:cs="Times New Roman"/>
          <w:snapToGrid w:val="0"/>
          <w:color w:val="000000"/>
          <w:kern w:val="2"/>
          <w:sz w:val="16"/>
          <w:szCs w:val="20"/>
          <w:lang w:val="en-US" w:eastAsia="zh-CN" w:bidi="ar"/>
        </w:rPr>
        <w:t xml:space="preserve">           </w:t>
      </w:r>
      <w:r>
        <w:rPr>
          <w:rFonts w:hint="default" w:ascii="Times New Roman" w:hAnsi="Times New Roman" w:eastAsia="Times New Roman" w:cs="Times New Roman"/>
          <w:snapToGrid w:val="0"/>
          <w:color w:val="000000"/>
          <w:kern w:val="2"/>
          <w:sz w:val="16"/>
          <w:szCs w:val="20"/>
          <w:lang w:val="en-US" w:eastAsia="zh-CN" w:bidi="ar"/>
        </w:rPr>
        <w:t xml:space="preserve">— </w:t>
      </w:r>
    </w:p>
    <w:p>
      <w:pPr>
        <w:keepNext w:val="0"/>
        <w:keepLines w:val="0"/>
        <w:widowControl/>
        <w:suppressLineNumbers w:val="0"/>
        <w:tabs>
          <w:tab w:val="center" w:pos="5482"/>
          <w:tab w:val="center" w:pos="6586"/>
          <w:tab w:val="center" w:pos="8111"/>
          <w:tab w:val="right" w:pos="9966"/>
        </w:tabs>
        <w:spacing w:before="0" w:beforeAutospacing="0" w:after="4" w:afterAutospacing="0" w:line="256" w:lineRule="auto"/>
        <w:ind w:left="0" w:right="0"/>
        <w:jc w:val="left"/>
        <w:rPr>
          <w:rFonts w:hint="default"/>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Repayments of short-term debt</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 (349.8)  </w:t>
      </w:r>
      <w:r>
        <w:rPr>
          <w:rFonts w:hint="default" w:ascii="Times New Roman" w:hAnsi="Times New Roman" w:eastAsia="Times New Roman" w:cs="Times New Roman"/>
          <w:snapToGrid w:val="0"/>
          <w:color w:val="000000"/>
          <w:kern w:val="2"/>
          <w:sz w:val="16"/>
          <w:szCs w:val="20"/>
          <w:lang w:val="en-US" w:eastAsia="zh-CN" w:bidi="ar"/>
        </w:rPr>
        <w:tab/>
      </w:r>
      <w:r>
        <w:rPr>
          <w:rFonts w:hint="eastAsia" w:ascii="Times New Roman" w:hAnsi="Times New Roman" w:eastAsia="Times New Roman" w:cs="Times New Roman"/>
          <w:snapToGrid w:val="0"/>
          <w:color w:val="000000"/>
          <w:kern w:val="2"/>
          <w:sz w:val="16"/>
          <w:szCs w:val="20"/>
          <w:lang w:val="en-US" w:eastAsia="zh-CN" w:bidi="ar"/>
        </w:rPr>
        <w:t xml:space="preserve">  </w:t>
      </w:r>
      <w:r>
        <w:rPr>
          <w:rFonts w:hint="default" w:ascii="Times New Roman" w:hAnsi="Times New Roman" w:eastAsia="Times New Roman" w:cs="Times New Roman"/>
          <w:snapToGrid w:val="0"/>
          <w:color w:val="000000"/>
          <w:kern w:val="2"/>
          <w:sz w:val="16"/>
          <w:szCs w:val="20"/>
          <w:lang w:val="en-US" w:eastAsia="zh-CN" w:bidi="ar"/>
        </w:rPr>
        <w:t xml:space="preserve">(967.7)  </w:t>
      </w:r>
      <w:r>
        <w:rPr>
          <w:rFonts w:hint="default" w:ascii="Times New Roman" w:hAnsi="Times New Roman" w:eastAsia="Times New Roman" w:cs="Times New Roman"/>
          <w:snapToGrid w:val="0"/>
          <w:color w:val="000000"/>
          <w:kern w:val="2"/>
          <w:sz w:val="16"/>
          <w:szCs w:val="20"/>
          <w:lang w:val="en-US" w:eastAsia="zh-CN" w:bidi="ar"/>
        </w:rPr>
        <w:tab/>
      </w:r>
      <w:r>
        <w:rPr>
          <w:rFonts w:hint="eastAsia" w:ascii="Times New Roman" w:hAnsi="Times New Roman" w:eastAsia="Times New Roman" w:cs="Times New Roman"/>
          <w:snapToGrid w:val="0"/>
          <w:color w:val="000000"/>
          <w:kern w:val="2"/>
          <w:sz w:val="16"/>
          <w:szCs w:val="20"/>
          <w:lang w:val="en-US" w:eastAsia="zh-CN" w:bidi="ar"/>
        </w:rPr>
        <w:t xml:space="preserve"> </w:t>
      </w:r>
      <w:r>
        <w:rPr>
          <w:rFonts w:hint="default" w:ascii="Times New Roman" w:hAnsi="Times New Roman" w:eastAsia="Times New Roman" w:cs="Times New Roman"/>
          <w:snapToGrid w:val="0"/>
          <w:color w:val="000000"/>
          <w:kern w:val="2"/>
          <w:sz w:val="16"/>
          <w:szCs w:val="20"/>
          <w:lang w:val="en-US" w:eastAsia="zh-CN" w:bidi="ar"/>
        </w:rPr>
        <w:t xml:space="preserve">— </w:t>
      </w:r>
    </w:p>
    <w:p>
      <w:pPr>
        <w:keepNext w:val="0"/>
        <w:keepLines w:val="0"/>
        <w:widowControl/>
        <w:suppressLineNumbers w:val="0"/>
        <w:tabs>
          <w:tab w:val="center" w:pos="5482"/>
          <w:tab w:val="center" w:pos="6707"/>
          <w:tab w:val="center" w:pos="7006"/>
          <w:tab w:val="center" w:pos="8038"/>
          <w:tab w:val="center" w:pos="8531"/>
          <w:tab w:val="right" w:pos="9966"/>
        </w:tabs>
        <w:spacing w:before="0" w:beforeAutospacing="0" w:after="4" w:afterAutospacing="0" w:line="256" w:lineRule="auto"/>
        <w:ind w:left="0" w:right="0"/>
        <w:jc w:val="left"/>
        <w:rPr>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Proceeds from issuance of long-term debt</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 </w:t>
      </w:r>
      <w:r>
        <w:rPr>
          <w:rFonts w:hint="eastAsia" w:ascii="Times New Roman" w:hAnsi="Times New Roman" w:eastAsia="Times New Roman" w:cs="Times New Roman"/>
          <w:snapToGrid w:val="0"/>
          <w:color w:val="000000"/>
          <w:kern w:val="2"/>
          <w:sz w:val="16"/>
          <w:szCs w:val="20"/>
          <w:lang w:val="en-US" w:eastAsia="zh-CN" w:bidi="ar"/>
        </w:rPr>
        <w:t xml:space="preserve">                </w:t>
      </w:r>
      <w:r>
        <w:rPr>
          <w:rFonts w:hint="default" w:ascii="Times New Roman" w:hAnsi="Times New Roman" w:eastAsia="Times New Roman" w:cs="Times New Roman"/>
          <w:snapToGrid w:val="0"/>
          <w:color w:val="000000"/>
          <w:kern w:val="2"/>
          <w:sz w:val="16"/>
          <w:szCs w:val="20"/>
          <w:lang w:val="en-US" w:eastAsia="zh-CN" w:bidi="ar"/>
        </w:rPr>
        <w:t xml:space="preserve">— </w:t>
      </w:r>
      <w:r>
        <w:rPr>
          <w:rFonts w:hint="eastAsia" w:ascii="Times New Roman" w:hAnsi="Times New Roman" w:eastAsia="Times New Roman" w:cs="Times New Roman"/>
          <w:snapToGrid w:val="0"/>
          <w:color w:val="000000"/>
          <w:kern w:val="2"/>
          <w:sz w:val="16"/>
          <w:szCs w:val="20"/>
          <w:lang w:val="en-US" w:eastAsia="zh-CN" w:bidi="ar"/>
        </w:rPr>
        <w:t xml:space="preserve">         </w:t>
      </w:r>
      <w:r>
        <w:rPr>
          <w:rFonts w:hint="default" w:ascii="Times New Roman" w:hAnsi="Times New Roman" w:eastAsia="Times New Roman" w:cs="Times New Roman"/>
          <w:snapToGrid w:val="0"/>
          <w:color w:val="000000"/>
          <w:kern w:val="2"/>
          <w:sz w:val="16"/>
          <w:szCs w:val="20"/>
          <w:lang w:val="en-US" w:eastAsia="zh-CN" w:bidi="ar"/>
        </w:rPr>
        <w:t xml:space="preserve">4,727.6 </w:t>
      </w:r>
      <w:r>
        <w:rPr>
          <w:rFonts w:hint="default" w:ascii="Times New Roman" w:hAnsi="Times New Roman" w:eastAsia="Times New Roman" w:cs="Times New Roman"/>
          <w:snapToGrid w:val="0"/>
          <w:color w:val="000000"/>
          <w:kern w:val="2"/>
          <w:sz w:val="16"/>
          <w:szCs w:val="20"/>
          <w:lang w:val="en-US" w:eastAsia="zh-CN" w:bidi="ar"/>
        </w:rPr>
        <w:tab/>
      </w:r>
      <w:r>
        <w:rPr>
          <w:rFonts w:hint="eastAsia" w:ascii="Times New Roman" w:hAnsi="Times New Roman" w:eastAsia="Times New Roman" w:cs="Times New Roman"/>
          <w:snapToGrid w:val="0"/>
          <w:color w:val="000000"/>
          <w:kern w:val="2"/>
          <w:sz w:val="16"/>
          <w:szCs w:val="20"/>
          <w:lang w:val="en-US" w:eastAsia="zh-CN" w:bidi="ar"/>
        </w:rPr>
        <w:t xml:space="preserve">          </w:t>
      </w:r>
      <w:r>
        <w:rPr>
          <w:rFonts w:hint="default" w:ascii="Times New Roman" w:hAnsi="Times New Roman" w:eastAsia="Times New Roman" w:cs="Times New Roman"/>
          <w:snapToGrid w:val="0"/>
          <w:color w:val="000000"/>
          <w:kern w:val="2"/>
          <w:sz w:val="16"/>
          <w:szCs w:val="20"/>
          <w:lang w:val="en-US" w:eastAsia="zh-CN" w:bidi="ar"/>
        </w:rPr>
        <w:t xml:space="preserve">1,996.0 </w:t>
      </w:r>
    </w:p>
    <w:tbl>
      <w:tblPr>
        <w:tblStyle w:val="14"/>
        <w:tblW w:w="883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4879"/>
        <w:gridCol w:w="424"/>
        <w:gridCol w:w="1322"/>
        <w:gridCol w:w="1356"/>
        <w:gridCol w:w="85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40" w:hRule="atLeast"/>
        </w:trPr>
        <w:tc>
          <w:tcPr>
            <w:tcW w:w="4879" w:type="dxa"/>
            <w:shd w:val="clear" w:color="auto" w:fill="CDE0D8"/>
            <w:vAlign w:val="top"/>
          </w:tcPr>
          <w:p>
            <w:pPr>
              <w:keepNext w:val="0"/>
              <w:keepLines w:val="0"/>
              <w:widowControl/>
              <w:suppressLineNumbers w:val="0"/>
              <w:spacing w:before="0" w:beforeAutospacing="0" w:after="0" w:afterAutospacing="0" w:line="256" w:lineRule="auto"/>
              <w:ind w:left="51" w:right="0"/>
              <w:jc w:val="left"/>
              <w:rPr>
                <w:rFonts w:hint="eastAsia"/>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Repayments of long-term debt</w:t>
            </w:r>
          </w:p>
        </w:tc>
        <w:tc>
          <w:tcPr>
            <w:tcW w:w="424" w:type="dxa"/>
            <w:shd w:val="clear" w:color="auto" w:fill="CDE0D8"/>
            <w:vAlign w:val="top"/>
          </w:tcPr>
          <w:p>
            <w:pPr>
              <w:keepNext w:val="0"/>
              <w:keepLines w:val="0"/>
              <w:widowControl/>
              <w:suppressLineNumbers w:val="0"/>
              <w:spacing w:before="0" w:beforeAutospacing="0" w:after="0" w:afterAutospacing="0" w:line="256" w:lineRule="auto"/>
              <w:ind w:left="0" w:right="0"/>
              <w:jc w:val="left"/>
              <w:rPr>
                <w:rFonts w:hint="eastAsia"/>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 xml:space="preserve"> </w:t>
            </w:r>
          </w:p>
        </w:tc>
        <w:tc>
          <w:tcPr>
            <w:tcW w:w="1322" w:type="dxa"/>
            <w:shd w:val="clear" w:color="auto" w:fill="CDE0D8"/>
            <w:vAlign w:val="top"/>
          </w:tcPr>
          <w:p>
            <w:pPr>
              <w:keepNext w:val="0"/>
              <w:keepLines w:val="0"/>
              <w:widowControl/>
              <w:suppressLineNumbers w:val="0"/>
              <w:spacing w:before="0" w:beforeAutospacing="0" w:after="0" w:afterAutospacing="0" w:line="256" w:lineRule="auto"/>
              <w:ind w:left="200" w:right="0"/>
              <w:jc w:val="left"/>
              <w:rPr>
                <w:rFonts w:hint="eastAsia"/>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 xml:space="preserve">(1,250.0)  </w:t>
            </w:r>
          </w:p>
        </w:tc>
        <w:tc>
          <w:tcPr>
            <w:tcW w:w="1356" w:type="dxa"/>
            <w:shd w:val="clear" w:color="auto" w:fill="CDE0D8"/>
            <w:vAlign w:val="top"/>
          </w:tcPr>
          <w:p>
            <w:pPr>
              <w:keepNext w:val="0"/>
              <w:keepLines w:val="0"/>
              <w:widowControl/>
              <w:suppressLineNumbers w:val="0"/>
              <w:tabs>
                <w:tab w:val="center" w:pos="787"/>
                <w:tab w:val="center" w:pos="1086"/>
              </w:tabs>
              <w:spacing w:before="0" w:beforeAutospacing="0" w:after="0" w:afterAutospacing="0" w:line="256" w:lineRule="auto"/>
              <w:ind w:left="0" w:right="0" w:firstLine="640" w:firstLineChars="400"/>
              <w:jc w:val="left"/>
              <w:rPr>
                <w:rFonts w:hint="eastAsia"/>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 xml:space="preserve">— </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 </w:t>
            </w:r>
          </w:p>
        </w:tc>
        <w:tc>
          <w:tcPr>
            <w:tcW w:w="857" w:type="dxa"/>
            <w:shd w:val="clear" w:color="auto" w:fill="CDE0D8"/>
            <w:vAlign w:val="top"/>
          </w:tcPr>
          <w:p>
            <w:pPr>
              <w:keepNext w:val="0"/>
              <w:keepLines w:val="0"/>
              <w:widowControl/>
              <w:suppressLineNumbers w:val="0"/>
              <w:spacing w:before="0" w:beforeAutospacing="0" w:after="0" w:afterAutospacing="0" w:line="256" w:lineRule="auto"/>
              <w:ind w:left="0" w:right="15"/>
              <w:jc w:val="right"/>
              <w:rPr>
                <w:rFonts w:hint="eastAsia"/>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(350.0)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40" w:hRule="atLeast"/>
        </w:trPr>
        <w:tc>
          <w:tcPr>
            <w:tcW w:w="4879" w:type="dxa"/>
            <w:shd w:val="clear" w:color="auto" w:fill="FFFEFD"/>
            <w:vAlign w:val="top"/>
          </w:tcPr>
          <w:p>
            <w:pPr>
              <w:keepNext w:val="0"/>
              <w:keepLines w:val="0"/>
              <w:widowControl/>
              <w:suppressLineNumbers w:val="0"/>
              <w:spacing w:before="0" w:beforeAutospacing="0" w:after="0" w:afterAutospacing="0" w:line="256" w:lineRule="auto"/>
              <w:ind w:left="51" w:right="0"/>
              <w:jc w:val="left"/>
              <w:rPr>
                <w:rFonts w:hint="eastAsia"/>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Proceeds from issuance of common stock</w:t>
            </w:r>
          </w:p>
        </w:tc>
        <w:tc>
          <w:tcPr>
            <w:tcW w:w="424" w:type="dxa"/>
            <w:shd w:val="clear" w:color="auto" w:fill="FFFEFD"/>
            <w:vAlign w:val="top"/>
          </w:tcPr>
          <w:p>
            <w:pPr>
              <w:keepNext w:val="0"/>
              <w:keepLines w:val="0"/>
              <w:widowControl/>
              <w:suppressLineNumbers w:val="0"/>
              <w:spacing w:before="0" w:beforeAutospacing="0" w:after="0" w:afterAutospacing="0" w:line="256" w:lineRule="auto"/>
              <w:ind w:left="0" w:right="0"/>
              <w:jc w:val="left"/>
              <w:rPr>
                <w:rFonts w:hint="eastAsia"/>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 xml:space="preserve"> </w:t>
            </w:r>
          </w:p>
        </w:tc>
        <w:tc>
          <w:tcPr>
            <w:tcW w:w="1322" w:type="dxa"/>
            <w:shd w:val="clear" w:color="auto" w:fill="FFFEFD"/>
            <w:vAlign w:val="top"/>
          </w:tcPr>
          <w:p>
            <w:pPr>
              <w:keepNext w:val="0"/>
              <w:keepLines w:val="0"/>
              <w:widowControl/>
              <w:suppressLineNumbers w:val="0"/>
              <w:tabs>
                <w:tab w:val="center" w:pos="627"/>
                <w:tab w:val="center" w:pos="1047"/>
              </w:tabs>
              <w:spacing w:before="0" w:beforeAutospacing="0" w:after="0" w:afterAutospacing="0" w:line="256" w:lineRule="auto"/>
              <w:ind w:left="0" w:right="0"/>
              <w:jc w:val="left"/>
              <w:rPr>
                <w:rFonts w:hint="eastAsia"/>
                <w:sz w:val="20"/>
                <w:szCs w:val="20"/>
                <w:lang w:val="en-US"/>
              </w:rPr>
            </w:pPr>
            <w:r>
              <w:rPr>
                <w:rFonts w:hint="default" w:ascii="Calibri" w:hAnsi="Calibri" w:eastAsia="Calibri" w:cs="Calibri"/>
                <w:snapToGrid w:val="0"/>
                <w:color w:val="000000"/>
                <w:kern w:val="2"/>
                <w:sz w:val="20"/>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246.2 </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 </w:t>
            </w:r>
          </w:p>
        </w:tc>
        <w:tc>
          <w:tcPr>
            <w:tcW w:w="1356" w:type="dxa"/>
            <w:shd w:val="clear" w:color="auto" w:fill="FFFEFD"/>
            <w:vAlign w:val="top"/>
          </w:tcPr>
          <w:p>
            <w:pPr>
              <w:keepNext w:val="0"/>
              <w:keepLines w:val="0"/>
              <w:widowControl/>
              <w:suppressLineNumbers w:val="0"/>
              <w:tabs>
                <w:tab w:val="center" w:pos="666"/>
                <w:tab w:val="center" w:pos="1086"/>
              </w:tabs>
              <w:spacing w:before="0" w:beforeAutospacing="0" w:after="0" w:afterAutospacing="0" w:line="256" w:lineRule="auto"/>
              <w:ind w:left="0" w:right="0"/>
              <w:jc w:val="left"/>
              <w:rPr>
                <w:rFonts w:hint="eastAsia"/>
                <w:sz w:val="20"/>
                <w:szCs w:val="20"/>
                <w:lang w:val="en-US"/>
              </w:rPr>
            </w:pPr>
            <w:r>
              <w:rPr>
                <w:rFonts w:hint="default" w:ascii="Calibri" w:hAnsi="Calibri" w:eastAsia="Calibri" w:cs="Calibri"/>
                <w:snapToGrid w:val="0"/>
                <w:color w:val="000000"/>
                <w:kern w:val="2"/>
                <w:sz w:val="20"/>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298.8 </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 </w:t>
            </w:r>
          </w:p>
        </w:tc>
        <w:tc>
          <w:tcPr>
            <w:tcW w:w="857" w:type="dxa"/>
            <w:shd w:val="clear" w:color="auto" w:fill="FFFEFD"/>
            <w:vAlign w:val="top"/>
          </w:tcPr>
          <w:p>
            <w:pPr>
              <w:keepNext w:val="0"/>
              <w:keepLines w:val="0"/>
              <w:widowControl/>
              <w:suppressLineNumbers w:val="0"/>
              <w:spacing w:before="0" w:beforeAutospacing="0" w:after="0" w:afterAutospacing="0" w:line="256" w:lineRule="auto"/>
              <w:ind w:left="0" w:right="79"/>
              <w:jc w:val="right"/>
              <w:rPr>
                <w:rFonts w:hint="eastAsia"/>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 xml:space="preserve">409.8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40" w:hRule="atLeast"/>
        </w:trPr>
        <w:tc>
          <w:tcPr>
            <w:tcW w:w="4879" w:type="dxa"/>
            <w:shd w:val="clear" w:color="auto" w:fill="CDE0D8"/>
            <w:vAlign w:val="top"/>
          </w:tcPr>
          <w:p>
            <w:pPr>
              <w:keepNext w:val="0"/>
              <w:keepLines w:val="0"/>
              <w:widowControl/>
              <w:suppressLineNumbers w:val="0"/>
              <w:spacing w:before="0" w:beforeAutospacing="0" w:after="0" w:afterAutospacing="0" w:line="256" w:lineRule="auto"/>
              <w:ind w:left="51" w:right="0"/>
              <w:jc w:val="left"/>
              <w:rPr>
                <w:rFonts w:hint="eastAsia"/>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Cash dividends paid</w:t>
            </w:r>
          </w:p>
        </w:tc>
        <w:tc>
          <w:tcPr>
            <w:tcW w:w="424" w:type="dxa"/>
            <w:shd w:val="clear" w:color="auto" w:fill="CDE0D8"/>
            <w:vAlign w:val="top"/>
          </w:tcPr>
          <w:p>
            <w:pPr>
              <w:keepNext w:val="0"/>
              <w:keepLines w:val="0"/>
              <w:widowControl/>
              <w:suppressLineNumbers w:val="0"/>
              <w:spacing w:before="0" w:beforeAutospacing="0" w:after="0" w:afterAutospacing="0" w:line="256" w:lineRule="auto"/>
              <w:ind w:left="0" w:right="0"/>
              <w:jc w:val="left"/>
              <w:rPr>
                <w:rFonts w:hint="eastAsia"/>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 xml:space="preserve"> </w:t>
            </w:r>
          </w:p>
        </w:tc>
        <w:tc>
          <w:tcPr>
            <w:tcW w:w="1322" w:type="dxa"/>
            <w:shd w:val="clear" w:color="auto" w:fill="CDE0D8"/>
            <w:vAlign w:val="top"/>
          </w:tcPr>
          <w:p>
            <w:pPr>
              <w:keepNext w:val="0"/>
              <w:keepLines w:val="0"/>
              <w:widowControl/>
              <w:suppressLineNumbers w:val="0"/>
              <w:spacing w:before="0" w:beforeAutospacing="0" w:after="0" w:afterAutospacing="0" w:line="256" w:lineRule="auto"/>
              <w:ind w:left="200" w:right="0"/>
              <w:jc w:val="left"/>
              <w:rPr>
                <w:rFonts w:hint="eastAsia"/>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 xml:space="preserve">(2,119.0)  </w:t>
            </w:r>
          </w:p>
        </w:tc>
        <w:tc>
          <w:tcPr>
            <w:tcW w:w="1356" w:type="dxa"/>
            <w:shd w:val="clear" w:color="auto" w:fill="CDE0D8"/>
            <w:vAlign w:val="top"/>
          </w:tcPr>
          <w:p>
            <w:pPr>
              <w:keepNext w:val="0"/>
              <w:keepLines w:val="0"/>
              <w:widowControl/>
              <w:suppressLineNumbers w:val="0"/>
              <w:spacing w:before="0" w:beforeAutospacing="0" w:after="0" w:afterAutospacing="0" w:line="256" w:lineRule="auto"/>
              <w:ind w:left="238" w:right="0"/>
              <w:jc w:val="left"/>
              <w:rPr>
                <w:rFonts w:hint="eastAsia"/>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 xml:space="preserve">(1,923.5)  </w:t>
            </w:r>
          </w:p>
        </w:tc>
        <w:tc>
          <w:tcPr>
            <w:tcW w:w="857" w:type="dxa"/>
            <w:shd w:val="clear" w:color="auto" w:fill="CDE0D8"/>
            <w:vAlign w:val="top"/>
          </w:tcPr>
          <w:p>
            <w:pPr>
              <w:keepNext w:val="0"/>
              <w:keepLines w:val="0"/>
              <w:widowControl/>
              <w:suppressLineNumbers w:val="0"/>
              <w:spacing w:before="0" w:beforeAutospacing="0" w:after="0" w:afterAutospacing="0" w:line="256" w:lineRule="auto"/>
              <w:ind w:left="0" w:right="15"/>
              <w:jc w:val="right"/>
              <w:rPr>
                <w:rFonts w:hint="eastAsia"/>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 xml:space="preserve">(1,761.3)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40" w:hRule="atLeast"/>
        </w:trPr>
        <w:tc>
          <w:tcPr>
            <w:tcW w:w="4879" w:type="dxa"/>
            <w:shd w:val="clear" w:color="auto" w:fill="FFFEFD"/>
            <w:vAlign w:val="top"/>
          </w:tcPr>
          <w:p>
            <w:pPr>
              <w:keepNext w:val="0"/>
              <w:keepLines w:val="0"/>
              <w:widowControl/>
              <w:suppressLineNumbers w:val="0"/>
              <w:spacing w:before="0" w:beforeAutospacing="0" w:after="0" w:afterAutospacing="0" w:line="256" w:lineRule="auto"/>
              <w:ind w:left="51" w:right="0"/>
              <w:jc w:val="left"/>
              <w:rPr>
                <w:rFonts w:hint="eastAsia"/>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Repurchase of common stock</w:t>
            </w:r>
          </w:p>
        </w:tc>
        <w:tc>
          <w:tcPr>
            <w:tcW w:w="424" w:type="dxa"/>
            <w:shd w:val="clear" w:color="auto" w:fill="FFFEFD"/>
            <w:vAlign w:val="top"/>
          </w:tcPr>
          <w:p>
            <w:pPr>
              <w:keepNext w:val="0"/>
              <w:keepLines w:val="0"/>
              <w:widowControl/>
              <w:suppressLineNumbers w:val="0"/>
              <w:spacing w:before="0" w:beforeAutospacing="0" w:after="0" w:afterAutospacing="0" w:line="256" w:lineRule="auto"/>
              <w:ind w:left="0" w:right="0"/>
              <w:jc w:val="left"/>
              <w:rPr>
                <w:rFonts w:hint="eastAsia"/>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 xml:space="preserve"> </w:t>
            </w:r>
          </w:p>
        </w:tc>
        <w:tc>
          <w:tcPr>
            <w:tcW w:w="1322" w:type="dxa"/>
            <w:shd w:val="clear" w:color="auto" w:fill="FFFEFD"/>
            <w:vAlign w:val="top"/>
          </w:tcPr>
          <w:p>
            <w:pPr>
              <w:keepNext w:val="0"/>
              <w:keepLines w:val="0"/>
              <w:widowControl/>
              <w:suppressLineNumbers w:val="0"/>
              <w:tabs>
                <w:tab w:val="center" w:pos="748"/>
                <w:tab w:val="center" w:pos="1047"/>
              </w:tabs>
              <w:spacing w:before="0" w:beforeAutospacing="0" w:after="0" w:afterAutospacing="0" w:line="256" w:lineRule="auto"/>
              <w:ind w:left="0" w:right="0"/>
              <w:jc w:val="left"/>
              <w:rPr>
                <w:rFonts w:hint="eastAsia"/>
                <w:sz w:val="20"/>
                <w:szCs w:val="20"/>
                <w:lang w:val="en-US"/>
              </w:rPr>
            </w:pPr>
            <w:r>
              <w:rPr>
                <w:rFonts w:hint="default" w:ascii="Calibri" w:hAnsi="Calibri" w:eastAsia="Calibri" w:cs="Calibri"/>
                <w:snapToGrid w:val="0"/>
                <w:color w:val="000000"/>
                <w:kern w:val="2"/>
                <w:sz w:val="20"/>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 </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 </w:t>
            </w:r>
          </w:p>
        </w:tc>
        <w:tc>
          <w:tcPr>
            <w:tcW w:w="1356" w:type="dxa"/>
            <w:shd w:val="clear" w:color="auto" w:fill="FFFEFD"/>
            <w:vAlign w:val="top"/>
          </w:tcPr>
          <w:p>
            <w:pPr>
              <w:keepNext w:val="0"/>
              <w:keepLines w:val="0"/>
              <w:widowControl/>
              <w:suppressLineNumbers w:val="0"/>
              <w:spacing w:before="0" w:beforeAutospacing="0" w:after="0" w:afterAutospacing="0" w:line="256" w:lineRule="auto"/>
              <w:ind w:left="238" w:right="0"/>
              <w:jc w:val="left"/>
              <w:rPr>
                <w:rFonts w:hint="eastAsia"/>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 xml:space="preserve">(1,698.9)  </w:t>
            </w:r>
          </w:p>
        </w:tc>
        <w:tc>
          <w:tcPr>
            <w:tcW w:w="857" w:type="dxa"/>
            <w:shd w:val="clear" w:color="auto" w:fill="FFFEFD"/>
            <w:vAlign w:val="top"/>
          </w:tcPr>
          <w:p>
            <w:pPr>
              <w:keepNext w:val="0"/>
              <w:keepLines w:val="0"/>
              <w:widowControl/>
              <w:suppressLineNumbers w:val="0"/>
              <w:spacing w:before="0" w:beforeAutospacing="0" w:after="0" w:afterAutospacing="0" w:line="256" w:lineRule="auto"/>
              <w:ind w:left="142" w:right="0"/>
              <w:jc w:val="left"/>
              <w:rPr>
                <w:rFonts w:hint="eastAsia"/>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(10,222.3)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40" w:hRule="atLeast"/>
        </w:trPr>
        <w:tc>
          <w:tcPr>
            <w:tcW w:w="4879" w:type="dxa"/>
            <w:shd w:val="clear" w:color="auto" w:fill="CDE0D8"/>
            <w:vAlign w:val="top"/>
          </w:tcPr>
          <w:p>
            <w:pPr>
              <w:keepNext w:val="0"/>
              <w:keepLines w:val="0"/>
              <w:widowControl/>
              <w:suppressLineNumbers w:val="0"/>
              <w:spacing w:before="0" w:beforeAutospacing="0" w:after="0" w:afterAutospacing="0" w:line="256" w:lineRule="auto"/>
              <w:ind w:left="51" w:right="0"/>
              <w:jc w:val="left"/>
              <w:rPr>
                <w:rFonts w:hint="eastAsia"/>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Minimum tax withholdings on share-based awards</w:t>
            </w:r>
          </w:p>
        </w:tc>
        <w:tc>
          <w:tcPr>
            <w:tcW w:w="424" w:type="dxa"/>
            <w:shd w:val="clear" w:color="auto" w:fill="CDE0D8"/>
            <w:vAlign w:val="top"/>
          </w:tcPr>
          <w:p>
            <w:pPr>
              <w:keepNext w:val="0"/>
              <w:keepLines w:val="0"/>
              <w:widowControl/>
              <w:suppressLineNumbers w:val="0"/>
              <w:spacing w:before="0" w:beforeAutospacing="0" w:after="0" w:afterAutospacing="0" w:line="256" w:lineRule="auto"/>
              <w:ind w:left="0" w:right="0"/>
              <w:jc w:val="left"/>
              <w:rPr>
                <w:rFonts w:hint="eastAsia"/>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 xml:space="preserve"> </w:t>
            </w:r>
          </w:p>
        </w:tc>
        <w:tc>
          <w:tcPr>
            <w:tcW w:w="1322" w:type="dxa"/>
            <w:shd w:val="clear" w:color="auto" w:fill="CDE0D8"/>
            <w:vAlign w:val="top"/>
          </w:tcPr>
          <w:p>
            <w:pPr>
              <w:keepNext w:val="0"/>
              <w:keepLines w:val="0"/>
              <w:widowControl/>
              <w:suppressLineNumbers w:val="0"/>
              <w:spacing w:before="0" w:beforeAutospacing="0" w:after="0" w:afterAutospacing="0" w:line="256" w:lineRule="auto"/>
              <w:ind w:left="0" w:right="135"/>
              <w:jc w:val="center"/>
              <w:rPr>
                <w:rFonts w:hint="eastAsia"/>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 xml:space="preserve">(97.0)  </w:t>
            </w:r>
          </w:p>
        </w:tc>
        <w:tc>
          <w:tcPr>
            <w:tcW w:w="1356" w:type="dxa"/>
            <w:shd w:val="clear" w:color="auto" w:fill="CDE0D8"/>
            <w:vAlign w:val="top"/>
          </w:tcPr>
          <w:p>
            <w:pPr>
              <w:keepNext w:val="0"/>
              <w:keepLines w:val="0"/>
              <w:widowControl/>
              <w:suppressLineNumbers w:val="0"/>
              <w:spacing w:before="0" w:beforeAutospacing="0" w:after="0" w:afterAutospacing="0" w:line="256" w:lineRule="auto"/>
              <w:ind w:left="0" w:right="96"/>
              <w:jc w:val="center"/>
              <w:rPr>
                <w:rFonts w:hint="eastAsia"/>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 xml:space="preserve">(91.9)  </w:t>
            </w:r>
          </w:p>
        </w:tc>
        <w:tc>
          <w:tcPr>
            <w:tcW w:w="857" w:type="dxa"/>
            <w:shd w:val="clear" w:color="auto" w:fill="CDE0D8"/>
            <w:vAlign w:val="top"/>
          </w:tcPr>
          <w:p>
            <w:pPr>
              <w:keepNext w:val="0"/>
              <w:keepLines w:val="0"/>
              <w:widowControl/>
              <w:suppressLineNumbers w:val="0"/>
              <w:spacing w:before="0" w:beforeAutospacing="0" w:after="0" w:afterAutospacing="0" w:line="256" w:lineRule="auto"/>
              <w:ind w:left="0" w:right="15"/>
              <w:jc w:val="right"/>
              <w:rPr>
                <w:rFonts w:hint="eastAsia"/>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(111.6)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40" w:hRule="atLeast"/>
        </w:trPr>
        <w:tc>
          <w:tcPr>
            <w:tcW w:w="4879" w:type="dxa"/>
            <w:shd w:val="clear" w:color="auto" w:fill="FFFEFD"/>
            <w:vAlign w:val="top"/>
          </w:tcPr>
          <w:p>
            <w:pPr>
              <w:keepNext w:val="0"/>
              <w:keepLines w:val="0"/>
              <w:widowControl/>
              <w:suppressLineNumbers w:val="0"/>
              <w:spacing w:before="0" w:beforeAutospacing="0" w:after="0" w:afterAutospacing="0" w:line="256" w:lineRule="auto"/>
              <w:ind w:left="51" w:right="0"/>
              <w:jc w:val="left"/>
              <w:rPr>
                <w:rFonts w:hint="eastAsia"/>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Other</w:t>
            </w:r>
          </w:p>
        </w:tc>
        <w:tc>
          <w:tcPr>
            <w:tcW w:w="424" w:type="dxa"/>
            <w:tcBorders>
              <w:top w:val="nil"/>
              <w:left w:val="nil"/>
              <w:bottom w:val="single" w:color="181717" w:sz="8" w:space="0"/>
              <w:right w:val="nil"/>
            </w:tcBorders>
            <w:shd w:val="clear" w:color="auto" w:fill="FFFEFD"/>
            <w:vAlign w:val="top"/>
          </w:tcPr>
          <w:p>
            <w:pPr>
              <w:keepNext w:val="0"/>
              <w:keepLines w:val="0"/>
              <w:widowControl/>
              <w:suppressLineNumbers w:val="0"/>
              <w:spacing w:before="0" w:beforeAutospacing="0" w:after="0" w:afterAutospacing="0" w:line="256" w:lineRule="auto"/>
              <w:ind w:left="0" w:right="0"/>
              <w:jc w:val="left"/>
              <w:rPr>
                <w:rFonts w:hint="eastAsia"/>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 xml:space="preserve"> </w:t>
            </w:r>
          </w:p>
        </w:tc>
        <w:tc>
          <w:tcPr>
            <w:tcW w:w="1322" w:type="dxa"/>
            <w:tcBorders>
              <w:top w:val="nil"/>
              <w:left w:val="nil"/>
              <w:bottom w:val="single" w:color="181717" w:sz="8" w:space="0"/>
              <w:right w:val="nil"/>
            </w:tcBorders>
            <w:shd w:val="clear" w:color="auto" w:fill="FFFEFD"/>
            <w:vAlign w:val="top"/>
          </w:tcPr>
          <w:p>
            <w:pPr>
              <w:keepNext w:val="0"/>
              <w:keepLines w:val="0"/>
              <w:widowControl/>
              <w:suppressLineNumbers w:val="0"/>
              <w:tabs>
                <w:tab w:val="center" w:pos="748"/>
                <w:tab w:val="center" w:pos="1047"/>
              </w:tabs>
              <w:spacing w:before="0" w:beforeAutospacing="0" w:after="0" w:afterAutospacing="0" w:line="256" w:lineRule="auto"/>
              <w:ind w:left="0" w:right="0"/>
              <w:jc w:val="left"/>
              <w:rPr>
                <w:rFonts w:hint="eastAsia"/>
                <w:sz w:val="20"/>
                <w:szCs w:val="20"/>
                <w:lang w:val="en-US"/>
              </w:rPr>
            </w:pPr>
            <w:r>
              <w:rPr>
                <w:rFonts w:hint="default" w:ascii="Calibri" w:hAnsi="Calibri" w:eastAsia="Calibri" w:cs="Calibri"/>
                <w:snapToGrid w:val="0"/>
                <w:color w:val="000000"/>
                <w:kern w:val="2"/>
                <w:sz w:val="20"/>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 </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 </w:t>
            </w:r>
          </w:p>
        </w:tc>
        <w:tc>
          <w:tcPr>
            <w:tcW w:w="1356" w:type="dxa"/>
            <w:tcBorders>
              <w:top w:val="nil"/>
              <w:left w:val="nil"/>
              <w:bottom w:val="single" w:color="181717" w:sz="8" w:space="0"/>
              <w:right w:val="nil"/>
            </w:tcBorders>
            <w:shd w:val="clear" w:color="auto" w:fill="FFFEFD"/>
            <w:vAlign w:val="top"/>
          </w:tcPr>
          <w:p>
            <w:pPr>
              <w:keepNext w:val="0"/>
              <w:keepLines w:val="0"/>
              <w:widowControl/>
              <w:suppressLineNumbers w:val="0"/>
              <w:spacing w:before="0" w:beforeAutospacing="0" w:after="0" w:afterAutospacing="0" w:line="256" w:lineRule="auto"/>
              <w:ind w:left="0" w:right="96"/>
              <w:jc w:val="center"/>
              <w:rPr>
                <w:rFonts w:hint="eastAsia"/>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 xml:space="preserve">(37.7)  </w:t>
            </w:r>
          </w:p>
        </w:tc>
        <w:tc>
          <w:tcPr>
            <w:tcW w:w="857" w:type="dxa"/>
            <w:tcBorders>
              <w:top w:val="nil"/>
              <w:left w:val="nil"/>
              <w:bottom w:val="single" w:color="181717" w:sz="8" w:space="0"/>
              <w:right w:val="nil"/>
            </w:tcBorders>
            <w:shd w:val="clear" w:color="auto" w:fill="FFFEFD"/>
            <w:vAlign w:val="top"/>
          </w:tcPr>
          <w:p>
            <w:pPr>
              <w:keepNext w:val="0"/>
              <w:keepLines w:val="0"/>
              <w:widowControl/>
              <w:suppressLineNumbers w:val="0"/>
              <w:spacing w:before="0" w:beforeAutospacing="0" w:after="0" w:afterAutospacing="0" w:line="256" w:lineRule="auto"/>
              <w:ind w:left="0" w:right="15"/>
              <w:jc w:val="right"/>
              <w:rPr>
                <w:rFonts w:hint="eastAsia"/>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(17.5)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0" w:hRule="atLeast"/>
        </w:trPr>
        <w:tc>
          <w:tcPr>
            <w:tcW w:w="4879" w:type="dxa"/>
            <w:shd w:val="clear" w:color="auto" w:fill="CDE0D8"/>
            <w:vAlign w:val="top"/>
          </w:tcPr>
          <w:p>
            <w:pPr>
              <w:keepNext w:val="0"/>
              <w:keepLines w:val="0"/>
              <w:widowControl/>
              <w:suppressLineNumbers w:val="0"/>
              <w:spacing w:before="0" w:beforeAutospacing="0" w:after="0" w:afterAutospacing="0" w:line="256" w:lineRule="auto"/>
              <w:ind w:left="51" w:right="0"/>
              <w:jc w:val="left"/>
              <w:rPr>
                <w:rFonts w:hint="eastAsia"/>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Net cash provided by/(used in) financing activities</w:t>
            </w:r>
          </w:p>
        </w:tc>
        <w:tc>
          <w:tcPr>
            <w:tcW w:w="424" w:type="dxa"/>
            <w:tcBorders>
              <w:top w:val="single" w:color="181717" w:sz="8" w:space="0"/>
              <w:left w:val="nil"/>
              <w:bottom w:val="nil"/>
              <w:right w:val="nil"/>
            </w:tcBorders>
            <w:shd w:val="clear" w:color="auto" w:fill="CDE0D8"/>
            <w:vAlign w:val="top"/>
          </w:tcPr>
          <w:p>
            <w:pPr>
              <w:keepNext w:val="0"/>
              <w:keepLines w:val="0"/>
              <w:widowControl/>
              <w:suppressLineNumbers w:val="0"/>
              <w:spacing w:before="0" w:beforeAutospacing="0" w:after="0" w:afterAutospacing="0" w:line="256" w:lineRule="auto"/>
              <w:ind w:left="0" w:right="0"/>
              <w:jc w:val="left"/>
              <w:rPr>
                <w:rFonts w:hint="eastAsia"/>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 xml:space="preserve"> </w:t>
            </w:r>
          </w:p>
        </w:tc>
        <w:tc>
          <w:tcPr>
            <w:tcW w:w="1322" w:type="dxa"/>
            <w:tcBorders>
              <w:top w:val="single" w:color="181717" w:sz="8" w:space="0"/>
              <w:left w:val="nil"/>
              <w:bottom w:val="nil"/>
              <w:right w:val="nil"/>
            </w:tcBorders>
            <w:shd w:val="clear" w:color="auto" w:fill="CDE0D8"/>
            <w:vAlign w:val="top"/>
          </w:tcPr>
          <w:p>
            <w:pPr>
              <w:keepNext w:val="0"/>
              <w:keepLines w:val="0"/>
              <w:widowControl/>
              <w:suppressLineNumbers w:val="0"/>
              <w:spacing w:before="0" w:beforeAutospacing="0" w:after="0" w:afterAutospacing="0" w:line="256" w:lineRule="auto"/>
              <w:ind w:left="200" w:right="0"/>
              <w:jc w:val="left"/>
              <w:rPr>
                <w:rFonts w:hint="eastAsia"/>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 xml:space="preserve">(3,651.0)  </w:t>
            </w:r>
          </w:p>
        </w:tc>
        <w:tc>
          <w:tcPr>
            <w:tcW w:w="1356" w:type="dxa"/>
            <w:tcBorders>
              <w:top w:val="single" w:color="181717" w:sz="8" w:space="0"/>
              <w:left w:val="nil"/>
              <w:bottom w:val="nil"/>
              <w:right w:val="nil"/>
            </w:tcBorders>
            <w:shd w:val="clear" w:color="auto" w:fill="CDE0D8"/>
            <w:vAlign w:val="top"/>
          </w:tcPr>
          <w:p>
            <w:pPr>
              <w:keepNext w:val="0"/>
              <w:keepLines w:val="0"/>
              <w:widowControl/>
              <w:suppressLineNumbers w:val="0"/>
              <w:tabs>
                <w:tab w:val="center" w:pos="593"/>
                <w:tab w:val="center" w:pos="1086"/>
              </w:tabs>
              <w:spacing w:before="0" w:beforeAutospacing="0" w:after="0" w:afterAutospacing="0" w:line="256" w:lineRule="auto"/>
              <w:ind w:left="0" w:right="0"/>
              <w:jc w:val="left"/>
              <w:rPr>
                <w:rFonts w:hint="eastAsia"/>
                <w:sz w:val="20"/>
                <w:szCs w:val="20"/>
                <w:lang w:val="en-US"/>
              </w:rPr>
            </w:pPr>
            <w:r>
              <w:rPr>
                <w:rFonts w:hint="default" w:ascii="Calibri" w:hAnsi="Calibri" w:eastAsia="Calibri" w:cs="Calibri"/>
                <w:snapToGrid w:val="0"/>
                <w:color w:val="000000"/>
                <w:kern w:val="2"/>
                <w:sz w:val="20"/>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1,713.3 </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 </w:t>
            </w:r>
          </w:p>
        </w:tc>
        <w:tc>
          <w:tcPr>
            <w:tcW w:w="857" w:type="dxa"/>
            <w:tcBorders>
              <w:top w:val="single" w:color="181717" w:sz="8" w:space="0"/>
              <w:left w:val="nil"/>
              <w:bottom w:val="nil"/>
              <w:right w:val="nil"/>
            </w:tcBorders>
            <w:shd w:val="clear" w:color="auto" w:fill="CDE0D8"/>
            <w:vAlign w:val="top"/>
          </w:tcPr>
          <w:p>
            <w:pPr>
              <w:keepNext w:val="0"/>
              <w:keepLines w:val="0"/>
              <w:widowControl/>
              <w:suppressLineNumbers w:val="0"/>
              <w:spacing w:before="0" w:beforeAutospacing="0" w:after="0" w:afterAutospacing="0" w:line="256" w:lineRule="auto"/>
              <w:ind w:left="142" w:right="0"/>
              <w:jc w:val="left"/>
              <w:rPr>
                <w:rFonts w:hint="eastAsia"/>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(10,056.9)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40" w:hRule="atLeast"/>
        </w:trPr>
        <w:tc>
          <w:tcPr>
            <w:tcW w:w="4879" w:type="dxa"/>
            <w:shd w:val="clear" w:color="auto" w:fill="FFFEFD"/>
            <w:vAlign w:val="top"/>
          </w:tcPr>
          <w:p>
            <w:pPr>
              <w:keepNext w:val="0"/>
              <w:keepLines w:val="0"/>
              <w:widowControl/>
              <w:suppressLineNumbers w:val="0"/>
              <w:spacing w:before="0" w:beforeAutospacing="0" w:after="0" w:afterAutospacing="0" w:line="256" w:lineRule="auto"/>
              <w:ind w:left="51" w:right="0"/>
              <w:jc w:val="left"/>
              <w:rPr>
                <w:rFonts w:hint="eastAsia"/>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Effect of exchange rate changes on cash and cash equivalents</w:t>
            </w:r>
          </w:p>
        </w:tc>
        <w:tc>
          <w:tcPr>
            <w:tcW w:w="424" w:type="dxa"/>
            <w:tcBorders>
              <w:top w:val="nil"/>
              <w:left w:val="nil"/>
              <w:bottom w:val="single" w:color="181717" w:sz="8" w:space="0"/>
              <w:right w:val="nil"/>
            </w:tcBorders>
            <w:shd w:val="clear" w:color="auto" w:fill="FFFEFD"/>
            <w:vAlign w:val="top"/>
          </w:tcPr>
          <w:p>
            <w:pPr>
              <w:keepNext w:val="0"/>
              <w:keepLines w:val="0"/>
              <w:widowControl/>
              <w:suppressLineNumbers w:val="0"/>
              <w:spacing w:before="0" w:beforeAutospacing="0" w:after="0" w:afterAutospacing="0" w:line="256" w:lineRule="auto"/>
              <w:ind w:left="0" w:right="0"/>
              <w:jc w:val="left"/>
              <w:rPr>
                <w:rFonts w:hint="eastAsia"/>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 xml:space="preserve"> </w:t>
            </w:r>
          </w:p>
        </w:tc>
        <w:tc>
          <w:tcPr>
            <w:tcW w:w="1322" w:type="dxa"/>
            <w:tcBorders>
              <w:top w:val="nil"/>
              <w:left w:val="nil"/>
              <w:bottom w:val="single" w:color="181717" w:sz="8" w:space="0"/>
              <w:right w:val="nil"/>
            </w:tcBorders>
            <w:shd w:val="clear" w:color="auto" w:fill="FFFEFD"/>
            <w:vAlign w:val="top"/>
          </w:tcPr>
          <w:p>
            <w:pPr>
              <w:keepNext w:val="0"/>
              <w:keepLines w:val="0"/>
              <w:widowControl/>
              <w:suppressLineNumbers w:val="0"/>
              <w:tabs>
                <w:tab w:val="center" w:pos="675"/>
                <w:tab w:val="center" w:pos="1047"/>
              </w:tabs>
              <w:spacing w:before="0" w:beforeAutospacing="0" w:after="0" w:afterAutospacing="0" w:line="256" w:lineRule="auto"/>
              <w:ind w:left="0" w:right="0"/>
              <w:jc w:val="left"/>
              <w:rPr>
                <w:rFonts w:hint="eastAsia"/>
                <w:sz w:val="20"/>
                <w:szCs w:val="20"/>
                <w:lang w:val="en-US"/>
              </w:rPr>
            </w:pPr>
            <w:r>
              <w:rPr>
                <w:rFonts w:hint="default" w:ascii="Calibri" w:hAnsi="Calibri" w:eastAsia="Calibri" w:cs="Calibri"/>
                <w:snapToGrid w:val="0"/>
                <w:color w:val="000000"/>
                <w:kern w:val="2"/>
                <w:sz w:val="20"/>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86.2 </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 </w:t>
            </w:r>
          </w:p>
        </w:tc>
        <w:tc>
          <w:tcPr>
            <w:tcW w:w="1356" w:type="dxa"/>
            <w:tcBorders>
              <w:top w:val="nil"/>
              <w:left w:val="nil"/>
              <w:bottom w:val="single" w:color="181717" w:sz="8" w:space="0"/>
              <w:right w:val="nil"/>
            </w:tcBorders>
            <w:shd w:val="clear" w:color="auto" w:fill="FFFEFD"/>
            <w:vAlign w:val="top"/>
          </w:tcPr>
          <w:p>
            <w:pPr>
              <w:keepNext w:val="0"/>
              <w:keepLines w:val="0"/>
              <w:widowControl/>
              <w:suppressLineNumbers w:val="0"/>
              <w:tabs>
                <w:tab w:val="center" w:pos="714"/>
                <w:tab w:val="center" w:pos="1086"/>
              </w:tabs>
              <w:spacing w:before="0" w:beforeAutospacing="0" w:after="0" w:afterAutospacing="0" w:line="256" w:lineRule="auto"/>
              <w:ind w:left="0" w:right="0"/>
              <w:jc w:val="left"/>
              <w:rPr>
                <w:rFonts w:hint="eastAsia"/>
                <w:sz w:val="20"/>
                <w:szCs w:val="20"/>
                <w:lang w:val="en-US"/>
              </w:rPr>
            </w:pPr>
            <w:r>
              <w:rPr>
                <w:rFonts w:hint="default" w:ascii="Calibri" w:hAnsi="Calibri" w:eastAsia="Calibri" w:cs="Calibri"/>
                <w:snapToGrid w:val="0"/>
                <w:color w:val="000000"/>
                <w:kern w:val="2"/>
                <w:sz w:val="20"/>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64.7 </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 </w:t>
            </w:r>
          </w:p>
        </w:tc>
        <w:tc>
          <w:tcPr>
            <w:tcW w:w="857" w:type="dxa"/>
            <w:tcBorders>
              <w:top w:val="nil"/>
              <w:left w:val="nil"/>
              <w:bottom w:val="single" w:color="181717" w:sz="8" w:space="0"/>
              <w:right w:val="nil"/>
            </w:tcBorders>
            <w:shd w:val="clear" w:color="auto" w:fill="FFFEFD"/>
            <w:vAlign w:val="top"/>
          </w:tcPr>
          <w:p>
            <w:pPr>
              <w:keepNext w:val="0"/>
              <w:keepLines w:val="0"/>
              <w:widowControl/>
              <w:suppressLineNumbers w:val="0"/>
              <w:spacing w:before="0" w:beforeAutospacing="0" w:after="0" w:afterAutospacing="0" w:line="256" w:lineRule="auto"/>
              <w:ind w:left="0" w:right="15"/>
              <w:jc w:val="right"/>
              <w:rPr>
                <w:rFonts w:hint="eastAsia"/>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(49.0)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0" w:hRule="atLeast"/>
        </w:trPr>
        <w:tc>
          <w:tcPr>
            <w:tcW w:w="4879" w:type="dxa"/>
            <w:shd w:val="clear" w:color="auto" w:fill="CDE0D8"/>
            <w:vAlign w:val="top"/>
          </w:tcPr>
          <w:p>
            <w:pPr>
              <w:keepNext w:val="0"/>
              <w:keepLines w:val="0"/>
              <w:widowControl/>
              <w:suppressLineNumbers w:val="0"/>
              <w:spacing w:before="0" w:beforeAutospacing="0" w:after="0" w:afterAutospacing="0" w:line="256" w:lineRule="auto"/>
              <w:ind w:left="51" w:right="0"/>
              <w:jc w:val="left"/>
              <w:rPr>
                <w:rFonts w:hint="eastAsia"/>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Net increase/(decrease) in cash and cash equivalents</w:t>
            </w:r>
          </w:p>
        </w:tc>
        <w:tc>
          <w:tcPr>
            <w:tcW w:w="424" w:type="dxa"/>
            <w:tcBorders>
              <w:top w:val="single" w:color="181717" w:sz="8" w:space="0"/>
              <w:left w:val="nil"/>
              <w:bottom w:val="nil"/>
              <w:right w:val="nil"/>
            </w:tcBorders>
            <w:shd w:val="clear" w:color="auto" w:fill="CDE0D8"/>
            <w:vAlign w:val="top"/>
          </w:tcPr>
          <w:p>
            <w:pPr>
              <w:keepNext w:val="0"/>
              <w:keepLines w:val="0"/>
              <w:widowControl/>
              <w:suppressLineNumbers w:val="0"/>
              <w:spacing w:before="0" w:beforeAutospacing="0" w:after="0" w:afterAutospacing="0" w:line="256" w:lineRule="auto"/>
              <w:ind w:left="0" w:right="0"/>
              <w:jc w:val="left"/>
              <w:rPr>
                <w:rFonts w:hint="eastAsia"/>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 xml:space="preserve"> </w:t>
            </w:r>
          </w:p>
        </w:tc>
        <w:tc>
          <w:tcPr>
            <w:tcW w:w="1322" w:type="dxa"/>
            <w:tcBorders>
              <w:top w:val="single" w:color="181717" w:sz="8" w:space="0"/>
              <w:left w:val="nil"/>
              <w:bottom w:val="nil"/>
              <w:right w:val="nil"/>
            </w:tcBorders>
            <w:shd w:val="clear" w:color="auto" w:fill="CDE0D8"/>
            <w:vAlign w:val="top"/>
          </w:tcPr>
          <w:p>
            <w:pPr>
              <w:keepNext w:val="0"/>
              <w:keepLines w:val="0"/>
              <w:widowControl/>
              <w:suppressLineNumbers w:val="0"/>
              <w:tabs>
                <w:tab w:val="center" w:pos="554"/>
                <w:tab w:val="center" w:pos="1047"/>
              </w:tabs>
              <w:spacing w:before="0" w:beforeAutospacing="0" w:after="0" w:afterAutospacing="0" w:line="256" w:lineRule="auto"/>
              <w:ind w:left="0" w:right="0"/>
              <w:jc w:val="left"/>
              <w:rPr>
                <w:rFonts w:hint="eastAsia"/>
                <w:sz w:val="20"/>
                <w:szCs w:val="20"/>
                <w:lang w:val="en-US"/>
              </w:rPr>
            </w:pPr>
            <w:r>
              <w:rPr>
                <w:rFonts w:hint="default" w:ascii="Calibri" w:hAnsi="Calibri" w:eastAsia="Calibri" w:cs="Calibri"/>
                <w:snapToGrid w:val="0"/>
                <w:color w:val="000000"/>
                <w:kern w:val="2"/>
                <w:sz w:val="20"/>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2,104.8 </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 </w:t>
            </w:r>
          </w:p>
        </w:tc>
        <w:tc>
          <w:tcPr>
            <w:tcW w:w="1356" w:type="dxa"/>
            <w:tcBorders>
              <w:top w:val="single" w:color="181717" w:sz="8" w:space="0"/>
              <w:left w:val="nil"/>
              <w:bottom w:val="nil"/>
              <w:right w:val="nil"/>
            </w:tcBorders>
            <w:shd w:val="clear" w:color="auto" w:fill="CDE0D8"/>
            <w:vAlign w:val="top"/>
          </w:tcPr>
          <w:p>
            <w:pPr>
              <w:keepNext w:val="0"/>
              <w:keepLines w:val="0"/>
              <w:widowControl/>
              <w:suppressLineNumbers w:val="0"/>
              <w:tabs>
                <w:tab w:val="center" w:pos="593"/>
                <w:tab w:val="center" w:pos="1086"/>
              </w:tabs>
              <w:spacing w:before="0" w:beforeAutospacing="0" w:after="0" w:afterAutospacing="0" w:line="256" w:lineRule="auto"/>
              <w:ind w:left="0" w:right="0"/>
              <w:jc w:val="left"/>
              <w:rPr>
                <w:rFonts w:hint="eastAsia"/>
                <w:sz w:val="20"/>
                <w:szCs w:val="20"/>
                <w:lang w:val="en-US"/>
              </w:rPr>
            </w:pPr>
            <w:r>
              <w:rPr>
                <w:rFonts w:hint="default" w:ascii="Calibri" w:hAnsi="Calibri" w:eastAsia="Calibri" w:cs="Calibri"/>
                <w:snapToGrid w:val="0"/>
                <w:color w:val="000000"/>
                <w:kern w:val="2"/>
                <w:sz w:val="20"/>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1,664.3 </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 </w:t>
            </w:r>
          </w:p>
        </w:tc>
        <w:tc>
          <w:tcPr>
            <w:tcW w:w="857" w:type="dxa"/>
            <w:tcBorders>
              <w:top w:val="single" w:color="181717" w:sz="8" w:space="0"/>
              <w:left w:val="nil"/>
              <w:bottom w:val="nil"/>
              <w:right w:val="nil"/>
            </w:tcBorders>
            <w:shd w:val="clear" w:color="auto" w:fill="CDE0D8"/>
            <w:vAlign w:val="top"/>
          </w:tcPr>
          <w:p>
            <w:pPr>
              <w:keepNext w:val="0"/>
              <w:keepLines w:val="0"/>
              <w:widowControl/>
              <w:suppressLineNumbers w:val="0"/>
              <w:spacing w:before="0" w:beforeAutospacing="0" w:after="0" w:afterAutospacing="0" w:line="256" w:lineRule="auto"/>
              <w:ind w:left="0" w:right="15"/>
              <w:jc w:val="right"/>
              <w:rPr>
                <w:rFonts w:hint="eastAsia"/>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 xml:space="preserve">(6,069.7)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97" w:hRule="atLeast"/>
        </w:trPr>
        <w:tc>
          <w:tcPr>
            <w:tcW w:w="4879" w:type="dxa"/>
            <w:shd w:val="clear" w:color="auto" w:fill="FFFEFD"/>
            <w:vAlign w:val="top"/>
          </w:tcPr>
          <w:p>
            <w:pPr>
              <w:keepNext w:val="0"/>
              <w:keepLines w:val="0"/>
              <w:widowControl/>
              <w:suppressLineNumbers w:val="0"/>
              <w:spacing w:before="0" w:beforeAutospacing="0" w:after="0" w:afterAutospacing="0" w:line="256" w:lineRule="auto"/>
              <w:ind w:left="51" w:right="0"/>
              <w:jc w:val="left"/>
              <w:rPr>
                <w:rFonts w:hint="eastAsia"/>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CASH AND CASH EQUIVALENTS:</w:t>
            </w:r>
          </w:p>
        </w:tc>
        <w:tc>
          <w:tcPr>
            <w:tcW w:w="424" w:type="dxa"/>
            <w:shd w:val="clear" w:color="auto" w:fill="FFFEFD"/>
            <w:vAlign w:val="top"/>
          </w:tcPr>
          <w:p>
            <w:pPr>
              <w:keepNext w:val="0"/>
              <w:keepLines w:val="0"/>
              <w:widowControl/>
              <w:suppressLineNumbers w:val="0"/>
              <w:spacing w:before="0" w:beforeAutospacing="0" w:after="160" w:afterAutospacing="0" w:line="256" w:lineRule="auto"/>
              <w:ind w:left="0" w:right="0"/>
              <w:jc w:val="left"/>
              <w:rPr>
                <w:rFonts w:hint="eastAsia"/>
                <w:sz w:val="20"/>
                <w:szCs w:val="20"/>
                <w:lang w:val="en-US"/>
              </w:rPr>
            </w:pPr>
          </w:p>
        </w:tc>
        <w:tc>
          <w:tcPr>
            <w:tcW w:w="1322" w:type="dxa"/>
            <w:shd w:val="clear" w:color="auto" w:fill="FFFEFD"/>
            <w:vAlign w:val="top"/>
          </w:tcPr>
          <w:p>
            <w:pPr>
              <w:keepNext w:val="0"/>
              <w:keepLines w:val="0"/>
              <w:widowControl/>
              <w:suppressLineNumbers w:val="0"/>
              <w:spacing w:before="0" w:beforeAutospacing="0" w:after="160" w:afterAutospacing="0" w:line="256" w:lineRule="auto"/>
              <w:ind w:left="0" w:right="0"/>
              <w:jc w:val="left"/>
              <w:rPr>
                <w:rFonts w:hint="eastAsia"/>
                <w:sz w:val="20"/>
                <w:szCs w:val="20"/>
                <w:lang w:val="en-US"/>
              </w:rPr>
            </w:pPr>
          </w:p>
        </w:tc>
        <w:tc>
          <w:tcPr>
            <w:tcW w:w="1356" w:type="dxa"/>
            <w:shd w:val="clear" w:color="auto" w:fill="FFFEFD"/>
            <w:vAlign w:val="top"/>
          </w:tcPr>
          <w:p>
            <w:pPr>
              <w:keepNext w:val="0"/>
              <w:keepLines w:val="0"/>
              <w:widowControl/>
              <w:suppressLineNumbers w:val="0"/>
              <w:spacing w:before="0" w:beforeAutospacing="0" w:after="160" w:afterAutospacing="0" w:line="256" w:lineRule="auto"/>
              <w:ind w:left="0" w:right="0"/>
              <w:jc w:val="left"/>
              <w:rPr>
                <w:rFonts w:hint="eastAsia"/>
                <w:sz w:val="20"/>
                <w:szCs w:val="20"/>
                <w:lang w:val="en-US"/>
              </w:rPr>
            </w:pPr>
          </w:p>
        </w:tc>
        <w:tc>
          <w:tcPr>
            <w:tcW w:w="857" w:type="dxa"/>
            <w:shd w:val="clear" w:color="auto" w:fill="FFFEFD"/>
            <w:vAlign w:val="top"/>
          </w:tcPr>
          <w:p>
            <w:pPr>
              <w:keepNext w:val="0"/>
              <w:keepLines w:val="0"/>
              <w:widowControl/>
              <w:suppressLineNumbers w:val="0"/>
              <w:spacing w:before="0" w:beforeAutospacing="0" w:after="160" w:afterAutospacing="0" w:line="256" w:lineRule="auto"/>
              <w:ind w:left="0" w:right="0"/>
              <w:jc w:val="left"/>
              <w:rPr>
                <w:rFonts w:hint="eastAsia"/>
                <w:sz w:val="20"/>
                <w:szCs w:val="20"/>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40" w:hRule="atLeast"/>
        </w:trPr>
        <w:tc>
          <w:tcPr>
            <w:tcW w:w="4879" w:type="dxa"/>
            <w:shd w:val="clear" w:color="auto" w:fill="CDE0D8"/>
            <w:vAlign w:val="top"/>
          </w:tcPr>
          <w:p>
            <w:pPr>
              <w:keepNext w:val="0"/>
              <w:keepLines w:val="0"/>
              <w:widowControl/>
              <w:suppressLineNumbers w:val="0"/>
              <w:spacing w:before="0" w:beforeAutospacing="0" w:after="0" w:afterAutospacing="0" w:line="256" w:lineRule="auto"/>
              <w:ind w:left="51" w:right="0"/>
              <w:jc w:val="left"/>
              <w:rPr>
                <w:rFonts w:hint="eastAsia"/>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Beginning of period</w:t>
            </w:r>
          </w:p>
        </w:tc>
        <w:tc>
          <w:tcPr>
            <w:tcW w:w="424" w:type="dxa"/>
            <w:tcBorders>
              <w:top w:val="nil"/>
              <w:left w:val="nil"/>
              <w:bottom w:val="single" w:color="181717" w:sz="8" w:space="0"/>
              <w:right w:val="nil"/>
            </w:tcBorders>
            <w:shd w:val="clear" w:color="auto" w:fill="CDE0D8"/>
            <w:vAlign w:val="top"/>
          </w:tcPr>
          <w:p>
            <w:pPr>
              <w:keepNext w:val="0"/>
              <w:keepLines w:val="0"/>
              <w:widowControl/>
              <w:suppressLineNumbers w:val="0"/>
              <w:spacing w:before="0" w:beforeAutospacing="0" w:after="0" w:afterAutospacing="0" w:line="256" w:lineRule="auto"/>
              <w:ind w:left="0" w:right="0"/>
              <w:jc w:val="left"/>
              <w:rPr>
                <w:rFonts w:hint="eastAsia"/>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 xml:space="preserve"> </w:t>
            </w:r>
          </w:p>
        </w:tc>
        <w:tc>
          <w:tcPr>
            <w:tcW w:w="1322" w:type="dxa"/>
            <w:tcBorders>
              <w:top w:val="nil"/>
              <w:left w:val="nil"/>
              <w:bottom w:val="single" w:color="181717" w:sz="8" w:space="0"/>
              <w:right w:val="nil"/>
            </w:tcBorders>
            <w:shd w:val="clear" w:color="auto" w:fill="CDE0D8"/>
            <w:vAlign w:val="top"/>
          </w:tcPr>
          <w:p>
            <w:pPr>
              <w:keepNext w:val="0"/>
              <w:keepLines w:val="0"/>
              <w:widowControl/>
              <w:suppressLineNumbers w:val="0"/>
              <w:tabs>
                <w:tab w:val="center" w:pos="554"/>
                <w:tab w:val="center" w:pos="1047"/>
              </w:tabs>
              <w:spacing w:before="0" w:beforeAutospacing="0" w:after="0" w:afterAutospacing="0" w:line="256" w:lineRule="auto"/>
              <w:ind w:left="0" w:right="0"/>
              <w:jc w:val="left"/>
              <w:rPr>
                <w:rFonts w:hint="eastAsia"/>
                <w:sz w:val="20"/>
                <w:szCs w:val="20"/>
                <w:lang w:val="en-US"/>
              </w:rPr>
            </w:pPr>
            <w:r>
              <w:rPr>
                <w:rFonts w:hint="default" w:ascii="Calibri" w:hAnsi="Calibri" w:eastAsia="Calibri" w:cs="Calibri"/>
                <w:snapToGrid w:val="0"/>
                <w:color w:val="000000"/>
                <w:kern w:val="2"/>
                <w:sz w:val="20"/>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4,350.9 </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 </w:t>
            </w:r>
          </w:p>
        </w:tc>
        <w:tc>
          <w:tcPr>
            <w:tcW w:w="1356" w:type="dxa"/>
            <w:tcBorders>
              <w:top w:val="nil"/>
              <w:left w:val="nil"/>
              <w:bottom w:val="single" w:color="181717" w:sz="8" w:space="0"/>
              <w:right w:val="nil"/>
            </w:tcBorders>
            <w:shd w:val="clear" w:color="auto" w:fill="CDE0D8"/>
            <w:vAlign w:val="top"/>
          </w:tcPr>
          <w:p>
            <w:pPr>
              <w:keepNext w:val="0"/>
              <w:keepLines w:val="0"/>
              <w:widowControl/>
              <w:suppressLineNumbers w:val="0"/>
              <w:tabs>
                <w:tab w:val="center" w:pos="593"/>
                <w:tab w:val="center" w:pos="1086"/>
              </w:tabs>
              <w:spacing w:before="0" w:beforeAutospacing="0" w:after="0" w:afterAutospacing="0" w:line="256" w:lineRule="auto"/>
              <w:ind w:left="0" w:right="0"/>
              <w:jc w:val="left"/>
              <w:rPr>
                <w:rFonts w:hint="eastAsia"/>
                <w:sz w:val="20"/>
                <w:szCs w:val="20"/>
                <w:lang w:val="en-US"/>
              </w:rPr>
            </w:pPr>
            <w:r>
              <w:rPr>
                <w:rFonts w:hint="default" w:ascii="Calibri" w:hAnsi="Calibri" w:eastAsia="Calibri" w:cs="Calibri"/>
                <w:snapToGrid w:val="0"/>
                <w:color w:val="000000"/>
                <w:kern w:val="2"/>
                <w:sz w:val="20"/>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2,686.6 </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 </w:t>
            </w:r>
          </w:p>
        </w:tc>
        <w:tc>
          <w:tcPr>
            <w:tcW w:w="857" w:type="dxa"/>
            <w:tcBorders>
              <w:top w:val="nil"/>
              <w:left w:val="nil"/>
              <w:bottom w:val="single" w:color="181717" w:sz="8" w:space="0"/>
              <w:right w:val="nil"/>
            </w:tcBorders>
            <w:shd w:val="clear" w:color="auto" w:fill="CDE0D8"/>
            <w:vAlign w:val="top"/>
          </w:tcPr>
          <w:p>
            <w:pPr>
              <w:keepNext w:val="0"/>
              <w:keepLines w:val="0"/>
              <w:widowControl/>
              <w:suppressLineNumbers w:val="0"/>
              <w:spacing w:before="0" w:beforeAutospacing="0" w:after="0" w:afterAutospacing="0" w:line="256" w:lineRule="auto"/>
              <w:ind w:left="0" w:right="79"/>
              <w:jc w:val="right"/>
              <w:rPr>
                <w:rFonts w:hint="eastAsia"/>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 xml:space="preserve">8,756.3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59" w:hRule="atLeast"/>
        </w:trPr>
        <w:tc>
          <w:tcPr>
            <w:tcW w:w="4879" w:type="dxa"/>
            <w:shd w:val="clear" w:color="auto" w:fill="FFFEFD"/>
            <w:vAlign w:val="top"/>
          </w:tcPr>
          <w:p>
            <w:pPr>
              <w:keepNext w:val="0"/>
              <w:keepLines w:val="0"/>
              <w:widowControl/>
              <w:suppressLineNumbers w:val="0"/>
              <w:spacing w:before="0" w:beforeAutospacing="0" w:after="0" w:afterAutospacing="0" w:line="256" w:lineRule="auto"/>
              <w:ind w:left="51" w:right="0"/>
              <w:jc w:val="left"/>
              <w:rPr>
                <w:rFonts w:hint="eastAsia"/>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End of period</w:t>
            </w:r>
          </w:p>
        </w:tc>
        <w:tc>
          <w:tcPr>
            <w:tcW w:w="424" w:type="dxa"/>
            <w:tcBorders>
              <w:top w:val="single" w:color="181717" w:sz="8" w:space="0"/>
              <w:left w:val="nil"/>
              <w:bottom w:val="single" w:color="181717" w:sz="8" w:space="0"/>
              <w:right w:val="nil"/>
            </w:tcBorders>
            <w:shd w:val="clear" w:color="auto" w:fill="FFFEFD"/>
            <w:vAlign w:val="top"/>
          </w:tcPr>
          <w:p>
            <w:pPr>
              <w:keepNext w:val="0"/>
              <w:keepLines w:val="0"/>
              <w:widowControl/>
              <w:suppressLineNumbers w:val="0"/>
              <w:spacing w:before="0" w:beforeAutospacing="0" w:after="0" w:afterAutospacing="0" w:line="256" w:lineRule="auto"/>
              <w:ind w:left="0" w:right="0"/>
              <w:jc w:val="left"/>
              <w:rPr>
                <w:rFonts w:hint="eastAsia"/>
                <w:sz w:val="20"/>
                <w:szCs w:val="20"/>
                <w:lang w:val="en-US"/>
              </w:rPr>
            </w:pPr>
            <w:r>
              <w:rPr>
                <w:rFonts w:hint="default" w:ascii="Times New Roman" w:hAnsi="Times New Roman" w:eastAsia="Times New Roman" w:cs="Times New Roman"/>
                <w:snapToGrid w:val="0"/>
                <w:color w:val="000000"/>
                <w:kern w:val="2"/>
                <w:sz w:val="16"/>
                <w:szCs w:val="20"/>
                <w:u w:val="single" w:color="181717"/>
                <w:lang w:val="en-US" w:eastAsia="zh-CN" w:bidi="ar"/>
              </w:rPr>
              <w:t xml:space="preserve">$ </w:t>
            </w:r>
          </w:p>
        </w:tc>
        <w:tc>
          <w:tcPr>
            <w:tcW w:w="1322" w:type="dxa"/>
            <w:tcBorders>
              <w:top w:val="single" w:color="181717" w:sz="8" w:space="0"/>
              <w:left w:val="nil"/>
              <w:bottom w:val="single" w:color="181717" w:sz="8" w:space="0"/>
              <w:right w:val="nil"/>
            </w:tcBorders>
            <w:shd w:val="clear" w:color="auto" w:fill="FFFEFD"/>
            <w:vAlign w:val="top"/>
          </w:tcPr>
          <w:p>
            <w:pPr>
              <w:keepNext w:val="0"/>
              <w:keepLines w:val="0"/>
              <w:widowControl/>
              <w:suppressLineNumbers w:val="0"/>
              <w:tabs>
                <w:tab w:val="center" w:pos="554"/>
                <w:tab w:val="center" w:pos="1096"/>
              </w:tabs>
              <w:spacing w:before="0" w:beforeAutospacing="0" w:after="0" w:afterAutospacing="0" w:line="256" w:lineRule="auto"/>
              <w:ind w:left="0" w:right="0"/>
              <w:jc w:val="left"/>
              <w:rPr>
                <w:rFonts w:hint="eastAsia"/>
                <w:sz w:val="20"/>
                <w:szCs w:val="20"/>
                <w:lang w:val="en-US"/>
              </w:rPr>
            </w:pPr>
            <w:r>
              <w:rPr>
                <w:rFonts w:hint="default" w:ascii="Calibri" w:hAnsi="Calibri" w:eastAsia="Calibri" w:cs="Calibri"/>
                <w:snapToGrid w:val="0"/>
                <w:color w:val="000000"/>
                <w:kern w:val="2"/>
                <w:sz w:val="20"/>
                <w:szCs w:val="20"/>
                <w:lang w:val="en-US" w:eastAsia="zh-CN" w:bidi="ar"/>
              </w:rPr>
              <w:tab/>
            </w:r>
            <w:r>
              <w:rPr>
                <w:rFonts w:hint="default" w:ascii="Times New Roman" w:hAnsi="Times New Roman" w:eastAsia="Times New Roman" w:cs="Times New Roman"/>
                <w:snapToGrid w:val="0"/>
                <w:color w:val="000000"/>
                <w:kern w:val="2"/>
                <w:sz w:val="16"/>
                <w:szCs w:val="20"/>
                <w:u w:val="single" w:color="181717"/>
                <w:lang w:val="en-US" w:eastAsia="zh-CN" w:bidi="ar"/>
              </w:rPr>
              <w:t xml:space="preserve">6,455.7 </w:t>
            </w:r>
            <w:r>
              <w:rPr>
                <w:rFonts w:hint="default" w:ascii="Times New Roman" w:hAnsi="Times New Roman" w:eastAsia="Times New Roman" w:cs="Times New Roman"/>
                <w:snapToGrid w:val="0"/>
                <w:color w:val="000000"/>
                <w:kern w:val="2"/>
                <w:sz w:val="16"/>
                <w:szCs w:val="20"/>
                <w:u w:val="single" w:color="181717"/>
                <w:lang w:val="en-US" w:eastAsia="zh-CN" w:bidi="ar"/>
              </w:rPr>
              <w:tab/>
            </w:r>
            <w:r>
              <w:rPr>
                <w:rFonts w:hint="default" w:ascii="Times New Roman" w:hAnsi="Times New Roman" w:eastAsia="Times New Roman" w:cs="Times New Roman"/>
                <w:snapToGrid w:val="0"/>
                <w:color w:val="000000"/>
                <w:kern w:val="2"/>
                <w:sz w:val="16"/>
                <w:szCs w:val="20"/>
                <w:u w:val="single" w:color="181717"/>
                <w:lang w:val="en-US" w:eastAsia="zh-CN" w:bidi="ar"/>
              </w:rPr>
              <w:t xml:space="preserve">$ </w:t>
            </w:r>
          </w:p>
        </w:tc>
        <w:tc>
          <w:tcPr>
            <w:tcW w:w="1356" w:type="dxa"/>
            <w:tcBorders>
              <w:top w:val="single" w:color="181717" w:sz="8" w:space="0"/>
              <w:left w:val="nil"/>
              <w:bottom w:val="single" w:color="181717" w:sz="8" w:space="0"/>
              <w:right w:val="nil"/>
            </w:tcBorders>
            <w:shd w:val="clear" w:color="auto" w:fill="FFFEFD"/>
            <w:vAlign w:val="top"/>
          </w:tcPr>
          <w:p>
            <w:pPr>
              <w:keepNext w:val="0"/>
              <w:keepLines w:val="0"/>
              <w:widowControl/>
              <w:suppressLineNumbers w:val="0"/>
              <w:tabs>
                <w:tab w:val="center" w:pos="593"/>
                <w:tab w:val="center" w:pos="1135"/>
              </w:tabs>
              <w:spacing w:before="0" w:beforeAutospacing="0" w:after="0" w:afterAutospacing="0" w:line="256" w:lineRule="auto"/>
              <w:ind w:left="0" w:right="0"/>
              <w:jc w:val="left"/>
              <w:rPr>
                <w:rFonts w:hint="eastAsia"/>
                <w:sz w:val="20"/>
                <w:szCs w:val="20"/>
                <w:lang w:val="en-US"/>
              </w:rPr>
            </w:pPr>
            <w:r>
              <w:rPr>
                <w:rFonts w:hint="default" w:ascii="Calibri" w:hAnsi="Calibri" w:eastAsia="Calibri" w:cs="Calibri"/>
                <w:snapToGrid w:val="0"/>
                <w:color w:val="000000"/>
                <w:kern w:val="2"/>
                <w:sz w:val="20"/>
                <w:szCs w:val="20"/>
                <w:lang w:val="en-US" w:eastAsia="zh-CN" w:bidi="ar"/>
              </w:rPr>
              <w:tab/>
            </w:r>
            <w:r>
              <w:rPr>
                <w:rFonts w:hint="default" w:ascii="Times New Roman" w:hAnsi="Times New Roman" w:eastAsia="Times New Roman" w:cs="Times New Roman"/>
                <w:snapToGrid w:val="0"/>
                <w:color w:val="000000"/>
                <w:kern w:val="2"/>
                <w:sz w:val="16"/>
                <w:szCs w:val="20"/>
                <w:u w:val="single" w:color="181717"/>
                <w:lang w:val="en-US" w:eastAsia="zh-CN" w:bidi="ar"/>
              </w:rPr>
              <w:t xml:space="preserve">4,350.9 </w:t>
            </w:r>
            <w:r>
              <w:rPr>
                <w:rFonts w:hint="default" w:ascii="Times New Roman" w:hAnsi="Times New Roman" w:eastAsia="Times New Roman" w:cs="Times New Roman"/>
                <w:snapToGrid w:val="0"/>
                <w:color w:val="000000"/>
                <w:kern w:val="2"/>
                <w:sz w:val="16"/>
                <w:szCs w:val="20"/>
                <w:u w:val="single" w:color="181717"/>
                <w:lang w:val="en-US" w:eastAsia="zh-CN" w:bidi="ar"/>
              </w:rPr>
              <w:tab/>
            </w:r>
            <w:r>
              <w:rPr>
                <w:rFonts w:hint="default" w:ascii="Times New Roman" w:hAnsi="Times New Roman" w:eastAsia="Times New Roman" w:cs="Times New Roman"/>
                <w:snapToGrid w:val="0"/>
                <w:color w:val="000000"/>
                <w:kern w:val="2"/>
                <w:sz w:val="16"/>
                <w:szCs w:val="20"/>
                <w:u w:val="single" w:color="181717"/>
                <w:lang w:val="en-US" w:eastAsia="zh-CN" w:bidi="ar"/>
              </w:rPr>
              <w:t xml:space="preserve">$ </w:t>
            </w:r>
          </w:p>
        </w:tc>
        <w:tc>
          <w:tcPr>
            <w:tcW w:w="857" w:type="dxa"/>
            <w:tcBorders>
              <w:top w:val="single" w:color="181717" w:sz="8" w:space="0"/>
              <w:left w:val="nil"/>
              <w:bottom w:val="single" w:color="181717" w:sz="8" w:space="0"/>
              <w:right w:val="nil"/>
            </w:tcBorders>
            <w:shd w:val="clear" w:color="auto" w:fill="FFFEFD"/>
            <w:vAlign w:val="top"/>
          </w:tcPr>
          <w:p>
            <w:pPr>
              <w:keepNext w:val="0"/>
              <w:keepLines w:val="0"/>
              <w:widowControl/>
              <w:suppressLineNumbers w:val="0"/>
              <w:spacing w:before="0" w:beforeAutospacing="0" w:after="0" w:afterAutospacing="0" w:line="256" w:lineRule="auto"/>
              <w:ind w:left="0" w:right="79"/>
              <w:jc w:val="right"/>
              <w:rPr>
                <w:rFonts w:hint="eastAsia"/>
                <w:sz w:val="20"/>
                <w:szCs w:val="20"/>
                <w:lang w:val="en-US"/>
              </w:rPr>
            </w:pPr>
            <w:r>
              <w:rPr>
                <w:rFonts w:hint="default" w:ascii="Times New Roman" w:hAnsi="Times New Roman" w:eastAsia="Times New Roman" w:cs="Times New Roman"/>
                <w:snapToGrid w:val="0"/>
                <w:color w:val="000000"/>
                <w:kern w:val="2"/>
                <w:sz w:val="16"/>
                <w:szCs w:val="20"/>
                <w:u w:val="single" w:color="181717"/>
                <w:lang w:val="en-US" w:eastAsia="zh-CN" w:bidi="ar"/>
              </w:rPr>
              <w:t xml:space="preserve">2,686.6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417" w:hRule="atLeast"/>
        </w:trPr>
        <w:tc>
          <w:tcPr>
            <w:tcW w:w="4879" w:type="dxa"/>
            <w:shd w:val="clear" w:color="auto" w:fill="CDE0D8"/>
            <w:vAlign w:val="top"/>
          </w:tcPr>
          <w:p>
            <w:pPr>
              <w:keepNext w:val="0"/>
              <w:keepLines w:val="0"/>
              <w:widowControl/>
              <w:suppressLineNumbers w:val="0"/>
              <w:spacing w:before="0" w:beforeAutospacing="0" w:after="0" w:afterAutospacing="0" w:line="256" w:lineRule="auto"/>
              <w:ind w:left="51" w:right="0"/>
              <w:jc w:val="left"/>
              <w:rPr>
                <w:rFonts w:hint="eastAsia"/>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SUPPLEMENTAL DISCLOSURE OF CASH FLOW INFORMATION:</w:t>
            </w:r>
          </w:p>
        </w:tc>
        <w:tc>
          <w:tcPr>
            <w:tcW w:w="424" w:type="dxa"/>
            <w:tcBorders>
              <w:top w:val="single" w:color="181717" w:sz="8" w:space="0"/>
              <w:left w:val="nil"/>
              <w:bottom w:val="nil"/>
              <w:right w:val="nil"/>
            </w:tcBorders>
            <w:shd w:val="clear" w:color="auto" w:fill="CDE0D8"/>
            <w:vAlign w:val="top"/>
          </w:tcPr>
          <w:p>
            <w:pPr>
              <w:keepNext w:val="0"/>
              <w:keepLines w:val="0"/>
              <w:widowControl/>
              <w:suppressLineNumbers w:val="0"/>
              <w:spacing w:before="0" w:beforeAutospacing="0" w:after="160" w:afterAutospacing="0" w:line="256" w:lineRule="auto"/>
              <w:ind w:left="0" w:right="0"/>
              <w:jc w:val="left"/>
              <w:rPr>
                <w:rFonts w:hint="eastAsia"/>
                <w:sz w:val="20"/>
                <w:szCs w:val="20"/>
                <w:lang w:val="en-US"/>
              </w:rPr>
            </w:pPr>
          </w:p>
        </w:tc>
        <w:tc>
          <w:tcPr>
            <w:tcW w:w="1322" w:type="dxa"/>
            <w:tcBorders>
              <w:top w:val="single" w:color="181717" w:sz="8" w:space="0"/>
              <w:left w:val="nil"/>
              <w:bottom w:val="nil"/>
              <w:right w:val="nil"/>
            </w:tcBorders>
            <w:shd w:val="clear" w:color="auto" w:fill="CDE0D8"/>
            <w:vAlign w:val="top"/>
          </w:tcPr>
          <w:p>
            <w:pPr>
              <w:keepNext w:val="0"/>
              <w:keepLines w:val="0"/>
              <w:widowControl/>
              <w:suppressLineNumbers w:val="0"/>
              <w:spacing w:before="0" w:beforeAutospacing="0" w:after="160" w:afterAutospacing="0" w:line="256" w:lineRule="auto"/>
              <w:ind w:left="0" w:right="0"/>
              <w:jc w:val="left"/>
              <w:rPr>
                <w:rFonts w:hint="eastAsia"/>
                <w:sz w:val="20"/>
                <w:szCs w:val="20"/>
                <w:lang w:val="en-US"/>
              </w:rPr>
            </w:pPr>
          </w:p>
        </w:tc>
        <w:tc>
          <w:tcPr>
            <w:tcW w:w="1356" w:type="dxa"/>
            <w:tcBorders>
              <w:top w:val="single" w:color="181717" w:sz="8" w:space="0"/>
              <w:left w:val="nil"/>
              <w:bottom w:val="nil"/>
              <w:right w:val="nil"/>
            </w:tcBorders>
            <w:shd w:val="clear" w:color="auto" w:fill="CDE0D8"/>
            <w:vAlign w:val="top"/>
          </w:tcPr>
          <w:p>
            <w:pPr>
              <w:keepNext w:val="0"/>
              <w:keepLines w:val="0"/>
              <w:widowControl/>
              <w:suppressLineNumbers w:val="0"/>
              <w:spacing w:before="0" w:beforeAutospacing="0" w:after="160" w:afterAutospacing="0" w:line="256" w:lineRule="auto"/>
              <w:ind w:left="0" w:right="0"/>
              <w:jc w:val="left"/>
              <w:rPr>
                <w:rFonts w:hint="eastAsia"/>
                <w:sz w:val="20"/>
                <w:szCs w:val="20"/>
                <w:lang w:val="en-US"/>
              </w:rPr>
            </w:pPr>
          </w:p>
        </w:tc>
        <w:tc>
          <w:tcPr>
            <w:tcW w:w="857" w:type="dxa"/>
            <w:tcBorders>
              <w:top w:val="single" w:color="181717" w:sz="8" w:space="0"/>
              <w:left w:val="nil"/>
              <w:bottom w:val="nil"/>
              <w:right w:val="nil"/>
            </w:tcBorders>
            <w:shd w:val="clear" w:color="auto" w:fill="CDE0D8"/>
            <w:vAlign w:val="top"/>
          </w:tcPr>
          <w:p>
            <w:pPr>
              <w:keepNext w:val="0"/>
              <w:keepLines w:val="0"/>
              <w:widowControl/>
              <w:suppressLineNumbers w:val="0"/>
              <w:spacing w:before="0" w:beforeAutospacing="0" w:after="160" w:afterAutospacing="0" w:line="256" w:lineRule="auto"/>
              <w:ind w:left="0" w:right="0"/>
              <w:jc w:val="left"/>
              <w:rPr>
                <w:rFonts w:hint="eastAsia"/>
                <w:sz w:val="20"/>
                <w:szCs w:val="20"/>
                <w:lang w:val="en-US"/>
              </w:rPr>
            </w:pPr>
          </w:p>
        </w:tc>
      </w:tr>
    </w:tbl>
    <w:p>
      <w:pPr>
        <w:keepNext w:val="0"/>
        <w:keepLines w:val="0"/>
        <w:widowControl/>
        <w:suppressLineNumbers w:val="0"/>
        <w:spacing w:before="0" w:beforeAutospacing="0" w:after="4" w:afterAutospacing="0" w:line="256" w:lineRule="auto"/>
        <w:ind w:left="46" w:right="0" w:hanging="10"/>
        <w:jc w:val="left"/>
        <w:rPr>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Cash paid during the period for:</w:t>
      </w:r>
    </w:p>
    <w:tbl>
      <w:tblPr>
        <w:tblStyle w:val="14"/>
        <w:tblW w:w="885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31" w:type="dxa"/>
        </w:tblCellMar>
      </w:tblPr>
      <w:tblGrid>
        <w:gridCol w:w="2752"/>
        <w:gridCol w:w="2136"/>
        <w:gridCol w:w="425"/>
        <w:gridCol w:w="933"/>
        <w:gridCol w:w="391"/>
        <w:gridCol w:w="968"/>
        <w:gridCol w:w="390"/>
        <w:gridCol w:w="85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31" w:type="dxa"/>
          </w:tblCellMar>
        </w:tblPrEx>
        <w:trPr>
          <w:trHeight w:val="364" w:hRule="atLeast"/>
        </w:trPr>
        <w:tc>
          <w:tcPr>
            <w:tcW w:w="2752" w:type="dxa"/>
            <w:shd w:val="clear" w:color="auto" w:fill="CDE0D8"/>
            <w:vAlign w:val="top"/>
          </w:tcPr>
          <w:p>
            <w:pPr>
              <w:keepNext w:val="0"/>
              <w:keepLines w:val="0"/>
              <w:widowControl/>
              <w:suppressLineNumbers w:val="0"/>
              <w:spacing w:before="0" w:beforeAutospacing="0" w:after="0" w:afterAutospacing="0" w:line="256" w:lineRule="auto"/>
              <w:ind w:left="51" w:right="0"/>
              <w:jc w:val="left"/>
              <w:rPr>
                <w:rFonts w:hint="eastAsia"/>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Interest, net of capitalized interest</w:t>
            </w:r>
          </w:p>
        </w:tc>
        <w:tc>
          <w:tcPr>
            <w:tcW w:w="2136" w:type="dxa"/>
            <w:shd w:val="clear" w:color="auto" w:fill="CDE0D8"/>
            <w:vAlign w:val="top"/>
          </w:tcPr>
          <w:p>
            <w:pPr>
              <w:keepNext w:val="0"/>
              <w:keepLines w:val="0"/>
              <w:widowControl/>
              <w:suppressLineNumbers w:val="0"/>
              <w:spacing w:before="0" w:beforeAutospacing="0" w:after="160" w:afterAutospacing="0" w:line="256" w:lineRule="auto"/>
              <w:ind w:left="0" w:right="0"/>
              <w:jc w:val="left"/>
              <w:rPr>
                <w:rFonts w:hint="eastAsia"/>
                <w:sz w:val="20"/>
                <w:szCs w:val="20"/>
                <w:lang w:val="en-US"/>
              </w:rPr>
            </w:pPr>
          </w:p>
        </w:tc>
        <w:tc>
          <w:tcPr>
            <w:tcW w:w="425" w:type="dxa"/>
            <w:shd w:val="clear" w:color="auto" w:fill="CDE0D8"/>
            <w:vAlign w:val="top"/>
          </w:tcPr>
          <w:p>
            <w:pPr>
              <w:keepNext w:val="0"/>
              <w:keepLines w:val="0"/>
              <w:widowControl/>
              <w:suppressLineNumbers w:val="0"/>
              <w:spacing w:before="0" w:beforeAutospacing="0" w:after="0" w:afterAutospacing="0" w:line="256" w:lineRule="auto"/>
              <w:ind w:left="0" w:right="0"/>
              <w:jc w:val="left"/>
              <w:rPr>
                <w:rFonts w:hint="eastAsia"/>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 xml:space="preserve">$ </w:t>
            </w:r>
          </w:p>
        </w:tc>
        <w:tc>
          <w:tcPr>
            <w:tcW w:w="933" w:type="dxa"/>
            <w:shd w:val="clear" w:color="auto" w:fill="CDE0D8"/>
            <w:vAlign w:val="top"/>
          </w:tcPr>
          <w:p>
            <w:pPr>
              <w:keepNext w:val="0"/>
              <w:keepLines w:val="0"/>
              <w:widowControl/>
              <w:suppressLineNumbers w:val="0"/>
              <w:spacing w:before="0" w:beforeAutospacing="0" w:after="0" w:afterAutospacing="0" w:line="256" w:lineRule="auto"/>
              <w:ind w:left="409" w:right="0"/>
              <w:jc w:val="left"/>
              <w:rPr>
                <w:rFonts w:hint="eastAsia"/>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 xml:space="preserve">501.1 </w:t>
            </w:r>
          </w:p>
        </w:tc>
        <w:tc>
          <w:tcPr>
            <w:tcW w:w="391" w:type="dxa"/>
            <w:shd w:val="clear" w:color="auto" w:fill="CDE0D8"/>
            <w:vAlign w:val="top"/>
          </w:tcPr>
          <w:p>
            <w:pPr>
              <w:keepNext w:val="0"/>
              <w:keepLines w:val="0"/>
              <w:widowControl/>
              <w:suppressLineNumbers w:val="0"/>
              <w:spacing w:before="0" w:beforeAutospacing="0" w:after="0" w:afterAutospacing="0" w:line="256" w:lineRule="auto"/>
              <w:ind w:left="0" w:right="0"/>
              <w:jc w:val="left"/>
              <w:rPr>
                <w:rFonts w:hint="eastAsia"/>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 xml:space="preserve">$ </w:t>
            </w:r>
          </w:p>
        </w:tc>
        <w:tc>
          <w:tcPr>
            <w:tcW w:w="968" w:type="dxa"/>
            <w:shd w:val="clear" w:color="auto" w:fill="CDE0D8"/>
            <w:vAlign w:val="top"/>
          </w:tcPr>
          <w:p>
            <w:pPr>
              <w:keepNext w:val="0"/>
              <w:keepLines w:val="0"/>
              <w:widowControl/>
              <w:suppressLineNumbers w:val="0"/>
              <w:spacing w:before="0" w:beforeAutospacing="0" w:after="0" w:afterAutospacing="0" w:line="256" w:lineRule="auto"/>
              <w:ind w:left="448" w:right="0"/>
              <w:jc w:val="left"/>
              <w:rPr>
                <w:rFonts w:hint="eastAsia"/>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 xml:space="preserve">396.9 </w:t>
            </w:r>
          </w:p>
        </w:tc>
        <w:tc>
          <w:tcPr>
            <w:tcW w:w="390" w:type="dxa"/>
            <w:shd w:val="clear" w:color="auto" w:fill="CDE0D8"/>
            <w:vAlign w:val="top"/>
          </w:tcPr>
          <w:p>
            <w:pPr>
              <w:keepNext w:val="0"/>
              <w:keepLines w:val="0"/>
              <w:widowControl/>
              <w:suppressLineNumbers w:val="0"/>
              <w:spacing w:before="0" w:beforeAutospacing="0" w:after="0" w:afterAutospacing="0" w:line="256" w:lineRule="auto"/>
              <w:ind w:left="0" w:right="0"/>
              <w:jc w:val="left"/>
              <w:rPr>
                <w:rFonts w:hint="eastAsia"/>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 xml:space="preserve">$ </w:t>
            </w:r>
          </w:p>
        </w:tc>
        <w:tc>
          <w:tcPr>
            <w:tcW w:w="859" w:type="dxa"/>
            <w:shd w:val="clear" w:color="auto" w:fill="CDE0D8"/>
            <w:vAlign w:val="top"/>
          </w:tcPr>
          <w:p>
            <w:pPr>
              <w:keepNext w:val="0"/>
              <w:keepLines w:val="0"/>
              <w:widowControl/>
              <w:suppressLineNumbers w:val="0"/>
              <w:spacing w:before="0" w:beforeAutospacing="0" w:after="0" w:afterAutospacing="0" w:line="256" w:lineRule="auto"/>
              <w:ind w:left="0" w:right="48"/>
              <w:jc w:val="right"/>
              <w:rPr>
                <w:rFonts w:hint="eastAsia"/>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 xml:space="preserve">299.5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364" w:hRule="atLeast"/>
        </w:trPr>
        <w:tc>
          <w:tcPr>
            <w:tcW w:w="2752" w:type="dxa"/>
            <w:shd w:val="clear" w:color="auto" w:fill="FFFEFD"/>
            <w:vAlign w:val="top"/>
          </w:tcPr>
          <w:p>
            <w:pPr>
              <w:keepNext w:val="0"/>
              <w:keepLines w:val="0"/>
              <w:widowControl/>
              <w:suppressLineNumbers w:val="0"/>
              <w:spacing w:before="0" w:beforeAutospacing="0" w:after="0" w:afterAutospacing="0" w:line="256" w:lineRule="auto"/>
              <w:ind w:left="51" w:right="0"/>
              <w:jc w:val="left"/>
              <w:rPr>
                <w:rFonts w:hint="eastAsia"/>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Income taxes</w:t>
            </w:r>
          </w:p>
        </w:tc>
        <w:tc>
          <w:tcPr>
            <w:tcW w:w="2136" w:type="dxa"/>
            <w:shd w:val="clear" w:color="auto" w:fill="FFFEFD"/>
            <w:vAlign w:val="top"/>
          </w:tcPr>
          <w:p>
            <w:pPr>
              <w:keepNext w:val="0"/>
              <w:keepLines w:val="0"/>
              <w:widowControl/>
              <w:suppressLineNumbers w:val="0"/>
              <w:spacing w:before="0" w:beforeAutospacing="0" w:after="160" w:afterAutospacing="0" w:line="256" w:lineRule="auto"/>
              <w:ind w:left="0" w:right="0"/>
              <w:jc w:val="left"/>
              <w:rPr>
                <w:rFonts w:hint="eastAsia"/>
                <w:sz w:val="20"/>
                <w:szCs w:val="20"/>
                <w:lang w:val="en-US"/>
              </w:rPr>
            </w:pPr>
          </w:p>
        </w:tc>
        <w:tc>
          <w:tcPr>
            <w:tcW w:w="425" w:type="dxa"/>
            <w:shd w:val="clear" w:color="auto" w:fill="FFFEFD"/>
            <w:vAlign w:val="top"/>
          </w:tcPr>
          <w:p>
            <w:pPr>
              <w:keepNext w:val="0"/>
              <w:keepLines w:val="0"/>
              <w:widowControl/>
              <w:suppressLineNumbers w:val="0"/>
              <w:spacing w:before="0" w:beforeAutospacing="0" w:after="0" w:afterAutospacing="0" w:line="256" w:lineRule="auto"/>
              <w:ind w:left="0" w:right="0"/>
              <w:jc w:val="left"/>
              <w:rPr>
                <w:rFonts w:hint="eastAsia"/>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 xml:space="preserve">$ </w:t>
            </w:r>
          </w:p>
        </w:tc>
        <w:tc>
          <w:tcPr>
            <w:tcW w:w="933" w:type="dxa"/>
            <w:shd w:val="clear" w:color="auto" w:fill="FFFEFD"/>
            <w:vAlign w:val="top"/>
          </w:tcPr>
          <w:p>
            <w:pPr>
              <w:keepNext w:val="0"/>
              <w:keepLines w:val="0"/>
              <w:widowControl/>
              <w:suppressLineNumbers w:val="0"/>
              <w:spacing w:before="0" w:beforeAutospacing="0" w:after="0" w:afterAutospacing="0" w:line="256" w:lineRule="auto"/>
              <w:ind w:left="409" w:right="0"/>
              <w:jc w:val="left"/>
              <w:rPr>
                <w:rFonts w:hint="eastAsia"/>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 xml:space="preserve">756.3 </w:t>
            </w:r>
          </w:p>
        </w:tc>
        <w:tc>
          <w:tcPr>
            <w:tcW w:w="391" w:type="dxa"/>
            <w:shd w:val="clear" w:color="auto" w:fill="FFFEFD"/>
            <w:vAlign w:val="top"/>
          </w:tcPr>
          <w:p>
            <w:pPr>
              <w:keepNext w:val="0"/>
              <w:keepLines w:val="0"/>
              <w:widowControl/>
              <w:suppressLineNumbers w:val="0"/>
              <w:spacing w:before="0" w:beforeAutospacing="0" w:after="0" w:afterAutospacing="0" w:line="256" w:lineRule="auto"/>
              <w:ind w:left="0" w:right="0"/>
              <w:jc w:val="left"/>
              <w:rPr>
                <w:rFonts w:hint="eastAsia"/>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 xml:space="preserve">$ </w:t>
            </w:r>
          </w:p>
        </w:tc>
        <w:tc>
          <w:tcPr>
            <w:tcW w:w="968" w:type="dxa"/>
            <w:shd w:val="clear" w:color="auto" w:fill="FFFEFD"/>
            <w:vAlign w:val="top"/>
          </w:tcPr>
          <w:p>
            <w:pPr>
              <w:keepNext w:val="0"/>
              <w:keepLines w:val="0"/>
              <w:widowControl/>
              <w:suppressLineNumbers w:val="0"/>
              <w:spacing w:before="0" w:beforeAutospacing="0" w:after="0" w:afterAutospacing="0" w:line="256" w:lineRule="auto"/>
              <w:ind w:left="131" w:right="0"/>
              <w:jc w:val="center"/>
              <w:rPr>
                <w:rFonts w:hint="eastAsia"/>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 xml:space="preserve">1,699.1 </w:t>
            </w:r>
          </w:p>
        </w:tc>
        <w:tc>
          <w:tcPr>
            <w:tcW w:w="390" w:type="dxa"/>
            <w:shd w:val="clear" w:color="auto" w:fill="FFFEFD"/>
            <w:vAlign w:val="top"/>
          </w:tcPr>
          <w:p>
            <w:pPr>
              <w:keepNext w:val="0"/>
              <w:keepLines w:val="0"/>
              <w:widowControl/>
              <w:suppressLineNumbers w:val="0"/>
              <w:spacing w:before="0" w:beforeAutospacing="0" w:after="0" w:afterAutospacing="0" w:line="256" w:lineRule="auto"/>
              <w:ind w:left="0" w:right="0"/>
              <w:jc w:val="left"/>
              <w:rPr>
                <w:rFonts w:hint="eastAsia"/>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 xml:space="preserve">$ </w:t>
            </w:r>
          </w:p>
        </w:tc>
        <w:tc>
          <w:tcPr>
            <w:tcW w:w="859" w:type="dxa"/>
            <w:shd w:val="clear" w:color="auto" w:fill="FFFEFD"/>
            <w:vAlign w:val="top"/>
          </w:tcPr>
          <w:p>
            <w:pPr>
              <w:keepNext w:val="0"/>
              <w:keepLines w:val="0"/>
              <w:widowControl/>
              <w:suppressLineNumbers w:val="0"/>
              <w:spacing w:before="0" w:beforeAutospacing="0" w:after="0" w:afterAutospacing="0" w:line="256" w:lineRule="auto"/>
              <w:ind w:left="0" w:right="48"/>
              <w:jc w:val="right"/>
              <w:rPr>
                <w:rFonts w:hint="eastAsia"/>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 xml:space="preserve">470.1 </w:t>
            </w:r>
          </w:p>
        </w:tc>
      </w:tr>
    </w:tbl>
    <w:p>
      <w:pPr>
        <w:spacing w:line="198" w:lineRule="auto"/>
        <w:rPr>
          <w:rFonts w:hint="default" w:ascii="Calibri" w:hAnsi="Calibri" w:eastAsia="Calibri" w:cs="Calibri"/>
          <w:snapToGrid w:val="0"/>
          <w:color w:val="000000"/>
          <w:kern w:val="2"/>
          <w:sz w:val="22"/>
          <w:szCs w:val="22"/>
          <w:lang w:val="en-US" w:eastAsia="zh-CN" w:bidi="ar"/>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bCs/>
          <w:sz w:val="24"/>
          <w:szCs w:val="24"/>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sans-serif">
    <w:altName w:val="Segoe Print"/>
    <w:panose1 w:val="00000000000000000000"/>
    <w:charset w:val="00"/>
    <w:family w:val="auto"/>
    <w:pitch w:val="default"/>
    <w:sig w:usb0="00000000" w:usb1="00000000" w:usb2="00000000" w:usb3="00000000" w:csb0="00000000" w:csb1="00000000"/>
  </w:font>
  <w:font w:name="Cambria Math">
    <w:panose1 w:val="02040503050406030204"/>
    <w:charset w:val="00"/>
    <w:family w:val="auto"/>
    <w:pitch w:val="default"/>
    <w:sig w:usb0="E00006FF" w:usb1="420024FF" w:usb2="02000000" w:usb3="00000000" w:csb0="2000019F" w:csb1="00000000"/>
  </w:font>
  <w:font w:name="Helvetica">
    <w:altName w:val="Arial"/>
    <w:panose1 w:val="00000000000000000000"/>
    <w:charset w:val="00"/>
    <w:family w:val="auto"/>
    <w:pitch w:val="default"/>
    <w:sig w:usb0="00000000" w:usb1="00000000" w:usb2="00000000" w:usb3="00000000" w:csb0="00000000" w:csb1="00000000"/>
  </w:font>
  <w:font w:name="Roboto">
    <w:panose1 w:val="02000000000000000000"/>
    <w:charset w:val="00"/>
    <w:family w:val="auto"/>
    <w:pitch w:val="default"/>
    <w:sig w:usb0="E0000AFF" w:usb1="5000217F" w:usb2="00000021" w:usb3="00000000" w:csb0="2000019F" w:csb1="00000000"/>
  </w:font>
  <w:font w:name="monospace">
    <w:altName w:val="Segoe Print"/>
    <w:panose1 w:val="00000000000000000000"/>
    <w:charset w:val="00"/>
    <w:family w:val="auto"/>
    <w:pitch w:val="default"/>
    <w:sig w:usb0="00000000" w:usb1="00000000" w:usb2="00000000" w:usb3="00000000" w:csb0="00000000" w:csb1="00000000"/>
  </w:font>
  <w:font w:name="ff2">
    <w:altName w:val="Segoe Print"/>
    <w:panose1 w:val="00000000000000000000"/>
    <w:charset w:val="00"/>
    <w:family w:val="auto"/>
    <w:pitch w:val="default"/>
    <w:sig w:usb0="00000000" w:usb1="00000000" w:usb2="00000000" w:usb3="00000000" w:csb0="00000000" w:csb1="00000000"/>
  </w:font>
  <w:font w:name="NexusSansWebPro">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890751B"/>
    <w:multiLevelType w:val="multilevel"/>
    <w:tmpl w:val="A890751B"/>
    <w:lvl w:ilvl="0" w:tentative="0">
      <w:start w:val="1"/>
      <w:numFmt w:val="decimal"/>
      <w:suff w:val="space"/>
      <w:lvlText w:val="%1."/>
      <w:lvlJc w:val="left"/>
      <w:rPr>
        <w:rFonts w:hint="default"/>
        <w:b/>
        <w:bCs/>
        <w:sz w:val="24"/>
        <w:szCs w:val="24"/>
      </w:r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1">
    <w:nsid w:val="D4EAACA3"/>
    <w:multiLevelType w:val="multilevel"/>
    <w:tmpl w:val="D4EAACA3"/>
    <w:lvl w:ilvl="0" w:tentative="0">
      <w:start w:val="1"/>
      <w:numFmt w:val="decimal"/>
      <w:suff w:val="space"/>
      <w:lvlText w:val="%1."/>
      <w:lvlJc w:val="left"/>
    </w:lvl>
    <w:lvl w:ilvl="1" w:tentative="0">
      <w:start w:val="1"/>
      <w:numFmt w:val="decimal"/>
      <w:suff w:val="space"/>
      <w:lvlText w:val="%1.%2"/>
      <w:lvlJc w:val="left"/>
      <w:pPr>
        <w:ind w:left="0" w:leftChars="0" w:firstLine="0" w:firstLineChars="0"/>
      </w:pPr>
      <w:rPr>
        <w:rFonts w:hint="default" w:ascii="Times New Roman" w:hAnsi="Times New Roman" w:cs="Times New Roman"/>
        <w:sz w:val="24"/>
        <w:szCs w:val="24"/>
      </w:rPr>
    </w:lvl>
    <w:lvl w:ilvl="2" w:tentative="0">
      <w:start w:val="1"/>
      <w:numFmt w:val="decimal"/>
      <w:suff w:val="space"/>
      <w:lvlText w:val="%1.%2.%3"/>
      <w:lvlJc w:val="left"/>
      <w:pPr>
        <w:ind w:left="0" w:leftChars="0" w:firstLine="0" w:firstLineChars="0"/>
      </w:pPr>
      <w:rPr>
        <w:rFonts w:hint="default" w:ascii="Times New Roman" w:hAnsi="Times New Roman" w:cs="Times New Roman"/>
        <w:b/>
        <w:bCs/>
        <w:sz w:val="24"/>
        <w:szCs w:val="24"/>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FlYzU0ZWY2OTk0M2IwOGI2OGY0MWEzNDNiOWM4ODYifQ=="/>
  </w:docVars>
  <w:rsids>
    <w:rsidRoot w:val="00000000"/>
    <w:rsid w:val="000717DA"/>
    <w:rsid w:val="003A0914"/>
    <w:rsid w:val="005E0AA6"/>
    <w:rsid w:val="007402CA"/>
    <w:rsid w:val="007A0CF5"/>
    <w:rsid w:val="00D23242"/>
    <w:rsid w:val="012662E8"/>
    <w:rsid w:val="01341807"/>
    <w:rsid w:val="01390BCC"/>
    <w:rsid w:val="014A20F2"/>
    <w:rsid w:val="01543C57"/>
    <w:rsid w:val="015679D0"/>
    <w:rsid w:val="015C2B0C"/>
    <w:rsid w:val="017165B7"/>
    <w:rsid w:val="017D31AE"/>
    <w:rsid w:val="018E19BE"/>
    <w:rsid w:val="01E46D89"/>
    <w:rsid w:val="01EC3072"/>
    <w:rsid w:val="022B2C0A"/>
    <w:rsid w:val="023870D5"/>
    <w:rsid w:val="025739FF"/>
    <w:rsid w:val="025F0B06"/>
    <w:rsid w:val="027125E7"/>
    <w:rsid w:val="027435A8"/>
    <w:rsid w:val="027619AC"/>
    <w:rsid w:val="02A209F3"/>
    <w:rsid w:val="02A91D81"/>
    <w:rsid w:val="02B250DA"/>
    <w:rsid w:val="02C941D1"/>
    <w:rsid w:val="02ED1C6E"/>
    <w:rsid w:val="031A4A2D"/>
    <w:rsid w:val="03525F75"/>
    <w:rsid w:val="03CC5D27"/>
    <w:rsid w:val="04814D63"/>
    <w:rsid w:val="04A70542"/>
    <w:rsid w:val="04A96068"/>
    <w:rsid w:val="04AE1710"/>
    <w:rsid w:val="04E33A5F"/>
    <w:rsid w:val="04F05A45"/>
    <w:rsid w:val="04F82B4C"/>
    <w:rsid w:val="04FF3EDA"/>
    <w:rsid w:val="050F55D1"/>
    <w:rsid w:val="052D3B24"/>
    <w:rsid w:val="05362844"/>
    <w:rsid w:val="056D30B8"/>
    <w:rsid w:val="0582430A"/>
    <w:rsid w:val="05924D4E"/>
    <w:rsid w:val="05940AC6"/>
    <w:rsid w:val="05B85040"/>
    <w:rsid w:val="05BE5B43"/>
    <w:rsid w:val="05D47115"/>
    <w:rsid w:val="05EA2DDC"/>
    <w:rsid w:val="06053772"/>
    <w:rsid w:val="061B4D44"/>
    <w:rsid w:val="06430CCF"/>
    <w:rsid w:val="064C314F"/>
    <w:rsid w:val="06572FFE"/>
    <w:rsid w:val="066E7569"/>
    <w:rsid w:val="069A3EBB"/>
    <w:rsid w:val="06EE44B8"/>
    <w:rsid w:val="070B6A07"/>
    <w:rsid w:val="072365A6"/>
    <w:rsid w:val="07571DAC"/>
    <w:rsid w:val="077E1A2E"/>
    <w:rsid w:val="07834179"/>
    <w:rsid w:val="0788465B"/>
    <w:rsid w:val="07D653C6"/>
    <w:rsid w:val="07E15B19"/>
    <w:rsid w:val="07E850FA"/>
    <w:rsid w:val="07F615C4"/>
    <w:rsid w:val="080E2257"/>
    <w:rsid w:val="08206641"/>
    <w:rsid w:val="082208B6"/>
    <w:rsid w:val="086F1377"/>
    <w:rsid w:val="08C47915"/>
    <w:rsid w:val="08CF5189"/>
    <w:rsid w:val="092755E1"/>
    <w:rsid w:val="09516A81"/>
    <w:rsid w:val="09DC2C72"/>
    <w:rsid w:val="09F438AE"/>
    <w:rsid w:val="0A122902"/>
    <w:rsid w:val="0A310FDA"/>
    <w:rsid w:val="0A742C74"/>
    <w:rsid w:val="0A9501C8"/>
    <w:rsid w:val="0B00275A"/>
    <w:rsid w:val="0BA64C9D"/>
    <w:rsid w:val="0BEF4CA9"/>
    <w:rsid w:val="0BF56037"/>
    <w:rsid w:val="0BF901E0"/>
    <w:rsid w:val="0C405504"/>
    <w:rsid w:val="0C5C1C12"/>
    <w:rsid w:val="0C6805B7"/>
    <w:rsid w:val="0C774C9E"/>
    <w:rsid w:val="0C931AD8"/>
    <w:rsid w:val="0CF63E15"/>
    <w:rsid w:val="0CFB142B"/>
    <w:rsid w:val="0D63331F"/>
    <w:rsid w:val="0D766D04"/>
    <w:rsid w:val="0D9A09FB"/>
    <w:rsid w:val="0DB37F58"/>
    <w:rsid w:val="0DBD4932"/>
    <w:rsid w:val="0DC31439"/>
    <w:rsid w:val="0DFF319D"/>
    <w:rsid w:val="0E0130FC"/>
    <w:rsid w:val="0E1327A4"/>
    <w:rsid w:val="0E1924B1"/>
    <w:rsid w:val="0EB0506B"/>
    <w:rsid w:val="0EF133E5"/>
    <w:rsid w:val="0F0F7410"/>
    <w:rsid w:val="0F3B1FB3"/>
    <w:rsid w:val="0F5A292E"/>
    <w:rsid w:val="0F625791"/>
    <w:rsid w:val="0FB2289F"/>
    <w:rsid w:val="0FED14FF"/>
    <w:rsid w:val="0FFE370C"/>
    <w:rsid w:val="1001144E"/>
    <w:rsid w:val="10060813"/>
    <w:rsid w:val="1070092E"/>
    <w:rsid w:val="10AF2C58"/>
    <w:rsid w:val="10E548CC"/>
    <w:rsid w:val="10F468BD"/>
    <w:rsid w:val="10F863AD"/>
    <w:rsid w:val="11544228"/>
    <w:rsid w:val="117143B2"/>
    <w:rsid w:val="11877731"/>
    <w:rsid w:val="11951E4E"/>
    <w:rsid w:val="11C72224"/>
    <w:rsid w:val="11EE03DD"/>
    <w:rsid w:val="12AD1419"/>
    <w:rsid w:val="12D15108"/>
    <w:rsid w:val="12FC7CAB"/>
    <w:rsid w:val="13144FF5"/>
    <w:rsid w:val="137D703E"/>
    <w:rsid w:val="13AA5959"/>
    <w:rsid w:val="13C22CA3"/>
    <w:rsid w:val="13D35879"/>
    <w:rsid w:val="13ED41C3"/>
    <w:rsid w:val="14887A48"/>
    <w:rsid w:val="149C7998"/>
    <w:rsid w:val="14C36CD2"/>
    <w:rsid w:val="14D964F6"/>
    <w:rsid w:val="14E65FCF"/>
    <w:rsid w:val="14EF7A20"/>
    <w:rsid w:val="14FC21E4"/>
    <w:rsid w:val="154D47EE"/>
    <w:rsid w:val="155618F4"/>
    <w:rsid w:val="15A72150"/>
    <w:rsid w:val="15BC2DAE"/>
    <w:rsid w:val="15EA64E1"/>
    <w:rsid w:val="162639BD"/>
    <w:rsid w:val="164034DE"/>
    <w:rsid w:val="165247B2"/>
    <w:rsid w:val="16801192"/>
    <w:rsid w:val="16B73C96"/>
    <w:rsid w:val="16D50F3F"/>
    <w:rsid w:val="171F21BA"/>
    <w:rsid w:val="17485BB5"/>
    <w:rsid w:val="174F3A55"/>
    <w:rsid w:val="1752433D"/>
    <w:rsid w:val="17710C68"/>
    <w:rsid w:val="17A27073"/>
    <w:rsid w:val="17C66260"/>
    <w:rsid w:val="17E3217F"/>
    <w:rsid w:val="1801286E"/>
    <w:rsid w:val="18090EA0"/>
    <w:rsid w:val="18155A97"/>
    <w:rsid w:val="18510A99"/>
    <w:rsid w:val="18CB25F9"/>
    <w:rsid w:val="18DA6BFB"/>
    <w:rsid w:val="19031D93"/>
    <w:rsid w:val="19061883"/>
    <w:rsid w:val="193D1C1D"/>
    <w:rsid w:val="194C5F25"/>
    <w:rsid w:val="19B60BB4"/>
    <w:rsid w:val="19EA6AAF"/>
    <w:rsid w:val="19EE2A43"/>
    <w:rsid w:val="1A141D7E"/>
    <w:rsid w:val="1A293B59"/>
    <w:rsid w:val="1A604FC3"/>
    <w:rsid w:val="1A937147"/>
    <w:rsid w:val="1AB772D9"/>
    <w:rsid w:val="1AE300CE"/>
    <w:rsid w:val="1AE654C9"/>
    <w:rsid w:val="1AF5395E"/>
    <w:rsid w:val="1AFD0A64"/>
    <w:rsid w:val="1B223E33"/>
    <w:rsid w:val="1BC05D1A"/>
    <w:rsid w:val="1BE834C2"/>
    <w:rsid w:val="1C0F4EF3"/>
    <w:rsid w:val="1C314E69"/>
    <w:rsid w:val="1C784349"/>
    <w:rsid w:val="1C784846"/>
    <w:rsid w:val="1CA83640"/>
    <w:rsid w:val="1CF87735"/>
    <w:rsid w:val="1CFF3BC8"/>
    <w:rsid w:val="1D1C1676"/>
    <w:rsid w:val="1D30365D"/>
    <w:rsid w:val="1DC37D43"/>
    <w:rsid w:val="1DC87107"/>
    <w:rsid w:val="1E0610BA"/>
    <w:rsid w:val="1E14059F"/>
    <w:rsid w:val="1E1F5102"/>
    <w:rsid w:val="1E2702D2"/>
    <w:rsid w:val="1E5D1F46"/>
    <w:rsid w:val="1E870D71"/>
    <w:rsid w:val="1E911BEF"/>
    <w:rsid w:val="1E93077E"/>
    <w:rsid w:val="1EAB0F03"/>
    <w:rsid w:val="1ED02718"/>
    <w:rsid w:val="1EF67CA4"/>
    <w:rsid w:val="1F5A1EE6"/>
    <w:rsid w:val="1F5F3A9B"/>
    <w:rsid w:val="1F6258ED"/>
    <w:rsid w:val="1FB5190D"/>
    <w:rsid w:val="1FB75686"/>
    <w:rsid w:val="1FC971DA"/>
    <w:rsid w:val="1FE04BDC"/>
    <w:rsid w:val="2059673D"/>
    <w:rsid w:val="209A0A52"/>
    <w:rsid w:val="211B39F2"/>
    <w:rsid w:val="212D20A3"/>
    <w:rsid w:val="2159764F"/>
    <w:rsid w:val="21997739"/>
    <w:rsid w:val="21AC2EDE"/>
    <w:rsid w:val="21EE41D8"/>
    <w:rsid w:val="228D26CE"/>
    <w:rsid w:val="22DB5B2F"/>
    <w:rsid w:val="230A01C2"/>
    <w:rsid w:val="235002CB"/>
    <w:rsid w:val="23582CDC"/>
    <w:rsid w:val="236C3357"/>
    <w:rsid w:val="2378337E"/>
    <w:rsid w:val="23C6233B"/>
    <w:rsid w:val="23C95987"/>
    <w:rsid w:val="23E5690E"/>
    <w:rsid w:val="24572F93"/>
    <w:rsid w:val="249146F7"/>
    <w:rsid w:val="24997A50"/>
    <w:rsid w:val="249E6E14"/>
    <w:rsid w:val="24CD581B"/>
    <w:rsid w:val="255F65A3"/>
    <w:rsid w:val="25E35426"/>
    <w:rsid w:val="25FF38E2"/>
    <w:rsid w:val="262127D4"/>
    <w:rsid w:val="26355556"/>
    <w:rsid w:val="26543322"/>
    <w:rsid w:val="268D5392"/>
    <w:rsid w:val="26C64400"/>
    <w:rsid w:val="26DE799C"/>
    <w:rsid w:val="27BA3F65"/>
    <w:rsid w:val="27D8263D"/>
    <w:rsid w:val="27F771BD"/>
    <w:rsid w:val="28186EDD"/>
    <w:rsid w:val="28812CD5"/>
    <w:rsid w:val="288602EB"/>
    <w:rsid w:val="28DA4193"/>
    <w:rsid w:val="28DF17A9"/>
    <w:rsid w:val="28ED2118"/>
    <w:rsid w:val="290B259E"/>
    <w:rsid w:val="291458F7"/>
    <w:rsid w:val="293146FB"/>
    <w:rsid w:val="295F078B"/>
    <w:rsid w:val="296C128F"/>
    <w:rsid w:val="2A611415"/>
    <w:rsid w:val="2AA003B5"/>
    <w:rsid w:val="2AA42CAA"/>
    <w:rsid w:val="2B1B156C"/>
    <w:rsid w:val="2B1C4F36"/>
    <w:rsid w:val="2B2D7144"/>
    <w:rsid w:val="2B597F39"/>
    <w:rsid w:val="2B5E554F"/>
    <w:rsid w:val="2BD15D21"/>
    <w:rsid w:val="2BED4469"/>
    <w:rsid w:val="2C161986"/>
    <w:rsid w:val="2C6C2A6D"/>
    <w:rsid w:val="2C723060"/>
    <w:rsid w:val="2C892158"/>
    <w:rsid w:val="2CA13945"/>
    <w:rsid w:val="2CF55A3F"/>
    <w:rsid w:val="2CFF066C"/>
    <w:rsid w:val="2D053ED4"/>
    <w:rsid w:val="2D4A5D8B"/>
    <w:rsid w:val="2D8A43D9"/>
    <w:rsid w:val="2DF31F7F"/>
    <w:rsid w:val="2E0F48DF"/>
    <w:rsid w:val="2E206AEC"/>
    <w:rsid w:val="2E5F13C2"/>
    <w:rsid w:val="2E850263"/>
    <w:rsid w:val="2E982B26"/>
    <w:rsid w:val="2EE10029"/>
    <w:rsid w:val="2F0B4C2F"/>
    <w:rsid w:val="2F1F0B51"/>
    <w:rsid w:val="2F567DE0"/>
    <w:rsid w:val="2FA572A9"/>
    <w:rsid w:val="2FFE4C0B"/>
    <w:rsid w:val="30073ABF"/>
    <w:rsid w:val="30146BDF"/>
    <w:rsid w:val="30360848"/>
    <w:rsid w:val="306C426A"/>
    <w:rsid w:val="30D20571"/>
    <w:rsid w:val="30D53BBD"/>
    <w:rsid w:val="31097D0B"/>
    <w:rsid w:val="3115045E"/>
    <w:rsid w:val="31434FCB"/>
    <w:rsid w:val="31456F95"/>
    <w:rsid w:val="31711D2B"/>
    <w:rsid w:val="31B5579D"/>
    <w:rsid w:val="31F167D5"/>
    <w:rsid w:val="31F2254D"/>
    <w:rsid w:val="31F75DB5"/>
    <w:rsid w:val="32193F7E"/>
    <w:rsid w:val="321E77E6"/>
    <w:rsid w:val="329E5D4B"/>
    <w:rsid w:val="32A61CB5"/>
    <w:rsid w:val="32AC094E"/>
    <w:rsid w:val="32AE46C6"/>
    <w:rsid w:val="32D22AAA"/>
    <w:rsid w:val="331035D3"/>
    <w:rsid w:val="33243FDF"/>
    <w:rsid w:val="33353039"/>
    <w:rsid w:val="334212B2"/>
    <w:rsid w:val="33DB773D"/>
    <w:rsid w:val="34054AFB"/>
    <w:rsid w:val="343B642D"/>
    <w:rsid w:val="345D2848"/>
    <w:rsid w:val="347B4A7C"/>
    <w:rsid w:val="34DA3E98"/>
    <w:rsid w:val="35260E8C"/>
    <w:rsid w:val="3546508A"/>
    <w:rsid w:val="3589141A"/>
    <w:rsid w:val="358B6F41"/>
    <w:rsid w:val="35BA1823"/>
    <w:rsid w:val="35CF4406"/>
    <w:rsid w:val="35E52AF5"/>
    <w:rsid w:val="362F3D70"/>
    <w:rsid w:val="367D0F7F"/>
    <w:rsid w:val="36987B67"/>
    <w:rsid w:val="36A04C6E"/>
    <w:rsid w:val="36D55BA7"/>
    <w:rsid w:val="36E032BC"/>
    <w:rsid w:val="37A12A4B"/>
    <w:rsid w:val="37C14E9C"/>
    <w:rsid w:val="37D746BF"/>
    <w:rsid w:val="37F94635"/>
    <w:rsid w:val="38247FC1"/>
    <w:rsid w:val="382947EF"/>
    <w:rsid w:val="38303DCF"/>
    <w:rsid w:val="383B4C4E"/>
    <w:rsid w:val="383E473E"/>
    <w:rsid w:val="385B52F0"/>
    <w:rsid w:val="3862667F"/>
    <w:rsid w:val="38D34E86"/>
    <w:rsid w:val="38DE55D9"/>
    <w:rsid w:val="38EC7CF6"/>
    <w:rsid w:val="39753FDA"/>
    <w:rsid w:val="39972358"/>
    <w:rsid w:val="399A59A4"/>
    <w:rsid w:val="39A20CFD"/>
    <w:rsid w:val="39E40627"/>
    <w:rsid w:val="39FD29A0"/>
    <w:rsid w:val="3A103EB8"/>
    <w:rsid w:val="3A5A2380"/>
    <w:rsid w:val="3A6A7A6C"/>
    <w:rsid w:val="3AA0523C"/>
    <w:rsid w:val="3ACF78CF"/>
    <w:rsid w:val="3AFF042F"/>
    <w:rsid w:val="3B244975"/>
    <w:rsid w:val="3B32436D"/>
    <w:rsid w:val="3B6C3370"/>
    <w:rsid w:val="3B8C203E"/>
    <w:rsid w:val="3B912DD7"/>
    <w:rsid w:val="3BA66882"/>
    <w:rsid w:val="3BB84807"/>
    <w:rsid w:val="3BBE0E9C"/>
    <w:rsid w:val="3BF5780A"/>
    <w:rsid w:val="3C022969"/>
    <w:rsid w:val="3C1C4D96"/>
    <w:rsid w:val="3C410359"/>
    <w:rsid w:val="3C54795B"/>
    <w:rsid w:val="3C681D8A"/>
    <w:rsid w:val="3C6978B0"/>
    <w:rsid w:val="3C85183C"/>
    <w:rsid w:val="3D0B0882"/>
    <w:rsid w:val="3D145A6E"/>
    <w:rsid w:val="3D4F2F4A"/>
    <w:rsid w:val="3DB37034"/>
    <w:rsid w:val="3DFD4754"/>
    <w:rsid w:val="3E0930F8"/>
    <w:rsid w:val="3E265A58"/>
    <w:rsid w:val="3EE33949"/>
    <w:rsid w:val="3F147FA7"/>
    <w:rsid w:val="3F23643C"/>
    <w:rsid w:val="3F310B59"/>
    <w:rsid w:val="3F584337"/>
    <w:rsid w:val="3FB35A12"/>
    <w:rsid w:val="3FC22FF9"/>
    <w:rsid w:val="40460634"/>
    <w:rsid w:val="404D19C2"/>
    <w:rsid w:val="406A72FE"/>
    <w:rsid w:val="409C64A6"/>
    <w:rsid w:val="40AD420F"/>
    <w:rsid w:val="40BC08F6"/>
    <w:rsid w:val="4142704D"/>
    <w:rsid w:val="414C62F9"/>
    <w:rsid w:val="424E1A22"/>
    <w:rsid w:val="42522137"/>
    <w:rsid w:val="42674891"/>
    <w:rsid w:val="426E5C20"/>
    <w:rsid w:val="429C09DF"/>
    <w:rsid w:val="42A16B6B"/>
    <w:rsid w:val="42A47894"/>
    <w:rsid w:val="42BC4BDD"/>
    <w:rsid w:val="42BC698B"/>
    <w:rsid w:val="42BF46CD"/>
    <w:rsid w:val="42CD0B98"/>
    <w:rsid w:val="42D33CD5"/>
    <w:rsid w:val="43120CA1"/>
    <w:rsid w:val="435A629B"/>
    <w:rsid w:val="437159C8"/>
    <w:rsid w:val="43805C0B"/>
    <w:rsid w:val="43C71A8C"/>
    <w:rsid w:val="43CD4BC8"/>
    <w:rsid w:val="43DB1093"/>
    <w:rsid w:val="44305883"/>
    <w:rsid w:val="445E38A7"/>
    <w:rsid w:val="44833B83"/>
    <w:rsid w:val="448A0E85"/>
    <w:rsid w:val="449C6A74"/>
    <w:rsid w:val="449F47B6"/>
    <w:rsid w:val="44A27E03"/>
    <w:rsid w:val="44F56185"/>
    <w:rsid w:val="452F78E8"/>
    <w:rsid w:val="45392515"/>
    <w:rsid w:val="455530C7"/>
    <w:rsid w:val="45633A36"/>
    <w:rsid w:val="458F65D9"/>
    <w:rsid w:val="45992FB4"/>
    <w:rsid w:val="459E5E98"/>
    <w:rsid w:val="45AC0F39"/>
    <w:rsid w:val="45CD0EAF"/>
    <w:rsid w:val="45E95E81"/>
    <w:rsid w:val="46222FA9"/>
    <w:rsid w:val="46B502C1"/>
    <w:rsid w:val="46C6602A"/>
    <w:rsid w:val="46D02A05"/>
    <w:rsid w:val="475A49C5"/>
    <w:rsid w:val="476E221E"/>
    <w:rsid w:val="47B73BC5"/>
    <w:rsid w:val="47E349BA"/>
    <w:rsid w:val="480A63EB"/>
    <w:rsid w:val="4828061F"/>
    <w:rsid w:val="487C235B"/>
    <w:rsid w:val="488A12DA"/>
    <w:rsid w:val="48E72288"/>
    <w:rsid w:val="491D01E1"/>
    <w:rsid w:val="49296D45"/>
    <w:rsid w:val="49535B70"/>
    <w:rsid w:val="49543DC1"/>
    <w:rsid w:val="498D1081"/>
    <w:rsid w:val="49FE3D2D"/>
    <w:rsid w:val="4A235542"/>
    <w:rsid w:val="4A3634C7"/>
    <w:rsid w:val="4A590F64"/>
    <w:rsid w:val="4A96265D"/>
    <w:rsid w:val="4A9D52F4"/>
    <w:rsid w:val="4AA46683"/>
    <w:rsid w:val="4AD54A8E"/>
    <w:rsid w:val="4AFC64BF"/>
    <w:rsid w:val="4B245A16"/>
    <w:rsid w:val="4C3E6663"/>
    <w:rsid w:val="4CAC5CC3"/>
    <w:rsid w:val="4CD11285"/>
    <w:rsid w:val="4D1F46E6"/>
    <w:rsid w:val="4D3B0DF4"/>
    <w:rsid w:val="4D7B2E31"/>
    <w:rsid w:val="4D902EEE"/>
    <w:rsid w:val="4D97427D"/>
    <w:rsid w:val="4DAB7D28"/>
    <w:rsid w:val="4DAD3AA0"/>
    <w:rsid w:val="4E013DEC"/>
    <w:rsid w:val="4E2B2C17"/>
    <w:rsid w:val="4E2D4BE1"/>
    <w:rsid w:val="4E4B1494"/>
    <w:rsid w:val="4E636855"/>
    <w:rsid w:val="4E65437B"/>
    <w:rsid w:val="4E6879C7"/>
    <w:rsid w:val="4E6F51FA"/>
    <w:rsid w:val="4E7445BE"/>
    <w:rsid w:val="4E7A6D0A"/>
    <w:rsid w:val="4E7E368F"/>
    <w:rsid w:val="4EB04235"/>
    <w:rsid w:val="4EC76DE4"/>
    <w:rsid w:val="4F443F90"/>
    <w:rsid w:val="4F8922EB"/>
    <w:rsid w:val="4FBF3F5F"/>
    <w:rsid w:val="4FC357FD"/>
    <w:rsid w:val="4FF534DD"/>
    <w:rsid w:val="50055E16"/>
    <w:rsid w:val="502B5E7F"/>
    <w:rsid w:val="5086682B"/>
    <w:rsid w:val="508F3931"/>
    <w:rsid w:val="50E7376D"/>
    <w:rsid w:val="50FE1E88"/>
    <w:rsid w:val="513444D8"/>
    <w:rsid w:val="514566E6"/>
    <w:rsid w:val="51C37BA6"/>
    <w:rsid w:val="51F36142"/>
    <w:rsid w:val="5272350A"/>
    <w:rsid w:val="527C6CA6"/>
    <w:rsid w:val="5371731E"/>
    <w:rsid w:val="53755060"/>
    <w:rsid w:val="53D77AC9"/>
    <w:rsid w:val="5495703C"/>
    <w:rsid w:val="5594602E"/>
    <w:rsid w:val="55C220B3"/>
    <w:rsid w:val="55FC3817"/>
    <w:rsid w:val="561623FF"/>
    <w:rsid w:val="561A1EEF"/>
    <w:rsid w:val="5647080A"/>
    <w:rsid w:val="566273F2"/>
    <w:rsid w:val="56DC53F6"/>
    <w:rsid w:val="56FE536D"/>
    <w:rsid w:val="57601B83"/>
    <w:rsid w:val="576D42A0"/>
    <w:rsid w:val="577527BF"/>
    <w:rsid w:val="57853398"/>
    <w:rsid w:val="57B1418D"/>
    <w:rsid w:val="57EF1159"/>
    <w:rsid w:val="57FB7AFE"/>
    <w:rsid w:val="58401DB8"/>
    <w:rsid w:val="58823D7B"/>
    <w:rsid w:val="58931AE5"/>
    <w:rsid w:val="58B24E9C"/>
    <w:rsid w:val="58EB3CDA"/>
    <w:rsid w:val="591E5852"/>
    <w:rsid w:val="59C3464B"/>
    <w:rsid w:val="5A1F5D26"/>
    <w:rsid w:val="5A6B0F6B"/>
    <w:rsid w:val="5A75799E"/>
    <w:rsid w:val="5AAE0E58"/>
    <w:rsid w:val="5ABF4E13"/>
    <w:rsid w:val="5AE1122D"/>
    <w:rsid w:val="5B6B1EF9"/>
    <w:rsid w:val="5B9C5154"/>
    <w:rsid w:val="5BDE39BF"/>
    <w:rsid w:val="5BED775E"/>
    <w:rsid w:val="5C07081F"/>
    <w:rsid w:val="5C666A3C"/>
    <w:rsid w:val="5C741C2D"/>
    <w:rsid w:val="5C787AB7"/>
    <w:rsid w:val="5C950521"/>
    <w:rsid w:val="5CA82EFD"/>
    <w:rsid w:val="5CB10FE2"/>
    <w:rsid w:val="5CB66B3C"/>
    <w:rsid w:val="5D663C6C"/>
    <w:rsid w:val="5DEA29DF"/>
    <w:rsid w:val="5E1E4546"/>
    <w:rsid w:val="5E2F22B0"/>
    <w:rsid w:val="5E826883"/>
    <w:rsid w:val="5E912F6A"/>
    <w:rsid w:val="5EB01642"/>
    <w:rsid w:val="5EBE690B"/>
    <w:rsid w:val="5F87683C"/>
    <w:rsid w:val="5FDB26EF"/>
    <w:rsid w:val="5FFC2665"/>
    <w:rsid w:val="60002155"/>
    <w:rsid w:val="600B1F49"/>
    <w:rsid w:val="60114363"/>
    <w:rsid w:val="601856F1"/>
    <w:rsid w:val="603C0CB4"/>
    <w:rsid w:val="60A30D33"/>
    <w:rsid w:val="60A54AAB"/>
    <w:rsid w:val="610E2650"/>
    <w:rsid w:val="611063C8"/>
    <w:rsid w:val="615838CB"/>
    <w:rsid w:val="61667A3F"/>
    <w:rsid w:val="61783F6D"/>
    <w:rsid w:val="61923281"/>
    <w:rsid w:val="622540F5"/>
    <w:rsid w:val="624327CD"/>
    <w:rsid w:val="62A3326C"/>
    <w:rsid w:val="62B41570"/>
    <w:rsid w:val="62B86D17"/>
    <w:rsid w:val="62D81168"/>
    <w:rsid w:val="62FD297C"/>
    <w:rsid w:val="630E4B89"/>
    <w:rsid w:val="63493E13"/>
    <w:rsid w:val="63754C08"/>
    <w:rsid w:val="642301C1"/>
    <w:rsid w:val="642E6B65"/>
    <w:rsid w:val="64371EBE"/>
    <w:rsid w:val="644B5969"/>
    <w:rsid w:val="6518584B"/>
    <w:rsid w:val="65270184"/>
    <w:rsid w:val="65515201"/>
    <w:rsid w:val="658438E9"/>
    <w:rsid w:val="658630FD"/>
    <w:rsid w:val="65D73126"/>
    <w:rsid w:val="665723A3"/>
    <w:rsid w:val="669929BC"/>
    <w:rsid w:val="669E2B1C"/>
    <w:rsid w:val="66AD46B9"/>
    <w:rsid w:val="66B07D06"/>
    <w:rsid w:val="66CD4D5B"/>
    <w:rsid w:val="671256BC"/>
    <w:rsid w:val="671B5AC7"/>
    <w:rsid w:val="672C3830"/>
    <w:rsid w:val="674C7A2E"/>
    <w:rsid w:val="67580AC9"/>
    <w:rsid w:val="675C1E9F"/>
    <w:rsid w:val="678455BD"/>
    <w:rsid w:val="679715F1"/>
    <w:rsid w:val="67D068B1"/>
    <w:rsid w:val="67D22629"/>
    <w:rsid w:val="68104F00"/>
    <w:rsid w:val="68442DFB"/>
    <w:rsid w:val="686213A1"/>
    <w:rsid w:val="68727968"/>
    <w:rsid w:val="687C4343"/>
    <w:rsid w:val="6881195A"/>
    <w:rsid w:val="68A5389A"/>
    <w:rsid w:val="68B27D65"/>
    <w:rsid w:val="68BE670A"/>
    <w:rsid w:val="68DB550E"/>
    <w:rsid w:val="69005A5E"/>
    <w:rsid w:val="69034A64"/>
    <w:rsid w:val="6917406C"/>
    <w:rsid w:val="692073C4"/>
    <w:rsid w:val="692A3D9F"/>
    <w:rsid w:val="692F585A"/>
    <w:rsid w:val="69935DE8"/>
    <w:rsid w:val="69F745C9"/>
    <w:rsid w:val="6A0E36C1"/>
    <w:rsid w:val="6A3053E5"/>
    <w:rsid w:val="6A3D7B02"/>
    <w:rsid w:val="6A7A48B2"/>
    <w:rsid w:val="6A8B3277"/>
    <w:rsid w:val="6ACF10A2"/>
    <w:rsid w:val="6AFE54E3"/>
    <w:rsid w:val="6B770F66"/>
    <w:rsid w:val="6BBB1626"/>
    <w:rsid w:val="6BEE2744"/>
    <w:rsid w:val="6C0C1E82"/>
    <w:rsid w:val="6CA4030D"/>
    <w:rsid w:val="6CB26586"/>
    <w:rsid w:val="6CF03552"/>
    <w:rsid w:val="6CF272CA"/>
    <w:rsid w:val="6CFC1EF7"/>
    <w:rsid w:val="6D0668D1"/>
    <w:rsid w:val="6D1A412B"/>
    <w:rsid w:val="6D604233"/>
    <w:rsid w:val="6D667370"/>
    <w:rsid w:val="6D77157D"/>
    <w:rsid w:val="6DA34120"/>
    <w:rsid w:val="6E82642B"/>
    <w:rsid w:val="6F101C89"/>
    <w:rsid w:val="6F5161E8"/>
    <w:rsid w:val="6F7B5355"/>
    <w:rsid w:val="6F8166E3"/>
    <w:rsid w:val="6FAD1286"/>
    <w:rsid w:val="6FB71AF7"/>
    <w:rsid w:val="6FD20CED"/>
    <w:rsid w:val="6FF70753"/>
    <w:rsid w:val="70894095"/>
    <w:rsid w:val="70AD3C34"/>
    <w:rsid w:val="71145A61"/>
    <w:rsid w:val="711F7F62"/>
    <w:rsid w:val="713003C1"/>
    <w:rsid w:val="716D6F1F"/>
    <w:rsid w:val="71810C1C"/>
    <w:rsid w:val="71900E5F"/>
    <w:rsid w:val="719646C8"/>
    <w:rsid w:val="71C823A7"/>
    <w:rsid w:val="71FD4747"/>
    <w:rsid w:val="721E58E3"/>
    <w:rsid w:val="724B5F70"/>
    <w:rsid w:val="72587BCF"/>
    <w:rsid w:val="727147ED"/>
    <w:rsid w:val="72880E54"/>
    <w:rsid w:val="73210070"/>
    <w:rsid w:val="732775A1"/>
    <w:rsid w:val="737C2238"/>
    <w:rsid w:val="738A025C"/>
    <w:rsid w:val="738E13CF"/>
    <w:rsid w:val="73C623AB"/>
    <w:rsid w:val="73DC6178"/>
    <w:rsid w:val="73F73418"/>
    <w:rsid w:val="74237D69"/>
    <w:rsid w:val="74BD01BD"/>
    <w:rsid w:val="75030878"/>
    <w:rsid w:val="75151DA7"/>
    <w:rsid w:val="758A2545"/>
    <w:rsid w:val="75D457BF"/>
    <w:rsid w:val="763E0E8A"/>
    <w:rsid w:val="764F753B"/>
    <w:rsid w:val="76B63116"/>
    <w:rsid w:val="76DA32A9"/>
    <w:rsid w:val="76EF6628"/>
    <w:rsid w:val="772A140E"/>
    <w:rsid w:val="77976AA4"/>
    <w:rsid w:val="77BC1F58"/>
    <w:rsid w:val="77D00208"/>
    <w:rsid w:val="78AE5182"/>
    <w:rsid w:val="78D45AD6"/>
    <w:rsid w:val="78E026CC"/>
    <w:rsid w:val="79075EAB"/>
    <w:rsid w:val="791B3704"/>
    <w:rsid w:val="79711576"/>
    <w:rsid w:val="79817A0B"/>
    <w:rsid w:val="7A3D1AF3"/>
    <w:rsid w:val="7A7C4677"/>
    <w:rsid w:val="7AA634A2"/>
    <w:rsid w:val="7AAC6D0A"/>
    <w:rsid w:val="7AC2652D"/>
    <w:rsid w:val="7B18614D"/>
    <w:rsid w:val="7B1F572E"/>
    <w:rsid w:val="7B430CF1"/>
    <w:rsid w:val="7B4F58E7"/>
    <w:rsid w:val="7B784299"/>
    <w:rsid w:val="7C0466D2"/>
    <w:rsid w:val="7C120B35"/>
    <w:rsid w:val="7C183F2B"/>
    <w:rsid w:val="7C556F2D"/>
    <w:rsid w:val="7C9D1EB2"/>
    <w:rsid w:val="7D44147C"/>
    <w:rsid w:val="7D5B0573"/>
    <w:rsid w:val="7D6C2781"/>
    <w:rsid w:val="7D9B080E"/>
    <w:rsid w:val="7DB008BF"/>
    <w:rsid w:val="7DBB1012"/>
    <w:rsid w:val="7DEB326C"/>
    <w:rsid w:val="7E215319"/>
    <w:rsid w:val="7E2E6078"/>
    <w:rsid w:val="7E5C5697"/>
    <w:rsid w:val="7E747B3F"/>
    <w:rsid w:val="7EA06B86"/>
    <w:rsid w:val="7EAF6DC9"/>
    <w:rsid w:val="7ECA59B1"/>
    <w:rsid w:val="7EF0118F"/>
    <w:rsid w:val="7FA501CC"/>
    <w:rsid w:val="7FF01447"/>
    <w:rsid w:val="7FF058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11">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5">
    <w:name w:val="toc 3"/>
    <w:basedOn w:val="1"/>
    <w:next w:val="1"/>
    <w:qFormat/>
    <w:uiPriority w:val="0"/>
    <w:pPr>
      <w:ind w:left="840" w:leftChars="400"/>
    </w:pPr>
  </w:style>
  <w:style w:type="paragraph" w:styleId="6">
    <w:name w:val="toc 1"/>
    <w:basedOn w:val="1"/>
    <w:next w:val="1"/>
    <w:qFormat/>
    <w:uiPriority w:val="0"/>
  </w:style>
  <w:style w:type="paragraph" w:styleId="7">
    <w:name w:val="toc 2"/>
    <w:basedOn w:val="1"/>
    <w:next w:val="1"/>
    <w:qFormat/>
    <w:uiPriority w:val="0"/>
    <w:pPr>
      <w:ind w:left="420" w:leftChars="200"/>
    </w:pPr>
  </w:style>
  <w:style w:type="paragraph" w:styleId="8">
    <w:name w:val="Normal (Web)"/>
    <w:basedOn w:val="1"/>
    <w:qFormat/>
    <w:uiPriority w:val="0"/>
    <w:pPr>
      <w:spacing w:before="0" w:beforeAutospacing="1" w:after="0" w:afterAutospacing="1"/>
      <w:ind w:left="0" w:right="0"/>
      <w:jc w:val="left"/>
    </w:pPr>
    <w:rPr>
      <w:kern w:val="0"/>
      <w:sz w:val="24"/>
      <w:lang w:val="en-US" w:eastAsia="zh-CN" w:bidi="ar"/>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Emphasis"/>
    <w:basedOn w:val="11"/>
    <w:qFormat/>
    <w:uiPriority w:val="0"/>
    <w:rPr>
      <w:i/>
    </w:rPr>
  </w:style>
  <w:style w:type="character" w:styleId="13">
    <w:name w:val="Hyperlink"/>
    <w:basedOn w:val="11"/>
    <w:qFormat/>
    <w:uiPriority w:val="0"/>
    <w:rPr>
      <w:color w:val="0000FF"/>
      <w:u w:val="single"/>
    </w:rPr>
  </w:style>
  <w:style w:type="table" w:customStyle="1" w:styleId="14">
    <w:name w:val="TableGrid"/>
    <w:basedOn w:val="9"/>
    <w:qFormat/>
    <w:uiPriority w:val="0"/>
    <w:pPr>
      <w:keepNext w:val="0"/>
      <w:keepLines w:val="0"/>
      <w:widowControl/>
      <w:suppressLineNumbers w:val="0"/>
      <w:spacing w:before="0" w:beforeAutospacing="0" w:after="0" w:afterAutospacing="0"/>
      <w:ind w:left="0" w:right="0"/>
    </w:pPr>
    <w:rPr>
      <w:rFonts w:hint="eastAsia" w:ascii="等线" w:hAnsi="等线" w:eastAsia="等线" w:cs="等线"/>
      <w:kern w:val="2"/>
      <w:sz w:val="21"/>
      <w:szCs w:val="22"/>
    </w:rPr>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65</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2023-03-02T06:41:00Z</dcterms:created>
  <dc:creator>Patrick</dc:creator>
  <cp:lastModifiedBy>文档存本地丢失不负责</cp:lastModifiedBy>
  <dcterms:modified xsi:type="dcterms:W3CDTF">2023-03-14T06:58:02Z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A4F98A604D8F48CC8A4B082D2926C6D2</vt:lpwstr>
  </property>
</Properties>
</file>