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786B1" w14:textId="77777777" w:rsidR="00AE64B6" w:rsidRPr="00227240" w:rsidRDefault="00AE64B6" w:rsidP="00AE64B6">
      <w:pPr>
        <w:spacing w:line="360" w:lineRule="auto"/>
        <w:ind w:left="2160" w:firstLine="720"/>
        <w:rPr>
          <w:b/>
          <w:bCs/>
          <w:sz w:val="24"/>
          <w:szCs w:val="24"/>
        </w:rPr>
      </w:pPr>
      <w:r w:rsidRPr="00227240">
        <w:rPr>
          <w:b/>
          <w:bCs/>
          <w:sz w:val="24"/>
          <w:szCs w:val="24"/>
        </w:rPr>
        <w:t xml:space="preserve">Student ID Number: </w:t>
      </w:r>
      <w:r w:rsidRPr="00227240">
        <w:rPr>
          <w:sz w:val="24"/>
          <w:szCs w:val="24"/>
        </w:rPr>
        <w:t>2217792</w:t>
      </w:r>
    </w:p>
    <w:p w14:paraId="65A7237E" w14:textId="77777777" w:rsidR="00AE64B6" w:rsidRPr="00227240" w:rsidRDefault="00AE64B6" w:rsidP="00AE64B6">
      <w:pPr>
        <w:spacing w:line="360" w:lineRule="auto"/>
        <w:jc w:val="center"/>
        <w:rPr>
          <w:b/>
          <w:bCs/>
          <w:sz w:val="24"/>
          <w:szCs w:val="24"/>
        </w:rPr>
      </w:pPr>
      <w:r w:rsidRPr="00227240">
        <w:rPr>
          <w:b/>
          <w:bCs/>
          <w:sz w:val="24"/>
          <w:szCs w:val="24"/>
        </w:rPr>
        <w:t xml:space="preserve">Year of Study: </w:t>
      </w:r>
      <w:r w:rsidRPr="00227240">
        <w:rPr>
          <w:sz w:val="24"/>
          <w:szCs w:val="24"/>
        </w:rPr>
        <w:t>2022</w:t>
      </w:r>
    </w:p>
    <w:p w14:paraId="580987E4" w14:textId="77777777" w:rsidR="00AE64B6" w:rsidRPr="00227240" w:rsidRDefault="00AE64B6" w:rsidP="00AE64B6">
      <w:pPr>
        <w:spacing w:line="360" w:lineRule="auto"/>
        <w:jc w:val="center"/>
        <w:rPr>
          <w:sz w:val="24"/>
          <w:szCs w:val="24"/>
        </w:rPr>
      </w:pPr>
      <w:r w:rsidRPr="00227240">
        <w:rPr>
          <w:b/>
          <w:bCs/>
          <w:sz w:val="24"/>
          <w:szCs w:val="24"/>
        </w:rPr>
        <w:t xml:space="preserve">Programme: </w:t>
      </w:r>
      <w:r w:rsidRPr="00227240">
        <w:rPr>
          <w:sz w:val="24"/>
          <w:szCs w:val="24"/>
        </w:rPr>
        <w:t>MSc Digital Skills for the Health and Care Professions</w:t>
      </w:r>
    </w:p>
    <w:p w14:paraId="00AF1DFC" w14:textId="77777777" w:rsidR="00AE64B6" w:rsidRPr="00227240" w:rsidRDefault="00AE64B6" w:rsidP="00AE64B6">
      <w:pPr>
        <w:spacing w:line="360" w:lineRule="auto"/>
        <w:jc w:val="center"/>
        <w:rPr>
          <w:b/>
          <w:bCs/>
          <w:sz w:val="24"/>
          <w:szCs w:val="24"/>
        </w:rPr>
      </w:pPr>
      <w:r w:rsidRPr="00227240">
        <w:rPr>
          <w:b/>
          <w:bCs/>
          <w:sz w:val="24"/>
          <w:szCs w:val="24"/>
        </w:rPr>
        <w:t xml:space="preserve">Module: </w:t>
      </w:r>
      <w:r w:rsidRPr="00227240">
        <w:rPr>
          <w:sz w:val="24"/>
          <w:szCs w:val="24"/>
        </w:rPr>
        <w:t>Digital Technology in Health and Social Care</w:t>
      </w:r>
    </w:p>
    <w:p w14:paraId="591DEC17" w14:textId="77777777" w:rsidR="00AE64B6" w:rsidRPr="00227240" w:rsidRDefault="00AE64B6" w:rsidP="00AE64B6">
      <w:pPr>
        <w:spacing w:line="360" w:lineRule="auto"/>
        <w:jc w:val="center"/>
        <w:rPr>
          <w:b/>
          <w:bCs/>
          <w:sz w:val="24"/>
          <w:szCs w:val="24"/>
        </w:rPr>
      </w:pPr>
      <w:r w:rsidRPr="00227240">
        <w:rPr>
          <w:b/>
          <w:bCs/>
          <w:sz w:val="24"/>
          <w:szCs w:val="24"/>
        </w:rPr>
        <w:t xml:space="preserve">Module Code: </w:t>
      </w:r>
      <w:r w:rsidRPr="00227240">
        <w:rPr>
          <w:sz w:val="24"/>
          <w:szCs w:val="24"/>
        </w:rPr>
        <w:t>BMDS7006</w:t>
      </w:r>
    </w:p>
    <w:p w14:paraId="6BF71A40" w14:textId="33F90B50" w:rsidR="00AE64B6" w:rsidRPr="00227240" w:rsidRDefault="00AE64B6" w:rsidP="00AE64B6">
      <w:pPr>
        <w:spacing w:line="360" w:lineRule="auto"/>
        <w:jc w:val="center"/>
        <w:rPr>
          <w:b/>
          <w:bCs/>
          <w:sz w:val="24"/>
          <w:szCs w:val="24"/>
        </w:rPr>
      </w:pPr>
      <w:r w:rsidRPr="00227240">
        <w:rPr>
          <w:b/>
          <w:bCs/>
          <w:sz w:val="24"/>
          <w:szCs w:val="24"/>
        </w:rPr>
        <w:t xml:space="preserve">Assignment Title: </w:t>
      </w:r>
      <w:r w:rsidR="00486A26">
        <w:rPr>
          <w:sz w:val="24"/>
          <w:szCs w:val="24"/>
        </w:rPr>
        <w:t>Programme Improvement Project</w:t>
      </w:r>
    </w:p>
    <w:p w14:paraId="01B70423" w14:textId="77777777" w:rsidR="00AE64B6" w:rsidRPr="00227240" w:rsidRDefault="00AE64B6" w:rsidP="00AE64B6">
      <w:pPr>
        <w:spacing w:line="360" w:lineRule="auto"/>
        <w:jc w:val="center"/>
        <w:rPr>
          <w:sz w:val="24"/>
          <w:szCs w:val="24"/>
        </w:rPr>
      </w:pPr>
      <w:r w:rsidRPr="00227240">
        <w:rPr>
          <w:b/>
          <w:bCs/>
          <w:sz w:val="24"/>
          <w:szCs w:val="24"/>
        </w:rPr>
        <w:t xml:space="preserve">Lecturer: </w:t>
      </w:r>
      <w:r w:rsidRPr="00227240">
        <w:rPr>
          <w:sz w:val="24"/>
          <w:szCs w:val="24"/>
        </w:rPr>
        <w:t>Muntaha Alam Nafisa</w:t>
      </w:r>
    </w:p>
    <w:p w14:paraId="652661FE" w14:textId="43FA0F71" w:rsidR="00AE64B6" w:rsidRPr="00227240" w:rsidRDefault="00AE64B6" w:rsidP="00AE64B6">
      <w:pPr>
        <w:spacing w:line="360" w:lineRule="auto"/>
        <w:jc w:val="center"/>
        <w:rPr>
          <w:b/>
          <w:bCs/>
          <w:sz w:val="24"/>
          <w:szCs w:val="24"/>
        </w:rPr>
      </w:pPr>
      <w:r w:rsidRPr="00227240">
        <w:rPr>
          <w:b/>
          <w:bCs/>
          <w:sz w:val="24"/>
          <w:szCs w:val="24"/>
        </w:rPr>
        <w:t xml:space="preserve">Submission Deadline: </w:t>
      </w:r>
      <w:r w:rsidR="00486A26">
        <w:rPr>
          <w:sz w:val="24"/>
          <w:szCs w:val="24"/>
        </w:rPr>
        <w:t>3/3/23</w:t>
      </w:r>
    </w:p>
    <w:p w14:paraId="0C8A3EB8" w14:textId="6B2F331F" w:rsidR="00AE64B6" w:rsidRPr="00227240" w:rsidRDefault="00AE64B6" w:rsidP="00AE64B6">
      <w:pPr>
        <w:spacing w:line="360" w:lineRule="auto"/>
        <w:jc w:val="center"/>
        <w:rPr>
          <w:b/>
          <w:bCs/>
          <w:sz w:val="24"/>
          <w:szCs w:val="24"/>
        </w:rPr>
      </w:pPr>
      <w:r w:rsidRPr="00227240">
        <w:rPr>
          <w:b/>
          <w:bCs/>
          <w:sz w:val="24"/>
          <w:szCs w:val="24"/>
        </w:rPr>
        <w:t xml:space="preserve">Total Word Count: </w:t>
      </w:r>
    </w:p>
    <w:p w14:paraId="2FFB1EE2" w14:textId="77777777" w:rsidR="00AE64B6" w:rsidRDefault="00AE64B6"/>
    <w:p w14:paraId="5E676F6D" w14:textId="77777777" w:rsidR="00AE64B6" w:rsidRDefault="00AE64B6"/>
    <w:p w14:paraId="1AC8E719" w14:textId="77777777" w:rsidR="00AE64B6" w:rsidRDefault="00AE64B6"/>
    <w:p w14:paraId="168EEEC2" w14:textId="77777777" w:rsidR="00AE64B6" w:rsidRDefault="00AE64B6"/>
    <w:p w14:paraId="7D706FF1" w14:textId="77777777" w:rsidR="00AE64B6" w:rsidRDefault="00AE64B6"/>
    <w:p w14:paraId="181BDBC2" w14:textId="77777777" w:rsidR="00AE64B6" w:rsidRDefault="00AE64B6"/>
    <w:p w14:paraId="10EA7DA7" w14:textId="77777777" w:rsidR="00AE64B6" w:rsidRDefault="00AE64B6"/>
    <w:p w14:paraId="399761D3" w14:textId="77777777" w:rsidR="00AE64B6" w:rsidRDefault="00AE64B6"/>
    <w:p w14:paraId="69F79DD4" w14:textId="77777777" w:rsidR="00AE64B6" w:rsidRDefault="00AE64B6"/>
    <w:p w14:paraId="4146B5EB" w14:textId="77777777" w:rsidR="00AE64B6" w:rsidRDefault="00AE64B6"/>
    <w:p w14:paraId="1C058100" w14:textId="77777777" w:rsidR="00AE64B6" w:rsidRDefault="00AE64B6"/>
    <w:p w14:paraId="2305512A" w14:textId="77777777" w:rsidR="00AE64B6" w:rsidRDefault="00AE64B6"/>
    <w:p w14:paraId="1FD384EB" w14:textId="77777777" w:rsidR="00AE64B6" w:rsidRDefault="00AE64B6"/>
    <w:p w14:paraId="39E37BFD" w14:textId="77777777" w:rsidR="00AE64B6" w:rsidRDefault="00AE64B6"/>
    <w:p w14:paraId="2D6D5EA7" w14:textId="77777777" w:rsidR="00AE64B6" w:rsidRDefault="00AE64B6"/>
    <w:p w14:paraId="1E2EAB87" w14:textId="77777777" w:rsidR="00AE64B6" w:rsidRDefault="00AE64B6"/>
    <w:p w14:paraId="177C1FE7" w14:textId="77777777" w:rsidR="00AE64B6" w:rsidRDefault="00AE64B6"/>
    <w:p w14:paraId="36842E89" w14:textId="77777777" w:rsidR="00AE64B6" w:rsidRDefault="00AE64B6"/>
    <w:p w14:paraId="49834E4E" w14:textId="77777777" w:rsidR="00486A26" w:rsidRDefault="00486A26"/>
    <w:p w14:paraId="2DF5450A" w14:textId="77777777" w:rsidR="00BA40CE" w:rsidRPr="00BA40CE" w:rsidRDefault="00BA40CE">
      <w:pPr>
        <w:rPr>
          <w:b/>
          <w:bCs/>
        </w:rPr>
      </w:pPr>
      <w:r w:rsidRPr="00BA40CE">
        <w:rPr>
          <w:b/>
          <w:bCs/>
        </w:rPr>
        <w:lastRenderedPageBreak/>
        <w:t xml:space="preserve">Introduction </w:t>
      </w:r>
    </w:p>
    <w:p w14:paraId="365B50AC" w14:textId="2E423287" w:rsidR="00BA2A5B" w:rsidRDefault="002000EC">
      <w:r>
        <w:t>The National Health Service (NHS)</w:t>
      </w:r>
      <w:r w:rsidR="00573E21">
        <w:t xml:space="preserve"> along with professional clinical bodies </w:t>
      </w:r>
      <w:r w:rsidR="005653D3">
        <w:t xml:space="preserve">is dedicated to pursuing the delivery of </w:t>
      </w:r>
      <w:r w:rsidR="00CF1F1C">
        <w:t>high-quality</w:t>
      </w:r>
      <w:r w:rsidR="005653D3">
        <w:t xml:space="preserve"> care</w:t>
      </w:r>
      <w:r w:rsidR="00CF1F1C">
        <w:t xml:space="preserve"> to patients</w:t>
      </w:r>
      <w:r w:rsidR="005653D3">
        <w:t xml:space="preserve"> </w:t>
      </w:r>
      <w:r w:rsidR="00F9616D">
        <w:t>(Macfarlane, 2019)</w:t>
      </w:r>
      <w:r w:rsidR="004A0A33">
        <w:t>.</w:t>
      </w:r>
      <w:r w:rsidR="00CF1F1C">
        <w:t xml:space="preserve"> One way to do this is through clinical govern</w:t>
      </w:r>
      <w:r w:rsidR="00554984">
        <w:t>ance.</w:t>
      </w:r>
      <w:r w:rsidR="004A0A33">
        <w:t xml:space="preserve"> </w:t>
      </w:r>
      <w:r w:rsidR="00091688">
        <w:t xml:space="preserve">Clinical governance </w:t>
      </w:r>
      <w:r w:rsidR="005F172E">
        <w:t>is</w:t>
      </w:r>
      <w:r w:rsidR="00340609">
        <w:t xml:space="preserve"> the system that holds NHS organisations accountable for </w:t>
      </w:r>
      <w:r w:rsidR="0047678C">
        <w:t>continually raising</w:t>
      </w:r>
      <w:r w:rsidR="00014B63">
        <w:t xml:space="preserve"> calibre of </w:t>
      </w:r>
      <w:r w:rsidR="00B54038">
        <w:t>care</w:t>
      </w:r>
      <w:r w:rsidR="00014B63">
        <w:t xml:space="preserve"> and </w:t>
      </w:r>
      <w:r w:rsidR="00C824B0">
        <w:t xml:space="preserve">maintaining high </w:t>
      </w:r>
      <w:r w:rsidR="00B54038">
        <w:t xml:space="preserve">caring </w:t>
      </w:r>
      <w:r w:rsidR="00C824B0">
        <w:t>standards</w:t>
      </w:r>
      <w:r w:rsidR="00B54038">
        <w:t xml:space="preserve"> </w:t>
      </w:r>
      <w:r w:rsidR="00C824B0">
        <w:t xml:space="preserve">by cultivating an environment </w:t>
      </w:r>
      <w:r w:rsidR="00E40185">
        <w:t>conducive to clinical excellence</w:t>
      </w:r>
      <w:r w:rsidR="000D0279">
        <w:t xml:space="preserve"> (Public Health England, 2022)</w:t>
      </w:r>
      <w:r w:rsidR="00E40185">
        <w:t xml:space="preserve">. </w:t>
      </w:r>
      <w:r w:rsidR="00224680">
        <w:t>Within maternity services</w:t>
      </w:r>
      <w:r w:rsidR="00D446F4">
        <w:t xml:space="preserve">, </w:t>
      </w:r>
      <w:r w:rsidR="00BD0C1B">
        <w:t xml:space="preserve">the guiding </w:t>
      </w:r>
      <w:r w:rsidR="0092284B">
        <w:t>principle</w:t>
      </w:r>
      <w:r w:rsidR="00BD0C1B">
        <w:t xml:space="preserve"> of clinical </w:t>
      </w:r>
      <w:r w:rsidR="00542A6C">
        <w:t xml:space="preserve">governance is improving </w:t>
      </w:r>
      <w:r w:rsidR="003E151C">
        <w:t xml:space="preserve">and enhancing </w:t>
      </w:r>
      <w:r w:rsidR="00542A6C">
        <w:t xml:space="preserve">women’s </w:t>
      </w:r>
      <w:r w:rsidR="003E151C">
        <w:t>maternity care outcomes and experiences</w:t>
      </w:r>
      <w:r w:rsidR="005A32B5">
        <w:t xml:space="preserve"> </w:t>
      </w:r>
      <w:r w:rsidR="00264F49">
        <w:t>(Chan</w:t>
      </w:r>
      <w:r w:rsidR="006775A6">
        <w:t>draharan, 2010)</w:t>
      </w:r>
      <w:r w:rsidR="003E151C">
        <w:t xml:space="preserve">. </w:t>
      </w:r>
      <w:r w:rsidR="003A6764">
        <w:t>One of the seven pillars that clinical governance is examined under in risk management.</w:t>
      </w:r>
      <w:r w:rsidR="00A0772B">
        <w:t xml:space="preserve"> By identifying areas of the service that need improvement, </w:t>
      </w:r>
      <w:r w:rsidR="000F71E9">
        <w:t xml:space="preserve">reporting </w:t>
      </w:r>
      <w:r w:rsidR="00C05990">
        <w:t xml:space="preserve">incidents and near misses and </w:t>
      </w:r>
      <w:r w:rsidR="00A0772B">
        <w:t xml:space="preserve">learning from incidents, </w:t>
      </w:r>
      <w:r w:rsidR="005103AF">
        <w:t xml:space="preserve">maternity care providers can reduce risk to women and babies </w:t>
      </w:r>
      <w:r w:rsidR="002F6A82">
        <w:t>(Helps et al., 2021)</w:t>
      </w:r>
      <w:r w:rsidR="00AA0FA2">
        <w:t xml:space="preserve">. </w:t>
      </w:r>
    </w:p>
    <w:p w14:paraId="28A5E702" w14:textId="45712390" w:rsidR="008E1EC6" w:rsidRDefault="00E92809">
      <w:r>
        <w:t xml:space="preserve">Although </w:t>
      </w:r>
      <w:r w:rsidR="00804477">
        <w:t xml:space="preserve">the National Service Framework (NSF) </w:t>
      </w:r>
      <w:r w:rsidR="00705681">
        <w:t xml:space="preserve">recommendations for </w:t>
      </w:r>
      <w:r w:rsidR="002B155F">
        <w:t xml:space="preserve">women-centred care have had a major impact on current standards for maternity care, </w:t>
      </w:r>
      <w:r w:rsidR="00381EA2">
        <w:t xml:space="preserve">evidence </w:t>
      </w:r>
      <w:r w:rsidR="00B23B98">
        <w:t>provided by</w:t>
      </w:r>
      <w:r w:rsidR="00381EA2">
        <w:t xml:space="preserve"> Care Quality Commission</w:t>
      </w:r>
      <w:r w:rsidR="00CB53EF">
        <w:t xml:space="preserve"> (CQC) and the Nursing and Midwifery Council (NMC) </w:t>
      </w:r>
      <w:r w:rsidR="00B23B98">
        <w:t>indicates that the quality of maternity care remains a cause for concern</w:t>
      </w:r>
      <w:r w:rsidR="00BE3A9B">
        <w:t xml:space="preserve"> (Care Quality Com</w:t>
      </w:r>
      <w:r w:rsidR="00AA691D">
        <w:t>mission, 2012</w:t>
      </w:r>
      <w:r w:rsidR="00624B0F">
        <w:t>, NMC, 2012)</w:t>
      </w:r>
      <w:r w:rsidR="00B23B98">
        <w:t xml:space="preserve">. </w:t>
      </w:r>
      <w:r w:rsidR="00D73027">
        <w:t xml:space="preserve">In 2016 </w:t>
      </w:r>
      <w:r w:rsidR="00797213">
        <w:t xml:space="preserve">a review of maternity services in Shrewsbury and Telford Hospital NHS Trust was commissioned by the UK’s Secretary of State for Health after bereaved </w:t>
      </w:r>
      <w:r w:rsidR="00163406">
        <w:t>families raised concerns</w:t>
      </w:r>
      <w:r w:rsidR="008C709E">
        <w:t xml:space="preserve"> about</w:t>
      </w:r>
      <w:r w:rsidR="007C2EA0">
        <w:t xml:space="preserve"> babies and mothers </w:t>
      </w:r>
      <w:r w:rsidR="008C709E">
        <w:t xml:space="preserve">who had </w:t>
      </w:r>
      <w:r w:rsidR="007C2EA0">
        <w:t xml:space="preserve">died or may have suffered significant </w:t>
      </w:r>
      <w:r w:rsidR="008D26A7">
        <w:t xml:space="preserve">harm whilst receiving maternity care at the hospital. </w:t>
      </w:r>
      <w:r w:rsidR="000B5F98">
        <w:t xml:space="preserve">The review identified hundreds </w:t>
      </w:r>
      <w:r w:rsidR="00A16CAF">
        <w:t>of cases where the Trust failed to conduct serious incident investigations</w:t>
      </w:r>
      <w:r w:rsidR="00E65B81">
        <w:t xml:space="preserve"> </w:t>
      </w:r>
      <w:r w:rsidR="0016507E">
        <w:t xml:space="preserve">including cases of </w:t>
      </w:r>
      <w:r w:rsidR="007F25CC">
        <w:t>death and</w:t>
      </w:r>
      <w:r w:rsidR="00E65B81">
        <w:t xml:space="preserve"> found repeated failures in the Trust’s governance and quality of care</w:t>
      </w:r>
      <w:r w:rsidR="00956266">
        <w:t xml:space="preserve"> (Ockenden, 2022)</w:t>
      </w:r>
      <w:r w:rsidR="00E65B81">
        <w:t xml:space="preserve">. </w:t>
      </w:r>
      <w:r w:rsidR="007F25CC">
        <w:t>Considering these findings</w:t>
      </w:r>
      <w:r w:rsidR="00E65B81">
        <w:t>, it</w:t>
      </w:r>
      <w:r w:rsidR="008E1EC6">
        <w:t xml:space="preserve"> is crucial</w:t>
      </w:r>
      <w:r w:rsidR="00840D12">
        <w:t xml:space="preserve"> </w:t>
      </w:r>
      <w:r w:rsidR="00C346C3">
        <w:t xml:space="preserve">that healthcare </w:t>
      </w:r>
      <w:r w:rsidR="002A77AA">
        <w:t xml:space="preserve">organisations provide staff with the </w:t>
      </w:r>
      <w:r w:rsidR="000A025D">
        <w:t xml:space="preserve">resources </w:t>
      </w:r>
      <w:r w:rsidR="002A77AA">
        <w:t xml:space="preserve">to document </w:t>
      </w:r>
      <w:r w:rsidR="00F525E0">
        <w:t xml:space="preserve">adverse outcomes </w:t>
      </w:r>
      <w:r w:rsidR="00854C95">
        <w:t>to</w:t>
      </w:r>
      <w:r w:rsidR="00F525E0">
        <w:t xml:space="preserve"> be used for learning and improvement in practice</w:t>
      </w:r>
      <w:r w:rsidR="007748C4">
        <w:t xml:space="preserve"> (</w:t>
      </w:r>
      <w:r w:rsidR="00854C95">
        <w:t>Fenn and Egan, 2012)</w:t>
      </w:r>
      <w:r w:rsidR="00F525E0">
        <w:t xml:space="preserve">. The reporting </w:t>
      </w:r>
      <w:r w:rsidR="00764B1F">
        <w:t xml:space="preserve">of </w:t>
      </w:r>
      <w:r w:rsidR="00CD1D33">
        <w:t>incidents i</w:t>
      </w:r>
      <w:r w:rsidR="00764B1F">
        <w:t xml:space="preserve">s </w:t>
      </w:r>
      <w:r w:rsidR="00CD1D33">
        <w:t xml:space="preserve">a key requirement to improve patient safety and is an important way of assuring staff, patients and the </w:t>
      </w:r>
      <w:r w:rsidR="00FF001F">
        <w:t xml:space="preserve">public that systems for managing risk are robust </w:t>
      </w:r>
      <w:r w:rsidR="000A025D">
        <w:t>and effective</w:t>
      </w:r>
      <w:r w:rsidR="0095795E">
        <w:t xml:space="preserve"> (Pham</w:t>
      </w:r>
      <w:r w:rsidR="001634C9">
        <w:t>, Girard</w:t>
      </w:r>
      <w:r w:rsidR="006F1199">
        <w:t xml:space="preserve"> and Pronovost, 2013)</w:t>
      </w:r>
      <w:r w:rsidR="00FF001F">
        <w:t>.</w:t>
      </w:r>
    </w:p>
    <w:p w14:paraId="10E24D3D" w14:textId="1932BAF4" w:rsidR="00501FC8" w:rsidRDefault="00310ECD">
      <w:r>
        <w:t xml:space="preserve">Given the pressures that healthcare staff are currently under including </w:t>
      </w:r>
      <w:r w:rsidR="00DF1FD1">
        <w:t xml:space="preserve">staff shortages </w:t>
      </w:r>
      <w:r w:rsidR="003400A5">
        <w:t xml:space="preserve">with high patient acuity, </w:t>
      </w:r>
      <w:r w:rsidR="00D76F70">
        <w:t xml:space="preserve">a </w:t>
      </w:r>
      <w:r w:rsidR="00B75844">
        <w:t xml:space="preserve">software product named Datix </w:t>
      </w:r>
      <w:r w:rsidR="006C67A4">
        <w:t>was</w:t>
      </w:r>
      <w:r w:rsidR="00B75844">
        <w:t xml:space="preserve"> implemented across </w:t>
      </w:r>
      <w:r w:rsidR="008F70AC">
        <w:t>Swansea Bay University Health Board (SBUHB)</w:t>
      </w:r>
      <w:r w:rsidR="006C67A4">
        <w:t xml:space="preserve"> in</w:t>
      </w:r>
      <w:r w:rsidR="005A2F64">
        <w:t xml:space="preserve"> 2012</w:t>
      </w:r>
      <w:r w:rsidR="008F70AC">
        <w:t xml:space="preserve"> </w:t>
      </w:r>
      <w:r w:rsidR="004B4CA8">
        <w:t>to support healthcare staff to report incidents in a timely manner</w:t>
      </w:r>
      <w:r w:rsidR="007A2281">
        <w:t xml:space="preserve"> without impacting </w:t>
      </w:r>
      <w:r w:rsidR="00DF1FD1">
        <w:t xml:space="preserve">on </w:t>
      </w:r>
      <w:r w:rsidR="007A2281">
        <w:t xml:space="preserve">their clinical </w:t>
      </w:r>
      <w:r w:rsidR="00AE6070">
        <w:t>responsibilities</w:t>
      </w:r>
      <w:r w:rsidR="009C1BE9">
        <w:t xml:space="preserve"> </w:t>
      </w:r>
      <w:r w:rsidR="00644450">
        <w:t>(Royal College of Midwives, 2021)</w:t>
      </w:r>
      <w:r w:rsidR="002B359C">
        <w:t>.</w:t>
      </w:r>
      <w:r w:rsidR="000816B4">
        <w:t xml:space="preserve"> </w:t>
      </w:r>
      <w:r w:rsidR="00C44B68">
        <w:t xml:space="preserve">Datix is a </w:t>
      </w:r>
      <w:r w:rsidR="007479DD">
        <w:t xml:space="preserve">risk management information system </w:t>
      </w:r>
      <w:r w:rsidR="004850BF">
        <w:t>to collect data on adverse events. It is widely used by all healthcare workers within SBUHB and can be accessed via the Health Board’s intranet page</w:t>
      </w:r>
      <w:r w:rsidR="00087DA7">
        <w:t xml:space="preserve"> </w:t>
      </w:r>
      <w:r w:rsidR="00956310">
        <w:t>(Maxton et al. 2021)</w:t>
      </w:r>
      <w:r w:rsidR="004850BF">
        <w:t xml:space="preserve">. </w:t>
      </w:r>
      <w:r w:rsidR="00DC46A8">
        <w:t xml:space="preserve">Founded by </w:t>
      </w:r>
      <w:r w:rsidR="00AE0B5D">
        <w:t xml:space="preserve">Brian Capstick in 1986, </w:t>
      </w:r>
      <w:r w:rsidR="00CB325F">
        <w:t>the aim was to help hospitals by developing an incident reporting software that monitors quality of care, control costs and minimise reputational damage, and help hospitals meet regulatory requirements</w:t>
      </w:r>
      <w:r w:rsidR="00D248CE">
        <w:t xml:space="preserve"> (Walsh, 2015)</w:t>
      </w:r>
      <w:r w:rsidR="00CB325F">
        <w:t xml:space="preserve">. </w:t>
      </w:r>
      <w:r w:rsidR="001D26A2">
        <w:t>P</w:t>
      </w:r>
      <w:r w:rsidR="00B56658">
        <w:t>aper-based</w:t>
      </w:r>
      <w:r w:rsidR="00E8625C">
        <w:t xml:space="preserve"> </w:t>
      </w:r>
      <w:r w:rsidR="009C38D7">
        <w:t>methods</w:t>
      </w:r>
      <w:r w:rsidR="00E8625C">
        <w:t xml:space="preserve"> of reporting incidents as well as claims and complaints </w:t>
      </w:r>
      <w:r w:rsidR="008C577E">
        <w:t xml:space="preserve">were </w:t>
      </w:r>
      <w:r w:rsidR="001D26A2">
        <w:t xml:space="preserve">previously </w:t>
      </w:r>
      <w:r w:rsidR="008C577E">
        <w:t xml:space="preserve">completed by </w:t>
      </w:r>
      <w:r w:rsidR="00425798">
        <w:t>healthcare workers</w:t>
      </w:r>
      <w:r w:rsidR="00463739">
        <w:t xml:space="preserve"> in SBUHB</w:t>
      </w:r>
      <w:r w:rsidR="00B56658">
        <w:t xml:space="preserve">. </w:t>
      </w:r>
      <w:r w:rsidR="00425798">
        <w:t>This</w:t>
      </w:r>
      <w:r w:rsidR="00B56658">
        <w:t xml:space="preserve"> manual practice necessitated human labour </w:t>
      </w:r>
      <w:r w:rsidR="001D26A2">
        <w:t>for analysis,</w:t>
      </w:r>
      <w:r w:rsidR="00B56658">
        <w:t xml:space="preserve"> failed to </w:t>
      </w:r>
      <w:r w:rsidR="001D26A2">
        <w:t xml:space="preserve">quickly </w:t>
      </w:r>
      <w:r w:rsidR="00B56658">
        <w:t>identi</w:t>
      </w:r>
      <w:r w:rsidR="004C33CA">
        <w:t>fy themes and trends</w:t>
      </w:r>
      <w:r w:rsidR="0084006B">
        <w:t>, and failed to gather</w:t>
      </w:r>
      <w:r w:rsidR="004C33CA">
        <w:t xml:space="preserve"> accurate data.</w:t>
      </w:r>
      <w:r w:rsidR="00425798">
        <w:t xml:space="preserve"> </w:t>
      </w:r>
      <w:r w:rsidR="0084006B">
        <w:t>Additionally, i</w:t>
      </w:r>
      <w:r w:rsidR="007D45CD">
        <w:t>ncident r</w:t>
      </w:r>
      <w:r w:rsidR="00980ECB">
        <w:t xml:space="preserve">eporters were not provided with follow up or feedback from the incident which </w:t>
      </w:r>
      <w:r w:rsidR="006C67A4">
        <w:t xml:space="preserve">lessened their incentive to report. </w:t>
      </w:r>
      <w:r w:rsidR="00501FC8">
        <w:t xml:space="preserve"> </w:t>
      </w:r>
    </w:p>
    <w:p w14:paraId="308BE99E" w14:textId="3C8A56F7" w:rsidR="00BA40CE" w:rsidRDefault="00BA40CE">
      <w:pPr>
        <w:rPr>
          <w:b/>
          <w:bCs/>
        </w:rPr>
      </w:pPr>
      <w:r w:rsidRPr="00BA2A5B">
        <w:rPr>
          <w:b/>
          <w:bCs/>
        </w:rPr>
        <w:t xml:space="preserve">Methods </w:t>
      </w:r>
    </w:p>
    <w:p w14:paraId="3260D22E" w14:textId="05D082C7" w:rsidR="00A44AF1" w:rsidRPr="00A44AF1" w:rsidRDefault="00A44AF1">
      <w:r>
        <w:t xml:space="preserve">The Fit between Individuals, Task, and Technology (FITT) framework is a software product implementation model that is used to analyse </w:t>
      </w:r>
      <w:r w:rsidR="00676670">
        <w:t xml:space="preserve">the </w:t>
      </w:r>
      <w:r w:rsidR="00F92EE7">
        <w:t>barriers</w:t>
      </w:r>
      <w:r w:rsidR="00676670">
        <w:t xml:space="preserve"> and facilitators that have occurred during the implementation of Datix</w:t>
      </w:r>
      <w:r w:rsidR="00266468">
        <w:t xml:space="preserve"> (Ammenwerth, </w:t>
      </w:r>
      <w:r w:rsidR="007A2312">
        <w:t>Iller and Mahler, 2006)</w:t>
      </w:r>
      <w:r w:rsidR="00676670">
        <w:t xml:space="preserve">. The FITT </w:t>
      </w:r>
      <w:r w:rsidR="00381ED9">
        <w:t>framework, which has proven useful in numerous case studies, aids in analysing the variables that affect whether information technology is successful or unsuccessful</w:t>
      </w:r>
      <w:r w:rsidR="007A2312">
        <w:t xml:space="preserve"> (Ammenwerth, Iller and Mahler, 2006)</w:t>
      </w:r>
      <w:r w:rsidR="00381ED9">
        <w:t xml:space="preserve">. </w:t>
      </w:r>
      <w:r w:rsidR="00AC6E97">
        <w:t xml:space="preserve">The FITT framework is </w:t>
      </w:r>
      <w:r w:rsidR="008A4782">
        <w:t xml:space="preserve">built on the premise that clinical IT adoption is reliant on the compatibility of user </w:t>
      </w:r>
      <w:r w:rsidR="008A4782">
        <w:lastRenderedPageBreak/>
        <w:t>characteristics, technological characteristics, and clinical task and process characteristics</w:t>
      </w:r>
      <w:r w:rsidR="00E33AD9">
        <w:t xml:space="preserve"> (Nilsson et</w:t>
      </w:r>
      <w:r w:rsidR="006A58D1">
        <w:t xml:space="preserve"> al, 2020)</w:t>
      </w:r>
      <w:r w:rsidR="003351C6">
        <w:t xml:space="preserve">. </w:t>
      </w:r>
    </w:p>
    <w:p w14:paraId="386E5319" w14:textId="133032D4" w:rsidR="00BA40CE" w:rsidRPr="00BA2A5B" w:rsidRDefault="00A84701">
      <w:pPr>
        <w:rPr>
          <w:b/>
          <w:bCs/>
        </w:rPr>
      </w:pPr>
      <w:r w:rsidRPr="00BA2A5B">
        <w:rPr>
          <w:b/>
          <w:bCs/>
        </w:rPr>
        <w:t xml:space="preserve">Results </w:t>
      </w:r>
    </w:p>
    <w:p w14:paraId="0951AEF6" w14:textId="282D09ED" w:rsidR="00A84701" w:rsidRDefault="00A84701">
      <w:pPr>
        <w:rPr>
          <w:b/>
          <w:bCs/>
        </w:rPr>
      </w:pPr>
      <w:r w:rsidRPr="00BA2A5B">
        <w:rPr>
          <w:b/>
          <w:bCs/>
        </w:rPr>
        <w:t xml:space="preserve">Discussion </w:t>
      </w:r>
    </w:p>
    <w:p w14:paraId="22627B19" w14:textId="17688CAC" w:rsidR="00664BD5" w:rsidRDefault="00664BD5">
      <w:pPr>
        <w:rPr>
          <w:b/>
          <w:bCs/>
        </w:rPr>
      </w:pPr>
      <w:r>
        <w:rPr>
          <w:b/>
          <w:bCs/>
        </w:rPr>
        <w:t xml:space="preserve">References </w:t>
      </w:r>
    </w:p>
    <w:p w14:paraId="4C5A4D48" w14:textId="77777777" w:rsidR="00266468" w:rsidRPr="00266468" w:rsidRDefault="00266468" w:rsidP="00266468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2"/>
          <w:szCs w:val="22"/>
        </w:rPr>
      </w:pPr>
      <w:r w:rsidRPr="00266468">
        <w:rPr>
          <w:rFonts w:ascii="Calibri" w:hAnsi="Calibri" w:cs="Calibri"/>
          <w:color w:val="000000"/>
          <w:sz w:val="22"/>
          <w:szCs w:val="22"/>
        </w:rPr>
        <w:t>Ammenwerth, E., Iller, C. and Mahler, C. (2006). IT-adoption and the interaction of task, technology and individuals: a fit framework and a case study. </w:t>
      </w:r>
      <w:r w:rsidRPr="00266468">
        <w:rPr>
          <w:rFonts w:ascii="Calibri" w:hAnsi="Calibri" w:cs="Calibri"/>
          <w:i/>
          <w:iCs/>
          <w:color w:val="000000"/>
          <w:sz w:val="22"/>
          <w:szCs w:val="22"/>
        </w:rPr>
        <w:t>BMC Medical Informatics and Decision Making</w:t>
      </w:r>
      <w:r w:rsidRPr="00266468">
        <w:rPr>
          <w:rFonts w:ascii="Calibri" w:hAnsi="Calibri" w:cs="Calibri"/>
          <w:color w:val="000000"/>
          <w:sz w:val="22"/>
          <w:szCs w:val="22"/>
        </w:rPr>
        <w:t>, 6(1). doi:10.1186/1472-6947-6-3.</w:t>
      </w:r>
    </w:p>
    <w:p w14:paraId="1B282ADD" w14:textId="76BF59DD" w:rsidR="006775A6" w:rsidRPr="00266468" w:rsidRDefault="00266468" w:rsidP="006F1C54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  <w:r w:rsidR="006775A6" w:rsidRPr="006775A6">
        <w:rPr>
          <w:rFonts w:ascii="Calibri" w:hAnsi="Calibri" w:cs="Calibri"/>
          <w:color w:val="000000"/>
          <w:sz w:val="22"/>
          <w:szCs w:val="22"/>
        </w:rPr>
        <w:t>Chandraharan, E. (2010). Clinical dashboards: do they actually work in practice? Three-year experience with the Maternity Dashboard. </w:t>
      </w:r>
      <w:r w:rsidR="006775A6" w:rsidRPr="006775A6">
        <w:rPr>
          <w:rFonts w:ascii="Calibri" w:hAnsi="Calibri" w:cs="Calibri"/>
          <w:i/>
          <w:iCs/>
          <w:color w:val="000000"/>
          <w:sz w:val="22"/>
          <w:szCs w:val="22"/>
        </w:rPr>
        <w:t>Clinical Risk</w:t>
      </w:r>
      <w:r w:rsidR="006775A6" w:rsidRPr="006775A6">
        <w:rPr>
          <w:rFonts w:ascii="Calibri" w:hAnsi="Calibri" w:cs="Calibri"/>
          <w:color w:val="000000"/>
          <w:sz w:val="22"/>
          <w:szCs w:val="22"/>
        </w:rPr>
        <w:t>, 16(5), pp.176–182. doi:10.1258/cr.2010.010022.</w:t>
      </w:r>
    </w:p>
    <w:p w14:paraId="0F0115EA" w14:textId="77777777" w:rsidR="001A064E" w:rsidRPr="001A064E" w:rsidRDefault="001A064E" w:rsidP="001A064E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2"/>
          <w:szCs w:val="22"/>
        </w:rPr>
      </w:pPr>
      <w:r w:rsidRPr="001A064E">
        <w:rPr>
          <w:rFonts w:ascii="Calibri" w:hAnsi="Calibri" w:cs="Calibri"/>
          <w:color w:val="000000"/>
          <w:sz w:val="22"/>
          <w:szCs w:val="22"/>
        </w:rPr>
        <w:t>Fenn, P. and Egan, T. (2012). Risk management in the NHS: governance, finance and clinical risk. </w:t>
      </w:r>
      <w:r w:rsidRPr="001A064E">
        <w:rPr>
          <w:rFonts w:ascii="Calibri" w:hAnsi="Calibri" w:cs="Calibri"/>
          <w:i/>
          <w:iCs/>
          <w:color w:val="000000"/>
          <w:sz w:val="22"/>
          <w:szCs w:val="22"/>
        </w:rPr>
        <w:t>Clinical Medicine</w:t>
      </w:r>
      <w:r w:rsidRPr="001A064E">
        <w:rPr>
          <w:rFonts w:ascii="Calibri" w:hAnsi="Calibri" w:cs="Calibri"/>
          <w:color w:val="000000"/>
          <w:sz w:val="22"/>
          <w:szCs w:val="22"/>
        </w:rPr>
        <w:t>, [online] 12(1), pp.25–28. doi:10.7861/clinmedicine.12-1-25.</w:t>
      </w:r>
    </w:p>
    <w:p w14:paraId="495C584C" w14:textId="44512BB1" w:rsidR="002F6A82" w:rsidRPr="001A064E" w:rsidRDefault="001A064E" w:rsidP="001A064E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  <w:r w:rsidR="002F6A82" w:rsidRPr="002F6A82">
        <w:rPr>
          <w:rFonts w:ascii="Calibri" w:hAnsi="Calibri" w:cs="Calibri"/>
          <w:color w:val="000000"/>
          <w:sz w:val="22"/>
          <w:szCs w:val="22"/>
        </w:rPr>
        <w:t>Helps, Ä., Leitao, S., O’Byrne, L., Greene, R. and O’Donoghue, K. (2021). Governance of maternity services: Effects on the management of perinatal deaths and bereavement services. </w:t>
      </w:r>
      <w:r w:rsidR="002F6A82" w:rsidRPr="002F6A82">
        <w:rPr>
          <w:rFonts w:ascii="Calibri" w:hAnsi="Calibri" w:cs="Calibri"/>
          <w:i/>
          <w:iCs/>
          <w:color w:val="000000"/>
          <w:sz w:val="22"/>
          <w:szCs w:val="22"/>
        </w:rPr>
        <w:t>Midwifery</w:t>
      </w:r>
      <w:r w:rsidR="002F6A82" w:rsidRPr="002F6A82">
        <w:rPr>
          <w:rFonts w:ascii="Calibri" w:hAnsi="Calibri" w:cs="Calibri"/>
          <w:color w:val="000000"/>
          <w:sz w:val="22"/>
          <w:szCs w:val="22"/>
        </w:rPr>
        <w:t>, 101, p.103049. doi:10.1016/j.midw.2021.103049.</w:t>
      </w:r>
    </w:p>
    <w:p w14:paraId="41236583" w14:textId="6EA92A13" w:rsidR="00664BD5" w:rsidRDefault="002F6A82" w:rsidP="006775A6">
      <w:pPr>
        <w:pStyle w:val="NormalWeb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  <w:r w:rsidR="00664BD5" w:rsidRPr="00664BD5">
        <w:rPr>
          <w:rFonts w:ascii="Calibri" w:hAnsi="Calibri" w:cs="Calibri"/>
          <w:color w:val="000000"/>
          <w:sz w:val="22"/>
          <w:szCs w:val="22"/>
        </w:rPr>
        <w:t>Macfarlane, A. (2019) ‘What is clinical governance?’, </w:t>
      </w:r>
      <w:r w:rsidR="00664BD5" w:rsidRPr="00664BD5">
        <w:rPr>
          <w:rFonts w:ascii="Calibri" w:hAnsi="Calibri" w:cs="Calibri"/>
          <w:i/>
          <w:iCs/>
          <w:color w:val="000000"/>
          <w:sz w:val="22"/>
          <w:szCs w:val="22"/>
        </w:rPr>
        <w:t>BJA Education</w:t>
      </w:r>
      <w:r w:rsidR="00664BD5" w:rsidRPr="00664BD5">
        <w:rPr>
          <w:rFonts w:ascii="Calibri" w:hAnsi="Calibri" w:cs="Calibri"/>
          <w:color w:val="000000"/>
          <w:sz w:val="22"/>
          <w:szCs w:val="22"/>
        </w:rPr>
        <w:t>, 19(6), pp. 174–175. doi:10.1016/j.bjae.2019.02.003.</w:t>
      </w:r>
      <w:r w:rsidR="00664BD5"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14:paraId="4C773E0A" w14:textId="77777777" w:rsidR="00956310" w:rsidRDefault="00956310" w:rsidP="00956310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2"/>
          <w:szCs w:val="22"/>
        </w:rPr>
      </w:pPr>
      <w:r w:rsidRPr="00956310">
        <w:rPr>
          <w:rFonts w:ascii="Calibri" w:hAnsi="Calibri" w:cs="Calibri"/>
          <w:color w:val="000000"/>
          <w:sz w:val="22"/>
          <w:szCs w:val="22"/>
        </w:rPr>
        <w:t>Maxton, F., Darbyshire, P., Daniel, D.J.M. and Walvin, T. (2021). Nursing can help end the travesty of ‘Datix abuse’. </w:t>
      </w:r>
      <w:r w:rsidRPr="00956310">
        <w:rPr>
          <w:rFonts w:ascii="Calibri" w:hAnsi="Calibri" w:cs="Calibri"/>
          <w:i/>
          <w:iCs/>
          <w:color w:val="000000"/>
          <w:sz w:val="22"/>
          <w:szCs w:val="22"/>
        </w:rPr>
        <w:t>Journal of Clinical Nursing</w:t>
      </w:r>
      <w:r w:rsidRPr="00956310">
        <w:rPr>
          <w:rFonts w:ascii="Calibri" w:hAnsi="Calibri" w:cs="Calibri"/>
          <w:color w:val="000000"/>
          <w:sz w:val="22"/>
          <w:szCs w:val="22"/>
        </w:rPr>
        <w:t>, 30(9-10). doi:10.1111/jocn.15691.</w:t>
      </w:r>
    </w:p>
    <w:p w14:paraId="1F837276" w14:textId="77777777" w:rsidR="00442AC4" w:rsidRDefault="00442AC4" w:rsidP="00442AC4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2"/>
          <w:szCs w:val="22"/>
        </w:rPr>
      </w:pPr>
    </w:p>
    <w:p w14:paraId="2D89F042" w14:textId="41ACDC12" w:rsidR="00442AC4" w:rsidRPr="00442AC4" w:rsidRDefault="00442AC4" w:rsidP="00442AC4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2"/>
          <w:szCs w:val="22"/>
        </w:rPr>
      </w:pPr>
      <w:r w:rsidRPr="00442AC4">
        <w:rPr>
          <w:rFonts w:ascii="Calibri" w:hAnsi="Calibri" w:cs="Calibri"/>
          <w:color w:val="000000"/>
          <w:sz w:val="22"/>
          <w:szCs w:val="22"/>
        </w:rPr>
        <w:t>Nilsson, L., Hellström, A., Wennerberg, C., Ekstedt, M. and Schildmeijer, K. (2020). Patients’ experiences of using an e-Health tool for self-management support after prostate cancer surgery: a deductive interview study explained through the FITT framework. </w:t>
      </w:r>
      <w:r w:rsidRPr="00442AC4">
        <w:rPr>
          <w:rFonts w:ascii="Calibri" w:hAnsi="Calibri" w:cs="Calibri"/>
          <w:i/>
          <w:iCs/>
          <w:color w:val="000000"/>
          <w:sz w:val="22"/>
          <w:szCs w:val="22"/>
        </w:rPr>
        <w:t>BMJ Open</w:t>
      </w:r>
      <w:r w:rsidRPr="00442AC4">
        <w:rPr>
          <w:rFonts w:ascii="Calibri" w:hAnsi="Calibri" w:cs="Calibri"/>
          <w:color w:val="000000"/>
          <w:sz w:val="22"/>
          <w:szCs w:val="22"/>
        </w:rPr>
        <w:t>, 10(6), p.e035024. doi:10.1136/bmjopen-2019-035024.</w:t>
      </w:r>
    </w:p>
    <w:p w14:paraId="0A4ED4DC" w14:textId="6C764D84" w:rsidR="007E5F1E" w:rsidRPr="00442AC4" w:rsidRDefault="00442AC4" w:rsidP="00956310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  <w:r w:rsidR="007E5F1E" w:rsidRPr="007E5F1E">
        <w:rPr>
          <w:rFonts w:ascii="Calibri" w:hAnsi="Calibri" w:cs="Calibri"/>
          <w:color w:val="000000"/>
          <w:sz w:val="22"/>
          <w:szCs w:val="22"/>
        </w:rPr>
        <w:t>Ockenden, D. (2022) </w:t>
      </w:r>
      <w:r w:rsidR="007E5F1E" w:rsidRPr="007E5F1E">
        <w:rPr>
          <w:rFonts w:ascii="Calibri" w:hAnsi="Calibri" w:cs="Calibri"/>
          <w:i/>
          <w:iCs/>
          <w:color w:val="000000"/>
          <w:sz w:val="22"/>
          <w:szCs w:val="22"/>
        </w:rPr>
        <w:t>Final report of the Ockenden review</w:t>
      </w:r>
      <w:r w:rsidR="007E5F1E" w:rsidRPr="007E5F1E">
        <w:rPr>
          <w:rFonts w:ascii="Calibri" w:hAnsi="Calibri" w:cs="Calibri"/>
          <w:color w:val="000000"/>
          <w:sz w:val="22"/>
          <w:szCs w:val="22"/>
        </w:rPr>
        <w:t>, </w:t>
      </w:r>
      <w:r w:rsidR="007E5F1E" w:rsidRPr="007E5F1E">
        <w:rPr>
          <w:rFonts w:ascii="Calibri" w:hAnsi="Calibri" w:cs="Calibri"/>
          <w:i/>
          <w:iCs/>
          <w:color w:val="000000"/>
          <w:sz w:val="22"/>
          <w:szCs w:val="22"/>
        </w:rPr>
        <w:t>GOV.UK</w:t>
      </w:r>
      <w:r w:rsidR="007E5F1E" w:rsidRPr="007E5F1E">
        <w:rPr>
          <w:rFonts w:ascii="Calibri" w:hAnsi="Calibri" w:cs="Calibri"/>
          <w:color w:val="000000"/>
          <w:sz w:val="22"/>
          <w:szCs w:val="22"/>
        </w:rPr>
        <w:t xml:space="preserve">. Available at: </w:t>
      </w:r>
      <w:hyperlink r:id="rId4" w:history="1">
        <w:r w:rsidR="0045644C" w:rsidRPr="0067489A">
          <w:rPr>
            <w:rStyle w:val="Hyperlink"/>
            <w:rFonts w:ascii="Calibri" w:hAnsi="Calibri" w:cs="Calibri"/>
            <w:sz w:val="22"/>
            <w:szCs w:val="22"/>
          </w:rPr>
          <w:t>https://www.gov.uk/government/publications/final-report-of-the-ockenden-review</w:t>
        </w:r>
      </w:hyperlink>
      <w:r w:rsidR="007E5F1E" w:rsidRPr="007E5F1E">
        <w:rPr>
          <w:rFonts w:ascii="Calibri" w:hAnsi="Calibri" w:cs="Calibri"/>
          <w:color w:val="000000"/>
          <w:sz w:val="22"/>
          <w:szCs w:val="22"/>
        </w:rPr>
        <w:t>.</w:t>
      </w:r>
      <w:r w:rsidR="0045644C">
        <w:rPr>
          <w:rFonts w:ascii="Calibri" w:hAnsi="Calibri" w:cs="Calibri"/>
          <w:color w:val="000000"/>
          <w:sz w:val="22"/>
          <w:szCs w:val="22"/>
        </w:rPr>
        <w:t xml:space="preserve"> [Accessed 1 Feb. 2023]</w:t>
      </w:r>
    </w:p>
    <w:p w14:paraId="02AAACC5" w14:textId="205ADF35" w:rsidR="0095795E" w:rsidRPr="0045644C" w:rsidRDefault="007E5F1E" w:rsidP="0095795E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  <w:r w:rsidR="0095795E">
        <w:rPr>
          <w:rFonts w:ascii="Calibri" w:hAnsi="Calibri" w:cs="Calibri"/>
          <w:color w:val="000000"/>
          <w:sz w:val="22"/>
          <w:szCs w:val="22"/>
        </w:rPr>
        <w:t>P</w:t>
      </w:r>
      <w:r w:rsidR="0095795E" w:rsidRPr="0095795E">
        <w:rPr>
          <w:rFonts w:ascii="Calibri" w:hAnsi="Calibri" w:cs="Calibri"/>
          <w:color w:val="000000"/>
          <w:sz w:val="22"/>
          <w:szCs w:val="22"/>
        </w:rPr>
        <w:t>ham, J.C., Girard, T. and Pronovost, P.J. (2013). What to do with healthcare Incident Reporting Systems. </w:t>
      </w:r>
      <w:r w:rsidR="0095795E" w:rsidRPr="0095795E">
        <w:rPr>
          <w:rFonts w:ascii="Calibri" w:hAnsi="Calibri" w:cs="Calibri"/>
          <w:i/>
          <w:iCs/>
          <w:color w:val="000000"/>
          <w:sz w:val="22"/>
          <w:szCs w:val="22"/>
        </w:rPr>
        <w:t>Journal of Public Health Research</w:t>
      </w:r>
      <w:r w:rsidR="0095795E" w:rsidRPr="0095795E">
        <w:rPr>
          <w:rFonts w:ascii="Calibri" w:hAnsi="Calibri" w:cs="Calibri"/>
          <w:color w:val="000000"/>
          <w:sz w:val="22"/>
          <w:szCs w:val="22"/>
        </w:rPr>
        <w:t>, [online] 2(3), p.27. doi:10.4081/jphr.2013.e27.</w:t>
      </w:r>
    </w:p>
    <w:p w14:paraId="0B6B6149" w14:textId="5BAFC626" w:rsidR="000D0279" w:rsidRDefault="000D0279" w:rsidP="007E5F1E">
      <w:pPr>
        <w:pStyle w:val="NormalWeb"/>
        <w:rPr>
          <w:rFonts w:ascii="Calibri" w:hAnsi="Calibri" w:cs="Calibri"/>
          <w:color w:val="000000"/>
          <w:sz w:val="22"/>
          <w:szCs w:val="22"/>
        </w:rPr>
      </w:pPr>
      <w:r w:rsidRPr="000D0279">
        <w:rPr>
          <w:rFonts w:ascii="Calibri" w:hAnsi="Calibri" w:cs="Calibri"/>
          <w:color w:val="000000"/>
          <w:sz w:val="22"/>
          <w:szCs w:val="22"/>
        </w:rPr>
        <w:t>Public Health England (2022). </w:t>
      </w:r>
      <w:r w:rsidRPr="000D0279">
        <w:rPr>
          <w:rFonts w:ascii="Calibri" w:hAnsi="Calibri" w:cs="Calibri"/>
          <w:i/>
          <w:iCs/>
          <w:color w:val="000000"/>
          <w:sz w:val="22"/>
          <w:szCs w:val="22"/>
        </w:rPr>
        <w:t>Clinical governance</w:t>
      </w:r>
      <w:r w:rsidRPr="000D0279">
        <w:rPr>
          <w:rFonts w:ascii="Calibri" w:hAnsi="Calibri" w:cs="Calibri"/>
          <w:color w:val="000000"/>
          <w:sz w:val="22"/>
          <w:szCs w:val="22"/>
        </w:rPr>
        <w:t xml:space="preserve">. [online] GOV.UK. Available at: </w:t>
      </w:r>
      <w:hyperlink r:id="rId5" w:history="1">
        <w:r w:rsidR="004B5C3E" w:rsidRPr="0067489A">
          <w:rPr>
            <w:rStyle w:val="Hyperlink"/>
            <w:rFonts w:ascii="Calibri" w:hAnsi="Calibri" w:cs="Calibri"/>
            <w:sz w:val="22"/>
            <w:szCs w:val="22"/>
          </w:rPr>
          <w:t>https://www.gov.uk/government/publications/newborn-hearing-screening-programme-nhsp-operational-guidance/4-clinical-governance</w:t>
        </w:r>
      </w:hyperlink>
      <w:r w:rsidRPr="000D0279">
        <w:rPr>
          <w:rFonts w:ascii="Calibri" w:hAnsi="Calibri" w:cs="Calibri"/>
          <w:color w:val="000000"/>
          <w:sz w:val="22"/>
          <w:szCs w:val="22"/>
        </w:rPr>
        <w:t>.</w:t>
      </w:r>
      <w:r w:rsidR="0045644C">
        <w:rPr>
          <w:rFonts w:ascii="Calibri" w:hAnsi="Calibri" w:cs="Calibri"/>
          <w:color w:val="000000"/>
          <w:sz w:val="22"/>
          <w:szCs w:val="22"/>
        </w:rPr>
        <w:t xml:space="preserve"> [Accessed 2 Feb. 2023]</w:t>
      </w:r>
    </w:p>
    <w:p w14:paraId="4A70909A" w14:textId="760796E4" w:rsidR="004B5C3E" w:rsidRDefault="004B5C3E" w:rsidP="007E5F1E">
      <w:pPr>
        <w:pStyle w:val="NormalWeb"/>
        <w:rPr>
          <w:rFonts w:ascii="Calibri" w:hAnsi="Calibri" w:cs="Calibri"/>
          <w:color w:val="000000"/>
          <w:sz w:val="22"/>
          <w:szCs w:val="22"/>
        </w:rPr>
      </w:pPr>
      <w:r w:rsidRPr="004B5C3E">
        <w:rPr>
          <w:rFonts w:ascii="Calibri" w:hAnsi="Calibri" w:cs="Calibri"/>
          <w:color w:val="000000"/>
          <w:sz w:val="22"/>
          <w:szCs w:val="22"/>
        </w:rPr>
        <w:lastRenderedPageBreak/>
        <w:t>‌Royal College of Midwives (2021). </w:t>
      </w:r>
      <w:r w:rsidRPr="004B5C3E">
        <w:rPr>
          <w:rFonts w:ascii="Calibri" w:hAnsi="Calibri" w:cs="Calibri"/>
          <w:i/>
          <w:iCs/>
          <w:color w:val="000000"/>
          <w:sz w:val="22"/>
          <w:szCs w:val="22"/>
        </w:rPr>
        <w:t>RCM warns of midwife exodus as maternity staffing crisis grows</w:t>
      </w:r>
      <w:r w:rsidRPr="004B5C3E">
        <w:rPr>
          <w:rFonts w:ascii="Calibri" w:hAnsi="Calibri" w:cs="Calibri"/>
          <w:color w:val="000000"/>
          <w:sz w:val="22"/>
          <w:szCs w:val="22"/>
        </w:rPr>
        <w:t xml:space="preserve">. [online] RCM. Available at: </w:t>
      </w:r>
      <w:hyperlink r:id="rId6" w:history="1">
        <w:r w:rsidRPr="004B5C3E">
          <w:rPr>
            <w:rStyle w:val="Hyperlink"/>
            <w:rFonts w:ascii="Calibri" w:hAnsi="Calibri" w:cs="Calibri"/>
            <w:sz w:val="22"/>
            <w:szCs w:val="22"/>
          </w:rPr>
          <w:t>https://www.rcm.org.uk/media-releases/2021/september/rcm-warns-of-midwife-exodus-as-maternity-staffing-crisis-grows/</w:t>
        </w:r>
      </w:hyperlink>
      <w:r w:rsidRPr="004B5C3E">
        <w:rPr>
          <w:rFonts w:ascii="Calibri" w:hAnsi="Calibri" w:cs="Calibri"/>
          <w:color w:val="000000"/>
          <w:sz w:val="22"/>
          <w:szCs w:val="22"/>
        </w:rPr>
        <w:t xml:space="preserve">. [Accessed </w:t>
      </w:r>
      <w:r w:rsidRPr="004B5C3E">
        <w:rPr>
          <w:rFonts w:ascii="Calibri" w:hAnsi="Calibri" w:cs="Calibri"/>
          <w:color w:val="000000"/>
          <w:sz w:val="22"/>
          <w:szCs w:val="22"/>
        </w:rPr>
        <w:t>2</w:t>
      </w:r>
      <w:r w:rsidRPr="004B5C3E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4B5C3E">
        <w:rPr>
          <w:rFonts w:ascii="Calibri" w:hAnsi="Calibri" w:cs="Calibri"/>
          <w:color w:val="000000"/>
          <w:sz w:val="22"/>
          <w:szCs w:val="22"/>
        </w:rPr>
        <w:t>Feb</w:t>
      </w:r>
      <w:r w:rsidRPr="004B5C3E">
        <w:rPr>
          <w:rFonts w:ascii="Calibri" w:hAnsi="Calibri" w:cs="Calibri"/>
          <w:color w:val="000000"/>
          <w:sz w:val="22"/>
          <w:szCs w:val="22"/>
        </w:rPr>
        <w:t>. 202</w:t>
      </w:r>
      <w:r w:rsidRPr="004B5C3E">
        <w:rPr>
          <w:rFonts w:ascii="Calibri" w:hAnsi="Calibri" w:cs="Calibri"/>
          <w:color w:val="000000"/>
          <w:sz w:val="22"/>
          <w:szCs w:val="22"/>
        </w:rPr>
        <w:t>3</w:t>
      </w:r>
      <w:r w:rsidRPr="004B5C3E">
        <w:rPr>
          <w:rFonts w:ascii="Calibri" w:hAnsi="Calibri" w:cs="Calibri"/>
          <w:color w:val="000000"/>
          <w:sz w:val="22"/>
          <w:szCs w:val="22"/>
        </w:rPr>
        <w:t>].</w:t>
      </w:r>
    </w:p>
    <w:p w14:paraId="26922445" w14:textId="77777777" w:rsidR="00D248CE" w:rsidRPr="00D248CE" w:rsidRDefault="00D248CE" w:rsidP="00D248CE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2"/>
          <w:szCs w:val="22"/>
        </w:rPr>
      </w:pPr>
      <w:r w:rsidRPr="00D248CE">
        <w:rPr>
          <w:rFonts w:ascii="Calibri" w:hAnsi="Calibri" w:cs="Calibri"/>
          <w:color w:val="000000"/>
          <w:sz w:val="22"/>
          <w:szCs w:val="22"/>
        </w:rPr>
        <w:t>Walsh, P. (2015). Clinical negligence litigation – Is there a better way? </w:t>
      </w:r>
      <w:r w:rsidRPr="00D248CE">
        <w:rPr>
          <w:rFonts w:ascii="Calibri" w:hAnsi="Calibri" w:cs="Calibri"/>
          <w:i/>
          <w:iCs/>
          <w:color w:val="000000"/>
          <w:sz w:val="22"/>
          <w:szCs w:val="22"/>
        </w:rPr>
        <w:t>Clinical Risk</w:t>
      </w:r>
      <w:r w:rsidRPr="00D248CE">
        <w:rPr>
          <w:rFonts w:ascii="Calibri" w:hAnsi="Calibri" w:cs="Calibri"/>
          <w:color w:val="000000"/>
          <w:sz w:val="22"/>
          <w:szCs w:val="22"/>
        </w:rPr>
        <w:t>, 21(6), pp.105–105. doi:10.1177/1356262216659205.</w:t>
      </w:r>
    </w:p>
    <w:p w14:paraId="4F8632FF" w14:textId="77777777" w:rsidR="00D248CE" w:rsidRDefault="00D248CE" w:rsidP="00D248CE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48F16581" w14:textId="77777777" w:rsidR="00D248CE" w:rsidRPr="004B5C3E" w:rsidRDefault="00D248CE" w:rsidP="007E5F1E">
      <w:pPr>
        <w:pStyle w:val="NormalWeb"/>
        <w:rPr>
          <w:rFonts w:ascii="Calibri" w:hAnsi="Calibri" w:cs="Calibri"/>
          <w:color w:val="000000"/>
          <w:sz w:val="22"/>
          <w:szCs w:val="22"/>
        </w:rPr>
      </w:pPr>
    </w:p>
    <w:p w14:paraId="317FEA83" w14:textId="77777777" w:rsidR="000D0279" w:rsidRDefault="000D0279" w:rsidP="000D0279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360CA412" w14:textId="77777777" w:rsidR="000D0279" w:rsidRPr="00664BD5" w:rsidRDefault="000D0279" w:rsidP="00664BD5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2"/>
          <w:szCs w:val="22"/>
        </w:rPr>
      </w:pPr>
    </w:p>
    <w:p w14:paraId="05FA3BB8" w14:textId="77777777" w:rsidR="00664BD5" w:rsidRPr="00664BD5" w:rsidRDefault="00664BD5" w:rsidP="00664BD5">
      <w:pPr>
        <w:pStyle w:val="NormalWeb"/>
        <w:rPr>
          <w:rFonts w:ascii="Calibri" w:hAnsi="Calibri" w:cs="Calibri"/>
          <w:color w:val="000000"/>
          <w:sz w:val="22"/>
          <w:szCs w:val="22"/>
        </w:rPr>
      </w:pPr>
      <w:r w:rsidRPr="00664BD5">
        <w:rPr>
          <w:rFonts w:ascii="Calibri" w:hAnsi="Calibri" w:cs="Calibri"/>
          <w:color w:val="000000"/>
          <w:sz w:val="22"/>
          <w:szCs w:val="22"/>
        </w:rPr>
        <w:t>‌</w:t>
      </w:r>
    </w:p>
    <w:p w14:paraId="32E6EC4A" w14:textId="77777777" w:rsidR="00664BD5" w:rsidRPr="00664BD5" w:rsidRDefault="00664BD5"/>
    <w:sectPr w:rsidR="00664BD5" w:rsidRPr="00664B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F50"/>
    <w:rsid w:val="00003150"/>
    <w:rsid w:val="00014B63"/>
    <w:rsid w:val="00022AE4"/>
    <w:rsid w:val="00053A5B"/>
    <w:rsid w:val="000816B4"/>
    <w:rsid w:val="00087DA7"/>
    <w:rsid w:val="00091688"/>
    <w:rsid w:val="000A025D"/>
    <w:rsid w:val="000A2781"/>
    <w:rsid w:val="000A5047"/>
    <w:rsid w:val="000B5F98"/>
    <w:rsid w:val="000C5BCE"/>
    <w:rsid w:val="000D0279"/>
    <w:rsid w:val="000D3E8F"/>
    <w:rsid w:val="000F71E9"/>
    <w:rsid w:val="00110BD6"/>
    <w:rsid w:val="00123E8B"/>
    <w:rsid w:val="00135655"/>
    <w:rsid w:val="00142CCB"/>
    <w:rsid w:val="00155F21"/>
    <w:rsid w:val="00163406"/>
    <w:rsid w:val="001634C9"/>
    <w:rsid w:val="0016507E"/>
    <w:rsid w:val="00170CC5"/>
    <w:rsid w:val="00186344"/>
    <w:rsid w:val="001A064E"/>
    <w:rsid w:val="001B0F97"/>
    <w:rsid w:val="001B4328"/>
    <w:rsid w:val="001D26A2"/>
    <w:rsid w:val="001E7A7B"/>
    <w:rsid w:val="002000EC"/>
    <w:rsid w:val="00224680"/>
    <w:rsid w:val="00250CA0"/>
    <w:rsid w:val="00253893"/>
    <w:rsid w:val="002604B1"/>
    <w:rsid w:val="00264F49"/>
    <w:rsid w:val="00266468"/>
    <w:rsid w:val="00274662"/>
    <w:rsid w:val="00282071"/>
    <w:rsid w:val="002827AA"/>
    <w:rsid w:val="002851D4"/>
    <w:rsid w:val="002933C4"/>
    <w:rsid w:val="002A77AA"/>
    <w:rsid w:val="002B155F"/>
    <w:rsid w:val="002B359C"/>
    <w:rsid w:val="002C5B83"/>
    <w:rsid w:val="002F5FC1"/>
    <w:rsid w:val="002F6A82"/>
    <w:rsid w:val="00303884"/>
    <w:rsid w:val="00310ECD"/>
    <w:rsid w:val="003351C6"/>
    <w:rsid w:val="003400A5"/>
    <w:rsid w:val="00340609"/>
    <w:rsid w:val="00360287"/>
    <w:rsid w:val="00381EA2"/>
    <w:rsid w:val="00381ED9"/>
    <w:rsid w:val="00383E0D"/>
    <w:rsid w:val="0039180D"/>
    <w:rsid w:val="003A6764"/>
    <w:rsid w:val="003E151C"/>
    <w:rsid w:val="003E39FB"/>
    <w:rsid w:val="003E64CA"/>
    <w:rsid w:val="0041721E"/>
    <w:rsid w:val="00417523"/>
    <w:rsid w:val="00425798"/>
    <w:rsid w:val="0043447D"/>
    <w:rsid w:val="0043649F"/>
    <w:rsid w:val="00442AC4"/>
    <w:rsid w:val="0045644C"/>
    <w:rsid w:val="00463739"/>
    <w:rsid w:val="0047678C"/>
    <w:rsid w:val="004850BF"/>
    <w:rsid w:val="00486A26"/>
    <w:rsid w:val="00486D14"/>
    <w:rsid w:val="00496DC6"/>
    <w:rsid w:val="004A0A33"/>
    <w:rsid w:val="004A7495"/>
    <w:rsid w:val="004B4CA8"/>
    <w:rsid w:val="004B5C3E"/>
    <w:rsid w:val="004C33CA"/>
    <w:rsid w:val="004D4DDA"/>
    <w:rsid w:val="004D6EAE"/>
    <w:rsid w:val="004E3241"/>
    <w:rsid w:val="00501FC8"/>
    <w:rsid w:val="005103AF"/>
    <w:rsid w:val="00510903"/>
    <w:rsid w:val="00512280"/>
    <w:rsid w:val="005263F6"/>
    <w:rsid w:val="00536239"/>
    <w:rsid w:val="00542A6C"/>
    <w:rsid w:val="00554984"/>
    <w:rsid w:val="005653D3"/>
    <w:rsid w:val="00573E21"/>
    <w:rsid w:val="00597EC8"/>
    <w:rsid w:val="005A2F64"/>
    <w:rsid w:val="005A32B5"/>
    <w:rsid w:val="005A799A"/>
    <w:rsid w:val="005B22D7"/>
    <w:rsid w:val="005F172E"/>
    <w:rsid w:val="00601138"/>
    <w:rsid w:val="00624B0F"/>
    <w:rsid w:val="00644450"/>
    <w:rsid w:val="00664BD5"/>
    <w:rsid w:val="006732D9"/>
    <w:rsid w:val="00676670"/>
    <w:rsid w:val="00676AAD"/>
    <w:rsid w:val="006775A6"/>
    <w:rsid w:val="006A58D1"/>
    <w:rsid w:val="006C1103"/>
    <w:rsid w:val="006C67A4"/>
    <w:rsid w:val="006D1396"/>
    <w:rsid w:val="006D6A47"/>
    <w:rsid w:val="006D6DA9"/>
    <w:rsid w:val="006F1199"/>
    <w:rsid w:val="006F1C54"/>
    <w:rsid w:val="00705681"/>
    <w:rsid w:val="0072220B"/>
    <w:rsid w:val="007479DD"/>
    <w:rsid w:val="00764B1F"/>
    <w:rsid w:val="007748C4"/>
    <w:rsid w:val="00797213"/>
    <w:rsid w:val="007A2281"/>
    <w:rsid w:val="007A2312"/>
    <w:rsid w:val="007C2EA0"/>
    <w:rsid w:val="007C427B"/>
    <w:rsid w:val="007D3F50"/>
    <w:rsid w:val="007D45CD"/>
    <w:rsid w:val="007E5F1E"/>
    <w:rsid w:val="007E7457"/>
    <w:rsid w:val="007F1B96"/>
    <w:rsid w:val="007F25CC"/>
    <w:rsid w:val="007F4195"/>
    <w:rsid w:val="00801EEB"/>
    <w:rsid w:val="00804477"/>
    <w:rsid w:val="00837280"/>
    <w:rsid w:val="0084006B"/>
    <w:rsid w:val="00840D12"/>
    <w:rsid w:val="00854C95"/>
    <w:rsid w:val="00862527"/>
    <w:rsid w:val="008A25BE"/>
    <w:rsid w:val="008A4782"/>
    <w:rsid w:val="008C577E"/>
    <w:rsid w:val="008C709E"/>
    <w:rsid w:val="008D26A7"/>
    <w:rsid w:val="008E1EC6"/>
    <w:rsid w:val="008F70AC"/>
    <w:rsid w:val="009007E6"/>
    <w:rsid w:val="0092284B"/>
    <w:rsid w:val="00930C8C"/>
    <w:rsid w:val="00956266"/>
    <w:rsid w:val="00956310"/>
    <w:rsid w:val="0095795E"/>
    <w:rsid w:val="009628C6"/>
    <w:rsid w:val="00980ECB"/>
    <w:rsid w:val="00986FCD"/>
    <w:rsid w:val="009C1BE9"/>
    <w:rsid w:val="009C38D7"/>
    <w:rsid w:val="009D32B2"/>
    <w:rsid w:val="009D4A08"/>
    <w:rsid w:val="00A0772B"/>
    <w:rsid w:val="00A16CAF"/>
    <w:rsid w:val="00A44AF1"/>
    <w:rsid w:val="00A454F6"/>
    <w:rsid w:val="00A53231"/>
    <w:rsid w:val="00A84701"/>
    <w:rsid w:val="00AA0FA2"/>
    <w:rsid w:val="00AA691D"/>
    <w:rsid w:val="00AC6E97"/>
    <w:rsid w:val="00AE0B5D"/>
    <w:rsid w:val="00AE6070"/>
    <w:rsid w:val="00AE64B6"/>
    <w:rsid w:val="00B23B98"/>
    <w:rsid w:val="00B54038"/>
    <w:rsid w:val="00B56658"/>
    <w:rsid w:val="00B75844"/>
    <w:rsid w:val="00BA2A5B"/>
    <w:rsid w:val="00BA40CE"/>
    <w:rsid w:val="00BD0C1B"/>
    <w:rsid w:val="00BE37AC"/>
    <w:rsid w:val="00BE3A9B"/>
    <w:rsid w:val="00BF3365"/>
    <w:rsid w:val="00BF4E89"/>
    <w:rsid w:val="00C05990"/>
    <w:rsid w:val="00C346C3"/>
    <w:rsid w:val="00C44B68"/>
    <w:rsid w:val="00C824B0"/>
    <w:rsid w:val="00C9414D"/>
    <w:rsid w:val="00CA3B1E"/>
    <w:rsid w:val="00CB325F"/>
    <w:rsid w:val="00CB53EF"/>
    <w:rsid w:val="00CC7ED5"/>
    <w:rsid w:val="00CD1D33"/>
    <w:rsid w:val="00CF1F1C"/>
    <w:rsid w:val="00D248CE"/>
    <w:rsid w:val="00D26BC2"/>
    <w:rsid w:val="00D446F4"/>
    <w:rsid w:val="00D54709"/>
    <w:rsid w:val="00D73027"/>
    <w:rsid w:val="00D76F70"/>
    <w:rsid w:val="00DA1482"/>
    <w:rsid w:val="00DA67A6"/>
    <w:rsid w:val="00DC46A8"/>
    <w:rsid w:val="00DF1FD1"/>
    <w:rsid w:val="00E04882"/>
    <w:rsid w:val="00E33AD9"/>
    <w:rsid w:val="00E40185"/>
    <w:rsid w:val="00E444F1"/>
    <w:rsid w:val="00E57746"/>
    <w:rsid w:val="00E65B81"/>
    <w:rsid w:val="00E65FAB"/>
    <w:rsid w:val="00E8625C"/>
    <w:rsid w:val="00E92809"/>
    <w:rsid w:val="00EA69CC"/>
    <w:rsid w:val="00EF4F79"/>
    <w:rsid w:val="00F11016"/>
    <w:rsid w:val="00F525E0"/>
    <w:rsid w:val="00F549B4"/>
    <w:rsid w:val="00F61065"/>
    <w:rsid w:val="00F73B28"/>
    <w:rsid w:val="00F826C3"/>
    <w:rsid w:val="00F92EE7"/>
    <w:rsid w:val="00F9616D"/>
    <w:rsid w:val="00FB4F31"/>
    <w:rsid w:val="00FB5EAD"/>
    <w:rsid w:val="00FB6D06"/>
    <w:rsid w:val="00FD1E87"/>
    <w:rsid w:val="00FD6243"/>
    <w:rsid w:val="00FD681A"/>
    <w:rsid w:val="00FF001F"/>
    <w:rsid w:val="00FF5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963F51"/>
  <w15:chartTrackingRefBased/>
  <w15:docId w15:val="{F0395AB5-EAD4-4920-A38C-D9B3AA56F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64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64B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B5C3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5C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0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9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0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rcm.org.uk/media-releases/2021/september/rcm-warns-of-midwife-exodus-as-maternity-staffing-crisis-grows/" TargetMode="External"/><Relationship Id="rId5" Type="http://schemas.openxmlformats.org/officeDocument/2006/relationships/hyperlink" Target="https://www.gov.uk/government/publications/newborn-hearing-screening-programme-nhsp-operational-guidance/4-clinical-governance" TargetMode="External"/><Relationship Id="rId4" Type="http://schemas.openxmlformats.org/officeDocument/2006/relationships/hyperlink" Target="https://www.gov.uk/government/publications/final-report-of-the-ockenden-revie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8189</TotalTime>
  <Pages>4</Pages>
  <Words>1114</Words>
  <Characters>6351</Characters>
  <Application>Microsoft Office Word</Application>
  <DocSecurity>0</DocSecurity>
  <Lines>52</Lines>
  <Paragraphs>14</Paragraphs>
  <ScaleCrop>false</ScaleCrop>
  <Company/>
  <LinksUpToDate>false</LinksUpToDate>
  <CharactersWithSpaces>7451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 Holt</dc:creator>
  <cp:keywords/>
  <dc:description/>
  <cp:lastModifiedBy>Fran Holt</cp:lastModifiedBy>
  <cp:revision>229</cp:revision>
  <dcterms:created xsi:type="dcterms:W3CDTF">2023-01-27T18:54:00Z</dcterms:created>
  <dcterms:modified xsi:type="dcterms:W3CDTF">2023-02-02T21:05:00Z</dcterms:modified>
</cp:coreProperties>
</file>