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4132C7" w14:textId="50C3CFFB" w:rsidR="009247BA" w:rsidRDefault="00F31900" w:rsidP="009247BA">
      <w:pPr>
        <w:spacing w:line="360" w:lineRule="auto"/>
        <w:rPr>
          <w:rFonts w:ascii="Times New Roman" w:hAnsi="Times New Roman" w:cs="Times New Roman"/>
          <w:b/>
          <w:bCs/>
          <w:sz w:val="28"/>
          <w:szCs w:val="28"/>
        </w:rPr>
      </w:pPr>
      <w:r w:rsidRPr="00F31900">
        <w:rPr>
          <w:rFonts w:ascii="Times New Roman" w:hAnsi="Times New Roman" w:cs="Times New Roman"/>
          <w:b/>
          <w:bCs/>
          <w:sz w:val="28"/>
          <w:szCs w:val="28"/>
        </w:rPr>
        <w:t>To what extent did the First World War act as a catalyst for economic, social and political change in Wales?</w:t>
      </w:r>
    </w:p>
    <w:p w14:paraId="55C15745" w14:textId="77777777" w:rsidR="00B1789D" w:rsidRPr="00B1789D" w:rsidRDefault="00B1789D" w:rsidP="00B1789D">
      <w:pPr>
        <w:spacing w:line="360" w:lineRule="auto"/>
        <w:rPr>
          <w:rFonts w:ascii="Times New Roman" w:hAnsi="Times New Roman" w:cs="Times New Roman"/>
        </w:rPr>
      </w:pPr>
    </w:p>
    <w:p w14:paraId="753DD7BE" w14:textId="097234B9" w:rsidR="00B1789D" w:rsidRPr="00B1789D" w:rsidRDefault="00F27BCE" w:rsidP="00B1789D">
      <w:pPr>
        <w:spacing w:line="360" w:lineRule="auto"/>
        <w:rPr>
          <w:rFonts w:ascii="Times New Roman" w:hAnsi="Times New Roman" w:cs="Times New Roman"/>
        </w:rPr>
      </w:pPr>
      <w:r>
        <w:rPr>
          <w:rFonts w:ascii="Times New Roman" w:hAnsi="Times New Roman" w:cs="Times New Roman"/>
        </w:rPr>
        <w:t xml:space="preserve">   </w:t>
      </w:r>
      <w:r w:rsidR="00B1789D" w:rsidRPr="00B1789D">
        <w:rPr>
          <w:rFonts w:ascii="Times New Roman" w:hAnsi="Times New Roman" w:cs="Times New Roman"/>
        </w:rPr>
        <w:t>In August 1914, as Europe descended into war, Wales sent over 270,000 men, nearly one in five of its male population, o the frontlines, a staggering contribution from a small nation. This sacrifice, coupled with the industrial fervor that saw South Wales’ coalfields churn out millions of tons of coal to fuel the war effort, underscores the First World War’s profound impact on Welsh life. Before 1914, Wales stood at a crossroads: its economy based on coal, steel, and slate; its society shaped by Nonconformist faith and rigid class divides; and its politics dominated by Liberalism amid faint stirrings of national identity. The war, however, thrust these foundations in disarray, raising the question: to what extent did it serve as a catalyst for enduring change? This essay argues that the First World War significantly but unevenly transformed Wales, accelerating economic shifts, reshaping social structures, and redirecting political ideas, though its effects were often amplifications of pre-existing trends rather than wholly new departures. Drawing on works like Morgan’s Rebirth of a Nation, Williams’ analysis of the coalfields, and Brooks’ exploration of Welsh nationalism, this essay examines these dimensions in turn. By assessing the war’s economic boom and bust, its social upheavals, and its political realignments, it reveals Wales both inspired and constrained at the same time by the global conflict, offering insight into the war’s complex legacy in a peripheral yet pivotal region.</w:t>
      </w:r>
    </w:p>
    <w:p w14:paraId="7D170B67" w14:textId="5323E456" w:rsidR="00B1789D" w:rsidRPr="00B1789D" w:rsidRDefault="00B1789D" w:rsidP="00B1789D">
      <w:pPr>
        <w:spacing w:line="360" w:lineRule="auto"/>
        <w:rPr>
          <w:rFonts w:ascii="Times New Roman" w:hAnsi="Times New Roman" w:cs="Times New Roman"/>
        </w:rPr>
      </w:pPr>
      <w:r w:rsidRPr="00B1789D">
        <w:rPr>
          <w:rFonts w:ascii="Times New Roman" w:hAnsi="Times New Roman" w:cs="Times New Roman"/>
        </w:rPr>
        <w:t xml:space="preserve">Before the First World War, Wales’ economy was a study in specialization and vulnerability. The South Wales coalfield, a powerhouse of industrial Britain, dominated the nation’s economic landscape, producing 56 million tons of coal in 1913 alone, as noted by Kenneth O. Morgan in </w:t>
      </w:r>
      <w:r w:rsidR="00A12570">
        <w:rPr>
          <w:rFonts w:ascii="Times New Roman" w:hAnsi="Times New Roman" w:cs="Times New Roman"/>
        </w:rPr>
        <w:t>his book</w:t>
      </w:r>
      <w:r w:rsidRPr="00B1789D">
        <w:rPr>
          <w:rFonts w:ascii="Times New Roman" w:hAnsi="Times New Roman" w:cs="Times New Roman"/>
        </w:rPr>
        <w:t>.</w:t>
      </w:r>
      <w:r w:rsidR="00821573">
        <w:rPr>
          <w:rStyle w:val="FootnoteReference"/>
          <w:rFonts w:ascii="Times New Roman" w:hAnsi="Times New Roman" w:cs="Times New Roman"/>
        </w:rPr>
        <w:footnoteReference w:id="1"/>
      </w:r>
      <w:r w:rsidRPr="00B1789D">
        <w:rPr>
          <w:rFonts w:ascii="Times New Roman" w:hAnsi="Times New Roman" w:cs="Times New Roman"/>
        </w:rPr>
        <w:t xml:space="preserve"> This output fueled not only domestic needs but also Britain’s global trade, with coal exports increasing prosperity in towns like Cardiff and Swansea.</w:t>
      </w:r>
      <w:r w:rsidR="0040527F">
        <w:rPr>
          <w:rStyle w:val="FootnoteReference"/>
          <w:rFonts w:ascii="Times New Roman" w:hAnsi="Times New Roman" w:cs="Times New Roman"/>
        </w:rPr>
        <w:footnoteReference w:id="2"/>
      </w:r>
      <w:r w:rsidRPr="00B1789D">
        <w:rPr>
          <w:rFonts w:ascii="Times New Roman" w:hAnsi="Times New Roman" w:cs="Times New Roman"/>
        </w:rPr>
        <w:t xml:space="preserve"> Alongside coal, steel production in the south and slate quarrying in the north provided additional economic pillars, yet diversification remained limited. Chris Williams, in Capitalism, Community highlights the coalfield’s centrality, employ</w:t>
      </w:r>
      <w:r w:rsidR="00D9004F">
        <w:rPr>
          <w:rFonts w:ascii="Times New Roman" w:hAnsi="Times New Roman" w:cs="Times New Roman"/>
        </w:rPr>
        <w:t>ed</w:t>
      </w:r>
      <w:r w:rsidRPr="00B1789D">
        <w:rPr>
          <w:rFonts w:ascii="Times New Roman" w:hAnsi="Times New Roman" w:cs="Times New Roman"/>
        </w:rPr>
        <w:t xml:space="preserve"> over 2</w:t>
      </w:r>
      <w:r w:rsidR="00D9004F">
        <w:rPr>
          <w:rFonts w:ascii="Times New Roman" w:hAnsi="Times New Roman" w:cs="Times New Roman"/>
        </w:rPr>
        <w:t>08</w:t>
      </w:r>
      <w:r w:rsidRPr="00B1789D">
        <w:rPr>
          <w:rFonts w:ascii="Times New Roman" w:hAnsi="Times New Roman" w:cs="Times New Roman"/>
        </w:rPr>
        <w:t xml:space="preserve">,000 workers by the early 20th century, yet this reliance </w:t>
      </w:r>
      <w:r w:rsidRPr="00B1789D">
        <w:rPr>
          <w:rFonts w:ascii="Times New Roman" w:hAnsi="Times New Roman" w:cs="Times New Roman"/>
        </w:rPr>
        <w:lastRenderedPageBreak/>
        <w:t>on heavy industry left Wales exposed to fluctuations in international demand.</w:t>
      </w:r>
      <w:r w:rsidR="00D9004F">
        <w:rPr>
          <w:rStyle w:val="FootnoteReference"/>
          <w:rFonts w:ascii="Times New Roman" w:hAnsi="Times New Roman" w:cs="Times New Roman"/>
        </w:rPr>
        <w:footnoteReference w:id="3"/>
      </w:r>
      <w:r w:rsidRPr="00B1789D">
        <w:rPr>
          <w:rFonts w:ascii="Times New Roman" w:hAnsi="Times New Roman" w:cs="Times New Roman"/>
        </w:rPr>
        <w:t xml:space="preserve"> Rural areas, meanwhile, clung to an agrarian economy, creating a stark urban-rural divide. This pre-war structure, while robust, was fragile, setting the stage for the war’s disruptive influence.</w:t>
      </w:r>
    </w:p>
    <w:p w14:paraId="799B395C" w14:textId="4149A5ED" w:rsidR="00B1789D" w:rsidRPr="00B1789D" w:rsidRDefault="00B1789D" w:rsidP="00B1789D">
      <w:pPr>
        <w:spacing w:line="360" w:lineRule="auto"/>
        <w:rPr>
          <w:rFonts w:ascii="Times New Roman" w:hAnsi="Times New Roman" w:cs="Times New Roman"/>
        </w:rPr>
      </w:pPr>
      <w:r w:rsidRPr="00B1789D">
        <w:rPr>
          <w:rFonts w:ascii="Times New Roman" w:hAnsi="Times New Roman" w:cs="Times New Roman"/>
        </w:rPr>
        <w:t>The outbreak of war in 1914 transformed Wales into an industrial dynamo, albeit temporarily. The insatiable demand for coal, to power naval fleets, produce munitions, and sustain wartime logistics, sparked a production surge. Williams details how output peaked during the conflict, with the coalfield’s workforce stretched to its limits.</w:t>
      </w:r>
      <w:r w:rsidR="00E35CAC">
        <w:rPr>
          <w:rStyle w:val="FootnoteReference"/>
          <w:rFonts w:ascii="Times New Roman" w:hAnsi="Times New Roman" w:cs="Times New Roman"/>
        </w:rPr>
        <w:footnoteReference w:id="4"/>
      </w:r>
      <w:r w:rsidRPr="00B1789D">
        <w:rPr>
          <w:rFonts w:ascii="Times New Roman" w:hAnsi="Times New Roman" w:cs="Times New Roman"/>
        </w:rPr>
        <w:t xml:space="preserve"> By 1917, coal exports, though disrupted by U-boat campaigns, were supplemented by massive domestic requisitions, bolstering the Welsh economy</w:t>
      </w:r>
      <w:r w:rsidR="00DB6AB2">
        <w:rPr>
          <w:rFonts w:ascii="Times New Roman" w:hAnsi="Times New Roman" w:cs="Times New Roman"/>
        </w:rPr>
        <w:t>. The Great War played a</w:t>
      </w:r>
      <w:r w:rsidRPr="00B1789D">
        <w:rPr>
          <w:rFonts w:ascii="Times New Roman" w:hAnsi="Times New Roman" w:cs="Times New Roman"/>
        </w:rPr>
        <w:t xml:space="preserve"> role in integrating Wales more deeply into Britain’s war machine, with steelworks in Port Talbot and Swansea pivoting to shell production. Labor dynamics shifted dramatically: as men enlisted </w:t>
      </w:r>
      <w:r w:rsidRPr="00D9004F">
        <w:rPr>
          <w:rFonts w:ascii="Times New Roman" w:hAnsi="Times New Roman" w:cs="Times New Roman"/>
          <w:i/>
          <w:iCs/>
        </w:rPr>
        <w:t>en masse</w:t>
      </w:r>
      <w:r w:rsidRPr="00B1789D">
        <w:rPr>
          <w:rFonts w:ascii="Times New Roman" w:hAnsi="Times New Roman" w:cs="Times New Roman"/>
        </w:rPr>
        <w:t>, over 270,000 by 1918, women entered the workforce in unprecedented numbers, taking up roles in munitions factories and mines.</w:t>
      </w:r>
      <w:r w:rsidR="00FE56B4">
        <w:rPr>
          <w:rFonts w:ascii="Times New Roman" w:hAnsi="Times New Roman" w:cs="Times New Roman"/>
        </w:rPr>
        <w:t xml:space="preserve"> T</w:t>
      </w:r>
      <w:r w:rsidRPr="00B1789D">
        <w:rPr>
          <w:rFonts w:ascii="Times New Roman" w:hAnsi="Times New Roman" w:cs="Times New Roman"/>
        </w:rPr>
        <w:t>housands of Welsh women joined this industrial effort, a shift that temporarily altered the gendered division of labor. This wartime boom, however, was a double-edged sword: while it brought short-term prosperity, it masked underlying weaknesses, binding Wales ever tighter to a war-driven economy.</w:t>
      </w:r>
    </w:p>
    <w:p w14:paraId="1EDB5A97" w14:textId="06986FD9" w:rsidR="00892B13" w:rsidRDefault="00B1789D" w:rsidP="00892B13">
      <w:pPr>
        <w:spacing w:line="360" w:lineRule="auto"/>
        <w:rPr>
          <w:rFonts w:ascii="Times New Roman" w:hAnsi="Times New Roman" w:cs="Times New Roman"/>
        </w:rPr>
      </w:pPr>
      <w:r w:rsidRPr="00B1789D">
        <w:rPr>
          <w:rFonts w:ascii="Times New Roman" w:hAnsi="Times New Roman" w:cs="Times New Roman"/>
        </w:rPr>
        <w:t xml:space="preserve">The armistice of 1918 marked the beginning of a steep economic descent for Wales, revealing the war’s limits as a catalyst for sustainable change. The loss of wartime markets, particularly in Europe, where economies lay in ruins, coupled with competition from cheaper foreign coal, triggered a collapse in demand. </w:t>
      </w:r>
      <w:r w:rsidR="00892B13">
        <w:rPr>
          <w:rFonts w:ascii="Times New Roman" w:hAnsi="Times New Roman" w:cs="Times New Roman"/>
        </w:rPr>
        <w:t>“</w:t>
      </w:r>
      <w:r w:rsidR="00892B13" w:rsidRPr="00892B13">
        <w:rPr>
          <w:rFonts w:ascii="Times New Roman" w:hAnsi="Times New Roman" w:cs="Times New Roman"/>
        </w:rPr>
        <w:t>In 1926 Swansea Town enjoyed a record</w:t>
      </w:r>
      <w:r w:rsidR="00892B13">
        <w:rPr>
          <w:rFonts w:ascii="Times New Roman" w:hAnsi="Times New Roman" w:cs="Times New Roman"/>
        </w:rPr>
        <w:t xml:space="preserve"> </w:t>
      </w:r>
      <w:r w:rsidR="00892B13" w:rsidRPr="00892B13">
        <w:rPr>
          <w:rFonts w:ascii="Times New Roman" w:hAnsi="Times New Roman" w:cs="Times New Roman"/>
        </w:rPr>
        <w:t>income of over £33,000</w:t>
      </w:r>
      <w:r w:rsidR="00892B13">
        <w:rPr>
          <w:rFonts w:ascii="Times New Roman" w:hAnsi="Times New Roman" w:cs="Times New Roman"/>
        </w:rPr>
        <w:t>…” but by the early thirties the area was already in severe economic depression.</w:t>
      </w:r>
      <w:r w:rsidR="00892B13">
        <w:rPr>
          <w:rStyle w:val="FootnoteReference"/>
          <w:rFonts w:ascii="Times New Roman" w:hAnsi="Times New Roman" w:cs="Times New Roman"/>
        </w:rPr>
        <w:footnoteReference w:id="5"/>
      </w:r>
      <w:r w:rsidR="00892B13" w:rsidRPr="00892B13">
        <w:rPr>
          <w:rFonts w:ascii="Times New Roman" w:hAnsi="Times New Roman" w:cs="Times New Roman"/>
        </w:rPr>
        <w:t xml:space="preserve"> </w:t>
      </w:r>
    </w:p>
    <w:p w14:paraId="7CE3F26A" w14:textId="1E63EE1A" w:rsidR="00FF3164" w:rsidRDefault="00B1789D" w:rsidP="005B1D56">
      <w:pPr>
        <w:spacing w:line="360" w:lineRule="auto"/>
        <w:rPr>
          <w:rFonts w:ascii="Times New Roman" w:hAnsi="Times New Roman" w:cs="Times New Roman"/>
        </w:rPr>
      </w:pPr>
      <w:r w:rsidRPr="00B1789D">
        <w:rPr>
          <w:rFonts w:ascii="Times New Roman" w:hAnsi="Times New Roman" w:cs="Times New Roman"/>
        </w:rPr>
        <w:t>Herbert and Jones</w:t>
      </w:r>
      <w:r w:rsidR="00A52AAF">
        <w:rPr>
          <w:rFonts w:ascii="Times New Roman" w:hAnsi="Times New Roman" w:cs="Times New Roman"/>
        </w:rPr>
        <w:t xml:space="preserve"> </w:t>
      </w:r>
      <w:r w:rsidRPr="00B1789D">
        <w:rPr>
          <w:rFonts w:ascii="Times New Roman" w:hAnsi="Times New Roman" w:cs="Times New Roman"/>
        </w:rPr>
        <w:t xml:space="preserve">describe the </w:t>
      </w:r>
      <w:r w:rsidR="005B1D56">
        <w:rPr>
          <w:rFonts w:ascii="Times New Roman" w:hAnsi="Times New Roman" w:cs="Times New Roman"/>
        </w:rPr>
        <w:t>early 1930s as a time when “t</w:t>
      </w:r>
      <w:r w:rsidR="005B1D56" w:rsidRPr="005B1D56">
        <w:rPr>
          <w:rFonts w:ascii="Times New Roman" w:hAnsi="Times New Roman" w:cs="Times New Roman"/>
        </w:rPr>
        <w:t>he industrial structure remained an anachronism, with</w:t>
      </w:r>
      <w:r w:rsidR="005B1D56">
        <w:rPr>
          <w:rFonts w:ascii="Times New Roman" w:hAnsi="Times New Roman" w:cs="Times New Roman"/>
        </w:rPr>
        <w:t xml:space="preserve"> </w:t>
      </w:r>
      <w:r w:rsidR="005B1D56" w:rsidRPr="005B1D56">
        <w:rPr>
          <w:rFonts w:ascii="Times New Roman" w:hAnsi="Times New Roman" w:cs="Times New Roman"/>
        </w:rPr>
        <w:t>over one-third of the insured population still attached to the</w:t>
      </w:r>
      <w:r w:rsidR="005B1D56">
        <w:rPr>
          <w:rFonts w:ascii="Times New Roman" w:hAnsi="Times New Roman" w:cs="Times New Roman"/>
        </w:rPr>
        <w:t xml:space="preserve"> </w:t>
      </w:r>
      <w:r w:rsidR="005B1D56" w:rsidRPr="005B1D56">
        <w:rPr>
          <w:rFonts w:ascii="Times New Roman" w:hAnsi="Times New Roman" w:cs="Times New Roman"/>
        </w:rPr>
        <w:t>coal-mining industry</w:t>
      </w:r>
      <w:r w:rsidR="005B1D56">
        <w:rPr>
          <w:rFonts w:ascii="Times New Roman" w:hAnsi="Times New Roman" w:cs="Times New Roman"/>
        </w:rPr>
        <w:t>”</w:t>
      </w:r>
      <w:r w:rsidRPr="00B1789D">
        <w:rPr>
          <w:rFonts w:ascii="Times New Roman" w:hAnsi="Times New Roman" w:cs="Times New Roman"/>
        </w:rPr>
        <w:t>.</w:t>
      </w:r>
      <w:r w:rsidR="005B1D56">
        <w:rPr>
          <w:rStyle w:val="FootnoteReference"/>
          <w:rFonts w:ascii="Times New Roman" w:hAnsi="Times New Roman" w:cs="Times New Roman"/>
        </w:rPr>
        <w:footnoteReference w:id="6"/>
      </w:r>
      <w:r w:rsidRPr="00B1789D">
        <w:rPr>
          <w:rFonts w:ascii="Times New Roman" w:hAnsi="Times New Roman" w:cs="Times New Roman"/>
        </w:rPr>
        <w:t xml:space="preserve"> The war’s labor changes proved fleeting: returning soldiers displaced female workers, who were pushed back into domestic roles, halting any lasting reconfiguration of the workforce. </w:t>
      </w:r>
      <w:r w:rsidRPr="00B1789D">
        <w:rPr>
          <w:rFonts w:ascii="Times New Roman" w:hAnsi="Times New Roman" w:cs="Times New Roman"/>
        </w:rPr>
        <w:lastRenderedPageBreak/>
        <w:t>The economic stimulus of 1914–1918, while intense, exposed and exacerbated pre-existing vulnerabilities rather than forging a new economic order. By the late 1920s</w:t>
      </w:r>
      <w:r w:rsidR="00DC056F">
        <w:rPr>
          <w:rFonts w:ascii="Times New Roman" w:hAnsi="Times New Roman" w:cs="Times New Roman"/>
        </w:rPr>
        <w:t>, early 1930s</w:t>
      </w:r>
      <w:r w:rsidRPr="00B1789D">
        <w:rPr>
          <w:rFonts w:ascii="Times New Roman" w:hAnsi="Times New Roman" w:cs="Times New Roman"/>
        </w:rPr>
        <w:t xml:space="preserve"> the coalfields faced chronic depression, a stark contrast to the wartime peak, underscoring the fragility of war-induced growth.</w:t>
      </w:r>
    </w:p>
    <w:p w14:paraId="26F1869B" w14:textId="4ACEBFD9" w:rsidR="00B1789D" w:rsidRPr="00B1789D" w:rsidRDefault="00B1789D" w:rsidP="00B1789D">
      <w:pPr>
        <w:spacing w:line="360" w:lineRule="auto"/>
        <w:rPr>
          <w:rFonts w:ascii="Times New Roman" w:hAnsi="Times New Roman" w:cs="Times New Roman"/>
        </w:rPr>
      </w:pPr>
      <w:r w:rsidRPr="00B1789D">
        <w:rPr>
          <w:rFonts w:ascii="Times New Roman" w:hAnsi="Times New Roman" w:cs="Times New Roman"/>
        </w:rPr>
        <w:t xml:space="preserve">To what extent, then, did the First World War catalyze economic change in Wales? The evidence suggests a significant but uneven impact. </w:t>
      </w:r>
      <w:r w:rsidR="00297E27">
        <w:rPr>
          <w:rFonts w:ascii="Times New Roman" w:hAnsi="Times New Roman" w:cs="Times New Roman"/>
        </w:rPr>
        <w:t>As I already mentioned, t</w:t>
      </w:r>
      <w:r w:rsidRPr="00B1789D">
        <w:rPr>
          <w:rFonts w:ascii="Times New Roman" w:hAnsi="Times New Roman" w:cs="Times New Roman"/>
        </w:rPr>
        <w:t xml:space="preserve">he war accelerated industrial output and labor shifts, integrating Wales more fully into Britain’s wartime economy and briefly elevating its economic stature. Yet this was a short-lived catalyst, as the post-war slump revealed the limits of wartime gains. </w:t>
      </w:r>
      <w:r w:rsidR="00297E27" w:rsidRPr="00B1789D">
        <w:rPr>
          <w:rFonts w:ascii="Times New Roman" w:hAnsi="Times New Roman" w:cs="Times New Roman"/>
        </w:rPr>
        <w:t>Williams argues</w:t>
      </w:r>
      <w:r w:rsidRPr="00B1789D">
        <w:rPr>
          <w:rFonts w:ascii="Times New Roman" w:hAnsi="Times New Roman" w:cs="Times New Roman"/>
        </w:rPr>
        <w:t xml:space="preserve"> that the coalfield’s decline</w:t>
      </w:r>
      <w:r w:rsidR="001C619E">
        <w:rPr>
          <w:rFonts w:ascii="Times New Roman" w:hAnsi="Times New Roman" w:cs="Times New Roman"/>
        </w:rPr>
        <w:t xml:space="preserve"> after the Great War</w:t>
      </w:r>
      <w:r w:rsidRPr="00B1789D">
        <w:rPr>
          <w:rFonts w:ascii="Times New Roman" w:hAnsi="Times New Roman" w:cs="Times New Roman"/>
        </w:rPr>
        <w:t xml:space="preserve"> was inevitable given global trends.</w:t>
      </w:r>
      <w:r w:rsidR="00B1240A">
        <w:rPr>
          <w:rStyle w:val="FootnoteReference"/>
          <w:rFonts w:ascii="Times New Roman" w:hAnsi="Times New Roman" w:cs="Times New Roman"/>
        </w:rPr>
        <w:footnoteReference w:id="7"/>
      </w:r>
      <w:r w:rsidRPr="00B1789D">
        <w:rPr>
          <w:rFonts w:ascii="Times New Roman" w:hAnsi="Times New Roman" w:cs="Times New Roman"/>
        </w:rPr>
        <w:t xml:space="preserve"> </w:t>
      </w:r>
      <w:r w:rsidR="002D08D4">
        <w:rPr>
          <w:rFonts w:ascii="Times New Roman" w:hAnsi="Times New Roman" w:cs="Times New Roman"/>
        </w:rPr>
        <w:t xml:space="preserve">The </w:t>
      </w:r>
      <w:r w:rsidRPr="00B1789D">
        <w:rPr>
          <w:rFonts w:ascii="Times New Roman" w:hAnsi="Times New Roman" w:cs="Times New Roman"/>
        </w:rPr>
        <w:t xml:space="preserve">war </w:t>
      </w:r>
      <w:r w:rsidR="002D08D4">
        <w:rPr>
          <w:rFonts w:ascii="Times New Roman" w:hAnsi="Times New Roman" w:cs="Times New Roman"/>
        </w:rPr>
        <w:t>was</w:t>
      </w:r>
      <w:r w:rsidRPr="00B1789D">
        <w:rPr>
          <w:rFonts w:ascii="Times New Roman" w:hAnsi="Times New Roman" w:cs="Times New Roman"/>
        </w:rPr>
        <w:t xml:space="preserve"> an intensifier of structural weaknesses rather than a transformative force. </w:t>
      </w:r>
      <w:r w:rsidR="002D08D4">
        <w:rPr>
          <w:rFonts w:ascii="Times New Roman" w:hAnsi="Times New Roman" w:cs="Times New Roman"/>
        </w:rPr>
        <w:t>While</w:t>
      </w:r>
      <w:r w:rsidRPr="00B1789D">
        <w:rPr>
          <w:rFonts w:ascii="Times New Roman" w:hAnsi="Times New Roman" w:cs="Times New Roman"/>
        </w:rPr>
        <w:t xml:space="preserve"> the war spurred temporary modernization, such as increased mechanization in mines, its legacy was one of disruption, not reinvention. Thus, the war acted as a catalyst primarily in amplifying pre-war trends toward industrial decline, rather than creating a fundamentally new economic landscape for Wales.</w:t>
      </w:r>
    </w:p>
    <w:p w14:paraId="60DD076E" w14:textId="26857EA5" w:rsidR="00442042" w:rsidRDefault="001A03E9" w:rsidP="00B1789D">
      <w:pPr>
        <w:spacing w:line="360" w:lineRule="auto"/>
        <w:rPr>
          <w:rFonts w:ascii="Times New Roman" w:hAnsi="Times New Roman" w:cs="Times New Roman"/>
        </w:rPr>
      </w:pPr>
      <w:r>
        <w:rPr>
          <w:rFonts w:ascii="Times New Roman" w:hAnsi="Times New Roman" w:cs="Times New Roman"/>
        </w:rPr>
        <w:t xml:space="preserve">As to </w:t>
      </w:r>
      <w:r w:rsidR="00C32C95">
        <w:rPr>
          <w:rFonts w:ascii="Times New Roman" w:hAnsi="Times New Roman" w:cs="Times New Roman"/>
        </w:rPr>
        <w:t>what</w:t>
      </w:r>
      <w:r w:rsidR="005B4AC2" w:rsidRPr="005B4AC2">
        <w:rPr>
          <w:rFonts w:ascii="Times New Roman" w:hAnsi="Times New Roman" w:cs="Times New Roman"/>
        </w:rPr>
        <w:t xml:space="preserve"> extent </w:t>
      </w:r>
      <w:r w:rsidR="00FD4005" w:rsidRPr="005B4AC2">
        <w:rPr>
          <w:rFonts w:ascii="Times New Roman" w:hAnsi="Times New Roman" w:cs="Times New Roman"/>
        </w:rPr>
        <w:t>World</w:t>
      </w:r>
      <w:r w:rsidR="005B4AC2" w:rsidRPr="005B4AC2">
        <w:rPr>
          <w:rFonts w:ascii="Times New Roman" w:hAnsi="Times New Roman" w:cs="Times New Roman"/>
        </w:rPr>
        <w:t xml:space="preserve"> </w:t>
      </w:r>
      <w:r w:rsidR="00442042" w:rsidRPr="005B4AC2">
        <w:rPr>
          <w:rFonts w:ascii="Times New Roman" w:hAnsi="Times New Roman" w:cs="Times New Roman"/>
        </w:rPr>
        <w:t>War</w:t>
      </w:r>
      <w:r w:rsidR="005B4AC2" w:rsidRPr="005B4AC2">
        <w:rPr>
          <w:rFonts w:ascii="Times New Roman" w:hAnsi="Times New Roman" w:cs="Times New Roman"/>
        </w:rPr>
        <w:t xml:space="preserve"> I </w:t>
      </w:r>
      <w:r>
        <w:rPr>
          <w:rFonts w:ascii="Times New Roman" w:hAnsi="Times New Roman" w:cs="Times New Roman"/>
        </w:rPr>
        <w:t xml:space="preserve">was </w:t>
      </w:r>
      <w:r w:rsidR="005B4AC2" w:rsidRPr="005B4AC2">
        <w:rPr>
          <w:rFonts w:ascii="Times New Roman" w:hAnsi="Times New Roman" w:cs="Times New Roman"/>
        </w:rPr>
        <w:t>the cause for the social change in Wales after 1918</w:t>
      </w:r>
      <w:r w:rsidR="00C32C95">
        <w:rPr>
          <w:rFonts w:ascii="Times New Roman" w:hAnsi="Times New Roman" w:cs="Times New Roman"/>
        </w:rPr>
        <w:t>,</w:t>
      </w:r>
      <w:r>
        <w:rPr>
          <w:rFonts w:ascii="Times New Roman" w:hAnsi="Times New Roman" w:cs="Times New Roman"/>
        </w:rPr>
        <w:t xml:space="preserve"> I should mention that b</w:t>
      </w:r>
      <w:r w:rsidR="00442042" w:rsidRPr="00442042">
        <w:rPr>
          <w:rFonts w:ascii="Times New Roman" w:hAnsi="Times New Roman" w:cs="Times New Roman"/>
        </w:rPr>
        <w:t>efore 1914, Welsh society was defined by tradition and tension, shaped by industrial and rural divides. In the south, the coalfields fostered tight-knit working-class communities, miners and their families lived in a world defined by labor and mutual support</w:t>
      </w:r>
      <w:r w:rsidR="00320B61">
        <w:rPr>
          <w:rFonts w:ascii="Times New Roman" w:hAnsi="Times New Roman" w:cs="Times New Roman"/>
        </w:rPr>
        <w:t>. The</w:t>
      </w:r>
      <w:r w:rsidR="00442042" w:rsidRPr="00442042">
        <w:rPr>
          <w:rFonts w:ascii="Times New Roman" w:hAnsi="Times New Roman" w:cs="Times New Roman"/>
        </w:rPr>
        <w:t xml:space="preserve"> broader social fabric </w:t>
      </w:r>
      <w:r w:rsidR="00320B61">
        <w:rPr>
          <w:rFonts w:ascii="Times New Roman" w:hAnsi="Times New Roman" w:cs="Times New Roman"/>
        </w:rPr>
        <w:t xml:space="preserve">was </w:t>
      </w:r>
      <w:r w:rsidR="00442042" w:rsidRPr="00442042">
        <w:rPr>
          <w:rFonts w:ascii="Times New Roman" w:hAnsi="Times New Roman" w:cs="Times New Roman"/>
        </w:rPr>
        <w:t>dominated by Nonconformist chapels, which wielded moral and cultural authority, particularly in rural north and west Wales. Class distinctions were pronounced: industrial workers contrasted with a dwindling rural gentry, while a small middle class emerged in urban centers like Cardiff. Gender roles remained rigid, with women largely confined to domestic spheres, though some worked in cottage industries or as servants. This pre-war society, rooted in religion, community, and patriarchy, faced the war as both a test and a potential turning point.</w:t>
      </w:r>
    </w:p>
    <w:p w14:paraId="29C23DB9" w14:textId="4F2936BF" w:rsidR="00B1789D" w:rsidRPr="00B1789D" w:rsidRDefault="00B1789D" w:rsidP="00B1789D">
      <w:pPr>
        <w:spacing w:line="360" w:lineRule="auto"/>
        <w:rPr>
          <w:rFonts w:ascii="Times New Roman" w:hAnsi="Times New Roman" w:cs="Times New Roman"/>
        </w:rPr>
      </w:pPr>
      <w:r w:rsidRPr="00B1789D">
        <w:rPr>
          <w:rFonts w:ascii="Times New Roman" w:hAnsi="Times New Roman" w:cs="Times New Roman"/>
        </w:rPr>
        <w:t>The First World War unleashed a wave of disruption across Welsh society, challenging its very foundations. The mass enlistment of over 2</w:t>
      </w:r>
      <w:r w:rsidR="00BF3626">
        <w:rPr>
          <w:rFonts w:ascii="Times New Roman" w:hAnsi="Times New Roman" w:cs="Times New Roman"/>
        </w:rPr>
        <w:t>8</w:t>
      </w:r>
      <w:r w:rsidRPr="00B1789D">
        <w:rPr>
          <w:rFonts w:ascii="Times New Roman" w:hAnsi="Times New Roman" w:cs="Times New Roman"/>
        </w:rPr>
        <w:t xml:space="preserve">0,000 men, roughly 10% of the population, left </w:t>
      </w:r>
      <w:r w:rsidR="00BF3626">
        <w:rPr>
          <w:rFonts w:ascii="Times New Roman" w:hAnsi="Times New Roman" w:cs="Times New Roman"/>
        </w:rPr>
        <w:t xml:space="preserve">their </w:t>
      </w:r>
      <w:r w:rsidRPr="00B1789D">
        <w:rPr>
          <w:rFonts w:ascii="Times New Roman" w:hAnsi="Times New Roman" w:cs="Times New Roman"/>
        </w:rPr>
        <w:t>communities.</w:t>
      </w:r>
      <w:r w:rsidR="00BF3626">
        <w:rPr>
          <w:rStyle w:val="FootnoteReference"/>
          <w:rFonts w:ascii="Times New Roman" w:hAnsi="Times New Roman" w:cs="Times New Roman"/>
        </w:rPr>
        <w:footnoteReference w:id="8"/>
      </w:r>
      <w:r w:rsidRPr="00B1789D">
        <w:rPr>
          <w:rFonts w:ascii="Times New Roman" w:hAnsi="Times New Roman" w:cs="Times New Roman"/>
        </w:rPr>
        <w:t xml:space="preserve"> This</w:t>
      </w:r>
      <w:r w:rsidR="00DF1299">
        <w:rPr>
          <w:rFonts w:ascii="Times New Roman" w:hAnsi="Times New Roman" w:cs="Times New Roman"/>
        </w:rPr>
        <w:t xml:space="preserve"> subsequent loss of many of these young men</w:t>
      </w:r>
      <w:r w:rsidRPr="00B1789D">
        <w:rPr>
          <w:rFonts w:ascii="Times New Roman" w:hAnsi="Times New Roman" w:cs="Times New Roman"/>
        </w:rPr>
        <w:t xml:space="preserve"> permeated towns and villages, </w:t>
      </w:r>
      <w:r w:rsidRPr="00B1789D">
        <w:rPr>
          <w:rFonts w:ascii="Times New Roman" w:hAnsi="Times New Roman" w:cs="Times New Roman"/>
        </w:rPr>
        <w:lastRenderedPageBreak/>
        <w:t>fostering collective grief that strained social cohesion. Meanwhile, the war opened new roles for women, who stepped into munitions factories, mines, and nursing, wit</w:t>
      </w:r>
      <w:r w:rsidR="003D3E40">
        <w:rPr>
          <w:rFonts w:ascii="Times New Roman" w:hAnsi="Times New Roman" w:cs="Times New Roman"/>
        </w:rPr>
        <w:t>h</w:t>
      </w:r>
      <w:r w:rsidRPr="00B1789D">
        <w:rPr>
          <w:rFonts w:ascii="Times New Roman" w:hAnsi="Times New Roman" w:cs="Times New Roman"/>
        </w:rPr>
        <w:t xml:space="preserve"> thousands join</w:t>
      </w:r>
      <w:r w:rsidR="003D3E40">
        <w:rPr>
          <w:rFonts w:ascii="Times New Roman" w:hAnsi="Times New Roman" w:cs="Times New Roman"/>
        </w:rPr>
        <w:t>ing</w:t>
      </w:r>
      <w:r w:rsidRPr="00B1789D">
        <w:rPr>
          <w:rFonts w:ascii="Times New Roman" w:hAnsi="Times New Roman" w:cs="Times New Roman"/>
        </w:rPr>
        <w:t xml:space="preserve"> the workforce, particularly in industrial south Wales. This shift temporarily upended gender norms, offering women economic independence and public visibility. </w:t>
      </w:r>
    </w:p>
    <w:p w14:paraId="2D9CBE69" w14:textId="7C1E82F9" w:rsidR="00B1789D" w:rsidRPr="00B1789D" w:rsidRDefault="00B1789D" w:rsidP="00B1789D">
      <w:pPr>
        <w:spacing w:line="360" w:lineRule="auto"/>
        <w:rPr>
          <w:rFonts w:ascii="Times New Roman" w:hAnsi="Times New Roman" w:cs="Times New Roman"/>
        </w:rPr>
      </w:pPr>
      <w:r w:rsidRPr="00B1789D">
        <w:rPr>
          <w:rFonts w:ascii="Times New Roman" w:hAnsi="Times New Roman" w:cs="Times New Roman"/>
        </w:rPr>
        <w:t>The war’s end in 1918 brought both continuity and change to Welsh society, complicating its legacy as a catalyst. Women’s wartime gains proved short-lived</w:t>
      </w:r>
      <w:r w:rsidR="00EF2F0B">
        <w:rPr>
          <w:rFonts w:ascii="Times New Roman" w:hAnsi="Times New Roman" w:cs="Times New Roman"/>
        </w:rPr>
        <w:t xml:space="preserve"> when</w:t>
      </w:r>
      <w:r w:rsidRPr="00B1789D">
        <w:rPr>
          <w:rFonts w:ascii="Times New Roman" w:hAnsi="Times New Roman" w:cs="Times New Roman"/>
        </w:rPr>
        <w:t xml:space="preserve"> returning soldiers reclaimed industrial jobs, pushing women back into domesticity, though some retained a taste for independence that lingered into the interwar years.</w:t>
      </w:r>
      <w:r w:rsidR="00EF2F0B">
        <w:rPr>
          <w:rStyle w:val="FootnoteReference"/>
          <w:rFonts w:ascii="Times New Roman" w:hAnsi="Times New Roman" w:cs="Times New Roman"/>
        </w:rPr>
        <w:footnoteReference w:id="9"/>
      </w:r>
      <w:r w:rsidRPr="00B1789D">
        <w:rPr>
          <w:rFonts w:ascii="Times New Roman" w:hAnsi="Times New Roman" w:cs="Times New Roman"/>
        </w:rPr>
        <w:t xml:space="preserve"> The war’s toll on communities, physical, emotional, and demographic, eroded traditional structures, notably the influence of Nonconformism. </w:t>
      </w:r>
      <w:r w:rsidR="005430AB">
        <w:rPr>
          <w:rFonts w:ascii="Times New Roman" w:hAnsi="Times New Roman" w:cs="Times New Roman"/>
        </w:rPr>
        <w:t>Still the Church somewhat stabilized its position within the Welsh society with the “disestablishment” of the Welsh Church</w:t>
      </w:r>
      <w:r w:rsidRPr="00B1789D">
        <w:rPr>
          <w:rFonts w:ascii="Times New Roman" w:hAnsi="Times New Roman" w:cs="Times New Roman"/>
        </w:rPr>
        <w:t>.</w:t>
      </w:r>
      <w:r w:rsidR="00CC0E70">
        <w:rPr>
          <w:rStyle w:val="FootnoteReference"/>
          <w:rFonts w:ascii="Times New Roman" w:hAnsi="Times New Roman" w:cs="Times New Roman"/>
        </w:rPr>
        <w:footnoteReference w:id="10"/>
      </w:r>
      <w:r w:rsidRPr="00B1789D">
        <w:rPr>
          <w:rFonts w:ascii="Times New Roman" w:hAnsi="Times New Roman" w:cs="Times New Roman"/>
        </w:rPr>
        <w:t xml:space="preserve"> Class dynamics also evolved:</w:t>
      </w:r>
      <w:r w:rsidR="003750B3">
        <w:rPr>
          <w:rFonts w:ascii="Times New Roman" w:hAnsi="Times New Roman" w:cs="Times New Roman"/>
        </w:rPr>
        <w:t xml:space="preserve"> </w:t>
      </w:r>
      <w:r w:rsidRPr="00B1789D">
        <w:rPr>
          <w:rFonts w:ascii="Times New Roman" w:hAnsi="Times New Roman" w:cs="Times New Roman"/>
        </w:rPr>
        <w:t xml:space="preserve">returning veterans, often radicalized by their experiences, fueled labor unrest, culminating in </w:t>
      </w:r>
      <w:r w:rsidR="001660F4">
        <w:rPr>
          <w:rFonts w:ascii="Times New Roman" w:hAnsi="Times New Roman" w:cs="Times New Roman"/>
        </w:rPr>
        <w:t>Black Friday miners’ strikes</w:t>
      </w:r>
      <w:r w:rsidRPr="00B1789D">
        <w:rPr>
          <w:rFonts w:ascii="Times New Roman" w:hAnsi="Times New Roman" w:cs="Times New Roman"/>
        </w:rPr>
        <w:t xml:space="preserve"> </w:t>
      </w:r>
      <w:r w:rsidR="001660F4">
        <w:rPr>
          <w:rFonts w:ascii="Times New Roman" w:hAnsi="Times New Roman" w:cs="Times New Roman"/>
        </w:rPr>
        <w:t>of</w:t>
      </w:r>
      <w:r w:rsidRPr="00B1789D">
        <w:rPr>
          <w:rFonts w:ascii="Times New Roman" w:hAnsi="Times New Roman" w:cs="Times New Roman"/>
        </w:rPr>
        <w:t xml:space="preserve"> 1921.</w:t>
      </w:r>
      <w:r w:rsidR="00CD609C">
        <w:rPr>
          <w:rStyle w:val="FootnoteReference"/>
          <w:rFonts w:ascii="Times New Roman" w:hAnsi="Times New Roman" w:cs="Times New Roman"/>
        </w:rPr>
        <w:footnoteReference w:id="11"/>
      </w:r>
      <w:r w:rsidRPr="00B1789D">
        <w:rPr>
          <w:rFonts w:ascii="Times New Roman" w:hAnsi="Times New Roman" w:cs="Times New Roman"/>
        </w:rPr>
        <w:t xml:space="preserve"> This discontent signaled a growing class consciousness, though it was built on pre-war socialist stirrings. Rural Wales, less touched by industrial upheaval, saw slower change, preserving older social patterns. Overall, the war disrupted Welsh society but did not wholly remake it, leaving a patchwork of transformation and resilience.</w:t>
      </w:r>
    </w:p>
    <w:p w14:paraId="7A2165B6" w14:textId="03DF6EA9" w:rsidR="00B1789D" w:rsidRPr="00B1789D" w:rsidRDefault="00B76F6B" w:rsidP="00B1789D">
      <w:pPr>
        <w:spacing w:line="360" w:lineRule="auto"/>
        <w:rPr>
          <w:rFonts w:ascii="Times New Roman" w:hAnsi="Times New Roman" w:cs="Times New Roman"/>
        </w:rPr>
      </w:pPr>
      <w:r>
        <w:rPr>
          <w:rFonts w:ascii="Times New Roman" w:hAnsi="Times New Roman" w:cs="Times New Roman"/>
        </w:rPr>
        <w:t>So,</w:t>
      </w:r>
      <w:r w:rsidR="00F80D74">
        <w:rPr>
          <w:rFonts w:ascii="Times New Roman" w:hAnsi="Times New Roman" w:cs="Times New Roman"/>
        </w:rPr>
        <w:t xml:space="preserve"> in summary, t</w:t>
      </w:r>
      <w:r w:rsidR="00B1789D" w:rsidRPr="00B1789D">
        <w:rPr>
          <w:rFonts w:ascii="Times New Roman" w:hAnsi="Times New Roman" w:cs="Times New Roman"/>
        </w:rPr>
        <w:t>he evidence suggests a partial but significant impact</w:t>
      </w:r>
      <w:r w:rsidR="00F80D74">
        <w:rPr>
          <w:rFonts w:ascii="Times New Roman" w:hAnsi="Times New Roman" w:cs="Times New Roman"/>
        </w:rPr>
        <w:t xml:space="preserve"> of the Great War</w:t>
      </w:r>
      <w:r w:rsidR="00B1789D" w:rsidRPr="00B1789D">
        <w:rPr>
          <w:rFonts w:ascii="Times New Roman" w:hAnsi="Times New Roman" w:cs="Times New Roman"/>
        </w:rPr>
        <w:t xml:space="preserve">, mediated by continuity and reversal. The war’s immediate disruption, mass casualties, women’s labor participation, and pockets of dissent, shook social norms, as Pearce and Durham illustrate </w:t>
      </w:r>
      <w:r w:rsidR="00BC0A0A">
        <w:rPr>
          <w:rFonts w:ascii="Times New Roman" w:hAnsi="Times New Roman" w:cs="Times New Roman"/>
        </w:rPr>
        <w:t>in their discussion of the</w:t>
      </w:r>
      <w:r w:rsidR="00B1789D" w:rsidRPr="00B1789D">
        <w:rPr>
          <w:rFonts w:ascii="Times New Roman" w:hAnsi="Times New Roman" w:cs="Times New Roman"/>
        </w:rPr>
        <w:t xml:space="preserve"> anti-war voices</w:t>
      </w:r>
      <w:r w:rsidR="00BC0A0A">
        <w:rPr>
          <w:rFonts w:ascii="Times New Roman" w:hAnsi="Times New Roman" w:cs="Times New Roman"/>
        </w:rPr>
        <w:t xml:space="preserve"> in Britain</w:t>
      </w:r>
      <w:r w:rsidR="00F80D74">
        <w:rPr>
          <w:rStyle w:val="FootnoteReference"/>
          <w:rFonts w:ascii="Times New Roman" w:hAnsi="Times New Roman" w:cs="Times New Roman"/>
        </w:rPr>
        <w:footnoteReference w:id="12"/>
      </w:r>
      <w:r>
        <w:rPr>
          <w:rFonts w:ascii="Times New Roman" w:hAnsi="Times New Roman" w:cs="Times New Roman"/>
        </w:rPr>
        <w:t xml:space="preserve"> but these </w:t>
      </w:r>
      <w:r w:rsidR="00B1789D" w:rsidRPr="00B1789D">
        <w:rPr>
          <w:rFonts w:ascii="Times New Roman" w:hAnsi="Times New Roman" w:cs="Times New Roman"/>
        </w:rPr>
        <w:t>shifts</w:t>
      </w:r>
      <w:r>
        <w:rPr>
          <w:rFonts w:ascii="Times New Roman" w:hAnsi="Times New Roman" w:cs="Times New Roman"/>
        </w:rPr>
        <w:t xml:space="preserve"> were just </w:t>
      </w:r>
      <w:r w:rsidR="00B1789D" w:rsidRPr="00B1789D">
        <w:rPr>
          <w:rFonts w:ascii="Times New Roman" w:hAnsi="Times New Roman" w:cs="Times New Roman"/>
        </w:rPr>
        <w:t xml:space="preserve">accelerators of pre-existing trends, such as the gradual decline of religious authority, rather than radical breaks. </w:t>
      </w:r>
      <w:r w:rsidR="00FE4487">
        <w:rPr>
          <w:rFonts w:ascii="Times New Roman" w:hAnsi="Times New Roman" w:cs="Times New Roman"/>
        </w:rPr>
        <w:t>The war played a</w:t>
      </w:r>
      <w:r w:rsidR="00B1789D" w:rsidRPr="00B1789D">
        <w:rPr>
          <w:rFonts w:ascii="Times New Roman" w:hAnsi="Times New Roman" w:cs="Times New Roman"/>
        </w:rPr>
        <w:t xml:space="preserve"> role in intensifying class tensions, </w:t>
      </w:r>
      <w:r w:rsidR="00FE4487">
        <w:rPr>
          <w:rFonts w:ascii="Times New Roman" w:hAnsi="Times New Roman" w:cs="Times New Roman"/>
        </w:rPr>
        <w:t>but</w:t>
      </w:r>
      <w:r w:rsidR="00B1789D" w:rsidRPr="00B1789D">
        <w:rPr>
          <w:rFonts w:ascii="Times New Roman" w:hAnsi="Times New Roman" w:cs="Times New Roman"/>
        </w:rPr>
        <w:t xml:space="preserve"> post-war retrenchment, particularly for women, limited structural change. The war thus acted as a catalyst by amplifying issues like gender roles and class conflict, already present in Welsh society plus</w:t>
      </w:r>
      <w:r w:rsidR="00FE4487">
        <w:rPr>
          <w:rFonts w:ascii="Times New Roman" w:hAnsi="Times New Roman" w:cs="Times New Roman"/>
        </w:rPr>
        <w:t xml:space="preserve"> </w:t>
      </w:r>
      <w:r w:rsidR="00B1789D" w:rsidRPr="00B1789D">
        <w:rPr>
          <w:rFonts w:ascii="Times New Roman" w:hAnsi="Times New Roman" w:cs="Times New Roman"/>
        </w:rPr>
        <w:t xml:space="preserve">the grief felt in many communities after </w:t>
      </w:r>
      <w:r w:rsidR="00FE4487">
        <w:rPr>
          <w:rFonts w:ascii="Times New Roman" w:hAnsi="Times New Roman" w:cs="Times New Roman"/>
        </w:rPr>
        <w:t>1918 also has to be taken into account when discussing the overall atmosphere in the country</w:t>
      </w:r>
      <w:r w:rsidR="00B1789D" w:rsidRPr="00B1789D">
        <w:rPr>
          <w:rFonts w:ascii="Times New Roman" w:hAnsi="Times New Roman" w:cs="Times New Roman"/>
        </w:rPr>
        <w:t xml:space="preserve">. Still this transformative power was constrained by the resilience of traditional </w:t>
      </w:r>
      <w:r w:rsidR="00B1789D" w:rsidRPr="00B1789D">
        <w:rPr>
          <w:rFonts w:ascii="Times New Roman" w:hAnsi="Times New Roman" w:cs="Times New Roman"/>
        </w:rPr>
        <w:lastRenderedPageBreak/>
        <w:t xml:space="preserve">frameworks. Social change emerged as a ripple rather than a wave, significant in scope but incomplete in depth, reflecting the war’s uneven imprint on </w:t>
      </w:r>
      <w:r w:rsidR="00FD4005" w:rsidRPr="00B1789D">
        <w:rPr>
          <w:rFonts w:ascii="Times New Roman" w:hAnsi="Times New Roman" w:cs="Times New Roman"/>
        </w:rPr>
        <w:t>Wales’s</w:t>
      </w:r>
      <w:r w:rsidR="00B1789D" w:rsidRPr="00B1789D">
        <w:rPr>
          <w:rFonts w:ascii="Times New Roman" w:hAnsi="Times New Roman" w:cs="Times New Roman"/>
        </w:rPr>
        <w:t xml:space="preserve"> social fabric.</w:t>
      </w:r>
    </w:p>
    <w:p w14:paraId="53B670B3" w14:textId="361F291E" w:rsidR="00B1789D" w:rsidRPr="00B1789D" w:rsidRDefault="005B4AC2" w:rsidP="00B1789D">
      <w:pPr>
        <w:spacing w:line="360" w:lineRule="auto"/>
        <w:rPr>
          <w:rFonts w:ascii="Times New Roman" w:hAnsi="Times New Roman" w:cs="Times New Roman"/>
        </w:rPr>
      </w:pPr>
      <w:r>
        <w:rPr>
          <w:rFonts w:ascii="Times New Roman" w:hAnsi="Times New Roman" w:cs="Times New Roman"/>
        </w:rPr>
        <w:t>As to the changes on the political front, b</w:t>
      </w:r>
      <w:r w:rsidR="00B1789D" w:rsidRPr="00B1789D">
        <w:rPr>
          <w:rFonts w:ascii="Times New Roman" w:hAnsi="Times New Roman" w:cs="Times New Roman"/>
        </w:rPr>
        <w:t xml:space="preserve">efore 1914, Welsh politics rested on a foundation of Liberal dominance, tempered by emerging challenges. </w:t>
      </w:r>
      <w:r w:rsidR="00BD4E0C" w:rsidRPr="00B1789D">
        <w:rPr>
          <w:rFonts w:ascii="Times New Roman" w:hAnsi="Times New Roman" w:cs="Times New Roman"/>
        </w:rPr>
        <w:t>Kenneth O. Morgan</w:t>
      </w:r>
      <w:r w:rsidR="00B1789D" w:rsidRPr="00B1789D">
        <w:rPr>
          <w:rFonts w:ascii="Times New Roman" w:hAnsi="Times New Roman" w:cs="Times New Roman"/>
        </w:rPr>
        <w:t xml:space="preserve"> portrays Wales as a Liberal stronghold, its Nonconformist ethos and industrial working class aligning with the party’s advocacy for reform and disestablishment of the Church.</w:t>
      </w:r>
      <w:r w:rsidR="00770F9D">
        <w:rPr>
          <w:rStyle w:val="FootnoteReference"/>
          <w:rFonts w:ascii="Times New Roman" w:hAnsi="Times New Roman" w:cs="Times New Roman"/>
        </w:rPr>
        <w:footnoteReference w:id="13"/>
      </w:r>
      <w:r w:rsidR="00B1789D" w:rsidRPr="00B1789D">
        <w:rPr>
          <w:rFonts w:ascii="Times New Roman" w:hAnsi="Times New Roman" w:cs="Times New Roman"/>
        </w:rPr>
        <w:t xml:space="preserve"> The South Wales coalfields, became a place of a growing Labour presence, with trade unions gaining traction among miners by the early 20th century. Welsh Nationalism, however, did not grow: </w:t>
      </w:r>
      <w:bookmarkStart w:id="0" w:name="_Hlk195220749"/>
      <w:r w:rsidR="00B1789D" w:rsidRPr="00B1789D">
        <w:rPr>
          <w:rFonts w:ascii="Times New Roman" w:hAnsi="Times New Roman" w:cs="Times New Roman"/>
        </w:rPr>
        <w:t>Simon Brooks</w:t>
      </w:r>
      <w:r w:rsidR="00BD4E0C">
        <w:rPr>
          <w:rFonts w:ascii="Times New Roman" w:hAnsi="Times New Roman" w:cs="Times New Roman"/>
        </w:rPr>
        <w:t xml:space="preserve"> </w:t>
      </w:r>
      <w:bookmarkEnd w:id="0"/>
      <w:r w:rsidR="00B1789D" w:rsidRPr="00B1789D">
        <w:rPr>
          <w:rFonts w:ascii="Times New Roman" w:hAnsi="Times New Roman" w:cs="Times New Roman"/>
        </w:rPr>
        <w:t>argues that despite cultural stirrings, like the Welsh language movement, political separatism lacked momentum, overshadowed by British integration.</w:t>
      </w:r>
      <w:r w:rsidR="00BD4E0C">
        <w:rPr>
          <w:rStyle w:val="FootnoteReference"/>
          <w:rFonts w:ascii="Times New Roman" w:hAnsi="Times New Roman" w:cs="Times New Roman"/>
        </w:rPr>
        <w:footnoteReference w:id="14"/>
      </w:r>
      <w:r w:rsidR="00B1789D" w:rsidRPr="00B1789D">
        <w:rPr>
          <w:rFonts w:ascii="Times New Roman" w:hAnsi="Times New Roman" w:cs="Times New Roman"/>
        </w:rPr>
        <w:t xml:space="preserve"> This pre-war landscape, marked by Liberal hegemony and emerging class-based politics, set the stage for the war’s potential to reshape allegiances.</w:t>
      </w:r>
    </w:p>
    <w:p w14:paraId="56192D50" w14:textId="50CF0314" w:rsidR="00B1789D" w:rsidRPr="00B1789D" w:rsidRDefault="00B1789D" w:rsidP="00B1789D">
      <w:pPr>
        <w:spacing w:line="360" w:lineRule="auto"/>
        <w:rPr>
          <w:rFonts w:ascii="Times New Roman" w:hAnsi="Times New Roman" w:cs="Times New Roman"/>
        </w:rPr>
      </w:pPr>
      <w:r w:rsidRPr="00B1789D">
        <w:rPr>
          <w:rFonts w:ascii="Times New Roman" w:hAnsi="Times New Roman" w:cs="Times New Roman"/>
        </w:rPr>
        <w:t xml:space="preserve">The First World War injected new energy into Welsh politics, amplifying both unity and division. </w:t>
      </w:r>
      <w:r w:rsidR="00C67A6C">
        <w:rPr>
          <w:rFonts w:ascii="Times New Roman" w:hAnsi="Times New Roman" w:cs="Times New Roman"/>
        </w:rPr>
        <w:t>The</w:t>
      </w:r>
      <w:r w:rsidRPr="00B1789D">
        <w:rPr>
          <w:rFonts w:ascii="Times New Roman" w:hAnsi="Times New Roman" w:cs="Times New Roman"/>
        </w:rPr>
        <w:t xml:space="preserve"> wartime recruitment campaigns, backed by Liberal leaders like David Lloyd George, fostered a collective British identity, with over 2</w:t>
      </w:r>
      <w:r w:rsidR="00BD4E0C">
        <w:rPr>
          <w:rFonts w:ascii="Times New Roman" w:hAnsi="Times New Roman" w:cs="Times New Roman"/>
        </w:rPr>
        <w:t>8</w:t>
      </w:r>
      <w:r w:rsidRPr="00B1789D">
        <w:rPr>
          <w:rFonts w:ascii="Times New Roman" w:hAnsi="Times New Roman" w:cs="Times New Roman"/>
        </w:rPr>
        <w:t>0,000 Welshmen enlisting by 1918. This effort, however, came with politicization: state intervention and rationing, conscription, and industrial controls, deepened public engagement with governance. Meanwhile, dissent simmered beneath the surfac</w:t>
      </w:r>
      <w:r w:rsidR="00C67A6C">
        <w:rPr>
          <w:rFonts w:ascii="Times New Roman" w:hAnsi="Times New Roman" w:cs="Times New Roman"/>
        </w:rPr>
        <w:t xml:space="preserve">e </w:t>
      </w:r>
      <w:r w:rsidRPr="00B1789D">
        <w:rPr>
          <w:rFonts w:ascii="Times New Roman" w:hAnsi="Times New Roman" w:cs="Times New Roman"/>
        </w:rPr>
        <w:t xml:space="preserve">with pacifist Nonconformists and socialist groups in industrial hubs like Merthyr Tydfil opposing the war. </w:t>
      </w:r>
      <w:r w:rsidR="00C67A6C">
        <w:rPr>
          <w:rFonts w:ascii="Times New Roman" w:hAnsi="Times New Roman" w:cs="Times New Roman"/>
        </w:rPr>
        <w:t>T</w:t>
      </w:r>
      <w:r w:rsidRPr="00B1789D">
        <w:rPr>
          <w:rFonts w:ascii="Times New Roman" w:hAnsi="Times New Roman" w:cs="Times New Roman"/>
        </w:rPr>
        <w:t>his radicalism, rooted in pre-war labor activism, gained traction as miners faced harsh conditions and conscription pressures. The war thus polarized Welsh politics, strengthening Labour’s appeal among workers while testing Liberal unity, setting the stage for post-war realignment.</w:t>
      </w:r>
    </w:p>
    <w:p w14:paraId="03C3EF94" w14:textId="12D9384A" w:rsidR="00B1789D" w:rsidRPr="00B1789D" w:rsidRDefault="00B1789D" w:rsidP="00CD3845">
      <w:pPr>
        <w:spacing w:line="360" w:lineRule="auto"/>
        <w:rPr>
          <w:rFonts w:ascii="Times New Roman" w:hAnsi="Times New Roman" w:cs="Times New Roman"/>
        </w:rPr>
      </w:pPr>
      <w:r w:rsidRPr="00B1789D">
        <w:rPr>
          <w:rFonts w:ascii="Times New Roman" w:hAnsi="Times New Roman" w:cs="Times New Roman"/>
        </w:rPr>
        <w:t>The armistice of 1918 marked a turning point in Welsh politics, with lasting shifts emerging from wartime ferment. Labour’s meteoric rise, overtaking the Liberals in South Wales by the 1920s</w:t>
      </w:r>
      <w:r w:rsidR="00C67A6C">
        <w:rPr>
          <w:rFonts w:ascii="Times New Roman" w:hAnsi="Times New Roman" w:cs="Times New Roman"/>
        </w:rPr>
        <w:t xml:space="preserve"> was rooted in the</w:t>
      </w:r>
      <w:r w:rsidRPr="00B1789D">
        <w:rPr>
          <w:rFonts w:ascii="Times New Roman" w:hAnsi="Times New Roman" w:cs="Times New Roman"/>
        </w:rPr>
        <w:t xml:space="preserve"> disillusioned workers and returning soldiers embraced its promises of social justice. The 1918 Representation of the People Act, expanding the franchise, amplified this shift, giving voice to a radicalized electorate. Williams ties this to the war’s legacy: miners’ strikes in </w:t>
      </w:r>
      <w:r w:rsidRPr="00B1789D">
        <w:rPr>
          <w:rFonts w:ascii="Times New Roman" w:hAnsi="Times New Roman" w:cs="Times New Roman"/>
        </w:rPr>
        <w:lastRenderedPageBreak/>
        <w:t>1919–1921</w:t>
      </w:r>
      <w:r w:rsidR="00753572">
        <w:rPr>
          <w:rFonts w:ascii="Times New Roman" w:hAnsi="Times New Roman" w:cs="Times New Roman"/>
        </w:rPr>
        <w:t xml:space="preserve"> expecting support from other miners withing the Tripple Alliance </w:t>
      </w:r>
      <w:r w:rsidR="00911FF1">
        <w:rPr>
          <w:rFonts w:ascii="Times New Roman" w:hAnsi="Times New Roman" w:cs="Times New Roman"/>
        </w:rPr>
        <w:t xml:space="preserve">countries, </w:t>
      </w:r>
      <w:r w:rsidR="00911FF1" w:rsidRPr="00B1789D">
        <w:rPr>
          <w:rFonts w:ascii="Times New Roman" w:hAnsi="Times New Roman" w:cs="Times New Roman"/>
        </w:rPr>
        <w:t>reflecting</w:t>
      </w:r>
      <w:r w:rsidRPr="00B1789D">
        <w:rPr>
          <w:rFonts w:ascii="Times New Roman" w:hAnsi="Times New Roman" w:cs="Times New Roman"/>
        </w:rPr>
        <w:t xml:space="preserve"> a class consciousness sharpened by wartime sacrifices and economic betrayal.</w:t>
      </w:r>
      <w:r w:rsidR="007957DF">
        <w:rPr>
          <w:rStyle w:val="FootnoteReference"/>
          <w:rFonts w:ascii="Times New Roman" w:hAnsi="Times New Roman" w:cs="Times New Roman"/>
        </w:rPr>
        <w:footnoteReference w:id="15"/>
      </w:r>
      <w:r w:rsidRPr="00B1789D">
        <w:rPr>
          <w:rFonts w:ascii="Times New Roman" w:hAnsi="Times New Roman" w:cs="Times New Roman"/>
        </w:rPr>
        <w:t xml:space="preserve"> Nationalism, however, failed to capitalize on this unrest. Brooks argues that the war reinforced British loyalty rather than igniting a distinct Welsh political identity, with Plaid Cymru’s 1925 founding </w:t>
      </w:r>
      <w:r w:rsidR="00CD3845">
        <w:rPr>
          <w:rFonts w:ascii="Times New Roman" w:hAnsi="Times New Roman" w:cs="Times New Roman"/>
        </w:rPr>
        <w:t xml:space="preserve">not only </w:t>
      </w:r>
      <w:r w:rsidRPr="00B1789D">
        <w:rPr>
          <w:rFonts w:ascii="Times New Roman" w:hAnsi="Times New Roman" w:cs="Times New Roman"/>
        </w:rPr>
        <w:t>arriving too late to harness wartime discontent</w:t>
      </w:r>
      <w:r w:rsidR="00CD3845">
        <w:rPr>
          <w:rFonts w:ascii="Times New Roman" w:hAnsi="Times New Roman" w:cs="Times New Roman"/>
        </w:rPr>
        <w:t xml:space="preserve"> but also colored by the</w:t>
      </w:r>
      <w:r w:rsidR="00CD3845" w:rsidRPr="00CD3845">
        <w:t xml:space="preserve"> </w:t>
      </w:r>
      <w:r w:rsidR="00CD3845" w:rsidRPr="00CD3845">
        <w:rPr>
          <w:rFonts w:ascii="Times New Roman" w:hAnsi="Times New Roman" w:cs="Times New Roman"/>
        </w:rPr>
        <w:t>socialist leanings</w:t>
      </w:r>
      <w:r w:rsidR="00CD3845">
        <w:rPr>
          <w:rFonts w:ascii="Times New Roman" w:hAnsi="Times New Roman" w:cs="Times New Roman"/>
        </w:rPr>
        <w:t xml:space="preserve"> of  that supposed nationalist party  leanings that always had “</w:t>
      </w:r>
      <w:r w:rsidR="00CD3845" w:rsidRPr="00CD3845">
        <w:rPr>
          <w:rFonts w:ascii="Times New Roman" w:hAnsi="Times New Roman" w:cs="Times New Roman"/>
        </w:rPr>
        <w:t>a universalist</w:t>
      </w:r>
      <w:r w:rsidR="00CD3845">
        <w:rPr>
          <w:rFonts w:ascii="Times New Roman" w:hAnsi="Times New Roman" w:cs="Times New Roman"/>
        </w:rPr>
        <w:t xml:space="preserve"> </w:t>
      </w:r>
      <w:r w:rsidR="00CD3845" w:rsidRPr="00CD3845">
        <w:rPr>
          <w:rFonts w:ascii="Times New Roman" w:hAnsi="Times New Roman" w:cs="Times New Roman"/>
        </w:rPr>
        <w:t>gaze</w:t>
      </w:r>
      <w:r w:rsidR="00CD3845" w:rsidRPr="00CD3845">
        <w:rPr>
          <w:rStyle w:val="FootnoteReference"/>
          <w:rFonts w:ascii="Times New Roman" w:hAnsi="Times New Roman" w:cs="Times New Roman"/>
        </w:rPr>
        <w:t xml:space="preserve"> </w:t>
      </w:r>
      <w:r w:rsidR="00CD3845">
        <w:rPr>
          <w:rFonts w:ascii="Times New Roman" w:hAnsi="Times New Roman" w:cs="Times New Roman"/>
        </w:rPr>
        <w:t>“.</w:t>
      </w:r>
      <w:r w:rsidR="00D12643">
        <w:rPr>
          <w:rStyle w:val="FootnoteReference"/>
          <w:rFonts w:ascii="Times New Roman" w:hAnsi="Times New Roman" w:cs="Times New Roman"/>
        </w:rPr>
        <w:footnoteReference w:id="16"/>
      </w:r>
      <w:r w:rsidRPr="00B1789D">
        <w:rPr>
          <w:rFonts w:ascii="Times New Roman" w:hAnsi="Times New Roman" w:cs="Times New Roman"/>
        </w:rPr>
        <w:t xml:space="preserve"> Trevor Herbert and Gareth Elwyn Jones,</w:t>
      </w:r>
      <w:r w:rsidR="00CD3845">
        <w:rPr>
          <w:rFonts w:ascii="Times New Roman" w:hAnsi="Times New Roman" w:cs="Times New Roman"/>
        </w:rPr>
        <w:t xml:space="preserve"> </w:t>
      </w:r>
      <w:r w:rsidRPr="00B1789D">
        <w:rPr>
          <w:rFonts w:ascii="Times New Roman" w:hAnsi="Times New Roman" w:cs="Times New Roman"/>
        </w:rPr>
        <w:t>note that while rural Wales retained Liberal leanings, the industrial south’s swing to Labour marked a profound realignment. The war thus catalyzed a class-based political order, but not a nationalist one.</w:t>
      </w:r>
    </w:p>
    <w:p w14:paraId="6791E327" w14:textId="1A975BCE" w:rsidR="00B1789D" w:rsidRPr="00B1789D" w:rsidRDefault="00E3722C" w:rsidP="00B1789D">
      <w:pPr>
        <w:spacing w:line="360" w:lineRule="auto"/>
        <w:rPr>
          <w:rFonts w:ascii="Times New Roman" w:hAnsi="Times New Roman" w:cs="Times New Roman"/>
        </w:rPr>
      </w:pPr>
      <w:r>
        <w:rPr>
          <w:rFonts w:ascii="Times New Roman" w:hAnsi="Times New Roman" w:cs="Times New Roman"/>
        </w:rPr>
        <w:t>War’s</w:t>
      </w:r>
      <w:r w:rsidR="00B1789D" w:rsidRPr="00B1789D">
        <w:rPr>
          <w:rFonts w:ascii="Times New Roman" w:hAnsi="Times New Roman" w:cs="Times New Roman"/>
        </w:rPr>
        <w:t xml:space="preserve"> impact, while substantial, was uneven, leaving nationalism dormant and rural politics largely intact, reflecting a partial rather than revolutionary change.</w:t>
      </w:r>
    </w:p>
    <w:p w14:paraId="1B5498AB" w14:textId="77777777" w:rsidR="00B1789D" w:rsidRPr="00B1789D" w:rsidRDefault="00B1789D" w:rsidP="00B1789D">
      <w:pPr>
        <w:spacing w:line="360" w:lineRule="auto"/>
        <w:rPr>
          <w:rFonts w:ascii="Times New Roman" w:hAnsi="Times New Roman" w:cs="Times New Roman"/>
        </w:rPr>
      </w:pPr>
      <w:r w:rsidRPr="00B1789D">
        <w:rPr>
          <w:rFonts w:ascii="Times New Roman" w:hAnsi="Times New Roman" w:cs="Times New Roman"/>
        </w:rPr>
        <w:t>In conclusion, the First World War undeniably left its mark on Wales, acting as a significant but uneven catalyst for economic, social, and political change. This essay argued that while the war accelerated transformations across these spheres, its impact often amplified pre-existing trends rather than creating entirely new paths. Economically, the wartime coal boom and labor shifts gave way to a post-1918 slump, speeding up the decline of an already vulnerable industrial base rather than redefining it. Socially, the war disrupted communities through mass casualties and women’s temporary workforce entry, yet traditional structures, gender roles, religious influence, largely endured, limiting the depth of change. Politically, the war spurred Labour’s rise and class consciousness, particularly in the industrial south, but failed to ignite a robust nationalist movement, reinforcing British integration over Welsh separatism.</w:t>
      </w:r>
    </w:p>
    <w:p w14:paraId="17718E5F" w14:textId="77777777" w:rsidR="00B1789D" w:rsidRPr="00B1789D" w:rsidRDefault="00B1789D" w:rsidP="00B1789D">
      <w:pPr>
        <w:spacing w:line="360" w:lineRule="auto"/>
        <w:rPr>
          <w:rFonts w:ascii="Times New Roman" w:hAnsi="Times New Roman" w:cs="Times New Roman"/>
        </w:rPr>
      </w:pPr>
      <w:r w:rsidRPr="00B1789D">
        <w:rPr>
          <w:rFonts w:ascii="Times New Roman" w:hAnsi="Times New Roman" w:cs="Times New Roman"/>
        </w:rPr>
        <w:t>This uneven legacy suggests that the war’s catalytic role was more about intensification than reinvention. Wales emerged altered, its economy weakened, its society strained, its politics realigned, but not wholly transformed, as pre-war trajectories shaped both the scope and limits of change. For Wales, the First World War was not a revolutionary break but a period of testing and reshaping a nation already in transition.</w:t>
      </w:r>
    </w:p>
    <w:p w14:paraId="6C1346F0" w14:textId="77777777" w:rsidR="00CD3845" w:rsidRDefault="00CD3845" w:rsidP="00CD3845">
      <w:pPr>
        <w:spacing w:line="360" w:lineRule="auto"/>
        <w:rPr>
          <w:rFonts w:ascii="Times New Roman" w:hAnsi="Times New Roman" w:cs="Times New Roman"/>
        </w:rPr>
      </w:pPr>
    </w:p>
    <w:p w14:paraId="784426C5" w14:textId="32511805" w:rsidR="00B1789D" w:rsidRDefault="00B1789D" w:rsidP="00CD3845">
      <w:pPr>
        <w:spacing w:line="360" w:lineRule="auto"/>
        <w:jc w:val="center"/>
        <w:rPr>
          <w:rFonts w:ascii="Times New Roman" w:hAnsi="Times New Roman" w:cs="Times New Roman"/>
        </w:rPr>
      </w:pPr>
      <w:r w:rsidRPr="00B1789D">
        <w:rPr>
          <w:rFonts w:ascii="Times New Roman" w:hAnsi="Times New Roman" w:cs="Times New Roman"/>
        </w:rPr>
        <w:lastRenderedPageBreak/>
        <w:t>BIBLIOGRAPHY</w:t>
      </w:r>
    </w:p>
    <w:p w14:paraId="0F4B8B7E" w14:textId="77777777" w:rsidR="00CD3845" w:rsidRPr="00B1789D" w:rsidRDefault="00CD3845" w:rsidP="00CD3845">
      <w:pPr>
        <w:spacing w:line="360" w:lineRule="auto"/>
        <w:jc w:val="center"/>
        <w:rPr>
          <w:rFonts w:ascii="Times New Roman" w:hAnsi="Times New Roman" w:cs="Times New Roman"/>
        </w:rPr>
      </w:pPr>
    </w:p>
    <w:p w14:paraId="5F88EE25" w14:textId="16B53055" w:rsidR="00B1789D" w:rsidRPr="00B1789D" w:rsidRDefault="00B1789D" w:rsidP="00B1789D">
      <w:pPr>
        <w:spacing w:line="360" w:lineRule="auto"/>
        <w:rPr>
          <w:rFonts w:ascii="Times New Roman" w:hAnsi="Times New Roman" w:cs="Times New Roman"/>
        </w:rPr>
      </w:pPr>
      <w:r w:rsidRPr="00B1789D">
        <w:rPr>
          <w:rFonts w:ascii="Times New Roman" w:hAnsi="Times New Roman" w:cs="Times New Roman"/>
        </w:rPr>
        <w:t xml:space="preserve">Herbert, Trevor, and Gareth Elwyn Jones (eds.) , </w:t>
      </w:r>
      <w:r w:rsidRPr="00A01D32">
        <w:rPr>
          <w:rFonts w:ascii="Times New Roman" w:hAnsi="Times New Roman" w:cs="Times New Roman"/>
          <w:i/>
          <w:iCs/>
        </w:rPr>
        <w:t>Wales Between the Wars</w:t>
      </w:r>
      <w:r w:rsidRPr="00B1789D">
        <w:rPr>
          <w:rFonts w:ascii="Times New Roman" w:hAnsi="Times New Roman" w:cs="Times New Roman"/>
        </w:rPr>
        <w:t xml:space="preserve"> (University of Wales Press, 1988)</w:t>
      </w:r>
      <w:r w:rsidR="00CD3845">
        <w:rPr>
          <w:rFonts w:ascii="Times New Roman" w:hAnsi="Times New Roman" w:cs="Times New Roman"/>
        </w:rPr>
        <w:t>.</w:t>
      </w:r>
    </w:p>
    <w:p w14:paraId="2324E300" w14:textId="192760B1" w:rsidR="00B1789D" w:rsidRPr="00B1789D" w:rsidRDefault="00B1789D" w:rsidP="00B1789D">
      <w:pPr>
        <w:spacing w:line="360" w:lineRule="auto"/>
        <w:rPr>
          <w:rFonts w:ascii="Times New Roman" w:hAnsi="Times New Roman" w:cs="Times New Roman"/>
        </w:rPr>
      </w:pPr>
      <w:r w:rsidRPr="00B1789D">
        <w:rPr>
          <w:rFonts w:ascii="Times New Roman" w:hAnsi="Times New Roman" w:cs="Times New Roman"/>
        </w:rPr>
        <w:t xml:space="preserve">Williams, Chris, </w:t>
      </w:r>
      <w:r w:rsidRPr="00A01D32">
        <w:rPr>
          <w:rFonts w:ascii="Times New Roman" w:hAnsi="Times New Roman" w:cs="Times New Roman"/>
          <w:i/>
          <w:iCs/>
        </w:rPr>
        <w:t>Capitalism, Community and Conflict: The South Wales Coalfield, 1898-1947</w:t>
      </w:r>
      <w:r w:rsidRPr="00B1789D">
        <w:rPr>
          <w:rFonts w:ascii="Times New Roman" w:hAnsi="Times New Roman" w:cs="Times New Roman"/>
        </w:rPr>
        <w:t xml:space="preserve"> (University of Wales Press, 1998)</w:t>
      </w:r>
      <w:r w:rsidR="00CD3845">
        <w:rPr>
          <w:rFonts w:ascii="Times New Roman" w:hAnsi="Times New Roman" w:cs="Times New Roman"/>
        </w:rPr>
        <w:t>.</w:t>
      </w:r>
    </w:p>
    <w:p w14:paraId="59253D82" w14:textId="5592DE1E" w:rsidR="00B1789D" w:rsidRDefault="00B1789D" w:rsidP="00B1789D">
      <w:pPr>
        <w:spacing w:line="360" w:lineRule="auto"/>
        <w:rPr>
          <w:rFonts w:ascii="Times New Roman" w:hAnsi="Times New Roman" w:cs="Times New Roman"/>
        </w:rPr>
      </w:pPr>
      <w:r w:rsidRPr="00B1789D">
        <w:rPr>
          <w:rFonts w:ascii="Times New Roman" w:hAnsi="Times New Roman" w:cs="Times New Roman"/>
        </w:rPr>
        <w:t xml:space="preserve">Morgan, Kenneth O., </w:t>
      </w:r>
      <w:r w:rsidRPr="00A01D32">
        <w:rPr>
          <w:rFonts w:ascii="Times New Roman" w:hAnsi="Times New Roman" w:cs="Times New Roman"/>
          <w:i/>
          <w:iCs/>
        </w:rPr>
        <w:t>Rebirth of a Nation: Wales 1880-1980</w:t>
      </w:r>
      <w:r w:rsidRPr="00B1789D">
        <w:rPr>
          <w:rFonts w:ascii="Times New Roman" w:hAnsi="Times New Roman" w:cs="Times New Roman"/>
        </w:rPr>
        <w:t xml:space="preserve"> (Oxford University Press, 1982)</w:t>
      </w:r>
      <w:r w:rsidR="00CD3845">
        <w:rPr>
          <w:rFonts w:ascii="Times New Roman" w:hAnsi="Times New Roman" w:cs="Times New Roman"/>
        </w:rPr>
        <w:t>.</w:t>
      </w:r>
    </w:p>
    <w:p w14:paraId="445D6317" w14:textId="46B1416A" w:rsidR="00CD3845" w:rsidRPr="00B1789D" w:rsidRDefault="00CD3845" w:rsidP="00B1789D">
      <w:pPr>
        <w:spacing w:line="360" w:lineRule="auto"/>
        <w:rPr>
          <w:rFonts w:ascii="Times New Roman" w:hAnsi="Times New Roman" w:cs="Times New Roman"/>
        </w:rPr>
      </w:pPr>
      <w:r w:rsidRPr="00CD3845">
        <w:rPr>
          <w:rFonts w:ascii="Times New Roman" w:hAnsi="Times New Roman" w:cs="Times New Roman"/>
        </w:rPr>
        <w:t xml:space="preserve">Simon Brooks, </w:t>
      </w:r>
      <w:r w:rsidRPr="00A01D32">
        <w:rPr>
          <w:rFonts w:ascii="Times New Roman" w:hAnsi="Times New Roman" w:cs="Times New Roman"/>
          <w:i/>
          <w:iCs/>
        </w:rPr>
        <w:t>Why Wales Never Was: The failure of Welsh Nationalism</w:t>
      </w:r>
      <w:r w:rsidRPr="00CD3845">
        <w:rPr>
          <w:rFonts w:ascii="Times New Roman" w:hAnsi="Times New Roman" w:cs="Times New Roman"/>
        </w:rPr>
        <w:t xml:space="preserve"> (Cardiff: University of Wales Press, 2017).</w:t>
      </w:r>
    </w:p>
    <w:p w14:paraId="04B57B26" w14:textId="77777777" w:rsidR="00B1789D" w:rsidRPr="00B1789D" w:rsidRDefault="00B1789D" w:rsidP="00B1789D">
      <w:pPr>
        <w:spacing w:line="360" w:lineRule="auto"/>
        <w:rPr>
          <w:rFonts w:ascii="Times New Roman" w:hAnsi="Times New Roman" w:cs="Times New Roman"/>
        </w:rPr>
      </w:pPr>
      <w:r w:rsidRPr="00B1789D">
        <w:rPr>
          <w:rFonts w:ascii="Times New Roman" w:hAnsi="Times New Roman" w:cs="Times New Roman"/>
        </w:rPr>
        <w:t>Pearce, C., &amp; Durham, H. (2015) “Patterns of Dissent in Britain during the First World War”, War &amp; Society, 34(2), 140–159. https://doi.org/10.1179/0729247314Z.00000000052</w:t>
      </w:r>
    </w:p>
    <w:p w14:paraId="414208E4" w14:textId="77777777" w:rsidR="00B1789D" w:rsidRPr="00B1789D" w:rsidRDefault="00B1789D" w:rsidP="00B1789D">
      <w:pPr>
        <w:spacing w:line="360" w:lineRule="auto"/>
        <w:rPr>
          <w:rFonts w:ascii="Times New Roman" w:hAnsi="Times New Roman" w:cs="Times New Roman"/>
        </w:rPr>
      </w:pPr>
    </w:p>
    <w:p w14:paraId="605D20DB" w14:textId="77777777" w:rsidR="00B1789D" w:rsidRPr="00B1789D" w:rsidRDefault="00B1789D" w:rsidP="009247BA">
      <w:pPr>
        <w:spacing w:line="360" w:lineRule="auto"/>
        <w:rPr>
          <w:rFonts w:ascii="Times New Roman" w:hAnsi="Times New Roman" w:cs="Times New Roman"/>
        </w:rPr>
      </w:pPr>
    </w:p>
    <w:p w14:paraId="234F9E57" w14:textId="77777777" w:rsidR="00F31900" w:rsidRDefault="00F31900" w:rsidP="009247BA">
      <w:pPr>
        <w:spacing w:line="360" w:lineRule="auto"/>
        <w:rPr>
          <w:rFonts w:ascii="Times New Roman" w:hAnsi="Times New Roman" w:cs="Times New Roman"/>
          <w:b/>
          <w:bCs/>
          <w:sz w:val="28"/>
          <w:szCs w:val="28"/>
        </w:rPr>
      </w:pPr>
    </w:p>
    <w:p w14:paraId="2C9480C8" w14:textId="77777777" w:rsidR="00F31900" w:rsidRPr="00F31900" w:rsidRDefault="00F31900" w:rsidP="009247BA">
      <w:pPr>
        <w:spacing w:line="360" w:lineRule="auto"/>
        <w:rPr>
          <w:rFonts w:ascii="Times New Roman" w:hAnsi="Times New Roman" w:cs="Times New Roman"/>
          <w:sz w:val="28"/>
          <w:szCs w:val="28"/>
        </w:rPr>
      </w:pPr>
    </w:p>
    <w:sectPr w:rsidR="00F31900" w:rsidRPr="00F31900">
      <w:footerReference w:type="default" r:id="rId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46240D" w14:textId="77777777" w:rsidR="00AA040C" w:rsidRDefault="00AA040C" w:rsidP="009247BA">
      <w:pPr>
        <w:spacing w:after="0" w:line="240" w:lineRule="auto"/>
      </w:pPr>
      <w:r>
        <w:separator/>
      </w:r>
    </w:p>
  </w:endnote>
  <w:endnote w:type="continuationSeparator" w:id="0">
    <w:p w14:paraId="18A0F5C0" w14:textId="77777777" w:rsidR="00AA040C" w:rsidRDefault="00AA040C" w:rsidP="009247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4392450"/>
      <w:docPartObj>
        <w:docPartGallery w:val="Page Numbers (Bottom of Page)"/>
        <w:docPartUnique/>
      </w:docPartObj>
    </w:sdtPr>
    <w:sdtEndPr>
      <w:rPr>
        <w:noProof/>
      </w:rPr>
    </w:sdtEndPr>
    <w:sdtContent>
      <w:p w14:paraId="6041F533" w14:textId="0F3B302F" w:rsidR="00302CC9" w:rsidRDefault="00302C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CAC4EC" w14:textId="77777777" w:rsidR="00302CC9" w:rsidRDefault="00302C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F3EDB6" w14:textId="77777777" w:rsidR="00AA040C" w:rsidRDefault="00AA040C" w:rsidP="009247BA">
      <w:pPr>
        <w:spacing w:after="0" w:line="240" w:lineRule="auto"/>
      </w:pPr>
      <w:r>
        <w:separator/>
      </w:r>
    </w:p>
  </w:footnote>
  <w:footnote w:type="continuationSeparator" w:id="0">
    <w:p w14:paraId="50F3B421" w14:textId="77777777" w:rsidR="00AA040C" w:rsidRDefault="00AA040C" w:rsidP="009247BA">
      <w:pPr>
        <w:spacing w:after="0" w:line="240" w:lineRule="auto"/>
      </w:pPr>
      <w:r>
        <w:continuationSeparator/>
      </w:r>
    </w:p>
  </w:footnote>
  <w:footnote w:id="1">
    <w:p w14:paraId="644B39A4" w14:textId="47207C8D" w:rsidR="00821573" w:rsidRDefault="00821573">
      <w:pPr>
        <w:pStyle w:val="FootnoteText"/>
      </w:pPr>
      <w:r>
        <w:rPr>
          <w:rStyle w:val="FootnoteReference"/>
        </w:rPr>
        <w:footnoteRef/>
      </w:r>
      <w:r>
        <w:t xml:space="preserve"> </w:t>
      </w:r>
      <w:r w:rsidR="002A3C93" w:rsidRPr="002A3C93">
        <w:t xml:space="preserve">Kenneth </w:t>
      </w:r>
      <w:r w:rsidRPr="00821573">
        <w:t xml:space="preserve">Morgan, </w:t>
      </w:r>
      <w:r w:rsidRPr="00821573">
        <w:rPr>
          <w:i/>
          <w:iCs/>
        </w:rPr>
        <w:t>Rebirth of a Nation: Wales 1880-1980</w:t>
      </w:r>
      <w:r w:rsidRPr="00821573">
        <w:t xml:space="preserve"> (Oxford University Press, 1982)</w:t>
      </w:r>
      <w:r w:rsidR="00C867AE">
        <w:t>,60.</w:t>
      </w:r>
    </w:p>
  </w:footnote>
  <w:footnote w:id="2">
    <w:p w14:paraId="5723215A" w14:textId="1AA55FC6" w:rsidR="0040527F" w:rsidRDefault="0040527F">
      <w:pPr>
        <w:pStyle w:val="FootnoteText"/>
      </w:pPr>
      <w:r>
        <w:rPr>
          <w:rStyle w:val="FootnoteReference"/>
        </w:rPr>
        <w:footnoteRef/>
      </w:r>
      <w:r>
        <w:t xml:space="preserve"> </w:t>
      </w:r>
      <w:r w:rsidRPr="0040527F">
        <w:t xml:space="preserve">Morgan, </w:t>
      </w:r>
      <w:r w:rsidRPr="00D9004F">
        <w:rPr>
          <w:i/>
          <w:iCs/>
        </w:rPr>
        <w:t>Rebirth of a Nation</w:t>
      </w:r>
      <w:r>
        <w:t>, 59.</w:t>
      </w:r>
    </w:p>
  </w:footnote>
  <w:footnote w:id="3">
    <w:p w14:paraId="64A3318F" w14:textId="72BAD510" w:rsidR="00D9004F" w:rsidRDefault="00D9004F">
      <w:pPr>
        <w:pStyle w:val="FootnoteText"/>
      </w:pPr>
      <w:r>
        <w:rPr>
          <w:rStyle w:val="FootnoteReference"/>
        </w:rPr>
        <w:footnoteRef/>
      </w:r>
      <w:r>
        <w:t xml:space="preserve">  </w:t>
      </w:r>
      <w:r w:rsidRPr="00D9004F">
        <w:t>Chris Williams</w:t>
      </w:r>
      <w:r>
        <w:t xml:space="preserve">, </w:t>
      </w:r>
      <w:r w:rsidRPr="00D9004F">
        <w:rPr>
          <w:i/>
          <w:iCs/>
        </w:rPr>
        <w:t>Capitalism, Community and Conflict: The South Wales Coalfield, 1898-1947</w:t>
      </w:r>
      <w:r w:rsidRPr="00D9004F">
        <w:t xml:space="preserve"> (</w:t>
      </w:r>
      <w:r w:rsidR="00BD4E0C">
        <w:t xml:space="preserve">Cardiff: </w:t>
      </w:r>
      <w:r w:rsidRPr="00D9004F">
        <w:t>University of Wales Press, 1998)</w:t>
      </w:r>
      <w:r>
        <w:t>, 14.</w:t>
      </w:r>
    </w:p>
  </w:footnote>
  <w:footnote w:id="4">
    <w:p w14:paraId="0F1A4511" w14:textId="575EF93E" w:rsidR="00E35CAC" w:rsidRDefault="00E35CAC">
      <w:pPr>
        <w:pStyle w:val="FootnoteText"/>
      </w:pPr>
      <w:r>
        <w:rPr>
          <w:rStyle w:val="FootnoteReference"/>
        </w:rPr>
        <w:footnoteRef/>
      </w:r>
      <w:r>
        <w:t xml:space="preserve"> </w:t>
      </w:r>
      <w:r w:rsidRPr="00E35CAC">
        <w:t xml:space="preserve">Williams, </w:t>
      </w:r>
      <w:r w:rsidRPr="00E35CAC">
        <w:rPr>
          <w:i/>
          <w:iCs/>
        </w:rPr>
        <w:t>Capitalism, Community and Conflict</w:t>
      </w:r>
      <w:r>
        <w:t>, 20.</w:t>
      </w:r>
    </w:p>
  </w:footnote>
  <w:footnote w:id="5">
    <w:p w14:paraId="3F372F81" w14:textId="48252E1E" w:rsidR="00892B13" w:rsidRDefault="00892B13">
      <w:pPr>
        <w:pStyle w:val="FootnoteText"/>
      </w:pPr>
      <w:r>
        <w:rPr>
          <w:rStyle w:val="FootnoteReference"/>
        </w:rPr>
        <w:footnoteRef/>
      </w:r>
      <w:r>
        <w:t xml:space="preserve"> </w:t>
      </w:r>
      <w:r w:rsidR="005B1D56" w:rsidRPr="005B1D56">
        <w:t>Trevo</w:t>
      </w:r>
      <w:r w:rsidR="005B1D56">
        <w:t xml:space="preserve">r </w:t>
      </w:r>
      <w:r w:rsidRPr="00892B13">
        <w:t>Herbert, and Gareth Elwyn Jones (eds.)</w:t>
      </w:r>
      <w:r w:rsidR="00B76F6B">
        <w:t xml:space="preserve">, </w:t>
      </w:r>
      <w:r w:rsidRPr="00892B13">
        <w:rPr>
          <w:i/>
          <w:iCs/>
        </w:rPr>
        <w:t>Wales Between the Wars</w:t>
      </w:r>
      <w:r w:rsidRPr="00892B13">
        <w:t xml:space="preserve"> (</w:t>
      </w:r>
      <w:r w:rsidR="00BD4E0C">
        <w:t xml:space="preserve">Cardiff: </w:t>
      </w:r>
      <w:r w:rsidRPr="00892B13">
        <w:t>University of Wales Press, 1988)</w:t>
      </w:r>
      <w:r>
        <w:t>, 62.</w:t>
      </w:r>
    </w:p>
  </w:footnote>
  <w:footnote w:id="6">
    <w:p w14:paraId="39DE91FC" w14:textId="1D630E31" w:rsidR="005B1D56" w:rsidRDefault="005B1D56">
      <w:pPr>
        <w:pStyle w:val="FootnoteText"/>
      </w:pPr>
      <w:r>
        <w:rPr>
          <w:rStyle w:val="FootnoteReference"/>
        </w:rPr>
        <w:footnoteRef/>
      </w:r>
      <w:r>
        <w:t xml:space="preserve"> </w:t>
      </w:r>
      <w:r w:rsidRPr="00B1240A">
        <w:rPr>
          <w:i/>
          <w:iCs/>
        </w:rPr>
        <w:t>Wales Between the Wars</w:t>
      </w:r>
      <w:r>
        <w:t>, 28.</w:t>
      </w:r>
    </w:p>
  </w:footnote>
  <w:footnote w:id="7">
    <w:p w14:paraId="11D72AC7" w14:textId="60F1327F" w:rsidR="00B1240A" w:rsidRDefault="00B1240A">
      <w:pPr>
        <w:pStyle w:val="FootnoteText"/>
      </w:pPr>
      <w:r>
        <w:rPr>
          <w:rStyle w:val="FootnoteReference"/>
        </w:rPr>
        <w:footnoteRef/>
      </w:r>
      <w:r>
        <w:t xml:space="preserve"> </w:t>
      </w:r>
      <w:r w:rsidRPr="00B1240A">
        <w:t xml:space="preserve">Williams, </w:t>
      </w:r>
      <w:r w:rsidRPr="00EF2F0B">
        <w:rPr>
          <w:i/>
          <w:iCs/>
        </w:rPr>
        <w:t>Capitalism, Community and Conflict</w:t>
      </w:r>
      <w:r w:rsidRPr="00B1240A">
        <w:t>, 2</w:t>
      </w:r>
      <w:r>
        <w:t>1.</w:t>
      </w:r>
    </w:p>
  </w:footnote>
  <w:footnote w:id="8">
    <w:p w14:paraId="09A64EF5" w14:textId="62B5B940" w:rsidR="00BF3626" w:rsidRDefault="00BF3626">
      <w:pPr>
        <w:pStyle w:val="FootnoteText"/>
      </w:pPr>
      <w:r>
        <w:rPr>
          <w:rStyle w:val="FootnoteReference"/>
        </w:rPr>
        <w:footnoteRef/>
      </w:r>
      <w:r>
        <w:t xml:space="preserve"> </w:t>
      </w:r>
      <w:r w:rsidRPr="00BF3626">
        <w:t xml:space="preserve">Morgan, </w:t>
      </w:r>
      <w:r w:rsidRPr="00BF3626">
        <w:rPr>
          <w:i/>
          <w:iCs/>
        </w:rPr>
        <w:t>Rebirth of a Nation: Wales</w:t>
      </w:r>
      <w:r w:rsidR="00EF2F0B">
        <w:t xml:space="preserve">, </w:t>
      </w:r>
      <w:r>
        <w:t>160.</w:t>
      </w:r>
    </w:p>
  </w:footnote>
  <w:footnote w:id="9">
    <w:p w14:paraId="18ECCBA0" w14:textId="3599372C" w:rsidR="00EF2F0B" w:rsidRDefault="00EF2F0B">
      <w:pPr>
        <w:pStyle w:val="FootnoteText"/>
      </w:pPr>
      <w:r>
        <w:rPr>
          <w:rStyle w:val="FootnoteReference"/>
        </w:rPr>
        <w:footnoteRef/>
      </w:r>
      <w:r>
        <w:t xml:space="preserve"> Id, 224.</w:t>
      </w:r>
    </w:p>
  </w:footnote>
  <w:footnote w:id="10">
    <w:p w14:paraId="20B924A1" w14:textId="74FF5FF6" w:rsidR="00CC0E70" w:rsidRDefault="00CC0E70">
      <w:pPr>
        <w:pStyle w:val="FootnoteText"/>
      </w:pPr>
      <w:r>
        <w:rPr>
          <w:rStyle w:val="FootnoteReference"/>
        </w:rPr>
        <w:footnoteRef/>
      </w:r>
      <w:r>
        <w:t xml:space="preserve"> Id,183-185.</w:t>
      </w:r>
    </w:p>
  </w:footnote>
  <w:footnote w:id="11">
    <w:p w14:paraId="39938CFC" w14:textId="5C6B9916" w:rsidR="00CD609C" w:rsidRDefault="00CD609C">
      <w:pPr>
        <w:pStyle w:val="FootnoteText"/>
      </w:pPr>
      <w:r>
        <w:rPr>
          <w:rStyle w:val="FootnoteReference"/>
        </w:rPr>
        <w:footnoteRef/>
      </w:r>
      <w:r>
        <w:t xml:space="preserve"> </w:t>
      </w:r>
      <w:hyperlink r:id="rId1" w:anchor="?c=0&amp;m=0&amp;s=0&amp;cv=0" w:history="1">
        <w:r w:rsidRPr="00B31EDF">
          <w:rPr>
            <w:rStyle w:val="Hyperlink"/>
          </w:rPr>
          <w:t>https://collections.swansea.ac.uk/s/black-friday-and-the-1921-lockout/page/blackfriday#?c=0&amp;m=0&amp;s=0&amp;cv=0</w:t>
        </w:r>
      </w:hyperlink>
      <w:r>
        <w:t xml:space="preserve"> </w:t>
      </w:r>
      <w:r w:rsidR="002559BD">
        <w:t>(Accessed</w:t>
      </w:r>
      <w:r>
        <w:t xml:space="preserve"> 10/04/2025).</w:t>
      </w:r>
    </w:p>
  </w:footnote>
  <w:footnote w:id="12">
    <w:p w14:paraId="32F2BE01" w14:textId="7767C0EC" w:rsidR="00F80D74" w:rsidRDefault="00F80D74">
      <w:pPr>
        <w:pStyle w:val="FootnoteText"/>
      </w:pPr>
      <w:r>
        <w:rPr>
          <w:rStyle w:val="FootnoteReference"/>
        </w:rPr>
        <w:footnoteRef/>
      </w:r>
      <w:r>
        <w:t xml:space="preserve"> </w:t>
      </w:r>
      <w:r w:rsidRPr="00F80D74">
        <w:t>Pearce, C., &amp; Durham, H. (2015) “Patterns of Dissent in Britain during the First World War”, War &amp; Society, 34(2), 140–159.</w:t>
      </w:r>
    </w:p>
  </w:footnote>
  <w:footnote w:id="13">
    <w:p w14:paraId="556C6911" w14:textId="4A99B040" w:rsidR="00770F9D" w:rsidRDefault="00770F9D">
      <w:pPr>
        <w:pStyle w:val="FootnoteText"/>
      </w:pPr>
      <w:r>
        <w:rPr>
          <w:rStyle w:val="FootnoteReference"/>
        </w:rPr>
        <w:footnoteRef/>
      </w:r>
      <w:r>
        <w:t xml:space="preserve"> </w:t>
      </w:r>
      <w:r w:rsidRPr="00770F9D">
        <w:t xml:space="preserve">  Morgan, </w:t>
      </w:r>
      <w:r w:rsidRPr="007957DF">
        <w:rPr>
          <w:i/>
          <w:iCs/>
        </w:rPr>
        <w:t>Rebirth of a Nation: Wales</w:t>
      </w:r>
      <w:r w:rsidRPr="00770F9D">
        <w:t>,</w:t>
      </w:r>
      <w:r>
        <w:t xml:space="preserve"> 13.</w:t>
      </w:r>
    </w:p>
  </w:footnote>
  <w:footnote w:id="14">
    <w:p w14:paraId="64793B0A" w14:textId="0D715C72" w:rsidR="00BD4E0C" w:rsidRDefault="00BD4E0C">
      <w:pPr>
        <w:pStyle w:val="FootnoteText"/>
      </w:pPr>
      <w:r>
        <w:rPr>
          <w:rStyle w:val="FootnoteReference"/>
        </w:rPr>
        <w:footnoteRef/>
      </w:r>
      <w:r>
        <w:t xml:space="preserve">  </w:t>
      </w:r>
      <w:bookmarkStart w:id="1" w:name="_Hlk195265679"/>
      <w:r w:rsidRPr="00BD4E0C">
        <w:t>Simon Brooks</w:t>
      </w:r>
      <w:r>
        <w:t xml:space="preserve">, </w:t>
      </w:r>
      <w:r w:rsidRPr="00C67A6C">
        <w:rPr>
          <w:i/>
          <w:iCs/>
        </w:rPr>
        <w:t>Why Wales Never Was: The failure of Welsh Nationalism</w:t>
      </w:r>
      <w:r>
        <w:t xml:space="preserve"> (Cardiff:</w:t>
      </w:r>
      <w:r w:rsidRPr="00BD4E0C">
        <w:t xml:space="preserve"> University of Wales Press</w:t>
      </w:r>
      <w:r>
        <w:t>, 2017).</w:t>
      </w:r>
      <w:bookmarkEnd w:id="1"/>
      <w:r w:rsidR="00C67A6C">
        <w:t>16.</w:t>
      </w:r>
      <w:r>
        <w:t xml:space="preserve">  </w:t>
      </w:r>
    </w:p>
  </w:footnote>
  <w:footnote w:id="15">
    <w:p w14:paraId="29AE9B85" w14:textId="3463D6DB" w:rsidR="007957DF" w:rsidRDefault="007957DF">
      <w:pPr>
        <w:pStyle w:val="FootnoteText"/>
      </w:pPr>
      <w:r>
        <w:rPr>
          <w:rStyle w:val="FootnoteReference"/>
        </w:rPr>
        <w:footnoteRef/>
      </w:r>
      <w:r>
        <w:t xml:space="preserve"> </w:t>
      </w:r>
      <w:r w:rsidRPr="007957DF">
        <w:t xml:space="preserve">Williams, </w:t>
      </w:r>
      <w:r w:rsidRPr="00753572">
        <w:rPr>
          <w:i/>
          <w:iCs/>
        </w:rPr>
        <w:t>Capitalism, Community and Conflict</w:t>
      </w:r>
      <w:r w:rsidR="00753572">
        <w:t>, 21-22.</w:t>
      </w:r>
    </w:p>
  </w:footnote>
  <w:footnote w:id="16">
    <w:p w14:paraId="7A78224B" w14:textId="00BCE40A" w:rsidR="00D12643" w:rsidRDefault="00D12643">
      <w:pPr>
        <w:pStyle w:val="FootnoteText"/>
      </w:pPr>
      <w:r>
        <w:rPr>
          <w:rStyle w:val="FootnoteReference"/>
        </w:rPr>
        <w:footnoteRef/>
      </w:r>
      <w:r>
        <w:t xml:space="preserve"> </w:t>
      </w:r>
      <w:r w:rsidR="00CD3845" w:rsidRPr="00CD3845">
        <w:t>Brooks, Why Wales Never Was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7BA"/>
    <w:rsid w:val="00154916"/>
    <w:rsid w:val="001660F4"/>
    <w:rsid w:val="001A03E9"/>
    <w:rsid w:val="001C619E"/>
    <w:rsid w:val="00244C65"/>
    <w:rsid w:val="002559BD"/>
    <w:rsid w:val="00297E27"/>
    <w:rsid w:val="002A3C93"/>
    <w:rsid w:val="002D08D4"/>
    <w:rsid w:val="00302CC9"/>
    <w:rsid w:val="00320B61"/>
    <w:rsid w:val="003750B3"/>
    <w:rsid w:val="003D3E40"/>
    <w:rsid w:val="0040527F"/>
    <w:rsid w:val="00442042"/>
    <w:rsid w:val="00516B9A"/>
    <w:rsid w:val="005430AB"/>
    <w:rsid w:val="005B1D56"/>
    <w:rsid w:val="005B4AC2"/>
    <w:rsid w:val="00653E48"/>
    <w:rsid w:val="006E26EA"/>
    <w:rsid w:val="00753572"/>
    <w:rsid w:val="00770F9D"/>
    <w:rsid w:val="007957DF"/>
    <w:rsid w:val="00821573"/>
    <w:rsid w:val="00892B13"/>
    <w:rsid w:val="00911FF1"/>
    <w:rsid w:val="009247BA"/>
    <w:rsid w:val="009870D3"/>
    <w:rsid w:val="009922AD"/>
    <w:rsid w:val="00A01D32"/>
    <w:rsid w:val="00A12570"/>
    <w:rsid w:val="00A52AAF"/>
    <w:rsid w:val="00AA040C"/>
    <w:rsid w:val="00B1240A"/>
    <w:rsid w:val="00B1789D"/>
    <w:rsid w:val="00B4601B"/>
    <w:rsid w:val="00B76F6B"/>
    <w:rsid w:val="00BC0A0A"/>
    <w:rsid w:val="00BC0C75"/>
    <w:rsid w:val="00BD4E0C"/>
    <w:rsid w:val="00BF3626"/>
    <w:rsid w:val="00C16CA7"/>
    <w:rsid w:val="00C32C95"/>
    <w:rsid w:val="00C67A6C"/>
    <w:rsid w:val="00C867AE"/>
    <w:rsid w:val="00CC0E70"/>
    <w:rsid w:val="00CC3FAE"/>
    <w:rsid w:val="00CD3845"/>
    <w:rsid w:val="00CD609C"/>
    <w:rsid w:val="00D12643"/>
    <w:rsid w:val="00D42B9F"/>
    <w:rsid w:val="00D9004F"/>
    <w:rsid w:val="00D959DB"/>
    <w:rsid w:val="00DB6AB2"/>
    <w:rsid w:val="00DC056F"/>
    <w:rsid w:val="00DF1299"/>
    <w:rsid w:val="00E35CAC"/>
    <w:rsid w:val="00E3722C"/>
    <w:rsid w:val="00EF2F0B"/>
    <w:rsid w:val="00F27BCE"/>
    <w:rsid w:val="00F31900"/>
    <w:rsid w:val="00F80D74"/>
    <w:rsid w:val="00FD2559"/>
    <w:rsid w:val="00FD4005"/>
    <w:rsid w:val="00FE4487"/>
    <w:rsid w:val="00FE56B4"/>
    <w:rsid w:val="00FF31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E683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47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47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47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47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47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47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47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47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47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47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47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47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47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47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47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47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47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47BA"/>
    <w:rPr>
      <w:rFonts w:eastAsiaTheme="majorEastAsia" w:cstheme="majorBidi"/>
      <w:color w:val="272727" w:themeColor="text1" w:themeTint="D8"/>
    </w:rPr>
  </w:style>
  <w:style w:type="paragraph" w:styleId="Title">
    <w:name w:val="Title"/>
    <w:basedOn w:val="Normal"/>
    <w:next w:val="Normal"/>
    <w:link w:val="TitleChar"/>
    <w:uiPriority w:val="10"/>
    <w:qFormat/>
    <w:rsid w:val="009247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47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47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47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47BA"/>
    <w:pPr>
      <w:spacing w:before="160"/>
      <w:jc w:val="center"/>
    </w:pPr>
    <w:rPr>
      <w:i/>
      <w:iCs/>
      <w:color w:val="404040" w:themeColor="text1" w:themeTint="BF"/>
    </w:rPr>
  </w:style>
  <w:style w:type="character" w:customStyle="1" w:styleId="QuoteChar">
    <w:name w:val="Quote Char"/>
    <w:basedOn w:val="DefaultParagraphFont"/>
    <w:link w:val="Quote"/>
    <w:uiPriority w:val="29"/>
    <w:rsid w:val="009247BA"/>
    <w:rPr>
      <w:i/>
      <w:iCs/>
      <w:color w:val="404040" w:themeColor="text1" w:themeTint="BF"/>
    </w:rPr>
  </w:style>
  <w:style w:type="paragraph" w:styleId="ListParagraph">
    <w:name w:val="List Paragraph"/>
    <w:basedOn w:val="Normal"/>
    <w:uiPriority w:val="34"/>
    <w:qFormat/>
    <w:rsid w:val="009247BA"/>
    <w:pPr>
      <w:ind w:left="720"/>
      <w:contextualSpacing/>
    </w:pPr>
  </w:style>
  <w:style w:type="character" w:styleId="IntenseEmphasis">
    <w:name w:val="Intense Emphasis"/>
    <w:basedOn w:val="DefaultParagraphFont"/>
    <w:uiPriority w:val="21"/>
    <w:qFormat/>
    <w:rsid w:val="009247BA"/>
    <w:rPr>
      <w:i/>
      <w:iCs/>
      <w:color w:val="0F4761" w:themeColor="accent1" w:themeShade="BF"/>
    </w:rPr>
  </w:style>
  <w:style w:type="paragraph" w:styleId="IntenseQuote">
    <w:name w:val="Intense Quote"/>
    <w:basedOn w:val="Normal"/>
    <w:next w:val="Normal"/>
    <w:link w:val="IntenseQuoteChar"/>
    <w:uiPriority w:val="30"/>
    <w:qFormat/>
    <w:rsid w:val="009247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47BA"/>
    <w:rPr>
      <w:i/>
      <w:iCs/>
      <w:color w:val="0F4761" w:themeColor="accent1" w:themeShade="BF"/>
    </w:rPr>
  </w:style>
  <w:style w:type="character" w:styleId="IntenseReference">
    <w:name w:val="Intense Reference"/>
    <w:basedOn w:val="DefaultParagraphFont"/>
    <w:uiPriority w:val="32"/>
    <w:qFormat/>
    <w:rsid w:val="009247BA"/>
    <w:rPr>
      <w:b/>
      <w:bCs/>
      <w:smallCaps/>
      <w:color w:val="0F4761" w:themeColor="accent1" w:themeShade="BF"/>
      <w:spacing w:val="5"/>
    </w:rPr>
  </w:style>
  <w:style w:type="paragraph" w:styleId="Header">
    <w:name w:val="header"/>
    <w:basedOn w:val="Normal"/>
    <w:link w:val="HeaderChar"/>
    <w:uiPriority w:val="99"/>
    <w:unhideWhenUsed/>
    <w:rsid w:val="009247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47BA"/>
  </w:style>
  <w:style w:type="paragraph" w:styleId="Footer">
    <w:name w:val="footer"/>
    <w:basedOn w:val="Normal"/>
    <w:link w:val="FooterChar"/>
    <w:uiPriority w:val="99"/>
    <w:unhideWhenUsed/>
    <w:rsid w:val="009247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47BA"/>
  </w:style>
  <w:style w:type="paragraph" w:styleId="FootnoteText">
    <w:name w:val="footnote text"/>
    <w:basedOn w:val="Normal"/>
    <w:link w:val="FootnoteTextChar"/>
    <w:uiPriority w:val="99"/>
    <w:semiHidden/>
    <w:unhideWhenUsed/>
    <w:rsid w:val="0082157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21573"/>
    <w:rPr>
      <w:sz w:val="20"/>
      <w:szCs w:val="20"/>
    </w:rPr>
  </w:style>
  <w:style w:type="character" w:styleId="FootnoteReference">
    <w:name w:val="footnote reference"/>
    <w:basedOn w:val="DefaultParagraphFont"/>
    <w:uiPriority w:val="99"/>
    <w:semiHidden/>
    <w:unhideWhenUsed/>
    <w:rsid w:val="00821573"/>
    <w:rPr>
      <w:vertAlign w:val="superscript"/>
    </w:rPr>
  </w:style>
  <w:style w:type="character" w:styleId="Hyperlink">
    <w:name w:val="Hyperlink"/>
    <w:basedOn w:val="DefaultParagraphFont"/>
    <w:uiPriority w:val="99"/>
    <w:unhideWhenUsed/>
    <w:rsid w:val="00CD609C"/>
    <w:rPr>
      <w:color w:val="467886" w:themeColor="hyperlink"/>
      <w:u w:val="single"/>
    </w:rPr>
  </w:style>
  <w:style w:type="character" w:styleId="UnresolvedMention">
    <w:name w:val="Unresolved Mention"/>
    <w:basedOn w:val="DefaultParagraphFont"/>
    <w:uiPriority w:val="99"/>
    <w:semiHidden/>
    <w:unhideWhenUsed/>
    <w:rsid w:val="00CD60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1" Type="http://schemas.openxmlformats.org/officeDocument/2006/relationships/hyperlink" Target="https://collections.swansea.ac.uk/s/black-friday-and-the-1921-lockout/page/blackfrid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2210</Words>
  <Characters>12603</Characters>
  <Application>Microsoft Office Word</Application>
  <DocSecurity>0</DocSecurity>
  <Lines>105</Lines>
  <Paragraphs>29</Paragraphs>
  <ScaleCrop>false</ScaleCrop>
  <Company/>
  <LinksUpToDate>false</LinksUpToDate>
  <CharactersWithSpaces>14784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2025-04-24T17:35:00Z</dcterms:created>
  <dcterms:modified xsi:type="dcterms:W3CDTF">2025-04-24T17:37:00Z</dcterms:modified>
</cp:coreProperties>
</file>