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9503F" w:rsidRDefault="0079503F" w:rsidP="0079503F">
      <w:pPr>
        <w:rPr>
          <w:rFonts w:ascii="Tahoma" w:eastAsia="Times" w:hAnsi="Tahoma"/>
          <w:b/>
          <w:i/>
          <w:smallCaps/>
          <w:u w:val="single"/>
          <w:lang w:eastAsia="en-GB"/>
        </w:rPr>
      </w:pPr>
      <w:r>
        <w:rPr>
          <w:rFonts w:ascii="Tahoma" w:eastAsia="Times" w:hAnsi="Tahoma"/>
          <w:b/>
          <w:i/>
          <w:smallCaps/>
          <w:u w:val="single"/>
          <w:lang w:eastAsia="en-GB"/>
        </w:rPr>
        <w:t>Psychology of Religion</w:t>
      </w:r>
    </w:p>
    <w:p w:rsidR="0079503F" w:rsidRDefault="0079503F" w:rsidP="0079503F">
      <w:pPr>
        <w:rPr>
          <w:rFonts w:ascii="Tahoma" w:eastAsia="Times" w:hAnsi="Tahoma"/>
          <w:lang w:eastAsia="en-GB"/>
        </w:rPr>
      </w:pPr>
    </w:p>
    <w:p w:rsidR="0079503F" w:rsidRDefault="0079503F" w:rsidP="0079503F">
      <w:pPr>
        <w:rPr>
          <w:rFonts w:ascii="Tahoma" w:eastAsia="Times" w:hAnsi="Tahoma"/>
          <w:lang w:eastAsia="en-GB"/>
        </w:rPr>
      </w:pPr>
    </w:p>
    <w:p w:rsidR="0079503F" w:rsidRDefault="0079503F" w:rsidP="0079503F">
      <w:pPr>
        <w:spacing w:line="360" w:lineRule="auto"/>
        <w:jc w:val="both"/>
        <w:rPr>
          <w:rFonts w:ascii="Tahoma" w:eastAsia="Times" w:hAnsi="Tahoma"/>
          <w:lang w:eastAsia="en-GB"/>
        </w:rPr>
      </w:pPr>
      <w:r>
        <w:rPr>
          <w:rFonts w:ascii="Tahoma" w:eastAsia="Times" w:hAnsi="Tahoma"/>
          <w:lang w:eastAsia="en-GB"/>
        </w:rPr>
        <w:tab/>
        <w:t xml:space="preserve">As its name implies, the Psychology of Religion concerns the relationship between religion and the human mind.  Early in its development, the field was largely concerned with explaining religion in terms of psychological processes, particularly with theories that religions are merely ‘projections’ of human hopes and fears.  Religions exist because they bring comfort and a sense of meaning and justice in a sometimes (apparently) meaningless and unjust world.  While such fears and hopes are part of the human condition, the way they are expressed in religions varies by cultural tradition.  </w:t>
      </w:r>
    </w:p>
    <w:p w:rsidR="0079503F" w:rsidRDefault="0079503F" w:rsidP="0079503F">
      <w:pPr>
        <w:spacing w:line="360" w:lineRule="auto"/>
        <w:ind w:firstLine="720"/>
        <w:jc w:val="both"/>
        <w:rPr>
          <w:rFonts w:ascii="Tahoma" w:eastAsia="Times" w:hAnsi="Tahoma"/>
          <w:lang w:eastAsia="en-GB"/>
        </w:rPr>
      </w:pPr>
      <w:r>
        <w:rPr>
          <w:rFonts w:ascii="Tahoma" w:eastAsia="Times" w:hAnsi="Tahoma"/>
          <w:lang w:eastAsia="en-GB"/>
        </w:rPr>
        <w:t xml:space="preserve">The most famous proponent of this kind of theory was Sigmund Freud (1856-1939), who argued that religion is essentially a type of neurosis, often rooted in early child-parent relationships and/or in fear of transgressing taboos (e.g. incest, prohibition on eating certain foods or killing certain animals).  This neurosis led to irrational cause-and-effect beliefs: that a ritual (i.e. neurotic behaviour) can have a positive supernatural effect.  Another of Freud’s theories was that belief in an afterlife resulted from fear of the dead, </w:t>
      </w:r>
      <w:r>
        <w:rPr>
          <w:rFonts w:ascii="Tahoma" w:hAnsi="Tahoma"/>
        </w:rPr>
        <w:t>a fear which also gave rise to conceptions of malign spirits of the dead and afterlife demons</w:t>
      </w:r>
      <w:r>
        <w:rPr>
          <w:rFonts w:ascii="Tahoma" w:eastAsia="Times" w:hAnsi="Tahoma"/>
          <w:lang w:eastAsia="en-GB"/>
        </w:rPr>
        <w:t xml:space="preserve">.   </w:t>
      </w:r>
    </w:p>
    <w:p w:rsidR="0079503F" w:rsidRDefault="0079503F" w:rsidP="0079503F">
      <w:pPr>
        <w:spacing w:line="360" w:lineRule="auto"/>
        <w:jc w:val="both"/>
        <w:rPr>
          <w:rFonts w:ascii="Tahoma" w:eastAsia="Times" w:hAnsi="Tahoma"/>
          <w:lang w:eastAsia="en-GB"/>
        </w:rPr>
      </w:pPr>
      <w:r>
        <w:rPr>
          <w:rFonts w:ascii="Tahoma" w:eastAsia="Times" w:hAnsi="Tahoma"/>
          <w:lang w:eastAsia="en-GB"/>
        </w:rPr>
        <w:tab/>
        <w:t xml:space="preserve">The Psychology of Religion does not, however, always seek to reduce religious belief and </w:t>
      </w:r>
      <w:proofErr w:type="spellStart"/>
      <w:r>
        <w:rPr>
          <w:rFonts w:ascii="Tahoma" w:eastAsia="Times" w:hAnsi="Tahoma"/>
          <w:lang w:eastAsia="en-GB"/>
        </w:rPr>
        <w:t>phenomona</w:t>
      </w:r>
      <w:proofErr w:type="spellEnd"/>
      <w:r>
        <w:rPr>
          <w:rFonts w:ascii="Tahoma" w:eastAsia="Times" w:hAnsi="Tahoma"/>
          <w:lang w:eastAsia="en-GB"/>
        </w:rPr>
        <w:t xml:space="preserve"> in this way, and can also simply explore the psychologies of religious individuals and their religious behaviours, beliefs, and experiences.  William James (1842-1910) is one notable example, who </w:t>
      </w:r>
      <w:r>
        <w:rPr>
          <w:rFonts w:ascii="Tahoma" w:hAnsi="Tahoma"/>
          <w:lang w:eastAsia="en-GB"/>
        </w:rPr>
        <w:t xml:space="preserve">was primarily interested in the individual’s religious </w:t>
      </w:r>
      <w:r>
        <w:rPr>
          <w:rFonts w:ascii="Tahoma" w:hAnsi="Tahoma"/>
          <w:i/>
          <w:lang w:eastAsia="en-GB"/>
        </w:rPr>
        <w:t>feelings</w:t>
      </w:r>
      <w:r>
        <w:rPr>
          <w:rFonts w:ascii="Tahoma" w:hAnsi="Tahoma"/>
          <w:lang w:eastAsia="en-GB"/>
        </w:rPr>
        <w:t xml:space="preserve"> (an approach which has since been </w:t>
      </w:r>
      <w:r>
        <w:rPr>
          <w:rFonts w:ascii="Tahoma" w:hAnsi="Tahoma"/>
        </w:rPr>
        <w:t xml:space="preserve">criticised as privileging the personal and solitary aspects of religion over the social and community aspects; see </w:t>
      </w:r>
      <w:proofErr w:type="spellStart"/>
      <w:r>
        <w:rPr>
          <w:rFonts w:ascii="Tahoma" w:hAnsi="Tahoma"/>
        </w:rPr>
        <w:t>Spilka</w:t>
      </w:r>
      <w:proofErr w:type="spellEnd"/>
      <w:r>
        <w:rPr>
          <w:rFonts w:ascii="Tahoma" w:hAnsi="Tahoma"/>
        </w:rPr>
        <w:t xml:space="preserve"> et. al. 2003)</w:t>
      </w:r>
      <w:r>
        <w:rPr>
          <w:rFonts w:ascii="Tahoma" w:eastAsia="Times" w:hAnsi="Tahoma"/>
          <w:lang w:eastAsia="en-GB"/>
        </w:rPr>
        <w:t xml:space="preserve">.  James took seriously the testimonies of those who had had religious experiences, rather than ‘projecting’ </w:t>
      </w:r>
      <w:proofErr w:type="spellStart"/>
      <w:r>
        <w:rPr>
          <w:rFonts w:ascii="Tahoma" w:eastAsia="Times" w:hAnsi="Tahoma"/>
          <w:lang w:eastAsia="en-GB"/>
        </w:rPr>
        <w:t>an</w:t>
      </w:r>
      <w:proofErr w:type="spellEnd"/>
      <w:r>
        <w:rPr>
          <w:rFonts w:ascii="Tahoma" w:eastAsia="Times" w:hAnsi="Tahoma"/>
          <w:lang w:eastAsia="en-GB"/>
        </w:rPr>
        <w:t xml:space="preserve"> </w:t>
      </w:r>
      <w:r>
        <w:rPr>
          <w:rFonts w:ascii="Tahoma" w:eastAsia="Times" w:hAnsi="Tahoma"/>
          <w:i/>
          <w:lang w:eastAsia="en-GB"/>
        </w:rPr>
        <w:t>a priori</w:t>
      </w:r>
      <w:r>
        <w:rPr>
          <w:rFonts w:ascii="Tahoma" w:eastAsia="Times" w:hAnsi="Tahoma"/>
          <w:lang w:eastAsia="en-GB"/>
        </w:rPr>
        <w:t xml:space="preserve"> reductionist explanation upon them.  In contrast to Freud, </w:t>
      </w:r>
      <w:r>
        <w:rPr>
          <w:rFonts w:ascii="Tahoma" w:hAnsi="Tahoma"/>
        </w:rPr>
        <w:t xml:space="preserve">he wrote of the ‘philosophical reasonableness and </w:t>
      </w:r>
      <w:r>
        <w:rPr>
          <w:rFonts w:ascii="Tahoma" w:hAnsi="Tahoma"/>
          <w:i/>
        </w:rPr>
        <w:t>moral helpfulness</w:t>
      </w:r>
      <w:r>
        <w:rPr>
          <w:rFonts w:ascii="Tahoma" w:hAnsi="Tahoma"/>
        </w:rPr>
        <w:t xml:space="preserve">’ of religious experience, as opposed to the reductionist view of religion as neurotic, infantile, and something to be outgrown and discarded.  </w:t>
      </w:r>
    </w:p>
    <w:p w:rsidR="0079503F" w:rsidRDefault="0079503F" w:rsidP="0079503F">
      <w:pPr>
        <w:spacing w:line="360" w:lineRule="auto"/>
        <w:ind w:firstLine="720"/>
        <w:jc w:val="both"/>
        <w:rPr>
          <w:rFonts w:ascii="Tahoma" w:eastAsia="Times" w:hAnsi="Tahoma"/>
          <w:lang w:eastAsia="en-GB"/>
        </w:rPr>
      </w:pPr>
      <w:r>
        <w:rPr>
          <w:rFonts w:ascii="Tahoma" w:hAnsi="Tahoma"/>
        </w:rPr>
        <w:t xml:space="preserve">Like most disciplines in the humanities and social sciences, psychology is not one monolithic entity but a cluster of approaches, with varying theories and </w:t>
      </w:r>
      <w:r>
        <w:rPr>
          <w:rFonts w:ascii="Tahoma" w:hAnsi="Tahoma"/>
        </w:rPr>
        <w:lastRenderedPageBreak/>
        <w:t xml:space="preserve">methods.  Psychological approaches to religion are often themselves interdisciplinary.  In ‘depth psychology’ which works with the </w:t>
      </w:r>
      <w:proofErr w:type="spellStart"/>
      <w:r>
        <w:rPr>
          <w:rFonts w:ascii="Tahoma" w:hAnsi="Tahoma"/>
        </w:rPr>
        <w:t>subconcious</w:t>
      </w:r>
      <w:proofErr w:type="spellEnd"/>
      <w:r>
        <w:rPr>
          <w:rFonts w:ascii="Tahoma" w:hAnsi="Tahoma"/>
        </w:rPr>
        <w:t xml:space="preserve"> mind, (including Freudian and Jungian), the researcher interprets clinical and/or literary case studies.  Experimental methods are used in fields such as developmental psychology, behavioural psychology, and cognitive psychology.  For example, an approach called </w:t>
      </w:r>
      <w:r>
        <w:rPr>
          <w:rFonts w:ascii="Tahoma" w:hAnsi="Tahoma"/>
          <w:i/>
        </w:rPr>
        <w:t>psychometrics</w:t>
      </w:r>
      <w:r>
        <w:rPr>
          <w:rFonts w:ascii="Tahoma" w:hAnsi="Tahoma"/>
        </w:rPr>
        <w:t xml:space="preserve"> involves measuring degrees and varying modes of religiosity in people through the use of questionnaires.  Transpersonal psychology integrates depth psychology with perennial philosophy theories (see below); and evolutionary psychology is essentially a cognitive science which looks at religion as an adaptive trait of the human mind.  Another area of research is the relationship between mental illness and religious experience (e.g. whether such experiences are a form of neurosis or insanity, or whether certain types of neuroses or insanities are actually religious experiences).  Other researchers have focused on the effects religious behaviour (e.g. meditation, ritual, prayer) have on one’s moods and outlook.  You can read further about all these approaches in </w:t>
      </w:r>
      <w:proofErr w:type="spellStart"/>
      <w:r>
        <w:rPr>
          <w:rFonts w:ascii="Tahoma" w:hAnsi="Tahoma"/>
        </w:rPr>
        <w:t>Spilka</w:t>
      </w:r>
      <w:proofErr w:type="spellEnd"/>
      <w:r>
        <w:rPr>
          <w:rFonts w:ascii="Tahoma" w:hAnsi="Tahoma"/>
        </w:rPr>
        <w:t xml:space="preserve"> </w:t>
      </w:r>
      <w:proofErr w:type="gramStart"/>
      <w:r>
        <w:rPr>
          <w:rFonts w:ascii="Tahoma" w:hAnsi="Tahoma"/>
        </w:rPr>
        <w:t>et</w:t>
      </w:r>
      <w:proofErr w:type="gramEnd"/>
      <w:r>
        <w:rPr>
          <w:rFonts w:ascii="Tahoma" w:hAnsi="Tahoma"/>
        </w:rPr>
        <w:t xml:space="preserve">. </w:t>
      </w:r>
      <w:proofErr w:type="gramStart"/>
      <w:r>
        <w:rPr>
          <w:rFonts w:ascii="Tahoma" w:hAnsi="Tahoma"/>
        </w:rPr>
        <w:t>al. (2003).</w:t>
      </w:r>
      <w:proofErr w:type="gramEnd"/>
    </w:p>
    <w:p w:rsidR="0079503F" w:rsidRDefault="0079503F" w:rsidP="0079503F">
      <w:pPr>
        <w:spacing w:line="360" w:lineRule="auto"/>
        <w:jc w:val="both"/>
        <w:rPr>
          <w:rFonts w:ascii="Tahoma" w:hAnsi="Tahoma"/>
          <w:i/>
        </w:rPr>
      </w:pPr>
      <w:r>
        <w:rPr>
          <w:rFonts w:ascii="Tahoma" w:eastAsia="Times" w:hAnsi="Tahoma"/>
          <w:lang w:eastAsia="en-GB"/>
        </w:rPr>
        <w:tab/>
        <w:t xml:space="preserve">The psychology of religion also overlaps with the Philosophy of Religion.  This is evident in the work of William James, as well as the field’s other famous figure, Carl Jung (1875-1961).  Jung theorized that there is a </w:t>
      </w:r>
      <w:r>
        <w:rPr>
          <w:rFonts w:ascii="Tahoma" w:hAnsi="Tahoma"/>
        </w:rPr>
        <w:t xml:space="preserve">‘collective unconscious’ of which all humans are a part – a sort of worldwide web of human thought. This system produces archetypes – universal stories and concepts expressed symbolically (e.g. in myths and representations) in consistent ways in all human societies.  This concept allegedly accounts for cross-cultural similarities between different religions.  Jung also saw religion and religious rituals as ways of achieving ‘individuation’, or wholeness.  While such theories have little relevance to </w:t>
      </w:r>
      <w:proofErr w:type="spellStart"/>
      <w:r>
        <w:rPr>
          <w:rFonts w:ascii="Tahoma" w:hAnsi="Tahoma"/>
        </w:rPr>
        <w:t>Beit-Hallami</w:t>
      </w:r>
      <w:proofErr w:type="spellEnd"/>
      <w:r>
        <w:rPr>
          <w:rFonts w:ascii="Tahoma" w:hAnsi="Tahoma"/>
        </w:rPr>
        <w:t xml:space="preserve"> &amp; Argyle’s (1997: xi) definition of the Psychology of Religion as ‘by definition, empirical’,</w:t>
      </w:r>
      <w:r>
        <w:rPr>
          <w:rFonts w:ascii="Tahoma" w:hAnsi="Tahoma"/>
          <w:b/>
        </w:rPr>
        <w:t xml:space="preserve"> </w:t>
      </w:r>
      <w:r>
        <w:rPr>
          <w:rFonts w:ascii="Tahoma" w:hAnsi="Tahoma"/>
        </w:rPr>
        <w:t xml:space="preserve">they highlight some similarities between religion and psychotherapy (especially in transpersonal psychology, which focuses on the benefits of religious experiences in relation to one’s spiritual growth).  Another area in which psychology, philosophy, and religion interact is </w:t>
      </w:r>
      <w:r>
        <w:rPr>
          <w:rFonts w:ascii="Tahoma" w:hAnsi="Tahoma"/>
          <w:i/>
        </w:rPr>
        <w:t>parapsychology</w:t>
      </w:r>
      <w:r>
        <w:rPr>
          <w:rFonts w:ascii="Tahoma" w:hAnsi="Tahoma"/>
        </w:rPr>
        <w:t>, as mentioned in Section I</w:t>
      </w:r>
      <w:r>
        <w:rPr>
          <w:rFonts w:ascii="Tahoma" w:hAnsi="Tahoma"/>
          <w:i/>
        </w:rPr>
        <w:t>.</w:t>
      </w:r>
    </w:p>
    <w:p w:rsidR="0079503F" w:rsidRDefault="0079503F" w:rsidP="0079503F">
      <w:pPr>
        <w:spacing w:line="360" w:lineRule="auto"/>
        <w:jc w:val="both"/>
        <w:rPr>
          <w:rFonts w:ascii="Tahoma" w:hAnsi="Tahoma"/>
        </w:rPr>
      </w:pPr>
      <w:r>
        <w:rPr>
          <w:rFonts w:ascii="Tahoma" w:hAnsi="Tahoma"/>
          <w:i/>
        </w:rPr>
        <w:tab/>
      </w:r>
      <w:r>
        <w:rPr>
          <w:rFonts w:ascii="Tahoma" w:hAnsi="Tahoma"/>
        </w:rPr>
        <w:t xml:space="preserve">As with Anthropology and Archaeology, advances in the scientific study of human cognition and neurological mapping have also had a recent impact on the Psychology of Religion.  The focus has shifted slightly from the early days of the field </w:t>
      </w:r>
      <w:r>
        <w:rPr>
          <w:rFonts w:ascii="Tahoma" w:hAnsi="Tahoma"/>
        </w:rPr>
        <w:lastRenderedPageBreak/>
        <w:t xml:space="preserve">in that while the goal remains a reductionist explanation of religious phenomena, the answer is sought in the </w:t>
      </w:r>
      <w:r>
        <w:rPr>
          <w:rFonts w:ascii="Tahoma" w:hAnsi="Tahoma"/>
          <w:i/>
        </w:rPr>
        <w:t>physical</w:t>
      </w:r>
      <w:r>
        <w:rPr>
          <w:rFonts w:ascii="Tahoma" w:hAnsi="Tahoma"/>
        </w:rPr>
        <w:t xml:space="preserve"> processes of the human brain (including those which influence or regulate psychological factors).  In other words, it adds an extra level of </w:t>
      </w:r>
      <w:proofErr w:type="spellStart"/>
      <w:r>
        <w:rPr>
          <w:rFonts w:ascii="Tahoma" w:hAnsi="Tahoma"/>
        </w:rPr>
        <w:t>explantion</w:t>
      </w:r>
      <w:proofErr w:type="spellEnd"/>
      <w:r>
        <w:rPr>
          <w:rFonts w:ascii="Tahoma" w:hAnsi="Tahoma"/>
        </w:rPr>
        <w:t xml:space="preserve">: the neurological and cognitive psychology of religion is attempting not only to identify the psychological processes that create and sustain religions, but to </w:t>
      </w:r>
      <w:r>
        <w:rPr>
          <w:rFonts w:ascii="Tahoma" w:hAnsi="Tahoma"/>
          <w:i/>
        </w:rPr>
        <w:t>explain</w:t>
      </w:r>
      <w:r>
        <w:rPr>
          <w:rFonts w:ascii="Tahoma" w:hAnsi="Tahoma"/>
        </w:rPr>
        <w:t xml:space="preserve"> those processes in terms of the physical makeup of the brain and how it acquires data and formulates knowledge.  Again, many such studies relate to religious experience, which will be discussed in Section III.  </w:t>
      </w:r>
    </w:p>
    <w:p w:rsidR="007F2B60" w:rsidRDefault="0079503F"/>
    <w:p w:rsidR="0079503F" w:rsidRDefault="0079503F"/>
    <w:p w:rsidR="0079503F" w:rsidRDefault="0079503F" w:rsidP="0079503F">
      <w:pPr>
        <w:tabs>
          <w:tab w:val="left" w:pos="3067"/>
        </w:tabs>
        <w:rPr>
          <w:rFonts w:ascii="Tahoma" w:hAnsi="Tahoma"/>
          <w:b/>
          <w:i/>
          <w:lang w:eastAsia="en-GB"/>
        </w:rPr>
      </w:pPr>
      <w:r>
        <w:rPr>
          <w:rFonts w:ascii="Tahoma" w:hAnsi="Tahoma"/>
          <w:b/>
          <w:i/>
          <w:lang w:eastAsia="en-GB"/>
        </w:rPr>
        <w:t>Further reading:</w:t>
      </w:r>
    </w:p>
    <w:p w:rsidR="0079503F" w:rsidRDefault="0079503F" w:rsidP="0079503F">
      <w:pPr>
        <w:rPr>
          <w:rFonts w:ascii="Tahoma" w:eastAsia="Times" w:hAnsi="Tahoma"/>
          <w:lang w:eastAsia="en-GB"/>
        </w:rPr>
      </w:pPr>
    </w:p>
    <w:p w:rsidR="0079503F" w:rsidRDefault="0079503F" w:rsidP="0079503F">
      <w:pPr>
        <w:rPr>
          <w:rFonts w:ascii="Tahoma" w:hAnsi="Tahoma"/>
        </w:rPr>
      </w:pPr>
      <w:proofErr w:type="gramStart"/>
      <w:r>
        <w:rPr>
          <w:rFonts w:ascii="Tahoma" w:hAnsi="Tahoma"/>
        </w:rPr>
        <w:t xml:space="preserve">Argyle, M. (1999) </w:t>
      </w:r>
      <w:r>
        <w:rPr>
          <w:rFonts w:ascii="Tahoma" w:hAnsi="Tahoma"/>
          <w:i/>
        </w:rPr>
        <w:t>Psychology and Religion: An Introduction</w:t>
      </w:r>
      <w:r>
        <w:rPr>
          <w:rFonts w:ascii="Tahoma" w:hAnsi="Tahoma"/>
        </w:rPr>
        <w:t>.</w:t>
      </w:r>
      <w:proofErr w:type="gramEnd"/>
      <w:r>
        <w:rPr>
          <w:rFonts w:ascii="Tahoma" w:hAnsi="Tahoma"/>
        </w:rPr>
        <w:t xml:space="preserve">  London, </w:t>
      </w:r>
      <w:proofErr w:type="spellStart"/>
      <w:r>
        <w:rPr>
          <w:rFonts w:ascii="Tahoma" w:hAnsi="Tahoma"/>
        </w:rPr>
        <w:t>Routledge</w:t>
      </w:r>
      <w:proofErr w:type="spellEnd"/>
      <w:r>
        <w:rPr>
          <w:rFonts w:ascii="Tahoma" w:hAnsi="Tahoma"/>
        </w:rPr>
        <w:t>.</w:t>
      </w:r>
    </w:p>
    <w:p w:rsidR="0079503F" w:rsidRDefault="0079503F" w:rsidP="0079503F">
      <w:pPr>
        <w:rPr>
          <w:rFonts w:ascii="Tahoma" w:eastAsia="Times" w:hAnsi="Tahoma"/>
          <w:lang w:eastAsia="en-GB"/>
        </w:rPr>
      </w:pPr>
    </w:p>
    <w:p w:rsidR="0079503F" w:rsidRDefault="0079503F" w:rsidP="0079503F">
      <w:pPr>
        <w:rPr>
          <w:rFonts w:ascii="Tahoma" w:hAnsi="Tahoma"/>
          <w:i/>
        </w:rPr>
      </w:pPr>
      <w:proofErr w:type="spellStart"/>
      <w:r>
        <w:rPr>
          <w:rFonts w:ascii="Tahoma" w:hAnsi="Tahoma"/>
        </w:rPr>
        <w:t>Beit-Hallami</w:t>
      </w:r>
      <w:proofErr w:type="spellEnd"/>
      <w:r>
        <w:rPr>
          <w:rFonts w:ascii="Tahoma" w:hAnsi="Tahoma"/>
        </w:rPr>
        <w:t xml:space="preserve">, B. &amp; M. Argyle (1997) </w:t>
      </w:r>
      <w:proofErr w:type="gramStart"/>
      <w:r>
        <w:rPr>
          <w:rFonts w:ascii="Tahoma" w:hAnsi="Tahoma"/>
          <w:i/>
        </w:rPr>
        <w:t>The</w:t>
      </w:r>
      <w:proofErr w:type="gramEnd"/>
      <w:r>
        <w:rPr>
          <w:rFonts w:ascii="Tahoma" w:hAnsi="Tahoma"/>
          <w:i/>
        </w:rPr>
        <w:t xml:space="preserve"> Psychology of Religious Behaviour, Belief </w:t>
      </w:r>
    </w:p>
    <w:p w:rsidR="0079503F" w:rsidRDefault="0079503F" w:rsidP="0079503F">
      <w:pPr>
        <w:ind w:firstLine="720"/>
        <w:rPr>
          <w:rFonts w:ascii="Tahoma" w:hAnsi="Tahoma"/>
        </w:rPr>
      </w:pPr>
      <w:proofErr w:type="gramStart"/>
      <w:r>
        <w:rPr>
          <w:rFonts w:ascii="Tahoma" w:hAnsi="Tahoma"/>
          <w:i/>
        </w:rPr>
        <w:t>and</w:t>
      </w:r>
      <w:proofErr w:type="gramEnd"/>
      <w:r>
        <w:rPr>
          <w:rFonts w:ascii="Tahoma" w:hAnsi="Tahoma"/>
          <w:i/>
        </w:rPr>
        <w:t xml:space="preserve"> Experience</w:t>
      </w:r>
      <w:r>
        <w:rPr>
          <w:rFonts w:ascii="Tahoma" w:hAnsi="Tahoma"/>
        </w:rPr>
        <w:t xml:space="preserve">.  London, </w:t>
      </w:r>
      <w:proofErr w:type="spellStart"/>
      <w:r>
        <w:rPr>
          <w:rFonts w:ascii="Tahoma" w:hAnsi="Tahoma"/>
        </w:rPr>
        <w:t>Routledge</w:t>
      </w:r>
      <w:proofErr w:type="spellEnd"/>
      <w:r>
        <w:rPr>
          <w:rFonts w:ascii="Tahoma" w:hAnsi="Tahoma"/>
        </w:rPr>
        <w:t>.</w:t>
      </w:r>
    </w:p>
    <w:p w:rsidR="0079503F" w:rsidRDefault="0079503F" w:rsidP="0079503F">
      <w:pPr>
        <w:widowControl w:val="0"/>
        <w:autoSpaceDE w:val="0"/>
        <w:autoSpaceDN w:val="0"/>
        <w:adjustRightInd w:val="0"/>
        <w:rPr>
          <w:rFonts w:ascii="Tahoma" w:hAnsi="Tahoma"/>
          <w:sz w:val="28"/>
          <w:lang w:val="en-US"/>
        </w:rPr>
      </w:pPr>
    </w:p>
    <w:p w:rsidR="0079503F" w:rsidRDefault="0079503F" w:rsidP="0079503F">
      <w:pPr>
        <w:rPr>
          <w:rFonts w:ascii="Tahoma" w:hAnsi="Tahoma"/>
          <w:i/>
          <w:lang w:val="en-US"/>
        </w:rPr>
      </w:pPr>
      <w:proofErr w:type="spellStart"/>
      <w:r>
        <w:rPr>
          <w:rFonts w:ascii="Tahoma" w:hAnsi="Tahoma"/>
          <w:lang w:val="en-US"/>
        </w:rPr>
        <w:t>Paloutzian</w:t>
      </w:r>
      <w:proofErr w:type="spellEnd"/>
      <w:r>
        <w:rPr>
          <w:rFonts w:ascii="Tahoma" w:hAnsi="Tahoma"/>
          <w:lang w:val="en-US"/>
        </w:rPr>
        <w:t xml:space="preserve">, R.F. &amp; C.L. Park (eds.) (2005) </w:t>
      </w:r>
      <w:r>
        <w:rPr>
          <w:rFonts w:ascii="Tahoma" w:hAnsi="Tahoma"/>
          <w:i/>
          <w:lang w:val="en-US"/>
        </w:rPr>
        <w:t xml:space="preserve">Handbook of the Psychology of </w:t>
      </w:r>
    </w:p>
    <w:p w:rsidR="0079503F" w:rsidRDefault="0079503F" w:rsidP="0079503F">
      <w:pPr>
        <w:ind w:firstLine="720"/>
        <w:rPr>
          <w:rFonts w:ascii="Tahoma" w:hAnsi="Tahoma"/>
          <w:lang w:val="en-US"/>
        </w:rPr>
      </w:pPr>
      <w:proofErr w:type="gramStart"/>
      <w:r>
        <w:rPr>
          <w:rFonts w:ascii="Tahoma" w:hAnsi="Tahoma"/>
          <w:i/>
          <w:lang w:val="en-US"/>
        </w:rPr>
        <w:t>Religion and Spirituality.</w:t>
      </w:r>
      <w:proofErr w:type="gramEnd"/>
      <w:r>
        <w:rPr>
          <w:rFonts w:ascii="Tahoma" w:hAnsi="Tahoma"/>
          <w:i/>
          <w:lang w:val="en-US"/>
        </w:rPr>
        <w:t xml:space="preserve"> </w:t>
      </w:r>
      <w:r>
        <w:rPr>
          <w:rFonts w:ascii="Tahoma" w:hAnsi="Tahoma"/>
          <w:lang w:val="en-US"/>
        </w:rPr>
        <w:t xml:space="preserve"> New York, Guilford.</w:t>
      </w:r>
    </w:p>
    <w:p w:rsidR="0079503F" w:rsidRDefault="0079503F" w:rsidP="0079503F">
      <w:pPr>
        <w:rPr>
          <w:rFonts w:ascii="Tahoma" w:hAnsi="Tahoma"/>
        </w:rPr>
      </w:pPr>
    </w:p>
    <w:p w:rsidR="0079503F" w:rsidRDefault="0079503F" w:rsidP="0079503F">
      <w:pPr>
        <w:rPr>
          <w:rFonts w:ascii="Tahoma" w:hAnsi="Tahoma"/>
        </w:rPr>
      </w:pPr>
      <w:proofErr w:type="spellStart"/>
      <w:r>
        <w:rPr>
          <w:rFonts w:ascii="Tahoma" w:hAnsi="Tahoma"/>
        </w:rPr>
        <w:t>Spilka</w:t>
      </w:r>
      <w:proofErr w:type="spellEnd"/>
      <w:r>
        <w:rPr>
          <w:rFonts w:ascii="Tahoma" w:hAnsi="Tahoma"/>
        </w:rPr>
        <w:t xml:space="preserve">, B. R.W. Hood, R.W., B. </w:t>
      </w:r>
      <w:proofErr w:type="spellStart"/>
      <w:r>
        <w:rPr>
          <w:rFonts w:ascii="Tahoma" w:hAnsi="Tahoma"/>
        </w:rPr>
        <w:t>Hunsberger</w:t>
      </w:r>
      <w:proofErr w:type="spellEnd"/>
      <w:r>
        <w:rPr>
          <w:rFonts w:ascii="Tahoma" w:hAnsi="Tahoma"/>
        </w:rPr>
        <w:t xml:space="preserve">, &amp; R. </w:t>
      </w:r>
      <w:proofErr w:type="spellStart"/>
      <w:r>
        <w:rPr>
          <w:rFonts w:ascii="Tahoma" w:hAnsi="Tahoma"/>
        </w:rPr>
        <w:t>Gorsuch</w:t>
      </w:r>
      <w:proofErr w:type="spellEnd"/>
      <w:r>
        <w:rPr>
          <w:rFonts w:ascii="Tahoma" w:hAnsi="Tahoma"/>
        </w:rPr>
        <w:t xml:space="preserve"> (eds.) (3</w:t>
      </w:r>
      <w:r>
        <w:rPr>
          <w:rFonts w:ascii="Tahoma" w:hAnsi="Tahoma"/>
          <w:vertAlign w:val="superscript"/>
        </w:rPr>
        <w:t>rd</w:t>
      </w:r>
      <w:r>
        <w:rPr>
          <w:rFonts w:ascii="Tahoma" w:hAnsi="Tahoma"/>
        </w:rPr>
        <w:t xml:space="preserve"> ed. 2003) </w:t>
      </w:r>
    </w:p>
    <w:p w:rsidR="0079503F" w:rsidRDefault="0079503F" w:rsidP="0079503F">
      <w:pPr>
        <w:ind w:left="720"/>
        <w:rPr>
          <w:rFonts w:ascii="Tahoma" w:hAnsi="Tahoma"/>
        </w:rPr>
      </w:pPr>
      <w:r>
        <w:rPr>
          <w:rFonts w:ascii="Tahoma" w:hAnsi="Tahoma"/>
          <w:i/>
        </w:rPr>
        <w:t>The Psychology of Religion</w:t>
      </w:r>
      <w:r>
        <w:rPr>
          <w:rFonts w:ascii="Tahoma" w:hAnsi="Tahoma"/>
        </w:rPr>
        <w:t xml:space="preserve">: </w:t>
      </w:r>
      <w:r>
        <w:rPr>
          <w:rFonts w:ascii="Tahoma" w:hAnsi="Tahoma"/>
          <w:i/>
        </w:rPr>
        <w:t>An Empirical Approach</w:t>
      </w:r>
      <w:r>
        <w:rPr>
          <w:rFonts w:ascii="Tahoma" w:hAnsi="Tahoma"/>
        </w:rPr>
        <w:t>.  London, Guildford Press.</w:t>
      </w:r>
    </w:p>
    <w:p w:rsidR="0079503F" w:rsidRDefault="0079503F" w:rsidP="0079503F">
      <w:pPr>
        <w:rPr>
          <w:rFonts w:ascii="Tahoma" w:eastAsia="Times" w:hAnsi="Tahoma"/>
          <w:lang w:eastAsia="en-GB"/>
        </w:rPr>
      </w:pPr>
    </w:p>
    <w:p w:rsidR="0079503F" w:rsidRDefault="0079503F" w:rsidP="0079503F">
      <w:pPr>
        <w:tabs>
          <w:tab w:val="left" w:pos="3067"/>
        </w:tabs>
        <w:rPr>
          <w:rFonts w:ascii="Tahoma" w:hAnsi="Tahoma"/>
          <w:i/>
          <w:lang w:val="en-US"/>
        </w:rPr>
      </w:pPr>
      <w:r>
        <w:rPr>
          <w:rFonts w:ascii="Tahoma" w:hAnsi="Tahoma"/>
          <w:lang w:val="en-US"/>
        </w:rPr>
        <w:t xml:space="preserve">Whitehouse, H. &amp; R.N. McCauley (eds.) (2005) </w:t>
      </w:r>
      <w:r>
        <w:rPr>
          <w:rFonts w:ascii="Tahoma" w:hAnsi="Tahoma"/>
          <w:i/>
          <w:lang w:val="en-US"/>
        </w:rPr>
        <w:t xml:space="preserve">Mind and Religion: Psychological </w:t>
      </w:r>
    </w:p>
    <w:p w:rsidR="0079503F" w:rsidRDefault="0079503F" w:rsidP="0079503F">
      <w:pPr>
        <w:tabs>
          <w:tab w:val="left" w:pos="709"/>
        </w:tabs>
        <w:rPr>
          <w:rFonts w:ascii="Tahoma" w:hAnsi="Tahoma"/>
          <w:b/>
          <w:i/>
          <w:smallCaps/>
          <w:u w:val="single"/>
          <w:lang w:eastAsia="en-GB"/>
        </w:rPr>
      </w:pPr>
      <w:r>
        <w:rPr>
          <w:rFonts w:ascii="Tahoma" w:hAnsi="Tahoma"/>
          <w:i/>
          <w:lang w:val="en-US"/>
        </w:rPr>
        <w:tab/>
      </w:r>
      <w:proofErr w:type="gramStart"/>
      <w:r>
        <w:rPr>
          <w:rFonts w:ascii="Tahoma" w:hAnsi="Tahoma"/>
          <w:i/>
          <w:lang w:val="en-US"/>
        </w:rPr>
        <w:t>and</w:t>
      </w:r>
      <w:proofErr w:type="gramEnd"/>
      <w:r>
        <w:rPr>
          <w:rFonts w:ascii="Tahoma" w:hAnsi="Tahoma"/>
          <w:i/>
          <w:lang w:val="en-US"/>
        </w:rPr>
        <w:t xml:space="preserve"> Cognitive Foundations of Religion</w:t>
      </w:r>
      <w:r>
        <w:rPr>
          <w:rFonts w:ascii="Tahoma" w:hAnsi="Tahoma"/>
          <w:lang w:val="en-US"/>
        </w:rPr>
        <w:t xml:space="preserve">.  </w:t>
      </w:r>
      <w:proofErr w:type="gramStart"/>
      <w:r>
        <w:rPr>
          <w:rFonts w:ascii="Tahoma" w:hAnsi="Tahoma"/>
          <w:lang w:val="en-US"/>
        </w:rPr>
        <w:t xml:space="preserve">Walnut Creek CA, </w:t>
      </w:r>
      <w:proofErr w:type="spellStart"/>
      <w:r>
        <w:rPr>
          <w:rFonts w:ascii="Tahoma" w:hAnsi="Tahoma"/>
          <w:lang w:val="en-US"/>
        </w:rPr>
        <w:t>AltaMira</w:t>
      </w:r>
      <w:proofErr w:type="spellEnd"/>
      <w:r>
        <w:rPr>
          <w:rFonts w:ascii="Tahoma" w:hAnsi="Tahoma"/>
          <w:lang w:val="en-US"/>
        </w:rPr>
        <w:t>.</w:t>
      </w:r>
      <w:proofErr w:type="gramEnd"/>
    </w:p>
    <w:p w:rsidR="0079503F" w:rsidRDefault="0079503F" w:rsidP="0079503F">
      <w:pPr>
        <w:rPr>
          <w:rFonts w:ascii="Tahoma" w:eastAsia="Times" w:hAnsi="Tahoma"/>
          <w:lang w:eastAsia="en-GB"/>
        </w:rPr>
      </w:pPr>
    </w:p>
    <w:p w:rsidR="0079503F" w:rsidRDefault="0079503F" w:rsidP="0079503F">
      <w:pPr>
        <w:rPr>
          <w:rFonts w:ascii="Tahoma" w:eastAsia="Times" w:hAnsi="Tahoma"/>
          <w:lang w:eastAsia="en-GB"/>
        </w:rPr>
      </w:pPr>
      <w:proofErr w:type="spellStart"/>
      <w:r>
        <w:rPr>
          <w:rFonts w:ascii="Tahoma" w:eastAsia="Times" w:hAnsi="Tahoma"/>
          <w:lang w:eastAsia="en-GB"/>
        </w:rPr>
        <w:t>Wulff</w:t>
      </w:r>
      <w:proofErr w:type="spellEnd"/>
      <w:r>
        <w:rPr>
          <w:rFonts w:ascii="Tahoma" w:eastAsia="Times" w:hAnsi="Tahoma"/>
          <w:lang w:eastAsia="en-GB"/>
        </w:rPr>
        <w:t xml:space="preserve">, D.H. (1997) </w:t>
      </w:r>
      <w:r>
        <w:rPr>
          <w:rFonts w:ascii="Tahoma" w:eastAsia="Times" w:hAnsi="Tahoma"/>
          <w:i/>
          <w:lang w:eastAsia="en-GB"/>
        </w:rPr>
        <w:t>Psychology of Religion: Classic and Contemporary</w:t>
      </w:r>
      <w:r>
        <w:rPr>
          <w:rFonts w:ascii="Tahoma" w:eastAsia="Times" w:hAnsi="Tahoma"/>
          <w:lang w:eastAsia="en-GB"/>
        </w:rPr>
        <w:t xml:space="preserve">.  New York, </w:t>
      </w:r>
    </w:p>
    <w:p w:rsidR="0079503F" w:rsidRDefault="0079503F" w:rsidP="0079503F">
      <w:pPr>
        <w:ind w:firstLine="720"/>
        <w:rPr>
          <w:rFonts w:ascii="Tahoma" w:eastAsia="Times" w:hAnsi="Tahoma"/>
          <w:lang w:eastAsia="en-GB"/>
        </w:rPr>
      </w:pPr>
      <w:proofErr w:type="gramStart"/>
      <w:r>
        <w:rPr>
          <w:rFonts w:ascii="Tahoma" w:eastAsia="Times" w:hAnsi="Tahoma"/>
          <w:lang w:eastAsia="en-GB"/>
        </w:rPr>
        <w:t>Wiley.</w:t>
      </w:r>
      <w:proofErr w:type="gramEnd"/>
    </w:p>
    <w:p w:rsidR="0079503F" w:rsidRDefault="0079503F" w:rsidP="0079503F">
      <w:pPr>
        <w:rPr>
          <w:rFonts w:ascii="Tahoma" w:eastAsia="Times" w:hAnsi="Tahoma"/>
          <w:lang w:eastAsia="en-GB"/>
        </w:rPr>
      </w:pPr>
    </w:p>
    <w:p w:rsidR="0079503F" w:rsidRDefault="0079503F" w:rsidP="0079503F">
      <w:pPr>
        <w:rPr>
          <w:rFonts w:ascii="Tahoma" w:eastAsia="Times" w:hAnsi="Tahoma"/>
          <w:lang w:eastAsia="en-GB"/>
        </w:rPr>
      </w:pPr>
    </w:p>
    <w:p w:rsidR="0079503F" w:rsidRDefault="0079503F" w:rsidP="0079503F">
      <w:pPr>
        <w:rPr>
          <w:rFonts w:ascii="Tahoma" w:eastAsia="Times" w:hAnsi="Tahoma"/>
          <w:lang w:eastAsia="en-GB"/>
        </w:rPr>
      </w:pPr>
    </w:p>
    <w:p w:rsidR="0079503F" w:rsidRDefault="0079503F"/>
    <w:sectPr w:rsidR="0079503F" w:rsidSect="00C2351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A00002EF" w:usb1="4000004B"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79503F"/>
    <w:rsid w:val="0079503F"/>
    <w:rsid w:val="00AA3EBF"/>
    <w:rsid w:val="00C23514"/>
    <w:rsid w:val="00DE14E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9503F"/>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945</Words>
  <Characters>5389</Characters>
  <Application>Microsoft Office Word</Application>
  <DocSecurity>0</DocSecurity>
  <Lines>44</Lines>
  <Paragraphs>12</Paragraphs>
  <ScaleCrop>false</ScaleCrop>
  <Company/>
  <LinksUpToDate>false</LinksUpToDate>
  <CharactersWithSpaces>6322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b.schmidt</dc:creator>
  <cp:lastModifiedBy>b.schmidt</cp:lastModifiedBy>
  <cp:revision>1</cp:revision>
  <dcterms:created xsi:type="dcterms:W3CDTF">2011-11-17T10:15:00Z</dcterms:created>
  <dcterms:modified xsi:type="dcterms:W3CDTF">2011-11-17T10:15:00Z</dcterms:modified>
</cp:coreProperties>
</file>