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416C1" w:rsidRDefault="00C416C1" w:rsidP="00C416C1">
      <w:r>
        <w:t xml:space="preserve">The use of common non-qualified persons in the legal system is referred to as lay persons (Fox, 2019). It is claimed that it renders the judiciary fair and equitable for using common people in trials and stops people questioning the courts for ruling behind the partner's back (Lay people and their role in the English legal system - InBrief.co.uk, 2020). The lay people interested in criminal trials have the role of looking at the facts presented and agreeing upon a conclusion. The prosecutors are responsible for communicating with their clients before and after the legal hearings to find the best decision practicable for the applicant (Fielding, 2013). In this essay, the importance of lay people has been analysed based on two statements, which are Magistrates and Juries. </w:t>
      </w:r>
    </w:p>
    <w:p w:rsidR="00C416C1" w:rsidRDefault="00C416C1" w:rsidP="00C416C1">
      <w:r>
        <w:t xml:space="preserve"> The UK has a long, active tradition of the legal interpretation of the courts as lay people. Lay people are individuals without any government legislative education. They may also be referred to as lay magistrates, prosecutors or justices of the peace (Crawford, 2014).  The Lord Chancellor appoints most of the lay people, appointing approximately 1500 people per year from the list of voters in the region. The use of lay people renders legislation more available to ordinary people, as it eliminates the vocabulary of experts. Common people from different cultures take decisions (Slapper and Kelly, 2017). Since they are not eligible, they do not normally select themselves. They must be 18 and not more than 70 years of age </w:t>
      </w:r>
      <w:proofErr w:type="gramStart"/>
      <w:r>
        <w:t>and  must</w:t>
      </w:r>
      <w:proofErr w:type="gramEnd"/>
      <w:r>
        <w:t xml:space="preserve"> be enrolled as an elector in the parliament or the municipal authorities.</w:t>
      </w:r>
    </w:p>
    <w:p w:rsidR="00C416C1" w:rsidRDefault="00C416C1" w:rsidP="00C416C1">
      <w:r>
        <w:rPr>
          <w:rStyle w:val="FootnoteReference"/>
          <w:b/>
          <w:bCs/>
        </w:rPr>
        <w:t xml:space="preserve"> </w:t>
      </w:r>
      <w:r>
        <w:t xml:space="preserve"> A jury is a body that has the authority to make factual conclusions. At a courtroom, the jurors shall determine the validity of the facts in question, while the judge shall rule on the rule of law, and whether the jury shall be given special proof (Kask, 2011). Juries are appointed into criminal prosecution at the Court where the crime is a convicted offence or a triable offence and is referred to the Court of Justice following necessary reviews by judges (Lloyd-Bostock, 2015). The jury is very essential in the UK's justice system. It is recognized as its central feature. Similarly, the judicial system is of crucial significance in </w:t>
      </w:r>
      <w:proofErr w:type="gramStart"/>
      <w:r>
        <w:t>maintaining  its</w:t>
      </w:r>
      <w:proofErr w:type="gramEnd"/>
      <w:r>
        <w:t xml:space="preserve"> operation for the people and not for the sake of unjust politicians. Juries must take actions in the right way, even though these decisions are very rarely inconsistent with the judgments that prosecutors and politicians may take. </w:t>
      </w:r>
    </w:p>
    <w:p w:rsidR="00C416C1" w:rsidRDefault="00C416C1" w:rsidP="00C416C1">
      <w:r>
        <w:t xml:space="preserve"> Juries are appointed following the Juries Act of 1974. To sit for the jury, a person must have some core qualities. For starters, an individual must be from 18 to 70 years of age (Zander, 2017). </w:t>
      </w:r>
    </w:p>
    <w:p w:rsidR="00C416C1" w:rsidRDefault="00C416C1" w:rsidP="00C416C1">
      <w:r>
        <w:lastRenderedPageBreak/>
        <w:t xml:space="preserve">For at least five years from his or her 13th birthday, he or she must be a legal citizen of the United Kingdom, the British Isles </w:t>
      </w:r>
      <w:r>
        <w:rPr>
          <w:rStyle w:val="FootnoteReference"/>
        </w:rPr>
        <w:footnoteReference w:id="1"/>
      </w:r>
      <w:r>
        <w:t xml:space="preserve">or the Isle of Man. Persons with the mental condition of any sort or who were previously excluded from jury service cannot participate. </w:t>
      </w:r>
    </w:p>
    <w:p w:rsidR="00C416C1" w:rsidRDefault="00C416C1" w:rsidP="00C416C1">
      <w:r>
        <w:t xml:space="preserve"> Each Court of the Crown has an officer who appoints the jury to appeal the decision. They guarantee that the names of the jurors are drawn from the registry. This is a random operation conducted at a head office on the computer (Lloyd-Bostock, 2015). The parties called by the court for jury service shall promptly contact the courts if they are unable to appear. If a jury is not returned with a warrant form or a jury is not returned at all, a fine may result. Jurors who have decided to serve on a jury can participate for 10 business days. If the event lasts over two weeks, jurors should still sit outside their service. Where a specific case is known or planned to last more than two weeks, the chosen jury will be told in the advance about that by the courts.</w:t>
      </w:r>
    </w:p>
    <w:p w:rsidR="00C416C1" w:rsidRDefault="00C416C1" w:rsidP="00C416C1">
      <w:r>
        <w:t xml:space="preserve"> People who are having some traits cannot apply for the jury or can be called as disqualified. Any crimes disqualify an individual from being a juror (Kerr, Cunningham-Burley and Tutton, 2017). The form of punishment, along with the seriousness and definitions of the offence, as well as the period of the court penalty, shall decide whether the individual is excluded and is exempt from the jury office (McLaverty, 2019). If you have been convicted of life imprisonment, a life without parole, or a lifetime restraint, imprisonment at the satisfaction of your Majesty or confinement at the Secreta's will, or civil defence or extended term, as given in Secretary of State 227 or 228, by the Jury Supervisors, you will be indefinitely excluded from jury duty (Meares, Tyler. and Gardener, 2015). An individual is not expected to participate as a juror for 10 years whether he or she has been convicted or sentenced to a suspended term or judicial order or other civil punishment at any point in the UK or the British Isles or Isle of Man for the past 10 years (St Eve and Zuckerman, 2012). Whether he is already on parole in court trials, he will still be excluded from being a juror.</w:t>
      </w:r>
    </w:p>
    <w:p w:rsidR="00C416C1" w:rsidRDefault="00C416C1" w:rsidP="00C416C1">
      <w:r>
        <w:t xml:space="preserve"> In a jury, hearing of the case provides directions to the jury on different matters, including the statute, procedures and facts. These orders are regarded in the UK as orders from the jury.                          In regularly to secure a fair trial, guidance from the jury is required. Juries would consider the rules for minimizing the risk of a lack of justice, which may lead an innocent citizen to go to jail or even die in a death penalty set (Tkacˇuková, 2010). This may also result in the release </w:t>
      </w:r>
      <w:r>
        <w:lastRenderedPageBreak/>
        <w:t xml:space="preserve">of a convicted person for more offences. By contrast, miscarriage of justice is unfair, detrimental to participants and unfairly represents the system of justice. </w:t>
      </w:r>
    </w:p>
    <w:p w:rsidR="00C416C1" w:rsidRDefault="00C416C1" w:rsidP="00C416C1">
      <w:r>
        <w:t xml:space="preserve"> The orders of the jury can be complicated and hard to interpret and as such cannot fulfil their principal function of instructing the jury. They require a jury guideline mechanism to guarantee full comprehension of the juror to prevent errors in justice. In this way, the trail of jury ensures fair justice to the persons (St Eve and Zuckerman, 2012). Jury hearings help to represent the principles and expectations of the public at large in the judicial system. In brief, the jury defines the evidence and makes a decision, as decided by the judge, in compliance with the responsible for ordering. Many places permit lawyers to ask for such orders, however, the jury decides on them.</w:t>
      </w:r>
    </w:p>
    <w:p w:rsidR="00C416C1" w:rsidRDefault="00C416C1" w:rsidP="00C416C1">
      <w:r>
        <w:t xml:space="preserve"> Individuals who want to become magistrates have different qualifications. All must be at least 18 and under 65 years of age and live near or in the field of justice of which they are named. Six main values still need to be demonstrated, such as strong character, loyalty and reliability, emotional awareness, good judgment, comprehension and communication, competence and a good disposition (Hogg and Williamson, 2015). Few limits refer to the appointment of judges, including those who have been accused of fraud, those who have now been accused of violent offences, and those who in the last 5-10 years have been barred from driving. The candidate wants a reference of the character and will be interviewed two times, but there is no assurance that the job will work since it is sought after. Following the advice of the local advisory commissions, qualified candidates are named by the Lord Chancellor on the Queen’s behalf. </w:t>
      </w:r>
    </w:p>
    <w:p w:rsidR="00C416C1" w:rsidRDefault="00C416C1" w:rsidP="00C416C1">
      <w:r>
        <w:t xml:space="preserve">The current composition of magistrates is very diversified. Before 1997, there have been weak statistics on the magistrate’s makeup. The bulk of the information was given by a survey undertaken by Chris Mullin’s Home Affairs Committee. This means that only 22 per cent of 875 new judges were under 40, and only 4.4 % were selected yearly by minority groups in the 1990s. All candidates had to announce their party allegiance in those days. In 1994–95, Labour constituted 27 per cent of the candidates and Conservatives -41 per cent. The recruitment of people over 60, and the overall age of more than 55, is not unprecedented (Hans, 2013). </w:t>
      </w:r>
    </w:p>
    <w:p w:rsidR="00C416C1" w:rsidRDefault="00C416C1" w:rsidP="00C416C1">
      <w:r>
        <w:t xml:space="preserve"> In the 1990s, voices called for the judges in age, race and other aspects to become even more diversified. The Committee on Internal Affairs questioned whether recruiting was a favour to free-mar rowers in many regions, while the Association of Magistrates called for regulatory </w:t>
      </w:r>
      <w:r>
        <w:lastRenderedPageBreak/>
        <w:t>reforms to aid in establishing a more equitable basis, such as banning discrimination towards magistrates in jobs, upgrading earning lost and abolishing loophole in the 1996 Employment Rights Statute, encouraging employers to work in certain areas (Gipson, Kahane and Savulescu, 2014).</w:t>
      </w:r>
    </w:p>
    <w:p w:rsidR="00C416C1" w:rsidRDefault="00C416C1" w:rsidP="00C416C1">
      <w:r>
        <w:t xml:space="preserve"> In 2013, the elected magistrates were older, whiter and more middle-class than the general public, which means that the perception of representation has not changed immensely in the long run. The judiciary was less ethnic as well, partially because recruiting has been frozen. 55.5% of judges are currently over sixty or more and 15.9% are below fifty. That is what, magistrates are said to be older. Their regional or national BAMEs demographics are presently not indicative of magistrates – 91,7% of magistrates are white relative to 85,9% of the population (Gibb, 2020)</w:t>
      </w:r>
      <w:r>
        <w:rPr>
          <w:rStyle w:val="FootnoteReference"/>
        </w:rPr>
        <w:footnoteReference w:id="2"/>
      </w:r>
      <w:r>
        <w:t>. Magistrates of Asian descent, with 4.3% identified as Asians according to 6.8% of the population, are disproportionately underserved (Hogg and Williamson, 2015). The proportion of African magistrates fell by over one third from April 2013 – all BAME classes may be under, some of them seeing especially alarming recent declines.</w:t>
      </w:r>
    </w:p>
    <w:p w:rsidR="00C416C1" w:rsidRDefault="00C416C1" w:rsidP="00C416C1">
      <w:r>
        <w:t xml:space="preserve"> The socio-economic profile of judges is improperly calculated and only after a magistrate is selected is the vacancy sought and the information is not consistently revised. In comparison, it does not fit the census of occupational groups (Strickland, Martin, Allan and Allan, 2018). The occupational details for serving arbitrators therefore does not reflect the number of retired persons since the beginning. However, magistrates also are overwhelmingly middle classes with more than half in administration, senior officials and technical roles and just 1.51% in research and community support backgrounds (O'Brien, 2015). The consequences of the recruiting and retention of judges may be detrimental to the current economic situation. Applications by prospective magistrates about ambiguous or unpleasant employers may be hesitant, which may raise the risk of service magistrates falling off. </w:t>
      </w:r>
    </w:p>
    <w:p w:rsidR="00C416C1" w:rsidRDefault="00C416C1" w:rsidP="00C416C1">
      <w:r>
        <w:t xml:space="preserve"> The biggest problem today is that the work must be carried out. The courts of the magistrates are contracted, and that affects the employment of magistrates. It is impossible to expand diversity without recruiting (Cheffins, 2018). Magistrates and district judges work collaboratively with the judiciary. The freezing of the appointment of district judges and the encouraging of lay magistrates to be appointed impacts the increasing of judicial recruitment. </w:t>
      </w:r>
      <w:r>
        <w:lastRenderedPageBreak/>
        <w:t xml:space="preserve">Another way to improve the composition of the judges will be to support applicants from low socioeconomic communities and to behave favourably towards them. At this point, everybody, let significantly older diverse candidates, receives no constructive promotion of the judiciary. Therefore, common criminals may be a limited number of candidates interviewed. </w:t>
      </w:r>
    </w:p>
    <w:p w:rsidR="00C416C1" w:rsidRDefault="00C416C1" w:rsidP="00C416C1">
      <w:r>
        <w:t xml:space="preserve"> This essay has described the process, rules and regulations to recruit the lay people of the legal process in the United Kingdom. Two types of lay people have been reviewed in this essay. They are the juries and the magistrates. Both of them have a huge importance in the legal process of the United Kingdom. Finally, there are some problems that have been identified and necessary solutions have been provided to sort them out.  </w:t>
      </w:r>
    </w:p>
    <w:p w:rsidR="00662B05" w:rsidRDefault="00662B05"/>
    <w:p w:rsidR="00C416C1" w:rsidRDefault="00C416C1"/>
    <w:p w:rsidR="00C416C1" w:rsidRDefault="00C416C1"/>
    <w:p w:rsidR="00C416C1" w:rsidRDefault="00C416C1"/>
    <w:p w:rsidR="00C416C1" w:rsidRDefault="00C416C1"/>
    <w:p w:rsidR="00C416C1" w:rsidRDefault="00C416C1"/>
    <w:p w:rsidR="00C416C1" w:rsidRDefault="00C416C1"/>
    <w:p w:rsidR="00C416C1" w:rsidRDefault="00C416C1"/>
    <w:p w:rsidR="00C416C1" w:rsidRDefault="00C416C1"/>
    <w:p w:rsidR="00C416C1" w:rsidRDefault="00C416C1"/>
    <w:p w:rsidR="00C416C1" w:rsidRDefault="00C416C1"/>
    <w:p w:rsidR="00C416C1" w:rsidRDefault="00C416C1"/>
    <w:p w:rsidR="00C416C1" w:rsidRDefault="00C416C1"/>
    <w:p w:rsidR="00C416C1" w:rsidRDefault="00C416C1"/>
    <w:p w:rsidR="00C416C1" w:rsidRDefault="00C416C1"/>
    <w:p w:rsidR="001F34AF" w:rsidRDefault="001F34AF" w:rsidP="001F34AF">
      <w:pPr>
        <w:rPr>
          <w:shd w:val="clear" w:color="auto" w:fill="FCFCFC"/>
        </w:rPr>
      </w:pPr>
      <w:r>
        <w:rPr>
          <w:lang w:val="en-US"/>
        </w:rPr>
        <w:lastRenderedPageBreak/>
        <w:t>Law represents a set of rules which are created by particular state institutions. Mark Cohen mentioned in one of his articles that law is going through a major shift at the moment, quoting the following: ’’l</w:t>
      </w:r>
      <w:r>
        <w:rPr>
          <w:shd w:val="clear" w:color="auto" w:fill="FCFCFC"/>
        </w:rPr>
        <w:t xml:space="preserve">aw is morphing from a lawyer dominated, practice-centric, labour-intensive </w:t>
      </w:r>
      <w:hyperlink r:id="rId6" w:anchor="303d2b6570e8" w:tgtFrame="_self" w:history="1">
        <w:r>
          <w:rPr>
            <w:rStyle w:val="Hyperlink"/>
            <w:shd w:val="clear" w:color="auto" w:fill="FCFCFC"/>
          </w:rPr>
          <w:t>guild</w:t>
        </w:r>
      </w:hyperlink>
      <w:r>
        <w:rPr>
          <w:shd w:val="clear" w:color="auto" w:fill="FCFCFC"/>
        </w:rPr>
        <w:t xml:space="preserve"> to a tech-enabled, process and </w:t>
      </w:r>
      <w:hyperlink r:id="rId7" w:anchor="77df8d55b8eb" w:tgtFrame="_self" w:history="1">
        <w:r>
          <w:rPr>
            <w:rStyle w:val="Hyperlink"/>
            <w:shd w:val="clear" w:color="auto" w:fill="FCFCFC"/>
          </w:rPr>
          <w:t>data-driven</w:t>
        </w:r>
      </w:hyperlink>
      <w:r>
        <w:rPr>
          <w:shd w:val="clear" w:color="auto" w:fill="FCFCFC"/>
        </w:rPr>
        <w:t>, multi-disciplinary global industry’’</w:t>
      </w:r>
      <w:r>
        <w:rPr>
          <w:shd w:val="clear" w:color="auto" w:fill="FFFFFF"/>
        </w:rPr>
        <w:t xml:space="preserve"> (2020)</w:t>
      </w:r>
      <w:r>
        <w:rPr>
          <w:lang w:val="en-US"/>
        </w:rPr>
        <w:t>. The institutions that possess the ultimate authority of making laws are parliaments, congresses and state assemblies (</w:t>
      </w:r>
      <w:r>
        <w:rPr>
          <w:shd w:val="clear" w:color="auto" w:fill="FFFFFF"/>
        </w:rPr>
        <w:t>Waldron, 2009)</w:t>
      </w:r>
      <w:r>
        <w:rPr>
          <w:lang w:val="en-US"/>
        </w:rPr>
        <w:t xml:space="preserve">. With the current ever-evolving situations in terms of social, environmental and political context taken into account, the necessity of the application of laws needs no further explanation. </w:t>
      </w:r>
    </w:p>
    <w:p w:rsidR="001F34AF" w:rsidRDefault="001F34AF" w:rsidP="001F34AF">
      <w:pPr>
        <w:rPr>
          <w:lang w:val="en-US"/>
        </w:rPr>
      </w:pPr>
      <w:r>
        <w:rPr>
          <w:lang w:val="en-US"/>
        </w:rPr>
        <w:t xml:space="preserve"> Law plays the role of a guiding principle or norm for the conduct of all citizens of a particular area. It dictates order upon all the citizens with a view to sustaining equity on every branch of the government (</w:t>
      </w:r>
      <w:r>
        <w:rPr>
          <w:shd w:val="clear" w:color="auto" w:fill="FFFFFF"/>
        </w:rPr>
        <w:t>Skolnick, 2011)</w:t>
      </w:r>
      <w:r>
        <w:rPr>
          <w:lang w:val="en-US"/>
        </w:rPr>
        <w:t xml:space="preserve">. The absence of law would make the people compete for the survival of the fittest.          </w:t>
      </w:r>
    </w:p>
    <w:p w:rsidR="001F34AF" w:rsidRDefault="001F34AF" w:rsidP="001F34AF">
      <w:pPr>
        <w:rPr>
          <w:lang w:val="en-US"/>
        </w:rPr>
      </w:pPr>
      <w:r>
        <w:rPr>
          <w:lang w:val="en-US"/>
        </w:rPr>
        <w:t xml:space="preserve">Moreover, law can apparently have indirect bearings upon social changes by shaping a direct impact on society </w:t>
      </w:r>
      <w:r>
        <w:rPr>
          <w:shd w:val="clear" w:color="auto" w:fill="FFFFFF"/>
        </w:rPr>
        <w:t>(Singh, 2020)</w:t>
      </w:r>
      <w:r>
        <w:rPr>
          <w:lang w:val="en-US"/>
        </w:rPr>
        <w:t>. For example, a compulsory education system has been set up through law. Therefore, there is a sort of close relation between law and social change (</w:t>
      </w:r>
      <w:r>
        <w:rPr>
          <w:shd w:val="clear" w:color="auto" w:fill="FFFFFF"/>
        </w:rPr>
        <w:t>Feldman, 2009)</w:t>
      </w:r>
      <w:r>
        <w:rPr>
          <w:lang w:val="en-US"/>
        </w:rPr>
        <w:t xml:space="preserve">. In essence, law is the precis of modernisation, leading to the development of society in accordance with the demands of the era </w:t>
      </w:r>
      <w:r>
        <w:rPr>
          <w:shd w:val="clear" w:color="auto" w:fill="FFFFFF"/>
        </w:rPr>
        <w:t>(Pahwa, 2020)</w:t>
      </w:r>
      <w:r>
        <w:rPr>
          <w:lang w:val="en-US"/>
        </w:rPr>
        <w:t>. It acts as a catalyst in the process of social transformation of people. There is also a significant relationship between law and human rights, law being an adjust to rights. Even thought law and rights are equally important to social transformation, they still have different functions individually (</w:t>
      </w:r>
      <w:r>
        <w:rPr>
          <w:shd w:val="clear" w:color="auto" w:fill="FFFFFF"/>
        </w:rPr>
        <w:t>Altman, 2000)</w:t>
      </w:r>
      <w:r>
        <w:rPr>
          <w:lang w:val="en-US"/>
        </w:rPr>
        <w:t xml:space="preserve">. Dilution of caste inequalities, protective measure for the vulnerable sections of the society, providing for dignified subsistence of those in unwholesome situations are some of the best instances of the effectiveness of law in terms of social changes. When viewed from the perspective of effects on social crime, law seems to be negatively correlated </w:t>
      </w:r>
      <w:r>
        <w:rPr>
          <w:shd w:val="clear" w:color="auto" w:fill="FFFFFF"/>
        </w:rPr>
        <w:t>(Wood and Waite, 2020)</w:t>
      </w:r>
      <w:r>
        <w:rPr>
          <w:lang w:val="en-US"/>
        </w:rPr>
        <w:t>. If it is very tough, the number of social crime is very low and vice-versa. Moreover, law is nothing but a social science which is intrinsically characterized by movement and adaptation (</w:t>
      </w:r>
      <w:r>
        <w:rPr>
          <w:shd w:val="clear" w:color="auto" w:fill="FFFFFF"/>
        </w:rPr>
        <w:t>Blumenthal, 2002)</w:t>
      </w:r>
      <w:r>
        <w:rPr>
          <w:lang w:val="en-US"/>
        </w:rPr>
        <w:t>. The rules are supposed to move us in a direction that is rationally good.</w:t>
      </w:r>
    </w:p>
    <w:p w:rsidR="001F34AF" w:rsidRDefault="001F34AF" w:rsidP="001F34AF">
      <w:pPr>
        <w:rPr>
          <w:lang w:val="en-US"/>
        </w:rPr>
      </w:pPr>
      <w:r>
        <w:rPr>
          <w:lang w:val="en-US"/>
        </w:rPr>
        <w:t xml:space="preserve"> Law of defamation is a form of law that is applied to a particular context. Being a creation of English law, the term refers to attacking another’s reputation by a false publication, that has the purpose to bring that person into disrepute </w:t>
      </w:r>
      <w:r>
        <w:rPr>
          <w:shd w:val="clear" w:color="auto" w:fill="FFFFFF"/>
        </w:rPr>
        <w:t>(Britannica, 2020)</w:t>
      </w:r>
      <w:r>
        <w:rPr>
          <w:lang w:val="en-US"/>
        </w:rPr>
        <w:t xml:space="preserve">. The topic of defamation often accompanies the freedom of expression. To what extent defamation is not considered or </w:t>
      </w:r>
      <w:r>
        <w:rPr>
          <w:lang w:val="en-US"/>
        </w:rPr>
        <w:lastRenderedPageBreak/>
        <w:t xml:space="preserve">freedom of expression can go is very important. With the increasing level of modern tele-communication and internet, media often discloses information about someone in the name of freedom of expression which is really defamatory for they </w:t>
      </w:r>
      <w:r>
        <w:rPr>
          <w:shd w:val="clear" w:color="auto" w:fill="FFFFFF"/>
        </w:rPr>
        <w:t>(BBC, 2012)</w:t>
      </w:r>
      <w:r>
        <w:rPr>
          <w:lang w:val="en-US"/>
        </w:rPr>
        <w:t>. Hence, there should always be a fine balance between an individual’s reputation and freedom of expression.</w:t>
      </w:r>
    </w:p>
    <w:p w:rsidR="001F34AF" w:rsidRDefault="001F34AF" w:rsidP="001F34AF">
      <w:pPr>
        <w:rPr>
          <w:lang w:val="en-US"/>
        </w:rPr>
      </w:pPr>
      <w:r>
        <w:rPr>
          <w:lang w:val="en-US"/>
        </w:rPr>
        <w:t xml:space="preserve"> The law of defamation plays a role of balancing between these two things, ultimately resulting in a sustainable society which is more progressive and respectful to one another (</w:t>
      </w:r>
      <w:r>
        <w:rPr>
          <w:shd w:val="clear" w:color="auto" w:fill="FFFFFF"/>
        </w:rPr>
        <w:t>Milo, 2009)</w:t>
      </w:r>
      <w:r>
        <w:rPr>
          <w:lang w:val="en-US"/>
        </w:rPr>
        <w:t>. Law on defamation is a recent rule that helps keep the society balanced. The apprehension that materials intended for publication by the media may contain fabrication that would damage the reputation of others, has a chilling effect on media freedom (</w:t>
      </w:r>
      <w:r>
        <w:rPr>
          <w:shd w:val="clear" w:color="auto" w:fill="FFFFFF"/>
        </w:rPr>
        <w:t>Ardia, 2010)</w:t>
      </w:r>
      <w:r>
        <w:rPr>
          <w:lang w:val="en-US"/>
        </w:rPr>
        <w:t>. The resulting situation has negative effects on investigative journalism which is, however, a vigorous mechanism for ensuring accountability in a representative democracy (</w:t>
      </w:r>
      <w:r>
        <w:rPr>
          <w:shd w:val="clear" w:color="auto" w:fill="FFFFFF"/>
        </w:rPr>
        <w:t>Kenyon and Marjoribanks, 2008)</w:t>
      </w:r>
      <w:r>
        <w:rPr>
          <w:lang w:val="en-US"/>
        </w:rPr>
        <w:t xml:space="preserve">. The traditional common law of defamation did not benefit the position of media. The last few decades have witnessed developments in regard to the law of defamation where media has been more benefitted, because it can disseminate any information to the people on the matter of public interest. According to Defamation Act 2013, </w:t>
      </w:r>
      <w:r>
        <w:rPr>
          <w:shd w:val="clear" w:color="auto" w:fill="FFFFFF"/>
          <w:lang w:val="en-US"/>
        </w:rPr>
        <w:t xml:space="preserve">the </w:t>
      </w:r>
      <w:r>
        <w:rPr>
          <w:shd w:val="clear" w:color="auto" w:fill="FFFFFF"/>
        </w:rPr>
        <w:t>court doesn’t have the authority to hear and determine a defamation claim which is brought against a person who is not the author, editor or publisher of the statement except where it is not reasonably practicable to bring a claim against them.</w:t>
      </w:r>
      <w:r>
        <w:rPr>
          <w:sz w:val="28"/>
          <w:shd w:val="clear" w:color="auto" w:fill="FFFFFF"/>
        </w:rPr>
        <w:t xml:space="preserve"> </w:t>
      </w:r>
      <w:r>
        <w:rPr>
          <w:shd w:val="clear" w:color="auto" w:fill="FFFFFF"/>
        </w:rPr>
        <w:t>(Hassall, 2014)</w:t>
      </w:r>
      <w:r>
        <w:rPr>
          <w:lang w:val="en-US"/>
        </w:rPr>
        <w:t xml:space="preserve">. </w:t>
      </w:r>
    </w:p>
    <w:p w:rsidR="001F34AF" w:rsidRDefault="001F34AF" w:rsidP="001F34AF">
      <w:pPr>
        <w:rPr>
          <w:lang w:val="en-US"/>
        </w:rPr>
      </w:pPr>
      <w:r>
        <w:rPr>
          <w:lang w:val="en-US"/>
        </w:rPr>
        <w:t>On the other hand, reputation is an integral and important part of the dignity of an individual. Modern democratic societies are committed to the principle related to the matter of public interest. (</w:t>
      </w:r>
      <w:r>
        <w:rPr>
          <w:shd w:val="clear" w:color="auto" w:fill="FFFFFF"/>
        </w:rPr>
        <w:t>Voorhoof and Cannie, 2010)</w:t>
      </w:r>
      <w:r>
        <w:rPr>
          <w:lang w:val="en-US"/>
        </w:rPr>
        <w:t>. Moreover, media are fundamentally responsible for the dissemination of information and ideas that are necessary for the development of a democratic culture, which doesn’t consist only of government and citizens, but also of a large number of public-interest groups and political parties (</w:t>
      </w:r>
      <w:r>
        <w:rPr>
          <w:shd w:val="clear" w:color="auto" w:fill="FFFFFF"/>
        </w:rPr>
        <w:t>Curran, 2011)</w:t>
      </w:r>
      <w:r>
        <w:rPr>
          <w:lang w:val="en-US"/>
        </w:rPr>
        <w:t xml:space="preserve">. But, the conflict between the protection of reputation and freedom of expression by media frequently arises where media are found to make false statements about individuals which injure their reputation. The protection of reputation may undermine the freedom of media when media are held accountable for tiny errors as they disseminate information on matters regarding public interest. This argument is premised on the ground that it is close to impossible for media to check every factual allegation in advance. However, the approach to protection of media freedom would definitely expose individuals to unwarranted attacks on their reputation. There is no public interest served through disseminating spurious information. Unfortunately, media sometimes become profit-driven enterprises in an environment where </w:t>
      </w:r>
      <w:r>
        <w:rPr>
          <w:lang w:val="en-US"/>
        </w:rPr>
        <w:lastRenderedPageBreak/>
        <w:t xml:space="preserve">the benefits of commercial market loom larger than those of the intellectual market place </w:t>
      </w:r>
      <w:r>
        <w:rPr>
          <w:shd w:val="clear" w:color="auto" w:fill="FFFFFF"/>
        </w:rPr>
        <w:t>(Heck, 2020)</w:t>
      </w:r>
      <w:r>
        <w:rPr>
          <w:lang w:val="en-US"/>
        </w:rPr>
        <w:t>.</w:t>
      </w:r>
    </w:p>
    <w:p w:rsidR="001F34AF" w:rsidRDefault="001F34AF" w:rsidP="001F34AF">
      <w:pPr>
        <w:rPr>
          <w:lang w:val="en-US"/>
        </w:rPr>
      </w:pPr>
      <w:r>
        <w:rPr>
          <w:lang w:val="en-US"/>
        </w:rPr>
        <w:t xml:space="preserve"> The law of defamation not only protects an individual reputation from unjustified attacks but also balance between the protection of reputation and freedom of expression by press. Media can even publish information that could be fundamentally erroneous but honest at the same time. The England courts have also developed the common law of defamation to give greater protection to freedom of expression. However, the defamation act insists that a statement </w:t>
      </w:r>
      <w:r>
        <w:rPr>
          <w:shd w:val="clear" w:color="auto" w:fill="FFFFFF"/>
        </w:rPr>
        <w:t>“is not defamatory unless its publication has caused or is likely to cause serious harm to the reputation of the claimant”</w:t>
      </w:r>
      <w:r>
        <w:rPr>
          <w:lang w:val="en-US"/>
        </w:rPr>
        <w:t xml:space="preserve"> </w:t>
      </w:r>
      <w:r>
        <w:rPr>
          <w:shd w:val="clear" w:color="auto" w:fill="FFFFFF"/>
        </w:rPr>
        <w:t>(Law Business Research, 2020)</w:t>
      </w:r>
      <w:r>
        <w:rPr>
          <w:lang w:val="en-US"/>
        </w:rPr>
        <w:t xml:space="preserve">. </w:t>
      </w:r>
    </w:p>
    <w:p w:rsidR="001F34AF" w:rsidRDefault="001F34AF" w:rsidP="001F34AF">
      <w:pPr>
        <w:rPr>
          <w:lang w:val="en-US"/>
        </w:rPr>
      </w:pPr>
      <w:r>
        <w:rPr>
          <w:lang w:val="en-US"/>
        </w:rPr>
        <w:t xml:space="preserve"> Besides, the basic idea that the law holds is simple. This law aims to balance between the private right to protect reputation and public right to freedom of speech. Section 04 of defamation act- 2013 confers defendants having published material regarding matters of public interest a defense to take actions for defamation (</w:t>
      </w:r>
      <w:r>
        <w:rPr>
          <w:shd w:val="clear" w:color="auto" w:fill="FFFFFF"/>
        </w:rPr>
        <w:t>Erdos, 2014)</w:t>
      </w:r>
      <w:r>
        <w:rPr>
          <w:lang w:val="en-US"/>
        </w:rPr>
        <w:t>. In addition, section 10 of the contempt of court act-1981 explains the legal protection of journalists’ sources and the role of court in balancing public interest in UK; The journalists’ willingness to conceal their sources is in the public interest (</w:t>
      </w:r>
      <w:r>
        <w:rPr>
          <w:shd w:val="clear" w:color="auto" w:fill="FFFFFF"/>
        </w:rPr>
        <w:t>Harvey, 2007)</w:t>
      </w:r>
      <w:r>
        <w:rPr>
          <w:lang w:val="en-US"/>
        </w:rPr>
        <w:t>. This legislation is about the right of the public to be informed. This law does not make media a privileged group in society.</w:t>
      </w:r>
    </w:p>
    <w:p w:rsidR="001F34AF" w:rsidRDefault="001F34AF" w:rsidP="001F34AF">
      <w:pPr>
        <w:rPr>
          <w:lang w:val="en-US"/>
        </w:rPr>
      </w:pPr>
      <w:r>
        <w:rPr>
          <w:lang w:val="en-US"/>
        </w:rPr>
        <w:t xml:space="preserve"> The modification of the traditional law of defamation has given greater protection to the press when disseminating information on matter of public interest. This development has been influenced by other similar jurisdictions when traditional common law of defamation failed to strike a balance between protection of reputation and media freedom. Moreover, the defense of the defendant rests on two legs: communication must be for the public interest and publication must have been reasonable. Not with standing, this law helps keep the dynamics of the society.</w:t>
      </w:r>
    </w:p>
    <w:p w:rsidR="00C416C1" w:rsidRPr="001F34AF" w:rsidRDefault="00C416C1">
      <w:pPr>
        <w:rPr>
          <w:lang w:val="en-US"/>
        </w:rPr>
      </w:pPr>
    </w:p>
    <w:sectPr w:rsidR="00C416C1" w:rsidRPr="001F34AF" w:rsidSect="00662B05">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E43AD" w:rsidRDefault="00CE43AD" w:rsidP="00C416C1">
      <w:pPr>
        <w:spacing w:after="0" w:line="240" w:lineRule="auto"/>
      </w:pPr>
      <w:r>
        <w:separator/>
      </w:r>
    </w:p>
  </w:endnote>
  <w:endnote w:type="continuationSeparator" w:id="0">
    <w:p w:rsidR="00CE43AD" w:rsidRDefault="00CE43AD" w:rsidP="00C416C1">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E43AD" w:rsidRDefault="00CE43AD" w:rsidP="00C416C1">
      <w:pPr>
        <w:spacing w:after="0" w:line="240" w:lineRule="auto"/>
      </w:pPr>
      <w:r>
        <w:separator/>
      </w:r>
    </w:p>
  </w:footnote>
  <w:footnote w:type="continuationSeparator" w:id="0">
    <w:p w:rsidR="00CE43AD" w:rsidRDefault="00CE43AD" w:rsidP="00C416C1">
      <w:pPr>
        <w:spacing w:after="0" w:line="240" w:lineRule="auto"/>
      </w:pPr>
      <w:r>
        <w:continuationSeparator/>
      </w:r>
    </w:p>
  </w:footnote>
  <w:footnote w:id="1">
    <w:p w:rsidR="00C416C1" w:rsidRDefault="00C416C1" w:rsidP="00C416C1">
      <w:pPr>
        <w:pStyle w:val="FootnoteText"/>
      </w:pPr>
    </w:p>
  </w:footnote>
  <w:footnote w:id="2">
    <w:p w:rsidR="00C416C1" w:rsidRDefault="00C416C1" w:rsidP="00C416C1">
      <w:pPr>
        <w:pStyle w:val="FootnoteText"/>
      </w:pPr>
    </w:p>
    <w:p w:rsidR="00C416C1" w:rsidRDefault="00C416C1" w:rsidP="00C416C1">
      <w:pPr>
        <w:pStyle w:val="FootnoteText"/>
        <w:jc w:val="left"/>
        <w:rPr>
          <w:lang w:val="en-US"/>
        </w:rPr>
      </w:pP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grammar="clean"/>
  <w:defaultTabStop w:val="708"/>
  <w:characterSpacingControl w:val="doNotCompress"/>
  <w:footnotePr>
    <w:footnote w:id="-1"/>
    <w:footnote w:id="0"/>
  </w:footnotePr>
  <w:endnotePr>
    <w:endnote w:id="-1"/>
    <w:endnote w:id="0"/>
  </w:endnotePr>
  <w:compat/>
  <w:rsids>
    <w:rsidRoot w:val="00C416C1"/>
    <w:rsid w:val="001B20B9"/>
    <w:rsid w:val="001F34AF"/>
    <w:rsid w:val="00501DBF"/>
    <w:rsid w:val="00662B05"/>
    <w:rsid w:val="00C416C1"/>
    <w:rsid w:val="00CE43A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416C1"/>
    <w:pPr>
      <w:spacing w:line="360" w:lineRule="auto"/>
    </w:pPr>
    <w:rPr>
      <w:rFonts w:ascii="Times New Roman" w:hAnsi="Times New Roman" w:cs="Times New Roman"/>
      <w:color w:val="000000" w:themeColor="text1"/>
      <w:sz w:val="24"/>
      <w:szCs w:val="2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C416C1"/>
    <w:pPr>
      <w:spacing w:after="0" w:line="240" w:lineRule="auto"/>
      <w:jc w:val="both"/>
    </w:pPr>
    <w:rPr>
      <w:sz w:val="20"/>
      <w:szCs w:val="20"/>
    </w:rPr>
  </w:style>
  <w:style w:type="character" w:customStyle="1" w:styleId="FootnoteTextChar">
    <w:name w:val="Footnote Text Char"/>
    <w:basedOn w:val="DefaultParagraphFont"/>
    <w:link w:val="FootnoteText"/>
    <w:uiPriority w:val="99"/>
    <w:semiHidden/>
    <w:rsid w:val="00C416C1"/>
    <w:rPr>
      <w:rFonts w:ascii="Times New Roman" w:hAnsi="Times New Roman" w:cs="Times New Roman"/>
      <w:color w:val="000000" w:themeColor="text1"/>
      <w:sz w:val="20"/>
      <w:szCs w:val="20"/>
      <w:lang w:val="en-GB"/>
    </w:rPr>
  </w:style>
  <w:style w:type="character" w:styleId="FootnoteReference">
    <w:name w:val="footnote reference"/>
    <w:basedOn w:val="DefaultParagraphFont"/>
    <w:uiPriority w:val="99"/>
    <w:semiHidden/>
    <w:unhideWhenUsed/>
    <w:rsid w:val="00C416C1"/>
    <w:rPr>
      <w:vertAlign w:val="superscript"/>
    </w:rPr>
  </w:style>
  <w:style w:type="character" w:styleId="Hyperlink">
    <w:name w:val="Hyperlink"/>
    <w:basedOn w:val="DefaultParagraphFont"/>
    <w:uiPriority w:val="99"/>
    <w:semiHidden/>
    <w:unhideWhenUsed/>
    <w:rsid w:val="001F34AF"/>
    <w:rPr>
      <w:color w:val="0000FF"/>
      <w:u w:val="single"/>
    </w:rPr>
  </w:style>
</w:styles>
</file>

<file path=word/webSettings.xml><?xml version="1.0" encoding="utf-8"?>
<w:webSettings xmlns:r="http://schemas.openxmlformats.org/officeDocument/2006/relationships" xmlns:w="http://schemas.openxmlformats.org/wordprocessingml/2006/main">
  <w:divs>
    <w:div w:id="1688166672">
      <w:bodyDiv w:val="1"/>
      <w:marLeft w:val="0"/>
      <w:marRight w:val="0"/>
      <w:marTop w:val="0"/>
      <w:marBottom w:val="0"/>
      <w:divBdr>
        <w:top w:val="none" w:sz="0" w:space="0" w:color="auto"/>
        <w:left w:val="none" w:sz="0" w:space="0" w:color="auto"/>
        <w:bottom w:val="none" w:sz="0" w:space="0" w:color="auto"/>
        <w:right w:val="none" w:sz="0" w:space="0" w:color="auto"/>
      </w:divBdr>
    </w:div>
    <w:div w:id="19177416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www.forbes.com/sites/markcohen1/2019/06/24/why-is-law-so-slow-to-use-data/"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forbes.com/sites/markcohen1/2017/07/03/goodbye-guild-laws-changing-culture/" TargetMode="Externa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2910</Words>
  <Characters>16590</Characters>
  <Application>Microsoft Office Word</Application>
  <DocSecurity>0</DocSecurity>
  <Lines>138</Lines>
  <Paragraphs>38</Paragraphs>
  <ScaleCrop>false</ScaleCrop>
  <Company/>
  <LinksUpToDate>false</LinksUpToDate>
  <CharactersWithSpaces>19462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agheo</dc:creator>
  <cp:keywords/>
  <dc:description/>
  <cp:lastModifiedBy>agheo</cp:lastModifiedBy>
  <cp:revision>5</cp:revision>
  <dcterms:created xsi:type="dcterms:W3CDTF">2020-12-16T23:34:00Z</dcterms:created>
  <dcterms:modified xsi:type="dcterms:W3CDTF">2020-12-16T23:35:00Z</dcterms:modified>
</cp:coreProperties>
</file>