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448352" w14:textId="6165B8F5" w:rsidR="002354BB" w:rsidRPr="002354BB" w:rsidRDefault="002354BB" w:rsidP="002354BB">
      <w:pPr>
        <w:rPr>
          <w:b/>
          <w:bCs/>
        </w:rPr>
      </w:pPr>
      <w:r w:rsidRPr="002354BB">
        <w:rPr>
          <w:b/>
          <w:bCs/>
        </w:rPr>
        <w:t xml:space="preserve">Assessment Rubric for </w:t>
      </w:r>
      <w:r w:rsidR="001051BF">
        <w:rPr>
          <w:b/>
          <w:bCs/>
        </w:rPr>
        <w:t>Data Warehousing &amp; Data Mining Assessment 1.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748"/>
        <w:gridCol w:w="1744"/>
        <w:gridCol w:w="1837"/>
        <w:gridCol w:w="1787"/>
        <w:gridCol w:w="1840"/>
        <w:gridCol w:w="1793"/>
        <w:gridCol w:w="1971"/>
        <w:gridCol w:w="1958"/>
      </w:tblGrid>
      <w:tr w:rsidR="0071210D" w:rsidRPr="001051BF" w14:paraId="6A9285DA" w14:textId="77777777" w:rsidTr="001051BF">
        <w:trPr>
          <w:trHeight w:val="792"/>
        </w:trPr>
        <w:tc>
          <w:tcPr>
            <w:tcW w:w="0" w:type="auto"/>
            <w:tcBorders>
              <w:top w:val="nil"/>
              <w:left w:val="nil"/>
              <w:right w:val="nil"/>
            </w:tcBorders>
            <w:vAlign w:val="center"/>
          </w:tcPr>
          <w:p w14:paraId="226E9FE1" w14:textId="6FF8F992" w:rsidR="0071210D" w:rsidRPr="002354BB" w:rsidRDefault="001051BF" w:rsidP="001051BF">
            <w:pPr>
              <w:spacing w:after="0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1051BF">
              <w:rPr>
                <w:rFonts w:ascii="Arial" w:hAnsi="Arial" w:cs="Arial"/>
                <w:b/>
                <w:bCs/>
                <w:sz w:val="28"/>
                <w:szCs w:val="28"/>
              </w:rPr>
              <w:t>STUDENT</w:t>
            </w:r>
          </w:p>
        </w:tc>
        <w:tc>
          <w:tcPr>
            <w:tcW w:w="0" w:type="auto"/>
            <w:gridSpan w:val="5"/>
            <w:tcBorders>
              <w:top w:val="nil"/>
              <w:left w:val="nil"/>
              <w:right w:val="nil"/>
            </w:tcBorders>
            <w:vAlign w:val="center"/>
          </w:tcPr>
          <w:p w14:paraId="52BFAA75" w14:textId="439E7D19" w:rsidR="0071210D" w:rsidRPr="002354BB" w:rsidRDefault="00102E1A" w:rsidP="001051BF">
            <w:pPr>
              <w:spacing w:after="0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Thomas Sellwood</w:t>
            </w:r>
          </w:p>
        </w:tc>
        <w:tc>
          <w:tcPr>
            <w:tcW w:w="0" w:type="auto"/>
            <w:tcBorders>
              <w:top w:val="nil"/>
              <w:left w:val="nil"/>
              <w:right w:val="nil"/>
            </w:tcBorders>
            <w:vAlign w:val="center"/>
          </w:tcPr>
          <w:p w14:paraId="1DFB1AD4" w14:textId="545F584C" w:rsidR="0071210D" w:rsidRPr="002354BB" w:rsidRDefault="001051BF" w:rsidP="001051BF">
            <w:pPr>
              <w:spacing w:after="0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1051BF">
              <w:rPr>
                <w:rFonts w:ascii="Arial" w:hAnsi="Arial" w:cs="Arial"/>
                <w:b/>
                <w:bCs/>
                <w:sz w:val="28"/>
                <w:szCs w:val="28"/>
              </w:rPr>
              <w:t>GRADE</w:t>
            </w:r>
          </w:p>
        </w:tc>
        <w:tc>
          <w:tcPr>
            <w:tcW w:w="0" w:type="auto"/>
            <w:tcBorders>
              <w:top w:val="nil"/>
              <w:left w:val="nil"/>
              <w:right w:val="nil"/>
            </w:tcBorders>
            <w:vAlign w:val="center"/>
          </w:tcPr>
          <w:p w14:paraId="45410611" w14:textId="44E29771" w:rsidR="0071210D" w:rsidRPr="00E72BBD" w:rsidRDefault="009D351F" w:rsidP="001051BF">
            <w:pPr>
              <w:spacing w:after="0"/>
              <w:rPr>
                <w:rFonts w:ascii="Arial" w:hAnsi="Arial" w:cs="Arial"/>
                <w:b/>
                <w:bCs/>
                <w:color w:val="E97132" w:themeColor="accent2"/>
                <w:sz w:val="40"/>
                <w:szCs w:val="40"/>
              </w:rPr>
            </w:pPr>
            <w:r>
              <w:rPr>
                <w:rFonts w:ascii="Arial" w:hAnsi="Arial" w:cs="Arial"/>
                <w:b/>
                <w:bCs/>
                <w:color w:val="E97132" w:themeColor="accent2"/>
                <w:sz w:val="40"/>
                <w:szCs w:val="40"/>
              </w:rPr>
              <w:t>69%</w:t>
            </w:r>
          </w:p>
        </w:tc>
      </w:tr>
      <w:tr w:rsidR="0071210D" w:rsidRPr="001051BF" w14:paraId="468915D6" w14:textId="77777777" w:rsidTr="001051BF">
        <w:trPr>
          <w:tblHeader/>
        </w:trPr>
        <w:tc>
          <w:tcPr>
            <w:tcW w:w="0" w:type="auto"/>
            <w:shd w:val="clear" w:color="auto" w:fill="E8E8E8" w:themeFill="background2"/>
            <w:vAlign w:val="center"/>
          </w:tcPr>
          <w:p w14:paraId="3EAE37BD" w14:textId="5E7FD8FA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Criteria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4D1BC626" w14:textId="2E15F60C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Fail</w:t>
            </w:r>
          </w:p>
          <w:p w14:paraId="3C9D2002" w14:textId="3BB29570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(0-29%)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shd w:val="clear" w:color="auto" w:fill="E8E8E8" w:themeFill="background2"/>
            <w:vAlign w:val="center"/>
          </w:tcPr>
          <w:p w14:paraId="6194B109" w14:textId="1B8CEB66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Marginal Fail</w:t>
            </w:r>
          </w:p>
          <w:p w14:paraId="72E1B81A" w14:textId="7A77D0DD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(30-39%)</w:t>
            </w:r>
          </w:p>
        </w:tc>
        <w:tc>
          <w:tcPr>
            <w:tcW w:w="0" w:type="auto"/>
            <w:tcBorders>
              <w:left w:val="double" w:sz="4" w:space="0" w:color="auto"/>
            </w:tcBorders>
            <w:shd w:val="clear" w:color="auto" w:fill="E8E8E8" w:themeFill="background2"/>
            <w:vAlign w:val="center"/>
          </w:tcPr>
          <w:p w14:paraId="7855370A" w14:textId="082F7503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Satisfactory</w:t>
            </w:r>
          </w:p>
          <w:p w14:paraId="5860B34E" w14:textId="3D8D7F30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(40-49%)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0407B2E8" w14:textId="1FA8961C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Good</w:t>
            </w:r>
          </w:p>
          <w:p w14:paraId="10CBACE7" w14:textId="782D7C55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(50-59%)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2DA95F99" w14:textId="2193757C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Very Good</w:t>
            </w:r>
          </w:p>
          <w:p w14:paraId="70B4CD2B" w14:textId="366722A8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(60-69%)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0B0A36D3" w14:textId="310ECA33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Excellent</w:t>
            </w:r>
          </w:p>
          <w:p w14:paraId="632FCDC0" w14:textId="55C53EE2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(70-84%)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1047D07D" w14:textId="1F6FCA31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Exceptional</w:t>
            </w:r>
          </w:p>
          <w:p w14:paraId="3BF52494" w14:textId="21E60483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(85-100%)</w:t>
            </w:r>
          </w:p>
        </w:tc>
      </w:tr>
      <w:tr w:rsidR="0071210D" w:rsidRPr="001051BF" w14:paraId="097904C8" w14:textId="77777777" w:rsidTr="001051BF">
        <w:trPr>
          <w:trHeight w:val="2767"/>
        </w:trPr>
        <w:tc>
          <w:tcPr>
            <w:tcW w:w="0" w:type="auto"/>
            <w:shd w:val="clear" w:color="auto" w:fill="E8E8E8" w:themeFill="background2"/>
            <w:hideMark/>
          </w:tcPr>
          <w:p w14:paraId="1225E792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t>Understanding of OLTP vs Data Warehouse (Task 1, 10%)</w:t>
            </w:r>
          </w:p>
        </w:tc>
        <w:tc>
          <w:tcPr>
            <w:tcW w:w="0" w:type="auto"/>
            <w:hideMark/>
          </w:tcPr>
          <w:p w14:paraId="53318AAE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Little to no understanding of OLTP or data warehouses. Discussion lacks relevance to the case study.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2EA2095B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Minimal understanding of OLTP and data warehouses. Discussion is poorly applied to the case study context.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194DC13A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understanding of OLTP vs data warehouses. Some relevance to the case study, but lacking depth or clarity.</w:t>
            </w:r>
          </w:p>
        </w:tc>
        <w:tc>
          <w:tcPr>
            <w:tcW w:w="0" w:type="auto"/>
            <w:hideMark/>
          </w:tcPr>
          <w:p w14:paraId="56FA8764" w14:textId="60304B74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understanding of OLTP vs data warehouses. Discussion is relevant to the case study and demonstrates basic application.</w:t>
            </w:r>
          </w:p>
        </w:tc>
        <w:tc>
          <w:tcPr>
            <w:tcW w:w="0" w:type="auto"/>
            <w:hideMark/>
          </w:tcPr>
          <w:p w14:paraId="6428DF71" w14:textId="34281DFF" w:rsidR="0071210D" w:rsidRPr="002354BB" w:rsidRDefault="00495EFB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3DDA3A8F" wp14:editId="681550D5">
                      <wp:simplePos x="0" y="0"/>
                      <wp:positionH relativeFrom="column">
                        <wp:posOffset>565829</wp:posOffset>
                      </wp:positionH>
                      <wp:positionV relativeFrom="paragraph">
                        <wp:posOffset>20320</wp:posOffset>
                      </wp:positionV>
                      <wp:extent cx="1104900" cy="1800225"/>
                      <wp:effectExtent l="19050" t="19050" r="38100" b="47625"/>
                      <wp:wrapNone/>
                      <wp:docPr id="1362584606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800225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1805080A" id="Oval 1" o:spid="_x0000_s1026" style="position:absolute;margin-left:44.55pt;margin-top:1.6pt;width:87pt;height:141.7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ENH+gQIAAHAFAAAOAAAAZHJzL2Uyb0RvYy54bWysVEtv2zAMvg/YfxB0X/xAsrZBnSJokWFA&#10;0AZrh55VWaoFyKImKXGyXz9KdpygLXYYdrElkfxIfnxc3+xbTXbCeQWmosUkp0QYDrUyrxX9+bT6&#10;ckmJD8zUTIMRFT0IT28Wnz9dd3YuSmhA18IRBDF+3tmKNiHYeZZ53oiW+QlYYVAowbUs4NW9ZrVj&#10;HaK3Oivz/GvWgautAy68x9e7XkgXCV9KwcODlF4EoiuKsYX0den7Er/Z4prNXx2zjeJDGOwfomiZ&#10;Muh0hLpjgZGtU++gWsUdeJBhwqHNQErFRcoBsynyN9k8NsyKlAuS4+1Ik/9/sPx+92g3DmnorJ97&#10;PMYs9tK18Y/xkX0i6zCSJfaBcHwsinx6lSOnHGXFZZ6X5SzSmZ3MrfPhm4CWxENFhdbK+pgQm7Pd&#10;2ode+6gVnw2slNapKNqQrqKzi2KWJwsPWtVRGvVSf4hb7ciOYWUZ58KEcnB/ponBaIMxnZJLp3DQ&#10;IsJo80NIompMp+ydxL57i1v0oobVoneHIWHiffRjJCnzBBiRJQY6Yg8AH2P3MIN+NBWpbUfjIfu/&#10;GY8WyTOYMBq3yoD7KDMdiiEB2esfSeqpiSy9QH3YOOKgHxpv+UphHdfMhw1zOCVYe5z88IAfqQGL&#10;BcOJkgbc74/eoz42L0op6XDqKup/bZkTlOjvBtv6qphO45imy3R2UeLFnUteziVm294Clr/AHWN5&#10;Okb9oI9H6aB9xgWxjF5RxAxH3xXlwR0vt6HfBrhiuFgukxqOpmVhbR4tj+CR1dikT/tn5uzQzAHn&#10;4B6OE/quoXvdaGlguQ0gVer2E68D3zjWqXGGFRT3xvk9aZ0W5eIPAAAA//8DAFBLAwQUAAYACAAA&#10;ACEAwDk3e94AAAAIAQAADwAAAGRycy9kb3ducmV2LnhtbEyPQUvEMBCF74L/IYzgRdx0s1JrbbqI&#10;oHgSrB72mDbZtthMSpJ2o7/e8aS3ebzHm+9V+2QnthofRocStpsMmMHO6RF7CR/vT9cFsBAVajU5&#10;NBK+TIB9fX5WqVK7E76ZtYk9oxIMpZIwxDiXnIduMFaFjZsNknd03qpI0vdce3WicjtxkWU5t2pE&#10;+jCo2TwOpvtsFitBtGK9is83yR9fDuN307we8rRIeXmRHu6BRZPiXxh+8QkdamJq3YI6sElCcbel&#10;pISdAEa2yHekWzqK/BZ4XfH/A+ofAAAA//8DAFBLAQItABQABgAIAAAAIQC2gziS/gAAAOEBAAAT&#10;AAAAAAAAAAAAAAAAAAAAAABbQ29udGVudF9UeXBlc10ueG1sUEsBAi0AFAAGAAgAAAAhADj9If/W&#10;AAAAlAEAAAsAAAAAAAAAAAAAAAAALwEAAF9yZWxzLy5yZWxzUEsBAi0AFAAGAAgAAAAhAOcQ0f6B&#10;AgAAcAUAAA4AAAAAAAAAAAAAAAAALgIAAGRycy9lMm9Eb2MueG1sUEsBAi0AFAAGAAgAAAAhAMA5&#10;N3veAAAACAEAAA8AAAAAAAAAAAAAAAAA2wQAAGRycy9kb3ducmV2LnhtbFBLBQYAAAAABAAEAPMA&#10;AADmBQAAAAA=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Strong understanding of OLTP vs data warehouses with detailed and relevant discussion applied to the case study.</w:t>
            </w:r>
          </w:p>
        </w:tc>
        <w:tc>
          <w:tcPr>
            <w:tcW w:w="0" w:type="auto"/>
            <w:hideMark/>
          </w:tcPr>
          <w:p w14:paraId="0F10E345" w14:textId="702E1D54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Excellent understanding of OLTP vs data warehouses with well-structured and insightful discussion applied to the case study.</w:t>
            </w:r>
          </w:p>
        </w:tc>
        <w:tc>
          <w:tcPr>
            <w:tcW w:w="0" w:type="auto"/>
            <w:hideMark/>
          </w:tcPr>
          <w:p w14:paraId="15EB9327" w14:textId="184A9219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Exceptional understanding of OLTP vs data warehouses, demonstrating nuanced insights and innovative application to the case study.</w:t>
            </w:r>
          </w:p>
        </w:tc>
      </w:tr>
      <w:tr w:rsidR="0071210D" w:rsidRPr="001051BF" w14:paraId="7C7F5A11" w14:textId="77777777" w:rsidTr="001051BF">
        <w:trPr>
          <w:trHeight w:val="2524"/>
        </w:trPr>
        <w:tc>
          <w:tcPr>
            <w:tcW w:w="0" w:type="auto"/>
            <w:shd w:val="clear" w:color="auto" w:fill="E8E8E8" w:themeFill="background2"/>
            <w:hideMark/>
          </w:tcPr>
          <w:p w14:paraId="02B91652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t>Data Warehouse Architecture and ETL (Task 1, 15%)</w:t>
            </w:r>
          </w:p>
        </w:tc>
        <w:tc>
          <w:tcPr>
            <w:tcW w:w="0" w:type="auto"/>
            <w:hideMark/>
          </w:tcPr>
          <w:p w14:paraId="1199FAF8" w14:textId="7B9824BD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No explanation of data warehouse architecture or ETL process. Diagrams missing or irrelevant.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5B3DB1E5" w14:textId="6761F066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Weak explanation of data warehouse architecture or ETL process. Diagrams are unclear or poorly applied.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68DE78B4" w14:textId="013FBE0D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explanation of data warehouse architecture and ETL process with relevant but simple diagrams.</w:t>
            </w:r>
          </w:p>
        </w:tc>
        <w:tc>
          <w:tcPr>
            <w:tcW w:w="0" w:type="auto"/>
            <w:hideMark/>
          </w:tcPr>
          <w:p w14:paraId="39C97B6A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explanation of data warehouse architecture and ETL process, supported by relevant diagrams.</w:t>
            </w:r>
          </w:p>
        </w:tc>
        <w:tc>
          <w:tcPr>
            <w:tcW w:w="0" w:type="auto"/>
            <w:hideMark/>
          </w:tcPr>
          <w:p w14:paraId="01906C2D" w14:textId="2B7B0481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Strong explanation of data warehouse architecture and ETL process with detailed and accurate diagrams.</w:t>
            </w:r>
          </w:p>
        </w:tc>
        <w:tc>
          <w:tcPr>
            <w:tcW w:w="0" w:type="auto"/>
            <w:hideMark/>
          </w:tcPr>
          <w:p w14:paraId="1C92A595" w14:textId="16C660B9" w:rsidR="0071210D" w:rsidRPr="002354BB" w:rsidRDefault="00495EFB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00DCC5F5" wp14:editId="1DEF8300">
                      <wp:simplePos x="0" y="0"/>
                      <wp:positionH relativeFrom="column">
                        <wp:posOffset>-595261</wp:posOffset>
                      </wp:positionH>
                      <wp:positionV relativeFrom="paragraph">
                        <wp:posOffset>15889</wp:posOffset>
                      </wp:positionV>
                      <wp:extent cx="1104900" cy="1571625"/>
                      <wp:effectExtent l="19050" t="19050" r="38100" b="47625"/>
                      <wp:wrapNone/>
                      <wp:docPr id="401620650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571625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0A44B2A5" id="Oval 1" o:spid="_x0000_s1026" style="position:absolute;margin-left:-46.85pt;margin-top:1.25pt;width:87pt;height:123.75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rHx9gAIAAHAFAAAOAAAAZHJzL2Uyb0RvYy54bWysVE1v2zAMvQ/YfxB0X20HSbsGcYqgRYcB&#10;QRssHXpWZCkWIIuapMTJfv0o2XGCtthh2MWWRPKRfPyY3R0aTfbCeQWmpMVVTokwHCpltiX9+fL4&#10;5SslPjBTMQ1GlPQoPL2bf/40a+1UjKAGXQlHEMT4aWtLWodgp1nmeS0a5q/ACoNCCa5hAa9um1WO&#10;tYje6GyU59dZC66yDrjwHl8fOiGdJ3wpBQ/PUnoRiC4pxhbS16XvJn6z+YxNt47ZWvE+DPYPUTRM&#10;GXQ6QD2wwMjOqXdQjeIOPMhwxaHJQErFRcoBsynyN9msa2ZFygXJ8Xagyf8/WP60X9uVQxpa66ce&#10;jzGLg3RN/GN85JDIOg5kiUMgHB+LIh/f5sgpR1kxuSmuR5NIZ3Y2t86HbwIaEg8lFVor62NCbMr2&#10;Sx867ZNWfDbwqLRORdGGtCVF3EmeLDxoVUVp1Ev9Ie61I3uGlWWcCxNGvfsLTQxGG4zpnFw6haMW&#10;EUabH0ISVWE6o85J7Lu3uEUnqlklOncYEibeRT9EkjJPgBFZYqADdg/wMXYH0+tHU5HadjDus/+b&#10;8WCRPIMJg3GjDLiPMtOh6BOQnf6JpI6ayNIGquPKEQfd0HjLHxXWccl8WDGHU4K1x8kPz/iRGrBY&#10;0J8oqcH9/ug96mPzopSSFqeupP7XjjlBif5usK1vi/E4jmm6jCc3I7y4S8nmUmJ2zT1g+QvcMZan&#10;Y9QP+nSUDppXXBCL6BVFzHD0XVIe3OlyH7ptgCuGi8UiqeFoWhaWZm15BI+sxiZ9ObwyZ/tmDjgH&#10;T3Ca0HcN3elGSwOLXQCpUrefee35xrFOjdOvoLg3Lu9J67wo538AAAD//wMAUEsDBBQABgAIAAAA&#10;IQDdWqfd3gAAAAgBAAAPAAAAZHJzL2Rvd25yZXYueG1sTI/BTsMwEETvSPyDtUhcUGuTQmnTOBVC&#10;AnFCInDo0Ym3SURsR7aTGr6e7QmOoxm9fVvskxnYjD70zkq4XQpgaBune9tK+Px4XmyAhaisVoOz&#10;KOEbA+zLy4tC5dqd7DvOVWwZQWzIlYQuxjHnPDQdGhWWbkRL3dF5oyJF33Lt1YngZuCZEGtuVG/p&#10;QqdGfOqw+aomIyGrs/kmvtwlf3w99D9V9XZYp0nK66v0uAMWMcW/MZz1SR1KcqrdZHVgg4TFdvVA&#10;U4LdA6N+I1bA6nMUAnhZ8P8PlL8AAAD//wMAUEsBAi0AFAAGAAgAAAAhALaDOJL+AAAA4QEAABMA&#10;AAAAAAAAAAAAAAAAAAAAAFtDb250ZW50X1R5cGVzXS54bWxQSwECLQAUAAYACAAAACEAOP0h/9YA&#10;AACUAQAACwAAAAAAAAAAAAAAAAAvAQAAX3JlbHMvLnJlbHNQSwECLQAUAAYACAAAACEAPKx8fYAC&#10;AABwBQAADgAAAAAAAAAAAAAAAAAuAgAAZHJzL2Uyb0RvYy54bWxQSwECLQAUAAYACAAAACEA3Vqn&#10;3d4AAAAIAQAADwAAAAAAAAAAAAAAAADaBAAAZHJzL2Rvd25yZXYueG1sUEsFBgAAAAAEAAQA8wAA&#10;AOUFAAAAAA==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Comprehensive explanation of data warehouse architecture and ETL process with insightful and precise diagrams.</w:t>
            </w:r>
          </w:p>
        </w:tc>
        <w:tc>
          <w:tcPr>
            <w:tcW w:w="0" w:type="auto"/>
            <w:hideMark/>
          </w:tcPr>
          <w:p w14:paraId="40E7178D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Exceptional explanation of data warehouse architecture and ETL process with innovative insights and professional-quality diagrams.</w:t>
            </w:r>
          </w:p>
        </w:tc>
      </w:tr>
      <w:tr w:rsidR="0071210D" w:rsidRPr="001051BF" w14:paraId="42D1E2AB" w14:textId="77777777" w:rsidTr="001051BF">
        <w:tc>
          <w:tcPr>
            <w:tcW w:w="0" w:type="auto"/>
            <w:shd w:val="clear" w:color="auto" w:fill="E8E8E8" w:themeFill="background2"/>
            <w:hideMark/>
          </w:tcPr>
          <w:p w14:paraId="3CAF3E9A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t>Use of Data Marts (Task 1, 15%)</w:t>
            </w:r>
          </w:p>
        </w:tc>
        <w:tc>
          <w:tcPr>
            <w:tcW w:w="0" w:type="auto"/>
            <w:hideMark/>
          </w:tcPr>
          <w:p w14:paraId="2A0180AC" w14:textId="475F1824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No explanation of data marts or their relevance to the case study.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16B22173" w14:textId="0CA2635C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Minimal understanding of data marts. Relevance to the case study is weak or unclear.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4AB9FFE2" w14:textId="2498CBB2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explanation of data marts with some relevance to the case study.</w:t>
            </w:r>
          </w:p>
        </w:tc>
        <w:tc>
          <w:tcPr>
            <w:tcW w:w="0" w:type="auto"/>
            <w:hideMark/>
          </w:tcPr>
          <w:p w14:paraId="5C9A6966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explanation of data marts and their application to the case study.</w:t>
            </w:r>
          </w:p>
        </w:tc>
        <w:tc>
          <w:tcPr>
            <w:tcW w:w="0" w:type="auto"/>
            <w:hideMark/>
          </w:tcPr>
          <w:p w14:paraId="2ACA6844" w14:textId="5488B911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Strong explanation of data marts with detailed and relevant application to the case study.</w:t>
            </w:r>
          </w:p>
        </w:tc>
        <w:tc>
          <w:tcPr>
            <w:tcW w:w="0" w:type="auto"/>
            <w:hideMark/>
          </w:tcPr>
          <w:p w14:paraId="320EB5FF" w14:textId="262DFEDD" w:rsidR="0071210D" w:rsidRPr="002354BB" w:rsidRDefault="00495EFB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1ACB7886" wp14:editId="1BB55AEB">
                      <wp:simplePos x="0" y="0"/>
                      <wp:positionH relativeFrom="column">
                        <wp:posOffset>75181</wp:posOffset>
                      </wp:positionH>
                      <wp:positionV relativeFrom="paragraph">
                        <wp:posOffset>-3337</wp:posOffset>
                      </wp:positionV>
                      <wp:extent cx="1104900" cy="1485900"/>
                      <wp:effectExtent l="19050" t="19050" r="38100" b="38100"/>
                      <wp:wrapNone/>
                      <wp:docPr id="752242822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485900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09F3DE9F" id="Oval 1" o:spid="_x0000_s1026" style="position:absolute;margin-left:5.9pt;margin-top:-.25pt;width:87pt;height:117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R1AtfgIAAHAFAAAOAAAAZHJzL2Uyb0RvYy54bWysVMFu2zAMvQ/YPwi6r7aDZG2DOEXQosOA&#10;oA2WDj0rshQLkEVNUuJkXz9KdpygLXYYdrFFkXwkn0jO7g6NJnvhvAJT0uIqp0QYDpUy25L+fHn8&#10;ckOJD8xUTIMRJT0KT+/mnz/NWjsVI6hBV8IRBDF+2tqS1iHYaZZ5XouG+SuwwqBSgmtYQNFts8qx&#10;FtEbnY3y/GvWgqusAy68x9uHTknnCV9KwcOzlF4EokuKuYX0dem7id9sPmPTrWO2VrxPg/1DFg1T&#10;BoMOUA8sMLJz6h1Uo7gDDzJccWgykFJxkWrAaor8TTXrmlmRakFyvB1o8v8Plj/t13blkIbW+qnH&#10;Y6ziIF0T/5gfOSSyjgNZ4hAIx8uiyMe3OXLKUVeMbyZRQJzs7G6dD98ENCQeSiq0VtbHgtiU7Zc+&#10;dNYnq3ht4FFpnR5FG9KWdHJdTPLk4UGrKmqjXeoPca8d2TN8Wca5MGHUh7+wxGS0wZzOxaVTOGoR&#10;YbT5ISRRFZYz6oLEvnuLW3SqmlWiC4cpDbUOmaTKE2BElpjogN0DfIzdkdDbR1eR2nZw7qv/m/Pg&#10;kSKDCYNzowy4jyrToejZkp39iaSOmsjSBqrjyhEH3dB4yx8VvuOS+bBiDqcE3x4nPzzjR2rAx4L+&#10;REkN7vdH99Eemxe1lLQ4dSX1v3bMCUr0d4NtfVuMx3FMkzCeXI9QcJeazaXG7Jp7wOcvcMdYno7R&#10;PujTUTpoXnFBLGJUVDHDMXZJeXAn4T502wBXDBeLRTLD0bQsLM3a8ggeWY1N+nJ4Zc72zRxwDp7g&#10;NKHvGrqzjZ4GFrsAUqVuP/Pa841jnRqnX0Fxb1zKyeq8KOd/AAAA//8DAFBLAwQUAAYACAAAACEA&#10;YksqY90AAAAIAQAADwAAAGRycy9kb3ducmV2LnhtbEyPQUvDQBCF74L/YRnBi7SbpqaUmE0RQfEk&#10;GD30uEmmSTA7G3Y36eqvd3rS4+MN3/umOEQzigWdHywp2KwTEEiNbQfqFHx+PK/2IHzQ1OrREir4&#10;Rg+H8vqq0Hlrz/SOSxU6wRDyuVbQhzDlUvqmR6P92k5I3J2sMzpwdJ1snT4z3IwyTZKdNHogXuj1&#10;hE89Nl/VbBSkdbrchZf76E6vx+Gnqt6OuzgrdXsTHx9ABIzh7xgu+qwOJTvVdqbWi5Hzhs2DglUG&#10;4lLvM841s7fbDGRZyP8PlL8AAAD//wMAUEsBAi0AFAAGAAgAAAAhALaDOJL+AAAA4QEAABMAAAAA&#10;AAAAAAAAAAAAAAAAAFtDb250ZW50X1R5cGVzXS54bWxQSwECLQAUAAYACAAAACEAOP0h/9YAAACU&#10;AQAACwAAAAAAAAAAAAAAAAAvAQAAX3JlbHMvLnJlbHNQSwECLQAUAAYACAAAACEAP0dQLX4CAABw&#10;BQAADgAAAAAAAAAAAAAAAAAuAgAAZHJzL2Uyb0RvYy54bWxQSwECLQAUAAYACAAAACEAYksqY90A&#10;AAAIAQAADwAAAAAAAAAAAAAAAADYBAAAZHJzL2Rvd25yZXYueG1sUEsFBgAAAAAEAAQA8wAAAOIF&#10;AAAAAA==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Excellent explanation of data marts with insightful discussion and clear relevance to the case study.</w:t>
            </w:r>
          </w:p>
        </w:tc>
        <w:tc>
          <w:tcPr>
            <w:tcW w:w="0" w:type="auto"/>
            <w:hideMark/>
          </w:tcPr>
          <w:p w14:paraId="7968C170" w14:textId="57AEA96A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Exceptional explanation of data marts, demonstrating innovative and highly relevant application to the case study.</w:t>
            </w:r>
          </w:p>
        </w:tc>
      </w:tr>
      <w:tr w:rsidR="0071210D" w:rsidRPr="001051BF" w14:paraId="78FB9C8F" w14:textId="77777777" w:rsidTr="001051BF">
        <w:tc>
          <w:tcPr>
            <w:tcW w:w="0" w:type="auto"/>
            <w:shd w:val="clear" w:color="auto" w:fill="E8E8E8" w:themeFill="background2"/>
            <w:hideMark/>
          </w:tcPr>
          <w:p w14:paraId="08F19311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lastRenderedPageBreak/>
              <w:t>Star Schema and Dimensions (Task 1, 10%)</w:t>
            </w:r>
          </w:p>
        </w:tc>
        <w:tc>
          <w:tcPr>
            <w:tcW w:w="0" w:type="auto"/>
            <w:hideMark/>
          </w:tcPr>
          <w:p w14:paraId="36A39798" w14:textId="1876DA60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No explanation of star schema or its components. Diagrams missing or irrelevant.</w:t>
            </w:r>
            <w:r w:rsidR="00E72BBD">
              <w:rPr>
                <w:rFonts w:ascii="Arial" w:hAnsi="Arial" w:cs="Arial"/>
                <w:b/>
                <w:bCs/>
                <w:noProof/>
              </w:rPr>
              <w:t xml:space="preserve"> 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3CFB6056" w14:textId="26A3C6F0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Weak explanation of star schema with minimal understanding of facts and dimensions. Diagrams are unclear or poorly applied.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12AB8CFA" w14:textId="5EA6EB1E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explanation of star schema and its components with simple but relevant diagrams.</w:t>
            </w:r>
          </w:p>
        </w:tc>
        <w:tc>
          <w:tcPr>
            <w:tcW w:w="0" w:type="auto"/>
            <w:hideMark/>
          </w:tcPr>
          <w:p w14:paraId="5A4BFC1B" w14:textId="64883698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explanation of star schema and its components with appropriate and accurate diagrams.</w:t>
            </w:r>
          </w:p>
        </w:tc>
        <w:tc>
          <w:tcPr>
            <w:tcW w:w="0" w:type="auto"/>
            <w:hideMark/>
          </w:tcPr>
          <w:p w14:paraId="301374DF" w14:textId="733C4A14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Strong explanation of star schema and its components with detailed and insightful diagrams.</w:t>
            </w:r>
          </w:p>
        </w:tc>
        <w:tc>
          <w:tcPr>
            <w:tcW w:w="0" w:type="auto"/>
            <w:hideMark/>
          </w:tcPr>
          <w:p w14:paraId="7577596A" w14:textId="22A44BE0" w:rsidR="0071210D" w:rsidRPr="002354BB" w:rsidRDefault="00495EFB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4AE0333F" wp14:editId="6235513E">
                      <wp:simplePos x="0" y="0"/>
                      <wp:positionH relativeFrom="column">
                        <wp:posOffset>-612657</wp:posOffset>
                      </wp:positionH>
                      <wp:positionV relativeFrom="paragraph">
                        <wp:posOffset>14132</wp:posOffset>
                      </wp:positionV>
                      <wp:extent cx="1104900" cy="1638300"/>
                      <wp:effectExtent l="19050" t="19050" r="38100" b="38100"/>
                      <wp:wrapNone/>
                      <wp:docPr id="1226750750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638300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68898F2A" id="Oval 1" o:spid="_x0000_s1026" style="position:absolute;margin-left:-48.25pt;margin-top:1.1pt;width:87pt;height:129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0SxjgAIAAHAFAAAOAAAAZHJzL2Uyb0RvYy54bWysVE1v2zAMvQ/YfxB0X22nST+COkXQosOA&#10;oA2aDj2rslQLkEVNUuJkv36U7DhBG+ww7GKLIvlIPpG8ud02mmyE8wpMSYuznBJhOFTKvJf058vD&#10;tytKfGCmYhqMKOlOeHo7+/rlprVTMYIadCUcQRDjp60taR2CnWaZ57VomD8DKwwqJbiGBRTde1Y5&#10;1iJ6o7NRnl9kLbjKOuDCe7y975R0lvClFDw8SelFILqkmFtIX5e+b/GbzW7Y9N0xWyvep8H+IYuG&#10;KYNBB6h7FhhZO/UJqlHcgQcZzjg0GUipuEg1YDVF/qGaVc2sSLUgOd4ONPn/B8sfNyu7dEhDa/3U&#10;4zFWsZWuiX/Mj2wTWbuBLLENhONlUeTj6xw55agrLs6vzlFAnOzgbp0P3wU0JB5KKrRW1seC2JRt&#10;Fj501nureG3gQWmdHkUb0pZ0cllM8uThQasqaqNd6g9xpx3ZMHxZxrkwYdSHP7LEZLTBnA7FpVPY&#10;aRFhtHkWkqgKyxl1QWLffcQtOlXNKtGFw5SGWodMUuUJMCJLTHTA7gFOY3ck9PbRVaS2HZz76v/m&#10;PHikyGDC4NwoA+5UZToUPVuys9+T1FETWXqDard0xEE3NN7yB4XvuGA+LJnDKcG3x8kPT/iRGvCx&#10;oD9RUoP7feo+2mPzopaSFqeupP7XmjlBif5hsK2vi/E4jmkSxpPLEQruWPN2rDHr5g7w+QvcMZan&#10;Y7QPen+UDppXXBDzGBVVzHCMXVIe3F64C902wBXDxXyezHA0LQsLs7I8gkdWY5O+bF+Zs30zB5yD&#10;R9hP6KeG7myjp4H5OoBUqdsPvPZ841inxulXUNwbx3KyOizK2R8AAAD//wMAUEsDBBQABgAIAAAA&#10;IQBweZz43QAAAAgBAAAPAAAAZHJzL2Rvd25yZXYueG1sTI9BS8QwEIXvgv8hjOBFdlODdt1u00UE&#10;xZNg9bDHtMm2xWZSkrQb/fWOJ/f4eI9vvin3yY5sMT4MDiXcrjNgBlunB+wkfH48rx6AhahQq9Gh&#10;kfBtAuyry4tSFdqd8N0sdewYQTAUSkIf41RwHtreWBXWbjJI3dF5qyJF33Ht1YngduQiy3Ju1YB0&#10;oVeTeepN+1XPVoJoxHITX+6SP74ehp+6fjvkaZby+io97oBFk+L/GP70SR0qcmrcjDqwUcJqm9/T&#10;lGACGPWbDcWGYp4J4FXJzx+ofgEAAP//AwBQSwECLQAUAAYACAAAACEAtoM4kv4AAADhAQAAEwAA&#10;AAAAAAAAAAAAAAAAAAAAW0NvbnRlbnRfVHlwZXNdLnhtbFBLAQItABQABgAIAAAAIQA4/SH/1gAA&#10;AJQBAAALAAAAAAAAAAAAAAAAAC8BAABfcmVscy8ucmVsc1BLAQItABQABgAIAAAAIQAI0SxjgAIA&#10;AHAFAAAOAAAAAAAAAAAAAAAAAC4CAABkcnMvZTJvRG9jLnhtbFBLAQItABQABgAIAAAAIQBweZz4&#10;3QAAAAgBAAAPAAAAAAAAAAAAAAAAANoEAABkcnMvZG93bnJldi54bWxQSwUGAAAAAAQABADzAAAA&#10;5AUAAAAA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Comprehensive explanation of star schema and its components with well-structured and precise diagrams.</w:t>
            </w:r>
          </w:p>
        </w:tc>
        <w:tc>
          <w:tcPr>
            <w:tcW w:w="0" w:type="auto"/>
            <w:hideMark/>
          </w:tcPr>
          <w:p w14:paraId="7EAE1F81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Exceptional explanation of star schema and its components, demonstrating innovative insights and professional-quality diagrams.</w:t>
            </w:r>
          </w:p>
        </w:tc>
      </w:tr>
      <w:tr w:rsidR="0071210D" w:rsidRPr="001051BF" w14:paraId="4CAD2C39" w14:textId="77777777" w:rsidTr="001051BF">
        <w:tc>
          <w:tcPr>
            <w:tcW w:w="0" w:type="auto"/>
            <w:shd w:val="clear" w:color="auto" w:fill="E8E8E8" w:themeFill="background2"/>
            <w:hideMark/>
          </w:tcPr>
          <w:p w14:paraId="67B20E29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t>Identification of Sources and Schema (Task 2, 25%)</w:t>
            </w:r>
          </w:p>
        </w:tc>
        <w:tc>
          <w:tcPr>
            <w:tcW w:w="0" w:type="auto"/>
            <w:hideMark/>
          </w:tcPr>
          <w:p w14:paraId="34D6309C" w14:textId="473612D6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Sources and schema are incomplete or missing. No connection to case study requirements.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181391DD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Limited identification of sources and schema with weak or unclear connection to case study requirements.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41CF7FCF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identification of sources and schema with some relevance to the case study.</w:t>
            </w:r>
          </w:p>
        </w:tc>
        <w:tc>
          <w:tcPr>
            <w:tcW w:w="0" w:type="auto"/>
            <w:hideMark/>
          </w:tcPr>
          <w:p w14:paraId="50670EB3" w14:textId="18F657E8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identification of sources and schema, relevant to the case study and demonstrating understanding of requirements.</w:t>
            </w:r>
          </w:p>
        </w:tc>
        <w:tc>
          <w:tcPr>
            <w:tcW w:w="0" w:type="auto"/>
            <w:hideMark/>
          </w:tcPr>
          <w:p w14:paraId="1CABD573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Strong identification of sources and schema with detailed and accurate application to the case study.</w:t>
            </w:r>
          </w:p>
        </w:tc>
        <w:tc>
          <w:tcPr>
            <w:tcW w:w="0" w:type="auto"/>
            <w:hideMark/>
          </w:tcPr>
          <w:p w14:paraId="07287040" w14:textId="007D7489" w:rsidR="0071210D" w:rsidRPr="002354BB" w:rsidRDefault="000B553B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3E57F476" wp14:editId="7C969094">
                      <wp:simplePos x="0" y="0"/>
                      <wp:positionH relativeFrom="column">
                        <wp:posOffset>77352</wp:posOffset>
                      </wp:positionH>
                      <wp:positionV relativeFrom="paragraph">
                        <wp:posOffset>-37199</wp:posOffset>
                      </wp:positionV>
                      <wp:extent cx="1104900" cy="1657350"/>
                      <wp:effectExtent l="19050" t="19050" r="38100" b="38100"/>
                      <wp:wrapNone/>
                      <wp:docPr id="2097728658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657350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1713A42" id="Oval 1" o:spid="_x0000_s1026" style="position:absolute;margin-left:6.1pt;margin-top:-2.95pt;width:87pt;height:130.5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VceYgAIAAHAFAAAOAAAAZHJzL2Uyb0RvYy54bWysVEtv2zAMvg/YfxB0XxxnSbsGdYqgRYcB&#10;QRssHXpWZSkWIIuapMTJfv0o+ZFgDXYYdrFJkfz45u3dodZkL5xXYAqaj8aUCMOhVGZb0B8vj5++&#10;UOIDMyXTYERBj8LTu8XHD7eNnYsJVKBL4QiCGD9vbEGrEOw8yzyvRM38CKwwKJTgahaQddusdKxB&#10;9Fpnk/H4KmvAldYBF97j60MrpIuEL6Xg4VlKLwLRBcXYQvq69H2L32xxy+Zbx2yleBcG+4coaqYM&#10;Oh2gHlhgZOfUO6hacQceZBhxqDOQUnGRcsBs8vEf2WwqZkXKBYvj7VAm//9g+dN+Y9cOy9BYP/dI&#10;xiwO0tXxj/GRQyrWcSiWOATC8THPx9ObMdaUoyy/ml1/nqVyZidz63z4KqAmkSio0FpZHxNic7Zf&#10;+YBeUbvXis8GHpXWqSnakKags+scYaPIg1ZllCYmzoe4147sGXaWcS5MmMRuIuCZJnLa4OMpuUSF&#10;oxYRRpvvQhJVYjqT1skl3LwVVawUrTsMCRPvnPUWyXUCjMgSAx2wO4Be8zzmvIPp9KOpSGM7GHfZ&#10;/814sEiewYTBuFYG3KXMdBg8t/p9kdrSxCq9QXlcO+KgXRpv+aPCPq6YD2vmcEuw97j54Rk/UgM2&#10;CzqKkgrcr0vvUR+HF6WUNLh1BfU/d8wJSvQ3g2N9k0+ncU0TM51dT5Bx55K3c4nZ1feA7c/xxlie&#10;yKgfdE9KB/UrHohl9IoiZjj6LigPrmfuQ3sN8MRwsVwmNVxNy8LKbCyP4LGqcUhfDq/M2W6YA+7B&#10;E/Qb+m6gW91oaWC5CyBVmvZTXbt641qnwelOULwb53zSOh3KxW8AAAD//wMAUEsDBBQABgAIAAAA&#10;IQBp4Rk43gAAAAkBAAAPAAAAZHJzL2Rvd25yZXYueG1sTI/BTsMwEETvSPyDtZW4oNapRaIS4lQI&#10;CcQJicChRydxk6jxOrKd1PD1bE/0ODujtzPFPpqRLdr5waKE7SYBprGx7YCdhO+v1/UOmA8KWzVa&#10;1BJ+tId9eXtTqLy1Z/zUSxU6RhD0uZLQhzDlnPum10b5jZ00kne0zqhA0nW8depMcDNykSQZN2pA&#10;+tCrSb/0ujlVs5EgarHch7eH6I7vh+G3qj4OWZylvFvF5ydgQcfwH4ZLfaoOJXWq7YytZyNpISgp&#10;YZ0+Arv4u4wONcHTdAu8LPj1gvIPAAD//wMAUEsBAi0AFAAGAAgAAAAhALaDOJL+AAAA4QEAABMA&#10;AAAAAAAAAAAAAAAAAAAAAFtDb250ZW50X1R5cGVzXS54bWxQSwECLQAUAAYACAAAACEAOP0h/9YA&#10;AACUAQAACwAAAAAAAAAAAAAAAAAvAQAAX3JlbHMvLnJlbHNQSwECLQAUAAYACAAAACEAgVXHmIAC&#10;AABwBQAADgAAAAAAAAAAAAAAAAAuAgAAZHJzL2Uyb0RvYy54bWxQSwECLQAUAAYACAAAACEAaeEZ&#10;ON4AAAAJAQAADwAAAAAAAAAAAAAAAADaBAAAZHJzL2Rvd25yZXYueG1sUEsFBgAAAAAEAAQA8wAA&#10;AOUFAAAAAA==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Excellent identification of sources and schema with insightful and precise application to the case study.</w:t>
            </w:r>
          </w:p>
        </w:tc>
        <w:tc>
          <w:tcPr>
            <w:tcW w:w="0" w:type="auto"/>
            <w:hideMark/>
          </w:tcPr>
          <w:p w14:paraId="35670810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Exceptional identification of sources and schema, demonstrating innovative and highly relevant application to the case study.</w:t>
            </w:r>
          </w:p>
        </w:tc>
      </w:tr>
      <w:tr w:rsidR="0071210D" w:rsidRPr="001051BF" w14:paraId="6268D520" w14:textId="77777777" w:rsidTr="001051BF">
        <w:tc>
          <w:tcPr>
            <w:tcW w:w="0" w:type="auto"/>
            <w:shd w:val="clear" w:color="auto" w:fill="E8E8E8" w:themeFill="background2"/>
            <w:hideMark/>
          </w:tcPr>
          <w:p w14:paraId="2A865B74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t>ETL Plan and Data Governance (Task 2, 25%)</w:t>
            </w:r>
          </w:p>
        </w:tc>
        <w:tc>
          <w:tcPr>
            <w:tcW w:w="0" w:type="auto"/>
            <w:hideMark/>
          </w:tcPr>
          <w:p w14:paraId="7F6F3552" w14:textId="5CBADEAA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ETL plan and governance issues are incomplete or missing. No relevance to case study.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685D963A" w14:textId="5F065036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Minimal ETL plan with limited discussion of governance issues. Weak relevance to the case study.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6959309E" w14:textId="60B39442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ETL plan with some discussion of governance issues. Relevance to the case study is clear but lacks depth.</w:t>
            </w:r>
          </w:p>
        </w:tc>
        <w:tc>
          <w:tcPr>
            <w:tcW w:w="0" w:type="auto"/>
            <w:hideMark/>
          </w:tcPr>
          <w:p w14:paraId="1DAB1FC7" w14:textId="07FCFB06" w:rsidR="0071210D" w:rsidRPr="002354BB" w:rsidRDefault="009D351F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76EAB382" wp14:editId="5945DB80">
                      <wp:simplePos x="0" y="0"/>
                      <wp:positionH relativeFrom="column">
                        <wp:posOffset>-1816</wp:posOffset>
                      </wp:positionH>
                      <wp:positionV relativeFrom="paragraph">
                        <wp:posOffset>-37612</wp:posOffset>
                      </wp:positionV>
                      <wp:extent cx="1104900" cy="1638300"/>
                      <wp:effectExtent l="19050" t="19050" r="38100" b="38100"/>
                      <wp:wrapNone/>
                      <wp:docPr id="1815228003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638300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14BA3C8A" id="Oval 1" o:spid="_x0000_s1026" style="position:absolute;margin-left:-.15pt;margin-top:-2.95pt;width:87pt;height:129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0SxjgAIAAHAFAAAOAAAAZHJzL2Uyb0RvYy54bWysVE1v2zAMvQ/YfxB0X22nST+COkXQosOA&#10;oA2aDj2rslQLkEVNUuJkv36U7DhBG+ww7GKLIvlIPpG8ud02mmyE8wpMSYuznBJhOFTKvJf058vD&#10;tytKfGCmYhqMKOlOeHo7+/rlprVTMYIadCUcQRDjp60taR2CnWaZ57VomD8DKwwqJbiGBRTde1Y5&#10;1iJ6o7NRnl9kLbjKOuDCe7y975R0lvClFDw8SelFILqkmFtIX5e+b/GbzW7Y9N0xWyvep8H+IYuG&#10;KYNBB6h7FhhZO/UJqlHcgQcZzjg0GUipuEg1YDVF/qGaVc2sSLUgOd4ONPn/B8sfNyu7dEhDa/3U&#10;4zFWsZWuiX/Mj2wTWbuBLLENhONlUeTj6xw55agrLs6vzlFAnOzgbp0P3wU0JB5KKrRW1seC2JRt&#10;Fj501nureG3gQWmdHkUb0pZ0cllM8uThQasqaqNd6g9xpx3ZMHxZxrkwYdSHP7LEZLTBnA7FpVPY&#10;aRFhtHkWkqgKyxl1QWLffcQtOlXNKtGFw5SGWodMUuUJMCJLTHTA7gFOY3ck9PbRVaS2HZz76v/m&#10;PHikyGDC4NwoA+5UZToUPVuys9+T1FETWXqDard0xEE3NN7yB4XvuGA+LJnDKcG3x8kPT/iRGvCx&#10;oD9RUoP7feo+2mPzopaSFqeupP7XmjlBif5hsK2vi/E4jmkSxpPLEQruWPN2rDHr5g7w+QvcMZan&#10;Y7QPen+UDppXXBDzGBVVzHCMXVIe3F64C902wBXDxXyezHA0LQsLs7I8gkdWY5O+bF+Zs30zB5yD&#10;R9hP6KeG7myjp4H5OoBUqdsPvPZ841inxulXUNwbx3KyOizK2R8AAAD//wMAUEsDBBQABgAIAAAA&#10;IQC5Qf/e3wAAAAgBAAAPAAAAZHJzL2Rvd25yZXYueG1sTI/BTsMwDIbvSLxDZCQuaEvXsQ1K0wkh&#10;gTghUTjsmDZeW9E4VZN2gafHO8HJsv5fnz/n+2h7MePoO0cKVssEBFLtTEeNgs+P58UdCB80Gd07&#10;QgXf6GFfXF7kOjPuRO84l6ERDCGfaQVtCEMmpa9btNov3YDE2dGNVgdex0aaUZ8YbnuZJslWWt0R&#10;X2j1gE8t1l/lZBWkVTrfhJfbOB5fD91PWb4dtnFS6voqPj6ACBjDXxnO+qwOBTtVbiLjRa9gseYi&#10;j809iHO8W+9AVMzepCuQRS7/P1D8AgAA//8DAFBLAQItABQABgAIAAAAIQC2gziS/gAAAOEBAAAT&#10;AAAAAAAAAAAAAAAAAAAAAABbQ29udGVudF9UeXBlc10ueG1sUEsBAi0AFAAGAAgAAAAhADj9If/W&#10;AAAAlAEAAAsAAAAAAAAAAAAAAAAALwEAAF9yZWxzLy5yZWxzUEsBAi0AFAAGAAgAAAAhAAjRLGOA&#10;AgAAcAUAAA4AAAAAAAAAAAAAAAAALgIAAGRycy9lMm9Eb2MueG1sUEsBAi0AFAAGAAgAAAAhALlB&#10;/97fAAAACAEAAA8AAAAAAAAAAAAAAAAA2gQAAGRycy9kb3ducmV2LnhtbFBLBQYAAAAABAAEAPMA&#10;AADmBQAAAAA=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Clear ETL plan with relevant discussion of governance issues. Demonstrates understanding of case study requirements.</w:t>
            </w:r>
          </w:p>
        </w:tc>
        <w:tc>
          <w:tcPr>
            <w:tcW w:w="0" w:type="auto"/>
            <w:hideMark/>
          </w:tcPr>
          <w:p w14:paraId="48EECADE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Strong ETL plan with detailed and relevant discussion of governance issues.</w:t>
            </w:r>
          </w:p>
        </w:tc>
        <w:tc>
          <w:tcPr>
            <w:tcW w:w="0" w:type="auto"/>
            <w:hideMark/>
          </w:tcPr>
          <w:p w14:paraId="0BE97B9F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Excellent ETL plan with insightful and precise discussion of governance issues.</w:t>
            </w:r>
          </w:p>
        </w:tc>
        <w:tc>
          <w:tcPr>
            <w:tcW w:w="0" w:type="auto"/>
            <w:hideMark/>
          </w:tcPr>
          <w:p w14:paraId="1738357E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Exceptional ETL plan with innovative insights and comprehensive discussion of governance issues, highly relevant to the case study.</w:t>
            </w:r>
          </w:p>
        </w:tc>
      </w:tr>
    </w:tbl>
    <w:p w14:paraId="1AECA053" w14:textId="6B6C0167" w:rsidR="0071210D" w:rsidRDefault="0071210D">
      <w:pPr>
        <w:rPr>
          <w:b/>
          <w:bCs/>
          <w:u w:val="single"/>
        </w:rPr>
      </w:pPr>
      <w:r w:rsidRPr="001A503B">
        <w:rPr>
          <w:b/>
          <w:bCs/>
          <w:u w:val="single"/>
        </w:rPr>
        <w:t>Comments</w:t>
      </w:r>
    </w:p>
    <w:p w14:paraId="481ACDFD" w14:textId="622EFE1B" w:rsidR="001A503B" w:rsidRPr="001A503B" w:rsidRDefault="00495EFB" w:rsidP="001A503B">
      <w:pPr>
        <w:spacing w:after="0"/>
      </w:pPr>
      <w:r>
        <w:t>Good star schema diagram, but what do the colours mean in figure 4? All dimensions are, effectively, look-up dimensions so there’s no need to disc</w:t>
      </w:r>
      <w:r w:rsidR="000B553B">
        <w:t>riminate between them. The important point is to identify conformed dimensions, those that are used by more than one fact.  The arrows on figure 5 make it difficult to identify which dimensions link to which facts. Good set of facts.</w:t>
      </w:r>
      <w:r w:rsidR="009D351F">
        <w:t xml:space="preserve"> </w:t>
      </w:r>
      <w:r w:rsidR="00016040">
        <w:t xml:space="preserve">The </w:t>
      </w:r>
      <w:r w:rsidR="009D351F">
        <w:t>ETL section should include a table mapping and an example of an attribute mapping.</w:t>
      </w:r>
    </w:p>
    <w:sectPr w:rsidR="001A503B" w:rsidRPr="001A503B" w:rsidSect="0071210D">
      <w:pgSz w:w="16838" w:h="11906" w:orient="landscape"/>
      <w:pgMar w:top="851" w:right="1080" w:bottom="709" w:left="108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ED6D0B2" w14:textId="77777777" w:rsidR="00967FF9" w:rsidRDefault="00967FF9" w:rsidP="00016040">
      <w:pPr>
        <w:spacing w:after="0" w:line="240" w:lineRule="auto"/>
      </w:pPr>
      <w:r>
        <w:separator/>
      </w:r>
    </w:p>
  </w:endnote>
  <w:endnote w:type="continuationSeparator" w:id="0">
    <w:p w14:paraId="73B8EE9F" w14:textId="77777777" w:rsidR="00967FF9" w:rsidRDefault="00967FF9" w:rsidP="0001604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008A75A" w14:textId="77777777" w:rsidR="00967FF9" w:rsidRDefault="00967FF9" w:rsidP="00016040">
      <w:pPr>
        <w:spacing w:after="0" w:line="240" w:lineRule="auto"/>
      </w:pPr>
      <w:r>
        <w:separator/>
      </w:r>
    </w:p>
  </w:footnote>
  <w:footnote w:type="continuationSeparator" w:id="0">
    <w:p w14:paraId="2FDD32D2" w14:textId="77777777" w:rsidR="00967FF9" w:rsidRDefault="00967FF9" w:rsidP="0001604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54BB"/>
    <w:rsid w:val="00016040"/>
    <w:rsid w:val="000B553B"/>
    <w:rsid w:val="00102E1A"/>
    <w:rsid w:val="001051BF"/>
    <w:rsid w:val="00186A00"/>
    <w:rsid w:val="001A503B"/>
    <w:rsid w:val="002354BB"/>
    <w:rsid w:val="0029723A"/>
    <w:rsid w:val="00370411"/>
    <w:rsid w:val="0045074A"/>
    <w:rsid w:val="00495EFB"/>
    <w:rsid w:val="00531C52"/>
    <w:rsid w:val="005B1885"/>
    <w:rsid w:val="00632B1F"/>
    <w:rsid w:val="006F7B3D"/>
    <w:rsid w:val="0071210D"/>
    <w:rsid w:val="0079064B"/>
    <w:rsid w:val="009375B1"/>
    <w:rsid w:val="009621A6"/>
    <w:rsid w:val="00967FF9"/>
    <w:rsid w:val="009763CD"/>
    <w:rsid w:val="009D351F"/>
    <w:rsid w:val="00A62FC7"/>
    <w:rsid w:val="00AF2D2D"/>
    <w:rsid w:val="00B33488"/>
    <w:rsid w:val="00C91A85"/>
    <w:rsid w:val="00D07FF9"/>
    <w:rsid w:val="00D53D51"/>
    <w:rsid w:val="00D64D33"/>
    <w:rsid w:val="00DB7FC4"/>
    <w:rsid w:val="00DD6BB1"/>
    <w:rsid w:val="00DE448E"/>
    <w:rsid w:val="00E72BBD"/>
    <w:rsid w:val="00F54EBD"/>
    <w:rsid w:val="00F970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145555"/>
  <w15:chartTrackingRefBased/>
  <w15:docId w15:val="{C4DBB0EF-571F-47DD-B212-B430C3C8D5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354B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354B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354B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354B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354B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354B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354B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354B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354B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354B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354B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354B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354B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354B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354B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354B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354B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354B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354B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354B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354B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354B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354B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354B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354B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354B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354B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354B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354B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160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6040"/>
  </w:style>
  <w:style w:type="paragraph" w:styleId="Footer">
    <w:name w:val="footer"/>
    <w:basedOn w:val="Normal"/>
    <w:link w:val="FooterChar"/>
    <w:uiPriority w:val="99"/>
    <w:unhideWhenUsed/>
    <w:rsid w:val="000160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604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526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976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772</Words>
  <Characters>4511</Characters>
  <Application>Microsoft Office Word</Application>
  <DocSecurity>0</DocSecurity>
  <Lines>349</Lines>
  <Paragraphs>70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Nik Whitehead</cp:lastModifiedBy>
  <cp:revision>4</cp:revision>
  <dcterms:created xsi:type="dcterms:W3CDTF">2026-05-19T15:27:00Z</dcterms:created>
  <dcterms:modified xsi:type="dcterms:W3CDTF">2026-05-28T13:18:00Z</dcterms:modified>
</cp:coreProperties>
</file>