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C41C0A" w14:textId="77777777" w:rsidR="00343600" w:rsidRDefault="00343600" w:rsidP="00343600">
      <w:pPr>
        <w:tabs>
          <w:tab w:val="left" w:pos="6540"/>
        </w:tabs>
        <w:rPr>
          <w:b/>
          <w:bCs/>
          <w:sz w:val="28"/>
          <w:szCs w:val="28"/>
        </w:rPr>
      </w:pPr>
    </w:p>
    <w:p w14:paraId="687493DB" w14:textId="77777777" w:rsidR="00343600" w:rsidRDefault="00343600" w:rsidP="00343600">
      <w:pPr>
        <w:tabs>
          <w:tab w:val="left" w:pos="6540"/>
        </w:tabs>
        <w:jc w:val="center"/>
        <w:rPr>
          <w:b/>
          <w:bCs/>
          <w:sz w:val="28"/>
          <w:szCs w:val="28"/>
        </w:rPr>
      </w:pPr>
    </w:p>
    <w:p w14:paraId="13A30732" w14:textId="376A1526" w:rsidR="00343600" w:rsidRPr="00C83A82" w:rsidRDefault="00343600" w:rsidP="00343600">
      <w:pPr>
        <w:tabs>
          <w:tab w:val="left" w:pos="6540"/>
        </w:tabs>
        <w:jc w:val="center"/>
        <w:rPr>
          <w:sz w:val="28"/>
          <w:szCs w:val="28"/>
        </w:rPr>
      </w:pPr>
      <w:r w:rsidRPr="00C83A82">
        <w:rPr>
          <w:b/>
          <w:bCs/>
          <w:sz w:val="28"/>
          <w:szCs w:val="28"/>
        </w:rPr>
        <w:t>Student name</w:t>
      </w:r>
      <w:r>
        <w:rPr>
          <w:sz w:val="28"/>
          <w:szCs w:val="28"/>
        </w:rPr>
        <w:t>: Mousumi Akther</w:t>
      </w:r>
    </w:p>
    <w:p w14:paraId="7CAC4013" w14:textId="07256DAE" w:rsidR="0009767F" w:rsidRPr="00343600" w:rsidRDefault="00343600" w:rsidP="00343600">
      <w:pPr>
        <w:tabs>
          <w:tab w:val="left" w:pos="6540"/>
        </w:tabs>
        <w:jc w:val="center"/>
        <w:rPr>
          <w:sz w:val="28"/>
          <w:szCs w:val="28"/>
          <w:lang w:val="nl-NL"/>
        </w:rPr>
      </w:pPr>
      <w:r w:rsidRPr="00C83A82">
        <w:rPr>
          <w:b/>
          <w:bCs/>
          <w:sz w:val="28"/>
          <w:szCs w:val="28"/>
          <w:lang w:val="nl-NL"/>
        </w:rPr>
        <w:t>Student ID</w:t>
      </w:r>
      <w:r w:rsidRPr="00C83A82">
        <w:rPr>
          <w:sz w:val="28"/>
          <w:szCs w:val="28"/>
          <w:lang w:val="nl-NL"/>
        </w:rPr>
        <w:t>:</w:t>
      </w:r>
      <w:r>
        <w:rPr>
          <w:sz w:val="28"/>
          <w:szCs w:val="28"/>
          <w:lang w:val="nl-NL"/>
        </w:rPr>
        <w:t xml:space="preserve"> </w:t>
      </w:r>
      <w:r>
        <w:rPr>
          <w:sz w:val="28"/>
          <w:szCs w:val="28"/>
          <w:lang w:val="nl-NL"/>
        </w:rPr>
        <w:t>2528629</w:t>
      </w:r>
    </w:p>
    <w:p w14:paraId="47149DA5" w14:textId="77777777" w:rsidR="0009767F" w:rsidRPr="00F52112" w:rsidRDefault="007950F2" w:rsidP="00F52112">
      <w:pPr>
        <w:spacing w:after="40"/>
        <w:jc w:val="center"/>
      </w:pPr>
      <w:r w:rsidRPr="00F52112">
        <w:rPr>
          <w:b/>
          <w:bCs/>
          <w:sz w:val="26"/>
          <w:szCs w:val="26"/>
        </w:rPr>
        <w:t>Module Code: LCHS4003</w:t>
      </w:r>
    </w:p>
    <w:p w14:paraId="7CF0A2FF" w14:textId="77777777" w:rsidR="0009767F" w:rsidRPr="00F52112" w:rsidRDefault="007950F2" w:rsidP="00F52112">
      <w:pPr>
        <w:spacing w:after="400"/>
        <w:jc w:val="center"/>
      </w:pPr>
      <w:r w:rsidRPr="00F52112">
        <w:rPr>
          <w:b/>
          <w:bCs/>
          <w:sz w:val="26"/>
          <w:szCs w:val="26"/>
        </w:rPr>
        <w:t>Module Title: Introduction to Health and Social Care</w:t>
      </w:r>
    </w:p>
    <w:p w14:paraId="348BA2E8" w14:textId="77777777" w:rsidR="0009767F" w:rsidRPr="00F52112" w:rsidRDefault="007950F2" w:rsidP="00F52112">
      <w:pPr>
        <w:spacing w:before="400" w:after="200"/>
        <w:jc w:val="center"/>
      </w:pPr>
      <w:r w:rsidRPr="00F52112">
        <w:rPr>
          <w:b/>
          <w:bCs/>
          <w:sz w:val="28"/>
          <w:szCs w:val="28"/>
        </w:rPr>
        <w:t>Assessment 1: Coursework Portfolio</w:t>
      </w:r>
    </w:p>
    <w:p w14:paraId="6BF56C34" w14:textId="77777777" w:rsidR="0009767F" w:rsidRPr="00F52112" w:rsidRDefault="007950F2" w:rsidP="00F52112">
      <w:pPr>
        <w:spacing w:after="60"/>
        <w:jc w:val="center"/>
      </w:pPr>
      <w:r w:rsidRPr="00F52112">
        <w:rPr>
          <w:sz w:val="24"/>
          <w:szCs w:val="24"/>
        </w:rPr>
        <w:t>Task 1: Poster – Pharmacy Services</w:t>
      </w:r>
    </w:p>
    <w:p w14:paraId="2A5D7716" w14:textId="4C2EAB18" w:rsidR="0009767F" w:rsidRPr="00F52112" w:rsidRDefault="007950F2" w:rsidP="00F52112">
      <w:pPr>
        <w:spacing w:after="400"/>
        <w:jc w:val="center"/>
      </w:pPr>
      <w:r w:rsidRPr="00F52112">
        <w:rPr>
          <w:sz w:val="24"/>
          <w:szCs w:val="24"/>
        </w:rPr>
        <w:t xml:space="preserve">Task 2: Essay – The Residential Care </w:t>
      </w:r>
      <w:r w:rsidRPr="00F52112">
        <w:rPr>
          <w:sz w:val="24"/>
          <w:szCs w:val="24"/>
        </w:rPr>
        <w:t>Home</w:t>
      </w:r>
    </w:p>
    <w:p w14:paraId="5EAE61A7" w14:textId="47344DE7" w:rsidR="00EA7911" w:rsidRPr="00F52112" w:rsidRDefault="00EA7911" w:rsidP="00F52112">
      <w:pPr>
        <w:spacing w:line="240" w:lineRule="auto"/>
        <w:jc w:val="left"/>
      </w:pPr>
      <w:r w:rsidRPr="00F52112">
        <w:br w:type="page"/>
      </w:r>
    </w:p>
    <w:sdt>
      <w:sdtPr>
        <w:rPr>
          <w:rFonts w:ascii="Arial" w:eastAsia="Arial" w:hAnsi="Arial" w:cs="Arial"/>
          <w:color w:val="auto"/>
          <w:sz w:val="22"/>
          <w:szCs w:val="22"/>
          <w:lang w:val="en-GB"/>
        </w:rPr>
        <w:id w:val="560594894"/>
        <w:docPartObj>
          <w:docPartGallery w:val="Table of Contents"/>
          <w:docPartUnique/>
        </w:docPartObj>
      </w:sdtPr>
      <w:sdtEndPr>
        <w:rPr>
          <w:b/>
          <w:bCs/>
          <w:noProof/>
        </w:rPr>
      </w:sdtEndPr>
      <w:sdtContent>
        <w:p w14:paraId="781176E0" w14:textId="1CC78A2A" w:rsidR="00EA7911" w:rsidRPr="00F52112" w:rsidRDefault="00EA7911" w:rsidP="00F52112">
          <w:pPr>
            <w:pStyle w:val="TOCHeading"/>
          </w:pPr>
          <w:r w:rsidRPr="00F52112">
            <w:t>Contents</w:t>
          </w:r>
        </w:p>
        <w:p w14:paraId="6CB977FD" w14:textId="3D25E3D2" w:rsidR="009E680D" w:rsidRDefault="00EA7911">
          <w:pPr>
            <w:pStyle w:val="TOC1"/>
            <w:tabs>
              <w:tab w:val="right" w:leader="dot" w:pos="9016"/>
            </w:tabs>
            <w:rPr>
              <w:rFonts w:asciiTheme="minorHAnsi" w:eastAsiaTheme="minorEastAsia" w:hAnsiTheme="minorHAnsi" w:cstheme="minorBidi"/>
              <w:noProof/>
              <w:kern w:val="2"/>
              <w:sz w:val="24"/>
              <w:szCs w:val="24"/>
              <w:lang w:val="en-US"/>
              <w14:ligatures w14:val="standardContextual"/>
            </w:rPr>
          </w:pPr>
          <w:r w:rsidRPr="00F52112">
            <w:fldChar w:fldCharType="begin"/>
          </w:r>
          <w:r w:rsidRPr="00F52112">
            <w:instrText xml:space="preserve"> TOC \o "1-3" \h \z \u </w:instrText>
          </w:r>
          <w:r w:rsidRPr="00F52112">
            <w:fldChar w:fldCharType="separate"/>
          </w:r>
          <w:hyperlink w:anchor="_Toc235293967" w:history="1">
            <w:r w:rsidR="009E680D" w:rsidRPr="00F5373C">
              <w:rPr>
                <w:rStyle w:val="Hyperlink"/>
                <w:noProof/>
              </w:rPr>
              <w:t>TASK 1: PHARMACY SERVICES IN THE UK</w:t>
            </w:r>
            <w:r w:rsidR="009E680D">
              <w:rPr>
                <w:noProof/>
                <w:webHidden/>
              </w:rPr>
              <w:tab/>
            </w:r>
            <w:r w:rsidR="009E680D">
              <w:rPr>
                <w:noProof/>
                <w:webHidden/>
              </w:rPr>
              <w:fldChar w:fldCharType="begin"/>
            </w:r>
            <w:r w:rsidR="009E680D">
              <w:rPr>
                <w:noProof/>
                <w:webHidden/>
              </w:rPr>
              <w:instrText xml:space="preserve"> PAGEREF _Toc235293967 \h </w:instrText>
            </w:r>
            <w:r w:rsidR="009E680D">
              <w:rPr>
                <w:noProof/>
                <w:webHidden/>
              </w:rPr>
            </w:r>
            <w:r w:rsidR="009E680D">
              <w:rPr>
                <w:noProof/>
                <w:webHidden/>
              </w:rPr>
              <w:fldChar w:fldCharType="separate"/>
            </w:r>
            <w:r w:rsidR="009E680D">
              <w:rPr>
                <w:noProof/>
                <w:webHidden/>
              </w:rPr>
              <w:t>1</w:t>
            </w:r>
            <w:r w:rsidR="009E680D">
              <w:rPr>
                <w:noProof/>
                <w:webHidden/>
              </w:rPr>
              <w:fldChar w:fldCharType="end"/>
            </w:r>
          </w:hyperlink>
        </w:p>
        <w:p w14:paraId="223D23EA" w14:textId="66D0471B" w:rsidR="009E680D" w:rsidRDefault="007950F2">
          <w:pPr>
            <w:pStyle w:val="TOC1"/>
            <w:tabs>
              <w:tab w:val="right" w:leader="dot" w:pos="9016"/>
            </w:tabs>
            <w:rPr>
              <w:rFonts w:asciiTheme="minorHAnsi" w:eastAsiaTheme="minorEastAsia" w:hAnsiTheme="minorHAnsi" w:cstheme="minorBidi"/>
              <w:noProof/>
              <w:kern w:val="2"/>
              <w:sz w:val="24"/>
              <w:szCs w:val="24"/>
              <w:lang w:val="en-US"/>
              <w14:ligatures w14:val="standardContextual"/>
            </w:rPr>
          </w:pPr>
          <w:hyperlink w:anchor="_Toc235293968" w:history="1">
            <w:r w:rsidR="009E680D" w:rsidRPr="00F5373C">
              <w:rPr>
                <w:rStyle w:val="Hyperlink"/>
                <w:noProof/>
              </w:rPr>
              <w:t>TASK 2: THE RESIDENTIAL CARE HOME</w:t>
            </w:r>
            <w:r w:rsidR="009E680D">
              <w:rPr>
                <w:noProof/>
                <w:webHidden/>
              </w:rPr>
              <w:tab/>
            </w:r>
            <w:r w:rsidR="009E680D">
              <w:rPr>
                <w:noProof/>
                <w:webHidden/>
              </w:rPr>
              <w:fldChar w:fldCharType="begin"/>
            </w:r>
            <w:r w:rsidR="009E680D">
              <w:rPr>
                <w:noProof/>
                <w:webHidden/>
              </w:rPr>
              <w:instrText xml:space="preserve"> PAGEREF _Toc235293968 \h </w:instrText>
            </w:r>
            <w:r w:rsidR="009E680D">
              <w:rPr>
                <w:noProof/>
                <w:webHidden/>
              </w:rPr>
            </w:r>
            <w:r w:rsidR="009E680D">
              <w:rPr>
                <w:noProof/>
                <w:webHidden/>
              </w:rPr>
              <w:fldChar w:fldCharType="separate"/>
            </w:r>
            <w:r w:rsidR="009E680D">
              <w:rPr>
                <w:noProof/>
                <w:webHidden/>
              </w:rPr>
              <w:t>3</w:t>
            </w:r>
            <w:r w:rsidR="009E680D">
              <w:rPr>
                <w:noProof/>
                <w:webHidden/>
              </w:rPr>
              <w:fldChar w:fldCharType="end"/>
            </w:r>
          </w:hyperlink>
        </w:p>
        <w:p w14:paraId="1E979D5A" w14:textId="6D44736B" w:rsidR="009E680D" w:rsidRDefault="007950F2">
          <w:pPr>
            <w:pStyle w:val="TOC1"/>
            <w:tabs>
              <w:tab w:val="right" w:leader="dot" w:pos="9016"/>
            </w:tabs>
            <w:rPr>
              <w:rFonts w:asciiTheme="minorHAnsi" w:eastAsiaTheme="minorEastAsia" w:hAnsiTheme="minorHAnsi" w:cstheme="minorBidi"/>
              <w:noProof/>
              <w:kern w:val="2"/>
              <w:sz w:val="24"/>
              <w:szCs w:val="24"/>
              <w:lang w:val="en-US"/>
              <w14:ligatures w14:val="standardContextual"/>
            </w:rPr>
          </w:pPr>
          <w:hyperlink w:anchor="_Toc235293969" w:history="1">
            <w:r w:rsidR="009E680D" w:rsidRPr="00F5373C">
              <w:rPr>
                <w:rStyle w:val="Hyperlink"/>
                <w:noProof/>
              </w:rPr>
              <w:t>REFERENCES</w:t>
            </w:r>
            <w:r w:rsidR="009E680D">
              <w:rPr>
                <w:noProof/>
                <w:webHidden/>
              </w:rPr>
              <w:tab/>
            </w:r>
            <w:r w:rsidR="009E680D">
              <w:rPr>
                <w:noProof/>
                <w:webHidden/>
              </w:rPr>
              <w:fldChar w:fldCharType="begin"/>
            </w:r>
            <w:r w:rsidR="009E680D">
              <w:rPr>
                <w:noProof/>
                <w:webHidden/>
              </w:rPr>
              <w:instrText xml:space="preserve"> PAGEREF _Toc235293969 \h </w:instrText>
            </w:r>
            <w:r w:rsidR="009E680D">
              <w:rPr>
                <w:noProof/>
                <w:webHidden/>
              </w:rPr>
            </w:r>
            <w:r w:rsidR="009E680D">
              <w:rPr>
                <w:noProof/>
                <w:webHidden/>
              </w:rPr>
              <w:fldChar w:fldCharType="separate"/>
            </w:r>
            <w:r w:rsidR="009E680D">
              <w:rPr>
                <w:noProof/>
                <w:webHidden/>
              </w:rPr>
              <w:t>5</w:t>
            </w:r>
            <w:r w:rsidR="009E680D">
              <w:rPr>
                <w:noProof/>
                <w:webHidden/>
              </w:rPr>
              <w:fldChar w:fldCharType="end"/>
            </w:r>
          </w:hyperlink>
        </w:p>
        <w:p w14:paraId="510A77AB" w14:textId="397C5B44" w:rsidR="00EA7911" w:rsidRPr="00F52112" w:rsidRDefault="00EA7911" w:rsidP="00F52112">
          <w:r w:rsidRPr="00F52112">
            <w:rPr>
              <w:b/>
              <w:bCs/>
              <w:noProof/>
            </w:rPr>
            <w:fldChar w:fldCharType="end"/>
          </w:r>
        </w:p>
      </w:sdtContent>
    </w:sdt>
    <w:p w14:paraId="45AF2C4A" w14:textId="77777777" w:rsidR="004322D5" w:rsidRPr="00F52112" w:rsidRDefault="004322D5" w:rsidP="00F52112">
      <w:pPr>
        <w:sectPr w:rsidR="004322D5" w:rsidRPr="00F5211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1"/>
          <w:cols w:space="720"/>
          <w:docGrid w:linePitch="360"/>
        </w:sectPr>
      </w:pPr>
    </w:p>
    <w:p w14:paraId="77D802E1" w14:textId="2FA5EC00" w:rsidR="004322D5" w:rsidRPr="00F52112" w:rsidRDefault="004322D5" w:rsidP="00F52112">
      <w:pPr>
        <w:pStyle w:val="Heading1"/>
      </w:pPr>
      <w:bookmarkStart w:id="1" w:name="_Toc235293967"/>
      <w:r w:rsidRPr="00F52112">
        <w:lastRenderedPageBreak/>
        <w:t>TASK 1: PHARMACY SERVICES IN THE UK</w:t>
      </w:r>
      <w:bookmarkEnd w:id="1"/>
    </w:p>
    <w:p w14:paraId="4F20BDDC" w14:textId="77777777" w:rsidR="004322D5" w:rsidRPr="00F52112" w:rsidRDefault="004322D5" w:rsidP="00F52112"/>
    <w:p w14:paraId="42A6C333" w14:textId="77777777" w:rsidR="00406680" w:rsidRPr="00F52112" w:rsidRDefault="00406680" w:rsidP="00F52112">
      <w:pPr>
        <w:spacing w:before="20" w:after="20"/>
        <w:jc w:val="center"/>
      </w:pPr>
      <w:r w:rsidRPr="00F52112">
        <w:rPr>
          <w:rFonts w:eastAsia="Cambria"/>
          <w:b/>
          <w:bCs/>
          <w:i/>
          <w:iCs/>
          <w:color w:val="1F3864"/>
          <w:sz w:val="44"/>
          <w:szCs w:val="44"/>
        </w:rPr>
        <w:t>Pharmacy Services</w:t>
      </w:r>
    </w:p>
    <w:p w14:paraId="129B5A2A" w14:textId="77777777" w:rsidR="00406680" w:rsidRPr="009E680D" w:rsidRDefault="00406680" w:rsidP="009E680D">
      <w:pPr>
        <w:shd w:val="clear" w:color="auto" w:fill="4C94D8" w:themeFill="text2" w:themeFillTint="80"/>
        <w:spacing w:before="20" w:after="20"/>
        <w:jc w:val="center"/>
        <w:rPr>
          <w:b/>
          <w:bCs/>
          <w:color w:val="FFFFFF" w:themeColor="background1"/>
        </w:rPr>
      </w:pPr>
      <w:r w:rsidRPr="009E680D">
        <w:rPr>
          <w:rFonts w:eastAsia="Calibri"/>
          <w:b/>
          <w:bCs/>
          <w:color w:val="FFFFFF" w:themeColor="background1"/>
          <w:sz w:val="19"/>
          <w:szCs w:val="19"/>
        </w:rPr>
        <w:t>Student Name: Mousumi Akther      Course Name: Certificate of Higher Education Skills for the Workplace (Health &amp; Social Care)</w:t>
      </w:r>
    </w:p>
    <w:p w14:paraId="6CDEC08A" w14:textId="0D1BF0F7" w:rsidR="00406680" w:rsidRPr="009E680D" w:rsidRDefault="00343600" w:rsidP="009E680D">
      <w:pPr>
        <w:shd w:val="clear" w:color="auto" w:fill="4C94D8" w:themeFill="text2" w:themeFillTint="80"/>
        <w:spacing w:before="40" w:after="200"/>
        <w:jc w:val="center"/>
        <w:rPr>
          <w:b/>
          <w:bCs/>
          <w:color w:val="FFFFFF" w:themeColor="background1"/>
        </w:rPr>
      </w:pPr>
      <w:r>
        <w:rPr>
          <w:rFonts w:eastAsia="Calibri"/>
          <w:b/>
          <w:bCs/>
          <w:color w:val="FFFFFF" w:themeColor="background1"/>
          <w:sz w:val="18"/>
          <w:szCs w:val="18"/>
        </w:rPr>
        <w:t>Email Details:2528629@student.uwtsd.ac.uk</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94"/>
        <w:gridCol w:w="7694"/>
      </w:tblGrid>
      <w:tr w:rsidR="00406680" w:rsidRPr="00F52112" w14:paraId="21107A83" w14:textId="77777777" w:rsidTr="00406680">
        <w:tc>
          <w:tcPr>
            <w:tcW w:w="2500" w:type="pct"/>
            <w:tcBorders>
              <w:top w:val="single" w:sz="4" w:space="0" w:color="D9D9D9"/>
              <w:left w:val="single" w:sz="4" w:space="0" w:color="D9D9D9"/>
              <w:bottom w:val="single" w:sz="4" w:space="0" w:color="D9D9D9"/>
              <w:right w:val="single" w:sz="4" w:space="0" w:color="D9D9D9"/>
            </w:tcBorders>
            <w:tcMar>
              <w:top w:w="100" w:type="dxa"/>
              <w:left w:w="160" w:type="dxa"/>
              <w:bottom w:w="100" w:type="dxa"/>
              <w:right w:w="160" w:type="dxa"/>
            </w:tcMar>
          </w:tcPr>
          <w:p w14:paraId="388D72AF" w14:textId="77777777" w:rsidR="00406680" w:rsidRPr="00F52112" w:rsidRDefault="00406680" w:rsidP="00F52112">
            <w:pPr>
              <w:spacing w:after="70"/>
            </w:pPr>
            <w:r w:rsidRPr="00F52112">
              <w:rPr>
                <w:rFonts w:eastAsia="Calibri"/>
                <w:b/>
                <w:bCs/>
                <w:color w:val="1F3864"/>
                <w:sz w:val="24"/>
                <w:szCs w:val="24"/>
              </w:rPr>
              <w:t>What Are Pharmacy Services, and How Did They Develop?</w:t>
            </w:r>
          </w:p>
          <w:p w14:paraId="2575637D" w14:textId="7206A19F" w:rsidR="00406680" w:rsidRPr="00F52112" w:rsidRDefault="00406680" w:rsidP="00F52112">
            <w:pPr>
              <w:spacing w:after="70" w:line="216" w:lineRule="auto"/>
              <w:rPr>
                <w:rFonts w:eastAsia="Calibri"/>
                <w:color w:val="333333"/>
                <w:sz w:val="18"/>
                <w:szCs w:val="18"/>
              </w:rPr>
            </w:pPr>
            <w:r w:rsidRPr="00F52112">
              <w:rPr>
                <w:rFonts w:eastAsia="Calibri"/>
                <w:color w:val="333333"/>
                <w:sz w:val="18"/>
                <w:szCs w:val="18"/>
              </w:rPr>
              <w:t xml:space="preserve">Community pharmacies are located on high streets and in local neighbourhoods throughout the UK and are one of the most accessible aspects of the health and social care system in the UK. In addition to dispensing NHS and private prescriptions, pharmacy teams are also responsible for advising the public on medicines and minor </w:t>
            </w:r>
            <w:r w:rsidR="009E680D" w:rsidRPr="00F52112">
              <w:rPr>
                <w:rFonts w:eastAsia="Calibri"/>
                <w:color w:val="333333"/>
                <w:sz w:val="18"/>
                <w:szCs w:val="18"/>
              </w:rPr>
              <w:t>illnesses and</w:t>
            </w:r>
            <w:r w:rsidRPr="00F52112">
              <w:rPr>
                <w:rFonts w:eastAsia="Calibri"/>
                <w:color w:val="333333"/>
                <w:sz w:val="18"/>
                <w:szCs w:val="18"/>
              </w:rPr>
              <w:t xml:space="preserve"> increasingly providing structured clinical services instead of being a mere dispensing outlet, as well as providing vaccination services and other public health services (NHS England, 2024). The Pharmacy First service, which is now available nationally on 31 January 2024, led to a major expansion of this clinical role. A trained pharmacist can evaluate and, if clinically suitable, provide medicines that require a prescription, for seven common conditions, such as sore throat, earache, sinusitis, shingles, impetigo, infected insect bites and uncomplicated UTIs, without the patient having to attend a GP appointment (NHS England, 2024).</w:t>
            </w:r>
          </w:p>
          <w:p w14:paraId="237689EE" w14:textId="77777777" w:rsidR="00406680" w:rsidRPr="00F52112" w:rsidRDefault="00406680" w:rsidP="00F52112">
            <w:pPr>
              <w:spacing w:after="70" w:line="216" w:lineRule="auto"/>
            </w:pPr>
            <w:r w:rsidRPr="00F52112">
              <w:rPr>
                <w:rFonts w:eastAsia="Calibri"/>
                <w:color w:val="333333"/>
                <w:sz w:val="18"/>
                <w:szCs w:val="18"/>
              </w:rPr>
              <w:t>This is a clinical role, one that has not been one-dimensional. Prior to the establishment of the National Health Service (NHS) in 1948, community pharmacists were regularly providing community health information. Pharmacy was made an almost purely dispensing role by the NHS, which only resumed its advisory role again in 1981 (Anderson, 2007). It continued to build up with the introduction of the Community Pharmacy Contractual Framework (CPCF) in 2019, extending the scope of NHS commissioned services beyond just dispensing volume; the national launch of Pharmacy First in January 2024 (NHS England, 2024); and the Community Pharmacist Consultation Service (CPCS) now connecting pharmacies to urgent care pathways, introduced in October 2019 (House of Commons Library, 2026).</w:t>
            </w:r>
          </w:p>
        </w:tc>
        <w:tc>
          <w:tcPr>
            <w:tcW w:w="2500" w:type="pct"/>
            <w:tcBorders>
              <w:top w:val="single" w:sz="4" w:space="0" w:color="D9D9D9"/>
              <w:left w:val="single" w:sz="4" w:space="0" w:color="D9D9D9"/>
              <w:bottom w:val="single" w:sz="4" w:space="0" w:color="D9D9D9"/>
              <w:right w:val="single" w:sz="4" w:space="0" w:color="D9D9D9"/>
            </w:tcBorders>
            <w:tcMar>
              <w:top w:w="100" w:type="dxa"/>
              <w:left w:w="160" w:type="dxa"/>
              <w:bottom w:w="100" w:type="dxa"/>
              <w:right w:w="160" w:type="dxa"/>
            </w:tcMar>
          </w:tcPr>
          <w:p w14:paraId="159628EF" w14:textId="77777777" w:rsidR="00406680" w:rsidRPr="00F52112" w:rsidRDefault="00406680" w:rsidP="00F52112">
            <w:pPr>
              <w:spacing w:after="70"/>
            </w:pPr>
            <w:r w:rsidRPr="00F52112">
              <w:rPr>
                <w:rFonts w:eastAsia="Calibri"/>
                <w:b/>
                <w:bCs/>
                <w:color w:val="1F3864"/>
                <w:sz w:val="24"/>
                <w:szCs w:val="24"/>
              </w:rPr>
              <w:t>How Is the Sector Functioning, and What Challenges Does It Face?</w:t>
            </w:r>
          </w:p>
          <w:p w14:paraId="3CAD1884" w14:textId="77777777" w:rsidR="00406680" w:rsidRPr="00F52112" w:rsidRDefault="00406680" w:rsidP="00F52112">
            <w:pPr>
              <w:spacing w:after="70" w:line="216" w:lineRule="auto"/>
              <w:rPr>
                <w:rFonts w:eastAsia="Calibri"/>
                <w:color w:val="333333"/>
                <w:sz w:val="18"/>
                <w:szCs w:val="18"/>
              </w:rPr>
            </w:pPr>
            <w:r w:rsidRPr="00F52112">
              <w:rPr>
                <w:rFonts w:eastAsia="Calibri"/>
                <w:color w:val="333333"/>
                <w:sz w:val="18"/>
                <w:szCs w:val="18"/>
              </w:rPr>
              <w:t>There are approximately 11,569 Community Pharmacies in England which receive 68-85% of their revenue from the NHS (Anderson and Sharma, 2020). The ownership structure is a combination of multiple chain pharmacies (~60%) and independent or small group (less than 6 stores) pharmacies (~40%) (Anderson and Sharma, 2020). Aware of the pressures in the sector, the Community Pharmacy Contractual Framework settlement for 2024/25–2025/26 provided a uplift of approximately 20% on funding for 2023/24, which was the most significant increase in funding for any part of the NHS in 2024/25 (House of Commons Library, 2026).</w:t>
            </w:r>
          </w:p>
          <w:p w14:paraId="57924290" w14:textId="77777777" w:rsidR="00406680" w:rsidRPr="00F52112" w:rsidRDefault="00406680" w:rsidP="00F52112">
            <w:pPr>
              <w:spacing w:after="70" w:line="216" w:lineRule="auto"/>
            </w:pPr>
            <w:r w:rsidRPr="00F52112">
              <w:rPr>
                <w:rFonts w:eastAsia="Calibri"/>
                <w:color w:val="333333"/>
                <w:sz w:val="18"/>
                <w:szCs w:val="18"/>
              </w:rPr>
              <w:t>The network is still being subject to continuous funding and staffing reductions in the wake of this settlement. Since 2015, the funding for community pharmacies has reduced by around 30% in real terms, with Community Pharmacy England's 2024 Pressures Survey showing that almost one in six of community pharmacy's owners said that their pharmacy was at risk of closing in the next year (Community Pharmacy England, 2024). In England alone, there were 13,863 temporary closures in 2023, costing a total of 46,823 hours of opening time, and with rural and older communities being most affected (Healthwatch, 2024). There were similar patterns for permanent closures, with 436 pharmacies closed in 2023 (Healthwatch, 2024) and a further 222 in 2024 (The King's Fund, 2025), which links to concerns in already underserved communities around access to primary care.</w:t>
            </w:r>
          </w:p>
        </w:tc>
      </w:tr>
      <w:tr w:rsidR="00406680" w:rsidRPr="00F52112" w14:paraId="50EF24F1" w14:textId="77777777" w:rsidTr="00406680">
        <w:tc>
          <w:tcPr>
            <w:tcW w:w="5000" w:type="pct"/>
            <w:gridSpan w:val="2"/>
            <w:tcBorders>
              <w:top w:val="single" w:sz="4" w:space="0" w:color="D9D9D9"/>
              <w:left w:val="single" w:sz="4" w:space="0" w:color="D9D9D9"/>
              <w:bottom w:val="single" w:sz="4" w:space="0" w:color="D9D9D9"/>
              <w:right w:val="single" w:sz="4" w:space="0" w:color="D9D9D9"/>
            </w:tcBorders>
            <w:tcMar>
              <w:top w:w="100" w:type="dxa"/>
              <w:left w:w="160" w:type="dxa"/>
              <w:bottom w:w="100" w:type="dxa"/>
              <w:right w:w="160" w:type="dxa"/>
            </w:tcMar>
          </w:tcPr>
          <w:p w14:paraId="1038B229" w14:textId="77777777" w:rsidR="00406680" w:rsidRPr="00F52112" w:rsidRDefault="00406680" w:rsidP="00F52112">
            <w:pPr>
              <w:spacing w:after="70"/>
            </w:pPr>
            <w:r w:rsidRPr="00F52112">
              <w:rPr>
                <w:rFonts w:eastAsia="Calibri"/>
                <w:b/>
                <w:bCs/>
                <w:color w:val="1F3864"/>
                <w:sz w:val="24"/>
                <w:szCs w:val="24"/>
              </w:rPr>
              <w:t>Evolution of Pharmacy Services</w:t>
            </w:r>
          </w:p>
          <w:p w14:paraId="6A1775B5" w14:textId="77777777" w:rsidR="00406680" w:rsidRPr="00F52112" w:rsidRDefault="00406680" w:rsidP="00F52112">
            <w:pPr>
              <w:spacing w:before="20" w:after="20"/>
              <w:jc w:val="center"/>
            </w:pPr>
            <w:r w:rsidRPr="00F52112">
              <w:rPr>
                <w:noProof/>
                <w:lang w:eastAsia="en-GB"/>
              </w:rPr>
              <w:drawing>
                <wp:inline distT="0" distB="0" distL="0" distR="0" wp14:anchorId="7763A2FC" wp14:editId="1B9E803C">
                  <wp:extent cx="5715000" cy="1009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715000" cy="1009650"/>
                          </a:xfrm>
                          <a:prstGeom prst="rect">
                            <a:avLst/>
                          </a:prstGeom>
                        </pic:spPr>
                      </pic:pic>
                    </a:graphicData>
                  </a:graphic>
                </wp:inline>
              </w:drawing>
            </w:r>
          </w:p>
          <w:p w14:paraId="210B7E0B" w14:textId="77777777" w:rsidR="00406680" w:rsidRPr="00F52112" w:rsidRDefault="00406680" w:rsidP="00F52112">
            <w:pPr>
              <w:spacing w:before="20"/>
              <w:jc w:val="center"/>
            </w:pPr>
            <w:r w:rsidRPr="00F52112">
              <w:rPr>
                <w:b/>
                <w:bCs/>
                <w:color w:val="333333"/>
                <w:sz w:val="15"/>
                <w:szCs w:val="15"/>
              </w:rPr>
              <w:t xml:space="preserve">Figure 1: Evolution of pharmacy services in the UK   </w:t>
            </w:r>
            <w:r w:rsidRPr="00F52112">
              <w:rPr>
                <w:i/>
                <w:iCs/>
                <w:color w:val="6E6E6E"/>
                <w:sz w:val="14"/>
                <w:szCs w:val="14"/>
              </w:rPr>
              <w:t>(Source: Self-developed, adapted from Anderson, 2007; House of Commons Library, 2026; NHS England, 2024)</w:t>
            </w:r>
          </w:p>
        </w:tc>
      </w:tr>
    </w:tbl>
    <w:p w14:paraId="50B424E2" w14:textId="77777777" w:rsidR="00406680" w:rsidRPr="00F52112" w:rsidRDefault="00406680" w:rsidP="00F52112">
      <w:pPr>
        <w:spacing w:before="160"/>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94"/>
        <w:gridCol w:w="7694"/>
      </w:tblGrid>
      <w:tr w:rsidR="00406680" w:rsidRPr="00F52112" w14:paraId="1D27CE40" w14:textId="77777777" w:rsidTr="00F52112">
        <w:trPr>
          <w:trHeight w:val="4588"/>
        </w:trPr>
        <w:tc>
          <w:tcPr>
            <w:tcW w:w="2338" w:type="pct"/>
            <w:tcBorders>
              <w:top w:val="single" w:sz="4" w:space="0" w:color="D9D9D9"/>
              <w:left w:val="single" w:sz="4" w:space="0" w:color="D9D9D9"/>
              <w:bottom w:val="single" w:sz="4" w:space="0" w:color="D9D9D9"/>
              <w:right w:val="single" w:sz="4" w:space="0" w:color="D9D9D9"/>
            </w:tcBorders>
            <w:tcMar>
              <w:top w:w="100" w:type="dxa"/>
              <w:left w:w="160" w:type="dxa"/>
              <w:bottom w:w="100" w:type="dxa"/>
              <w:right w:w="160" w:type="dxa"/>
            </w:tcMar>
          </w:tcPr>
          <w:p w14:paraId="29F7D469" w14:textId="77777777" w:rsidR="00406680" w:rsidRPr="00F52112" w:rsidRDefault="00406680" w:rsidP="00F52112">
            <w:pPr>
              <w:spacing w:after="70"/>
            </w:pPr>
            <w:r w:rsidRPr="00F52112">
              <w:rPr>
                <w:rFonts w:eastAsia="Calibri"/>
                <w:b/>
                <w:bCs/>
                <w:color w:val="1F3864"/>
                <w:sz w:val="24"/>
                <w:szCs w:val="24"/>
              </w:rPr>
              <w:t>Current Functioning: Community Pharmacy in Numbers</w:t>
            </w:r>
          </w:p>
          <w:tbl>
            <w:tblPr>
              <w:tblW w:w="7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886"/>
              <w:gridCol w:w="1514"/>
            </w:tblGrid>
            <w:tr w:rsidR="00406680" w:rsidRPr="00F52112" w14:paraId="17AAE639" w14:textId="77777777" w:rsidTr="00255C60">
              <w:trPr>
                <w:tblHeader/>
              </w:trPr>
              <w:tc>
                <w:tcPr>
                  <w:tcW w:w="0" w:type="auto"/>
                  <w:tcBorders>
                    <w:top w:val="single" w:sz="2" w:space="0" w:color="D9D9D9"/>
                    <w:left w:val="single" w:sz="2" w:space="0" w:color="D9D9D9"/>
                    <w:bottom w:val="single" w:sz="2" w:space="0" w:color="D9D9D9"/>
                    <w:right w:val="single" w:sz="2" w:space="0" w:color="D9D9D9"/>
                  </w:tcBorders>
                  <w:shd w:val="clear" w:color="auto" w:fill="1F3864"/>
                  <w:tcMar>
                    <w:top w:w="40" w:type="dxa"/>
                    <w:left w:w="100" w:type="dxa"/>
                    <w:bottom w:w="40" w:type="dxa"/>
                    <w:right w:w="100" w:type="dxa"/>
                  </w:tcMar>
                  <w:vAlign w:val="center"/>
                </w:tcPr>
                <w:p w14:paraId="239C7F9C" w14:textId="77777777" w:rsidR="00406680" w:rsidRPr="00F52112" w:rsidRDefault="00406680" w:rsidP="00F52112">
                  <w:pPr>
                    <w:rPr>
                      <w:sz w:val="16"/>
                      <w:szCs w:val="16"/>
                    </w:rPr>
                  </w:pPr>
                  <w:r w:rsidRPr="00F52112">
                    <w:rPr>
                      <w:rFonts w:eastAsia="Calibri"/>
                      <w:b/>
                      <w:bCs/>
                      <w:color w:val="FFFFFF"/>
                      <w:sz w:val="16"/>
                      <w:szCs w:val="16"/>
                    </w:rPr>
                    <w:t>Metric</w:t>
                  </w:r>
                </w:p>
              </w:tc>
              <w:tc>
                <w:tcPr>
                  <w:tcW w:w="0" w:type="auto"/>
                  <w:tcBorders>
                    <w:top w:val="single" w:sz="2" w:space="0" w:color="D9D9D9"/>
                    <w:left w:val="single" w:sz="2" w:space="0" w:color="D9D9D9"/>
                    <w:bottom w:val="single" w:sz="2" w:space="0" w:color="D9D9D9"/>
                    <w:right w:val="single" w:sz="2" w:space="0" w:color="D9D9D9"/>
                  </w:tcBorders>
                  <w:shd w:val="clear" w:color="auto" w:fill="1F3864"/>
                  <w:tcMar>
                    <w:top w:w="40" w:type="dxa"/>
                    <w:left w:w="100" w:type="dxa"/>
                    <w:bottom w:w="40" w:type="dxa"/>
                    <w:right w:w="100" w:type="dxa"/>
                  </w:tcMar>
                  <w:vAlign w:val="center"/>
                </w:tcPr>
                <w:p w14:paraId="45D857BE" w14:textId="77777777" w:rsidR="00406680" w:rsidRPr="00F52112" w:rsidRDefault="00406680" w:rsidP="00F52112">
                  <w:pPr>
                    <w:rPr>
                      <w:sz w:val="16"/>
                      <w:szCs w:val="16"/>
                    </w:rPr>
                  </w:pPr>
                  <w:r w:rsidRPr="00F52112">
                    <w:rPr>
                      <w:rFonts w:eastAsia="Calibri"/>
                      <w:b/>
                      <w:bCs/>
                      <w:color w:val="FFFFFF"/>
                      <w:sz w:val="16"/>
                      <w:szCs w:val="16"/>
                    </w:rPr>
                    <w:t>Figure</w:t>
                  </w:r>
                </w:p>
              </w:tc>
            </w:tr>
            <w:tr w:rsidR="00406680" w:rsidRPr="00F52112" w14:paraId="6F17943B" w14:textId="77777777" w:rsidTr="00255C60">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124ED627" w14:textId="77777777" w:rsidR="00406680" w:rsidRPr="00F52112" w:rsidRDefault="00406680" w:rsidP="00F52112">
                  <w:pPr>
                    <w:rPr>
                      <w:sz w:val="16"/>
                      <w:szCs w:val="16"/>
                    </w:rPr>
                  </w:pPr>
                  <w:r w:rsidRPr="00F52112">
                    <w:rPr>
                      <w:rFonts w:eastAsia="Calibri"/>
                      <w:color w:val="333333"/>
                      <w:sz w:val="16"/>
                      <w:szCs w:val="16"/>
                    </w:rPr>
                    <w:t>Community pharmacies in England</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757A478B" w14:textId="77777777" w:rsidR="00406680" w:rsidRPr="00F52112" w:rsidRDefault="00406680" w:rsidP="00F52112">
                  <w:pPr>
                    <w:rPr>
                      <w:sz w:val="16"/>
                      <w:szCs w:val="16"/>
                    </w:rPr>
                  </w:pPr>
                  <w:r w:rsidRPr="00F52112">
                    <w:rPr>
                      <w:rFonts w:eastAsia="Calibri"/>
                      <w:color w:val="333333"/>
                      <w:sz w:val="16"/>
                      <w:szCs w:val="16"/>
                    </w:rPr>
                    <w:t>~11,569</w:t>
                  </w:r>
                </w:p>
              </w:tc>
            </w:tr>
            <w:tr w:rsidR="00406680" w:rsidRPr="00F52112" w14:paraId="5EE3F6CC" w14:textId="77777777" w:rsidTr="00255C60">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769E9BA2" w14:textId="77777777" w:rsidR="00406680" w:rsidRPr="00F52112" w:rsidRDefault="00406680" w:rsidP="00F52112">
                  <w:pPr>
                    <w:rPr>
                      <w:sz w:val="16"/>
                      <w:szCs w:val="16"/>
                    </w:rPr>
                  </w:pPr>
                  <w:r w:rsidRPr="00F52112">
                    <w:rPr>
                      <w:rFonts w:eastAsia="Calibri"/>
                      <w:color w:val="333333"/>
                      <w:sz w:val="16"/>
                      <w:szCs w:val="16"/>
                    </w:rPr>
                    <w:t>Share of income from the NHS</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3DC58DF6" w14:textId="77777777" w:rsidR="00406680" w:rsidRPr="00F52112" w:rsidRDefault="00406680" w:rsidP="00F52112">
                  <w:pPr>
                    <w:rPr>
                      <w:sz w:val="16"/>
                      <w:szCs w:val="16"/>
                    </w:rPr>
                  </w:pPr>
                  <w:r w:rsidRPr="00F52112">
                    <w:rPr>
                      <w:rFonts w:eastAsia="Calibri"/>
                      <w:color w:val="333333"/>
                      <w:sz w:val="16"/>
                      <w:szCs w:val="16"/>
                    </w:rPr>
                    <w:t>68–85%</w:t>
                  </w:r>
                </w:p>
              </w:tc>
            </w:tr>
            <w:tr w:rsidR="00406680" w:rsidRPr="00F52112" w14:paraId="5E34E67A" w14:textId="77777777" w:rsidTr="00255C60">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6A7FE78B" w14:textId="77777777" w:rsidR="00406680" w:rsidRPr="00F52112" w:rsidRDefault="00406680" w:rsidP="00F52112">
                  <w:pPr>
                    <w:rPr>
                      <w:sz w:val="16"/>
                      <w:szCs w:val="16"/>
                    </w:rPr>
                  </w:pPr>
                  <w:r w:rsidRPr="00F52112">
                    <w:rPr>
                      <w:rFonts w:eastAsia="Calibri"/>
                      <w:color w:val="333333"/>
                      <w:sz w:val="16"/>
                      <w:szCs w:val="16"/>
                    </w:rPr>
                    <w:t>Pharmacies belonging to multiple chains</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47E2ADDE" w14:textId="77777777" w:rsidR="00406680" w:rsidRPr="00F52112" w:rsidRDefault="00406680" w:rsidP="00F52112">
                  <w:pPr>
                    <w:rPr>
                      <w:sz w:val="16"/>
                      <w:szCs w:val="16"/>
                    </w:rPr>
                  </w:pPr>
                  <w:r w:rsidRPr="00F52112">
                    <w:rPr>
                      <w:rFonts w:eastAsia="Calibri"/>
                      <w:color w:val="333333"/>
                      <w:sz w:val="16"/>
                      <w:szCs w:val="16"/>
                    </w:rPr>
                    <w:t>~60%</w:t>
                  </w:r>
                </w:p>
              </w:tc>
            </w:tr>
            <w:tr w:rsidR="00406680" w:rsidRPr="00F52112" w14:paraId="79EB9B03" w14:textId="77777777" w:rsidTr="00255C60">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2E7AC571" w14:textId="77777777" w:rsidR="00406680" w:rsidRPr="00F52112" w:rsidRDefault="00406680" w:rsidP="00F52112">
                  <w:pPr>
                    <w:rPr>
                      <w:sz w:val="16"/>
                      <w:szCs w:val="16"/>
                    </w:rPr>
                  </w:pPr>
                  <w:r w:rsidRPr="00F52112">
                    <w:rPr>
                      <w:rFonts w:eastAsia="Calibri"/>
                      <w:color w:val="333333"/>
                      <w:sz w:val="16"/>
                      <w:szCs w:val="16"/>
                    </w:rPr>
                    <w:t>Independents / small groups (&lt;6 outlets)</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36F541D7" w14:textId="77777777" w:rsidR="00406680" w:rsidRPr="00F52112" w:rsidRDefault="00406680" w:rsidP="00F52112">
                  <w:pPr>
                    <w:rPr>
                      <w:sz w:val="16"/>
                      <w:szCs w:val="16"/>
                    </w:rPr>
                  </w:pPr>
                  <w:r w:rsidRPr="00F52112">
                    <w:rPr>
                      <w:rFonts w:eastAsia="Calibri"/>
                      <w:color w:val="333333"/>
                      <w:sz w:val="16"/>
                      <w:szCs w:val="16"/>
                    </w:rPr>
                    <w:t>~40%</w:t>
                  </w:r>
                </w:p>
              </w:tc>
            </w:tr>
            <w:tr w:rsidR="00406680" w:rsidRPr="00F52112" w14:paraId="749F6063" w14:textId="77777777" w:rsidTr="00255C60">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5EA6ADFC" w14:textId="77777777" w:rsidR="00406680" w:rsidRPr="00F52112" w:rsidRDefault="00406680" w:rsidP="00F52112">
                  <w:pPr>
                    <w:rPr>
                      <w:sz w:val="16"/>
                      <w:szCs w:val="16"/>
                    </w:rPr>
                  </w:pPr>
                  <w:r w:rsidRPr="00F52112">
                    <w:rPr>
                      <w:rFonts w:eastAsia="Calibri"/>
                      <w:color w:val="333333"/>
                      <w:sz w:val="16"/>
                      <w:szCs w:val="16"/>
                    </w:rPr>
                    <w:t>CPCF funding uplift (2024/25–25/26)</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3B6D8BF7" w14:textId="77777777" w:rsidR="00406680" w:rsidRPr="00F52112" w:rsidRDefault="00406680" w:rsidP="00F52112">
                  <w:pPr>
                    <w:rPr>
                      <w:sz w:val="16"/>
                      <w:szCs w:val="16"/>
                    </w:rPr>
                  </w:pPr>
                  <w:r w:rsidRPr="00F52112">
                    <w:rPr>
                      <w:rFonts w:eastAsia="Calibri"/>
                      <w:color w:val="333333"/>
                      <w:sz w:val="16"/>
                      <w:szCs w:val="16"/>
                    </w:rPr>
                    <w:t>+20%</w:t>
                  </w:r>
                </w:p>
              </w:tc>
            </w:tr>
          </w:tbl>
          <w:p w14:paraId="2141B81E" w14:textId="77777777" w:rsidR="00406680" w:rsidRPr="00F52112" w:rsidRDefault="00406680" w:rsidP="00F52112">
            <w:pPr>
              <w:spacing w:after="70" w:line="216" w:lineRule="auto"/>
            </w:pPr>
            <w:r w:rsidRPr="00F52112">
              <w:rPr>
                <w:rFonts w:eastAsia="Calibri"/>
                <w:color w:val="333333"/>
                <w:sz w:val="16"/>
                <w:szCs w:val="16"/>
              </w:rPr>
              <w:t>The community pharmacy network is still very large, though predominantly funded from public sources; currently 68-85% of the income of community pharmacies is directly from the NHS (Anderson and Sharma, 2020). This implies that budget decisions of the government have a strong influence on the financial health of the sector, and not a diversified private market. There is a fairly even dominance by multiple chains and independents, and the 20% CPCF funding uplift for 2024/25–2025/26 does indicate recognition of the fragility of the sector, even if it has not yet turned the tide of the underlying pressure (House of Commons Library, 2026</w:t>
            </w:r>
            <w:r w:rsidRPr="00F52112">
              <w:rPr>
                <w:rFonts w:eastAsia="Calibri"/>
                <w:color w:val="333333"/>
                <w:sz w:val="18"/>
                <w:szCs w:val="18"/>
              </w:rPr>
              <w:t>).</w:t>
            </w:r>
          </w:p>
        </w:tc>
        <w:tc>
          <w:tcPr>
            <w:tcW w:w="2662" w:type="pct"/>
            <w:tcBorders>
              <w:top w:val="single" w:sz="4" w:space="0" w:color="D9D9D9"/>
              <w:left w:val="single" w:sz="4" w:space="0" w:color="D9D9D9"/>
              <w:bottom w:val="single" w:sz="4" w:space="0" w:color="D9D9D9"/>
              <w:right w:val="single" w:sz="4" w:space="0" w:color="D9D9D9"/>
            </w:tcBorders>
            <w:tcMar>
              <w:top w:w="100" w:type="dxa"/>
              <w:left w:w="160" w:type="dxa"/>
              <w:bottom w:w="100" w:type="dxa"/>
              <w:right w:w="160" w:type="dxa"/>
            </w:tcMar>
          </w:tcPr>
          <w:p w14:paraId="71411E01" w14:textId="77777777" w:rsidR="00406680" w:rsidRPr="00F52112" w:rsidRDefault="00406680" w:rsidP="00F52112">
            <w:pPr>
              <w:spacing w:after="70"/>
            </w:pPr>
            <w:r w:rsidRPr="00F52112">
              <w:rPr>
                <w:rFonts w:eastAsia="Calibri"/>
                <w:b/>
                <w:bCs/>
                <w:color w:val="1F3864"/>
                <w:sz w:val="24"/>
                <w:szCs w:val="24"/>
              </w:rPr>
              <w:t>Sector Pressures: Key Figures</w:t>
            </w:r>
          </w:p>
          <w:tbl>
            <w:tblPr>
              <w:tblW w:w="7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187"/>
              <w:gridCol w:w="1213"/>
            </w:tblGrid>
            <w:tr w:rsidR="00406680" w:rsidRPr="00F52112" w14:paraId="49C7849A" w14:textId="77777777" w:rsidTr="00F52112">
              <w:trPr>
                <w:trHeight w:val="294"/>
                <w:tblHeader/>
              </w:trPr>
              <w:tc>
                <w:tcPr>
                  <w:tcW w:w="0" w:type="auto"/>
                  <w:tcBorders>
                    <w:top w:val="single" w:sz="2" w:space="0" w:color="D9D9D9"/>
                    <w:left w:val="single" w:sz="2" w:space="0" w:color="D9D9D9"/>
                    <w:bottom w:val="single" w:sz="2" w:space="0" w:color="D9D9D9"/>
                    <w:right w:val="single" w:sz="2" w:space="0" w:color="D9D9D9"/>
                  </w:tcBorders>
                  <w:shd w:val="clear" w:color="auto" w:fill="1F3864"/>
                  <w:tcMar>
                    <w:top w:w="40" w:type="dxa"/>
                    <w:left w:w="100" w:type="dxa"/>
                    <w:bottom w:w="40" w:type="dxa"/>
                    <w:right w:w="100" w:type="dxa"/>
                  </w:tcMar>
                  <w:vAlign w:val="center"/>
                </w:tcPr>
                <w:p w14:paraId="6A28F4A9" w14:textId="77777777" w:rsidR="00406680" w:rsidRPr="00F52112" w:rsidRDefault="00406680" w:rsidP="00F52112">
                  <w:pPr>
                    <w:rPr>
                      <w:sz w:val="16"/>
                      <w:szCs w:val="16"/>
                    </w:rPr>
                  </w:pPr>
                  <w:r w:rsidRPr="00F52112">
                    <w:rPr>
                      <w:rFonts w:eastAsia="Calibri"/>
                      <w:b/>
                      <w:bCs/>
                      <w:color w:val="FFFFFF"/>
                      <w:sz w:val="16"/>
                      <w:szCs w:val="16"/>
                    </w:rPr>
                    <w:t>Metric</w:t>
                  </w:r>
                </w:p>
              </w:tc>
              <w:tc>
                <w:tcPr>
                  <w:tcW w:w="0" w:type="auto"/>
                  <w:tcBorders>
                    <w:top w:val="single" w:sz="2" w:space="0" w:color="D9D9D9"/>
                    <w:left w:val="single" w:sz="2" w:space="0" w:color="D9D9D9"/>
                    <w:bottom w:val="single" w:sz="2" w:space="0" w:color="D9D9D9"/>
                    <w:right w:val="single" w:sz="2" w:space="0" w:color="D9D9D9"/>
                  </w:tcBorders>
                  <w:shd w:val="clear" w:color="auto" w:fill="1F3864"/>
                  <w:tcMar>
                    <w:top w:w="40" w:type="dxa"/>
                    <w:left w:w="100" w:type="dxa"/>
                    <w:bottom w:w="40" w:type="dxa"/>
                    <w:right w:w="100" w:type="dxa"/>
                  </w:tcMar>
                  <w:vAlign w:val="center"/>
                </w:tcPr>
                <w:p w14:paraId="403EF19A" w14:textId="77777777" w:rsidR="00406680" w:rsidRPr="00F52112" w:rsidRDefault="00406680" w:rsidP="00F52112">
                  <w:pPr>
                    <w:rPr>
                      <w:sz w:val="16"/>
                      <w:szCs w:val="16"/>
                    </w:rPr>
                  </w:pPr>
                  <w:r w:rsidRPr="00F52112">
                    <w:rPr>
                      <w:rFonts w:eastAsia="Calibri"/>
                      <w:b/>
                      <w:bCs/>
                      <w:color w:val="FFFFFF"/>
                      <w:sz w:val="16"/>
                      <w:szCs w:val="16"/>
                    </w:rPr>
                    <w:t>Figure</w:t>
                  </w:r>
                </w:p>
              </w:tc>
            </w:tr>
            <w:tr w:rsidR="00406680" w:rsidRPr="00F52112" w14:paraId="6EB7B416" w14:textId="77777777" w:rsidTr="00F52112">
              <w:trPr>
                <w:trHeight w:val="294"/>
              </w:trPr>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0636D1C1" w14:textId="77777777" w:rsidR="00406680" w:rsidRPr="00F52112" w:rsidRDefault="00406680" w:rsidP="00F52112">
                  <w:pPr>
                    <w:rPr>
                      <w:sz w:val="16"/>
                      <w:szCs w:val="16"/>
                    </w:rPr>
                  </w:pPr>
                  <w:r w:rsidRPr="00F52112">
                    <w:rPr>
                      <w:rFonts w:eastAsia="Calibri"/>
                      <w:color w:val="333333"/>
                      <w:sz w:val="16"/>
                      <w:szCs w:val="16"/>
                    </w:rPr>
                    <w:t>Real-terms funding fall since 2015</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0019895F" w14:textId="77777777" w:rsidR="00406680" w:rsidRPr="00F52112" w:rsidRDefault="00406680" w:rsidP="00F52112">
                  <w:pPr>
                    <w:rPr>
                      <w:sz w:val="16"/>
                      <w:szCs w:val="16"/>
                    </w:rPr>
                  </w:pPr>
                  <w:r w:rsidRPr="00F52112">
                    <w:rPr>
                      <w:rFonts w:eastAsia="Calibri"/>
                      <w:color w:val="333333"/>
                      <w:sz w:val="16"/>
                      <w:szCs w:val="16"/>
                    </w:rPr>
                    <w:t>~30%</w:t>
                  </w:r>
                </w:p>
              </w:tc>
            </w:tr>
            <w:tr w:rsidR="00406680" w:rsidRPr="00F52112" w14:paraId="682D924F" w14:textId="77777777" w:rsidTr="00F52112">
              <w:trPr>
                <w:trHeight w:val="310"/>
              </w:trPr>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1884A123" w14:textId="77777777" w:rsidR="00406680" w:rsidRPr="00F52112" w:rsidRDefault="00406680" w:rsidP="00F52112">
                  <w:pPr>
                    <w:rPr>
                      <w:sz w:val="16"/>
                      <w:szCs w:val="16"/>
                    </w:rPr>
                  </w:pPr>
                  <w:r w:rsidRPr="00F52112">
                    <w:rPr>
                      <w:rFonts w:eastAsia="Calibri"/>
                      <w:color w:val="333333"/>
                      <w:sz w:val="16"/>
                      <w:szCs w:val="16"/>
                    </w:rPr>
                    <w:t>Pharmacy owners fearing closure within a year</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3326879E" w14:textId="77777777" w:rsidR="00406680" w:rsidRPr="00F52112" w:rsidRDefault="00406680" w:rsidP="00F52112">
                  <w:pPr>
                    <w:rPr>
                      <w:sz w:val="16"/>
                      <w:szCs w:val="16"/>
                    </w:rPr>
                  </w:pPr>
                  <w:r w:rsidRPr="00F52112">
                    <w:rPr>
                      <w:rFonts w:eastAsia="Calibri"/>
                      <w:color w:val="333333"/>
                      <w:sz w:val="16"/>
                      <w:szCs w:val="16"/>
                    </w:rPr>
                    <w:t>1 in 6</w:t>
                  </w:r>
                </w:p>
              </w:tc>
            </w:tr>
            <w:tr w:rsidR="00406680" w:rsidRPr="00F52112" w14:paraId="60E40EFE" w14:textId="77777777" w:rsidTr="00F52112">
              <w:trPr>
                <w:trHeight w:val="294"/>
              </w:trPr>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3752DFB4" w14:textId="77777777" w:rsidR="00406680" w:rsidRPr="00F52112" w:rsidRDefault="00406680" w:rsidP="00F52112">
                  <w:pPr>
                    <w:rPr>
                      <w:sz w:val="16"/>
                      <w:szCs w:val="16"/>
                    </w:rPr>
                  </w:pPr>
                  <w:r w:rsidRPr="00F52112">
                    <w:rPr>
                      <w:rFonts w:eastAsia="Calibri"/>
                      <w:color w:val="333333"/>
                      <w:sz w:val="16"/>
                      <w:szCs w:val="16"/>
                    </w:rPr>
                    <w:t>Temporary closures in England (2023)</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015CD1AA" w14:textId="77777777" w:rsidR="00406680" w:rsidRPr="00F52112" w:rsidRDefault="00406680" w:rsidP="00F52112">
                  <w:pPr>
                    <w:rPr>
                      <w:sz w:val="16"/>
                      <w:szCs w:val="16"/>
                    </w:rPr>
                  </w:pPr>
                  <w:r w:rsidRPr="00F52112">
                    <w:rPr>
                      <w:rFonts w:eastAsia="Calibri"/>
                      <w:color w:val="333333"/>
                      <w:sz w:val="16"/>
                      <w:szCs w:val="16"/>
                    </w:rPr>
                    <w:t>13,863</w:t>
                  </w:r>
                </w:p>
              </w:tc>
            </w:tr>
            <w:tr w:rsidR="00406680" w:rsidRPr="00F52112" w14:paraId="71956C91" w14:textId="77777777" w:rsidTr="00F52112">
              <w:trPr>
                <w:trHeight w:val="294"/>
              </w:trPr>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282014DF" w14:textId="77777777" w:rsidR="00406680" w:rsidRPr="00F52112" w:rsidRDefault="00406680" w:rsidP="00F52112">
                  <w:pPr>
                    <w:rPr>
                      <w:sz w:val="16"/>
                      <w:szCs w:val="16"/>
                    </w:rPr>
                  </w:pPr>
                  <w:r w:rsidRPr="00F52112">
                    <w:rPr>
                      <w:rFonts w:eastAsia="Calibri"/>
                      <w:color w:val="333333"/>
                      <w:sz w:val="16"/>
                      <w:szCs w:val="16"/>
                    </w:rPr>
                    <w:t>Opening hours lost to closures (2023)</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71CD71D8" w14:textId="77777777" w:rsidR="00406680" w:rsidRPr="00F52112" w:rsidRDefault="00406680" w:rsidP="00F52112">
                  <w:pPr>
                    <w:rPr>
                      <w:sz w:val="16"/>
                      <w:szCs w:val="16"/>
                    </w:rPr>
                  </w:pPr>
                  <w:r w:rsidRPr="00F52112">
                    <w:rPr>
                      <w:rFonts w:eastAsia="Calibri"/>
                      <w:color w:val="333333"/>
                      <w:sz w:val="16"/>
                      <w:szCs w:val="16"/>
                    </w:rPr>
                    <w:t>46,823</w:t>
                  </w:r>
                </w:p>
              </w:tc>
            </w:tr>
            <w:tr w:rsidR="00406680" w:rsidRPr="00F52112" w14:paraId="2ED7C228" w14:textId="77777777" w:rsidTr="00F52112">
              <w:trPr>
                <w:trHeight w:val="294"/>
              </w:trPr>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0C72F5AF" w14:textId="77777777" w:rsidR="00406680" w:rsidRPr="00F52112" w:rsidRDefault="00406680" w:rsidP="00F52112">
                  <w:pPr>
                    <w:rPr>
                      <w:sz w:val="16"/>
                      <w:szCs w:val="16"/>
                    </w:rPr>
                  </w:pPr>
                  <w:r w:rsidRPr="00F52112">
                    <w:rPr>
                      <w:rFonts w:eastAsia="Calibri"/>
                      <w:color w:val="333333"/>
                      <w:sz w:val="16"/>
                      <w:szCs w:val="16"/>
                    </w:rPr>
                    <w:t>Permanent closures (2023)</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3147E98E" w14:textId="77777777" w:rsidR="00406680" w:rsidRPr="00F52112" w:rsidRDefault="00406680" w:rsidP="00F52112">
                  <w:pPr>
                    <w:rPr>
                      <w:sz w:val="16"/>
                      <w:szCs w:val="16"/>
                    </w:rPr>
                  </w:pPr>
                  <w:r w:rsidRPr="00F52112">
                    <w:rPr>
                      <w:rFonts w:eastAsia="Calibri"/>
                      <w:color w:val="333333"/>
                      <w:sz w:val="16"/>
                      <w:szCs w:val="16"/>
                    </w:rPr>
                    <w:t>436</w:t>
                  </w:r>
                </w:p>
              </w:tc>
            </w:tr>
            <w:tr w:rsidR="00406680" w:rsidRPr="00F52112" w14:paraId="3F42682C" w14:textId="77777777" w:rsidTr="00F52112">
              <w:trPr>
                <w:trHeight w:val="310"/>
              </w:trPr>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26403CA5" w14:textId="77777777" w:rsidR="00406680" w:rsidRPr="00F52112" w:rsidRDefault="00406680" w:rsidP="00F52112">
                  <w:pPr>
                    <w:rPr>
                      <w:sz w:val="16"/>
                      <w:szCs w:val="16"/>
                    </w:rPr>
                  </w:pPr>
                  <w:r w:rsidRPr="00F52112">
                    <w:rPr>
                      <w:rFonts w:eastAsia="Calibri"/>
                      <w:color w:val="333333"/>
                      <w:sz w:val="16"/>
                      <w:szCs w:val="16"/>
                    </w:rPr>
                    <w:t>Permanent closures (2024)</w:t>
                  </w:r>
                </w:p>
              </w:tc>
              <w:tc>
                <w:tcPr>
                  <w:tcW w:w="0" w:type="auto"/>
                  <w:tcBorders>
                    <w:top w:val="single" w:sz="2" w:space="0" w:color="D9D9D9"/>
                    <w:left w:val="single" w:sz="2" w:space="0" w:color="D9D9D9"/>
                    <w:bottom w:val="single" w:sz="2" w:space="0" w:color="D9D9D9"/>
                    <w:right w:val="single" w:sz="2" w:space="0" w:color="D9D9D9"/>
                  </w:tcBorders>
                  <w:tcMar>
                    <w:top w:w="40" w:type="dxa"/>
                    <w:left w:w="100" w:type="dxa"/>
                    <w:bottom w:w="40" w:type="dxa"/>
                    <w:right w:w="100" w:type="dxa"/>
                  </w:tcMar>
                  <w:vAlign w:val="center"/>
                </w:tcPr>
                <w:p w14:paraId="09633DB1" w14:textId="77777777" w:rsidR="00406680" w:rsidRPr="00F52112" w:rsidRDefault="00406680" w:rsidP="00F52112">
                  <w:pPr>
                    <w:rPr>
                      <w:sz w:val="16"/>
                      <w:szCs w:val="16"/>
                    </w:rPr>
                  </w:pPr>
                  <w:r w:rsidRPr="00F52112">
                    <w:rPr>
                      <w:rFonts w:eastAsia="Calibri"/>
                      <w:color w:val="333333"/>
                      <w:sz w:val="16"/>
                      <w:szCs w:val="16"/>
                    </w:rPr>
                    <w:t>222</w:t>
                  </w:r>
                </w:p>
              </w:tc>
            </w:tr>
          </w:tbl>
          <w:p w14:paraId="71A334A7" w14:textId="77777777" w:rsidR="00406680" w:rsidRPr="00F52112" w:rsidRDefault="00406680" w:rsidP="00F52112">
            <w:pPr>
              <w:spacing w:after="70" w:line="216" w:lineRule="auto"/>
            </w:pPr>
            <w:r w:rsidRPr="00F52112">
              <w:rPr>
                <w:rFonts w:eastAsia="Calibri"/>
                <w:color w:val="333333"/>
                <w:sz w:val="16"/>
                <w:szCs w:val="16"/>
              </w:rPr>
              <w:t>These statistics highlight the constant pressures that could lead to community pharmacy being viewed as under strain. The ever-present threat of closure is for many owners, driven by a 30% real-term funding reduction since 2015, that they are now asking themselves whether they will ever be viable (Community Pharmacy England, 2024). This was exacerbated by staffing issues in 2023, which resulted in 13,863 temporary closures and 46,823 lost opening hours, which was particularly challenging for rural and older communities (Healthwatch, 2024). The network continues to shrink, although at a reduced rate compared to 2023 (from 436 to 222 closures), which is reflected in permanent closures (Healthwatch, 2024; The King's Fund, 2025).</w:t>
            </w:r>
          </w:p>
        </w:tc>
      </w:tr>
      <w:tr w:rsidR="00406680" w:rsidRPr="00F52112" w14:paraId="23A6C664" w14:textId="77777777" w:rsidTr="00406680">
        <w:tc>
          <w:tcPr>
            <w:tcW w:w="5000" w:type="pct"/>
            <w:gridSpan w:val="2"/>
            <w:tcBorders>
              <w:top w:val="single" w:sz="4" w:space="0" w:color="D9D9D9"/>
              <w:left w:val="single" w:sz="4" w:space="0" w:color="D9D9D9"/>
              <w:bottom w:val="single" w:sz="4" w:space="0" w:color="D9D9D9"/>
              <w:right w:val="single" w:sz="4" w:space="0" w:color="D9D9D9"/>
            </w:tcBorders>
            <w:tcMar>
              <w:top w:w="100" w:type="dxa"/>
              <w:left w:w="160" w:type="dxa"/>
              <w:bottom w:w="100" w:type="dxa"/>
              <w:right w:w="160" w:type="dxa"/>
            </w:tcMar>
          </w:tcPr>
          <w:p w14:paraId="1B20302A" w14:textId="77777777" w:rsidR="00406680" w:rsidRPr="00F52112" w:rsidRDefault="00406680" w:rsidP="00F52112">
            <w:pPr>
              <w:spacing w:after="70"/>
            </w:pPr>
            <w:r w:rsidRPr="00F52112">
              <w:rPr>
                <w:rFonts w:eastAsia="Calibri"/>
                <w:b/>
                <w:bCs/>
                <w:color w:val="1F3864"/>
                <w:sz w:val="24"/>
                <w:szCs w:val="24"/>
              </w:rPr>
              <w:t>Conclusion</w:t>
            </w:r>
          </w:p>
          <w:p w14:paraId="3CE4769A" w14:textId="77777777" w:rsidR="00406680" w:rsidRPr="00F52112" w:rsidRDefault="00406680" w:rsidP="00F52112">
            <w:pPr>
              <w:spacing w:after="70" w:line="216" w:lineRule="auto"/>
              <w:rPr>
                <w:sz w:val="16"/>
                <w:szCs w:val="16"/>
              </w:rPr>
            </w:pPr>
            <w:r w:rsidRPr="00F52112">
              <w:rPr>
                <w:rFonts w:eastAsia="Calibri"/>
                <w:color w:val="333333"/>
                <w:sz w:val="16"/>
                <w:szCs w:val="16"/>
              </w:rPr>
              <w:t>Community pharmacy has grown from a primarily dispensing service in the year after 1948 to a key and clinically active component of the primary care system in the UK, which was accelerated in 2024 by the implementation of Pharmacy First (NHS England, 2024). Today's data reveals that there is a significant amount of NHS commissioned work being delivered in the sector, but also a high level of financial and workforce pressure, with real-terms funding down by approximately 30% since 2015 and staff shortages and closures impacting access to services for patients, especially in rural and deprived communities (Community Pharmacy England, 2024; Healthwatch, 2024). The funding settlement for 2024/25–2025/26 is a welcome increase, but it hasn't halted a decline in the network (House of Commons Library, 2026). The pressures will need to be met by the effective provision of funding and workforce planning in the future, if pharmacy is to continue to play its expanding clinical role (The King's Fund, 2025).</w:t>
            </w:r>
          </w:p>
        </w:tc>
      </w:tr>
      <w:tr w:rsidR="00406680" w:rsidRPr="00F52112" w14:paraId="6320AB97" w14:textId="77777777" w:rsidTr="00406680">
        <w:tc>
          <w:tcPr>
            <w:tcW w:w="5000" w:type="pct"/>
            <w:gridSpan w:val="2"/>
            <w:tcBorders>
              <w:top w:val="single" w:sz="4" w:space="0" w:color="D9D9D9"/>
              <w:left w:val="single" w:sz="4" w:space="0" w:color="D9D9D9"/>
              <w:bottom w:val="single" w:sz="4" w:space="0" w:color="D9D9D9"/>
              <w:right w:val="single" w:sz="4" w:space="0" w:color="D9D9D9"/>
            </w:tcBorders>
            <w:tcMar>
              <w:top w:w="100" w:type="dxa"/>
              <w:left w:w="160" w:type="dxa"/>
              <w:bottom w:w="100" w:type="dxa"/>
              <w:right w:w="160" w:type="dxa"/>
            </w:tcMar>
          </w:tcPr>
          <w:p w14:paraId="5015B901" w14:textId="77777777" w:rsidR="00406680" w:rsidRPr="00F52112" w:rsidRDefault="00406680" w:rsidP="00F52112">
            <w:pPr>
              <w:spacing w:after="70"/>
            </w:pPr>
            <w:r w:rsidRPr="00F52112">
              <w:rPr>
                <w:rFonts w:eastAsia="Calibri"/>
                <w:b/>
                <w:bCs/>
                <w:color w:val="1F3864"/>
                <w:sz w:val="24"/>
                <w:szCs w:val="24"/>
              </w:rPr>
              <w:t>References</w:t>
            </w:r>
          </w:p>
          <w:p w14:paraId="6C672A8F" w14:textId="77777777" w:rsidR="00406680" w:rsidRPr="00F52112" w:rsidRDefault="00406680" w:rsidP="00F52112">
            <w:pPr>
              <w:spacing w:after="90" w:line="220" w:lineRule="auto"/>
              <w:ind w:left="600" w:hanging="600"/>
            </w:pPr>
            <w:r w:rsidRPr="00F52112">
              <w:rPr>
                <w:rFonts w:eastAsia="Calibri"/>
                <w:sz w:val="16"/>
                <w:szCs w:val="16"/>
              </w:rPr>
              <w:t>Anderson, C. and Sharma, R. (2020) 'Primary health care policy and vision for community pharmacy and pharmacists in England', Pharmacy Practice (Granada), 18(1), 1870. Available at: https://doi.org/10.18549/PharmPract.2020.1.1870 (Accessed: 17 July 2026).</w:t>
            </w:r>
          </w:p>
          <w:p w14:paraId="4CD8AFED" w14:textId="77777777" w:rsidR="00406680" w:rsidRPr="00F52112" w:rsidRDefault="00406680" w:rsidP="00F52112">
            <w:pPr>
              <w:spacing w:after="90" w:line="220" w:lineRule="auto"/>
              <w:ind w:left="600" w:hanging="600"/>
            </w:pPr>
            <w:r w:rsidRPr="00F52112">
              <w:rPr>
                <w:rFonts w:eastAsia="Calibri"/>
                <w:sz w:val="16"/>
                <w:szCs w:val="16"/>
              </w:rPr>
              <w:t>Anderson, S. (2007) 'Community pharmacy and public health in Great Britain, 1936 to 2006: how a phoenix rose from the ashes', Journal of Epidemiology and Community Health, 61(10), pp. 844-848. Available at: https://doi.org/10.1136/jech.2006.055442 (Accessed: 17 July 2026).</w:t>
            </w:r>
          </w:p>
          <w:p w14:paraId="2FE1FA3B" w14:textId="77777777" w:rsidR="00406680" w:rsidRPr="00F52112" w:rsidRDefault="00406680" w:rsidP="00F52112">
            <w:pPr>
              <w:spacing w:after="90" w:line="220" w:lineRule="auto"/>
              <w:ind w:left="600" w:hanging="600"/>
            </w:pPr>
            <w:r w:rsidRPr="00F52112">
              <w:rPr>
                <w:rFonts w:eastAsia="Calibri"/>
                <w:sz w:val="16"/>
                <w:szCs w:val="16"/>
              </w:rPr>
              <w:t>Community Pharmacy England (2024) Nearly a sixth of pharmacies could close within a year, Pressures Survey indicates. Available at: https://cpe.org.uk/our-news/nearly-a-sixth-of-pharmacies-could-close-within-a-year-pressures-survey-indicates/ (Accessed: 17 July 2026).</w:t>
            </w:r>
          </w:p>
          <w:p w14:paraId="0B4968D4" w14:textId="77777777" w:rsidR="00406680" w:rsidRPr="00F52112" w:rsidRDefault="00406680" w:rsidP="00F52112">
            <w:pPr>
              <w:spacing w:after="90" w:line="220" w:lineRule="auto"/>
              <w:ind w:left="600" w:hanging="600"/>
            </w:pPr>
            <w:r w:rsidRPr="00F52112">
              <w:rPr>
                <w:rFonts w:eastAsia="Calibri"/>
                <w:sz w:val="16"/>
                <w:szCs w:val="16"/>
              </w:rPr>
              <w:t>Healthwatch (2024) Pharmacy closures in England. Available at: https://www.healthwatch.co.uk/report/2024-09-26/pharmacy-closures-england (Accessed: 17 July 2026).</w:t>
            </w:r>
          </w:p>
          <w:p w14:paraId="1A4733C2" w14:textId="77777777" w:rsidR="00406680" w:rsidRPr="00F52112" w:rsidRDefault="00406680" w:rsidP="00F52112">
            <w:pPr>
              <w:spacing w:after="90" w:line="220" w:lineRule="auto"/>
              <w:ind w:left="600" w:hanging="600"/>
            </w:pPr>
            <w:r w:rsidRPr="00F52112">
              <w:rPr>
                <w:rFonts w:eastAsia="Calibri"/>
                <w:sz w:val="16"/>
                <w:szCs w:val="16"/>
              </w:rPr>
              <w:t>House of Commons Library (2026) Community pharmacy in England (CBP-9854). Available at: https://commonslibrary.parliament.uk/research-briefings/cbp-9854/ (Accessed: 17 July 2026).</w:t>
            </w:r>
          </w:p>
          <w:p w14:paraId="3899496E" w14:textId="77777777" w:rsidR="00406680" w:rsidRPr="00F52112" w:rsidRDefault="00406680" w:rsidP="00F52112">
            <w:pPr>
              <w:spacing w:after="90" w:line="220" w:lineRule="auto"/>
              <w:ind w:left="600" w:hanging="600"/>
            </w:pPr>
            <w:r w:rsidRPr="00F52112">
              <w:rPr>
                <w:rFonts w:eastAsia="Calibri"/>
                <w:sz w:val="16"/>
                <w:szCs w:val="16"/>
              </w:rPr>
              <w:t>NHS England (2024) Pharmacy First. Available at: https://www.england.nhs.uk/primary-care/pharmacy/pharmacy-services/pharmacy-first/ (Accessed: 17 July 2026).</w:t>
            </w:r>
          </w:p>
          <w:p w14:paraId="6BA2E463" w14:textId="77777777" w:rsidR="00406680" w:rsidRPr="00F52112" w:rsidRDefault="00406680" w:rsidP="00F52112">
            <w:pPr>
              <w:spacing w:after="90" w:line="220" w:lineRule="auto"/>
              <w:ind w:left="600" w:hanging="600"/>
            </w:pPr>
            <w:r w:rsidRPr="00F52112">
              <w:rPr>
                <w:rFonts w:eastAsia="Calibri"/>
                <w:sz w:val="16"/>
                <w:szCs w:val="16"/>
              </w:rPr>
              <w:t>The King's Fund (2025) Community Pharmacy Explained. Available at: https://www.kingsfund.org.uk/insight-and-analysis/long-reads/community-pharmacy-explained (Accessed: 17 July 2026).</w:t>
            </w:r>
          </w:p>
        </w:tc>
      </w:tr>
    </w:tbl>
    <w:p w14:paraId="52D07F3A" w14:textId="38EDEFB1" w:rsidR="00406680" w:rsidRPr="00F52112" w:rsidRDefault="00406680" w:rsidP="00F52112">
      <w:pPr>
        <w:sectPr w:rsidR="00406680" w:rsidRPr="00F52112" w:rsidSect="00406680">
          <w:pgSz w:w="16838" w:h="11906" w:orient="landscape"/>
          <w:pgMar w:top="720" w:right="720" w:bottom="720" w:left="720" w:header="708" w:footer="708" w:gutter="0"/>
          <w:pgNumType w:start="1"/>
          <w:cols w:space="720"/>
          <w:docGrid w:linePitch="360"/>
        </w:sectPr>
      </w:pPr>
    </w:p>
    <w:p w14:paraId="72E6EF53" w14:textId="77777777" w:rsidR="0009767F" w:rsidRPr="00F52112" w:rsidRDefault="0009767F" w:rsidP="00F52112"/>
    <w:p w14:paraId="35082018" w14:textId="77777777" w:rsidR="0009767F" w:rsidRPr="00F52112" w:rsidRDefault="007950F2" w:rsidP="00F52112">
      <w:pPr>
        <w:pStyle w:val="Heading1"/>
      </w:pPr>
      <w:bookmarkStart w:id="2" w:name="_Toc235293968"/>
      <w:r w:rsidRPr="00F52112">
        <w:t>TASK 2: THE RESIDENTIAL CARE HOME</w:t>
      </w:r>
      <w:bookmarkEnd w:id="2"/>
    </w:p>
    <w:p w14:paraId="086949EE" w14:textId="729C7C0B" w:rsidR="002B603C" w:rsidRPr="00F52112" w:rsidRDefault="002B603C" w:rsidP="00F52112">
      <w:pPr>
        <w:rPr>
          <w:lang w:val="en-US"/>
        </w:rPr>
      </w:pPr>
      <w:r w:rsidRPr="00F52112">
        <w:rPr>
          <w:lang w:val="en-US"/>
        </w:rPr>
        <w:t xml:space="preserve">This essay looks at </w:t>
      </w:r>
      <w:r w:rsidRPr="00F52112">
        <w:rPr>
          <w:b/>
          <w:bCs/>
          <w:lang w:val="en-US"/>
        </w:rPr>
        <w:t>residential care homes</w:t>
      </w:r>
      <w:r w:rsidRPr="00F52112">
        <w:rPr>
          <w:lang w:val="en-US"/>
        </w:rPr>
        <w:t xml:space="preserve"> as a </w:t>
      </w:r>
      <w:r w:rsidRPr="00F52112">
        <w:rPr>
          <w:b/>
          <w:bCs/>
          <w:lang w:val="en-US"/>
        </w:rPr>
        <w:t>social care service</w:t>
      </w:r>
      <w:r w:rsidRPr="00F52112">
        <w:rPr>
          <w:lang w:val="en-US"/>
        </w:rPr>
        <w:t xml:space="preserve"> in the UK. It explores the roots of </w:t>
      </w:r>
      <w:r w:rsidRPr="00F52112">
        <w:rPr>
          <w:b/>
          <w:bCs/>
          <w:lang w:val="en-US"/>
        </w:rPr>
        <w:t>residential care</w:t>
      </w:r>
      <w:r w:rsidRPr="00F52112">
        <w:rPr>
          <w:lang w:val="en-US"/>
        </w:rPr>
        <w:t xml:space="preserve"> and the historical context that influenced its development, critically examines the current role of </w:t>
      </w:r>
      <w:r w:rsidRPr="00F52112">
        <w:rPr>
          <w:b/>
          <w:bCs/>
          <w:lang w:val="en-US"/>
        </w:rPr>
        <w:t>residential care</w:t>
      </w:r>
      <w:r w:rsidRPr="00F52112">
        <w:rPr>
          <w:lang w:val="en-US"/>
        </w:rPr>
        <w:t xml:space="preserve"> and considers its importance for the </w:t>
      </w:r>
      <w:r w:rsidRPr="00F52112">
        <w:rPr>
          <w:b/>
          <w:bCs/>
          <w:lang w:val="en-US"/>
        </w:rPr>
        <w:t>quality of life</w:t>
      </w:r>
      <w:r w:rsidRPr="00F52112">
        <w:rPr>
          <w:lang w:val="en-US"/>
        </w:rPr>
        <w:t xml:space="preserve"> of the older and disabled persons who use it.</w:t>
      </w:r>
    </w:p>
    <w:p w14:paraId="4A45F6A4" w14:textId="23492DBA" w:rsidR="002B603C" w:rsidRPr="00F52112" w:rsidRDefault="002B603C" w:rsidP="00F52112">
      <w:pPr>
        <w:rPr>
          <w:lang w:val="en-US"/>
        </w:rPr>
      </w:pPr>
      <w:r w:rsidRPr="00F52112">
        <w:rPr>
          <w:lang w:val="en-US"/>
        </w:rPr>
        <w:t xml:space="preserve">The roots of </w:t>
      </w:r>
      <w:r w:rsidRPr="00F52112">
        <w:rPr>
          <w:b/>
          <w:bCs/>
          <w:lang w:val="en-US"/>
        </w:rPr>
        <w:t>residential care</w:t>
      </w:r>
      <w:r w:rsidRPr="00F52112">
        <w:rPr>
          <w:lang w:val="en-US"/>
        </w:rPr>
        <w:t xml:space="preserve"> in Britain can be traced back to the </w:t>
      </w:r>
      <w:r w:rsidRPr="00F52112">
        <w:rPr>
          <w:b/>
          <w:bCs/>
          <w:lang w:val="en-US"/>
        </w:rPr>
        <w:t>Elizabethan Poor Law of 1601</w:t>
      </w:r>
      <w:r w:rsidRPr="00F52112">
        <w:rPr>
          <w:lang w:val="en-US"/>
        </w:rPr>
        <w:t xml:space="preserve"> that was designed to help the ‘impotent poor' of Britain who were the sick, disabled and elderly; each parish was responsible for providing housing for them in alms houses or in early </w:t>
      </w:r>
      <w:r w:rsidRPr="00F52112">
        <w:rPr>
          <w:b/>
          <w:bCs/>
          <w:lang w:val="en-US"/>
        </w:rPr>
        <w:t>workhouses</w:t>
      </w:r>
      <w:r w:rsidRPr="00F52112">
        <w:rPr>
          <w:lang w:val="en-US"/>
        </w:rPr>
        <w:t xml:space="preserve"> (Goatacre Manor Care Center, 2022). In 1834, the </w:t>
      </w:r>
      <w:r w:rsidRPr="00F52112">
        <w:rPr>
          <w:b/>
          <w:bCs/>
          <w:lang w:val="en-US"/>
        </w:rPr>
        <w:t>Poor Law Amendment Act</w:t>
      </w:r>
      <w:r w:rsidRPr="00F52112">
        <w:rPr>
          <w:lang w:val="en-US"/>
        </w:rPr>
        <w:t xml:space="preserve"> cemented this, with the introduction of a </w:t>
      </w:r>
      <w:r w:rsidRPr="00F52112">
        <w:rPr>
          <w:b/>
          <w:bCs/>
          <w:lang w:val="en-US"/>
        </w:rPr>
        <w:t>workhouse system</w:t>
      </w:r>
      <w:r w:rsidRPr="00F52112">
        <w:rPr>
          <w:lang w:val="en-US"/>
        </w:rPr>
        <w:t xml:space="preserve"> to be deliberately harsh and deterrent, with no ‘outdoor relief' for those unable to work (Goatacre Manor Care Center, 2022; Historic UK, 2023). In the 20th century, reforming efforts took place gradually: from 1927 the </w:t>
      </w:r>
      <w:r w:rsidRPr="00F52112">
        <w:rPr>
          <w:b/>
          <w:bCs/>
          <w:lang w:val="en-US"/>
        </w:rPr>
        <w:t>Nursing Homes Registration Act</w:t>
      </w:r>
      <w:r w:rsidRPr="00F52112">
        <w:rPr>
          <w:lang w:val="en-US"/>
        </w:rPr>
        <w:t xml:space="preserve"> forced homes to provide nursing care to register and be inspected (Goatacre Manor Care Center, 2022), and from 1929, the local authorities were able to change workhouses into hospitals or </w:t>
      </w:r>
      <w:r w:rsidRPr="00F52112">
        <w:rPr>
          <w:b/>
          <w:bCs/>
          <w:lang w:val="en-US"/>
        </w:rPr>
        <w:t>care institutions</w:t>
      </w:r>
      <w:r w:rsidRPr="00F52112">
        <w:rPr>
          <w:lang w:val="en-US"/>
        </w:rPr>
        <w:t xml:space="preserve"> (Historic UK, 2023).</w:t>
      </w:r>
    </w:p>
    <w:p w14:paraId="7913E0D8" w14:textId="77777777" w:rsidR="002B603C" w:rsidRPr="00F52112" w:rsidRDefault="002B603C" w:rsidP="00F52112">
      <w:pPr>
        <w:rPr>
          <w:lang w:val="en-US"/>
        </w:rPr>
      </w:pPr>
      <w:r w:rsidRPr="00F52112">
        <w:rPr>
          <w:lang w:val="en-US"/>
        </w:rPr>
        <w:t xml:space="preserve">This all changed in </w:t>
      </w:r>
      <w:r w:rsidRPr="00F52112">
        <w:rPr>
          <w:b/>
          <w:bCs/>
          <w:lang w:val="en-US"/>
        </w:rPr>
        <w:t>1948</w:t>
      </w:r>
      <w:r w:rsidRPr="00F52112">
        <w:rPr>
          <w:lang w:val="en-US"/>
        </w:rPr>
        <w:t xml:space="preserve"> with the </w:t>
      </w:r>
      <w:r w:rsidRPr="00F52112">
        <w:rPr>
          <w:b/>
          <w:bCs/>
          <w:lang w:val="en-US"/>
        </w:rPr>
        <w:t>National Assistance Act</w:t>
      </w:r>
      <w:r w:rsidRPr="00F52112">
        <w:rPr>
          <w:lang w:val="en-US"/>
        </w:rPr>
        <w:t xml:space="preserve">, which was enacted at the same time as the </w:t>
      </w:r>
      <w:r w:rsidRPr="00F52112">
        <w:rPr>
          <w:b/>
          <w:bCs/>
          <w:lang w:val="en-US"/>
        </w:rPr>
        <w:t>NHS</w:t>
      </w:r>
      <w:r w:rsidRPr="00F52112">
        <w:rPr>
          <w:lang w:val="en-US"/>
        </w:rPr>
        <w:t xml:space="preserve">. It led to the formal abolition of the </w:t>
      </w:r>
      <w:r w:rsidRPr="00F52112">
        <w:rPr>
          <w:b/>
          <w:bCs/>
          <w:lang w:val="en-US"/>
        </w:rPr>
        <w:t>Poor Law</w:t>
      </w:r>
      <w:r w:rsidRPr="00F52112">
        <w:rPr>
          <w:lang w:val="en-US"/>
        </w:rPr>
        <w:t xml:space="preserve">, the responsibility of local authorities to help those who are ill, disabled and elderly, and the requirement of all </w:t>
      </w:r>
      <w:r w:rsidRPr="00F52112">
        <w:rPr>
          <w:b/>
          <w:bCs/>
          <w:lang w:val="en-US"/>
        </w:rPr>
        <w:t>residential homes</w:t>
      </w:r>
      <w:r w:rsidRPr="00F52112">
        <w:rPr>
          <w:lang w:val="en-US"/>
        </w:rPr>
        <w:t xml:space="preserve"> for disabled and older people (public, private or voluntary) to register and be open to inspection (Policy Navigator, 2023). Nevertheless, numerous workhouse buildings simply carried on housing local authority ‘old people's homes' – up to 50% of local authority older people's housing was still in workhouse buildings as late as 1960 (British Geriatrics Society, 2015). In 1962, </w:t>
      </w:r>
      <w:r w:rsidRPr="00F52112">
        <w:rPr>
          <w:b/>
          <w:bCs/>
          <w:lang w:val="en-US"/>
        </w:rPr>
        <w:t>Peter Townsend</w:t>
      </w:r>
      <w:r w:rsidRPr="00F52112">
        <w:rPr>
          <w:lang w:val="en-US"/>
        </w:rPr>
        <w:t xml:space="preserve">, a sociologist, visited 174 care homes across England and Wales and published his findings in an influential study, </w:t>
      </w:r>
      <w:r w:rsidRPr="00F52112">
        <w:rPr>
          <w:b/>
          <w:bCs/>
          <w:lang w:val="en-US"/>
        </w:rPr>
        <w:t>The Last Refuge</w:t>
      </w:r>
      <w:r w:rsidRPr="00F52112">
        <w:rPr>
          <w:lang w:val="en-US"/>
        </w:rPr>
        <w:t xml:space="preserve">, which revealed that the </w:t>
      </w:r>
      <w:r w:rsidRPr="00F52112">
        <w:rPr>
          <w:b/>
          <w:bCs/>
          <w:lang w:val="en-US"/>
        </w:rPr>
        <w:t>standards of care</w:t>
      </w:r>
      <w:r w:rsidRPr="00F52112">
        <w:rPr>
          <w:lang w:val="en-US"/>
        </w:rPr>
        <w:t xml:space="preserve"> were poor and unequal in many of them, further impetus for change (carehome.co.uk, 2025). Further pieces of legislation have further modified the sector – the </w:t>
      </w:r>
      <w:r w:rsidRPr="00F52112">
        <w:rPr>
          <w:b/>
          <w:bCs/>
          <w:lang w:val="en-US"/>
        </w:rPr>
        <w:t>Registered Homes Act 1984</w:t>
      </w:r>
      <w:r w:rsidRPr="00F52112">
        <w:rPr>
          <w:lang w:val="en-US"/>
        </w:rPr>
        <w:t xml:space="preserve">, the </w:t>
      </w:r>
      <w:r w:rsidRPr="00F52112">
        <w:rPr>
          <w:b/>
          <w:bCs/>
          <w:lang w:val="en-US"/>
        </w:rPr>
        <w:t>Care Standards Act 2000</w:t>
      </w:r>
      <w:r w:rsidRPr="00F52112">
        <w:rPr>
          <w:lang w:val="en-US"/>
        </w:rPr>
        <w:t xml:space="preserve"> and the </w:t>
      </w:r>
      <w:r w:rsidRPr="00F52112">
        <w:rPr>
          <w:b/>
          <w:bCs/>
          <w:lang w:val="en-US"/>
        </w:rPr>
        <w:t>Health and Social Care Act 2008</w:t>
      </w:r>
      <w:r w:rsidRPr="00F52112">
        <w:rPr>
          <w:lang w:val="en-US"/>
        </w:rPr>
        <w:t xml:space="preserve"> gave birth to an independent regulator of care homes in England, the </w:t>
      </w:r>
      <w:r w:rsidRPr="00F52112">
        <w:rPr>
          <w:b/>
          <w:bCs/>
          <w:lang w:val="en-US"/>
        </w:rPr>
        <w:t>Care Quality Commission (CQC)</w:t>
      </w:r>
      <w:r w:rsidRPr="00F52112">
        <w:rPr>
          <w:lang w:val="en-US"/>
        </w:rPr>
        <w:t xml:space="preserve"> (CQC, 2015).</w:t>
      </w:r>
    </w:p>
    <w:p w14:paraId="0AA5B48F" w14:textId="716AA497" w:rsidR="002B603C" w:rsidRPr="00F52112" w:rsidRDefault="002B603C" w:rsidP="00F52112">
      <w:pPr>
        <w:rPr>
          <w:lang w:val="en-US"/>
        </w:rPr>
      </w:pPr>
      <w:r w:rsidRPr="00F52112">
        <w:rPr>
          <w:lang w:val="en-US"/>
        </w:rPr>
        <w:t xml:space="preserve">Today, </w:t>
      </w:r>
      <w:r w:rsidRPr="00F52112">
        <w:rPr>
          <w:b/>
          <w:bCs/>
          <w:lang w:val="en-US"/>
        </w:rPr>
        <w:t>residential care facilities</w:t>
      </w:r>
      <w:r w:rsidRPr="00F52112">
        <w:rPr>
          <w:lang w:val="en-US"/>
        </w:rPr>
        <w:t xml:space="preserve"> offer housing, food, personal care, and (in the case of nursing homes) </w:t>
      </w:r>
      <w:r w:rsidRPr="00F52112">
        <w:rPr>
          <w:b/>
          <w:bCs/>
          <w:lang w:val="en-US"/>
        </w:rPr>
        <w:t>clinical nursing care</w:t>
      </w:r>
      <w:r w:rsidRPr="00F52112">
        <w:rPr>
          <w:lang w:val="en-US"/>
        </w:rPr>
        <w:t xml:space="preserve"> for individuals who no longer can live safely in their own homes, primarily older people, but also adults with disabilities or mental health issues. Access is through a </w:t>
      </w:r>
      <w:r w:rsidRPr="00F52112">
        <w:rPr>
          <w:b/>
          <w:bCs/>
          <w:lang w:val="en-US"/>
        </w:rPr>
        <w:t>local authority care needs assessment</w:t>
      </w:r>
      <w:r w:rsidRPr="00F52112">
        <w:rPr>
          <w:lang w:val="en-US"/>
        </w:rPr>
        <w:t xml:space="preserve"> and funding can be from the local authority, NHS or the individual depending on their means and needs. The sector is regulated by the </w:t>
      </w:r>
      <w:r w:rsidRPr="00F52112">
        <w:rPr>
          <w:b/>
          <w:bCs/>
          <w:lang w:val="en-US"/>
        </w:rPr>
        <w:t>CQC</w:t>
      </w:r>
      <w:r w:rsidRPr="00F52112">
        <w:rPr>
          <w:lang w:val="en-US"/>
        </w:rPr>
        <w:t xml:space="preserve"> under the </w:t>
      </w:r>
      <w:r w:rsidRPr="00F52112">
        <w:rPr>
          <w:b/>
          <w:bCs/>
          <w:lang w:val="en-US"/>
        </w:rPr>
        <w:t>Health and Social Care Act 2008 (Regulated Activities) Regulations 2014</w:t>
      </w:r>
      <w:r w:rsidRPr="00F52112">
        <w:rPr>
          <w:lang w:val="en-US"/>
        </w:rPr>
        <w:t xml:space="preserve">, which lay out thirteen </w:t>
      </w:r>
      <w:r w:rsidRPr="00F52112">
        <w:rPr>
          <w:b/>
          <w:bCs/>
          <w:lang w:val="en-US"/>
        </w:rPr>
        <w:t>‘fundamental standards’</w:t>
      </w:r>
      <w:r w:rsidRPr="00F52112">
        <w:rPr>
          <w:lang w:val="en-US"/>
        </w:rPr>
        <w:t xml:space="preserve"> such as </w:t>
      </w:r>
      <w:r w:rsidRPr="00F52112">
        <w:rPr>
          <w:b/>
          <w:bCs/>
          <w:lang w:val="en-US"/>
        </w:rPr>
        <w:t>person-centred care</w:t>
      </w:r>
      <w:r w:rsidRPr="00F52112">
        <w:rPr>
          <w:lang w:val="en-US"/>
        </w:rPr>
        <w:t xml:space="preserve">, dignity </w:t>
      </w:r>
      <w:r w:rsidRPr="00F52112">
        <w:rPr>
          <w:lang w:val="en-US"/>
        </w:rPr>
        <w:lastRenderedPageBreak/>
        <w:t xml:space="preserve">and respect, consent, safe care and treatment and safeguarding, amongst others and which if not met are subject to action by the CQC (CQC, 2015). Each regulated home is assessed using a four-point system, </w:t>
      </w:r>
      <w:r w:rsidRPr="00F52112">
        <w:rPr>
          <w:b/>
          <w:bCs/>
          <w:lang w:val="en-US"/>
        </w:rPr>
        <w:t>Inadequate</w:t>
      </w:r>
      <w:r w:rsidRPr="00F52112">
        <w:rPr>
          <w:lang w:val="en-US"/>
        </w:rPr>
        <w:t xml:space="preserve">, </w:t>
      </w:r>
      <w:r w:rsidRPr="00F52112">
        <w:rPr>
          <w:b/>
          <w:bCs/>
          <w:lang w:val="en-US"/>
        </w:rPr>
        <w:t>Requires Improvement</w:t>
      </w:r>
      <w:r w:rsidRPr="00F52112">
        <w:rPr>
          <w:lang w:val="en-US"/>
        </w:rPr>
        <w:t xml:space="preserve">, </w:t>
      </w:r>
      <w:r w:rsidRPr="00F52112">
        <w:rPr>
          <w:b/>
          <w:bCs/>
          <w:lang w:val="en-US"/>
        </w:rPr>
        <w:t>Good</w:t>
      </w:r>
      <w:r w:rsidRPr="00F52112">
        <w:rPr>
          <w:lang w:val="en-US"/>
        </w:rPr>
        <w:t xml:space="preserve"> and </w:t>
      </w:r>
      <w:r w:rsidRPr="00F52112">
        <w:rPr>
          <w:b/>
          <w:bCs/>
          <w:lang w:val="en-US"/>
        </w:rPr>
        <w:t>Outstanding</w:t>
      </w:r>
      <w:r w:rsidRPr="00F52112">
        <w:rPr>
          <w:lang w:val="en-US"/>
        </w:rPr>
        <w:t>, after being inspected (CQC, n.d.).</w:t>
      </w:r>
    </w:p>
    <w:p w14:paraId="120C8F9E" w14:textId="780D5B85" w:rsidR="002B603C" w:rsidRPr="00F52112" w:rsidRDefault="002B603C" w:rsidP="00F52112">
      <w:pPr>
        <w:rPr>
          <w:lang w:val="en-US"/>
        </w:rPr>
      </w:pPr>
      <w:r w:rsidRPr="00F52112">
        <w:rPr>
          <w:lang w:val="en-US"/>
        </w:rPr>
        <w:t xml:space="preserve">The size of the sector is huge. The number of residents in care homes in England is 360,507, 85.8% of total care beds were occupied as of the week ending 16 February 2026, out of 94.3% of care home providers that responded to the national data collection (Department of Health and Social Care, 2026). The staff providing this care has continued to increase but </w:t>
      </w:r>
      <w:r w:rsidRPr="00F52112">
        <w:rPr>
          <w:b/>
          <w:bCs/>
          <w:lang w:val="en-US"/>
        </w:rPr>
        <w:t>recruitment</w:t>
      </w:r>
      <w:r w:rsidRPr="00F52112">
        <w:rPr>
          <w:lang w:val="en-US"/>
        </w:rPr>
        <w:t xml:space="preserve"> and </w:t>
      </w:r>
      <w:r w:rsidRPr="00F52112">
        <w:rPr>
          <w:b/>
          <w:bCs/>
          <w:lang w:val="en-US"/>
        </w:rPr>
        <w:t>retention</w:t>
      </w:r>
      <w:r w:rsidRPr="00F52112">
        <w:rPr>
          <w:lang w:val="en-US"/>
        </w:rPr>
        <w:t xml:space="preserve"> remain difficult: a survey by Department of Health and Social Care (2025) revealed that 66.7% of residential care settings found recruitment to be challenging and 53.9% found it difficult to keep staff, with </w:t>
      </w:r>
      <w:r w:rsidRPr="00F52112">
        <w:rPr>
          <w:b/>
          <w:bCs/>
          <w:lang w:val="en-US"/>
        </w:rPr>
        <w:t>low pay</w:t>
      </w:r>
      <w:r w:rsidRPr="00F52112">
        <w:rPr>
          <w:lang w:val="en-US"/>
        </w:rPr>
        <w:t xml:space="preserve"> compared to other sectors being the primary challenge.</w:t>
      </w:r>
    </w:p>
    <w:p w14:paraId="06EE66AF" w14:textId="57A9D079" w:rsidR="002B603C" w:rsidRPr="00F52112" w:rsidRDefault="002B603C" w:rsidP="00F52112">
      <w:pPr>
        <w:rPr>
          <w:lang w:val="en-US"/>
        </w:rPr>
      </w:pPr>
      <w:r w:rsidRPr="00F52112">
        <w:rPr>
          <w:b/>
          <w:bCs/>
          <w:lang w:val="en-US"/>
        </w:rPr>
        <w:t>Residential care homes</w:t>
      </w:r>
      <w:r w:rsidRPr="00F52112">
        <w:rPr>
          <w:lang w:val="en-US"/>
        </w:rPr>
        <w:t xml:space="preserve"> have a significant role to play in </w:t>
      </w:r>
      <w:r w:rsidRPr="00F52112">
        <w:rPr>
          <w:b/>
          <w:bCs/>
          <w:lang w:val="en-US"/>
        </w:rPr>
        <w:t>safeguarding</w:t>
      </w:r>
      <w:r w:rsidRPr="00F52112">
        <w:rPr>
          <w:lang w:val="en-US"/>
        </w:rPr>
        <w:t xml:space="preserve"> and improving the </w:t>
      </w:r>
      <w:r w:rsidRPr="00F52112">
        <w:rPr>
          <w:b/>
          <w:bCs/>
          <w:lang w:val="en-US"/>
        </w:rPr>
        <w:t>quality of life</w:t>
      </w:r>
      <w:r w:rsidRPr="00F52112">
        <w:rPr>
          <w:lang w:val="en-US"/>
        </w:rPr>
        <w:t xml:space="preserve"> of those receiving care. They have </w:t>
      </w:r>
      <w:r w:rsidRPr="00F52112">
        <w:rPr>
          <w:b/>
          <w:bCs/>
          <w:lang w:val="en-US"/>
        </w:rPr>
        <w:t>trained staff</w:t>
      </w:r>
      <w:r w:rsidRPr="00F52112">
        <w:rPr>
          <w:lang w:val="en-US"/>
        </w:rPr>
        <w:t xml:space="preserve">, who provide supervised accommodation, nursing care (if required) and continuity of support for people whose needs can no longer be met at home, thereby minimising risks of falling, malnutrition, and social isolation. The </w:t>
      </w:r>
      <w:r w:rsidRPr="00F52112">
        <w:rPr>
          <w:b/>
          <w:bCs/>
          <w:lang w:val="en-US"/>
        </w:rPr>
        <w:t>CQC's fundamental standards</w:t>
      </w:r>
      <w:r w:rsidRPr="00F52112">
        <w:rPr>
          <w:lang w:val="en-US"/>
        </w:rPr>
        <w:t xml:space="preserve"> are based on </w:t>
      </w:r>
      <w:r w:rsidRPr="00F52112">
        <w:rPr>
          <w:b/>
          <w:bCs/>
          <w:lang w:val="en-US"/>
        </w:rPr>
        <w:t>person-centred care</w:t>
      </w:r>
      <w:r w:rsidRPr="00F52112">
        <w:rPr>
          <w:lang w:val="en-US"/>
        </w:rPr>
        <w:t xml:space="preserve"> and protection from abuse and inappropriate treatment, instead of the old </w:t>
      </w:r>
      <w:r w:rsidRPr="00F52112">
        <w:rPr>
          <w:b/>
          <w:bCs/>
          <w:lang w:val="en-US"/>
        </w:rPr>
        <w:t>workhouse model</w:t>
      </w:r>
      <w:r w:rsidRPr="00F52112">
        <w:rPr>
          <w:lang w:val="en-US"/>
        </w:rPr>
        <w:t xml:space="preserve"> which put the interests of the institution at the heart of the provision (CQC, 2015). Meanwhile, as </w:t>
      </w:r>
      <w:r w:rsidRPr="00F52112">
        <w:rPr>
          <w:b/>
          <w:bCs/>
          <w:lang w:val="en-US"/>
        </w:rPr>
        <w:t>Townsend's</w:t>
      </w:r>
      <w:r w:rsidRPr="00F52112">
        <w:rPr>
          <w:lang w:val="en-US"/>
        </w:rPr>
        <w:t xml:space="preserve"> work in the 1950s demonstrated, the culture of the old </w:t>
      </w:r>
      <w:r w:rsidRPr="00F52112">
        <w:rPr>
          <w:b/>
          <w:bCs/>
          <w:lang w:val="en-US"/>
        </w:rPr>
        <w:t>Poor Law institutions</w:t>
      </w:r>
      <w:r w:rsidRPr="00F52112">
        <w:rPr>
          <w:lang w:val="en-US"/>
        </w:rPr>
        <w:t xml:space="preserve"> could ‘live on' in the guise of the supposedly modern </w:t>
      </w:r>
      <w:r w:rsidRPr="00F52112">
        <w:rPr>
          <w:b/>
          <w:bCs/>
          <w:lang w:val="en-US"/>
        </w:rPr>
        <w:t>care homes</w:t>
      </w:r>
      <w:r w:rsidRPr="00F52112">
        <w:rPr>
          <w:lang w:val="en-US"/>
        </w:rPr>
        <w:t xml:space="preserve"> without regulation and inspection (carehome.co.uk, 2025). The fact that there is still a spread in current </w:t>
      </w:r>
      <w:r w:rsidRPr="00F52112">
        <w:rPr>
          <w:b/>
          <w:bCs/>
          <w:lang w:val="en-US"/>
        </w:rPr>
        <w:t>CQC ratings</w:t>
      </w:r>
      <w:r w:rsidRPr="00F52112">
        <w:rPr>
          <w:lang w:val="en-US"/>
        </w:rPr>
        <w:t xml:space="preserve"> across the country demonstrates that achieving consistently high quality, </w:t>
      </w:r>
      <w:r w:rsidRPr="00F52112">
        <w:rPr>
          <w:b/>
          <w:bCs/>
          <w:lang w:val="en-US"/>
        </w:rPr>
        <w:t>life-enhancing care</w:t>
      </w:r>
      <w:r w:rsidRPr="00F52112">
        <w:rPr>
          <w:lang w:val="en-US"/>
        </w:rPr>
        <w:t xml:space="preserve"> is an ongoing challenge for the sector and is related to the pressures on </w:t>
      </w:r>
      <w:r w:rsidRPr="00F52112">
        <w:rPr>
          <w:b/>
          <w:bCs/>
          <w:lang w:val="en-US"/>
        </w:rPr>
        <w:t>staffing</w:t>
      </w:r>
      <w:r w:rsidRPr="00F52112">
        <w:rPr>
          <w:lang w:val="en-US"/>
        </w:rPr>
        <w:t xml:space="preserve"> and </w:t>
      </w:r>
      <w:r w:rsidRPr="00F52112">
        <w:rPr>
          <w:b/>
          <w:bCs/>
          <w:lang w:val="en-US"/>
        </w:rPr>
        <w:t>funding</w:t>
      </w:r>
      <w:r w:rsidRPr="00F52112">
        <w:rPr>
          <w:lang w:val="en-US"/>
        </w:rPr>
        <w:t xml:space="preserve"> mentioned above.</w:t>
      </w:r>
    </w:p>
    <w:p w14:paraId="02E60997" w14:textId="77777777" w:rsidR="002B603C" w:rsidRPr="00F52112" w:rsidRDefault="002B603C" w:rsidP="00F52112">
      <w:pPr>
        <w:rPr>
          <w:lang w:val="en-US"/>
        </w:rPr>
      </w:pPr>
      <w:r w:rsidRPr="00F52112">
        <w:rPr>
          <w:lang w:val="en-US"/>
        </w:rPr>
        <w:t xml:space="preserve">The </w:t>
      </w:r>
      <w:r w:rsidRPr="00F52112">
        <w:rPr>
          <w:b/>
          <w:bCs/>
          <w:lang w:val="en-US"/>
        </w:rPr>
        <w:t>residential care home</w:t>
      </w:r>
      <w:r w:rsidRPr="00F52112">
        <w:rPr>
          <w:lang w:val="en-US"/>
        </w:rPr>
        <w:t xml:space="preserve"> has evolved from the old </w:t>
      </w:r>
      <w:r w:rsidRPr="00F52112">
        <w:rPr>
          <w:b/>
          <w:bCs/>
          <w:lang w:val="en-US"/>
        </w:rPr>
        <w:t>workhouse system</w:t>
      </w:r>
      <w:r w:rsidRPr="00F52112">
        <w:rPr>
          <w:lang w:val="en-US"/>
        </w:rPr>
        <w:t xml:space="preserve"> of the </w:t>
      </w:r>
      <w:r w:rsidRPr="00F52112">
        <w:rPr>
          <w:b/>
          <w:bCs/>
          <w:lang w:val="en-US"/>
        </w:rPr>
        <w:t>Poor Law</w:t>
      </w:r>
      <w:r w:rsidRPr="00F52112">
        <w:rPr>
          <w:lang w:val="en-US"/>
        </w:rPr>
        <w:t xml:space="preserve">, which was punitive in nature and targeted at poor people, into a professionally </w:t>
      </w:r>
      <w:r w:rsidRPr="00F52112">
        <w:rPr>
          <w:b/>
          <w:bCs/>
          <w:lang w:val="en-US"/>
        </w:rPr>
        <w:t>regulated service</w:t>
      </w:r>
      <w:r w:rsidRPr="00F52112">
        <w:rPr>
          <w:lang w:val="en-US"/>
        </w:rPr>
        <w:t xml:space="preserve"> that is influenced by the </w:t>
      </w:r>
      <w:r w:rsidRPr="00F52112">
        <w:rPr>
          <w:b/>
          <w:bCs/>
          <w:lang w:val="en-US"/>
        </w:rPr>
        <w:t>National Assistance Act 1948</w:t>
      </w:r>
      <w:r w:rsidRPr="00F52112">
        <w:rPr>
          <w:lang w:val="en-US"/>
        </w:rPr>
        <w:t xml:space="preserve"> and subsequently the </w:t>
      </w:r>
      <w:r w:rsidRPr="00F52112">
        <w:rPr>
          <w:b/>
          <w:bCs/>
          <w:lang w:val="en-US"/>
        </w:rPr>
        <w:t>Care Quality Commission</w:t>
      </w:r>
      <w:r w:rsidRPr="00F52112">
        <w:rPr>
          <w:lang w:val="en-US"/>
        </w:rPr>
        <w:t xml:space="preserve">. Although it is now regulated to a high standard which is designed to safeguard </w:t>
      </w:r>
      <w:r w:rsidRPr="00F52112">
        <w:rPr>
          <w:b/>
          <w:bCs/>
          <w:lang w:val="en-US"/>
        </w:rPr>
        <w:t>dignity</w:t>
      </w:r>
      <w:r w:rsidRPr="00F52112">
        <w:rPr>
          <w:lang w:val="en-US"/>
        </w:rPr>
        <w:t xml:space="preserve"> and </w:t>
      </w:r>
      <w:r w:rsidRPr="00F52112">
        <w:rPr>
          <w:b/>
          <w:bCs/>
          <w:lang w:val="en-US"/>
        </w:rPr>
        <w:t>safety</w:t>
      </w:r>
      <w:r w:rsidRPr="00F52112">
        <w:rPr>
          <w:lang w:val="en-US"/>
        </w:rPr>
        <w:t xml:space="preserve">, there are still </w:t>
      </w:r>
      <w:r w:rsidRPr="00F52112">
        <w:rPr>
          <w:b/>
          <w:bCs/>
          <w:lang w:val="en-US"/>
        </w:rPr>
        <w:t>workforce</w:t>
      </w:r>
      <w:r w:rsidRPr="00F52112">
        <w:rPr>
          <w:lang w:val="en-US"/>
        </w:rPr>
        <w:t xml:space="preserve"> and </w:t>
      </w:r>
      <w:r w:rsidRPr="00F52112">
        <w:rPr>
          <w:b/>
          <w:bCs/>
          <w:lang w:val="en-US"/>
        </w:rPr>
        <w:t>funding pressures</w:t>
      </w:r>
      <w:r w:rsidRPr="00F52112">
        <w:rPr>
          <w:lang w:val="en-US"/>
        </w:rPr>
        <w:t xml:space="preserve"> which impact on the consistency with which these standards are met – the sector's historical challenge to ensure provision of </w:t>
      </w:r>
      <w:r w:rsidRPr="00F52112">
        <w:rPr>
          <w:b/>
          <w:bCs/>
          <w:lang w:val="en-US"/>
        </w:rPr>
        <w:t>good quality, person-centred care</w:t>
      </w:r>
      <w:r w:rsidRPr="00F52112">
        <w:rPr>
          <w:lang w:val="en-US"/>
        </w:rPr>
        <w:t xml:space="preserve"> for all people is, in some very important respects, yet to be resolved.</w:t>
      </w:r>
    </w:p>
    <w:p w14:paraId="54F82C05" w14:textId="34825E52" w:rsidR="0009767F" w:rsidRPr="00F52112" w:rsidRDefault="0009767F" w:rsidP="00F52112">
      <w:pPr>
        <w:sectPr w:rsidR="0009767F" w:rsidRPr="00F52112">
          <w:footerReference w:type="default" r:id="rId15"/>
          <w:pgSz w:w="11906" w:h="16838"/>
          <w:pgMar w:top="1440" w:right="1440" w:bottom="1440" w:left="1440" w:header="708" w:footer="708" w:gutter="0"/>
          <w:cols w:space="720"/>
          <w:docGrid w:linePitch="360"/>
        </w:sectPr>
      </w:pPr>
    </w:p>
    <w:p w14:paraId="4FBD9F19" w14:textId="77777777" w:rsidR="0009767F" w:rsidRPr="00F52112" w:rsidRDefault="007950F2" w:rsidP="00F52112">
      <w:pPr>
        <w:pStyle w:val="Heading1"/>
      </w:pPr>
      <w:bookmarkStart w:id="3" w:name="_Toc235293969"/>
      <w:r w:rsidRPr="00F52112">
        <w:lastRenderedPageBreak/>
        <w:t>REFERENCES</w:t>
      </w:r>
      <w:bookmarkEnd w:id="3"/>
    </w:p>
    <w:p w14:paraId="388D5D0C" w14:textId="412AE604" w:rsidR="0009767F" w:rsidRPr="00F52112" w:rsidRDefault="007950F2" w:rsidP="00F52112">
      <w:pPr>
        <w:pStyle w:val="ListParagraph"/>
        <w:numPr>
          <w:ilvl w:val="0"/>
          <w:numId w:val="2"/>
        </w:numPr>
      </w:pPr>
      <w:r w:rsidRPr="00F52112">
        <w:t>Anderson, S. (</w:t>
      </w:r>
      <w:r w:rsidR="00A82CA1" w:rsidRPr="00F52112">
        <w:t xml:space="preserve">2007) </w:t>
      </w:r>
      <w:r w:rsidRPr="00F52112">
        <w:t>Community pharmacy and public health in Great Britain, 1936 to 2006: how a phoenix rose from the as</w:t>
      </w:r>
      <w:r w:rsidRPr="00F52112">
        <w:t>hes’, Journal of Epidemiology &amp; Community Health. Available at: https://pmc.ncbi.nlm.nih.gov/articles/PMC2652958/ (Accessed: 17 July 2026).</w:t>
      </w:r>
    </w:p>
    <w:p w14:paraId="22375C78" w14:textId="77777777" w:rsidR="0009767F" w:rsidRPr="00F52112" w:rsidRDefault="007950F2" w:rsidP="00F52112">
      <w:pPr>
        <w:pStyle w:val="ListParagraph"/>
        <w:numPr>
          <w:ilvl w:val="0"/>
          <w:numId w:val="2"/>
        </w:numPr>
      </w:pPr>
      <w:r w:rsidRPr="00F52112">
        <w:t>British Geriatrics Society (2015) The elderly and the workhouse. Available at: https://www.bgs.org.uk/resources/the-</w:t>
      </w:r>
      <w:r w:rsidRPr="00F52112">
        <w:t>elderly-and-the-workhouse (Accessed: 17 July 2026).</w:t>
      </w:r>
    </w:p>
    <w:p w14:paraId="40E32988" w14:textId="77777777" w:rsidR="0009767F" w:rsidRPr="00F52112" w:rsidRDefault="007950F2" w:rsidP="00F52112">
      <w:pPr>
        <w:pStyle w:val="ListParagraph"/>
        <w:numPr>
          <w:ilvl w:val="0"/>
          <w:numId w:val="2"/>
        </w:numPr>
      </w:pPr>
      <w:r w:rsidRPr="00F52112">
        <w:t>carehome.co.uk (2025) A history of care homes. Available at: https://www.carehome.co.uk/advice/a-history-of-care-homes (Accessed: 17 July 2026).</w:t>
      </w:r>
    </w:p>
    <w:p w14:paraId="65BD1A40" w14:textId="77777777" w:rsidR="0009767F" w:rsidRPr="00F52112" w:rsidRDefault="007950F2" w:rsidP="00F52112">
      <w:pPr>
        <w:pStyle w:val="ListParagraph"/>
        <w:numPr>
          <w:ilvl w:val="0"/>
          <w:numId w:val="2"/>
        </w:numPr>
      </w:pPr>
      <w:r w:rsidRPr="00F52112">
        <w:t>Care Quality Commission (2015) The Health and Social Care A</w:t>
      </w:r>
      <w:r w:rsidRPr="00F52112">
        <w:t>ct 2008 (Regulated Activities) Regulations 2014 (Part 3): Guidance for providers on meeting the regulations. Available at: https://www.cqc.org.uk/sites/default/files/20150324_guidance_providers_meeting_regulations_01.pdf (Accessed: 17 July 2026).</w:t>
      </w:r>
    </w:p>
    <w:p w14:paraId="22A4ECE8" w14:textId="77777777" w:rsidR="0009767F" w:rsidRPr="00F52112" w:rsidRDefault="007950F2" w:rsidP="00F52112">
      <w:pPr>
        <w:pStyle w:val="ListParagraph"/>
        <w:numPr>
          <w:ilvl w:val="0"/>
          <w:numId w:val="2"/>
        </w:numPr>
      </w:pPr>
      <w:r w:rsidRPr="00F52112">
        <w:t>Care Qual</w:t>
      </w:r>
      <w:r w:rsidRPr="00F52112">
        <w:t>ity Commission (n.d.) Care Quality Commission. Available at: https://www.cqc.org.uk/ (Accessed: 17 July 2026).</w:t>
      </w:r>
    </w:p>
    <w:p w14:paraId="2C214A16" w14:textId="60D6B168" w:rsidR="0009767F" w:rsidRPr="00F52112" w:rsidRDefault="007950F2" w:rsidP="00F52112">
      <w:pPr>
        <w:pStyle w:val="ListParagraph"/>
        <w:numPr>
          <w:ilvl w:val="0"/>
          <w:numId w:val="2"/>
        </w:numPr>
      </w:pPr>
      <w:r w:rsidRPr="00F52112">
        <w:t xml:space="preserve">Community Pharmacy England (2024) Nearly </w:t>
      </w:r>
      <w:r w:rsidR="00A82CA1" w:rsidRPr="00F52112">
        <w:t>sixth</w:t>
      </w:r>
      <w:r w:rsidRPr="00F52112">
        <w:t xml:space="preserve"> of pharmacies could close within a year, Pressures Survey indicates. Available at: https://cpe.org</w:t>
      </w:r>
      <w:r w:rsidRPr="00F52112">
        <w:t>.uk/our-news/nearly-a-sixth-of-pharmacies-could-close-within-a-year-pressures-survey-indicates/ (Accessed: 17 July 2026).</w:t>
      </w:r>
    </w:p>
    <w:p w14:paraId="1424049D" w14:textId="77777777" w:rsidR="0009767F" w:rsidRPr="00F52112" w:rsidRDefault="007950F2" w:rsidP="00F52112">
      <w:pPr>
        <w:pStyle w:val="ListParagraph"/>
        <w:numPr>
          <w:ilvl w:val="0"/>
          <w:numId w:val="2"/>
        </w:numPr>
      </w:pPr>
      <w:r w:rsidRPr="00F52112">
        <w:t>Department of Health and Social Care (2025) Adult social care workforce survey: April 2025 report. Available at: https://www.gov.uk/go</w:t>
      </w:r>
      <w:r w:rsidRPr="00F52112">
        <w:t>vernment/statistics/adult-social-care-workforce-survey-april-2025/adult-social-care-workforce-survey-april-2025-report (Accessed: 17 July 2026).</w:t>
      </w:r>
    </w:p>
    <w:p w14:paraId="44D1AD9D" w14:textId="77777777" w:rsidR="0009767F" w:rsidRPr="00F52112" w:rsidRDefault="007950F2" w:rsidP="00F52112">
      <w:pPr>
        <w:pStyle w:val="ListParagraph"/>
        <w:numPr>
          <w:ilvl w:val="0"/>
          <w:numId w:val="2"/>
        </w:numPr>
      </w:pPr>
      <w:r w:rsidRPr="00F52112">
        <w:t>Department of Health and Social Care (2026) Adult social care provider statistics, England: quarterly update to</w:t>
      </w:r>
      <w:r w:rsidRPr="00F52112">
        <w:t xml:space="preserve"> February 2026. Available at: https://www.gov.uk/government/statistics/adult-social-care-provider-statistics-england-quarterly-update-to-february-2026/adult-social-care-provider-statistics-england-quarterly-update-to-february-2026 (Accessed: 17 July 2026).</w:t>
      </w:r>
    </w:p>
    <w:p w14:paraId="3AFE2AD0" w14:textId="77777777" w:rsidR="0009767F" w:rsidRPr="00F52112" w:rsidRDefault="007950F2" w:rsidP="00F52112">
      <w:pPr>
        <w:pStyle w:val="ListParagraph"/>
        <w:numPr>
          <w:ilvl w:val="0"/>
          <w:numId w:val="2"/>
        </w:numPr>
      </w:pPr>
      <w:r w:rsidRPr="00F52112">
        <w:t>Goatacre Manor Care Center (2022) The history of care homes. Available at: https://goatacre.com/the-history-of-care-homes/ (Accessed: 17 July 2026).</w:t>
      </w:r>
    </w:p>
    <w:p w14:paraId="43BD520B" w14:textId="77777777" w:rsidR="0009767F" w:rsidRPr="00F52112" w:rsidRDefault="007950F2" w:rsidP="00F52112">
      <w:pPr>
        <w:pStyle w:val="ListParagraph"/>
        <w:numPr>
          <w:ilvl w:val="0"/>
          <w:numId w:val="2"/>
        </w:numPr>
      </w:pPr>
      <w:r w:rsidRPr="00F52112">
        <w:t>Healthcare Management (2025) Pharmacy closures in 2024 second highest on record. Available at: https://www</w:t>
      </w:r>
      <w:r w:rsidRPr="00F52112">
        <w:t>.healthcare-management.uk/pharmacy-closures-2024-record (Accessed: 17 July 2026).</w:t>
      </w:r>
    </w:p>
    <w:p w14:paraId="510139BA" w14:textId="77777777" w:rsidR="0009767F" w:rsidRPr="00F52112" w:rsidRDefault="007950F2" w:rsidP="00F52112">
      <w:pPr>
        <w:pStyle w:val="ListParagraph"/>
        <w:numPr>
          <w:ilvl w:val="0"/>
          <w:numId w:val="2"/>
        </w:numPr>
      </w:pPr>
      <w:r w:rsidRPr="00F52112">
        <w:lastRenderedPageBreak/>
        <w:t>Healthwatch (2024) Temporary closures add to crisis in community pharmacies. Available at: https://www.healthwatch.co.uk/news/2024-09-26/temporary-closures-add-crisis-communi</w:t>
      </w:r>
      <w:r w:rsidRPr="00F52112">
        <w:t>ty-pharmacies (Accessed: 17 July 2026).</w:t>
      </w:r>
    </w:p>
    <w:p w14:paraId="37106438" w14:textId="77777777" w:rsidR="0009767F" w:rsidRPr="00F52112" w:rsidRDefault="007950F2" w:rsidP="00F52112">
      <w:pPr>
        <w:pStyle w:val="ListParagraph"/>
        <w:numPr>
          <w:ilvl w:val="0"/>
          <w:numId w:val="2"/>
        </w:numPr>
      </w:pPr>
      <w:r w:rsidRPr="00F52112">
        <w:t>Historic UK (2023) The Victorian workhouse. Available at: https://www.historic-uk.com/HistoryUK/HistoryofBritain/Victorian-Workhouse/ (Accessed: 17 July 2026).</w:t>
      </w:r>
    </w:p>
    <w:p w14:paraId="0AE19569" w14:textId="77777777" w:rsidR="0009767F" w:rsidRPr="00F52112" w:rsidRDefault="007950F2" w:rsidP="00F52112">
      <w:pPr>
        <w:pStyle w:val="ListParagraph"/>
        <w:numPr>
          <w:ilvl w:val="0"/>
          <w:numId w:val="2"/>
        </w:numPr>
      </w:pPr>
      <w:r w:rsidRPr="00F52112">
        <w:t>House of Commons Library (2026) Community pharmacy in En</w:t>
      </w:r>
      <w:r w:rsidRPr="00F52112">
        <w:t>gland. Available at: https://commonslibrary.parliament.uk/research-briefings/cbp-9854/ (Accessed: 17 July 2026).</w:t>
      </w:r>
    </w:p>
    <w:p w14:paraId="0B2D8130" w14:textId="77777777" w:rsidR="0009767F" w:rsidRPr="00F52112" w:rsidRDefault="007950F2" w:rsidP="00F52112">
      <w:pPr>
        <w:pStyle w:val="ListParagraph"/>
        <w:numPr>
          <w:ilvl w:val="0"/>
          <w:numId w:val="2"/>
        </w:numPr>
      </w:pPr>
      <w:r w:rsidRPr="00F52112">
        <w:t xml:space="preserve">NHS England (2024) Pharmacy First. Available at: https://www.england.nhs.uk/primary-care/pharmacy/pharmacy-services/pharmacy-first/ (Accessed: </w:t>
      </w:r>
      <w:r w:rsidRPr="00F52112">
        <w:t>17 July 2026).</w:t>
      </w:r>
    </w:p>
    <w:p w14:paraId="6BC1D013" w14:textId="77777777" w:rsidR="0009767F" w:rsidRPr="00F52112" w:rsidRDefault="007950F2" w:rsidP="00F52112">
      <w:pPr>
        <w:pStyle w:val="ListParagraph"/>
        <w:numPr>
          <w:ilvl w:val="0"/>
          <w:numId w:val="2"/>
        </w:numPr>
      </w:pPr>
      <w:r w:rsidRPr="00F52112">
        <w:t>Policy Navigator (2023) The National Assistance Act 1948. Available at: https://navigator.health.org.uk/theme/national-assistance-act-1948 (Accessed: 17 July 2026).</w:t>
      </w:r>
    </w:p>
    <w:sectPr w:rsidR="0009767F" w:rsidRPr="00F52112">
      <w:footerReference w:type="default" r:id="rId1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7D7BDA" w14:textId="77777777" w:rsidR="007950F2" w:rsidRDefault="007950F2">
      <w:pPr>
        <w:spacing w:line="240" w:lineRule="auto"/>
      </w:pPr>
      <w:r>
        <w:separator/>
      </w:r>
    </w:p>
  </w:endnote>
  <w:endnote w:type="continuationSeparator" w:id="0">
    <w:p w14:paraId="36AC6C48" w14:textId="77777777" w:rsidR="007950F2" w:rsidRDefault="007950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ptos">
    <w:altName w:val="Arial"/>
    <w:charset w:val="00"/>
    <w:family w:val="swiss"/>
    <w:pitch w:val="variable"/>
    <w:sig w:usb0="00000001"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18D947" w14:textId="77777777" w:rsidR="00343600" w:rsidRDefault="0034360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628DC5" w14:textId="77777777" w:rsidR="0009767F" w:rsidRDefault="007950F2">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612EE6">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612EE6">
      <w:rPr>
        <w:noProof/>
        <w:sz w:val="18"/>
        <w:szCs w:val="18"/>
      </w:rPr>
      <w:t>8</w:t>
    </w:r>
    <w:r>
      <w:rPr>
        <w:sz w:val="18"/>
        <w:szCs w:val="18"/>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24EF25" w14:textId="77777777" w:rsidR="00343600" w:rsidRDefault="0034360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61D91B" w14:textId="4DC3A17E" w:rsidR="0009767F" w:rsidRDefault="007950F2">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612EE6">
      <w:rPr>
        <w:noProof/>
        <w:sz w:val="18"/>
        <w:szCs w:val="18"/>
      </w:rPr>
      <w:t>4</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612EE6">
      <w:rPr>
        <w:noProof/>
        <w:sz w:val="18"/>
        <w:szCs w:val="18"/>
      </w:rPr>
      <w:t>8</w:t>
    </w:r>
    <w:r>
      <w:rPr>
        <w:sz w:val="18"/>
        <w:szCs w:val="18"/>
      </w:rP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997E16" w14:textId="4A7B8753" w:rsidR="0009767F" w:rsidRDefault="007950F2">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612EE6">
      <w:rPr>
        <w:noProof/>
        <w:sz w:val="18"/>
        <w:szCs w:val="18"/>
      </w:rPr>
      <w:t>6</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612EE6">
      <w:rPr>
        <w:noProof/>
        <w:sz w:val="18"/>
        <w:szCs w:val="18"/>
      </w:rPr>
      <w:t>8</w:t>
    </w:r>
    <w:r>
      <w:rPr>
        <w:sz w:val="18"/>
        <w:szCs w:val="18"/>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056ACD" w14:textId="77777777" w:rsidR="007950F2" w:rsidRDefault="007950F2">
      <w:pPr>
        <w:spacing w:line="240" w:lineRule="auto"/>
      </w:pPr>
      <w:r>
        <w:separator/>
      </w:r>
    </w:p>
  </w:footnote>
  <w:footnote w:type="continuationSeparator" w:id="0">
    <w:p w14:paraId="3A0A2A88" w14:textId="77777777" w:rsidR="007950F2" w:rsidRDefault="007950F2">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917921" w14:textId="77777777" w:rsidR="00343600" w:rsidRDefault="0034360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86E50B" w14:textId="52111CAB" w:rsidR="00F52112" w:rsidRDefault="00F52112" w:rsidP="00F52112">
    <w:pPr>
      <w:pStyle w:val="Header"/>
      <w:tabs>
        <w:tab w:val="clear" w:pos="4680"/>
        <w:tab w:val="clear" w:pos="9360"/>
        <w:tab w:val="left" w:pos="13995"/>
      </w:tabs>
    </w:pPr>
    <w:r>
      <w:rPr>
        <w:noProof/>
        <w:lang w:eastAsia="en-GB"/>
      </w:rPr>
      <w:drawing>
        <wp:anchor distT="0" distB="0" distL="114300" distR="114300" simplePos="0" relativeHeight="251658240" behindDoc="0" locked="0" layoutInCell="1" allowOverlap="1" wp14:anchorId="6E9F55A6" wp14:editId="1B097B12">
          <wp:simplePos x="0" y="0"/>
          <wp:positionH relativeFrom="margin">
            <wp:align>right</wp:align>
          </wp:positionH>
          <wp:positionV relativeFrom="paragraph">
            <wp:posOffset>131445</wp:posOffset>
          </wp:positionV>
          <wp:extent cx="2181225" cy="436245"/>
          <wp:effectExtent l="0" t="0" r="9525" b="1905"/>
          <wp:wrapNone/>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1225" cy="436245"/>
                  </a:xfrm>
                  <a:prstGeom prst="rect">
                    <a:avLst/>
                  </a:prstGeom>
                  <a:noFill/>
                  <a:ln>
                    <a:noFill/>
                  </a:ln>
                </pic:spPr>
              </pic:pic>
            </a:graphicData>
          </a:graphic>
          <wp14:sizeRelH relativeFrom="page">
            <wp14:pctWidth>0</wp14:pctWidth>
          </wp14:sizeRelH>
          <wp14:sizeRelV relativeFrom="page">
            <wp14:pctHeight>0</wp14:pctHeight>
          </wp14:sizeRelV>
        </wp:anchor>
      </w:drawing>
    </w:r>
    <w:r>
      <w:tab/>
    </w:r>
    <w:bookmarkStart w:id="0" w:name="_GoBack"/>
    <w:bookmarkEnd w:id="0"/>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FC5BB0" w14:textId="77777777" w:rsidR="00343600" w:rsidRDefault="0034360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825B91"/>
    <w:multiLevelType w:val="hybridMultilevel"/>
    <w:tmpl w:val="4C76B1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9CD6742"/>
    <w:multiLevelType w:val="hybridMultilevel"/>
    <w:tmpl w:val="3B2A3E6E"/>
    <w:lvl w:ilvl="0" w:tplc="5F86FC1A">
      <w:start w:val="1"/>
      <w:numFmt w:val="bullet"/>
      <w:lvlText w:val="●"/>
      <w:lvlJc w:val="left"/>
      <w:pPr>
        <w:ind w:left="720" w:hanging="360"/>
      </w:pPr>
    </w:lvl>
    <w:lvl w:ilvl="1" w:tplc="3CA4AF32">
      <w:start w:val="1"/>
      <w:numFmt w:val="bullet"/>
      <w:lvlText w:val="○"/>
      <w:lvlJc w:val="left"/>
      <w:pPr>
        <w:ind w:left="1440" w:hanging="360"/>
      </w:pPr>
    </w:lvl>
    <w:lvl w:ilvl="2" w:tplc="A8AC69EA">
      <w:start w:val="1"/>
      <w:numFmt w:val="bullet"/>
      <w:lvlText w:val="■"/>
      <w:lvlJc w:val="left"/>
      <w:pPr>
        <w:ind w:left="2160" w:hanging="360"/>
      </w:pPr>
    </w:lvl>
    <w:lvl w:ilvl="3" w:tplc="CBE809D2">
      <w:start w:val="1"/>
      <w:numFmt w:val="bullet"/>
      <w:lvlText w:val="●"/>
      <w:lvlJc w:val="left"/>
      <w:pPr>
        <w:ind w:left="2880" w:hanging="360"/>
      </w:pPr>
    </w:lvl>
    <w:lvl w:ilvl="4" w:tplc="41EEA3C8">
      <w:start w:val="1"/>
      <w:numFmt w:val="bullet"/>
      <w:lvlText w:val="○"/>
      <w:lvlJc w:val="left"/>
      <w:pPr>
        <w:ind w:left="3600" w:hanging="360"/>
      </w:pPr>
    </w:lvl>
    <w:lvl w:ilvl="5" w:tplc="D4C42320">
      <w:start w:val="1"/>
      <w:numFmt w:val="bullet"/>
      <w:lvlText w:val="■"/>
      <w:lvlJc w:val="left"/>
      <w:pPr>
        <w:ind w:left="4320" w:hanging="360"/>
      </w:pPr>
    </w:lvl>
    <w:lvl w:ilvl="6" w:tplc="EFF639DA">
      <w:start w:val="1"/>
      <w:numFmt w:val="bullet"/>
      <w:lvlText w:val="●"/>
      <w:lvlJc w:val="left"/>
      <w:pPr>
        <w:ind w:left="5040" w:hanging="360"/>
      </w:pPr>
    </w:lvl>
    <w:lvl w:ilvl="7" w:tplc="C26C1E6E">
      <w:start w:val="1"/>
      <w:numFmt w:val="bullet"/>
      <w:lvlText w:val="●"/>
      <w:lvlJc w:val="left"/>
      <w:pPr>
        <w:ind w:left="5760" w:hanging="360"/>
      </w:pPr>
    </w:lvl>
    <w:lvl w:ilvl="8" w:tplc="E6749FEC">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67F"/>
    <w:rsid w:val="0009767F"/>
    <w:rsid w:val="001B497C"/>
    <w:rsid w:val="0027551D"/>
    <w:rsid w:val="002B603C"/>
    <w:rsid w:val="00343600"/>
    <w:rsid w:val="00406680"/>
    <w:rsid w:val="004322D5"/>
    <w:rsid w:val="004A5727"/>
    <w:rsid w:val="00612EE6"/>
    <w:rsid w:val="007950F2"/>
    <w:rsid w:val="009E680D"/>
    <w:rsid w:val="00A74B65"/>
    <w:rsid w:val="00A82CA1"/>
    <w:rsid w:val="00E16431"/>
    <w:rsid w:val="00EA7911"/>
    <w:rsid w:val="00F52112"/>
    <w:rsid w:val="00FF61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633C47"/>
  <w15:docId w15:val="{496F28CF-897F-41B3-A894-E9BF73F42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22D5"/>
    <w:pPr>
      <w:spacing w:line="360" w:lineRule="auto"/>
      <w:jc w:val="both"/>
    </w:pPr>
    <w:rPr>
      <w:lang w:val="en-GB"/>
    </w:rPr>
  </w:style>
  <w:style w:type="paragraph" w:styleId="Heading1">
    <w:name w:val="heading 1"/>
    <w:uiPriority w:val="9"/>
    <w:qFormat/>
    <w:rsid w:val="004322D5"/>
    <w:pPr>
      <w:outlineLvl w:val="0"/>
    </w:pPr>
    <w:rPr>
      <w:b/>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rsid w:val="0027551D"/>
    <w:pPr>
      <w:spacing w:line="360" w:lineRule="auto"/>
      <w:jc w:val="both"/>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EA7911"/>
    <w:pPr>
      <w:keepNext/>
      <w:keepLines/>
      <w:spacing w:before="240" w:line="259" w:lineRule="auto"/>
      <w:outlineLvl w:val="9"/>
    </w:pPr>
    <w:rPr>
      <w:rFonts w:asciiTheme="majorHAnsi" w:eastAsiaTheme="majorEastAsia" w:hAnsiTheme="majorHAnsi" w:cstheme="majorBidi"/>
      <w:b w:val="0"/>
      <w:color w:val="0F4761" w:themeColor="accent1" w:themeShade="BF"/>
    </w:rPr>
  </w:style>
  <w:style w:type="paragraph" w:styleId="TOC1">
    <w:name w:val="toc 1"/>
    <w:basedOn w:val="Normal"/>
    <w:next w:val="Normal"/>
    <w:autoRedefine/>
    <w:uiPriority w:val="39"/>
    <w:unhideWhenUsed/>
    <w:rsid w:val="00EA7911"/>
    <w:pPr>
      <w:spacing w:after="100"/>
    </w:pPr>
  </w:style>
  <w:style w:type="paragraph" w:styleId="Header">
    <w:name w:val="header"/>
    <w:basedOn w:val="Normal"/>
    <w:link w:val="HeaderChar"/>
    <w:uiPriority w:val="99"/>
    <w:unhideWhenUsed/>
    <w:rsid w:val="00F52112"/>
    <w:pPr>
      <w:tabs>
        <w:tab w:val="center" w:pos="4680"/>
        <w:tab w:val="right" w:pos="9360"/>
      </w:tabs>
      <w:spacing w:line="240" w:lineRule="auto"/>
    </w:pPr>
  </w:style>
  <w:style w:type="character" w:customStyle="1" w:styleId="HeaderChar">
    <w:name w:val="Header Char"/>
    <w:basedOn w:val="DefaultParagraphFont"/>
    <w:link w:val="Header"/>
    <w:uiPriority w:val="99"/>
    <w:rsid w:val="00F52112"/>
    <w:rPr>
      <w:lang w:val="en-GB"/>
    </w:rPr>
  </w:style>
  <w:style w:type="paragraph" w:styleId="Footer">
    <w:name w:val="footer"/>
    <w:basedOn w:val="Normal"/>
    <w:link w:val="FooterChar"/>
    <w:uiPriority w:val="99"/>
    <w:unhideWhenUsed/>
    <w:rsid w:val="00F52112"/>
    <w:pPr>
      <w:tabs>
        <w:tab w:val="center" w:pos="4680"/>
        <w:tab w:val="right" w:pos="9360"/>
      </w:tabs>
      <w:spacing w:line="240" w:lineRule="auto"/>
    </w:pPr>
  </w:style>
  <w:style w:type="character" w:customStyle="1" w:styleId="FooterChar">
    <w:name w:val="Footer Char"/>
    <w:basedOn w:val="DefaultParagraphFont"/>
    <w:link w:val="Footer"/>
    <w:uiPriority w:val="99"/>
    <w:rsid w:val="00F5211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2A5AD-9634-4887-B53D-D0CFEB789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2654</Words>
  <Characters>15133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Dell</cp:lastModifiedBy>
  <cp:revision>2</cp:revision>
  <dcterms:created xsi:type="dcterms:W3CDTF">2026-07-20T12:46:00Z</dcterms:created>
  <dcterms:modified xsi:type="dcterms:W3CDTF">2026-07-20T12:46:00Z</dcterms:modified>
</cp:coreProperties>
</file>