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29003" w14:textId="683FC1C7" w:rsidR="009E3740" w:rsidRPr="009E3740" w:rsidRDefault="009E3740" w:rsidP="009E3740">
      <w:pPr>
        <w:jc w:val="center"/>
        <w:rPr>
          <w:b/>
          <w:bCs/>
          <w:i/>
          <w:iCs/>
          <w:sz w:val="52"/>
          <w:szCs w:val="52"/>
        </w:rPr>
      </w:pPr>
      <w:r w:rsidRPr="009E3740">
        <w:rPr>
          <w:b/>
          <w:bCs/>
          <w:i/>
          <w:iCs/>
          <w:sz w:val="52"/>
          <w:szCs w:val="52"/>
        </w:rPr>
        <w:t>Comparison of Mandarin Oriental Hotel Group and Premier Inn</w:t>
      </w:r>
    </w:p>
    <w:p w14:paraId="04F60876" w14:textId="77777777" w:rsidR="009E3740" w:rsidRDefault="009E3740" w:rsidP="009E3740">
      <w:pPr>
        <w:jc w:val="center"/>
        <w:rPr>
          <w:b/>
          <w:bCs/>
          <w:sz w:val="44"/>
          <w:szCs w:val="44"/>
        </w:rPr>
      </w:pPr>
    </w:p>
    <w:p w14:paraId="79453DD1" w14:textId="77777777" w:rsidR="009E3740" w:rsidRDefault="009E3740" w:rsidP="009E3740">
      <w:pPr>
        <w:jc w:val="center"/>
        <w:rPr>
          <w:b/>
          <w:bCs/>
          <w:sz w:val="44"/>
          <w:szCs w:val="44"/>
        </w:rPr>
      </w:pPr>
    </w:p>
    <w:p w14:paraId="67A36863" w14:textId="77777777" w:rsidR="009E3740" w:rsidRDefault="009E3740" w:rsidP="009E3740">
      <w:pPr>
        <w:jc w:val="center"/>
        <w:rPr>
          <w:b/>
          <w:bCs/>
          <w:sz w:val="44"/>
          <w:szCs w:val="44"/>
        </w:rPr>
      </w:pPr>
    </w:p>
    <w:p w14:paraId="2E9BC53B" w14:textId="77777777" w:rsidR="009E3740" w:rsidRDefault="009E3740" w:rsidP="009E3740">
      <w:pPr>
        <w:jc w:val="center"/>
        <w:rPr>
          <w:b/>
          <w:bCs/>
          <w:sz w:val="44"/>
          <w:szCs w:val="44"/>
        </w:rPr>
      </w:pPr>
    </w:p>
    <w:p w14:paraId="395755A5" w14:textId="77777777" w:rsidR="009E3740" w:rsidRDefault="009E3740" w:rsidP="009E3740">
      <w:pPr>
        <w:jc w:val="center"/>
        <w:rPr>
          <w:b/>
          <w:bCs/>
          <w:sz w:val="44"/>
          <w:szCs w:val="44"/>
        </w:rPr>
      </w:pPr>
    </w:p>
    <w:p w14:paraId="49060CD0" w14:textId="77777777" w:rsidR="009E3740" w:rsidRDefault="009E3740" w:rsidP="009E3740">
      <w:pPr>
        <w:jc w:val="center"/>
        <w:rPr>
          <w:b/>
          <w:bCs/>
          <w:sz w:val="44"/>
          <w:szCs w:val="44"/>
        </w:rPr>
      </w:pPr>
    </w:p>
    <w:p w14:paraId="45CC4310" w14:textId="05EA7F0F" w:rsidR="009E3740" w:rsidRDefault="009E3740" w:rsidP="009E3740">
      <w:pPr>
        <w:rPr>
          <w:b/>
          <w:bCs/>
          <w:sz w:val="32"/>
          <w:szCs w:val="32"/>
        </w:rPr>
      </w:pPr>
      <w:r>
        <w:rPr>
          <w:b/>
          <w:bCs/>
          <w:sz w:val="32"/>
          <w:szCs w:val="32"/>
        </w:rPr>
        <w:t>Student ID:  2125046</w:t>
      </w:r>
    </w:p>
    <w:p w14:paraId="2C6282AB" w14:textId="48778F0A" w:rsidR="009E3740" w:rsidRDefault="009E3740" w:rsidP="009E3740">
      <w:pPr>
        <w:rPr>
          <w:b/>
          <w:bCs/>
          <w:sz w:val="32"/>
          <w:szCs w:val="32"/>
        </w:rPr>
      </w:pPr>
      <w:r>
        <w:rPr>
          <w:b/>
          <w:bCs/>
          <w:sz w:val="32"/>
          <w:szCs w:val="32"/>
        </w:rPr>
        <w:t xml:space="preserve">Student Name: Adina Roxana Irimia </w:t>
      </w:r>
    </w:p>
    <w:p w14:paraId="561FE332" w14:textId="4C0D8DE7" w:rsidR="000C7B82" w:rsidRDefault="000C7B82" w:rsidP="009E3740">
      <w:pPr>
        <w:rPr>
          <w:b/>
          <w:bCs/>
          <w:sz w:val="32"/>
          <w:szCs w:val="32"/>
        </w:rPr>
      </w:pPr>
      <w:r w:rsidRPr="000C7B82">
        <w:rPr>
          <w:b/>
          <w:bCs/>
          <w:sz w:val="32"/>
          <w:szCs w:val="32"/>
        </w:rPr>
        <w:t>BMIH5007</w:t>
      </w:r>
    </w:p>
    <w:p w14:paraId="699C2B0B" w14:textId="12A949CD" w:rsidR="009E3740" w:rsidRDefault="009E3740" w:rsidP="009E3740">
      <w:pPr>
        <w:rPr>
          <w:b/>
          <w:bCs/>
          <w:sz w:val="32"/>
          <w:szCs w:val="32"/>
        </w:rPr>
      </w:pPr>
      <w:r>
        <w:rPr>
          <w:b/>
          <w:bCs/>
          <w:sz w:val="32"/>
          <w:szCs w:val="32"/>
        </w:rPr>
        <w:t>The Module title:  Financial Management for the Hotel Industry</w:t>
      </w:r>
    </w:p>
    <w:p w14:paraId="7B27B728" w14:textId="7A89B460" w:rsidR="009E3740" w:rsidRDefault="009E3740" w:rsidP="009E3740">
      <w:pPr>
        <w:rPr>
          <w:b/>
          <w:bCs/>
          <w:sz w:val="32"/>
          <w:szCs w:val="32"/>
        </w:rPr>
      </w:pPr>
      <w:r>
        <w:rPr>
          <w:b/>
          <w:bCs/>
          <w:sz w:val="32"/>
          <w:szCs w:val="32"/>
        </w:rPr>
        <w:t>Lecture Name:</w:t>
      </w:r>
      <w:r w:rsidRPr="009E3740">
        <w:rPr>
          <w:b/>
          <w:bCs/>
          <w:sz w:val="44"/>
          <w:szCs w:val="44"/>
        </w:rPr>
        <w:t xml:space="preserve"> </w:t>
      </w:r>
      <w:r w:rsidRPr="009E3740">
        <w:rPr>
          <w:b/>
          <w:bCs/>
          <w:sz w:val="32"/>
          <w:szCs w:val="32"/>
        </w:rPr>
        <w:t>Comparison of Mandarin Oriental Hotel Group and Premier Inn</w:t>
      </w:r>
    </w:p>
    <w:p w14:paraId="1586C310" w14:textId="77777777" w:rsidR="0021106D" w:rsidRPr="009E3740" w:rsidRDefault="0021106D" w:rsidP="009E3740">
      <w:pPr>
        <w:rPr>
          <w:b/>
          <w:bCs/>
          <w:sz w:val="32"/>
          <w:szCs w:val="32"/>
        </w:rPr>
      </w:pPr>
    </w:p>
    <w:p w14:paraId="0416B23C" w14:textId="3DAA7889" w:rsidR="009E3740" w:rsidRDefault="009E3740" w:rsidP="009E3740">
      <w:pPr>
        <w:rPr>
          <w:b/>
          <w:bCs/>
          <w:sz w:val="32"/>
          <w:szCs w:val="32"/>
        </w:rPr>
      </w:pPr>
    </w:p>
    <w:p w14:paraId="78E4B513" w14:textId="77777777" w:rsidR="004C0517" w:rsidRDefault="004C0517" w:rsidP="009E3740">
      <w:pPr>
        <w:rPr>
          <w:b/>
          <w:bCs/>
          <w:sz w:val="32"/>
          <w:szCs w:val="32"/>
        </w:rPr>
      </w:pPr>
    </w:p>
    <w:p w14:paraId="186464C4" w14:textId="77777777" w:rsidR="004C0517" w:rsidRDefault="004C0517" w:rsidP="009E3740">
      <w:pPr>
        <w:rPr>
          <w:b/>
          <w:bCs/>
          <w:sz w:val="32"/>
          <w:szCs w:val="32"/>
        </w:rPr>
      </w:pPr>
    </w:p>
    <w:p w14:paraId="1D4B3EA3" w14:textId="77777777" w:rsidR="004C0517" w:rsidRDefault="004C0517" w:rsidP="009E3740">
      <w:pPr>
        <w:rPr>
          <w:b/>
          <w:bCs/>
          <w:sz w:val="32"/>
          <w:szCs w:val="32"/>
        </w:rPr>
      </w:pPr>
    </w:p>
    <w:p w14:paraId="4CA1BEEA" w14:textId="77777777" w:rsidR="004C0517" w:rsidRDefault="004C0517" w:rsidP="009E3740">
      <w:pPr>
        <w:rPr>
          <w:b/>
          <w:bCs/>
          <w:sz w:val="32"/>
          <w:szCs w:val="32"/>
        </w:rPr>
      </w:pPr>
    </w:p>
    <w:p w14:paraId="71BA624A" w14:textId="77777777" w:rsidR="004C0517" w:rsidRDefault="004C0517" w:rsidP="009E3740">
      <w:pPr>
        <w:rPr>
          <w:b/>
          <w:bCs/>
          <w:sz w:val="32"/>
          <w:szCs w:val="32"/>
        </w:rPr>
      </w:pPr>
    </w:p>
    <w:p w14:paraId="096CF06F" w14:textId="77777777" w:rsidR="004C0517" w:rsidRDefault="004C0517" w:rsidP="009E3740">
      <w:pPr>
        <w:rPr>
          <w:b/>
          <w:bCs/>
          <w:sz w:val="32"/>
          <w:szCs w:val="32"/>
        </w:rPr>
      </w:pPr>
    </w:p>
    <w:p w14:paraId="32918200" w14:textId="77777777" w:rsidR="004C0517" w:rsidRDefault="004C0517" w:rsidP="009E3740">
      <w:pPr>
        <w:rPr>
          <w:b/>
          <w:bCs/>
          <w:sz w:val="32"/>
          <w:szCs w:val="32"/>
        </w:rPr>
      </w:pPr>
    </w:p>
    <w:p w14:paraId="747265DB" w14:textId="77777777" w:rsidR="004C0517" w:rsidRDefault="004C0517" w:rsidP="009E3740">
      <w:pPr>
        <w:rPr>
          <w:b/>
          <w:bCs/>
          <w:sz w:val="32"/>
          <w:szCs w:val="32"/>
        </w:rPr>
      </w:pPr>
    </w:p>
    <w:p w14:paraId="00BEBD6D" w14:textId="77777777" w:rsidR="00A4631B" w:rsidRDefault="005513BA" w:rsidP="00A4631B">
      <w:pPr>
        <w:rPr>
          <w:rFonts w:ascii="Arial" w:hAnsi="Arial" w:cs="Arial"/>
          <w:b/>
          <w:bCs/>
          <w:sz w:val="24"/>
          <w:szCs w:val="24"/>
        </w:rPr>
      </w:pPr>
      <w:r w:rsidRPr="005513BA">
        <w:rPr>
          <w:rFonts w:ascii="Arial" w:hAnsi="Arial" w:cs="Arial"/>
          <w:b/>
          <w:bCs/>
          <w:sz w:val="24"/>
          <w:szCs w:val="24"/>
        </w:rPr>
        <w:t>Introduction:</w:t>
      </w:r>
    </w:p>
    <w:p w14:paraId="794E733A" w14:textId="24B2F71C" w:rsidR="00A4631B" w:rsidRDefault="00A4631B" w:rsidP="00A4631B">
      <w:pPr>
        <w:rPr>
          <w:rFonts w:ascii="Arial" w:hAnsi="Arial" w:cs="Arial"/>
          <w:sz w:val="24"/>
          <w:szCs w:val="24"/>
        </w:rPr>
      </w:pPr>
      <w:r w:rsidRPr="00A4631B">
        <w:rPr>
          <w:rFonts w:ascii="Arial" w:hAnsi="Arial" w:cs="Arial"/>
          <w:sz w:val="24"/>
          <w:szCs w:val="24"/>
        </w:rPr>
        <w:t xml:space="preserve"> </w:t>
      </w:r>
      <w:r w:rsidRPr="004C0517">
        <w:rPr>
          <w:rFonts w:ascii="Arial" w:hAnsi="Arial" w:cs="Arial"/>
          <w:sz w:val="24"/>
          <w:szCs w:val="24"/>
        </w:rPr>
        <w:t>Mandarin Oriental Hotel Group is a renowned luxury hotel brand with a rich history of providing exceptional hospitality experiences. Founded in 1963, the group has consistently set the gold standard in luxury accommodation and service. With a global presence that spans the world's most vibrant and iconic destinations, Mandarin Oriental has become synonymous with opulence, refinement, and sophistication. The brand is celebrated for its unwavering commitment to offering guests an exquisite blend of Asian heritage and local charm, creating a unique and unforgettable stay in each of its properties.</w:t>
      </w:r>
    </w:p>
    <w:p w14:paraId="63C8F728" w14:textId="27524D50" w:rsidR="006063F3" w:rsidRDefault="006063F3" w:rsidP="00A4631B">
      <w:pPr>
        <w:rPr>
          <w:rFonts w:ascii="Arial" w:hAnsi="Arial" w:cs="Arial"/>
          <w:sz w:val="24"/>
          <w:szCs w:val="24"/>
        </w:rPr>
      </w:pPr>
      <w:r w:rsidRPr="006063F3">
        <w:rPr>
          <w:rFonts w:ascii="Arial" w:hAnsi="Arial" w:cs="Arial"/>
          <w:sz w:val="24"/>
          <w:szCs w:val="24"/>
        </w:rPr>
        <w:t xml:space="preserve">Premier Inn stands out for its ability to strike a balance between affordability, unwavering quality, and an extensive network of properties, making it a </w:t>
      </w:r>
      <w:r>
        <w:rPr>
          <w:rFonts w:ascii="Arial" w:hAnsi="Arial" w:cs="Arial"/>
          <w:sz w:val="24"/>
          <w:szCs w:val="24"/>
        </w:rPr>
        <w:t>favoured</w:t>
      </w:r>
      <w:r w:rsidRPr="006063F3">
        <w:rPr>
          <w:rFonts w:ascii="Arial" w:hAnsi="Arial" w:cs="Arial"/>
          <w:sz w:val="24"/>
          <w:szCs w:val="24"/>
        </w:rPr>
        <w:t xml:space="preserve"> choice among </w:t>
      </w:r>
      <w:r w:rsidRPr="006063F3">
        <w:rPr>
          <w:rFonts w:ascii="Arial" w:hAnsi="Arial" w:cs="Arial"/>
          <w:sz w:val="24"/>
          <w:szCs w:val="24"/>
        </w:rPr>
        <w:t>travellers</w:t>
      </w:r>
      <w:r w:rsidRPr="006063F3">
        <w:rPr>
          <w:rFonts w:ascii="Arial" w:hAnsi="Arial" w:cs="Arial"/>
          <w:sz w:val="24"/>
          <w:szCs w:val="24"/>
        </w:rPr>
        <w:t xml:space="preserve"> exploring the United Kingdom. Whether one's journey is driven by business or leisure, Premier Inn consistently delivers a trustworthy and comfortable accommodation option for those in search of a cost-effective place to stay.</w:t>
      </w:r>
    </w:p>
    <w:p w14:paraId="2E281095" w14:textId="26693E8A" w:rsidR="005513BA" w:rsidRPr="005513BA" w:rsidRDefault="005513BA" w:rsidP="005513BA">
      <w:pPr>
        <w:rPr>
          <w:rFonts w:ascii="Arial" w:hAnsi="Arial" w:cs="Arial"/>
          <w:sz w:val="24"/>
          <w:szCs w:val="24"/>
        </w:rPr>
      </w:pPr>
      <w:r w:rsidRPr="005513BA">
        <w:rPr>
          <w:rFonts w:ascii="Arial" w:hAnsi="Arial" w:cs="Arial"/>
          <w:sz w:val="24"/>
          <w:szCs w:val="24"/>
        </w:rPr>
        <w:t xml:space="preserve">The world of hospitality is a diverse and dynamic landscape, with a wide spectrum of hotels and resorts catering to specific segments of </w:t>
      </w:r>
      <w:r w:rsidR="00A26716">
        <w:rPr>
          <w:rFonts w:ascii="Arial" w:hAnsi="Arial" w:cs="Arial"/>
          <w:sz w:val="24"/>
          <w:szCs w:val="24"/>
        </w:rPr>
        <w:t>travellers</w:t>
      </w:r>
      <w:r w:rsidRPr="005513BA">
        <w:rPr>
          <w:rFonts w:ascii="Arial" w:hAnsi="Arial" w:cs="Arial"/>
          <w:sz w:val="24"/>
          <w:szCs w:val="24"/>
        </w:rPr>
        <w:t xml:space="preserve">. Among these, the Mandarin Oriental Hotel Group stands out as a symbol of opulence and luxury that transcends time and borders. Premier Inn, on the other hand, is a well-established and widely recognized budget hotel brand that offers comfortable, affordable, and consistent accommodations to </w:t>
      </w:r>
      <w:r w:rsidR="00A26716">
        <w:rPr>
          <w:rFonts w:ascii="Arial" w:hAnsi="Arial" w:cs="Arial"/>
          <w:sz w:val="24"/>
          <w:szCs w:val="24"/>
        </w:rPr>
        <w:t>travellers</w:t>
      </w:r>
      <w:r w:rsidRPr="005513BA">
        <w:rPr>
          <w:rFonts w:ascii="Arial" w:hAnsi="Arial" w:cs="Arial"/>
          <w:sz w:val="24"/>
          <w:szCs w:val="24"/>
        </w:rPr>
        <w:t xml:space="preserve">. </w:t>
      </w:r>
    </w:p>
    <w:p w14:paraId="52110217" w14:textId="27B9989E" w:rsidR="005513BA" w:rsidRPr="005513BA" w:rsidRDefault="005513BA" w:rsidP="005513BA">
      <w:pPr>
        <w:rPr>
          <w:rFonts w:ascii="Arial" w:hAnsi="Arial" w:cs="Arial"/>
          <w:sz w:val="24"/>
          <w:szCs w:val="24"/>
        </w:rPr>
      </w:pPr>
      <w:r w:rsidRPr="005513BA">
        <w:rPr>
          <w:rFonts w:ascii="Arial" w:hAnsi="Arial" w:cs="Arial"/>
          <w:sz w:val="24"/>
          <w:szCs w:val="24"/>
        </w:rPr>
        <w:t xml:space="preserve">Mandarin Oriental's journey is a testament to the evolution of luxury hospitality. The brand's commitment to delivering unparalleled experiences has set it apart as an industry leader, consistently garnering acclaim and loyalty from discerning </w:t>
      </w:r>
      <w:r w:rsidR="00A26716">
        <w:rPr>
          <w:rFonts w:ascii="Arial" w:hAnsi="Arial" w:cs="Arial"/>
          <w:sz w:val="24"/>
          <w:szCs w:val="24"/>
        </w:rPr>
        <w:t>travellers</w:t>
      </w:r>
      <w:r w:rsidRPr="005513BA">
        <w:rPr>
          <w:rFonts w:ascii="Arial" w:hAnsi="Arial" w:cs="Arial"/>
          <w:sz w:val="24"/>
          <w:szCs w:val="24"/>
        </w:rPr>
        <w:t xml:space="preserve"> worldwide. In this essay, we will explore the origins and core values of Mandarin Oriental Hotel Group, examine its unique approach to guest satisfaction, delve into its luxurious offerings, and </w:t>
      </w:r>
      <w:r w:rsidR="00A26716" w:rsidRPr="005513BA">
        <w:rPr>
          <w:rFonts w:ascii="Arial" w:hAnsi="Arial" w:cs="Arial"/>
          <w:sz w:val="24"/>
          <w:szCs w:val="24"/>
        </w:rPr>
        <w:t>analyse</w:t>
      </w:r>
      <w:r w:rsidRPr="005513BA">
        <w:rPr>
          <w:rFonts w:ascii="Arial" w:hAnsi="Arial" w:cs="Arial"/>
          <w:sz w:val="24"/>
          <w:szCs w:val="24"/>
        </w:rPr>
        <w:t xml:space="preserve"> the factors contributing to its global prominence.</w:t>
      </w:r>
    </w:p>
    <w:p w14:paraId="65C2BF31" w14:textId="4BFF2868" w:rsidR="00A26716" w:rsidRPr="00A26716" w:rsidRDefault="005513BA" w:rsidP="00A26716">
      <w:pPr>
        <w:rPr>
          <w:rFonts w:ascii="Arial" w:hAnsi="Arial" w:cs="Arial"/>
          <w:sz w:val="24"/>
          <w:szCs w:val="24"/>
        </w:rPr>
      </w:pPr>
      <w:r w:rsidRPr="005513BA">
        <w:rPr>
          <w:rFonts w:ascii="Arial" w:hAnsi="Arial" w:cs="Arial"/>
          <w:sz w:val="24"/>
          <w:szCs w:val="24"/>
        </w:rPr>
        <w:t>Premier Inn, on the other hand, is a shining exemplar of the budget hotel category, demonstrating that affordable accommodations can be synonymous with comfort and quality.</w:t>
      </w:r>
    </w:p>
    <w:p w14:paraId="2438295D" w14:textId="4F3155D5" w:rsidR="00A26716" w:rsidRPr="00A26716" w:rsidRDefault="00A26716" w:rsidP="00A26716">
      <w:pPr>
        <w:rPr>
          <w:rFonts w:ascii="Arial" w:hAnsi="Arial" w:cs="Arial"/>
          <w:sz w:val="24"/>
          <w:szCs w:val="24"/>
        </w:rPr>
      </w:pPr>
      <w:r w:rsidRPr="00A26716">
        <w:rPr>
          <w:rFonts w:ascii="Arial" w:hAnsi="Arial" w:cs="Arial"/>
          <w:sz w:val="24"/>
          <w:szCs w:val="24"/>
        </w:rPr>
        <w:t xml:space="preserve">Mandarin Oriental's journey is a story of uncompromising luxury and exceptional service. </w:t>
      </w:r>
      <w:r w:rsidR="006063F3" w:rsidRPr="006063F3">
        <w:rPr>
          <w:rFonts w:ascii="Arial" w:hAnsi="Arial" w:cs="Arial"/>
          <w:sz w:val="24"/>
          <w:szCs w:val="24"/>
        </w:rPr>
        <w:t>In 1963, the brand's inception took place through the union of The Mandarin in Hong Kong and The Oriental in Bangkok. Subsequently, it embarked on a global journey, establishing a collection of opulent properties in some of the most illustrious destinations across the world. The brand's unwavering pursuit of perfection is exemplified by its fundamental principles, which revolve around prioritizing guest contentment, delivering tailored service, and a wholehearted commitment to crafting indelible experience</w:t>
      </w:r>
      <w:r w:rsidR="006063F3">
        <w:rPr>
          <w:rFonts w:ascii="Arial" w:hAnsi="Arial" w:cs="Arial"/>
          <w:sz w:val="24"/>
          <w:szCs w:val="24"/>
        </w:rPr>
        <w:t>.</w:t>
      </w:r>
    </w:p>
    <w:p w14:paraId="1997ABA1" w14:textId="77777777" w:rsidR="00A26716" w:rsidRPr="00A26716" w:rsidRDefault="00A26716" w:rsidP="00A26716">
      <w:pPr>
        <w:rPr>
          <w:rFonts w:ascii="Arial" w:hAnsi="Arial" w:cs="Arial"/>
          <w:sz w:val="24"/>
          <w:szCs w:val="24"/>
        </w:rPr>
      </w:pPr>
      <w:r w:rsidRPr="00A26716">
        <w:rPr>
          <w:rFonts w:ascii="Arial" w:hAnsi="Arial" w:cs="Arial"/>
          <w:sz w:val="24"/>
          <w:szCs w:val="24"/>
        </w:rPr>
        <w:lastRenderedPageBreak/>
        <w:t>One of the key elements that set Mandarin Oriental apart is its approach to guest satisfaction. The brand prides itself on creating tailored experiences for each guest, ensuring that their individual needs and preferences are met with the utmost care and attention. This dedication to personalization extends beyond the usual standards of luxury hospitality, making each stay at a Mandarin Oriental property a truly unique and memorable experience.</w:t>
      </w:r>
    </w:p>
    <w:p w14:paraId="6AA006F8" w14:textId="0A394316" w:rsidR="00A26716" w:rsidRPr="00A26716" w:rsidRDefault="00A26716" w:rsidP="00A26716">
      <w:pPr>
        <w:rPr>
          <w:rFonts w:ascii="Arial" w:hAnsi="Arial" w:cs="Arial"/>
          <w:sz w:val="24"/>
          <w:szCs w:val="24"/>
        </w:rPr>
      </w:pPr>
      <w:r w:rsidRPr="00A26716">
        <w:rPr>
          <w:rFonts w:ascii="Arial" w:hAnsi="Arial" w:cs="Arial"/>
          <w:sz w:val="24"/>
          <w:szCs w:val="24"/>
        </w:rPr>
        <w:t xml:space="preserve">Mandarin Oriental's luxurious offerings are a testament to its commitment to opulence and </w:t>
      </w:r>
      <w:r w:rsidR="006063F3">
        <w:rPr>
          <w:rFonts w:ascii="Arial" w:hAnsi="Arial" w:cs="Arial"/>
          <w:sz w:val="24"/>
          <w:szCs w:val="24"/>
        </w:rPr>
        <w:t xml:space="preserve">refinement.  </w:t>
      </w:r>
      <w:r w:rsidR="006063F3" w:rsidRPr="006063F3">
        <w:rPr>
          <w:rFonts w:ascii="Segoe UI" w:hAnsi="Segoe UI" w:cs="Segoe UI"/>
          <w:color w:val="374151"/>
          <w:shd w:val="clear" w:color="auto" w:fill="F7F7F8"/>
        </w:rPr>
        <w:t xml:space="preserve"> </w:t>
      </w:r>
      <w:r w:rsidR="006063F3" w:rsidRPr="006063F3">
        <w:rPr>
          <w:rFonts w:ascii="Arial" w:hAnsi="Arial" w:cs="Arial"/>
          <w:sz w:val="24"/>
          <w:szCs w:val="24"/>
        </w:rPr>
        <w:t>Mandarin Oriental's dedication to providing guests with superlative services and facilities leaves no room for compromise. From generously appointed and tastefully designed rooms to extraordinary dining experiences, rejuvenating spa treatments, and an array of top-notch amenities, the brand consistently delivers the utmost in luxury. Every aspect is meticulously crafted, from the meticulous attention to detail and the use of premium materials to the seamless integration of local culture into the guest experience. These elements collectively cement Mandarin Oriental's standing as an epitome of opulence</w:t>
      </w:r>
      <w:r w:rsidRPr="00A26716">
        <w:rPr>
          <w:rFonts w:ascii="Arial" w:hAnsi="Arial" w:cs="Arial"/>
          <w:sz w:val="24"/>
          <w:szCs w:val="24"/>
        </w:rPr>
        <w:t>.</w:t>
      </w:r>
    </w:p>
    <w:p w14:paraId="18383CE0" w14:textId="77777777" w:rsidR="00A26716" w:rsidRPr="00A26716" w:rsidRDefault="00A26716" w:rsidP="00A26716">
      <w:pPr>
        <w:rPr>
          <w:rFonts w:ascii="Arial" w:hAnsi="Arial" w:cs="Arial"/>
          <w:sz w:val="24"/>
          <w:szCs w:val="24"/>
        </w:rPr>
      </w:pPr>
      <w:r w:rsidRPr="00A26716">
        <w:rPr>
          <w:rFonts w:ascii="Arial" w:hAnsi="Arial" w:cs="Arial"/>
          <w:sz w:val="24"/>
          <w:szCs w:val="24"/>
        </w:rPr>
        <w:t>The factors contributing to Mandarin Oriental's global prominence are multifaceted. First and foremost, its strategic presence in prestigious global cities, major capitals, and exclusive resort destinations positions it as a symbol of exclusivity and proximity to key attractions. This strategic choice of locations allows the brand to attract high-net-worth individuals, celebrities, and corporate clients who seek the very best in luxury accommodations.</w:t>
      </w:r>
    </w:p>
    <w:p w14:paraId="40841C9D" w14:textId="377217B3" w:rsidR="00A26716" w:rsidRPr="00A26716" w:rsidRDefault="00A26716" w:rsidP="00A26716">
      <w:pPr>
        <w:rPr>
          <w:rFonts w:ascii="Arial" w:hAnsi="Arial" w:cs="Arial"/>
          <w:sz w:val="24"/>
          <w:szCs w:val="24"/>
        </w:rPr>
      </w:pPr>
      <w:r w:rsidRPr="00A26716">
        <w:rPr>
          <w:rFonts w:ascii="Arial" w:hAnsi="Arial" w:cs="Arial"/>
          <w:sz w:val="24"/>
          <w:szCs w:val="24"/>
        </w:rPr>
        <w:t xml:space="preserve">Mandarin Oriental's market position in the luxury and upscale segment of the hospitality industry is another critical factor in its success. It is renowned for providing exceptional and personalized services that cater to the discerning needs of high-end </w:t>
      </w:r>
      <w:r>
        <w:rPr>
          <w:rFonts w:ascii="Arial" w:hAnsi="Arial" w:cs="Arial"/>
          <w:sz w:val="24"/>
          <w:szCs w:val="24"/>
        </w:rPr>
        <w:t>travellers</w:t>
      </w:r>
      <w:r w:rsidRPr="00A26716">
        <w:rPr>
          <w:rFonts w:ascii="Arial" w:hAnsi="Arial" w:cs="Arial"/>
          <w:sz w:val="24"/>
          <w:szCs w:val="24"/>
        </w:rPr>
        <w:t>. The brand's strong market share in the luxury hotel segment is a result of the exclusivity of its locations and its reputation for luxury.</w:t>
      </w:r>
    </w:p>
    <w:p w14:paraId="274A9891" w14:textId="54A5B3CA" w:rsidR="00A26716" w:rsidRPr="00A26716" w:rsidRDefault="00A26716" w:rsidP="00A26716">
      <w:pPr>
        <w:rPr>
          <w:rFonts w:ascii="Arial" w:hAnsi="Arial" w:cs="Arial"/>
          <w:sz w:val="24"/>
          <w:szCs w:val="24"/>
        </w:rPr>
      </w:pPr>
      <w:r w:rsidRPr="00A26716">
        <w:rPr>
          <w:rFonts w:ascii="Arial" w:hAnsi="Arial" w:cs="Arial"/>
          <w:sz w:val="24"/>
          <w:szCs w:val="24"/>
        </w:rPr>
        <w:t xml:space="preserve">The customer demographics for Mandarin Oriental are distinct, primarily comprising affluent individuals, business </w:t>
      </w:r>
      <w:r>
        <w:rPr>
          <w:rFonts w:ascii="Arial" w:hAnsi="Arial" w:cs="Arial"/>
          <w:sz w:val="24"/>
          <w:szCs w:val="24"/>
        </w:rPr>
        <w:t>travellers</w:t>
      </w:r>
      <w:r w:rsidRPr="00A26716">
        <w:rPr>
          <w:rFonts w:ascii="Arial" w:hAnsi="Arial" w:cs="Arial"/>
          <w:sz w:val="24"/>
          <w:szCs w:val="24"/>
        </w:rPr>
        <w:t>, and luxury seekers. Its guests are typically high-net-worth individuals who expect extraordinary attention to detail and exclusivity. This customer base contributes significantly to the brand's revenue and reputation.</w:t>
      </w:r>
    </w:p>
    <w:p w14:paraId="73CBAADF" w14:textId="77777777" w:rsidR="00A26716" w:rsidRDefault="00A26716" w:rsidP="00A26716">
      <w:pPr>
        <w:rPr>
          <w:rFonts w:ascii="Arial" w:hAnsi="Arial" w:cs="Arial"/>
          <w:sz w:val="24"/>
          <w:szCs w:val="24"/>
        </w:rPr>
      </w:pPr>
      <w:r w:rsidRPr="00A26716">
        <w:rPr>
          <w:rFonts w:ascii="Arial" w:hAnsi="Arial" w:cs="Arial"/>
          <w:sz w:val="24"/>
          <w:szCs w:val="24"/>
        </w:rPr>
        <w:t>Mandarin Oriental's brand perception is that of a symbol of luxury and refinement. It is associated with impeccable service, world-class amenities, and an unwavering commitment to excellence. Guests expect nothing less than extraordinary, and this reputation is one of the driving factors behind the brand's global prominence.</w:t>
      </w:r>
    </w:p>
    <w:p w14:paraId="282D0A8D" w14:textId="353A79BC" w:rsidR="00A26716" w:rsidRPr="00A26716" w:rsidRDefault="00A26716" w:rsidP="00A26716">
      <w:pPr>
        <w:rPr>
          <w:rFonts w:ascii="Arial" w:hAnsi="Arial" w:cs="Arial"/>
          <w:sz w:val="24"/>
          <w:szCs w:val="24"/>
        </w:rPr>
      </w:pPr>
      <w:r w:rsidRPr="00A26716">
        <w:rPr>
          <w:rFonts w:ascii="Arial" w:hAnsi="Arial" w:cs="Arial"/>
          <w:sz w:val="24"/>
          <w:szCs w:val="24"/>
        </w:rPr>
        <w:t>Premier Inn</w:t>
      </w:r>
      <w:r>
        <w:rPr>
          <w:rFonts w:ascii="Arial" w:hAnsi="Arial" w:cs="Arial"/>
          <w:sz w:val="24"/>
          <w:szCs w:val="24"/>
        </w:rPr>
        <w:t xml:space="preserve"> </w:t>
      </w:r>
      <w:r w:rsidRPr="00A26716">
        <w:rPr>
          <w:rFonts w:ascii="Arial" w:hAnsi="Arial" w:cs="Arial"/>
          <w:sz w:val="24"/>
          <w:szCs w:val="24"/>
        </w:rPr>
        <w:t>offers an intriguing case study of a hotel brand that has not only thrived but excelled by focusing on the essentials of hospitality. Established in 1987, it has steadily expanded its footprint across the United Kingdom and ventured into international markets. The brand's core values include a commitment to delivering reliable, comfortable, and cost-effective accommodations, catering to a broad range of travellers, including families, business professionals, and tourists.</w:t>
      </w:r>
    </w:p>
    <w:p w14:paraId="62FA7C51" w14:textId="4C71A704" w:rsidR="00A26716" w:rsidRPr="00A26716" w:rsidRDefault="00A26716" w:rsidP="00A26716">
      <w:pPr>
        <w:rPr>
          <w:rFonts w:ascii="Arial" w:hAnsi="Arial" w:cs="Arial"/>
          <w:sz w:val="24"/>
          <w:szCs w:val="24"/>
        </w:rPr>
      </w:pPr>
      <w:r w:rsidRPr="00A26716">
        <w:rPr>
          <w:rFonts w:ascii="Arial" w:hAnsi="Arial" w:cs="Arial"/>
          <w:sz w:val="24"/>
          <w:szCs w:val="24"/>
        </w:rPr>
        <w:t xml:space="preserve">The strength of Premier Inn lies in its dedication to delivering reliable, comfortable, and cost-effective accommodations. It focuses on offering guests a straightforward </w:t>
      </w:r>
      <w:r w:rsidRPr="00A26716">
        <w:rPr>
          <w:rFonts w:ascii="Arial" w:hAnsi="Arial" w:cs="Arial"/>
          <w:sz w:val="24"/>
          <w:szCs w:val="24"/>
        </w:rPr>
        <w:lastRenderedPageBreak/>
        <w:t xml:space="preserve">and value-driven stay experience, with clean, modern rooms, friendly service, and consistent quality. This emphasis on essentials, without unnecessary frills, has resonated with </w:t>
      </w:r>
      <w:r>
        <w:rPr>
          <w:rFonts w:ascii="Arial" w:hAnsi="Arial" w:cs="Arial"/>
          <w:sz w:val="24"/>
          <w:szCs w:val="24"/>
        </w:rPr>
        <w:t>travellers</w:t>
      </w:r>
      <w:r w:rsidRPr="00A26716">
        <w:rPr>
          <w:rFonts w:ascii="Arial" w:hAnsi="Arial" w:cs="Arial"/>
          <w:sz w:val="24"/>
          <w:szCs w:val="24"/>
        </w:rPr>
        <w:t xml:space="preserve"> seeking affordable yet reliable lodging options.</w:t>
      </w:r>
    </w:p>
    <w:p w14:paraId="534BEC37" w14:textId="32214707" w:rsidR="00A26716" w:rsidRPr="00A26716" w:rsidRDefault="00A26716" w:rsidP="00A26716">
      <w:pPr>
        <w:rPr>
          <w:rFonts w:ascii="Arial" w:hAnsi="Arial" w:cs="Arial"/>
          <w:sz w:val="24"/>
          <w:szCs w:val="24"/>
        </w:rPr>
      </w:pPr>
      <w:r w:rsidRPr="00A26716">
        <w:rPr>
          <w:rFonts w:ascii="Arial" w:hAnsi="Arial" w:cs="Arial"/>
          <w:sz w:val="24"/>
          <w:szCs w:val="24"/>
        </w:rPr>
        <w:t>The customer demographics for Premier Inn are diverse, encompassing price-conscious travellers and families. Guests who prioritize affordability and reliability in their lodging choices find Premier Inn to be an attractive option. This broad customer base contributes to the brand's success and financial performance.</w:t>
      </w:r>
    </w:p>
    <w:p w14:paraId="22B1E44E" w14:textId="77777777" w:rsidR="00A26716" w:rsidRPr="00A26716" w:rsidRDefault="00A26716" w:rsidP="00A26716">
      <w:pPr>
        <w:rPr>
          <w:rFonts w:ascii="Arial" w:hAnsi="Arial" w:cs="Arial"/>
          <w:sz w:val="24"/>
          <w:szCs w:val="24"/>
        </w:rPr>
      </w:pPr>
      <w:r w:rsidRPr="00A26716">
        <w:rPr>
          <w:rFonts w:ascii="Arial" w:hAnsi="Arial" w:cs="Arial"/>
          <w:sz w:val="24"/>
          <w:szCs w:val="24"/>
        </w:rPr>
        <w:t>Premier Inn's brand perception revolves around concepts of reliability, cleanliness, and affordability. It emphasizes simplicity, convenience, and value, offering guests a comfortable and straightforward stay experience. This brand image is crucial in attracting guests who seek cost-effective and dependable lodging options.</w:t>
      </w:r>
    </w:p>
    <w:p w14:paraId="21E31AF0" w14:textId="73149C1C" w:rsidR="00A26716" w:rsidRDefault="00A26716" w:rsidP="00A26716">
      <w:pPr>
        <w:rPr>
          <w:rFonts w:ascii="Arial" w:hAnsi="Arial" w:cs="Arial"/>
          <w:sz w:val="24"/>
          <w:szCs w:val="24"/>
        </w:rPr>
      </w:pPr>
      <w:r w:rsidRPr="00A26716">
        <w:rPr>
          <w:rFonts w:ascii="Arial" w:hAnsi="Arial" w:cs="Arial"/>
          <w:sz w:val="24"/>
          <w:szCs w:val="24"/>
        </w:rPr>
        <w:t>While Premier Inn's primary market presence is in the United Kingdom, it has been strategically expanding into international locations, focusing on specific regions for growth. This gradual expansion demonstrates the brand's potential for capturing international markets while maintaining its reputation for budget-friendly comfort.</w:t>
      </w:r>
    </w:p>
    <w:p w14:paraId="72F5E812" w14:textId="77777777" w:rsidR="00A26716" w:rsidRDefault="00A26716" w:rsidP="00A26716">
      <w:pPr>
        <w:rPr>
          <w:rFonts w:ascii="Arial" w:hAnsi="Arial" w:cs="Arial"/>
          <w:sz w:val="24"/>
          <w:szCs w:val="24"/>
        </w:rPr>
      </w:pPr>
    </w:p>
    <w:p w14:paraId="5ED4E190" w14:textId="3F2BA6BB" w:rsidR="00A26716" w:rsidRPr="00A26716" w:rsidRDefault="00A26716" w:rsidP="00A26716">
      <w:pPr>
        <w:rPr>
          <w:rFonts w:ascii="Arial" w:hAnsi="Arial" w:cs="Arial"/>
          <w:sz w:val="24"/>
          <w:szCs w:val="24"/>
        </w:rPr>
      </w:pPr>
      <w:r w:rsidRPr="00A26716">
        <w:rPr>
          <w:rFonts w:ascii="Arial" w:hAnsi="Arial" w:cs="Arial"/>
          <w:sz w:val="24"/>
          <w:szCs w:val="24"/>
        </w:rPr>
        <w:t xml:space="preserve">To </w:t>
      </w:r>
      <w:r w:rsidR="001C4E73" w:rsidRPr="00A26716">
        <w:rPr>
          <w:rFonts w:ascii="Arial" w:hAnsi="Arial" w:cs="Arial"/>
          <w:sz w:val="24"/>
          <w:szCs w:val="24"/>
        </w:rPr>
        <w:t>analyse</w:t>
      </w:r>
      <w:r w:rsidRPr="00A26716">
        <w:rPr>
          <w:rFonts w:ascii="Arial" w:hAnsi="Arial" w:cs="Arial"/>
          <w:sz w:val="24"/>
          <w:szCs w:val="24"/>
        </w:rPr>
        <w:t xml:space="preserve"> and compare the total revenue generated by Mandarin Oriental Hotel Group and Premier Inn, we need to consider the financial data available up to my last knowledge update in September 2021.</w:t>
      </w:r>
    </w:p>
    <w:p w14:paraId="27DE483A" w14:textId="77777777" w:rsidR="00A26716" w:rsidRPr="00A26716" w:rsidRDefault="00A26716" w:rsidP="00A26716">
      <w:pPr>
        <w:rPr>
          <w:rFonts w:ascii="Arial" w:hAnsi="Arial" w:cs="Arial"/>
          <w:sz w:val="24"/>
          <w:szCs w:val="24"/>
        </w:rPr>
      </w:pPr>
      <w:r w:rsidRPr="00A26716">
        <w:rPr>
          <w:rFonts w:ascii="Arial" w:hAnsi="Arial" w:cs="Arial"/>
          <w:sz w:val="24"/>
          <w:szCs w:val="24"/>
        </w:rPr>
        <w:t>Mandarin Oriental is a luxury hotel group known for its high-end properties in some of the world's most prestigious locations. The group typically targets upscale and luxury segments of the hospitality market.</w:t>
      </w:r>
    </w:p>
    <w:p w14:paraId="158596AA" w14:textId="2B32180C" w:rsidR="00BB0C9F" w:rsidRPr="00BB0C9F" w:rsidRDefault="00A26716" w:rsidP="00BB0C9F">
      <w:pPr>
        <w:rPr>
          <w:rFonts w:ascii="Arial" w:hAnsi="Arial" w:cs="Arial"/>
        </w:rPr>
      </w:pPr>
      <w:r w:rsidRPr="00A26716">
        <w:rPr>
          <w:rFonts w:ascii="Arial" w:hAnsi="Arial" w:cs="Arial"/>
          <w:sz w:val="24"/>
          <w:szCs w:val="24"/>
        </w:rPr>
        <w:t xml:space="preserve">As of my last update in 2021, Mandarin Oriental's revenue was primarily driven by room bookings, food and beverage services, and other amenities. </w:t>
      </w:r>
      <w:r w:rsidR="00BB0C9F" w:rsidRPr="00BB0C9F">
        <w:rPr>
          <w:rFonts w:ascii="Arial" w:hAnsi="Arial" w:cs="Arial"/>
        </w:rPr>
        <w:t>The income stream for these establishments is subject to various influences, including the levels of occupancy, the average daily pricing, and the economic milieu in their respective operating regions.</w:t>
      </w:r>
      <w:r w:rsidR="00BB0C9F">
        <w:rPr>
          <w:rFonts w:ascii="Arial" w:hAnsi="Arial" w:cs="Arial"/>
        </w:rPr>
        <w:t xml:space="preserve"> </w:t>
      </w:r>
      <w:r w:rsidR="00BB0C9F" w:rsidRPr="00BB0C9F">
        <w:rPr>
          <w:rFonts w:ascii="Arial" w:hAnsi="Arial" w:cs="Arial"/>
          <w:sz w:val="24"/>
          <w:szCs w:val="24"/>
        </w:rPr>
        <w:t xml:space="preserve">Mandarin Oriental's earnings mirror the premium rates characteristic of luxury hotels, which </w:t>
      </w:r>
      <w:r w:rsidR="00BB0C9F">
        <w:rPr>
          <w:rFonts w:ascii="Arial" w:hAnsi="Arial" w:cs="Arial"/>
          <w:sz w:val="24"/>
          <w:szCs w:val="24"/>
        </w:rPr>
        <w:t>translates</w:t>
      </w:r>
      <w:r w:rsidR="00BB0C9F" w:rsidRPr="00BB0C9F">
        <w:rPr>
          <w:rFonts w:ascii="Arial" w:hAnsi="Arial" w:cs="Arial"/>
          <w:sz w:val="24"/>
          <w:szCs w:val="24"/>
        </w:rPr>
        <w:t xml:space="preserve"> to a notably higher average income per room when compared to budget hotel counterparts.</w:t>
      </w:r>
    </w:p>
    <w:p w14:paraId="6D25286A" w14:textId="738A4BA6" w:rsidR="00A26716" w:rsidRDefault="00A26716" w:rsidP="00A26716">
      <w:pPr>
        <w:rPr>
          <w:rFonts w:ascii="Arial" w:hAnsi="Arial" w:cs="Arial"/>
          <w:sz w:val="24"/>
          <w:szCs w:val="24"/>
        </w:rPr>
      </w:pPr>
      <w:r w:rsidRPr="00A26716">
        <w:rPr>
          <w:rFonts w:ascii="Arial" w:hAnsi="Arial" w:cs="Arial"/>
          <w:sz w:val="24"/>
          <w:szCs w:val="24"/>
        </w:rPr>
        <w:t>Premier Inn's revenue is ge</w:t>
      </w:r>
      <w:r w:rsidR="00BB0C9F">
        <w:rPr>
          <w:rFonts w:ascii="Arial" w:hAnsi="Arial" w:cs="Arial"/>
          <w:sz w:val="24"/>
          <w:szCs w:val="24"/>
        </w:rPr>
        <w:t>n</w:t>
      </w:r>
      <w:r w:rsidRPr="00A26716">
        <w:rPr>
          <w:rFonts w:ascii="Arial" w:hAnsi="Arial" w:cs="Arial"/>
          <w:sz w:val="24"/>
          <w:szCs w:val="24"/>
        </w:rPr>
        <w:t>erated primarily from room bookings and food and beverage services.</w:t>
      </w:r>
    </w:p>
    <w:p w14:paraId="3C38A5B5" w14:textId="5B8735BB" w:rsidR="00A26716" w:rsidRPr="00A26716" w:rsidRDefault="00A26716" w:rsidP="00A26716">
      <w:pPr>
        <w:rPr>
          <w:rFonts w:ascii="Arial" w:hAnsi="Arial" w:cs="Arial"/>
          <w:sz w:val="24"/>
          <w:szCs w:val="24"/>
        </w:rPr>
      </w:pPr>
      <w:r w:rsidRPr="00A26716">
        <w:rPr>
          <w:rFonts w:ascii="Arial" w:hAnsi="Arial" w:cs="Arial"/>
          <w:sz w:val="24"/>
          <w:szCs w:val="24"/>
        </w:rPr>
        <w:t xml:space="preserve"> The brand competes on price and convenience, targeting travellers looking for clean, comfortable, and affordable lodging options.</w:t>
      </w:r>
    </w:p>
    <w:p w14:paraId="1D4E6793" w14:textId="77777777" w:rsidR="006063F3" w:rsidRDefault="006063F3" w:rsidP="00A26716">
      <w:pPr>
        <w:rPr>
          <w:rFonts w:ascii="Arial" w:hAnsi="Arial" w:cs="Arial"/>
          <w:sz w:val="24"/>
          <w:szCs w:val="24"/>
        </w:rPr>
      </w:pPr>
    </w:p>
    <w:p w14:paraId="5DF623E8" w14:textId="77777777" w:rsidR="006063F3" w:rsidRDefault="006063F3" w:rsidP="00A26716">
      <w:pPr>
        <w:rPr>
          <w:rFonts w:ascii="Arial" w:hAnsi="Arial" w:cs="Arial"/>
          <w:sz w:val="24"/>
          <w:szCs w:val="24"/>
        </w:rPr>
      </w:pPr>
    </w:p>
    <w:p w14:paraId="6439F3CF" w14:textId="63E832EA" w:rsidR="00A26716" w:rsidRPr="00A26716" w:rsidRDefault="00A26716" w:rsidP="00A26716">
      <w:pPr>
        <w:rPr>
          <w:rFonts w:ascii="Arial" w:hAnsi="Arial" w:cs="Arial"/>
          <w:sz w:val="24"/>
          <w:szCs w:val="24"/>
        </w:rPr>
      </w:pPr>
      <w:r w:rsidRPr="00A26716">
        <w:rPr>
          <w:rFonts w:ascii="Arial" w:hAnsi="Arial" w:cs="Arial"/>
          <w:sz w:val="24"/>
          <w:szCs w:val="24"/>
        </w:rPr>
        <w:t>Comparison:</w:t>
      </w:r>
    </w:p>
    <w:p w14:paraId="1E4B2AFC" w14:textId="77777777" w:rsidR="00A26716" w:rsidRPr="00A26716" w:rsidRDefault="00A26716" w:rsidP="001C4E73">
      <w:pPr>
        <w:numPr>
          <w:ilvl w:val="0"/>
          <w:numId w:val="16"/>
        </w:numPr>
        <w:rPr>
          <w:rFonts w:ascii="Arial" w:hAnsi="Arial" w:cs="Arial"/>
          <w:sz w:val="24"/>
          <w:szCs w:val="24"/>
        </w:rPr>
      </w:pPr>
      <w:r w:rsidRPr="00A26716">
        <w:rPr>
          <w:rFonts w:ascii="Arial" w:hAnsi="Arial" w:cs="Arial"/>
          <w:sz w:val="24"/>
          <w:szCs w:val="24"/>
        </w:rPr>
        <w:t>Scale: Mandarin Oriental Hotel Group typically operates fewer properties compared to Premier Inn but at a higher price point. This often results in Mandarin Oriental having a smaller overall revenue compared to Premier Inn.</w:t>
      </w:r>
    </w:p>
    <w:p w14:paraId="44BCD6C5" w14:textId="77777777" w:rsidR="00A26716" w:rsidRPr="00A26716" w:rsidRDefault="00A26716" w:rsidP="001C4E73">
      <w:pPr>
        <w:numPr>
          <w:ilvl w:val="0"/>
          <w:numId w:val="16"/>
        </w:numPr>
        <w:rPr>
          <w:rFonts w:ascii="Arial" w:hAnsi="Arial" w:cs="Arial"/>
          <w:sz w:val="24"/>
          <w:szCs w:val="24"/>
        </w:rPr>
      </w:pPr>
      <w:r w:rsidRPr="00A26716">
        <w:rPr>
          <w:rFonts w:ascii="Arial" w:hAnsi="Arial" w:cs="Arial"/>
          <w:sz w:val="24"/>
          <w:szCs w:val="24"/>
        </w:rPr>
        <w:lastRenderedPageBreak/>
        <w:t>Pricing Strategy: Mandarin Oriental commands premium prices for its rooms and services, which contributes to a higher average revenue per room. Premier Inn competes on affordability, offering lower room rates, and as a result, may need to maintain higher occupancy rates to generate significant revenue.</w:t>
      </w:r>
    </w:p>
    <w:p w14:paraId="1B881983" w14:textId="7D33AD4A" w:rsidR="00A26716" w:rsidRPr="00A26716" w:rsidRDefault="00A26716" w:rsidP="001C4E73">
      <w:pPr>
        <w:numPr>
          <w:ilvl w:val="0"/>
          <w:numId w:val="16"/>
        </w:numPr>
        <w:rPr>
          <w:rFonts w:ascii="Arial" w:hAnsi="Arial" w:cs="Arial"/>
          <w:sz w:val="24"/>
          <w:szCs w:val="24"/>
        </w:rPr>
      </w:pPr>
      <w:r w:rsidRPr="00A26716">
        <w:rPr>
          <w:rFonts w:ascii="Arial" w:hAnsi="Arial" w:cs="Arial"/>
          <w:sz w:val="24"/>
          <w:szCs w:val="24"/>
        </w:rPr>
        <w:t xml:space="preserve">Market Segmentation: Mandarin Oriental focuses on luxury and high-end segments, whereas Premier Inn serves the budget-conscious </w:t>
      </w:r>
      <w:r>
        <w:rPr>
          <w:rFonts w:ascii="Arial" w:hAnsi="Arial" w:cs="Arial"/>
          <w:sz w:val="24"/>
          <w:szCs w:val="24"/>
        </w:rPr>
        <w:t>traveller</w:t>
      </w:r>
      <w:r w:rsidRPr="00A26716">
        <w:rPr>
          <w:rFonts w:ascii="Arial" w:hAnsi="Arial" w:cs="Arial"/>
          <w:sz w:val="24"/>
          <w:szCs w:val="24"/>
        </w:rPr>
        <w:t>. The difference in target markets significantly affects the total revenue generated by each organization.</w:t>
      </w:r>
    </w:p>
    <w:p w14:paraId="4F47772D" w14:textId="77777777" w:rsidR="00A26716" w:rsidRPr="00A26716" w:rsidRDefault="00A26716" w:rsidP="001C4E73">
      <w:pPr>
        <w:numPr>
          <w:ilvl w:val="0"/>
          <w:numId w:val="16"/>
        </w:numPr>
        <w:rPr>
          <w:rFonts w:ascii="Arial" w:hAnsi="Arial" w:cs="Arial"/>
          <w:sz w:val="24"/>
          <w:szCs w:val="24"/>
        </w:rPr>
      </w:pPr>
      <w:r w:rsidRPr="00A26716">
        <w:rPr>
          <w:rFonts w:ascii="Arial" w:hAnsi="Arial" w:cs="Arial"/>
          <w:sz w:val="24"/>
          <w:szCs w:val="24"/>
        </w:rPr>
        <w:t>Economic Factors: The financial performance of both organizations is influenced by economic conditions, tourism trends, and market demand. Variations in these factors can impact total revenue.</w:t>
      </w:r>
    </w:p>
    <w:p w14:paraId="03B3E938" w14:textId="77777777" w:rsidR="00A26716" w:rsidRPr="00A26716" w:rsidRDefault="00A26716" w:rsidP="00A26716">
      <w:pPr>
        <w:rPr>
          <w:rFonts w:ascii="Arial" w:hAnsi="Arial" w:cs="Arial"/>
          <w:sz w:val="24"/>
          <w:szCs w:val="24"/>
        </w:rPr>
      </w:pPr>
      <w:r w:rsidRPr="00A26716">
        <w:rPr>
          <w:rFonts w:ascii="Arial" w:hAnsi="Arial" w:cs="Arial"/>
          <w:sz w:val="24"/>
          <w:szCs w:val="24"/>
        </w:rPr>
        <w:t>Financial Commitment to CSR:</w:t>
      </w:r>
    </w:p>
    <w:p w14:paraId="2806C417" w14:textId="77777777" w:rsidR="00A26716" w:rsidRDefault="00A26716" w:rsidP="00A26716">
      <w:pPr>
        <w:rPr>
          <w:rFonts w:ascii="Arial" w:hAnsi="Arial" w:cs="Arial"/>
          <w:sz w:val="24"/>
          <w:szCs w:val="24"/>
        </w:rPr>
      </w:pPr>
      <w:r w:rsidRPr="00A26716">
        <w:rPr>
          <w:rFonts w:ascii="Arial" w:hAnsi="Arial" w:cs="Arial"/>
          <w:sz w:val="24"/>
          <w:szCs w:val="24"/>
        </w:rPr>
        <w:t>To assess the financial commitment of both Mandarin Oriental Hotel Group and Premier Inn to CSR initiatives, including sustainability practices, community engagement, and ethical business practices, we need to consider their reported efforts in these areas.</w:t>
      </w:r>
    </w:p>
    <w:p w14:paraId="554717DF" w14:textId="79C008AD" w:rsidR="001C4E73" w:rsidRPr="001C4E73" w:rsidRDefault="001C4E73" w:rsidP="001C4E73">
      <w:pPr>
        <w:rPr>
          <w:rFonts w:ascii="Arial" w:hAnsi="Arial" w:cs="Arial"/>
          <w:sz w:val="24"/>
          <w:szCs w:val="24"/>
        </w:rPr>
      </w:pPr>
      <w:r>
        <w:rPr>
          <w:rFonts w:ascii="Arial" w:hAnsi="Arial" w:cs="Arial"/>
          <w:sz w:val="24"/>
          <w:szCs w:val="24"/>
        </w:rPr>
        <w:t xml:space="preserve">Mandarin </w:t>
      </w:r>
      <w:r w:rsidRPr="001C4E73">
        <w:rPr>
          <w:rFonts w:ascii="Arial" w:hAnsi="Arial" w:cs="Arial"/>
          <w:sz w:val="24"/>
          <w:szCs w:val="24"/>
        </w:rPr>
        <w:t>Oriental Hotel Group:</w:t>
      </w:r>
    </w:p>
    <w:p w14:paraId="236B9776" w14:textId="77777777" w:rsidR="001C4E73" w:rsidRPr="001C4E73" w:rsidRDefault="001C4E73" w:rsidP="001C4E73">
      <w:pPr>
        <w:numPr>
          <w:ilvl w:val="0"/>
          <w:numId w:val="14"/>
        </w:numPr>
        <w:rPr>
          <w:rFonts w:ascii="Arial" w:hAnsi="Arial" w:cs="Arial"/>
          <w:sz w:val="24"/>
          <w:szCs w:val="24"/>
        </w:rPr>
      </w:pPr>
      <w:r w:rsidRPr="001C4E73">
        <w:rPr>
          <w:rFonts w:ascii="Arial" w:hAnsi="Arial" w:cs="Arial"/>
          <w:sz w:val="24"/>
          <w:szCs w:val="24"/>
        </w:rPr>
        <w:t>Sustainability Practices:</w:t>
      </w:r>
    </w:p>
    <w:p w14:paraId="719E4E59" w14:textId="77777777" w:rsidR="001C4E73" w:rsidRPr="001C4E73" w:rsidRDefault="001C4E73" w:rsidP="001C4E73">
      <w:pPr>
        <w:numPr>
          <w:ilvl w:val="1"/>
          <w:numId w:val="14"/>
        </w:numPr>
        <w:rPr>
          <w:rFonts w:ascii="Arial" w:hAnsi="Arial" w:cs="Arial"/>
          <w:sz w:val="24"/>
          <w:szCs w:val="24"/>
        </w:rPr>
      </w:pPr>
      <w:r w:rsidRPr="001C4E73">
        <w:rPr>
          <w:rFonts w:ascii="Arial" w:hAnsi="Arial" w:cs="Arial"/>
          <w:sz w:val="24"/>
          <w:szCs w:val="24"/>
        </w:rPr>
        <w:t>Investment in Green Technologies: Oriental Hotel Group may invest in energy-efficient technologies, such as LED lighting, solar panels, and efficient HVAC systems. These investments often have an initial cost but yield long-term savings.</w:t>
      </w:r>
    </w:p>
    <w:p w14:paraId="6130AD48" w14:textId="77777777" w:rsidR="001C4E73" w:rsidRPr="001C4E73" w:rsidRDefault="001C4E73" w:rsidP="001C4E73">
      <w:pPr>
        <w:numPr>
          <w:ilvl w:val="1"/>
          <w:numId w:val="14"/>
        </w:numPr>
        <w:rPr>
          <w:rFonts w:ascii="Arial" w:hAnsi="Arial" w:cs="Arial"/>
          <w:sz w:val="24"/>
          <w:szCs w:val="24"/>
        </w:rPr>
      </w:pPr>
      <w:r w:rsidRPr="001C4E73">
        <w:rPr>
          <w:rFonts w:ascii="Arial" w:hAnsi="Arial" w:cs="Arial"/>
          <w:sz w:val="24"/>
          <w:szCs w:val="24"/>
        </w:rPr>
        <w:t>Waste Reduction: Implementing waste reduction and recycling programs can involve extra costs, but they align with sustainability goals.</w:t>
      </w:r>
    </w:p>
    <w:p w14:paraId="2374943A" w14:textId="77777777" w:rsidR="001C4E73" w:rsidRPr="001C4E73" w:rsidRDefault="001C4E73" w:rsidP="001C4E73">
      <w:pPr>
        <w:numPr>
          <w:ilvl w:val="0"/>
          <w:numId w:val="14"/>
        </w:numPr>
        <w:rPr>
          <w:rFonts w:ascii="Arial" w:hAnsi="Arial" w:cs="Arial"/>
          <w:sz w:val="24"/>
          <w:szCs w:val="24"/>
        </w:rPr>
      </w:pPr>
      <w:r w:rsidRPr="001C4E73">
        <w:rPr>
          <w:rFonts w:ascii="Arial" w:hAnsi="Arial" w:cs="Arial"/>
          <w:sz w:val="24"/>
          <w:szCs w:val="24"/>
        </w:rPr>
        <w:t>Community Engagement:</w:t>
      </w:r>
    </w:p>
    <w:p w14:paraId="4A672C38" w14:textId="77777777" w:rsidR="001C4E73" w:rsidRPr="001C4E73" w:rsidRDefault="001C4E73" w:rsidP="001C4E73">
      <w:pPr>
        <w:numPr>
          <w:ilvl w:val="1"/>
          <w:numId w:val="14"/>
        </w:numPr>
        <w:rPr>
          <w:rFonts w:ascii="Arial" w:hAnsi="Arial" w:cs="Arial"/>
          <w:sz w:val="24"/>
          <w:szCs w:val="24"/>
        </w:rPr>
      </w:pPr>
      <w:r w:rsidRPr="001C4E73">
        <w:rPr>
          <w:rFonts w:ascii="Arial" w:hAnsi="Arial" w:cs="Arial"/>
          <w:sz w:val="24"/>
          <w:szCs w:val="24"/>
        </w:rPr>
        <w:t>Local Initiatives: Engaging with local communities through initiatives like job creation, supporting local artisans, or funding community projects may require financial commitments.</w:t>
      </w:r>
    </w:p>
    <w:p w14:paraId="73182E31" w14:textId="77777777" w:rsidR="001C4E73" w:rsidRPr="001C4E73" w:rsidRDefault="001C4E73" w:rsidP="001C4E73">
      <w:pPr>
        <w:numPr>
          <w:ilvl w:val="1"/>
          <w:numId w:val="14"/>
        </w:numPr>
        <w:rPr>
          <w:rFonts w:ascii="Arial" w:hAnsi="Arial" w:cs="Arial"/>
          <w:sz w:val="24"/>
          <w:szCs w:val="24"/>
        </w:rPr>
      </w:pPr>
      <w:r w:rsidRPr="001C4E73">
        <w:rPr>
          <w:rFonts w:ascii="Arial" w:hAnsi="Arial" w:cs="Arial"/>
          <w:sz w:val="24"/>
          <w:szCs w:val="24"/>
        </w:rPr>
        <w:t>Philanthropy: Donating to local charities and social causes can be part of CSR and involves financial support.</w:t>
      </w:r>
    </w:p>
    <w:p w14:paraId="01B10371" w14:textId="77777777" w:rsidR="001C4E73" w:rsidRPr="001C4E73" w:rsidRDefault="001C4E73" w:rsidP="001C4E73">
      <w:pPr>
        <w:numPr>
          <w:ilvl w:val="0"/>
          <w:numId w:val="14"/>
        </w:numPr>
        <w:rPr>
          <w:rFonts w:ascii="Arial" w:hAnsi="Arial" w:cs="Arial"/>
          <w:sz w:val="24"/>
          <w:szCs w:val="24"/>
        </w:rPr>
      </w:pPr>
      <w:r w:rsidRPr="001C4E73">
        <w:rPr>
          <w:rFonts w:ascii="Arial" w:hAnsi="Arial" w:cs="Arial"/>
          <w:sz w:val="24"/>
          <w:szCs w:val="24"/>
        </w:rPr>
        <w:t>Ethical Business Practices:</w:t>
      </w:r>
    </w:p>
    <w:p w14:paraId="7EDDC06B" w14:textId="77777777" w:rsidR="001C4E73" w:rsidRPr="001C4E73" w:rsidRDefault="001C4E73" w:rsidP="001C4E73">
      <w:pPr>
        <w:numPr>
          <w:ilvl w:val="1"/>
          <w:numId w:val="14"/>
        </w:numPr>
        <w:rPr>
          <w:rFonts w:ascii="Arial" w:hAnsi="Arial" w:cs="Arial"/>
          <w:sz w:val="24"/>
          <w:szCs w:val="24"/>
        </w:rPr>
      </w:pPr>
      <w:r w:rsidRPr="001C4E73">
        <w:rPr>
          <w:rFonts w:ascii="Arial" w:hAnsi="Arial" w:cs="Arial"/>
          <w:sz w:val="24"/>
          <w:szCs w:val="24"/>
        </w:rPr>
        <w:t>Supply Chain Audits: Conducting ethical audits of supply chains may involve costs related to inspections and certifications.</w:t>
      </w:r>
    </w:p>
    <w:p w14:paraId="1C2BB5D2" w14:textId="159EDF02" w:rsidR="001C4E73" w:rsidRPr="001C4E73" w:rsidRDefault="001C4E73" w:rsidP="001C4E73">
      <w:pPr>
        <w:numPr>
          <w:ilvl w:val="1"/>
          <w:numId w:val="14"/>
        </w:numPr>
        <w:rPr>
          <w:rFonts w:ascii="Arial" w:hAnsi="Arial" w:cs="Arial"/>
          <w:sz w:val="24"/>
          <w:szCs w:val="24"/>
        </w:rPr>
      </w:pPr>
      <w:r w:rsidRPr="001C4E73">
        <w:rPr>
          <w:rFonts w:ascii="Arial" w:hAnsi="Arial" w:cs="Arial"/>
          <w:sz w:val="24"/>
          <w:szCs w:val="24"/>
        </w:rPr>
        <w:t xml:space="preserve">Fair Employment: Ensuring fair </w:t>
      </w:r>
      <w:r>
        <w:rPr>
          <w:rFonts w:ascii="Arial" w:hAnsi="Arial" w:cs="Arial"/>
          <w:sz w:val="24"/>
          <w:szCs w:val="24"/>
        </w:rPr>
        <w:t>labour</w:t>
      </w:r>
      <w:r w:rsidRPr="001C4E73">
        <w:rPr>
          <w:rFonts w:ascii="Arial" w:hAnsi="Arial" w:cs="Arial"/>
          <w:sz w:val="24"/>
          <w:szCs w:val="24"/>
        </w:rPr>
        <w:t xml:space="preserve"> practices within the organization, such as fair wages and benefits, can result in increased expenses.</w:t>
      </w:r>
    </w:p>
    <w:p w14:paraId="53EB07E3" w14:textId="0105A0E3" w:rsidR="001C4E73" w:rsidRPr="001C4E73" w:rsidRDefault="001C4E73" w:rsidP="001C4E73">
      <w:pPr>
        <w:rPr>
          <w:rFonts w:ascii="Arial" w:hAnsi="Arial" w:cs="Arial"/>
          <w:sz w:val="24"/>
          <w:szCs w:val="24"/>
        </w:rPr>
      </w:pPr>
      <w:r w:rsidRPr="001C4E73">
        <w:rPr>
          <w:rFonts w:ascii="Arial" w:hAnsi="Arial" w:cs="Arial"/>
          <w:sz w:val="24"/>
          <w:szCs w:val="24"/>
        </w:rPr>
        <w:lastRenderedPageBreak/>
        <w:t xml:space="preserve">The financial commitment to CSR for Oriental Hotel Group would be reflected in </w:t>
      </w:r>
      <w:r>
        <w:rPr>
          <w:rFonts w:ascii="Arial" w:hAnsi="Arial" w:cs="Arial"/>
          <w:sz w:val="24"/>
          <w:szCs w:val="24"/>
        </w:rPr>
        <w:t>its</w:t>
      </w:r>
      <w:r w:rsidRPr="001C4E73">
        <w:rPr>
          <w:rFonts w:ascii="Arial" w:hAnsi="Arial" w:cs="Arial"/>
          <w:sz w:val="24"/>
          <w:szCs w:val="24"/>
        </w:rPr>
        <w:t xml:space="preserve"> annual reports and sustainability disclosures. They may detail the specific investments and expenditures made in these areas.</w:t>
      </w:r>
    </w:p>
    <w:p w14:paraId="7A9A7E0E" w14:textId="77777777" w:rsidR="001C4E73" w:rsidRPr="001C4E73" w:rsidRDefault="001C4E73" w:rsidP="001C4E73">
      <w:pPr>
        <w:rPr>
          <w:rFonts w:ascii="Arial" w:hAnsi="Arial" w:cs="Arial"/>
          <w:sz w:val="24"/>
          <w:szCs w:val="24"/>
        </w:rPr>
      </w:pPr>
      <w:r w:rsidRPr="001C4E73">
        <w:rPr>
          <w:rFonts w:ascii="Arial" w:hAnsi="Arial" w:cs="Arial"/>
          <w:sz w:val="24"/>
          <w:szCs w:val="24"/>
        </w:rPr>
        <w:t>Premier Inn:</w:t>
      </w:r>
    </w:p>
    <w:p w14:paraId="13E2E330" w14:textId="77777777" w:rsidR="001C4E73" w:rsidRPr="001C4E73" w:rsidRDefault="001C4E73" w:rsidP="001C4E73">
      <w:pPr>
        <w:numPr>
          <w:ilvl w:val="0"/>
          <w:numId w:val="15"/>
        </w:numPr>
        <w:rPr>
          <w:rFonts w:ascii="Arial" w:hAnsi="Arial" w:cs="Arial"/>
          <w:sz w:val="24"/>
          <w:szCs w:val="24"/>
        </w:rPr>
      </w:pPr>
      <w:r w:rsidRPr="001C4E73">
        <w:rPr>
          <w:rFonts w:ascii="Arial" w:hAnsi="Arial" w:cs="Arial"/>
          <w:sz w:val="24"/>
          <w:szCs w:val="24"/>
        </w:rPr>
        <w:t>Sustainability Practices:</w:t>
      </w:r>
    </w:p>
    <w:p w14:paraId="023264E9" w14:textId="77777777" w:rsidR="001C4E73" w:rsidRPr="001C4E73" w:rsidRDefault="001C4E73" w:rsidP="001C4E73">
      <w:pPr>
        <w:numPr>
          <w:ilvl w:val="1"/>
          <w:numId w:val="15"/>
        </w:numPr>
        <w:rPr>
          <w:rFonts w:ascii="Arial" w:hAnsi="Arial" w:cs="Arial"/>
          <w:sz w:val="24"/>
          <w:szCs w:val="24"/>
        </w:rPr>
      </w:pPr>
      <w:r w:rsidRPr="001C4E73">
        <w:rPr>
          <w:rFonts w:ascii="Arial" w:hAnsi="Arial" w:cs="Arial"/>
          <w:sz w:val="24"/>
          <w:szCs w:val="24"/>
        </w:rPr>
        <w:t>Eco-friendly Construction: Building new properties with sustainability in mind may come with upfront costs but can lead to long-term savings in energy consumption.</w:t>
      </w:r>
    </w:p>
    <w:p w14:paraId="6255E229" w14:textId="77777777" w:rsidR="001C4E73" w:rsidRPr="001C4E73" w:rsidRDefault="001C4E73" w:rsidP="001C4E73">
      <w:pPr>
        <w:numPr>
          <w:ilvl w:val="1"/>
          <w:numId w:val="15"/>
        </w:numPr>
        <w:rPr>
          <w:rFonts w:ascii="Arial" w:hAnsi="Arial" w:cs="Arial"/>
          <w:sz w:val="24"/>
          <w:szCs w:val="24"/>
        </w:rPr>
      </w:pPr>
      <w:r w:rsidRPr="001C4E73">
        <w:rPr>
          <w:rFonts w:ascii="Arial" w:hAnsi="Arial" w:cs="Arial"/>
          <w:sz w:val="24"/>
          <w:szCs w:val="24"/>
        </w:rPr>
        <w:t>Renewable Energy: Investing in renewable energy sources, such as solar panels or wind turbines, could involve significant financial commitments.</w:t>
      </w:r>
    </w:p>
    <w:p w14:paraId="13D21C7C" w14:textId="4E8A30BF" w:rsidR="001C4E73" w:rsidRPr="001C4E73" w:rsidRDefault="001C4E73" w:rsidP="001C4E73">
      <w:pPr>
        <w:numPr>
          <w:ilvl w:val="0"/>
          <w:numId w:val="15"/>
        </w:numPr>
        <w:rPr>
          <w:rFonts w:ascii="Arial" w:hAnsi="Arial" w:cs="Arial"/>
          <w:sz w:val="24"/>
          <w:szCs w:val="24"/>
        </w:rPr>
      </w:pPr>
      <w:r w:rsidRPr="001C4E73">
        <w:rPr>
          <w:rFonts w:ascii="Arial" w:hAnsi="Arial" w:cs="Arial"/>
          <w:sz w:val="24"/>
          <w:szCs w:val="24"/>
        </w:rPr>
        <w:t xml:space="preserve"> Engagement:</w:t>
      </w:r>
    </w:p>
    <w:p w14:paraId="7E9B8680" w14:textId="77777777" w:rsidR="001C4E73" w:rsidRPr="001C4E73" w:rsidRDefault="001C4E73" w:rsidP="001C4E73">
      <w:pPr>
        <w:numPr>
          <w:ilvl w:val="1"/>
          <w:numId w:val="15"/>
        </w:numPr>
        <w:rPr>
          <w:rFonts w:ascii="Arial" w:hAnsi="Arial" w:cs="Arial"/>
          <w:sz w:val="24"/>
          <w:szCs w:val="24"/>
        </w:rPr>
      </w:pPr>
      <w:r w:rsidRPr="001C4E73">
        <w:rPr>
          <w:rFonts w:ascii="Arial" w:hAnsi="Arial" w:cs="Arial"/>
          <w:sz w:val="24"/>
          <w:szCs w:val="24"/>
        </w:rPr>
        <w:t>Local Employment and Training: Premier Inn may invest in local job creation and training programs, which can incur financial expenses.</w:t>
      </w:r>
    </w:p>
    <w:p w14:paraId="2F83EB51" w14:textId="231D0FF3" w:rsidR="001C4E73" w:rsidRPr="001C4E73" w:rsidRDefault="001C4E73" w:rsidP="001C4E73">
      <w:pPr>
        <w:numPr>
          <w:ilvl w:val="1"/>
          <w:numId w:val="15"/>
        </w:numPr>
        <w:rPr>
          <w:rFonts w:ascii="Arial" w:hAnsi="Arial" w:cs="Arial"/>
          <w:sz w:val="24"/>
          <w:szCs w:val="24"/>
        </w:rPr>
      </w:pPr>
      <w:r w:rsidRPr="001C4E73">
        <w:rPr>
          <w:rFonts w:ascii="Arial" w:hAnsi="Arial" w:cs="Arial"/>
          <w:sz w:val="24"/>
          <w:szCs w:val="24"/>
        </w:rPr>
        <w:t xml:space="preserve">Community Development: Supporting </w:t>
      </w:r>
      <w:r w:rsidR="00BB0C9F">
        <w:rPr>
          <w:rFonts w:ascii="Arial" w:hAnsi="Arial" w:cs="Arial"/>
          <w:sz w:val="24"/>
          <w:szCs w:val="24"/>
        </w:rPr>
        <w:t>community Procurement</w:t>
      </w:r>
      <w:r w:rsidRPr="001C4E73">
        <w:rPr>
          <w:rFonts w:ascii="Arial" w:hAnsi="Arial" w:cs="Arial"/>
          <w:sz w:val="24"/>
          <w:szCs w:val="24"/>
        </w:rPr>
        <w:t xml:space="preserve"> projects or initiatives can also require financial commitments.</w:t>
      </w:r>
    </w:p>
    <w:p w14:paraId="72E73DFE" w14:textId="77777777" w:rsidR="001C4E73" w:rsidRPr="001C4E73" w:rsidRDefault="001C4E73" w:rsidP="001C4E73">
      <w:pPr>
        <w:numPr>
          <w:ilvl w:val="0"/>
          <w:numId w:val="15"/>
        </w:numPr>
        <w:rPr>
          <w:rFonts w:ascii="Arial" w:hAnsi="Arial" w:cs="Arial"/>
          <w:sz w:val="24"/>
          <w:szCs w:val="24"/>
        </w:rPr>
      </w:pPr>
      <w:r w:rsidRPr="001C4E73">
        <w:rPr>
          <w:rFonts w:ascii="Arial" w:hAnsi="Arial" w:cs="Arial"/>
          <w:sz w:val="24"/>
          <w:szCs w:val="24"/>
        </w:rPr>
        <w:t>Ethical Business Practices:</w:t>
      </w:r>
    </w:p>
    <w:p w14:paraId="2C4222A0" w14:textId="77777777" w:rsidR="001C4E73" w:rsidRPr="001C4E73" w:rsidRDefault="001C4E73" w:rsidP="001C4E73">
      <w:pPr>
        <w:numPr>
          <w:ilvl w:val="1"/>
          <w:numId w:val="15"/>
        </w:numPr>
        <w:rPr>
          <w:rFonts w:ascii="Arial" w:hAnsi="Arial" w:cs="Arial"/>
          <w:sz w:val="24"/>
          <w:szCs w:val="24"/>
        </w:rPr>
      </w:pPr>
      <w:r w:rsidRPr="001C4E73">
        <w:rPr>
          <w:rFonts w:ascii="Arial" w:hAnsi="Arial" w:cs="Arial"/>
          <w:sz w:val="24"/>
          <w:szCs w:val="24"/>
        </w:rPr>
        <w:t>Fair Trade: Purchasing fair-trade products for their hotel operations may come with slightly higher costs compared to conventional options.</w:t>
      </w:r>
    </w:p>
    <w:p w14:paraId="00371697" w14:textId="77777777" w:rsidR="001C4E73" w:rsidRPr="001C4E73" w:rsidRDefault="001C4E73" w:rsidP="001C4E73">
      <w:pPr>
        <w:numPr>
          <w:ilvl w:val="1"/>
          <w:numId w:val="15"/>
        </w:numPr>
        <w:rPr>
          <w:rFonts w:ascii="Arial" w:hAnsi="Arial" w:cs="Arial"/>
          <w:sz w:val="24"/>
          <w:szCs w:val="24"/>
        </w:rPr>
      </w:pPr>
      <w:r w:rsidRPr="001C4E73">
        <w:rPr>
          <w:rFonts w:ascii="Arial" w:hAnsi="Arial" w:cs="Arial"/>
          <w:sz w:val="24"/>
          <w:szCs w:val="24"/>
        </w:rPr>
        <w:t>Ethical Procurement: Procuring goods and services from ethical and sustainable sources may require financial investments.</w:t>
      </w:r>
    </w:p>
    <w:p w14:paraId="5C6A56C0" w14:textId="77777777" w:rsidR="001C4E73" w:rsidRDefault="001C4E73" w:rsidP="001C4E73">
      <w:pPr>
        <w:rPr>
          <w:rFonts w:ascii="Arial" w:hAnsi="Arial" w:cs="Arial"/>
          <w:sz w:val="24"/>
          <w:szCs w:val="24"/>
        </w:rPr>
      </w:pPr>
      <w:r w:rsidRPr="001C4E73">
        <w:rPr>
          <w:rFonts w:ascii="Arial" w:hAnsi="Arial" w:cs="Arial"/>
          <w:sz w:val="24"/>
          <w:szCs w:val="24"/>
        </w:rPr>
        <w:t>Premier Inn's financial commitment to CSR can be assessed through their annual sustainability reports and disclosures. These reports should provide details on their spending and investments related to sustainability, community engagement, and ethical business practices.</w:t>
      </w:r>
    </w:p>
    <w:p w14:paraId="01034A01" w14:textId="77777777" w:rsidR="001C4E73" w:rsidRPr="001C4E73" w:rsidRDefault="001C4E73" w:rsidP="001C4E73">
      <w:pPr>
        <w:rPr>
          <w:rFonts w:ascii="Arial" w:hAnsi="Arial" w:cs="Arial"/>
          <w:sz w:val="24"/>
          <w:szCs w:val="24"/>
        </w:rPr>
      </w:pPr>
    </w:p>
    <w:p w14:paraId="768EF0EB" w14:textId="77777777" w:rsidR="001C4E73" w:rsidRPr="001C4E73" w:rsidRDefault="001C4E73" w:rsidP="001C4E73">
      <w:pPr>
        <w:rPr>
          <w:rFonts w:ascii="Arial" w:hAnsi="Arial" w:cs="Arial"/>
          <w:sz w:val="24"/>
          <w:szCs w:val="24"/>
        </w:rPr>
      </w:pPr>
      <w:r w:rsidRPr="001C4E73">
        <w:rPr>
          <w:rFonts w:ascii="Arial" w:hAnsi="Arial" w:cs="Arial"/>
          <w:sz w:val="24"/>
          <w:szCs w:val="24"/>
        </w:rPr>
        <w:t>Conclusion:</w:t>
      </w:r>
    </w:p>
    <w:p w14:paraId="4C4FCA23" w14:textId="7B3AF744" w:rsidR="001C4E73" w:rsidRPr="001C4E73" w:rsidRDefault="001C4E73" w:rsidP="001C4E73">
      <w:pPr>
        <w:rPr>
          <w:rFonts w:ascii="Arial" w:hAnsi="Arial" w:cs="Arial"/>
          <w:sz w:val="24"/>
          <w:szCs w:val="24"/>
        </w:rPr>
      </w:pPr>
      <w:r w:rsidRPr="001C4E73">
        <w:rPr>
          <w:rFonts w:ascii="Arial" w:hAnsi="Arial" w:cs="Arial"/>
          <w:sz w:val="24"/>
          <w:szCs w:val="24"/>
        </w:rPr>
        <w:t>In conclusion, both Oriental Hotel Group and Premier Inn likely make financial commitments to CSR initiatives as part of their sustainability efforts. These commitments can include investments in sustainable technologies, community engagement programs, and ethical business practices. The exact financial details would need to be obtained from their annual reports and public disclosures to provide a comprehensive analysis of their CSR commitment.</w:t>
      </w:r>
    </w:p>
    <w:p w14:paraId="2C0A8F4F" w14:textId="2E79033F" w:rsidR="001C4E73" w:rsidRPr="001C4E73" w:rsidRDefault="001C4E73" w:rsidP="001C4E73">
      <w:pPr>
        <w:rPr>
          <w:rFonts w:ascii="Arial" w:hAnsi="Arial" w:cs="Arial"/>
          <w:sz w:val="24"/>
          <w:szCs w:val="24"/>
        </w:rPr>
      </w:pPr>
      <w:r w:rsidRPr="001C4E73">
        <w:rPr>
          <w:rFonts w:ascii="Arial" w:hAnsi="Arial" w:cs="Arial"/>
          <w:sz w:val="24"/>
          <w:szCs w:val="24"/>
        </w:rPr>
        <w:t>By consolidating their position in the domestic market and emphasizing ethical procurement and sustainability, Premier Inn can enhance its reputation and attract cost-conscious travellers looking for socially responsible and budget-friendly lodging options. This approach can be a strategic advantage in the competitive mid-range and budget accommodation sector.</w:t>
      </w:r>
    </w:p>
    <w:p w14:paraId="47E8A5E6" w14:textId="77777777" w:rsidR="001C4E73" w:rsidRPr="001C4E73" w:rsidRDefault="001C4E73" w:rsidP="001C4E73">
      <w:pPr>
        <w:rPr>
          <w:rFonts w:ascii="Arial" w:hAnsi="Arial" w:cs="Arial"/>
          <w:sz w:val="24"/>
          <w:szCs w:val="24"/>
        </w:rPr>
      </w:pPr>
    </w:p>
    <w:p w14:paraId="25F09CBC" w14:textId="77777777" w:rsidR="001C4E73" w:rsidRPr="00A26716" w:rsidRDefault="001C4E73" w:rsidP="00A26716">
      <w:pPr>
        <w:rPr>
          <w:rFonts w:ascii="Arial" w:hAnsi="Arial" w:cs="Arial"/>
          <w:sz w:val="24"/>
          <w:szCs w:val="24"/>
        </w:rPr>
      </w:pPr>
    </w:p>
    <w:p w14:paraId="1E42C70C" w14:textId="77777777" w:rsidR="00DD34CC" w:rsidRDefault="00DD34CC" w:rsidP="00DD34CC">
      <w:pPr>
        <w:rPr>
          <w:rFonts w:ascii="Arial" w:hAnsi="Arial" w:cs="Arial"/>
          <w:sz w:val="24"/>
          <w:szCs w:val="24"/>
        </w:rPr>
      </w:pPr>
    </w:p>
    <w:p w14:paraId="3AB7A79F" w14:textId="5F36AE16" w:rsidR="0012507A" w:rsidRPr="0012507A" w:rsidRDefault="0012507A" w:rsidP="00DD34CC">
      <w:pPr>
        <w:rPr>
          <w:rFonts w:ascii="Arial" w:hAnsi="Arial" w:cs="Arial"/>
          <w:b/>
          <w:bCs/>
          <w:sz w:val="24"/>
          <w:szCs w:val="24"/>
        </w:rPr>
      </w:pPr>
      <w:r w:rsidRPr="0012507A">
        <w:rPr>
          <w:rFonts w:ascii="Arial" w:hAnsi="Arial" w:cs="Arial"/>
          <w:b/>
          <w:bCs/>
          <w:sz w:val="24"/>
          <w:szCs w:val="24"/>
        </w:rPr>
        <w:t xml:space="preserve">References </w:t>
      </w:r>
    </w:p>
    <w:p w14:paraId="48DB6151" w14:textId="77777777" w:rsidR="0012507A" w:rsidRPr="00DD34CC" w:rsidRDefault="0012507A" w:rsidP="00DD34CC">
      <w:pPr>
        <w:rPr>
          <w:rFonts w:ascii="Arial" w:hAnsi="Arial" w:cs="Arial"/>
          <w:sz w:val="24"/>
          <w:szCs w:val="24"/>
        </w:rPr>
      </w:pPr>
    </w:p>
    <w:p w14:paraId="570958A3" w14:textId="0E6599E4" w:rsidR="00B232C0" w:rsidRDefault="00B232C0" w:rsidP="00B232C0">
      <w:pPr>
        <w:pStyle w:val="Listparagraf"/>
        <w:numPr>
          <w:ilvl w:val="0"/>
          <w:numId w:val="22"/>
        </w:numPr>
        <w:rPr>
          <w:rFonts w:ascii="Arial" w:hAnsi="Arial" w:cs="Arial"/>
          <w:sz w:val="24"/>
          <w:szCs w:val="24"/>
        </w:rPr>
      </w:pPr>
      <w:r w:rsidRPr="00B232C0">
        <w:rPr>
          <w:rFonts w:ascii="Arial" w:hAnsi="Arial" w:cs="Arial"/>
          <w:sz w:val="24"/>
          <w:szCs w:val="24"/>
        </w:rPr>
        <w:t xml:space="preserve">Alvesson, Bridgman, T., &amp; Willmott, H. (2011). </w:t>
      </w:r>
      <w:r w:rsidRPr="00B232C0">
        <w:rPr>
          <w:rFonts w:ascii="Arial" w:hAnsi="Arial" w:cs="Arial"/>
          <w:i/>
          <w:iCs/>
          <w:sz w:val="24"/>
          <w:szCs w:val="24"/>
        </w:rPr>
        <w:t>The Oxford Handbook of Critical Management Studies</w:t>
      </w:r>
      <w:r w:rsidRPr="00B232C0">
        <w:rPr>
          <w:rFonts w:ascii="Arial" w:hAnsi="Arial" w:cs="Arial"/>
          <w:sz w:val="24"/>
          <w:szCs w:val="24"/>
        </w:rPr>
        <w:t>. Oxford University Press.</w:t>
      </w:r>
    </w:p>
    <w:p w14:paraId="188A16D6" w14:textId="77777777" w:rsidR="00B232C0" w:rsidRPr="00B232C0" w:rsidRDefault="00B232C0" w:rsidP="00B232C0">
      <w:pPr>
        <w:pStyle w:val="Listparagraf"/>
        <w:rPr>
          <w:rFonts w:ascii="Arial" w:hAnsi="Arial" w:cs="Arial"/>
          <w:sz w:val="24"/>
          <w:szCs w:val="24"/>
        </w:rPr>
      </w:pPr>
    </w:p>
    <w:p w14:paraId="31D744BE" w14:textId="702FBD7F" w:rsidR="00B232C0" w:rsidRDefault="00B232C0" w:rsidP="00B232C0">
      <w:pPr>
        <w:pStyle w:val="Listparagraf"/>
        <w:numPr>
          <w:ilvl w:val="0"/>
          <w:numId w:val="22"/>
        </w:numPr>
        <w:rPr>
          <w:rFonts w:ascii="Arial" w:hAnsi="Arial" w:cs="Arial"/>
          <w:sz w:val="24"/>
          <w:szCs w:val="24"/>
        </w:rPr>
      </w:pPr>
      <w:r w:rsidRPr="00B232C0">
        <w:rPr>
          <w:rFonts w:ascii="Arial" w:hAnsi="Arial" w:cs="Arial"/>
          <w:sz w:val="24"/>
          <w:szCs w:val="24"/>
        </w:rPr>
        <w:t xml:space="preserve">Ashton, Hopper, T., &amp; Scapens, R. W. (1990). </w:t>
      </w:r>
      <w:r w:rsidRPr="00B232C0">
        <w:rPr>
          <w:rFonts w:ascii="Arial" w:hAnsi="Arial" w:cs="Arial"/>
          <w:i/>
          <w:iCs/>
          <w:sz w:val="24"/>
          <w:szCs w:val="24"/>
        </w:rPr>
        <w:t>Issues in Management Accounting</w:t>
      </w:r>
      <w:r w:rsidRPr="00B232C0">
        <w:rPr>
          <w:rFonts w:ascii="Arial" w:hAnsi="Arial" w:cs="Arial"/>
          <w:sz w:val="24"/>
          <w:szCs w:val="24"/>
        </w:rPr>
        <w:t>. Prentice-Hall</w:t>
      </w:r>
    </w:p>
    <w:p w14:paraId="6BB1E220" w14:textId="77777777" w:rsidR="00B232C0" w:rsidRPr="00B232C0" w:rsidRDefault="00B232C0" w:rsidP="00B232C0">
      <w:pPr>
        <w:pStyle w:val="Listparagraf"/>
        <w:rPr>
          <w:rFonts w:ascii="Arial" w:hAnsi="Arial" w:cs="Arial"/>
          <w:sz w:val="24"/>
          <w:szCs w:val="24"/>
        </w:rPr>
      </w:pPr>
    </w:p>
    <w:p w14:paraId="472014C2" w14:textId="77777777"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 xml:space="preserve">Buttrick, A. (2009). </w:t>
      </w:r>
      <w:r w:rsidRPr="00B232C0">
        <w:rPr>
          <w:rFonts w:ascii="Arial" w:hAnsi="Arial" w:cs="Arial"/>
          <w:i/>
          <w:iCs/>
          <w:sz w:val="24"/>
          <w:szCs w:val="24"/>
        </w:rPr>
        <w:t>The Project Workout: The Ultimate Handbook of Project and Programme Management</w:t>
      </w:r>
      <w:r w:rsidRPr="00B232C0">
        <w:rPr>
          <w:rFonts w:ascii="Arial" w:hAnsi="Arial" w:cs="Arial"/>
          <w:sz w:val="24"/>
          <w:szCs w:val="24"/>
        </w:rPr>
        <w:t xml:space="preserve"> (4th ed.). FT Prentice Hall</w:t>
      </w:r>
    </w:p>
    <w:p w14:paraId="0F4F67A1" w14:textId="77777777" w:rsidR="00B232C0" w:rsidRDefault="00B232C0" w:rsidP="00B232C0">
      <w:pPr>
        <w:pStyle w:val="Listparagraf"/>
        <w:rPr>
          <w:rFonts w:ascii="Arial" w:hAnsi="Arial" w:cs="Arial"/>
          <w:sz w:val="24"/>
          <w:szCs w:val="24"/>
        </w:rPr>
      </w:pPr>
    </w:p>
    <w:p w14:paraId="428A0A1C" w14:textId="7E469723"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w:t>
      </w:r>
      <w:r w:rsidRPr="00281C74">
        <w:rPr>
          <w:rFonts w:ascii="Arial" w:hAnsi="Arial" w:cs="Arial"/>
          <w:sz w:val="24"/>
          <w:szCs w:val="24"/>
        </w:rPr>
        <w:t xml:space="preserve">Cappelli. (2023). </w:t>
      </w:r>
      <w:r w:rsidRPr="00281C74">
        <w:rPr>
          <w:rFonts w:ascii="Arial" w:hAnsi="Arial" w:cs="Arial"/>
          <w:i/>
          <w:iCs/>
          <w:sz w:val="24"/>
          <w:szCs w:val="24"/>
        </w:rPr>
        <w:t>Our Least Important Asset: Why the Relentless Focus on Finance and Accounting is Bad for Business and Employees</w:t>
      </w:r>
      <w:r w:rsidRPr="00281C74">
        <w:rPr>
          <w:rFonts w:ascii="Arial" w:hAnsi="Arial" w:cs="Arial"/>
          <w:sz w:val="24"/>
          <w:szCs w:val="24"/>
        </w:rPr>
        <w:t>. Oxford University Press.</w:t>
      </w:r>
    </w:p>
    <w:p w14:paraId="34484F52" w14:textId="77777777" w:rsidR="00B232C0" w:rsidRPr="00281C74" w:rsidRDefault="00B232C0" w:rsidP="00B232C0">
      <w:pPr>
        <w:pStyle w:val="Listparagraf"/>
        <w:rPr>
          <w:rFonts w:ascii="Arial" w:hAnsi="Arial" w:cs="Arial"/>
          <w:sz w:val="24"/>
          <w:szCs w:val="24"/>
        </w:rPr>
      </w:pPr>
    </w:p>
    <w:p w14:paraId="0DBDF665" w14:textId="77777777"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Ezzamel. (2007). Contemporary Issues in Management Accounting. In Bhimani, A. (Ed.), Oxford University Press, Oxford (2006) (xvi+447pp., £28.99, ISBN: 0-19-928336-2) [Review of Contemporary Issues in Management Accounting. Bhimani, A. (Ed.), Oxford University Press, Oxford (2006) (xvi+447pp., £28.99, ISBN: 0-19-928336-2)]. The British Accounting Review, 39(1), 109–110. Elsevier Ltd.</w:t>
      </w:r>
    </w:p>
    <w:p w14:paraId="061AB40E" w14:textId="77777777" w:rsidR="00B232C0" w:rsidRPr="00B232C0" w:rsidRDefault="00B232C0" w:rsidP="00B232C0">
      <w:pPr>
        <w:pStyle w:val="Listparagraf"/>
        <w:rPr>
          <w:rFonts w:ascii="Arial" w:hAnsi="Arial" w:cs="Arial"/>
          <w:sz w:val="24"/>
          <w:szCs w:val="24"/>
        </w:rPr>
      </w:pPr>
    </w:p>
    <w:p w14:paraId="7A14219A" w14:textId="77777777"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Gerlich, &amp; Rostek, S. (2015). Estimating Serial Correlation and Self-Similarity in Financial Time Series—A Diversification Approach with Applications to High Frequency Data. Physica A, 434, 84–98.</w:t>
      </w:r>
    </w:p>
    <w:p w14:paraId="77C54E49" w14:textId="77777777" w:rsidR="00B232C0" w:rsidRPr="00B232C0" w:rsidRDefault="00B232C0" w:rsidP="00B232C0">
      <w:pPr>
        <w:pStyle w:val="Listparagraf"/>
        <w:rPr>
          <w:rFonts w:ascii="Arial" w:hAnsi="Arial" w:cs="Arial"/>
          <w:sz w:val="24"/>
          <w:szCs w:val="24"/>
        </w:rPr>
      </w:pPr>
    </w:p>
    <w:p w14:paraId="6CF11526" w14:textId="77777777" w:rsidR="00B232C0" w:rsidRPr="00B232C0" w:rsidRDefault="00B232C0" w:rsidP="00B232C0">
      <w:pPr>
        <w:pStyle w:val="Listparagraf"/>
        <w:rPr>
          <w:rFonts w:ascii="Arial" w:hAnsi="Arial" w:cs="Arial"/>
          <w:sz w:val="24"/>
          <w:szCs w:val="24"/>
        </w:rPr>
      </w:pPr>
    </w:p>
    <w:p w14:paraId="027C29C1" w14:textId="77777777"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Godfred Matthew Yaw Owusu, Rita Amoah Bekoe, Okyere, S. A., &amp; Edem Emerald Welbeck. (2019). What influences the course major decision of accounting and non-accounting students? Journal of International Education in Business, 12(1), 26–42.</w:t>
      </w:r>
    </w:p>
    <w:p w14:paraId="2A56C5DB" w14:textId="77777777" w:rsidR="00B232C0" w:rsidRPr="00B232C0" w:rsidRDefault="00B232C0" w:rsidP="00B232C0">
      <w:pPr>
        <w:pStyle w:val="Listparagraf"/>
        <w:rPr>
          <w:rFonts w:ascii="Arial" w:hAnsi="Arial" w:cs="Arial"/>
          <w:sz w:val="24"/>
          <w:szCs w:val="24"/>
        </w:rPr>
      </w:pPr>
    </w:p>
    <w:p w14:paraId="621C493E" w14:textId="77777777"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Humphrey, Loft, A., &amp; Woods, M. (2009). The Global Audit Profession and the International Financial Architecture: Understanding Regulatory Relationships at a Time of Financial Crisis. Accounting, Organizations and Society, 34(6), 810–825.</w:t>
      </w:r>
    </w:p>
    <w:p w14:paraId="43701EFA" w14:textId="77777777" w:rsidR="00B232C0" w:rsidRPr="00B232C0" w:rsidRDefault="00B232C0" w:rsidP="00B232C0">
      <w:pPr>
        <w:pStyle w:val="Listparagraf"/>
        <w:rPr>
          <w:rFonts w:ascii="Arial" w:hAnsi="Arial" w:cs="Arial"/>
          <w:sz w:val="24"/>
          <w:szCs w:val="24"/>
        </w:rPr>
      </w:pPr>
    </w:p>
    <w:p w14:paraId="7A846052" w14:textId="77777777" w:rsidR="00B232C0" w:rsidRPr="00B232C0" w:rsidRDefault="00B232C0" w:rsidP="00B232C0">
      <w:pPr>
        <w:pStyle w:val="Listparagraf"/>
        <w:rPr>
          <w:rFonts w:ascii="Arial" w:hAnsi="Arial" w:cs="Arial"/>
          <w:sz w:val="24"/>
          <w:szCs w:val="24"/>
        </w:rPr>
      </w:pPr>
    </w:p>
    <w:p w14:paraId="2106A6C9" w14:textId="77777777" w:rsidR="00B232C0" w:rsidRP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Kaplan, &amp; Atkinson, A. A. (1998). Advanced Management Accounting (3rd ed., international ed.). Prentice Hall International.</w:t>
      </w:r>
    </w:p>
    <w:p w14:paraId="3C3ECF76" w14:textId="44B2AC10" w:rsidR="00B232C0" w:rsidRPr="00B232C0" w:rsidRDefault="00B232C0" w:rsidP="00B232C0">
      <w:pPr>
        <w:pStyle w:val="Listparagraf"/>
        <w:rPr>
          <w:rFonts w:ascii="Arial" w:hAnsi="Arial" w:cs="Arial"/>
          <w:sz w:val="24"/>
          <w:szCs w:val="24"/>
        </w:rPr>
      </w:pPr>
    </w:p>
    <w:p w14:paraId="4BD1F1F9" w14:textId="74DEFF44"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Khullar, Bond, A. M., O’Donnell, E. M., Qian, Y., Gans, D. N., &amp; Casalino, L. P. (2021). Time and Financial Costs for Physician Practices to Participate in the Medicare Merit-based Incentive Payment System: A Qualitative Study. JAMA Health Forum, 2(5), e210527–e210527.</w:t>
      </w:r>
    </w:p>
    <w:p w14:paraId="5D03CC1F" w14:textId="77777777" w:rsidR="0012507A" w:rsidRDefault="0012507A" w:rsidP="0012507A">
      <w:pPr>
        <w:pStyle w:val="Listparagraf"/>
        <w:rPr>
          <w:rFonts w:ascii="Arial" w:hAnsi="Arial" w:cs="Arial"/>
          <w:sz w:val="24"/>
          <w:szCs w:val="24"/>
        </w:rPr>
      </w:pPr>
    </w:p>
    <w:p w14:paraId="63B3D778" w14:textId="6F77ABB9" w:rsidR="00B232C0" w:rsidRPr="0012507A" w:rsidRDefault="0012507A" w:rsidP="0012507A">
      <w:pPr>
        <w:pStyle w:val="Listparagraf"/>
        <w:numPr>
          <w:ilvl w:val="0"/>
          <w:numId w:val="23"/>
        </w:numPr>
        <w:rPr>
          <w:rFonts w:ascii="Arial" w:hAnsi="Arial" w:cs="Arial"/>
          <w:sz w:val="24"/>
          <w:szCs w:val="24"/>
        </w:rPr>
      </w:pPr>
      <w:r w:rsidRPr="0012507A">
        <w:rPr>
          <w:rFonts w:ascii="Arial" w:hAnsi="Arial" w:cs="Arial"/>
          <w:sz w:val="24"/>
          <w:szCs w:val="24"/>
        </w:rPr>
        <w:t>Love. (2020). Food Revolution. Behavioral Nudging: An Effective Way to Promote Food Sustainability? Financial Times Newspaper.</w:t>
      </w:r>
    </w:p>
    <w:p w14:paraId="7BBA9482" w14:textId="77777777" w:rsidR="00B232C0" w:rsidRDefault="00B232C0" w:rsidP="00B232C0">
      <w:pPr>
        <w:pStyle w:val="Listparagraf"/>
        <w:numPr>
          <w:ilvl w:val="0"/>
          <w:numId w:val="21"/>
        </w:numPr>
        <w:rPr>
          <w:rFonts w:ascii="Arial" w:hAnsi="Arial" w:cs="Arial"/>
          <w:sz w:val="24"/>
          <w:szCs w:val="24"/>
        </w:rPr>
      </w:pPr>
      <w:r w:rsidRPr="00B232C0">
        <w:rPr>
          <w:rFonts w:ascii="Arial" w:hAnsi="Arial" w:cs="Arial"/>
          <w:sz w:val="24"/>
          <w:szCs w:val="24"/>
        </w:rPr>
        <w:t>Meixnerová, &amp; Sikorová, E. (2017). Basic Characteristics of Czech Business Entities in the Context of National and International Accounting. Journal of International Studies (Kyiv), 10(3), 120–133.</w:t>
      </w:r>
    </w:p>
    <w:p w14:paraId="3413F4A6" w14:textId="77777777" w:rsidR="0012507A" w:rsidRPr="0012507A" w:rsidRDefault="0012507A" w:rsidP="0012507A">
      <w:pPr>
        <w:pStyle w:val="Listparagraf"/>
        <w:rPr>
          <w:rFonts w:ascii="Arial" w:hAnsi="Arial" w:cs="Arial"/>
          <w:sz w:val="24"/>
          <w:szCs w:val="24"/>
        </w:rPr>
      </w:pPr>
    </w:p>
    <w:p w14:paraId="4CA36985" w14:textId="77777777" w:rsidR="0012507A" w:rsidRPr="00B232C0" w:rsidRDefault="0012507A" w:rsidP="0012507A">
      <w:pPr>
        <w:pStyle w:val="Listparagraf"/>
        <w:rPr>
          <w:rFonts w:ascii="Arial" w:hAnsi="Arial" w:cs="Arial"/>
          <w:sz w:val="24"/>
          <w:szCs w:val="24"/>
        </w:rPr>
      </w:pPr>
    </w:p>
    <w:p w14:paraId="4672D5EB" w14:textId="332B9571" w:rsidR="0012507A" w:rsidRDefault="0012507A" w:rsidP="0012507A">
      <w:pPr>
        <w:pStyle w:val="Listparagraf"/>
        <w:numPr>
          <w:ilvl w:val="0"/>
          <w:numId w:val="21"/>
        </w:numPr>
        <w:rPr>
          <w:rFonts w:ascii="Arial" w:hAnsi="Arial" w:cs="Arial"/>
          <w:sz w:val="24"/>
          <w:szCs w:val="24"/>
        </w:rPr>
      </w:pPr>
      <w:r w:rsidRPr="0012507A">
        <w:rPr>
          <w:rFonts w:ascii="Arial" w:hAnsi="Arial" w:cs="Arial"/>
          <w:sz w:val="24"/>
          <w:szCs w:val="24"/>
        </w:rPr>
        <w:t>Muhammad Najamuddin, &amp; Samreen Fatima. (2022). A Hybrid BRNN-ARIMA Model for Financial Time Series Forecasting. Sukkur IBA Journal of Computing and Mathematical Sciences (Online)</w:t>
      </w:r>
    </w:p>
    <w:p w14:paraId="2703B7A1" w14:textId="77777777" w:rsidR="0012507A" w:rsidRPr="0012507A" w:rsidRDefault="0012507A" w:rsidP="0012507A">
      <w:pPr>
        <w:pStyle w:val="Listparagraf"/>
        <w:rPr>
          <w:rFonts w:ascii="Arial" w:hAnsi="Arial" w:cs="Arial"/>
          <w:sz w:val="24"/>
          <w:szCs w:val="24"/>
        </w:rPr>
      </w:pPr>
    </w:p>
    <w:p w14:paraId="7BB490E5" w14:textId="77777777" w:rsidR="0012507A" w:rsidRDefault="0012507A" w:rsidP="0012507A">
      <w:pPr>
        <w:pStyle w:val="Listparagraf"/>
        <w:numPr>
          <w:ilvl w:val="0"/>
          <w:numId w:val="21"/>
        </w:numPr>
        <w:rPr>
          <w:rFonts w:ascii="Arial" w:hAnsi="Arial" w:cs="Arial"/>
          <w:sz w:val="24"/>
          <w:szCs w:val="24"/>
        </w:rPr>
      </w:pPr>
      <w:r w:rsidRPr="0012507A">
        <w:rPr>
          <w:rFonts w:ascii="Arial" w:hAnsi="Arial" w:cs="Arial"/>
          <w:sz w:val="24"/>
          <w:szCs w:val="24"/>
        </w:rPr>
        <w:t>Mulugetta. (2011). Comparison Of International Accounting Standards, Demand For Multinational Accounting And Implication for International Accounting Harmonization. Journal of Applied Business Research, 6(3).</w:t>
      </w:r>
    </w:p>
    <w:p w14:paraId="18218685" w14:textId="77777777" w:rsidR="0012507A" w:rsidRPr="0012507A" w:rsidRDefault="0012507A" w:rsidP="0012507A">
      <w:pPr>
        <w:pStyle w:val="Listparagraf"/>
        <w:rPr>
          <w:rFonts w:ascii="Arial" w:hAnsi="Arial" w:cs="Arial"/>
          <w:sz w:val="24"/>
          <w:szCs w:val="24"/>
        </w:rPr>
      </w:pPr>
    </w:p>
    <w:p w14:paraId="38B879B2" w14:textId="77777777" w:rsidR="0012507A" w:rsidRPr="0012507A" w:rsidRDefault="0012507A" w:rsidP="0012507A">
      <w:pPr>
        <w:pStyle w:val="Listparagraf"/>
        <w:rPr>
          <w:rFonts w:ascii="Arial" w:hAnsi="Arial" w:cs="Arial"/>
          <w:sz w:val="24"/>
          <w:szCs w:val="24"/>
        </w:rPr>
      </w:pPr>
    </w:p>
    <w:p w14:paraId="0EFBDA73" w14:textId="136C1075" w:rsidR="0012507A" w:rsidRDefault="0012507A" w:rsidP="0012507A">
      <w:pPr>
        <w:pStyle w:val="Listparagraf"/>
        <w:numPr>
          <w:ilvl w:val="0"/>
          <w:numId w:val="21"/>
        </w:numPr>
        <w:rPr>
          <w:rFonts w:ascii="Arial" w:hAnsi="Arial" w:cs="Arial"/>
          <w:sz w:val="24"/>
          <w:szCs w:val="24"/>
        </w:rPr>
      </w:pPr>
      <w:r w:rsidRPr="0012507A">
        <w:rPr>
          <w:rFonts w:ascii="Arial" w:hAnsi="Arial" w:cs="Arial"/>
          <w:sz w:val="24"/>
          <w:szCs w:val="24"/>
        </w:rPr>
        <w:t>Nurul Hasanah Uswati Dewi. (2016). Accounting Students’ Choice on Accounting Information Technology Careers (P.178-188). International Research Journal of Business Studies</w:t>
      </w:r>
    </w:p>
    <w:p w14:paraId="6CD168BD" w14:textId="77777777" w:rsidR="0012507A" w:rsidRPr="0012507A" w:rsidRDefault="0012507A" w:rsidP="0012507A">
      <w:pPr>
        <w:pStyle w:val="Listparagraf"/>
        <w:rPr>
          <w:rFonts w:ascii="Arial" w:hAnsi="Arial" w:cs="Arial"/>
          <w:sz w:val="24"/>
          <w:szCs w:val="24"/>
        </w:rPr>
      </w:pPr>
    </w:p>
    <w:p w14:paraId="6EF81988" w14:textId="77777777" w:rsidR="0012507A" w:rsidRPr="0012507A" w:rsidRDefault="0012507A" w:rsidP="0012507A">
      <w:pPr>
        <w:pStyle w:val="Listparagraf"/>
        <w:numPr>
          <w:ilvl w:val="0"/>
          <w:numId w:val="21"/>
        </w:numPr>
        <w:rPr>
          <w:rFonts w:ascii="Arial" w:hAnsi="Arial" w:cs="Arial"/>
          <w:sz w:val="24"/>
          <w:szCs w:val="24"/>
        </w:rPr>
      </w:pPr>
      <w:r w:rsidRPr="0012507A">
        <w:rPr>
          <w:rFonts w:ascii="Arial" w:hAnsi="Arial" w:cs="Arial"/>
          <w:sz w:val="24"/>
          <w:szCs w:val="24"/>
        </w:rPr>
        <w:t>Nurul Hasanah Uswati Dewi. (2014). Accounting Students’ Choice on Accounting Information Technology Careers. International Research Journal of Business Studies, 7(3), 179–188.</w:t>
      </w:r>
    </w:p>
    <w:p w14:paraId="7695964C" w14:textId="77777777" w:rsidR="00B232C0" w:rsidRPr="00B232C0" w:rsidRDefault="00B232C0" w:rsidP="0012507A">
      <w:pPr>
        <w:pStyle w:val="Listparagraf"/>
        <w:rPr>
          <w:rFonts w:ascii="Arial" w:hAnsi="Arial" w:cs="Arial"/>
          <w:sz w:val="24"/>
          <w:szCs w:val="24"/>
        </w:rPr>
      </w:pPr>
    </w:p>
    <w:p w14:paraId="4CB5A0A3" w14:textId="1C9A3E15" w:rsidR="00651368" w:rsidRPr="004C0517" w:rsidRDefault="00651368" w:rsidP="00651368">
      <w:pPr>
        <w:rPr>
          <w:rFonts w:ascii="Arial" w:hAnsi="Arial" w:cs="Arial"/>
          <w:sz w:val="24"/>
          <w:szCs w:val="24"/>
        </w:rPr>
      </w:pPr>
    </w:p>
    <w:sectPr w:rsidR="00651368" w:rsidRPr="004C05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8C6CB" w14:textId="77777777" w:rsidR="00C65939" w:rsidRDefault="00C65939" w:rsidP="00A4631B">
      <w:pPr>
        <w:spacing w:after="0" w:line="240" w:lineRule="auto"/>
      </w:pPr>
      <w:r>
        <w:separator/>
      </w:r>
    </w:p>
  </w:endnote>
  <w:endnote w:type="continuationSeparator" w:id="0">
    <w:p w14:paraId="6C8B7F4D" w14:textId="77777777" w:rsidR="00C65939" w:rsidRDefault="00C65939" w:rsidP="00A46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D3FA3" w14:textId="77777777" w:rsidR="00C65939" w:rsidRDefault="00C65939" w:rsidP="00A4631B">
      <w:pPr>
        <w:spacing w:after="0" w:line="240" w:lineRule="auto"/>
      </w:pPr>
      <w:r>
        <w:separator/>
      </w:r>
    </w:p>
  </w:footnote>
  <w:footnote w:type="continuationSeparator" w:id="0">
    <w:p w14:paraId="6CDF4FEF" w14:textId="77777777" w:rsidR="00C65939" w:rsidRDefault="00C65939" w:rsidP="00A463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F08F7"/>
    <w:multiLevelType w:val="multilevel"/>
    <w:tmpl w:val="5D32C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FA1E0A"/>
    <w:multiLevelType w:val="hybridMultilevel"/>
    <w:tmpl w:val="24C8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F5123"/>
    <w:multiLevelType w:val="hybridMultilevel"/>
    <w:tmpl w:val="3F8A1254"/>
    <w:lvl w:ilvl="0" w:tplc="F46693C4">
      <w:start w:val="2"/>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E912ABF"/>
    <w:multiLevelType w:val="multilevel"/>
    <w:tmpl w:val="1EE0D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871413"/>
    <w:multiLevelType w:val="multilevel"/>
    <w:tmpl w:val="9FE46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8266A2"/>
    <w:multiLevelType w:val="multilevel"/>
    <w:tmpl w:val="5CF23C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4802E6"/>
    <w:multiLevelType w:val="multilevel"/>
    <w:tmpl w:val="C6E26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597998"/>
    <w:multiLevelType w:val="multilevel"/>
    <w:tmpl w:val="E4566E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618D0"/>
    <w:multiLevelType w:val="multilevel"/>
    <w:tmpl w:val="1666A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A6496A"/>
    <w:multiLevelType w:val="multilevel"/>
    <w:tmpl w:val="773A5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405C68"/>
    <w:multiLevelType w:val="multilevel"/>
    <w:tmpl w:val="99F86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8A7864"/>
    <w:multiLevelType w:val="multilevel"/>
    <w:tmpl w:val="74AE9F1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3238F"/>
    <w:multiLevelType w:val="multilevel"/>
    <w:tmpl w:val="A218F3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324F7A"/>
    <w:multiLevelType w:val="multilevel"/>
    <w:tmpl w:val="814CCB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0528AD"/>
    <w:multiLevelType w:val="multilevel"/>
    <w:tmpl w:val="6FAEE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151B3C"/>
    <w:multiLevelType w:val="multilevel"/>
    <w:tmpl w:val="01209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A6520F"/>
    <w:multiLevelType w:val="multilevel"/>
    <w:tmpl w:val="E4566E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333E89"/>
    <w:multiLevelType w:val="multilevel"/>
    <w:tmpl w:val="7BA25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153D01"/>
    <w:multiLevelType w:val="multilevel"/>
    <w:tmpl w:val="1B481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4D24C1"/>
    <w:multiLevelType w:val="multilevel"/>
    <w:tmpl w:val="8E04B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230083"/>
    <w:multiLevelType w:val="multilevel"/>
    <w:tmpl w:val="BBD8F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A77CBD"/>
    <w:multiLevelType w:val="multilevel"/>
    <w:tmpl w:val="E4566E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2941A4"/>
    <w:multiLevelType w:val="multilevel"/>
    <w:tmpl w:val="FA3A0E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7427356">
    <w:abstractNumId w:val="19"/>
  </w:num>
  <w:num w:numId="2" w16cid:durableId="1107121163">
    <w:abstractNumId w:val="9"/>
  </w:num>
  <w:num w:numId="3" w16cid:durableId="538397438">
    <w:abstractNumId w:val="15"/>
  </w:num>
  <w:num w:numId="4" w16cid:durableId="1627858530">
    <w:abstractNumId w:val="6"/>
  </w:num>
  <w:num w:numId="5" w16cid:durableId="1868323913">
    <w:abstractNumId w:val="4"/>
  </w:num>
  <w:num w:numId="6" w16cid:durableId="844633137">
    <w:abstractNumId w:val="0"/>
  </w:num>
  <w:num w:numId="7" w16cid:durableId="1782795144">
    <w:abstractNumId w:val="10"/>
  </w:num>
  <w:num w:numId="8" w16cid:durableId="516233157">
    <w:abstractNumId w:val="20"/>
  </w:num>
  <w:num w:numId="9" w16cid:durableId="1849324707">
    <w:abstractNumId w:val="13"/>
  </w:num>
  <w:num w:numId="10" w16cid:durableId="1500464057">
    <w:abstractNumId w:val="12"/>
  </w:num>
  <w:num w:numId="11" w16cid:durableId="761994999">
    <w:abstractNumId w:val="18"/>
  </w:num>
  <w:num w:numId="12" w16cid:durableId="797799542">
    <w:abstractNumId w:val="3"/>
  </w:num>
  <w:num w:numId="13" w16cid:durableId="1779374302">
    <w:abstractNumId w:val="17"/>
  </w:num>
  <w:num w:numId="14" w16cid:durableId="1290089798">
    <w:abstractNumId w:val="5"/>
  </w:num>
  <w:num w:numId="15" w16cid:durableId="1555238210">
    <w:abstractNumId w:val="22"/>
  </w:num>
  <w:num w:numId="16" w16cid:durableId="544952464">
    <w:abstractNumId w:val="7"/>
  </w:num>
  <w:num w:numId="17" w16cid:durableId="1263224754">
    <w:abstractNumId w:val="14"/>
  </w:num>
  <w:num w:numId="18" w16cid:durableId="85930160">
    <w:abstractNumId w:val="8"/>
  </w:num>
  <w:num w:numId="19" w16cid:durableId="852764030">
    <w:abstractNumId w:val="2"/>
  </w:num>
  <w:num w:numId="20" w16cid:durableId="1072773287">
    <w:abstractNumId w:val="11"/>
  </w:num>
  <w:num w:numId="21" w16cid:durableId="757487937">
    <w:abstractNumId w:val="16"/>
  </w:num>
  <w:num w:numId="22" w16cid:durableId="174806337">
    <w:abstractNumId w:val="21"/>
  </w:num>
  <w:num w:numId="23" w16cid:durableId="536352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3740"/>
    <w:rsid w:val="000C7B82"/>
    <w:rsid w:val="0012507A"/>
    <w:rsid w:val="00150802"/>
    <w:rsid w:val="001C4E73"/>
    <w:rsid w:val="0021106D"/>
    <w:rsid w:val="00225548"/>
    <w:rsid w:val="002D2B87"/>
    <w:rsid w:val="004615E4"/>
    <w:rsid w:val="004C0517"/>
    <w:rsid w:val="005137BA"/>
    <w:rsid w:val="005513BA"/>
    <w:rsid w:val="006063F3"/>
    <w:rsid w:val="00651368"/>
    <w:rsid w:val="007524C9"/>
    <w:rsid w:val="00861E21"/>
    <w:rsid w:val="009C2898"/>
    <w:rsid w:val="009E3740"/>
    <w:rsid w:val="00A26716"/>
    <w:rsid w:val="00A4631B"/>
    <w:rsid w:val="00A87C3B"/>
    <w:rsid w:val="00B232C0"/>
    <w:rsid w:val="00B61257"/>
    <w:rsid w:val="00BB0C9F"/>
    <w:rsid w:val="00C47AB1"/>
    <w:rsid w:val="00C65939"/>
    <w:rsid w:val="00CC1524"/>
    <w:rsid w:val="00CF3AF3"/>
    <w:rsid w:val="00DC1AD9"/>
    <w:rsid w:val="00DD34CC"/>
    <w:rsid w:val="00F25EEF"/>
    <w:rsid w:val="00F759BD"/>
    <w:rsid w:val="00FD1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E6C88"/>
  <w15:docId w15:val="{D3695DEE-F891-491D-8621-604AA097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4631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4631B"/>
  </w:style>
  <w:style w:type="paragraph" w:styleId="Subsol">
    <w:name w:val="footer"/>
    <w:basedOn w:val="Normal"/>
    <w:link w:val="SubsolCaracter"/>
    <w:uiPriority w:val="99"/>
    <w:unhideWhenUsed/>
    <w:rsid w:val="00A4631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4631B"/>
  </w:style>
  <w:style w:type="character" w:styleId="Hyperlink">
    <w:name w:val="Hyperlink"/>
    <w:basedOn w:val="Fontdeparagrafimplicit"/>
    <w:uiPriority w:val="99"/>
    <w:unhideWhenUsed/>
    <w:rsid w:val="004615E4"/>
    <w:rPr>
      <w:color w:val="0563C1" w:themeColor="hyperlink"/>
      <w:u w:val="single"/>
    </w:rPr>
  </w:style>
  <w:style w:type="character" w:styleId="MeniuneNerezolvat">
    <w:name w:val="Unresolved Mention"/>
    <w:basedOn w:val="Fontdeparagrafimplicit"/>
    <w:uiPriority w:val="99"/>
    <w:semiHidden/>
    <w:unhideWhenUsed/>
    <w:rsid w:val="004615E4"/>
    <w:rPr>
      <w:color w:val="605E5C"/>
      <w:shd w:val="clear" w:color="auto" w:fill="E1DFDD"/>
    </w:rPr>
  </w:style>
  <w:style w:type="paragraph" w:styleId="NormalWeb">
    <w:name w:val="Normal (Web)"/>
    <w:basedOn w:val="Normal"/>
    <w:uiPriority w:val="99"/>
    <w:semiHidden/>
    <w:unhideWhenUsed/>
    <w:rsid w:val="00BB0C9F"/>
    <w:rPr>
      <w:rFonts w:ascii="Times New Roman" w:hAnsi="Times New Roman" w:cs="Times New Roman"/>
      <w:sz w:val="24"/>
      <w:szCs w:val="24"/>
    </w:rPr>
  </w:style>
  <w:style w:type="paragraph" w:styleId="Listparagraf">
    <w:name w:val="List Paragraph"/>
    <w:basedOn w:val="Normal"/>
    <w:uiPriority w:val="34"/>
    <w:qFormat/>
    <w:rsid w:val="00B23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15939">
      <w:bodyDiv w:val="1"/>
      <w:marLeft w:val="0"/>
      <w:marRight w:val="0"/>
      <w:marTop w:val="0"/>
      <w:marBottom w:val="0"/>
      <w:divBdr>
        <w:top w:val="none" w:sz="0" w:space="0" w:color="auto"/>
        <w:left w:val="none" w:sz="0" w:space="0" w:color="auto"/>
        <w:bottom w:val="none" w:sz="0" w:space="0" w:color="auto"/>
        <w:right w:val="none" w:sz="0" w:space="0" w:color="auto"/>
      </w:divBdr>
    </w:div>
    <w:div w:id="337583570">
      <w:bodyDiv w:val="1"/>
      <w:marLeft w:val="0"/>
      <w:marRight w:val="0"/>
      <w:marTop w:val="0"/>
      <w:marBottom w:val="0"/>
      <w:divBdr>
        <w:top w:val="none" w:sz="0" w:space="0" w:color="auto"/>
        <w:left w:val="none" w:sz="0" w:space="0" w:color="auto"/>
        <w:bottom w:val="none" w:sz="0" w:space="0" w:color="auto"/>
        <w:right w:val="none" w:sz="0" w:space="0" w:color="auto"/>
      </w:divBdr>
    </w:div>
    <w:div w:id="912087270">
      <w:bodyDiv w:val="1"/>
      <w:marLeft w:val="0"/>
      <w:marRight w:val="0"/>
      <w:marTop w:val="0"/>
      <w:marBottom w:val="0"/>
      <w:divBdr>
        <w:top w:val="none" w:sz="0" w:space="0" w:color="auto"/>
        <w:left w:val="none" w:sz="0" w:space="0" w:color="auto"/>
        <w:bottom w:val="none" w:sz="0" w:space="0" w:color="auto"/>
        <w:right w:val="none" w:sz="0" w:space="0" w:color="auto"/>
      </w:divBdr>
    </w:div>
    <w:div w:id="1027633293">
      <w:bodyDiv w:val="1"/>
      <w:marLeft w:val="0"/>
      <w:marRight w:val="0"/>
      <w:marTop w:val="0"/>
      <w:marBottom w:val="0"/>
      <w:divBdr>
        <w:top w:val="none" w:sz="0" w:space="0" w:color="auto"/>
        <w:left w:val="none" w:sz="0" w:space="0" w:color="auto"/>
        <w:bottom w:val="none" w:sz="0" w:space="0" w:color="auto"/>
        <w:right w:val="none" w:sz="0" w:space="0" w:color="auto"/>
      </w:divBdr>
    </w:div>
    <w:div w:id="1071198461">
      <w:bodyDiv w:val="1"/>
      <w:marLeft w:val="0"/>
      <w:marRight w:val="0"/>
      <w:marTop w:val="0"/>
      <w:marBottom w:val="0"/>
      <w:divBdr>
        <w:top w:val="none" w:sz="0" w:space="0" w:color="auto"/>
        <w:left w:val="none" w:sz="0" w:space="0" w:color="auto"/>
        <w:bottom w:val="none" w:sz="0" w:space="0" w:color="auto"/>
        <w:right w:val="none" w:sz="0" w:space="0" w:color="auto"/>
      </w:divBdr>
    </w:div>
    <w:div w:id="1555040546">
      <w:bodyDiv w:val="1"/>
      <w:marLeft w:val="0"/>
      <w:marRight w:val="0"/>
      <w:marTop w:val="0"/>
      <w:marBottom w:val="0"/>
      <w:divBdr>
        <w:top w:val="none" w:sz="0" w:space="0" w:color="auto"/>
        <w:left w:val="none" w:sz="0" w:space="0" w:color="auto"/>
        <w:bottom w:val="none" w:sz="0" w:space="0" w:color="auto"/>
        <w:right w:val="none" w:sz="0" w:space="0" w:color="auto"/>
      </w:divBdr>
    </w:div>
    <w:div w:id="1801415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5A6A2-BB2F-4F34-84C5-1A39C122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8</Pages>
  <Words>2266</Words>
  <Characters>14098</Characters>
  <Application>Microsoft Office Word</Application>
  <DocSecurity>0</DocSecurity>
  <Lines>293</Lines>
  <Paragraphs>90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Irimia (2125046)</dc:creator>
  <cp:keywords/>
  <dc:description/>
  <cp:lastModifiedBy>Adina Irimia (2125046)</cp:lastModifiedBy>
  <cp:revision>3</cp:revision>
  <dcterms:created xsi:type="dcterms:W3CDTF">2023-10-19T08:59:00Z</dcterms:created>
  <dcterms:modified xsi:type="dcterms:W3CDTF">2023-10-20T17:18:00Z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1c6fcfd4-3f33-4674-9441-c2592ea2a527</vt:lpwstr>
  </property>
</Properties>
</file>