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E0972" w14:textId="48A36A61" w:rsidR="008712EA" w:rsidRDefault="002F172E" w:rsidP="006418EA">
      <w:pPr>
        <w:spacing w:line="360" w:lineRule="auto"/>
        <w:jc w:val="center"/>
        <w:rPr>
          <w:lang w:val="en-US"/>
        </w:rPr>
      </w:pPr>
      <w:r>
        <w:rPr>
          <w:b/>
          <w:bCs/>
          <w:sz w:val="36"/>
          <w:szCs w:val="36"/>
        </w:rPr>
        <w:t xml:space="preserve">Research Overview: </w:t>
      </w:r>
      <w:r w:rsidRPr="00847D65">
        <w:rPr>
          <w:b/>
          <w:bCs/>
          <w:sz w:val="36"/>
          <w:szCs w:val="36"/>
        </w:rPr>
        <w:t>Evaluating the Effectiveness of the Staff Induction Process at Sancta Maria Hospital</w:t>
      </w:r>
    </w:p>
    <w:p w14:paraId="4989D353" w14:textId="2C8F32F8" w:rsidR="002F6779" w:rsidRPr="00B107FA" w:rsidRDefault="007A18DA" w:rsidP="004424A1">
      <w:pPr>
        <w:spacing w:line="600" w:lineRule="auto"/>
        <w:jc w:val="center"/>
        <w:rPr>
          <w:rFonts w:ascii="Arial" w:hAnsi="Arial" w:cs="Arial"/>
          <w:kern w:val="0"/>
          <w:sz w:val="24"/>
          <w:szCs w:val="24"/>
          <w14:ligatures w14:val="none"/>
        </w:rPr>
      </w:pPr>
      <w:r w:rsidRPr="00B107FA">
        <w:rPr>
          <w:rFonts w:ascii="Arial" w:hAnsi="Arial" w:cs="Arial"/>
          <w:kern w:val="0"/>
          <w:sz w:val="24"/>
          <w:szCs w:val="24"/>
          <w14:ligatures w14:val="none"/>
        </w:rPr>
        <w:t xml:space="preserve">Underpinned by </w:t>
      </w:r>
      <w:r w:rsidR="006118BE" w:rsidRPr="00B107FA">
        <w:rPr>
          <w:rFonts w:ascii="Arial" w:hAnsi="Arial" w:cs="Arial"/>
          <w:kern w:val="0"/>
          <w:sz w:val="24"/>
          <w:szCs w:val="24"/>
          <w14:ligatures w14:val="none"/>
        </w:rPr>
        <w:t xml:space="preserve">the </w:t>
      </w:r>
      <w:r w:rsidRPr="00B107FA">
        <w:rPr>
          <w:rFonts w:ascii="Arial" w:hAnsi="Arial" w:cs="Arial"/>
          <w:kern w:val="0"/>
          <w:sz w:val="24"/>
          <w:szCs w:val="24"/>
          <w14:ligatures w14:val="none"/>
        </w:rPr>
        <w:t>supplementary notes, t</w:t>
      </w:r>
      <w:r w:rsidR="002F6779" w:rsidRPr="00B107FA">
        <w:rPr>
          <w:rFonts w:ascii="Arial" w:hAnsi="Arial" w:cs="Arial"/>
          <w:kern w:val="0"/>
          <w:sz w:val="24"/>
          <w:szCs w:val="24"/>
          <w14:ligatures w14:val="none"/>
        </w:rPr>
        <w:t xml:space="preserve">his poster </w:t>
      </w:r>
      <w:r w:rsidRPr="00B107FA">
        <w:rPr>
          <w:rFonts w:ascii="Arial" w:hAnsi="Arial" w:cs="Arial"/>
          <w:kern w:val="0"/>
          <w:sz w:val="24"/>
          <w:szCs w:val="24"/>
          <w14:ligatures w14:val="none"/>
        </w:rPr>
        <w:t>sets out</w:t>
      </w:r>
      <w:r w:rsidR="002F6779" w:rsidRPr="00B107FA">
        <w:rPr>
          <w:rFonts w:ascii="Arial" w:hAnsi="Arial" w:cs="Arial"/>
          <w:kern w:val="0"/>
          <w:sz w:val="24"/>
          <w:szCs w:val="24"/>
          <w14:ligatures w14:val="none"/>
        </w:rPr>
        <w:t xml:space="preserve"> an overview of the research report conducted </w:t>
      </w:r>
      <w:r w:rsidRPr="00B107FA">
        <w:rPr>
          <w:rFonts w:ascii="Arial" w:hAnsi="Arial" w:cs="Arial"/>
          <w:kern w:val="0"/>
          <w:sz w:val="24"/>
          <w:szCs w:val="24"/>
          <w14:ligatures w14:val="none"/>
        </w:rPr>
        <w:t>at Sancta Maria Hospital.</w:t>
      </w:r>
    </w:p>
    <w:p w14:paraId="1A6AD28D" w14:textId="1156866F" w:rsidR="008712EA" w:rsidRPr="00B107FA" w:rsidRDefault="00120F9C" w:rsidP="004424A1">
      <w:pPr>
        <w:spacing w:line="600" w:lineRule="auto"/>
        <w:rPr>
          <w:rFonts w:ascii="Arial" w:hAnsi="Arial" w:cs="Arial"/>
          <w:b/>
          <w:bCs/>
          <w:kern w:val="0"/>
          <w:sz w:val="24"/>
          <w:szCs w:val="24"/>
          <w14:ligatures w14:val="none"/>
        </w:rPr>
      </w:pPr>
      <w:r>
        <w:rPr>
          <w:rFonts w:ascii="Arial" w:hAnsi="Arial" w:cs="Arial"/>
          <w:b/>
          <w:bCs/>
          <w:kern w:val="0"/>
          <w:sz w:val="24"/>
          <w:szCs w:val="24"/>
          <w14:ligatures w14:val="none"/>
        </w:rPr>
        <w:t>Introduction</w:t>
      </w:r>
    </w:p>
    <w:p w14:paraId="6F83B1FE" w14:textId="484A3FB8" w:rsidR="008255F6" w:rsidRPr="00B107FA" w:rsidRDefault="007A18DA"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The research project</w:t>
      </w:r>
      <w:r w:rsidR="00BC35EB" w:rsidRPr="00B107FA">
        <w:rPr>
          <w:rFonts w:ascii="Arial" w:hAnsi="Arial" w:cs="Arial"/>
          <w:kern w:val="0"/>
          <w:sz w:val="24"/>
          <w:szCs w:val="24"/>
          <w14:ligatures w14:val="none"/>
        </w:rPr>
        <w:t xml:space="preserve"> was conducted within Sancta Maria Hospital who in 2021 opened their purpose-built hospital in Swansea. </w:t>
      </w:r>
      <w:r w:rsidR="00AD497B" w:rsidRPr="00B107FA">
        <w:rPr>
          <w:rFonts w:ascii="Arial" w:hAnsi="Arial" w:cs="Arial"/>
          <w:kern w:val="0"/>
          <w:sz w:val="24"/>
          <w:szCs w:val="24"/>
          <w14:ligatures w14:val="none"/>
        </w:rPr>
        <w:t>Operating within a healthcare sector that is experiencing significant clinical staff shortages and increasing turnover rates across the UK (</w:t>
      </w:r>
      <w:proofErr w:type="spellStart"/>
      <w:r w:rsidR="00AD497B" w:rsidRPr="00B107FA">
        <w:rPr>
          <w:rFonts w:ascii="Arial" w:hAnsi="Arial" w:cs="Arial"/>
          <w:kern w:val="0"/>
          <w:sz w:val="24"/>
          <w:szCs w:val="24"/>
          <w14:ligatures w14:val="none"/>
        </w:rPr>
        <w:t>CareQuality</w:t>
      </w:r>
      <w:proofErr w:type="spellEnd"/>
      <w:r w:rsidR="00AD497B" w:rsidRPr="00B107FA">
        <w:rPr>
          <w:rFonts w:ascii="Arial" w:hAnsi="Arial" w:cs="Arial"/>
          <w:kern w:val="0"/>
          <w:sz w:val="24"/>
          <w:szCs w:val="24"/>
          <w14:ligatures w14:val="none"/>
        </w:rPr>
        <w:t xml:space="preserve"> Commission, 2022)</w:t>
      </w:r>
      <w:r w:rsidR="003C1371" w:rsidRPr="00B107FA">
        <w:rPr>
          <w:rFonts w:ascii="Arial" w:hAnsi="Arial" w:cs="Arial"/>
          <w:kern w:val="0"/>
          <w:sz w:val="24"/>
          <w:szCs w:val="24"/>
          <w14:ligatures w14:val="none"/>
        </w:rPr>
        <w:t xml:space="preserve">, a primary focus of the HR strategy has been </w:t>
      </w:r>
      <w:r w:rsidRPr="00B107FA">
        <w:rPr>
          <w:rFonts w:ascii="Arial" w:hAnsi="Arial" w:cs="Arial"/>
          <w:kern w:val="0"/>
          <w:sz w:val="24"/>
          <w:szCs w:val="24"/>
          <w14:ligatures w14:val="none"/>
        </w:rPr>
        <w:t xml:space="preserve">to </w:t>
      </w:r>
      <w:r w:rsidR="003C1371" w:rsidRPr="00B107FA">
        <w:rPr>
          <w:rFonts w:ascii="Arial" w:hAnsi="Arial" w:cs="Arial"/>
          <w:kern w:val="0"/>
          <w:sz w:val="24"/>
          <w:szCs w:val="24"/>
          <w14:ligatures w14:val="none"/>
        </w:rPr>
        <w:t>review the</w:t>
      </w:r>
      <w:r w:rsidRPr="00B107FA">
        <w:rPr>
          <w:rFonts w:ascii="Arial" w:hAnsi="Arial" w:cs="Arial"/>
          <w:kern w:val="0"/>
          <w:sz w:val="24"/>
          <w:szCs w:val="24"/>
          <w14:ligatures w14:val="none"/>
        </w:rPr>
        <w:t xml:space="preserve">ir </w:t>
      </w:r>
      <w:r w:rsidR="003C1371" w:rsidRPr="00B107FA">
        <w:rPr>
          <w:rFonts w:ascii="Arial" w:hAnsi="Arial" w:cs="Arial"/>
          <w:kern w:val="0"/>
          <w:sz w:val="24"/>
          <w:szCs w:val="24"/>
          <w14:ligatures w14:val="none"/>
        </w:rPr>
        <w:t xml:space="preserve">people practices and processes </w:t>
      </w:r>
      <w:r w:rsidRPr="00B107FA">
        <w:rPr>
          <w:rFonts w:ascii="Arial" w:hAnsi="Arial" w:cs="Arial"/>
          <w:kern w:val="0"/>
          <w:sz w:val="24"/>
          <w:szCs w:val="24"/>
          <w14:ligatures w14:val="none"/>
        </w:rPr>
        <w:t xml:space="preserve">to ensure sufficient staffing provisions are met as </w:t>
      </w:r>
      <w:r w:rsidR="00AD48DE" w:rsidRPr="00B107FA">
        <w:rPr>
          <w:rFonts w:ascii="Arial" w:hAnsi="Arial" w:cs="Arial"/>
          <w:kern w:val="0"/>
          <w:sz w:val="24"/>
          <w:szCs w:val="24"/>
          <w14:ligatures w14:val="none"/>
        </w:rPr>
        <w:t xml:space="preserve">recommended by the </w:t>
      </w:r>
      <w:r w:rsidR="003C1371" w:rsidRPr="00B107FA">
        <w:rPr>
          <w:rFonts w:ascii="Arial" w:hAnsi="Arial" w:cs="Arial"/>
          <w:kern w:val="0"/>
          <w:sz w:val="24"/>
          <w:szCs w:val="24"/>
          <w14:ligatures w14:val="none"/>
        </w:rPr>
        <w:t>Health and Social Care Committee</w:t>
      </w:r>
      <w:r w:rsidR="00AD48DE" w:rsidRPr="00B107FA">
        <w:rPr>
          <w:rFonts w:ascii="Arial" w:hAnsi="Arial" w:cs="Arial"/>
          <w:kern w:val="0"/>
          <w:sz w:val="24"/>
          <w:szCs w:val="24"/>
          <w14:ligatures w14:val="none"/>
        </w:rPr>
        <w:t xml:space="preserve"> (</w:t>
      </w:r>
      <w:r w:rsidR="003C1371" w:rsidRPr="00B107FA">
        <w:rPr>
          <w:rFonts w:ascii="Arial" w:hAnsi="Arial" w:cs="Arial"/>
          <w:kern w:val="0"/>
          <w:sz w:val="24"/>
          <w:szCs w:val="24"/>
          <w14:ligatures w14:val="none"/>
        </w:rPr>
        <w:t>2022)</w:t>
      </w:r>
      <w:r w:rsidR="00AD48DE" w:rsidRPr="00B107FA">
        <w:rPr>
          <w:rFonts w:ascii="Arial" w:hAnsi="Arial" w:cs="Arial"/>
          <w:kern w:val="0"/>
          <w:sz w:val="24"/>
          <w:szCs w:val="24"/>
          <w14:ligatures w14:val="none"/>
        </w:rPr>
        <w:t xml:space="preserve">. </w:t>
      </w:r>
    </w:p>
    <w:p w14:paraId="3947994A" w14:textId="77777777" w:rsidR="00B107FA" w:rsidRPr="00B107FA" w:rsidRDefault="00AD48DE"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Walker-Schmidt, Kaul, and Papadakis (2022) </w:t>
      </w:r>
      <w:r w:rsidR="007933C7" w:rsidRPr="00B107FA">
        <w:rPr>
          <w:rFonts w:ascii="Arial" w:hAnsi="Arial" w:cs="Arial"/>
          <w:kern w:val="0"/>
          <w:sz w:val="24"/>
          <w:szCs w:val="24"/>
          <w14:ligatures w14:val="none"/>
        </w:rPr>
        <w:t>vigorously claim</w:t>
      </w:r>
      <w:r w:rsidRPr="00B107FA">
        <w:rPr>
          <w:rFonts w:ascii="Arial" w:hAnsi="Arial" w:cs="Arial"/>
          <w:kern w:val="0"/>
          <w:sz w:val="24"/>
          <w:szCs w:val="24"/>
          <w14:ligatures w14:val="none"/>
        </w:rPr>
        <w:t xml:space="preserve"> that the induction experience is essential to employee engagement which in turn drives staff retention</w:t>
      </w:r>
      <w:r w:rsidR="00AD497B" w:rsidRPr="00B107FA">
        <w:rPr>
          <w:rFonts w:ascii="Arial" w:hAnsi="Arial" w:cs="Arial"/>
          <w:kern w:val="0"/>
          <w:sz w:val="24"/>
          <w:szCs w:val="24"/>
          <w14:ligatures w14:val="none"/>
        </w:rPr>
        <w:t>. W</w:t>
      </w:r>
      <w:r w:rsidRPr="00B107FA">
        <w:rPr>
          <w:rFonts w:ascii="Arial" w:hAnsi="Arial" w:cs="Arial"/>
          <w:kern w:val="0"/>
          <w:sz w:val="24"/>
          <w:szCs w:val="24"/>
          <w14:ligatures w14:val="none"/>
        </w:rPr>
        <w:t xml:space="preserve">ith this considered, </w:t>
      </w:r>
      <w:r w:rsidR="007A18DA" w:rsidRPr="00B107FA">
        <w:rPr>
          <w:rFonts w:ascii="Arial" w:hAnsi="Arial" w:cs="Arial"/>
          <w:kern w:val="0"/>
          <w:sz w:val="24"/>
          <w:szCs w:val="24"/>
          <w14:ligatures w14:val="none"/>
        </w:rPr>
        <w:t>the aim of the research report is to:</w:t>
      </w:r>
      <w:r w:rsidR="00121AE4" w:rsidRPr="00B107FA">
        <w:rPr>
          <w:rFonts w:ascii="Arial" w:hAnsi="Arial" w:cs="Arial"/>
          <w:kern w:val="0"/>
          <w:sz w:val="24"/>
          <w:szCs w:val="24"/>
          <w14:ligatures w14:val="none"/>
        </w:rPr>
        <w:t xml:space="preserve"> </w:t>
      </w:r>
    </w:p>
    <w:p w14:paraId="25380CAE" w14:textId="2E81813C" w:rsidR="008712EA" w:rsidRPr="00B107FA" w:rsidRDefault="00121AE4"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Analyse the overall effectiveness of the staff induction process at Sancta Maria Hospital.</w:t>
      </w:r>
    </w:p>
    <w:p w14:paraId="13ED1D50" w14:textId="7C4FD79B" w:rsidR="00DF55FB" w:rsidRPr="00B107FA" w:rsidRDefault="00DF55FB" w:rsidP="004424A1">
      <w:pPr>
        <w:spacing w:line="600" w:lineRule="auto"/>
        <w:rPr>
          <w:rFonts w:ascii="Arial" w:hAnsi="Arial" w:cs="Arial"/>
          <w:b/>
          <w:bCs/>
          <w:kern w:val="0"/>
          <w:sz w:val="24"/>
          <w:szCs w:val="24"/>
          <w14:ligatures w14:val="none"/>
        </w:rPr>
      </w:pPr>
      <w:r w:rsidRPr="00B107FA">
        <w:rPr>
          <w:rFonts w:ascii="Arial" w:hAnsi="Arial" w:cs="Arial"/>
          <w:b/>
          <w:bCs/>
          <w:kern w:val="0"/>
          <w:sz w:val="24"/>
          <w:szCs w:val="24"/>
          <w14:ligatures w14:val="none"/>
        </w:rPr>
        <w:t>Literature Review</w:t>
      </w:r>
      <w:r w:rsidR="0093168C" w:rsidRPr="00B107FA">
        <w:rPr>
          <w:rFonts w:ascii="Arial" w:hAnsi="Arial" w:cs="Arial"/>
          <w:b/>
          <w:bCs/>
          <w:kern w:val="0"/>
          <w:sz w:val="24"/>
          <w:szCs w:val="24"/>
          <w14:ligatures w14:val="none"/>
        </w:rPr>
        <w:t xml:space="preserve"> </w:t>
      </w:r>
    </w:p>
    <w:p w14:paraId="0EAE0A73" w14:textId="40A6E832" w:rsidR="007933C7" w:rsidRPr="00B107FA" w:rsidRDefault="006118BE"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lastRenderedPageBreak/>
        <w:t>To provide</w:t>
      </w:r>
      <w:r w:rsidR="002B3973" w:rsidRPr="00B107FA">
        <w:rPr>
          <w:rFonts w:ascii="Arial" w:hAnsi="Arial" w:cs="Arial"/>
          <w:kern w:val="0"/>
          <w:sz w:val="24"/>
          <w:szCs w:val="24"/>
          <w14:ligatures w14:val="none"/>
        </w:rPr>
        <w:t xml:space="preserve"> a benchmark </w:t>
      </w:r>
      <w:r w:rsidR="005319D2" w:rsidRPr="00B107FA">
        <w:rPr>
          <w:rFonts w:ascii="Arial" w:hAnsi="Arial" w:cs="Arial"/>
          <w:kern w:val="0"/>
          <w:sz w:val="24"/>
          <w:szCs w:val="24"/>
          <w14:ligatures w14:val="none"/>
        </w:rPr>
        <w:t>in which</w:t>
      </w:r>
      <w:r w:rsidR="002B3973" w:rsidRPr="00B107FA">
        <w:rPr>
          <w:rFonts w:ascii="Arial" w:hAnsi="Arial" w:cs="Arial"/>
          <w:kern w:val="0"/>
          <w:sz w:val="24"/>
          <w:szCs w:val="24"/>
          <w14:ligatures w14:val="none"/>
        </w:rPr>
        <w:t xml:space="preserve"> to assess the ‘effectiveness’ of Sancta Maria’s </w:t>
      </w:r>
      <w:r w:rsidRPr="00B107FA">
        <w:rPr>
          <w:rFonts w:ascii="Arial" w:hAnsi="Arial" w:cs="Arial"/>
          <w:kern w:val="0"/>
          <w:sz w:val="24"/>
          <w:szCs w:val="24"/>
          <w14:ligatures w14:val="none"/>
        </w:rPr>
        <w:t>induction</w:t>
      </w:r>
      <w:r w:rsidR="002B3973" w:rsidRPr="00B107FA">
        <w:rPr>
          <w:rFonts w:ascii="Arial" w:hAnsi="Arial" w:cs="Arial"/>
          <w:kern w:val="0"/>
          <w:sz w:val="24"/>
          <w:szCs w:val="24"/>
          <w14:ligatures w14:val="none"/>
        </w:rPr>
        <w:t xml:space="preserve"> process</w:t>
      </w:r>
      <w:r w:rsidRPr="00B107FA">
        <w:rPr>
          <w:rFonts w:ascii="Arial" w:hAnsi="Arial" w:cs="Arial"/>
          <w:kern w:val="0"/>
          <w:sz w:val="24"/>
          <w:szCs w:val="24"/>
          <w14:ligatures w14:val="none"/>
        </w:rPr>
        <w:t xml:space="preserve">, a literature review was first undertaken </w:t>
      </w:r>
      <w:r w:rsidR="002B3973" w:rsidRPr="00B107FA">
        <w:rPr>
          <w:rFonts w:ascii="Arial" w:hAnsi="Arial" w:cs="Arial"/>
          <w:kern w:val="0"/>
          <w:sz w:val="24"/>
          <w:szCs w:val="24"/>
          <w14:ligatures w14:val="none"/>
        </w:rPr>
        <w:t>(Birnbaum and Greenberg, 2017)</w:t>
      </w:r>
      <w:r w:rsidR="007933C7" w:rsidRPr="00B107FA">
        <w:rPr>
          <w:rFonts w:ascii="Arial" w:hAnsi="Arial" w:cs="Arial"/>
          <w:kern w:val="0"/>
          <w:sz w:val="24"/>
          <w:szCs w:val="24"/>
          <w14:ligatures w14:val="none"/>
        </w:rPr>
        <w:t xml:space="preserve">. </w:t>
      </w:r>
    </w:p>
    <w:p w14:paraId="378CDF33" w14:textId="3D3B871A" w:rsidR="00467848" w:rsidRPr="00B107FA" w:rsidRDefault="009A40CB" w:rsidP="004424A1">
      <w:pPr>
        <w:spacing w:line="600" w:lineRule="auto"/>
        <w:rPr>
          <w:rFonts w:ascii="Arial" w:hAnsi="Arial" w:cs="Arial"/>
          <w:kern w:val="0"/>
          <w:sz w:val="24"/>
          <w:szCs w:val="24"/>
          <w14:ligatures w14:val="none"/>
        </w:rPr>
      </w:pPr>
      <w:r>
        <w:rPr>
          <w:rFonts w:ascii="Arial" w:hAnsi="Arial" w:cs="Arial"/>
          <w:kern w:val="0"/>
          <w:sz w:val="24"/>
          <w:szCs w:val="24"/>
          <w14:ligatures w14:val="none"/>
        </w:rPr>
        <w:t>The Purpose of Inductions</w:t>
      </w:r>
      <w:r w:rsidR="00884009" w:rsidRPr="00B107FA">
        <w:rPr>
          <w:rFonts w:ascii="Arial" w:hAnsi="Arial" w:cs="Arial"/>
          <w:kern w:val="0"/>
          <w:sz w:val="24"/>
          <w:szCs w:val="24"/>
          <w14:ligatures w14:val="none"/>
        </w:rPr>
        <w:t>:</w:t>
      </w:r>
      <w:r w:rsidR="00B107FA" w:rsidRPr="00B107FA">
        <w:rPr>
          <w:rFonts w:ascii="Arial" w:hAnsi="Arial" w:cs="Arial"/>
          <w:kern w:val="0"/>
          <w:sz w:val="24"/>
          <w:szCs w:val="24"/>
          <w14:ligatures w14:val="none"/>
        </w:rPr>
        <w:t xml:space="preserve">  In order to analyse effectiveness, the purpose was first considered for which c</w:t>
      </w:r>
      <w:r w:rsidR="005319D2" w:rsidRPr="00B107FA">
        <w:rPr>
          <w:rFonts w:ascii="Arial" w:hAnsi="Arial" w:cs="Arial"/>
          <w:kern w:val="0"/>
          <w:sz w:val="24"/>
          <w:szCs w:val="24"/>
          <w14:ligatures w14:val="none"/>
        </w:rPr>
        <w:t xml:space="preserve">onflicting </w:t>
      </w:r>
      <w:r w:rsidR="00B107FA" w:rsidRPr="00B107FA">
        <w:rPr>
          <w:rFonts w:ascii="Arial" w:hAnsi="Arial" w:cs="Arial"/>
          <w:kern w:val="0"/>
          <w:sz w:val="24"/>
          <w:szCs w:val="24"/>
          <w14:ligatures w14:val="none"/>
        </w:rPr>
        <w:t>views</w:t>
      </w:r>
      <w:r w:rsidR="005319D2" w:rsidRPr="00B107FA">
        <w:rPr>
          <w:rFonts w:ascii="Arial" w:hAnsi="Arial" w:cs="Arial"/>
          <w:kern w:val="0"/>
          <w:sz w:val="24"/>
          <w:szCs w:val="24"/>
          <w14:ligatures w14:val="none"/>
        </w:rPr>
        <w:t xml:space="preserve"> were </w:t>
      </w:r>
      <w:r w:rsidR="00B107FA" w:rsidRPr="00B107FA">
        <w:rPr>
          <w:rFonts w:ascii="Arial" w:hAnsi="Arial" w:cs="Arial"/>
          <w:kern w:val="0"/>
          <w:sz w:val="24"/>
          <w:szCs w:val="24"/>
          <w14:ligatures w14:val="none"/>
        </w:rPr>
        <w:t>identified</w:t>
      </w:r>
      <w:r w:rsidR="005319D2" w:rsidRPr="00B107FA">
        <w:rPr>
          <w:rFonts w:ascii="Arial" w:hAnsi="Arial" w:cs="Arial"/>
          <w:kern w:val="0"/>
          <w:sz w:val="24"/>
          <w:szCs w:val="24"/>
          <w14:ligatures w14:val="none"/>
        </w:rPr>
        <w:t xml:space="preserve"> with </w:t>
      </w:r>
      <w:r w:rsidR="00810FCC" w:rsidRPr="00B107FA">
        <w:rPr>
          <w:rFonts w:ascii="Arial" w:hAnsi="Arial" w:cs="Arial"/>
          <w:kern w:val="0"/>
          <w:sz w:val="24"/>
          <w:szCs w:val="24"/>
          <w14:ligatures w14:val="none"/>
        </w:rPr>
        <w:t>ACAS</w:t>
      </w:r>
      <w:r w:rsidR="00CB4BF2" w:rsidRPr="00B107FA">
        <w:rPr>
          <w:rFonts w:ascii="Arial" w:hAnsi="Arial" w:cs="Arial"/>
          <w:kern w:val="0"/>
          <w:sz w:val="24"/>
          <w:szCs w:val="24"/>
          <w14:ligatures w14:val="none"/>
        </w:rPr>
        <w:t xml:space="preserve"> </w:t>
      </w:r>
      <w:r w:rsidR="005319D2" w:rsidRPr="00B107FA">
        <w:rPr>
          <w:rFonts w:ascii="Arial" w:hAnsi="Arial" w:cs="Arial"/>
          <w:kern w:val="0"/>
          <w:sz w:val="24"/>
          <w:szCs w:val="24"/>
          <w14:ligatures w14:val="none"/>
        </w:rPr>
        <w:t>(</w:t>
      </w:r>
      <w:r w:rsidR="00810FCC" w:rsidRPr="00B107FA">
        <w:rPr>
          <w:rFonts w:ascii="Arial" w:hAnsi="Arial" w:cs="Arial"/>
          <w:kern w:val="0"/>
          <w:sz w:val="24"/>
          <w:szCs w:val="24"/>
          <w14:ligatures w14:val="none"/>
        </w:rPr>
        <w:t>2015)</w:t>
      </w:r>
      <w:r w:rsidR="005319D2" w:rsidRPr="00B107FA">
        <w:rPr>
          <w:rFonts w:ascii="Arial" w:hAnsi="Arial" w:cs="Arial"/>
          <w:kern w:val="0"/>
          <w:sz w:val="24"/>
          <w:szCs w:val="24"/>
          <w14:ligatures w14:val="none"/>
        </w:rPr>
        <w:t xml:space="preserve"> describing it as a compliance tool</w:t>
      </w:r>
      <w:r w:rsidR="00B107FA" w:rsidRPr="00B107FA">
        <w:rPr>
          <w:rFonts w:ascii="Arial" w:hAnsi="Arial" w:cs="Arial"/>
          <w:kern w:val="0"/>
          <w:sz w:val="24"/>
          <w:szCs w:val="24"/>
          <w14:ligatures w14:val="none"/>
        </w:rPr>
        <w:t>,</w:t>
      </w:r>
      <w:r w:rsidR="005319D2" w:rsidRPr="00B107FA">
        <w:rPr>
          <w:rFonts w:ascii="Arial" w:hAnsi="Arial" w:cs="Arial"/>
          <w:kern w:val="0"/>
          <w:sz w:val="24"/>
          <w:szCs w:val="24"/>
          <w14:ligatures w14:val="none"/>
        </w:rPr>
        <w:t xml:space="preserve"> whilst others p</w:t>
      </w:r>
      <w:r w:rsidR="008159E9" w:rsidRPr="00B107FA">
        <w:rPr>
          <w:rFonts w:ascii="Arial" w:hAnsi="Arial" w:cs="Arial"/>
          <w:kern w:val="0"/>
          <w:sz w:val="24"/>
          <w:szCs w:val="24"/>
          <w14:ligatures w14:val="none"/>
        </w:rPr>
        <w:t>romot</w:t>
      </w:r>
      <w:r w:rsidR="005319D2" w:rsidRPr="00B107FA">
        <w:rPr>
          <w:rFonts w:ascii="Arial" w:hAnsi="Arial" w:cs="Arial"/>
          <w:kern w:val="0"/>
          <w:sz w:val="24"/>
          <w:szCs w:val="24"/>
          <w14:ligatures w14:val="none"/>
        </w:rPr>
        <w:t>ed</w:t>
      </w:r>
      <w:r w:rsidR="008159E9" w:rsidRPr="00B107FA">
        <w:rPr>
          <w:rFonts w:ascii="Arial" w:hAnsi="Arial" w:cs="Arial"/>
          <w:kern w:val="0"/>
          <w:sz w:val="24"/>
          <w:szCs w:val="24"/>
          <w14:ligatures w14:val="none"/>
        </w:rPr>
        <w:t xml:space="preserve"> employee experience</w:t>
      </w:r>
      <w:r w:rsidR="00810FCC" w:rsidRPr="00B107FA">
        <w:rPr>
          <w:rFonts w:ascii="Arial" w:hAnsi="Arial" w:cs="Arial"/>
          <w:kern w:val="0"/>
          <w:sz w:val="24"/>
          <w:szCs w:val="24"/>
          <w14:ligatures w14:val="none"/>
        </w:rPr>
        <w:t xml:space="preserve"> to drive </w:t>
      </w:r>
      <w:r w:rsidR="008159E9" w:rsidRPr="00B107FA">
        <w:rPr>
          <w:rFonts w:ascii="Arial" w:hAnsi="Arial" w:cs="Arial"/>
          <w:kern w:val="0"/>
          <w:sz w:val="24"/>
          <w:szCs w:val="24"/>
          <w14:ligatures w14:val="none"/>
        </w:rPr>
        <w:t xml:space="preserve">staff engagement and a positive organisational culture (Gray, 2023). </w:t>
      </w:r>
    </w:p>
    <w:p w14:paraId="37EABE6F" w14:textId="671109B0" w:rsidR="00810FCC" w:rsidRPr="00B107FA" w:rsidRDefault="007A18DA"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The i</w:t>
      </w:r>
      <w:r w:rsidR="00810FCC" w:rsidRPr="00B107FA">
        <w:rPr>
          <w:rFonts w:ascii="Arial" w:hAnsi="Arial" w:cs="Arial"/>
          <w:kern w:val="0"/>
          <w:sz w:val="24"/>
          <w:szCs w:val="24"/>
          <w14:ligatures w14:val="none"/>
        </w:rPr>
        <w:t>mportance of Socialisation:</w:t>
      </w:r>
      <w:r w:rsidR="0063249B" w:rsidRPr="00B107FA">
        <w:rPr>
          <w:rFonts w:ascii="Arial" w:hAnsi="Arial" w:cs="Arial"/>
          <w:kern w:val="0"/>
          <w:sz w:val="24"/>
          <w:szCs w:val="24"/>
          <w14:ligatures w14:val="none"/>
        </w:rPr>
        <w:t xml:space="preserve"> </w:t>
      </w:r>
      <w:r w:rsidR="00CB4BF2" w:rsidRPr="00B107FA">
        <w:rPr>
          <w:rFonts w:ascii="Arial" w:hAnsi="Arial" w:cs="Arial"/>
          <w:kern w:val="0"/>
          <w:sz w:val="24"/>
          <w:szCs w:val="24"/>
          <w14:ligatures w14:val="none"/>
        </w:rPr>
        <w:t xml:space="preserve">Summarised </w:t>
      </w:r>
      <w:r w:rsidR="0063249B" w:rsidRPr="00B107FA">
        <w:rPr>
          <w:rFonts w:ascii="Arial" w:hAnsi="Arial" w:cs="Arial"/>
          <w:kern w:val="0"/>
          <w:sz w:val="24"/>
          <w:szCs w:val="24"/>
          <w14:ligatures w14:val="none"/>
        </w:rPr>
        <w:t xml:space="preserve">as a fundamental human need, </w:t>
      </w:r>
      <w:r w:rsidR="00B107FA" w:rsidRPr="00B107FA">
        <w:rPr>
          <w:rFonts w:ascii="Arial" w:hAnsi="Arial" w:cs="Arial"/>
          <w:kern w:val="0"/>
          <w:sz w:val="24"/>
          <w:szCs w:val="24"/>
          <w14:ligatures w14:val="none"/>
        </w:rPr>
        <w:t xml:space="preserve">it was proposed that </w:t>
      </w:r>
      <w:r w:rsidR="0063249B" w:rsidRPr="00B107FA">
        <w:rPr>
          <w:rFonts w:ascii="Arial" w:hAnsi="Arial" w:cs="Arial"/>
          <w:kern w:val="0"/>
          <w:sz w:val="24"/>
          <w:szCs w:val="24"/>
          <w14:ligatures w14:val="none"/>
        </w:rPr>
        <w:t>poor socialisation can lead to feelings of isolation, lower organisational commitment, and increased staff turnover</w:t>
      </w:r>
      <w:r w:rsidR="00B107FA" w:rsidRPr="00B107FA">
        <w:rPr>
          <w:rFonts w:ascii="Arial" w:hAnsi="Arial" w:cs="Arial"/>
          <w:kern w:val="0"/>
          <w:sz w:val="24"/>
          <w:szCs w:val="24"/>
          <w14:ligatures w14:val="none"/>
        </w:rPr>
        <w:t xml:space="preserve">, all of which are therefore essential to experience during inductions </w:t>
      </w:r>
      <w:r w:rsidR="0063249B" w:rsidRPr="00B107FA">
        <w:rPr>
          <w:rFonts w:ascii="Arial" w:hAnsi="Arial" w:cs="Arial"/>
          <w:kern w:val="0"/>
          <w:sz w:val="24"/>
          <w:szCs w:val="24"/>
          <w14:ligatures w14:val="none"/>
        </w:rPr>
        <w:t xml:space="preserve">(Carr, 2019). </w:t>
      </w:r>
    </w:p>
    <w:p w14:paraId="21572E9E" w14:textId="7893B90D" w:rsidR="00DF55FB" w:rsidRPr="00B107FA" w:rsidRDefault="00457707"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Consequences of Poor Inductions:</w:t>
      </w:r>
      <w:r w:rsidR="002B3973" w:rsidRPr="00B107FA">
        <w:rPr>
          <w:rFonts w:ascii="Arial" w:hAnsi="Arial" w:cs="Arial"/>
          <w:kern w:val="0"/>
          <w:sz w:val="24"/>
          <w:szCs w:val="24"/>
          <w14:ligatures w14:val="none"/>
        </w:rPr>
        <w:t xml:space="preserve"> </w:t>
      </w:r>
      <w:r w:rsidRPr="00B107FA">
        <w:rPr>
          <w:rFonts w:ascii="Arial" w:hAnsi="Arial" w:cs="Arial"/>
          <w:kern w:val="0"/>
          <w:sz w:val="24"/>
          <w:szCs w:val="24"/>
          <w14:ligatures w14:val="none"/>
        </w:rPr>
        <w:t xml:space="preserve">Further supporting the need to review the induction process, </w:t>
      </w:r>
      <w:r w:rsidR="00810FCC" w:rsidRPr="00B107FA">
        <w:rPr>
          <w:rFonts w:ascii="Arial" w:hAnsi="Arial" w:cs="Arial"/>
          <w:kern w:val="0"/>
          <w:sz w:val="24"/>
          <w:szCs w:val="24"/>
          <w14:ligatures w14:val="none"/>
        </w:rPr>
        <w:t>Maurer (2018) cites poor performance, low staff engagement, and increased staff turnover as a consequences and indicator of a poor induction</w:t>
      </w:r>
      <w:r w:rsidR="00CB4BF2" w:rsidRPr="00B107FA">
        <w:rPr>
          <w:rFonts w:ascii="Arial" w:hAnsi="Arial" w:cs="Arial"/>
          <w:kern w:val="0"/>
          <w:sz w:val="24"/>
          <w:szCs w:val="24"/>
          <w14:ligatures w14:val="none"/>
        </w:rPr>
        <w:t>.</w:t>
      </w:r>
    </w:p>
    <w:p w14:paraId="43BD6B34" w14:textId="59D7A932" w:rsidR="00DF55FB" w:rsidRPr="00B107FA" w:rsidRDefault="00DF55FB" w:rsidP="004424A1">
      <w:pPr>
        <w:spacing w:line="600" w:lineRule="auto"/>
        <w:rPr>
          <w:rFonts w:ascii="Arial" w:hAnsi="Arial" w:cs="Arial"/>
          <w:b/>
          <w:bCs/>
          <w:kern w:val="0"/>
          <w:sz w:val="24"/>
          <w:szCs w:val="24"/>
          <w14:ligatures w14:val="none"/>
        </w:rPr>
      </w:pPr>
      <w:r w:rsidRPr="00B107FA">
        <w:rPr>
          <w:rFonts w:ascii="Arial" w:hAnsi="Arial" w:cs="Arial"/>
          <w:b/>
          <w:bCs/>
          <w:kern w:val="0"/>
          <w:sz w:val="24"/>
          <w:szCs w:val="24"/>
          <w14:ligatures w14:val="none"/>
        </w:rPr>
        <w:t>Methodology</w:t>
      </w:r>
      <w:r w:rsidR="0093168C" w:rsidRPr="00B107FA">
        <w:rPr>
          <w:rFonts w:ascii="Arial" w:hAnsi="Arial" w:cs="Arial"/>
          <w:b/>
          <w:bCs/>
          <w:kern w:val="0"/>
          <w:sz w:val="24"/>
          <w:szCs w:val="24"/>
          <w14:ligatures w14:val="none"/>
        </w:rPr>
        <w:t xml:space="preserve"> </w:t>
      </w:r>
    </w:p>
    <w:p w14:paraId="0872630D" w14:textId="77777777" w:rsidR="009A40CB" w:rsidRPr="009A40CB" w:rsidRDefault="009A40CB" w:rsidP="004424A1">
      <w:pPr>
        <w:spacing w:line="600" w:lineRule="auto"/>
        <w:rPr>
          <w:rFonts w:ascii="Arial" w:hAnsi="Arial" w:cs="Arial"/>
          <w:kern w:val="0"/>
          <w:sz w:val="24"/>
          <w:szCs w:val="24"/>
          <w14:ligatures w14:val="none"/>
        </w:rPr>
      </w:pPr>
      <w:r w:rsidRPr="009A40CB">
        <w:rPr>
          <w:rFonts w:ascii="Arial" w:hAnsi="Arial" w:cs="Arial"/>
          <w:kern w:val="0"/>
          <w:sz w:val="24"/>
          <w:szCs w:val="24"/>
          <w14:ligatures w14:val="none"/>
        </w:rPr>
        <w:t xml:space="preserve">To ensure validity and a comprehensive review of the data, a mixed methodology approach was chosen (Creswell, 2023). In reviewing the various primary research methods available, focus groups were identified as the appropriate data collection method. </w:t>
      </w:r>
    </w:p>
    <w:p w14:paraId="47407B47" w14:textId="745BFFD4" w:rsidR="007933C7" w:rsidRPr="00B107FA" w:rsidRDefault="00976221"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In reviewing the various primary research methods available, focus groups were identified as the appropriate data collection method</w:t>
      </w:r>
      <w:r w:rsidR="005F5A17">
        <w:rPr>
          <w:rFonts w:ascii="Arial" w:hAnsi="Arial" w:cs="Arial"/>
          <w:kern w:val="0"/>
          <w:sz w:val="24"/>
          <w:szCs w:val="24"/>
          <w14:ligatures w14:val="none"/>
        </w:rPr>
        <w:t xml:space="preserve"> (</w:t>
      </w:r>
      <w:r w:rsidR="005F5A17" w:rsidRPr="00B107FA">
        <w:rPr>
          <w:rFonts w:ascii="Arial" w:hAnsi="Arial" w:cs="Arial"/>
          <w:kern w:val="0"/>
          <w:sz w:val="24"/>
          <w:szCs w:val="24"/>
          <w14:ligatures w14:val="none"/>
        </w:rPr>
        <w:t>Flick, 2018</w:t>
      </w:r>
      <w:r w:rsidR="005F5A17">
        <w:rPr>
          <w:rFonts w:ascii="Arial" w:hAnsi="Arial" w:cs="Arial"/>
          <w:kern w:val="0"/>
          <w:sz w:val="24"/>
          <w:szCs w:val="24"/>
          <w14:ligatures w14:val="none"/>
        </w:rPr>
        <w:t>)</w:t>
      </w:r>
      <w:r w:rsidRPr="00B107FA">
        <w:rPr>
          <w:rFonts w:ascii="Arial" w:hAnsi="Arial" w:cs="Arial"/>
          <w:kern w:val="0"/>
          <w:sz w:val="24"/>
          <w:szCs w:val="24"/>
          <w14:ligatures w14:val="none"/>
        </w:rPr>
        <w:t xml:space="preserve">. </w:t>
      </w:r>
    </w:p>
    <w:p w14:paraId="3F452E0C" w14:textId="01DB9DE4" w:rsidR="002F6779" w:rsidRPr="00B107FA" w:rsidRDefault="002F6779"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Quantitative data was obtained from a review of exit interviews undertaken to add </w:t>
      </w:r>
      <w:r w:rsidR="007A18DA" w:rsidRPr="00B107FA">
        <w:rPr>
          <w:rFonts w:ascii="Arial" w:hAnsi="Arial" w:cs="Arial"/>
          <w:kern w:val="0"/>
          <w:sz w:val="24"/>
          <w:szCs w:val="24"/>
          <w14:ligatures w14:val="none"/>
        </w:rPr>
        <w:t>vigor</w:t>
      </w:r>
      <w:r w:rsidRPr="00B107FA">
        <w:rPr>
          <w:rFonts w:ascii="Arial" w:hAnsi="Arial" w:cs="Arial"/>
          <w:kern w:val="0"/>
          <w:sz w:val="24"/>
          <w:szCs w:val="24"/>
          <w14:ligatures w14:val="none"/>
        </w:rPr>
        <w:t xml:space="preserve"> to the analysis</w:t>
      </w:r>
      <w:r w:rsidR="00DB613E" w:rsidRPr="00B107FA">
        <w:rPr>
          <w:rFonts w:ascii="Arial" w:hAnsi="Arial" w:cs="Arial"/>
          <w:kern w:val="0"/>
          <w:sz w:val="24"/>
          <w:szCs w:val="24"/>
          <w14:ligatures w14:val="none"/>
        </w:rPr>
        <w:t xml:space="preserve"> (Yin, 2018)</w:t>
      </w:r>
      <w:r w:rsidRPr="00B107FA">
        <w:rPr>
          <w:rFonts w:ascii="Arial" w:hAnsi="Arial" w:cs="Arial"/>
          <w:kern w:val="0"/>
          <w:sz w:val="24"/>
          <w:szCs w:val="24"/>
          <w14:ligatures w14:val="none"/>
        </w:rPr>
        <w:t xml:space="preserve">.  </w:t>
      </w:r>
    </w:p>
    <w:p w14:paraId="27CBC10D" w14:textId="2F3B273C" w:rsidR="00976221" w:rsidRPr="00B107FA" w:rsidRDefault="004E6B9F"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Number of Participants:</w:t>
      </w:r>
      <w:r w:rsidR="005F5A17">
        <w:rPr>
          <w:rFonts w:ascii="Arial" w:hAnsi="Arial" w:cs="Arial"/>
          <w:kern w:val="0"/>
          <w:sz w:val="24"/>
          <w:szCs w:val="24"/>
          <w14:ligatures w14:val="none"/>
        </w:rPr>
        <w:t xml:space="preserve"> </w:t>
      </w:r>
      <w:r w:rsidRPr="00B107FA">
        <w:rPr>
          <w:rFonts w:ascii="Arial" w:hAnsi="Arial" w:cs="Arial"/>
          <w:kern w:val="0"/>
          <w:sz w:val="24"/>
          <w:szCs w:val="24"/>
          <w14:ligatures w14:val="none"/>
        </w:rPr>
        <w:t xml:space="preserve">Two focus groups consisting of ten people each. </w:t>
      </w:r>
    </w:p>
    <w:p w14:paraId="294AD98E" w14:textId="3C8AADD2" w:rsidR="002F6779" w:rsidRPr="00B107FA" w:rsidRDefault="002F6779"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Participant Selection: </w:t>
      </w:r>
      <w:r w:rsidR="00B107FA" w:rsidRPr="00B107FA">
        <w:rPr>
          <w:rFonts w:ascii="Arial" w:hAnsi="Arial" w:cs="Arial"/>
          <w:kern w:val="0"/>
          <w:sz w:val="24"/>
          <w:szCs w:val="24"/>
          <w14:ligatures w14:val="none"/>
        </w:rPr>
        <w:t>R</w:t>
      </w:r>
      <w:r w:rsidRPr="00B107FA">
        <w:rPr>
          <w:rFonts w:ascii="Arial" w:hAnsi="Arial" w:cs="Arial"/>
          <w:kern w:val="0"/>
          <w:sz w:val="24"/>
          <w:szCs w:val="24"/>
          <w14:ligatures w14:val="none"/>
        </w:rPr>
        <w:t>equest for each department to have a participant attend each focus group</w:t>
      </w:r>
      <w:r w:rsidR="007933C7" w:rsidRPr="00B107FA">
        <w:rPr>
          <w:rFonts w:ascii="Arial" w:hAnsi="Arial" w:cs="Arial"/>
          <w:kern w:val="0"/>
          <w:sz w:val="24"/>
          <w:szCs w:val="24"/>
          <w14:ligatures w14:val="none"/>
        </w:rPr>
        <w:t xml:space="preserve">. </w:t>
      </w:r>
      <w:r w:rsidRPr="00B107FA">
        <w:rPr>
          <w:rFonts w:ascii="Arial" w:hAnsi="Arial" w:cs="Arial"/>
          <w:kern w:val="0"/>
          <w:sz w:val="24"/>
          <w:szCs w:val="24"/>
          <w14:ligatures w14:val="none"/>
        </w:rPr>
        <w:t xml:space="preserve"> </w:t>
      </w:r>
    </w:p>
    <w:p w14:paraId="50547876" w14:textId="06724479" w:rsidR="002F6779" w:rsidRDefault="002F6779"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Analysis Method: Thematic Analysis set out in report. </w:t>
      </w:r>
      <w:r w:rsidRPr="00B107FA">
        <w:rPr>
          <w:rFonts w:ascii="Arial" w:hAnsi="Arial" w:cs="Arial"/>
          <w:kern w:val="0"/>
          <w:sz w:val="24"/>
          <w:szCs w:val="24"/>
          <w14:ligatures w14:val="none"/>
        </w:rPr>
        <w:tab/>
      </w:r>
    </w:p>
    <w:p w14:paraId="013A3C0E" w14:textId="1DAEE6B2" w:rsidR="00D13227" w:rsidRPr="00D13227" w:rsidRDefault="00D13227" w:rsidP="004424A1">
      <w:pPr>
        <w:spacing w:line="600" w:lineRule="auto"/>
        <w:rPr>
          <w:rFonts w:ascii="Arial" w:hAnsi="Arial" w:cs="Arial"/>
          <w:kern w:val="0"/>
          <w:sz w:val="24"/>
          <w:szCs w:val="24"/>
          <w14:ligatures w14:val="none"/>
        </w:rPr>
      </w:pPr>
      <w:r w:rsidRPr="00D13227">
        <w:rPr>
          <w:rFonts w:ascii="Arial" w:hAnsi="Arial" w:cs="Arial"/>
          <w:kern w:val="0"/>
          <w:sz w:val="24"/>
          <w:szCs w:val="24"/>
          <w14:ligatures w14:val="none"/>
        </w:rPr>
        <w:t>Ethical Considerations</w:t>
      </w:r>
      <w:r>
        <w:rPr>
          <w:rFonts w:ascii="Arial" w:hAnsi="Arial" w:cs="Arial"/>
          <w:kern w:val="0"/>
          <w:sz w:val="24"/>
          <w:szCs w:val="24"/>
          <w14:ligatures w14:val="none"/>
        </w:rPr>
        <w:t xml:space="preserve">: </w:t>
      </w:r>
      <w:r w:rsidRPr="00D13227">
        <w:rPr>
          <w:rFonts w:ascii="Arial" w:hAnsi="Arial" w:cs="Arial"/>
          <w:kern w:val="0"/>
          <w:sz w:val="24"/>
          <w:szCs w:val="24"/>
          <w14:ligatures w14:val="none"/>
        </w:rPr>
        <w:t xml:space="preserve">Consent, Confidentiality, &amp; Risk of Harm </w:t>
      </w:r>
    </w:p>
    <w:p w14:paraId="13043256" w14:textId="77777777" w:rsidR="00D13227" w:rsidRPr="00B107FA" w:rsidRDefault="00D13227" w:rsidP="004424A1">
      <w:pPr>
        <w:spacing w:line="600" w:lineRule="auto"/>
        <w:rPr>
          <w:rFonts w:ascii="Arial" w:hAnsi="Arial" w:cs="Arial"/>
          <w:kern w:val="0"/>
          <w:sz w:val="24"/>
          <w:szCs w:val="24"/>
          <w14:ligatures w14:val="none"/>
        </w:rPr>
      </w:pPr>
    </w:p>
    <w:p w14:paraId="54C683BB" w14:textId="71E05D78" w:rsidR="00DF55FB" w:rsidRPr="00B107FA" w:rsidRDefault="00DF55FB" w:rsidP="004424A1">
      <w:pPr>
        <w:spacing w:line="600" w:lineRule="auto"/>
        <w:rPr>
          <w:rFonts w:ascii="Arial" w:hAnsi="Arial" w:cs="Arial"/>
          <w:b/>
          <w:bCs/>
          <w:kern w:val="0"/>
          <w:sz w:val="24"/>
          <w:szCs w:val="24"/>
          <w14:ligatures w14:val="none"/>
        </w:rPr>
      </w:pPr>
      <w:r w:rsidRPr="00B107FA">
        <w:rPr>
          <w:rFonts w:ascii="Arial" w:hAnsi="Arial" w:cs="Arial"/>
          <w:b/>
          <w:bCs/>
          <w:kern w:val="0"/>
          <w:sz w:val="24"/>
          <w:szCs w:val="24"/>
          <w14:ligatures w14:val="none"/>
        </w:rPr>
        <w:t>Findings</w:t>
      </w:r>
      <w:r w:rsidR="008712EA" w:rsidRPr="00B107FA">
        <w:rPr>
          <w:rFonts w:ascii="Arial" w:hAnsi="Arial" w:cs="Arial"/>
          <w:b/>
          <w:bCs/>
          <w:kern w:val="0"/>
          <w:sz w:val="24"/>
          <w:szCs w:val="24"/>
          <w14:ligatures w14:val="none"/>
        </w:rPr>
        <w:t xml:space="preserve"> </w:t>
      </w:r>
    </w:p>
    <w:p w14:paraId="245A81B1" w14:textId="7AFFC9F7" w:rsidR="002F48F6" w:rsidRPr="00B107FA" w:rsidRDefault="002F48F6"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In considering the research aim, the following themes were identified in analysing the focus group and exit interview data to evaluate the effectiveness of the induction process. </w:t>
      </w:r>
    </w:p>
    <w:p w14:paraId="465B94C9" w14:textId="5E951649" w:rsidR="002F48F6" w:rsidRPr="00B107FA" w:rsidRDefault="002F48F6" w:rsidP="004424A1">
      <w:pPr>
        <w:spacing w:line="600" w:lineRule="auto"/>
        <w:rPr>
          <w:rFonts w:ascii="Arial" w:hAnsi="Arial" w:cs="Arial"/>
          <w:kern w:val="0"/>
          <w:sz w:val="24"/>
          <w:szCs w:val="24"/>
          <w:u w:val="single"/>
          <w14:ligatures w14:val="none"/>
        </w:rPr>
      </w:pPr>
      <w:r w:rsidRPr="00B107FA">
        <w:rPr>
          <w:rFonts w:ascii="Arial" w:hAnsi="Arial" w:cs="Arial"/>
          <w:kern w:val="0"/>
          <w:sz w:val="24"/>
          <w:szCs w:val="24"/>
          <w:u w:val="single"/>
          <w14:ligatures w14:val="none"/>
        </w:rPr>
        <w:t>Positive Socialisation</w:t>
      </w:r>
    </w:p>
    <w:p w14:paraId="69C9DD5F" w14:textId="566646C3" w:rsidR="002F48F6" w:rsidRPr="00B107FA" w:rsidRDefault="002F48F6"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Positive socialisation was reported </w:t>
      </w:r>
      <w:r w:rsidR="00805A9A" w:rsidRPr="00B107FA">
        <w:rPr>
          <w:rFonts w:ascii="Arial" w:hAnsi="Arial" w:cs="Arial"/>
          <w:kern w:val="0"/>
          <w:sz w:val="24"/>
          <w:szCs w:val="24"/>
          <w14:ligatures w14:val="none"/>
        </w:rPr>
        <w:t>demonstrating a positive induction experience in this area</w:t>
      </w:r>
      <w:r w:rsidRPr="00B107FA">
        <w:rPr>
          <w:rFonts w:ascii="Arial" w:hAnsi="Arial" w:cs="Arial"/>
          <w:kern w:val="0"/>
          <w:sz w:val="24"/>
          <w:szCs w:val="24"/>
          <w14:ligatures w14:val="none"/>
        </w:rPr>
        <w:t xml:space="preserve"> </w:t>
      </w:r>
      <w:r w:rsidR="00805A9A" w:rsidRPr="00B107FA">
        <w:rPr>
          <w:rFonts w:ascii="Arial" w:hAnsi="Arial" w:cs="Arial"/>
          <w:kern w:val="0"/>
          <w:sz w:val="24"/>
          <w:szCs w:val="24"/>
          <w14:ligatures w14:val="none"/>
        </w:rPr>
        <w:t xml:space="preserve">(McCartney, 2022). </w:t>
      </w:r>
    </w:p>
    <w:p w14:paraId="0248BEC8" w14:textId="4408CBCD" w:rsidR="00805A9A" w:rsidRPr="00B107FA" w:rsidRDefault="00805A9A" w:rsidP="004424A1">
      <w:pPr>
        <w:spacing w:line="600" w:lineRule="auto"/>
        <w:jc w:val="center"/>
        <w:rPr>
          <w:rFonts w:ascii="Arial" w:hAnsi="Arial" w:cs="Arial"/>
          <w:kern w:val="0"/>
          <w:sz w:val="24"/>
          <w:szCs w:val="24"/>
          <w14:ligatures w14:val="none"/>
        </w:rPr>
      </w:pPr>
      <w:r w:rsidRPr="00B107FA">
        <w:rPr>
          <w:rFonts w:ascii="Arial" w:hAnsi="Arial" w:cs="Arial"/>
          <w:kern w:val="0"/>
          <w:sz w:val="24"/>
          <w:szCs w:val="24"/>
          <w14:ligatures w14:val="none"/>
        </w:rPr>
        <w:t>“Staff are friendly, welcoming, and supportive”.</w:t>
      </w:r>
    </w:p>
    <w:p w14:paraId="2934A9E4" w14:textId="77777777" w:rsidR="00805A9A" w:rsidRPr="00B107FA" w:rsidRDefault="00805A9A" w:rsidP="004424A1">
      <w:pPr>
        <w:spacing w:line="600" w:lineRule="auto"/>
        <w:jc w:val="center"/>
        <w:rPr>
          <w:rFonts w:ascii="Arial" w:hAnsi="Arial" w:cs="Arial"/>
          <w:kern w:val="0"/>
          <w:sz w:val="24"/>
          <w:szCs w:val="24"/>
          <w14:ligatures w14:val="none"/>
        </w:rPr>
      </w:pPr>
      <w:r w:rsidRPr="00B107FA">
        <w:rPr>
          <w:rFonts w:ascii="Arial" w:hAnsi="Arial" w:cs="Arial"/>
          <w:kern w:val="0"/>
          <w:sz w:val="24"/>
          <w:szCs w:val="24"/>
          <w14:ligatures w14:val="none"/>
        </w:rPr>
        <w:t>“Everyone you did meet was friendly and welcoming”.</w:t>
      </w:r>
    </w:p>
    <w:p w14:paraId="2FCF379E" w14:textId="77777777" w:rsidR="00805A9A" w:rsidRPr="00B107FA" w:rsidRDefault="00805A9A" w:rsidP="004424A1">
      <w:pPr>
        <w:spacing w:line="600" w:lineRule="auto"/>
        <w:jc w:val="center"/>
        <w:rPr>
          <w:rFonts w:ascii="Arial" w:hAnsi="Arial" w:cs="Arial"/>
          <w:kern w:val="0"/>
          <w:sz w:val="24"/>
          <w:szCs w:val="24"/>
          <w14:ligatures w14:val="none"/>
        </w:rPr>
      </w:pPr>
      <w:r w:rsidRPr="00B107FA">
        <w:rPr>
          <w:rFonts w:ascii="Arial" w:hAnsi="Arial" w:cs="Arial"/>
          <w:kern w:val="0"/>
          <w:sz w:val="24"/>
          <w:szCs w:val="24"/>
          <w14:ligatures w14:val="none"/>
        </w:rPr>
        <w:t>“Wider team are really supportive and friendly.”</w:t>
      </w:r>
    </w:p>
    <w:p w14:paraId="5DFB2A11" w14:textId="77777777" w:rsidR="00F91F32" w:rsidRPr="00B107FA" w:rsidRDefault="00805A9A" w:rsidP="004424A1">
      <w:pPr>
        <w:spacing w:line="600" w:lineRule="auto"/>
        <w:rPr>
          <w:rFonts w:ascii="Arial" w:hAnsi="Arial" w:cs="Arial"/>
          <w:kern w:val="0"/>
          <w:sz w:val="24"/>
          <w:szCs w:val="24"/>
          <w:u w:val="single"/>
          <w14:ligatures w14:val="none"/>
        </w:rPr>
      </w:pPr>
      <w:r w:rsidRPr="00B107FA">
        <w:rPr>
          <w:rFonts w:ascii="Arial" w:hAnsi="Arial" w:cs="Arial"/>
          <w:kern w:val="0"/>
          <w:sz w:val="24"/>
          <w:szCs w:val="24"/>
          <w:u w:val="single"/>
          <w14:ligatures w14:val="none"/>
        </w:rPr>
        <w:t>Time Constraints of Mentors</w:t>
      </w:r>
    </w:p>
    <w:p w14:paraId="75CF07D3" w14:textId="3920EF33" w:rsidR="00805A9A" w:rsidRPr="00B107FA" w:rsidRDefault="00DB613E"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A significant </w:t>
      </w:r>
      <w:r w:rsidR="00805A9A" w:rsidRPr="00B107FA">
        <w:rPr>
          <w:rFonts w:ascii="Arial" w:hAnsi="Arial" w:cs="Arial"/>
          <w:kern w:val="0"/>
          <w:sz w:val="24"/>
          <w:szCs w:val="24"/>
          <w14:ligatures w14:val="none"/>
        </w:rPr>
        <w:t xml:space="preserve">theme </w:t>
      </w:r>
      <w:r w:rsidRPr="00B107FA">
        <w:rPr>
          <w:rFonts w:ascii="Arial" w:hAnsi="Arial" w:cs="Arial"/>
          <w:kern w:val="0"/>
          <w:sz w:val="24"/>
          <w:szCs w:val="24"/>
          <w14:ligatures w14:val="none"/>
        </w:rPr>
        <w:t xml:space="preserve">identified throughout </w:t>
      </w:r>
      <w:r w:rsidR="00F91F32" w:rsidRPr="00B107FA">
        <w:rPr>
          <w:rFonts w:ascii="Arial" w:hAnsi="Arial" w:cs="Arial"/>
          <w:kern w:val="0"/>
          <w:sz w:val="24"/>
          <w:szCs w:val="24"/>
          <w14:ligatures w14:val="none"/>
        </w:rPr>
        <w:t xml:space="preserve">was </w:t>
      </w:r>
      <w:r w:rsidR="00805A9A" w:rsidRPr="00B107FA">
        <w:rPr>
          <w:rFonts w:ascii="Arial" w:hAnsi="Arial" w:cs="Arial"/>
          <w:kern w:val="0"/>
          <w:sz w:val="24"/>
          <w:szCs w:val="24"/>
          <w14:ligatures w14:val="none"/>
        </w:rPr>
        <w:t xml:space="preserve">the </w:t>
      </w:r>
      <w:r w:rsidR="00F91F32" w:rsidRPr="00B107FA">
        <w:rPr>
          <w:rFonts w:ascii="Arial" w:hAnsi="Arial" w:cs="Arial"/>
          <w:kern w:val="0"/>
          <w:sz w:val="24"/>
          <w:szCs w:val="24"/>
          <w14:ligatures w14:val="none"/>
        </w:rPr>
        <w:t xml:space="preserve">time </w:t>
      </w:r>
      <w:r w:rsidRPr="00B107FA">
        <w:rPr>
          <w:rFonts w:ascii="Arial" w:hAnsi="Arial" w:cs="Arial"/>
          <w:kern w:val="0"/>
          <w:sz w:val="24"/>
          <w:szCs w:val="24"/>
          <w14:ligatures w14:val="none"/>
        </w:rPr>
        <w:t xml:space="preserve">constraints on </w:t>
      </w:r>
      <w:r w:rsidR="00F91F32" w:rsidRPr="00B107FA">
        <w:rPr>
          <w:rFonts w:ascii="Arial" w:hAnsi="Arial" w:cs="Arial"/>
          <w:kern w:val="0"/>
          <w:sz w:val="24"/>
          <w:szCs w:val="24"/>
          <w14:ligatures w14:val="none"/>
        </w:rPr>
        <w:t xml:space="preserve">mentors </w:t>
      </w:r>
      <w:r w:rsidRPr="00B107FA">
        <w:rPr>
          <w:rFonts w:ascii="Arial" w:hAnsi="Arial" w:cs="Arial"/>
          <w:kern w:val="0"/>
          <w:sz w:val="24"/>
          <w:szCs w:val="24"/>
          <w14:ligatures w14:val="none"/>
        </w:rPr>
        <w:t>preventing them from ensuring a vigorous</w:t>
      </w:r>
      <w:r w:rsidR="00F91F32" w:rsidRPr="00B107FA">
        <w:rPr>
          <w:rFonts w:ascii="Arial" w:hAnsi="Arial" w:cs="Arial"/>
          <w:kern w:val="0"/>
          <w:sz w:val="24"/>
          <w:szCs w:val="24"/>
          <w14:ligatures w14:val="none"/>
        </w:rPr>
        <w:t xml:space="preserve"> induction process. </w:t>
      </w:r>
    </w:p>
    <w:p w14:paraId="5163808B" w14:textId="04DC30B7" w:rsidR="00805A9A" w:rsidRPr="00B107FA" w:rsidRDefault="00805A9A" w:rsidP="004424A1">
      <w:pPr>
        <w:spacing w:line="600" w:lineRule="auto"/>
        <w:jc w:val="center"/>
        <w:rPr>
          <w:rFonts w:ascii="Arial" w:hAnsi="Arial" w:cs="Arial"/>
          <w:kern w:val="0"/>
          <w:sz w:val="24"/>
          <w:szCs w:val="24"/>
          <w14:ligatures w14:val="none"/>
        </w:rPr>
      </w:pPr>
      <w:r w:rsidRPr="00B107FA">
        <w:rPr>
          <w:rFonts w:ascii="Arial" w:hAnsi="Arial" w:cs="Arial"/>
          <w:kern w:val="0"/>
          <w:sz w:val="24"/>
          <w:szCs w:val="24"/>
          <w14:ligatures w14:val="none"/>
        </w:rPr>
        <w:t>“It Can be difficult to get dedicated time with managers after the initial week”.</w:t>
      </w:r>
    </w:p>
    <w:p w14:paraId="71474170" w14:textId="26D5470A" w:rsidR="00805A9A" w:rsidRPr="00B107FA" w:rsidRDefault="00805A9A" w:rsidP="004424A1">
      <w:pPr>
        <w:spacing w:line="600" w:lineRule="auto"/>
        <w:jc w:val="center"/>
        <w:rPr>
          <w:rFonts w:ascii="Arial" w:hAnsi="Arial" w:cs="Arial"/>
          <w:kern w:val="0"/>
          <w:sz w:val="24"/>
          <w:szCs w:val="24"/>
          <w14:ligatures w14:val="none"/>
        </w:rPr>
      </w:pPr>
      <w:r w:rsidRPr="00B107FA">
        <w:rPr>
          <w:rFonts w:ascii="Arial" w:hAnsi="Arial" w:cs="Arial"/>
          <w:kern w:val="0"/>
          <w:sz w:val="24"/>
          <w:szCs w:val="24"/>
          <w14:ligatures w14:val="none"/>
        </w:rPr>
        <w:t>“Difficulty in guaranteeing time with new starters”.</w:t>
      </w:r>
    </w:p>
    <w:p w14:paraId="1EA2E11B" w14:textId="77777777" w:rsidR="00805A9A" w:rsidRPr="00B107FA" w:rsidRDefault="00805A9A" w:rsidP="004424A1">
      <w:pPr>
        <w:spacing w:line="600" w:lineRule="auto"/>
        <w:jc w:val="center"/>
        <w:rPr>
          <w:rFonts w:ascii="Arial" w:hAnsi="Arial" w:cs="Arial"/>
          <w:kern w:val="0"/>
          <w:sz w:val="24"/>
          <w:szCs w:val="24"/>
          <w14:ligatures w14:val="none"/>
        </w:rPr>
      </w:pPr>
      <w:r w:rsidRPr="00B107FA">
        <w:rPr>
          <w:rFonts w:ascii="Arial" w:hAnsi="Arial" w:cs="Arial"/>
          <w:kern w:val="0"/>
          <w:sz w:val="24"/>
          <w:szCs w:val="24"/>
          <w14:ligatures w14:val="none"/>
        </w:rPr>
        <w:t>“Mentors do not have the time to spend weeks with a new member of staff”.</w:t>
      </w:r>
    </w:p>
    <w:p w14:paraId="3E12FFC4" w14:textId="5F18879A" w:rsidR="00805A9A" w:rsidRPr="00B107FA" w:rsidRDefault="00805A9A"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This subsequently led to themes of </w:t>
      </w:r>
      <w:r w:rsidR="00D14877" w:rsidRPr="00B107FA">
        <w:rPr>
          <w:rFonts w:ascii="Arial" w:hAnsi="Arial" w:cs="Arial"/>
          <w:kern w:val="0"/>
          <w:sz w:val="24"/>
          <w:szCs w:val="24"/>
          <w14:ligatures w14:val="none"/>
        </w:rPr>
        <w:t>isolation and low engagement which could be determined to be a poor induction in terms of promoting a positive workplace culture (Nedelko, 2017).</w:t>
      </w:r>
    </w:p>
    <w:p w14:paraId="293A50E5" w14:textId="27D5F422" w:rsidR="00D14877" w:rsidRPr="00B107FA" w:rsidRDefault="00D14877" w:rsidP="004424A1">
      <w:pPr>
        <w:spacing w:line="600" w:lineRule="auto"/>
        <w:rPr>
          <w:rFonts w:ascii="Arial" w:hAnsi="Arial" w:cs="Arial"/>
          <w:kern w:val="0"/>
          <w:sz w:val="24"/>
          <w:szCs w:val="24"/>
          <w:u w:val="single"/>
          <w14:ligatures w14:val="none"/>
        </w:rPr>
      </w:pPr>
      <w:r w:rsidRPr="00B107FA">
        <w:rPr>
          <w:rFonts w:ascii="Arial" w:hAnsi="Arial" w:cs="Arial"/>
          <w:kern w:val="0"/>
          <w:sz w:val="24"/>
          <w:szCs w:val="24"/>
          <w:u w:val="single"/>
          <w14:ligatures w14:val="none"/>
        </w:rPr>
        <w:t>Poor Induction Structure</w:t>
      </w:r>
    </w:p>
    <w:p w14:paraId="22350459" w14:textId="64231B16" w:rsidR="00F91F32" w:rsidRPr="00B107FA" w:rsidRDefault="00D14877"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Whilst staff responded positively to the compliance elements of the </w:t>
      </w:r>
      <w:r w:rsidR="00F91F32" w:rsidRPr="00B107FA">
        <w:rPr>
          <w:rFonts w:ascii="Arial" w:hAnsi="Arial" w:cs="Arial"/>
          <w:kern w:val="0"/>
          <w:sz w:val="24"/>
          <w:szCs w:val="24"/>
          <w14:ligatures w14:val="none"/>
        </w:rPr>
        <w:t xml:space="preserve">induction </w:t>
      </w:r>
      <w:r w:rsidRPr="00B107FA">
        <w:rPr>
          <w:rFonts w:ascii="Arial" w:hAnsi="Arial" w:cs="Arial"/>
          <w:kern w:val="0"/>
          <w:sz w:val="24"/>
          <w:szCs w:val="24"/>
          <w14:ligatures w14:val="none"/>
        </w:rPr>
        <w:t xml:space="preserve">process including HR forms and checklists, </w:t>
      </w:r>
      <w:r w:rsidR="00F91F32" w:rsidRPr="00B107FA">
        <w:rPr>
          <w:rFonts w:ascii="Arial" w:hAnsi="Arial" w:cs="Arial"/>
          <w:kern w:val="0"/>
          <w:sz w:val="24"/>
          <w:szCs w:val="24"/>
          <w14:ligatures w14:val="none"/>
        </w:rPr>
        <w:t xml:space="preserve">a negative perception of the overall structure or lack of structure </w:t>
      </w:r>
      <w:r w:rsidR="00B107FA" w:rsidRPr="00B107FA">
        <w:rPr>
          <w:rFonts w:ascii="Arial" w:hAnsi="Arial" w:cs="Arial"/>
          <w:kern w:val="0"/>
          <w:sz w:val="24"/>
          <w:szCs w:val="24"/>
          <w14:ligatures w14:val="none"/>
        </w:rPr>
        <w:t xml:space="preserve">was demonstrated underpinned by feelings of low engagement. </w:t>
      </w:r>
    </w:p>
    <w:p w14:paraId="4DBCEB28" w14:textId="77777777" w:rsidR="00F91F32" w:rsidRPr="00B107FA" w:rsidRDefault="00F91F32" w:rsidP="004424A1">
      <w:pPr>
        <w:spacing w:line="600" w:lineRule="auto"/>
        <w:jc w:val="center"/>
        <w:rPr>
          <w:rFonts w:ascii="Arial" w:hAnsi="Arial" w:cs="Arial"/>
          <w:kern w:val="0"/>
          <w:sz w:val="24"/>
          <w:szCs w:val="24"/>
          <w14:ligatures w14:val="none"/>
        </w:rPr>
      </w:pPr>
      <w:r w:rsidRPr="00B107FA">
        <w:rPr>
          <w:rFonts w:ascii="Arial" w:hAnsi="Arial" w:cs="Arial"/>
          <w:kern w:val="0"/>
          <w:sz w:val="24"/>
          <w:szCs w:val="24"/>
          <w14:ligatures w14:val="none"/>
        </w:rPr>
        <w:t>“The initial HR checklist is good but after this, there is no clear structure or feedback on your role until the 13-week review”.</w:t>
      </w:r>
    </w:p>
    <w:p w14:paraId="7B1CAD97" w14:textId="77777777" w:rsidR="00F91F32" w:rsidRPr="00B107FA" w:rsidRDefault="00F91F32" w:rsidP="004424A1">
      <w:pPr>
        <w:spacing w:line="600" w:lineRule="auto"/>
        <w:jc w:val="center"/>
        <w:rPr>
          <w:rFonts w:ascii="Arial" w:hAnsi="Arial" w:cs="Arial"/>
          <w:kern w:val="0"/>
          <w:sz w:val="24"/>
          <w:szCs w:val="24"/>
          <w14:ligatures w14:val="none"/>
        </w:rPr>
      </w:pPr>
      <w:r w:rsidRPr="00B107FA">
        <w:rPr>
          <w:rFonts w:ascii="Arial" w:hAnsi="Arial" w:cs="Arial"/>
          <w:kern w:val="0"/>
          <w:sz w:val="24"/>
          <w:szCs w:val="24"/>
          <w14:ligatures w14:val="none"/>
        </w:rPr>
        <w:t xml:space="preserve"> “More structure needed once initial forms are completed”. </w:t>
      </w:r>
    </w:p>
    <w:p w14:paraId="23A0D993" w14:textId="52289D05" w:rsidR="00F91F32" w:rsidRPr="00B107FA" w:rsidRDefault="00F91F32" w:rsidP="004424A1">
      <w:pPr>
        <w:spacing w:line="600" w:lineRule="auto"/>
        <w:jc w:val="center"/>
        <w:rPr>
          <w:rFonts w:ascii="Arial" w:hAnsi="Arial" w:cs="Arial"/>
          <w:kern w:val="0"/>
          <w:sz w:val="24"/>
          <w:szCs w:val="24"/>
          <w14:ligatures w14:val="none"/>
        </w:rPr>
      </w:pPr>
      <w:r w:rsidRPr="00B107FA">
        <w:rPr>
          <w:rFonts w:ascii="Arial" w:hAnsi="Arial" w:cs="Arial"/>
          <w:kern w:val="0"/>
          <w:sz w:val="24"/>
          <w:szCs w:val="24"/>
          <w14:ligatures w14:val="none"/>
        </w:rPr>
        <w:t>“Starting blocks are great, but the following structure is lacking after the first week”.</w:t>
      </w:r>
    </w:p>
    <w:p w14:paraId="3591921C" w14:textId="5E76467C" w:rsidR="00F91F32" w:rsidRDefault="00F91F32"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This was supported by Exit Interview data in which 48% of staff did not agree that the process was organised or engaging and is again not indicative of an effective process. </w:t>
      </w:r>
    </w:p>
    <w:p w14:paraId="134287B1" w14:textId="7A5C4EF7" w:rsidR="00CC0DCA" w:rsidRDefault="00CC0DCA" w:rsidP="004424A1">
      <w:pPr>
        <w:spacing w:line="600" w:lineRule="auto"/>
        <w:jc w:val="center"/>
        <w:rPr>
          <w:rFonts w:ascii="Arial" w:hAnsi="Arial" w:cs="Arial"/>
          <w:kern w:val="0"/>
          <w:sz w:val="24"/>
          <w:szCs w:val="24"/>
          <w14:ligatures w14:val="none"/>
        </w:rPr>
      </w:pPr>
      <w:r w:rsidRPr="00E83345">
        <w:rPr>
          <w:noProof/>
        </w:rPr>
        <w:drawing>
          <wp:inline distT="0" distB="0" distL="0" distR="0" wp14:anchorId="424E4660" wp14:editId="7A513C7E">
            <wp:extent cx="5270500" cy="2806700"/>
            <wp:effectExtent l="0" t="0" r="6350" b="12700"/>
            <wp:docPr id="568823109" name="Chart 1">
              <a:extLst xmlns:a="http://schemas.openxmlformats.org/drawingml/2006/main">
                <a:ext uri="{FF2B5EF4-FFF2-40B4-BE49-F238E27FC236}">
                  <a16:creationId xmlns:a16="http://schemas.microsoft.com/office/drawing/2014/main" id="{D84760C3-EFA5-4BE4-B14A-72F2170F1C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1F10C74" w14:textId="4A32854B" w:rsidR="005F5A17" w:rsidRDefault="005F5A17" w:rsidP="004424A1">
      <w:pPr>
        <w:spacing w:line="600" w:lineRule="auto"/>
        <w:rPr>
          <w:rFonts w:ascii="Arial" w:hAnsi="Arial" w:cs="Arial"/>
          <w:kern w:val="0"/>
          <w:sz w:val="24"/>
          <w:szCs w:val="24"/>
          <w:u w:val="single"/>
          <w14:ligatures w14:val="none"/>
        </w:rPr>
      </w:pPr>
      <w:r w:rsidRPr="005F5A17">
        <w:rPr>
          <w:rFonts w:ascii="Arial" w:hAnsi="Arial" w:cs="Arial"/>
          <w:kern w:val="0"/>
          <w:sz w:val="24"/>
          <w:szCs w:val="24"/>
          <w:u w:val="single"/>
          <w14:ligatures w14:val="none"/>
        </w:rPr>
        <w:t>Staff Turnover</w:t>
      </w:r>
    </w:p>
    <w:p w14:paraId="5220E29E" w14:textId="52FC1F5D" w:rsidR="005F5A17" w:rsidRDefault="005F5A17" w:rsidP="004424A1">
      <w:pPr>
        <w:spacing w:line="600" w:lineRule="auto"/>
        <w:rPr>
          <w:rFonts w:ascii="Arial" w:hAnsi="Arial" w:cs="Arial"/>
          <w:kern w:val="0"/>
          <w:sz w:val="24"/>
          <w:szCs w:val="24"/>
          <w14:ligatures w14:val="none"/>
        </w:rPr>
      </w:pPr>
      <w:r>
        <w:rPr>
          <w:rFonts w:ascii="Arial" w:hAnsi="Arial" w:cs="Arial"/>
          <w:kern w:val="0"/>
          <w:sz w:val="24"/>
          <w:szCs w:val="24"/>
          <w14:ligatures w14:val="none"/>
        </w:rPr>
        <w:t>In analysing whether the induction programme has a significant impact on staff turnover, it was identified that a disproportionate number of leavers had under one years’ service.</w:t>
      </w:r>
    </w:p>
    <w:p w14:paraId="3A302FCE" w14:textId="65A6D184" w:rsidR="005F5A17" w:rsidRPr="00B107FA" w:rsidRDefault="005F5A17" w:rsidP="004424A1">
      <w:pPr>
        <w:spacing w:line="600" w:lineRule="auto"/>
        <w:jc w:val="center"/>
        <w:rPr>
          <w:rFonts w:ascii="Arial" w:hAnsi="Arial" w:cs="Arial"/>
          <w:kern w:val="0"/>
          <w:sz w:val="24"/>
          <w:szCs w:val="24"/>
          <w14:ligatures w14:val="none"/>
        </w:rPr>
      </w:pPr>
      <w:r w:rsidRPr="00E83345">
        <w:rPr>
          <w:noProof/>
        </w:rPr>
        <w:drawing>
          <wp:inline distT="0" distB="0" distL="0" distR="0" wp14:anchorId="4BC0B36F" wp14:editId="14E919FE">
            <wp:extent cx="5391150" cy="2832100"/>
            <wp:effectExtent l="0" t="0" r="0" b="6350"/>
            <wp:docPr id="826147892" name="Chart 1">
              <a:extLst xmlns:a="http://schemas.openxmlformats.org/drawingml/2006/main">
                <a:ext uri="{FF2B5EF4-FFF2-40B4-BE49-F238E27FC236}">
                  <a16:creationId xmlns:a16="http://schemas.microsoft.com/office/drawing/2014/main" id="{38054F2C-B7CB-4437-885F-194B6EDC9D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F4C4048" w14:textId="7B7B0276" w:rsidR="003F4513" w:rsidRDefault="000267E3" w:rsidP="004424A1">
      <w:pPr>
        <w:spacing w:line="600" w:lineRule="auto"/>
        <w:rPr>
          <w:rFonts w:ascii="Arial" w:hAnsi="Arial" w:cs="Arial"/>
          <w:kern w:val="0"/>
          <w:sz w:val="24"/>
          <w:szCs w:val="24"/>
          <w14:ligatures w14:val="none"/>
        </w:rPr>
      </w:pPr>
      <w:r>
        <w:rPr>
          <w:rFonts w:ascii="Arial" w:hAnsi="Arial" w:cs="Arial"/>
          <w:kern w:val="0"/>
          <w:sz w:val="24"/>
          <w:szCs w:val="24"/>
          <w14:ligatures w14:val="none"/>
        </w:rPr>
        <w:t xml:space="preserve">In </w:t>
      </w:r>
      <w:r w:rsidR="00C30A45">
        <w:rPr>
          <w:rFonts w:ascii="Arial" w:hAnsi="Arial" w:cs="Arial"/>
          <w:kern w:val="0"/>
          <w:sz w:val="24"/>
          <w:szCs w:val="24"/>
          <w14:ligatures w14:val="none"/>
        </w:rPr>
        <w:t>exploring</w:t>
      </w:r>
      <w:r>
        <w:rPr>
          <w:rFonts w:ascii="Arial" w:hAnsi="Arial" w:cs="Arial"/>
          <w:kern w:val="0"/>
          <w:sz w:val="24"/>
          <w:szCs w:val="24"/>
          <w14:ligatures w14:val="none"/>
        </w:rPr>
        <w:t xml:space="preserve"> the </w:t>
      </w:r>
      <w:r w:rsidR="00C30A45">
        <w:rPr>
          <w:rFonts w:ascii="Arial" w:hAnsi="Arial" w:cs="Arial"/>
          <w:kern w:val="0"/>
          <w:sz w:val="24"/>
          <w:szCs w:val="24"/>
          <w14:ligatures w14:val="none"/>
        </w:rPr>
        <w:t xml:space="preserve">induction experience of leavers, it was significant that 47% did not agree that they had an effective induction. Whilst the quantitative data was unable to ascertain whether this directly linked to their leaving the organisation, Gupta. et al. (2018) provides empirical evidence that staff turnover can be derived from a negative induction experience which would correlate to a third of Sancta Maria leavers. </w:t>
      </w:r>
    </w:p>
    <w:p w14:paraId="0CB315B5" w14:textId="4D5470C8" w:rsidR="00C30A45" w:rsidRPr="00B107FA" w:rsidRDefault="00C30A45" w:rsidP="004424A1">
      <w:pPr>
        <w:spacing w:line="600" w:lineRule="auto"/>
        <w:jc w:val="center"/>
        <w:rPr>
          <w:rFonts w:ascii="Arial" w:hAnsi="Arial" w:cs="Arial"/>
          <w:kern w:val="0"/>
          <w:sz w:val="24"/>
          <w:szCs w:val="24"/>
          <w14:ligatures w14:val="none"/>
        </w:rPr>
      </w:pPr>
      <w:r>
        <w:rPr>
          <w:noProof/>
        </w:rPr>
        <w:drawing>
          <wp:inline distT="0" distB="0" distL="0" distR="0" wp14:anchorId="3B77930E" wp14:editId="67180B4C">
            <wp:extent cx="5562600" cy="2959100"/>
            <wp:effectExtent l="0" t="0" r="0" b="12700"/>
            <wp:docPr id="1093916745" name="Chart 1">
              <a:extLst xmlns:a="http://schemas.openxmlformats.org/drawingml/2006/main">
                <a:ext uri="{FF2B5EF4-FFF2-40B4-BE49-F238E27FC236}">
                  <a16:creationId xmlns:a16="http://schemas.microsoft.com/office/drawing/2014/main" id="{D84760C3-EFA5-4BE4-B14A-72F2170F1C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EB86E9B" w14:textId="3A5640CE" w:rsidR="00DF55FB" w:rsidRPr="00B107FA" w:rsidRDefault="00DF55FB" w:rsidP="004424A1">
      <w:pPr>
        <w:spacing w:line="600" w:lineRule="auto"/>
        <w:rPr>
          <w:rFonts w:ascii="Arial" w:hAnsi="Arial" w:cs="Arial"/>
          <w:b/>
          <w:bCs/>
          <w:kern w:val="0"/>
          <w:sz w:val="24"/>
          <w:szCs w:val="24"/>
          <w14:ligatures w14:val="none"/>
        </w:rPr>
      </w:pPr>
      <w:r w:rsidRPr="00B107FA">
        <w:rPr>
          <w:rFonts w:ascii="Arial" w:hAnsi="Arial" w:cs="Arial"/>
          <w:b/>
          <w:bCs/>
          <w:kern w:val="0"/>
          <w:sz w:val="24"/>
          <w:szCs w:val="24"/>
          <w14:ligatures w14:val="none"/>
        </w:rPr>
        <w:t>Conclusions</w:t>
      </w:r>
    </w:p>
    <w:p w14:paraId="4AB44381" w14:textId="6181F527" w:rsidR="00DF55FB" w:rsidRPr="00B107FA" w:rsidRDefault="003F4513" w:rsidP="004424A1">
      <w:pPr>
        <w:spacing w:line="60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In considering the overall effectiveness of Sancta Maria’s induction process there is evidence to suggest that the compliance </w:t>
      </w:r>
      <w:r w:rsidR="00C30A45">
        <w:rPr>
          <w:rFonts w:ascii="Arial" w:hAnsi="Arial" w:cs="Arial"/>
          <w:kern w:val="0"/>
          <w:sz w:val="24"/>
          <w:szCs w:val="24"/>
          <w14:ligatures w14:val="none"/>
        </w:rPr>
        <w:t xml:space="preserve">and socialisation </w:t>
      </w:r>
      <w:r w:rsidRPr="00B107FA">
        <w:rPr>
          <w:rFonts w:ascii="Arial" w:hAnsi="Arial" w:cs="Arial"/>
          <w:kern w:val="0"/>
          <w:sz w:val="24"/>
          <w:szCs w:val="24"/>
          <w14:ligatures w14:val="none"/>
        </w:rPr>
        <w:t xml:space="preserve">element of the process is conducted </w:t>
      </w:r>
      <w:r w:rsidR="00C30A45">
        <w:rPr>
          <w:rFonts w:ascii="Arial" w:hAnsi="Arial" w:cs="Arial"/>
          <w:kern w:val="0"/>
          <w:sz w:val="24"/>
          <w:szCs w:val="24"/>
          <w14:ligatures w14:val="none"/>
        </w:rPr>
        <w:t>effectively</w:t>
      </w:r>
      <w:r w:rsidRPr="00B107FA">
        <w:rPr>
          <w:rFonts w:ascii="Arial" w:hAnsi="Arial" w:cs="Arial"/>
          <w:kern w:val="0"/>
          <w:sz w:val="24"/>
          <w:szCs w:val="24"/>
          <w14:ligatures w14:val="none"/>
        </w:rPr>
        <w:t>. However</w:t>
      </w:r>
      <w:r w:rsidR="00C30A45">
        <w:rPr>
          <w:rFonts w:ascii="Arial" w:hAnsi="Arial" w:cs="Arial"/>
          <w:kern w:val="0"/>
          <w:sz w:val="24"/>
          <w:szCs w:val="24"/>
          <w14:ligatures w14:val="none"/>
        </w:rPr>
        <w:t>, to drive employee engagement</w:t>
      </w:r>
      <w:r w:rsidRPr="00B107FA">
        <w:rPr>
          <w:rFonts w:ascii="Arial" w:hAnsi="Arial" w:cs="Arial"/>
          <w:kern w:val="0"/>
          <w:sz w:val="24"/>
          <w:szCs w:val="24"/>
          <w14:ligatures w14:val="none"/>
        </w:rPr>
        <w:t>,</w:t>
      </w:r>
      <w:r w:rsidR="00C30A45">
        <w:rPr>
          <w:rFonts w:ascii="Arial" w:hAnsi="Arial" w:cs="Arial"/>
          <w:kern w:val="0"/>
          <w:sz w:val="24"/>
          <w:szCs w:val="24"/>
          <w14:ligatures w14:val="none"/>
        </w:rPr>
        <w:t xml:space="preserve"> </w:t>
      </w:r>
      <w:r w:rsidRPr="00B107FA">
        <w:rPr>
          <w:rFonts w:ascii="Arial" w:hAnsi="Arial" w:cs="Arial"/>
          <w:kern w:val="0"/>
          <w:sz w:val="24"/>
          <w:szCs w:val="24"/>
          <w14:ligatures w14:val="none"/>
        </w:rPr>
        <w:t>a</w:t>
      </w:r>
      <w:r w:rsidR="00DB613E" w:rsidRPr="00B107FA">
        <w:rPr>
          <w:rFonts w:ascii="Arial" w:hAnsi="Arial" w:cs="Arial"/>
          <w:kern w:val="0"/>
          <w:sz w:val="24"/>
          <w:szCs w:val="24"/>
          <w14:ligatures w14:val="none"/>
        </w:rPr>
        <w:t>n</w:t>
      </w:r>
      <w:r w:rsidRPr="00B107FA">
        <w:rPr>
          <w:rFonts w:ascii="Arial" w:hAnsi="Arial" w:cs="Arial"/>
          <w:kern w:val="0"/>
          <w:sz w:val="24"/>
          <w:szCs w:val="24"/>
          <w14:ligatures w14:val="none"/>
        </w:rPr>
        <w:t xml:space="preserve"> induction should incorporate wider </w:t>
      </w:r>
      <w:r w:rsidR="005964BB" w:rsidRPr="00B107FA">
        <w:rPr>
          <w:rFonts w:ascii="Arial" w:hAnsi="Arial" w:cs="Arial"/>
          <w:kern w:val="0"/>
          <w:sz w:val="24"/>
          <w:szCs w:val="24"/>
          <w14:ligatures w14:val="none"/>
        </w:rPr>
        <w:t xml:space="preserve">objects </w:t>
      </w:r>
      <w:r w:rsidR="00C30A45">
        <w:rPr>
          <w:rFonts w:ascii="Arial" w:hAnsi="Arial" w:cs="Arial"/>
          <w:kern w:val="0"/>
          <w:sz w:val="24"/>
          <w:szCs w:val="24"/>
          <w14:ligatures w14:val="none"/>
        </w:rPr>
        <w:t>to support the overall HR and organisational strategy to ensure sufficient staffing at Sancta Maria. T</w:t>
      </w:r>
      <w:r w:rsidRPr="00B107FA">
        <w:rPr>
          <w:rFonts w:ascii="Arial" w:hAnsi="Arial" w:cs="Arial"/>
          <w:kern w:val="0"/>
          <w:sz w:val="24"/>
          <w:szCs w:val="24"/>
          <w14:ligatures w14:val="none"/>
        </w:rPr>
        <w:t xml:space="preserve">he </w:t>
      </w:r>
      <w:r w:rsidR="00C30A45">
        <w:rPr>
          <w:rFonts w:ascii="Arial" w:hAnsi="Arial" w:cs="Arial"/>
          <w:kern w:val="0"/>
          <w:sz w:val="24"/>
          <w:szCs w:val="24"/>
          <w14:ligatures w14:val="none"/>
        </w:rPr>
        <w:t>evidence therefore</w:t>
      </w:r>
      <w:r w:rsidRPr="00B107FA">
        <w:rPr>
          <w:rFonts w:ascii="Arial" w:hAnsi="Arial" w:cs="Arial"/>
          <w:kern w:val="0"/>
          <w:sz w:val="24"/>
          <w:szCs w:val="24"/>
          <w14:ligatures w14:val="none"/>
        </w:rPr>
        <w:t xml:space="preserve"> suggests there are failings in the current structure that require improvements before it can be deemed effective in this regard. </w:t>
      </w:r>
    </w:p>
    <w:p w14:paraId="6E5FC727" w14:textId="77777777" w:rsidR="005964BB" w:rsidRPr="00012630" w:rsidRDefault="0093168C" w:rsidP="004424A1">
      <w:pPr>
        <w:spacing w:line="600" w:lineRule="auto"/>
        <w:rPr>
          <w:rFonts w:ascii="Arial" w:hAnsi="Arial" w:cs="Arial"/>
          <w:b/>
          <w:bCs/>
          <w:kern w:val="0"/>
          <w:sz w:val="24"/>
          <w:szCs w:val="24"/>
          <w14:ligatures w14:val="none"/>
        </w:rPr>
      </w:pPr>
      <w:r w:rsidRPr="00012630">
        <w:rPr>
          <w:rFonts w:ascii="Arial" w:hAnsi="Arial" w:cs="Arial"/>
          <w:b/>
          <w:bCs/>
          <w:kern w:val="0"/>
          <w:sz w:val="24"/>
          <w:szCs w:val="24"/>
          <w14:ligatures w14:val="none"/>
        </w:rPr>
        <w:t xml:space="preserve">Acknowledgements </w:t>
      </w:r>
    </w:p>
    <w:p w14:paraId="2DC9CAB6" w14:textId="62B54953" w:rsidR="001573B6" w:rsidRPr="00012630" w:rsidRDefault="00012630" w:rsidP="004424A1">
      <w:pPr>
        <w:spacing w:line="600" w:lineRule="auto"/>
        <w:rPr>
          <w:rFonts w:ascii="Arial" w:hAnsi="Arial" w:cs="Arial"/>
          <w:kern w:val="0"/>
          <w:sz w:val="24"/>
          <w:szCs w:val="24"/>
          <w14:ligatures w14:val="none"/>
        </w:rPr>
      </w:pPr>
      <w:r w:rsidRPr="00012630">
        <w:rPr>
          <w:rFonts w:ascii="Arial" w:hAnsi="Arial" w:cs="Arial"/>
          <w:kern w:val="0"/>
          <w:sz w:val="24"/>
          <w:szCs w:val="24"/>
          <w14:ligatures w14:val="none"/>
        </w:rPr>
        <w:t>I would like to extend my sincere thanks to Sancta Maria Hospital and colleagues who participated and supported the research project.</w:t>
      </w:r>
    </w:p>
    <w:p w14:paraId="0C58BA93" w14:textId="77777777" w:rsidR="001573B6" w:rsidRDefault="001573B6" w:rsidP="004424A1">
      <w:pPr>
        <w:spacing w:line="600" w:lineRule="auto"/>
        <w:rPr>
          <w:rFonts w:ascii="Arial" w:hAnsi="Arial" w:cs="Arial"/>
          <w:b/>
          <w:bCs/>
          <w:kern w:val="0"/>
          <w:sz w:val="24"/>
          <w:szCs w:val="24"/>
          <w14:ligatures w14:val="none"/>
        </w:rPr>
      </w:pPr>
    </w:p>
    <w:p w14:paraId="27C22B02" w14:textId="77777777" w:rsidR="00012630" w:rsidRDefault="00012630" w:rsidP="004424A1">
      <w:pPr>
        <w:spacing w:line="600" w:lineRule="auto"/>
        <w:rPr>
          <w:rFonts w:ascii="Arial" w:hAnsi="Arial" w:cs="Arial"/>
          <w:b/>
          <w:bCs/>
          <w:kern w:val="0"/>
          <w:sz w:val="24"/>
          <w:szCs w:val="24"/>
          <w14:ligatures w14:val="none"/>
        </w:rPr>
      </w:pPr>
    </w:p>
    <w:p w14:paraId="045C2FEB" w14:textId="77777777" w:rsidR="00012630" w:rsidRDefault="00012630" w:rsidP="004424A1">
      <w:pPr>
        <w:spacing w:line="600" w:lineRule="auto"/>
        <w:rPr>
          <w:rFonts w:ascii="Arial" w:hAnsi="Arial" w:cs="Arial"/>
          <w:b/>
          <w:bCs/>
          <w:kern w:val="0"/>
          <w:sz w:val="24"/>
          <w:szCs w:val="24"/>
          <w14:ligatures w14:val="none"/>
        </w:rPr>
      </w:pPr>
    </w:p>
    <w:p w14:paraId="2456E027" w14:textId="77777777" w:rsidR="00012630" w:rsidRDefault="00012630" w:rsidP="004424A1">
      <w:pPr>
        <w:spacing w:line="600" w:lineRule="auto"/>
        <w:rPr>
          <w:rFonts w:ascii="Arial" w:hAnsi="Arial" w:cs="Arial"/>
          <w:b/>
          <w:bCs/>
          <w:kern w:val="0"/>
          <w:sz w:val="24"/>
          <w:szCs w:val="24"/>
          <w14:ligatures w14:val="none"/>
        </w:rPr>
      </w:pPr>
    </w:p>
    <w:p w14:paraId="16F40A75" w14:textId="77777777" w:rsidR="001573B6" w:rsidRDefault="001573B6" w:rsidP="004424A1">
      <w:pPr>
        <w:spacing w:line="600" w:lineRule="auto"/>
        <w:rPr>
          <w:rFonts w:ascii="Arial" w:hAnsi="Arial" w:cs="Arial"/>
          <w:b/>
          <w:bCs/>
          <w:kern w:val="0"/>
          <w:sz w:val="24"/>
          <w:szCs w:val="24"/>
          <w14:ligatures w14:val="none"/>
        </w:rPr>
      </w:pPr>
    </w:p>
    <w:p w14:paraId="19F34C17" w14:textId="77777777" w:rsidR="001573B6" w:rsidRDefault="001573B6" w:rsidP="004424A1">
      <w:pPr>
        <w:spacing w:line="600" w:lineRule="auto"/>
        <w:rPr>
          <w:rFonts w:ascii="Arial" w:hAnsi="Arial" w:cs="Arial"/>
          <w:b/>
          <w:bCs/>
          <w:kern w:val="0"/>
          <w:sz w:val="24"/>
          <w:szCs w:val="24"/>
          <w14:ligatures w14:val="none"/>
        </w:rPr>
      </w:pPr>
    </w:p>
    <w:p w14:paraId="09E42BF5" w14:textId="77777777" w:rsidR="001573B6" w:rsidRDefault="001573B6" w:rsidP="004424A1">
      <w:pPr>
        <w:spacing w:line="600" w:lineRule="auto"/>
        <w:rPr>
          <w:rFonts w:ascii="Arial" w:hAnsi="Arial" w:cs="Arial"/>
          <w:b/>
          <w:bCs/>
          <w:kern w:val="0"/>
          <w:sz w:val="24"/>
          <w:szCs w:val="24"/>
          <w14:ligatures w14:val="none"/>
        </w:rPr>
      </w:pPr>
    </w:p>
    <w:p w14:paraId="5E7EA1C6" w14:textId="25BACA00" w:rsidR="009B7DA4" w:rsidRPr="00B107FA" w:rsidRDefault="009B7DA4" w:rsidP="004424A1">
      <w:pPr>
        <w:spacing w:line="600" w:lineRule="auto"/>
        <w:rPr>
          <w:rFonts w:ascii="Arial" w:hAnsi="Arial" w:cs="Arial"/>
          <w:b/>
          <w:bCs/>
          <w:kern w:val="0"/>
          <w:sz w:val="24"/>
          <w:szCs w:val="24"/>
          <w14:ligatures w14:val="none"/>
        </w:rPr>
      </w:pPr>
      <w:r w:rsidRPr="00B107FA">
        <w:rPr>
          <w:rFonts w:ascii="Arial" w:hAnsi="Arial" w:cs="Arial"/>
          <w:b/>
          <w:bCs/>
          <w:kern w:val="0"/>
          <w:sz w:val="24"/>
          <w:szCs w:val="24"/>
          <w14:ligatures w14:val="none"/>
        </w:rPr>
        <w:t xml:space="preserve">Reference List </w:t>
      </w:r>
    </w:p>
    <w:p w14:paraId="3DCD8196" w14:textId="64780591" w:rsidR="008159E9" w:rsidRPr="00B107FA" w:rsidRDefault="008159E9" w:rsidP="00012630">
      <w:pPr>
        <w:spacing w:line="36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ACAS (2015) </w:t>
      </w:r>
      <w:r w:rsidRPr="00012630">
        <w:rPr>
          <w:rFonts w:ascii="Arial" w:hAnsi="Arial" w:cs="Arial"/>
          <w:i/>
          <w:iCs/>
          <w:kern w:val="0"/>
          <w:sz w:val="24"/>
          <w:szCs w:val="24"/>
          <w14:ligatures w14:val="none"/>
        </w:rPr>
        <w:t>Starting staff: induction</w:t>
      </w:r>
      <w:r w:rsidRPr="00B107FA">
        <w:rPr>
          <w:rFonts w:ascii="Arial" w:hAnsi="Arial" w:cs="Arial"/>
          <w:kern w:val="0"/>
          <w:sz w:val="24"/>
          <w:szCs w:val="24"/>
          <w14:ligatures w14:val="none"/>
        </w:rPr>
        <w:t xml:space="preserve">. Available at: </w:t>
      </w:r>
      <w:hyperlink r:id="rId10" w:history="1">
        <w:r w:rsidRPr="00B107FA">
          <w:rPr>
            <w:rFonts w:ascii="Arial" w:hAnsi="Arial" w:cs="Arial"/>
            <w:kern w:val="0"/>
            <w:sz w:val="24"/>
            <w:szCs w:val="24"/>
            <w14:ligatures w14:val="none"/>
          </w:rPr>
          <w:t>https://www.acas.org.uk/sites/default/files/2021-03/Starting-staff-induction.pdf</w:t>
        </w:r>
      </w:hyperlink>
      <w:r w:rsidRPr="00B107FA">
        <w:rPr>
          <w:rFonts w:ascii="Arial" w:hAnsi="Arial" w:cs="Arial"/>
          <w:kern w:val="0"/>
          <w:sz w:val="24"/>
          <w:szCs w:val="24"/>
          <w14:ligatures w14:val="none"/>
        </w:rPr>
        <w:t xml:space="preserve"> (Accessed: 17 September 2023) </w:t>
      </w:r>
    </w:p>
    <w:p w14:paraId="454EDC5B" w14:textId="3534988F" w:rsidR="001E508A" w:rsidRPr="00B107FA" w:rsidRDefault="001E508A" w:rsidP="00012630">
      <w:pPr>
        <w:spacing w:line="360" w:lineRule="auto"/>
        <w:rPr>
          <w:rFonts w:ascii="Arial" w:hAnsi="Arial" w:cs="Arial"/>
          <w:kern w:val="0"/>
          <w:sz w:val="24"/>
          <w:szCs w:val="24"/>
          <w14:ligatures w14:val="none"/>
        </w:rPr>
      </w:pPr>
      <w:r w:rsidRPr="00B107FA">
        <w:rPr>
          <w:rFonts w:ascii="Arial" w:hAnsi="Arial" w:cs="Arial"/>
          <w:kern w:val="0"/>
          <w:sz w:val="24"/>
          <w:szCs w:val="24"/>
          <w14:ligatures w14:val="none"/>
        </w:rPr>
        <w:t>Birnbaum, H. and Greenberg, P. (2017) </w:t>
      </w:r>
      <w:r w:rsidRPr="00012630">
        <w:rPr>
          <w:rFonts w:ascii="Arial" w:hAnsi="Arial" w:cs="Arial"/>
          <w:i/>
          <w:iCs/>
          <w:kern w:val="0"/>
          <w:sz w:val="24"/>
          <w:szCs w:val="24"/>
          <w14:ligatures w14:val="none"/>
        </w:rPr>
        <w:t>Decision Making in a World of Comparative Effectiveness Research</w:t>
      </w:r>
      <w:r w:rsidRPr="00B107FA">
        <w:rPr>
          <w:rFonts w:ascii="Arial" w:hAnsi="Arial" w:cs="Arial"/>
          <w:kern w:val="0"/>
          <w:sz w:val="24"/>
          <w:szCs w:val="24"/>
          <w14:ligatures w14:val="none"/>
        </w:rPr>
        <w:t>: A Practical Guide. 1st edition. Singapore: Springer. Available at: https://doi.org/10.1007/978-981-10-3262-2</w:t>
      </w:r>
    </w:p>
    <w:p w14:paraId="40741AA7" w14:textId="3A074E2D" w:rsidR="003C1371" w:rsidRPr="00B107FA" w:rsidRDefault="003C1371" w:rsidP="00012630">
      <w:pPr>
        <w:spacing w:line="360" w:lineRule="auto"/>
        <w:rPr>
          <w:rFonts w:ascii="Arial" w:hAnsi="Arial" w:cs="Arial"/>
          <w:kern w:val="0"/>
          <w:sz w:val="24"/>
          <w:szCs w:val="24"/>
          <w14:ligatures w14:val="none"/>
        </w:rPr>
      </w:pPr>
      <w:proofErr w:type="spellStart"/>
      <w:r w:rsidRPr="00B107FA">
        <w:rPr>
          <w:rFonts w:ascii="Arial" w:hAnsi="Arial" w:cs="Arial"/>
          <w:kern w:val="0"/>
          <w:sz w:val="24"/>
          <w:szCs w:val="24"/>
          <w14:ligatures w14:val="none"/>
        </w:rPr>
        <w:t>CareQuality</w:t>
      </w:r>
      <w:proofErr w:type="spellEnd"/>
      <w:r w:rsidRPr="00B107FA">
        <w:rPr>
          <w:rFonts w:ascii="Arial" w:hAnsi="Arial" w:cs="Arial"/>
          <w:kern w:val="0"/>
          <w:sz w:val="24"/>
          <w:szCs w:val="24"/>
          <w14:ligatures w14:val="none"/>
        </w:rPr>
        <w:t xml:space="preserve"> </w:t>
      </w:r>
      <w:proofErr w:type="spellStart"/>
      <w:r w:rsidRPr="00B107FA">
        <w:rPr>
          <w:rFonts w:ascii="Arial" w:hAnsi="Arial" w:cs="Arial"/>
          <w:kern w:val="0"/>
          <w:sz w:val="24"/>
          <w:szCs w:val="24"/>
          <w14:ligatures w14:val="none"/>
        </w:rPr>
        <w:t>Comission</w:t>
      </w:r>
      <w:proofErr w:type="spellEnd"/>
      <w:r w:rsidRPr="00B107FA">
        <w:rPr>
          <w:rFonts w:ascii="Arial" w:hAnsi="Arial" w:cs="Arial"/>
          <w:kern w:val="0"/>
          <w:sz w:val="24"/>
          <w:szCs w:val="24"/>
          <w14:ligatures w14:val="none"/>
        </w:rPr>
        <w:t xml:space="preserve"> (2022) </w:t>
      </w:r>
      <w:r w:rsidRPr="00012630">
        <w:rPr>
          <w:rFonts w:ascii="Arial" w:hAnsi="Arial" w:cs="Arial"/>
          <w:i/>
          <w:iCs/>
          <w:kern w:val="0"/>
          <w:sz w:val="24"/>
          <w:szCs w:val="24"/>
          <w14:ligatures w14:val="none"/>
        </w:rPr>
        <w:t>The state of health care and adult social care in England 2021/2022</w:t>
      </w:r>
      <w:r w:rsidRPr="00B107FA">
        <w:rPr>
          <w:rFonts w:ascii="Arial" w:hAnsi="Arial" w:cs="Arial"/>
          <w:kern w:val="0"/>
          <w:sz w:val="24"/>
          <w:szCs w:val="24"/>
          <w14:ligatures w14:val="none"/>
        </w:rPr>
        <w:t xml:space="preserve">. Available at: </w:t>
      </w:r>
      <w:hyperlink r:id="rId11" w:history="1">
        <w:r w:rsidRPr="00B107FA">
          <w:rPr>
            <w:rFonts w:ascii="Arial" w:hAnsi="Arial" w:cs="Arial"/>
            <w:kern w:val="0"/>
            <w:sz w:val="24"/>
            <w:szCs w:val="24"/>
            <w14:ligatures w14:val="none"/>
          </w:rPr>
          <w:t>https://www.cqc.org.uk/publication/state-care-202122</w:t>
        </w:r>
      </w:hyperlink>
      <w:r w:rsidRPr="00B107FA">
        <w:rPr>
          <w:rFonts w:ascii="Arial" w:hAnsi="Arial" w:cs="Arial"/>
          <w:kern w:val="0"/>
          <w:sz w:val="24"/>
          <w:szCs w:val="24"/>
          <w14:ligatures w14:val="none"/>
        </w:rPr>
        <w:t xml:space="preserve"> (Accessed: 17 September 2023) </w:t>
      </w:r>
    </w:p>
    <w:p w14:paraId="56D57887" w14:textId="474DD622" w:rsidR="008159E9" w:rsidRPr="00B107FA" w:rsidRDefault="0063249B" w:rsidP="00012630">
      <w:pPr>
        <w:spacing w:line="36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Carr, E, et al. (2019) </w:t>
      </w:r>
      <w:r w:rsidRPr="00012630">
        <w:rPr>
          <w:rFonts w:ascii="Arial" w:hAnsi="Arial" w:cs="Arial"/>
          <w:i/>
          <w:iCs/>
          <w:kern w:val="0"/>
          <w:sz w:val="24"/>
          <w:szCs w:val="24"/>
          <w14:ligatures w14:val="none"/>
        </w:rPr>
        <w:t>The Value of Belonging at Work</w:t>
      </w:r>
      <w:r w:rsidRPr="00B107FA">
        <w:rPr>
          <w:rFonts w:ascii="Arial" w:hAnsi="Arial" w:cs="Arial"/>
          <w:kern w:val="0"/>
          <w:sz w:val="24"/>
          <w:szCs w:val="24"/>
          <w14:ligatures w14:val="none"/>
        </w:rPr>
        <w:t xml:space="preserve">. Available at: </w:t>
      </w:r>
      <w:hyperlink r:id="rId12" w:history="1">
        <w:r w:rsidRPr="00B107FA">
          <w:rPr>
            <w:rFonts w:ascii="Arial" w:hAnsi="Arial" w:cs="Arial"/>
            <w:kern w:val="0"/>
            <w:sz w:val="24"/>
            <w:szCs w:val="24"/>
            <w14:ligatures w14:val="none"/>
          </w:rPr>
          <w:t>https://hbr.org/2019/12/the-value-of-belonging-at-work</w:t>
        </w:r>
      </w:hyperlink>
      <w:r w:rsidRPr="00B107FA">
        <w:rPr>
          <w:rFonts w:ascii="Arial" w:hAnsi="Arial" w:cs="Arial"/>
          <w:kern w:val="0"/>
          <w:sz w:val="24"/>
          <w:szCs w:val="24"/>
          <w14:ligatures w14:val="none"/>
        </w:rPr>
        <w:t xml:space="preserve"> (Accessed: 17 September 2023) </w:t>
      </w:r>
    </w:p>
    <w:p w14:paraId="1D448354" w14:textId="23B4B56B" w:rsidR="004E6B9F" w:rsidRPr="00B107FA" w:rsidRDefault="004E6B9F" w:rsidP="00012630">
      <w:pPr>
        <w:spacing w:line="360" w:lineRule="auto"/>
        <w:rPr>
          <w:rFonts w:ascii="Arial" w:hAnsi="Arial" w:cs="Arial"/>
          <w:kern w:val="0"/>
          <w:sz w:val="24"/>
          <w:szCs w:val="24"/>
          <w14:ligatures w14:val="none"/>
        </w:rPr>
      </w:pPr>
      <w:r w:rsidRPr="00B107FA">
        <w:rPr>
          <w:rFonts w:ascii="Arial" w:hAnsi="Arial" w:cs="Arial"/>
          <w:kern w:val="0"/>
          <w:sz w:val="24"/>
          <w:szCs w:val="24"/>
          <w14:ligatures w14:val="none"/>
        </w:rPr>
        <w:t>Creswell, J. (2023) </w:t>
      </w:r>
      <w:r w:rsidRPr="00012630">
        <w:rPr>
          <w:rFonts w:ascii="Arial" w:hAnsi="Arial" w:cs="Arial"/>
          <w:i/>
          <w:iCs/>
          <w:kern w:val="0"/>
          <w:sz w:val="24"/>
          <w:szCs w:val="24"/>
          <w14:ligatures w14:val="none"/>
        </w:rPr>
        <w:t xml:space="preserve">Research design: qualitative, quantitative, and mixed methods </w:t>
      </w:r>
      <w:proofErr w:type="gramStart"/>
      <w:r w:rsidRPr="00012630">
        <w:rPr>
          <w:rFonts w:ascii="Arial" w:hAnsi="Arial" w:cs="Arial"/>
          <w:i/>
          <w:iCs/>
          <w:kern w:val="0"/>
          <w:sz w:val="24"/>
          <w:szCs w:val="24"/>
          <w14:ligatures w14:val="none"/>
        </w:rPr>
        <w:t>approaches</w:t>
      </w:r>
      <w:proofErr w:type="gramEnd"/>
      <w:r w:rsidRPr="00B107FA">
        <w:rPr>
          <w:rFonts w:ascii="Arial" w:hAnsi="Arial" w:cs="Arial"/>
          <w:kern w:val="0"/>
          <w:sz w:val="24"/>
          <w:szCs w:val="24"/>
          <w14:ligatures w14:val="none"/>
        </w:rPr>
        <w:t>. Sixth edition. California: SAGE Publications</w:t>
      </w:r>
    </w:p>
    <w:p w14:paraId="2647EC23" w14:textId="34330B19" w:rsidR="008D416E" w:rsidRPr="00B107FA" w:rsidRDefault="008D416E" w:rsidP="00012630">
      <w:pPr>
        <w:spacing w:line="360" w:lineRule="auto"/>
        <w:rPr>
          <w:rFonts w:ascii="Arial" w:hAnsi="Arial" w:cs="Arial"/>
          <w:kern w:val="0"/>
          <w:sz w:val="24"/>
          <w:szCs w:val="24"/>
          <w14:ligatures w14:val="none"/>
        </w:rPr>
      </w:pPr>
      <w:r w:rsidRPr="00B107FA">
        <w:rPr>
          <w:rFonts w:ascii="Arial" w:hAnsi="Arial" w:cs="Arial"/>
          <w:kern w:val="0"/>
          <w:sz w:val="24"/>
          <w:szCs w:val="24"/>
          <w14:ligatures w14:val="none"/>
        </w:rPr>
        <w:t>Flick, U. (2018) </w:t>
      </w:r>
      <w:r w:rsidRPr="00012630">
        <w:rPr>
          <w:rFonts w:ascii="Arial" w:hAnsi="Arial" w:cs="Arial"/>
          <w:i/>
          <w:iCs/>
          <w:kern w:val="0"/>
          <w:sz w:val="24"/>
          <w:szCs w:val="24"/>
          <w14:ligatures w14:val="none"/>
        </w:rPr>
        <w:t>An introduction to qualitative research</w:t>
      </w:r>
      <w:r w:rsidRPr="00B107FA">
        <w:rPr>
          <w:rFonts w:ascii="Arial" w:hAnsi="Arial" w:cs="Arial"/>
          <w:kern w:val="0"/>
          <w:sz w:val="24"/>
          <w:szCs w:val="24"/>
          <w14:ligatures w14:val="none"/>
        </w:rPr>
        <w:t>. Sixth edition. London: SAGE.</w:t>
      </w:r>
    </w:p>
    <w:p w14:paraId="2D9AB492" w14:textId="18543F8F" w:rsidR="008159E9" w:rsidRDefault="008159E9" w:rsidP="00012630">
      <w:pPr>
        <w:spacing w:line="360" w:lineRule="auto"/>
        <w:rPr>
          <w:rFonts w:ascii="Arial" w:hAnsi="Arial" w:cs="Arial"/>
          <w:kern w:val="0"/>
          <w:sz w:val="24"/>
          <w:szCs w:val="24"/>
          <w14:ligatures w14:val="none"/>
        </w:rPr>
      </w:pPr>
      <w:bookmarkStart w:id="0" w:name="_Hlk146275317"/>
      <w:r w:rsidRPr="00B107FA">
        <w:rPr>
          <w:rFonts w:ascii="Arial" w:hAnsi="Arial" w:cs="Arial"/>
          <w:kern w:val="0"/>
          <w:sz w:val="24"/>
          <w:szCs w:val="24"/>
          <w14:ligatures w14:val="none"/>
        </w:rPr>
        <w:t xml:space="preserve">Gray, P. (2023) </w:t>
      </w:r>
      <w:r w:rsidRPr="00012630">
        <w:rPr>
          <w:rFonts w:ascii="Arial" w:hAnsi="Arial" w:cs="Arial"/>
          <w:i/>
          <w:iCs/>
          <w:kern w:val="0"/>
          <w:sz w:val="24"/>
          <w:szCs w:val="24"/>
          <w14:ligatures w14:val="none"/>
        </w:rPr>
        <w:t>Onboarding: The Definitive Guide for HR Professionals</w:t>
      </w:r>
      <w:r w:rsidRPr="00B107FA">
        <w:rPr>
          <w:rFonts w:ascii="Arial" w:hAnsi="Arial" w:cs="Arial"/>
          <w:kern w:val="0"/>
          <w:sz w:val="24"/>
          <w:szCs w:val="24"/>
          <w14:ligatures w14:val="none"/>
        </w:rPr>
        <w:t xml:space="preserve">. Available at: </w:t>
      </w:r>
      <w:hyperlink r:id="rId13" w:history="1">
        <w:r w:rsidRPr="00B107FA">
          <w:rPr>
            <w:rFonts w:ascii="Arial" w:hAnsi="Arial" w:cs="Arial"/>
            <w:kern w:val="0"/>
            <w:sz w:val="24"/>
            <w:szCs w:val="24"/>
            <w14:ligatures w14:val="none"/>
          </w:rPr>
          <w:t>https://hrreview.co.uk/guides/onboarding-the-definitive-guide-for-hr-professionals/148165</w:t>
        </w:r>
      </w:hyperlink>
      <w:r w:rsidRPr="00B107FA">
        <w:rPr>
          <w:rFonts w:ascii="Arial" w:hAnsi="Arial" w:cs="Arial"/>
          <w:kern w:val="0"/>
          <w:sz w:val="24"/>
          <w:szCs w:val="24"/>
          <w14:ligatures w14:val="none"/>
        </w:rPr>
        <w:t xml:space="preserve"> (Accessed: 17 September 2023). </w:t>
      </w:r>
    </w:p>
    <w:p w14:paraId="6215AEB8" w14:textId="3F4D9F48" w:rsidR="00DF0233" w:rsidRPr="00B107FA" w:rsidRDefault="00DF0233" w:rsidP="00012630">
      <w:pPr>
        <w:spacing w:line="360" w:lineRule="auto"/>
        <w:rPr>
          <w:rFonts w:ascii="Arial" w:hAnsi="Arial" w:cs="Arial"/>
          <w:kern w:val="0"/>
          <w:sz w:val="24"/>
          <w:szCs w:val="24"/>
          <w14:ligatures w14:val="none"/>
        </w:rPr>
      </w:pPr>
      <w:r w:rsidRPr="00DF0233">
        <w:rPr>
          <w:rFonts w:ascii="Arial" w:hAnsi="Arial" w:cs="Arial"/>
          <w:kern w:val="0"/>
          <w:sz w:val="24"/>
          <w:szCs w:val="24"/>
          <w14:ligatures w14:val="none"/>
        </w:rPr>
        <w:t>Gupta, P.D. et al. (2018) ‘Relationship between onboarding experience and turnover intention: intervening role of locus of control and self-efficacy’, </w:t>
      </w:r>
      <w:r w:rsidRPr="00DF0233">
        <w:rPr>
          <w:rFonts w:ascii="Arial" w:hAnsi="Arial" w:cs="Arial"/>
          <w:i/>
          <w:iCs/>
          <w:kern w:val="0"/>
          <w:sz w:val="24"/>
          <w:szCs w:val="24"/>
          <w14:ligatures w14:val="none"/>
        </w:rPr>
        <w:t>Industrial and commercial training</w:t>
      </w:r>
      <w:r w:rsidRPr="00DF0233">
        <w:rPr>
          <w:rFonts w:ascii="Arial" w:hAnsi="Arial" w:cs="Arial"/>
          <w:kern w:val="0"/>
          <w:sz w:val="24"/>
          <w:szCs w:val="24"/>
          <w14:ligatures w14:val="none"/>
        </w:rPr>
        <w:t>, 50(2), pp. 61–80. Available at: https://doi.org/10.1108/ICT-03-2017-0023</w:t>
      </w:r>
    </w:p>
    <w:bookmarkEnd w:id="0"/>
    <w:p w14:paraId="7141AD4B" w14:textId="567DA7C9" w:rsidR="00F67927" w:rsidRPr="00B107FA" w:rsidRDefault="00F67927" w:rsidP="00012630">
      <w:pPr>
        <w:spacing w:line="36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Health and Social Care Committee (2022) </w:t>
      </w:r>
      <w:r w:rsidRPr="00012630">
        <w:rPr>
          <w:rFonts w:ascii="Arial" w:hAnsi="Arial" w:cs="Arial"/>
          <w:i/>
          <w:iCs/>
          <w:kern w:val="0"/>
          <w:sz w:val="24"/>
          <w:szCs w:val="24"/>
          <w14:ligatures w14:val="none"/>
        </w:rPr>
        <w:t>Workforce: recruitment, training and retention in health and social care</w:t>
      </w:r>
      <w:r w:rsidRPr="00B107FA">
        <w:rPr>
          <w:rFonts w:ascii="Arial" w:hAnsi="Arial" w:cs="Arial"/>
          <w:kern w:val="0"/>
          <w:sz w:val="24"/>
          <w:szCs w:val="24"/>
          <w14:ligatures w14:val="none"/>
        </w:rPr>
        <w:t xml:space="preserve">. Available at: </w:t>
      </w:r>
      <w:hyperlink r:id="rId14" w:history="1">
        <w:r w:rsidRPr="00B107FA">
          <w:rPr>
            <w:rFonts w:ascii="Arial" w:hAnsi="Arial" w:cs="Arial"/>
            <w:kern w:val="0"/>
            <w:sz w:val="24"/>
            <w:szCs w:val="24"/>
            <w14:ligatures w14:val="none"/>
          </w:rPr>
          <w:t>https://committees.parliament.uk/publications/23246/documents/171671/default/</w:t>
        </w:r>
      </w:hyperlink>
      <w:r w:rsidRPr="00B107FA">
        <w:rPr>
          <w:rFonts w:ascii="Arial" w:hAnsi="Arial" w:cs="Arial"/>
          <w:kern w:val="0"/>
          <w:sz w:val="24"/>
          <w:szCs w:val="24"/>
          <w14:ligatures w14:val="none"/>
        </w:rPr>
        <w:t xml:space="preserve"> (Accessed: 20 August 2023) </w:t>
      </w:r>
    </w:p>
    <w:p w14:paraId="63F9D9E8" w14:textId="2C4E11E7" w:rsidR="00457707" w:rsidRPr="00B107FA" w:rsidRDefault="00457707" w:rsidP="00012630">
      <w:pPr>
        <w:spacing w:line="36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Maurer, R. (2018) </w:t>
      </w:r>
      <w:r w:rsidRPr="00012630">
        <w:rPr>
          <w:rFonts w:ascii="Arial" w:hAnsi="Arial" w:cs="Arial"/>
          <w:i/>
          <w:iCs/>
          <w:kern w:val="0"/>
          <w:sz w:val="24"/>
          <w:szCs w:val="24"/>
          <w14:ligatures w14:val="none"/>
        </w:rPr>
        <w:t>Employers Risk Driving New Hires Away with Poor Onboarding.</w:t>
      </w:r>
      <w:r w:rsidRPr="00B107FA">
        <w:rPr>
          <w:rFonts w:ascii="Arial" w:hAnsi="Arial" w:cs="Arial"/>
          <w:kern w:val="0"/>
          <w:sz w:val="24"/>
          <w:szCs w:val="24"/>
          <w14:ligatures w14:val="none"/>
        </w:rPr>
        <w:t xml:space="preserve"> Available at: </w:t>
      </w:r>
      <w:hyperlink r:id="rId15" w:history="1">
        <w:r w:rsidRPr="00B107FA">
          <w:rPr>
            <w:rFonts w:ascii="Arial" w:hAnsi="Arial" w:cs="Arial"/>
            <w:kern w:val="0"/>
            <w:sz w:val="24"/>
            <w:szCs w:val="24"/>
            <w14:ligatures w14:val="none"/>
          </w:rPr>
          <w:t>https://www.shrm.org/ResourcesAndTools/hr-topics/talent-acquisition/Pages/Employers-New-Hires-Poor-Onboarding.aspx</w:t>
        </w:r>
      </w:hyperlink>
      <w:r w:rsidRPr="00B107FA">
        <w:rPr>
          <w:rFonts w:ascii="Arial" w:hAnsi="Arial" w:cs="Arial"/>
          <w:kern w:val="0"/>
          <w:sz w:val="24"/>
          <w:szCs w:val="24"/>
          <w14:ligatures w14:val="none"/>
        </w:rPr>
        <w:t xml:space="preserve"> (Accessed: 17 September 2023) </w:t>
      </w:r>
    </w:p>
    <w:p w14:paraId="03C5BB9F" w14:textId="7777BC4B" w:rsidR="00805A9A" w:rsidRPr="00B107FA" w:rsidRDefault="00805A9A" w:rsidP="00012630">
      <w:pPr>
        <w:spacing w:line="36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McCartney, C. (2022) </w:t>
      </w:r>
      <w:r w:rsidRPr="00012630">
        <w:rPr>
          <w:rFonts w:ascii="Arial" w:hAnsi="Arial" w:cs="Arial"/>
          <w:i/>
          <w:iCs/>
          <w:kern w:val="0"/>
          <w:sz w:val="24"/>
          <w:szCs w:val="24"/>
          <w14:ligatures w14:val="none"/>
        </w:rPr>
        <w:t>Induction</w:t>
      </w:r>
      <w:r w:rsidRPr="00B107FA">
        <w:rPr>
          <w:rFonts w:ascii="Arial" w:hAnsi="Arial" w:cs="Arial"/>
          <w:kern w:val="0"/>
          <w:sz w:val="24"/>
          <w:szCs w:val="24"/>
          <w14:ligatures w14:val="none"/>
        </w:rPr>
        <w:t xml:space="preserve">. Available at: </w:t>
      </w:r>
      <w:hyperlink r:id="rId16" w:anchor="purpose" w:history="1">
        <w:r w:rsidRPr="00B107FA">
          <w:rPr>
            <w:rFonts w:ascii="Arial" w:hAnsi="Arial" w:cs="Arial"/>
            <w:kern w:val="0"/>
            <w:sz w:val="24"/>
            <w:szCs w:val="24"/>
            <w14:ligatures w14:val="none"/>
          </w:rPr>
          <w:t>https://www.cipd.org/uk/knowledge/factsheets/induction-factsheet/#purpose</w:t>
        </w:r>
      </w:hyperlink>
      <w:r w:rsidRPr="00B107FA">
        <w:rPr>
          <w:rFonts w:ascii="Arial" w:hAnsi="Arial" w:cs="Arial"/>
          <w:kern w:val="0"/>
          <w:sz w:val="24"/>
          <w:szCs w:val="24"/>
          <w14:ligatures w14:val="none"/>
        </w:rPr>
        <w:t xml:space="preserve"> (Accessed: 17 September 2023) </w:t>
      </w:r>
    </w:p>
    <w:p w14:paraId="2B5A714B" w14:textId="11FAF5C1" w:rsidR="00D14877" w:rsidRPr="00B107FA" w:rsidRDefault="00D14877" w:rsidP="00012630">
      <w:pPr>
        <w:spacing w:line="360" w:lineRule="auto"/>
        <w:rPr>
          <w:rFonts w:ascii="Arial" w:hAnsi="Arial" w:cs="Arial"/>
          <w:kern w:val="0"/>
          <w:sz w:val="24"/>
          <w:szCs w:val="24"/>
          <w14:ligatures w14:val="none"/>
        </w:rPr>
      </w:pPr>
      <w:r w:rsidRPr="00B107FA">
        <w:rPr>
          <w:rFonts w:ascii="Arial" w:hAnsi="Arial" w:cs="Arial"/>
          <w:kern w:val="0"/>
          <w:sz w:val="24"/>
          <w:szCs w:val="24"/>
          <w14:ligatures w14:val="none"/>
        </w:rPr>
        <w:t>Nedelko, Z. (2017) </w:t>
      </w:r>
      <w:r w:rsidRPr="00012630">
        <w:rPr>
          <w:rFonts w:ascii="Arial" w:hAnsi="Arial" w:cs="Arial"/>
          <w:i/>
          <w:iCs/>
          <w:kern w:val="0"/>
          <w:sz w:val="24"/>
          <w:szCs w:val="24"/>
          <w14:ligatures w14:val="none"/>
        </w:rPr>
        <w:t>Exploring the influence of personal values and cultures in the workplace</w:t>
      </w:r>
      <w:r w:rsidRPr="00B107FA">
        <w:rPr>
          <w:rFonts w:ascii="Arial" w:hAnsi="Arial" w:cs="Arial"/>
          <w:kern w:val="0"/>
          <w:sz w:val="24"/>
          <w:szCs w:val="24"/>
          <w14:ligatures w14:val="none"/>
        </w:rPr>
        <w:t xml:space="preserve">. Pennsylvania: Business Science Reference. Available at: </w:t>
      </w:r>
      <w:hyperlink r:id="rId17" w:history="1">
        <w:r w:rsidRPr="00B107FA">
          <w:rPr>
            <w:rFonts w:ascii="Arial" w:hAnsi="Arial" w:cs="Arial"/>
            <w:kern w:val="0"/>
            <w:sz w:val="24"/>
            <w:szCs w:val="24"/>
            <w14:ligatures w14:val="none"/>
          </w:rPr>
          <w:t>https://doi.org/10.4018/978-1-5225-2480-9</w:t>
        </w:r>
      </w:hyperlink>
      <w:r w:rsidRPr="00B107FA">
        <w:rPr>
          <w:rFonts w:ascii="Arial" w:hAnsi="Arial" w:cs="Arial"/>
          <w:kern w:val="0"/>
          <w:sz w:val="24"/>
          <w:szCs w:val="24"/>
          <w14:ligatures w14:val="none"/>
        </w:rPr>
        <w:t xml:space="preserve"> </w:t>
      </w:r>
    </w:p>
    <w:p w14:paraId="6D2FAD19" w14:textId="77777777" w:rsidR="00AD48DE" w:rsidRPr="00B107FA" w:rsidRDefault="00AD48DE" w:rsidP="00012630">
      <w:pPr>
        <w:spacing w:line="360" w:lineRule="auto"/>
        <w:rPr>
          <w:rFonts w:ascii="Arial" w:hAnsi="Arial" w:cs="Arial"/>
          <w:kern w:val="0"/>
          <w:sz w:val="24"/>
          <w:szCs w:val="24"/>
          <w14:ligatures w14:val="none"/>
        </w:rPr>
      </w:pPr>
      <w:r w:rsidRPr="00B107FA">
        <w:rPr>
          <w:rFonts w:ascii="Arial" w:hAnsi="Arial" w:cs="Arial"/>
          <w:kern w:val="0"/>
          <w:sz w:val="24"/>
          <w:szCs w:val="24"/>
          <w14:ligatures w14:val="none"/>
        </w:rPr>
        <w:t xml:space="preserve">Walker-Schmidt, W., Kaul, C. and Papadakis, L. (2022) ‘Onboarding Effects on Engagement and Retention’, </w:t>
      </w:r>
      <w:r w:rsidRPr="00012630">
        <w:rPr>
          <w:rFonts w:ascii="Arial" w:hAnsi="Arial" w:cs="Arial"/>
          <w:i/>
          <w:iCs/>
          <w:kern w:val="0"/>
          <w:sz w:val="24"/>
          <w:szCs w:val="24"/>
          <w14:ligatures w14:val="none"/>
        </w:rPr>
        <w:t>Impacting education</w:t>
      </w:r>
      <w:r w:rsidRPr="00B107FA">
        <w:rPr>
          <w:rFonts w:ascii="Arial" w:hAnsi="Arial" w:cs="Arial"/>
          <w:kern w:val="0"/>
          <w:sz w:val="24"/>
          <w:szCs w:val="24"/>
          <w14:ligatures w14:val="none"/>
        </w:rPr>
        <w:t xml:space="preserve">, 7(4), pp. 8–15. Available at: </w:t>
      </w:r>
      <w:hyperlink r:id="rId18" w:history="1">
        <w:r w:rsidRPr="00B107FA">
          <w:rPr>
            <w:rFonts w:ascii="Arial" w:hAnsi="Arial" w:cs="Arial"/>
            <w:kern w:val="0"/>
            <w:sz w:val="24"/>
            <w:szCs w:val="24"/>
            <w14:ligatures w14:val="none"/>
          </w:rPr>
          <w:t>https://doi.org/10.5195/ie.2022.220</w:t>
        </w:r>
      </w:hyperlink>
      <w:r w:rsidRPr="00B107FA">
        <w:rPr>
          <w:rFonts w:ascii="Arial" w:hAnsi="Arial" w:cs="Arial"/>
          <w:kern w:val="0"/>
          <w:sz w:val="24"/>
          <w:szCs w:val="24"/>
          <w14:ligatures w14:val="none"/>
        </w:rPr>
        <w:t xml:space="preserve"> </w:t>
      </w:r>
    </w:p>
    <w:p w14:paraId="11A34E94" w14:textId="001F27D4" w:rsidR="00DB613E" w:rsidRPr="00B107FA" w:rsidRDefault="00DB613E" w:rsidP="00012630">
      <w:pPr>
        <w:spacing w:line="360" w:lineRule="auto"/>
        <w:rPr>
          <w:rFonts w:ascii="Arial" w:hAnsi="Arial" w:cs="Arial"/>
          <w:kern w:val="0"/>
          <w:sz w:val="24"/>
          <w:szCs w:val="24"/>
          <w14:ligatures w14:val="none"/>
        </w:rPr>
      </w:pPr>
      <w:r w:rsidRPr="00B107FA">
        <w:rPr>
          <w:rFonts w:ascii="Arial" w:hAnsi="Arial" w:cs="Arial"/>
          <w:kern w:val="0"/>
          <w:sz w:val="24"/>
          <w:szCs w:val="24"/>
          <w14:ligatures w14:val="none"/>
        </w:rPr>
        <w:t>Yin, R. (2018) </w:t>
      </w:r>
      <w:r w:rsidRPr="00012630">
        <w:rPr>
          <w:rFonts w:ascii="Arial" w:hAnsi="Arial" w:cs="Arial"/>
          <w:i/>
          <w:iCs/>
          <w:kern w:val="0"/>
          <w:sz w:val="24"/>
          <w:szCs w:val="24"/>
          <w14:ligatures w14:val="none"/>
        </w:rPr>
        <w:t>Case study research and applications: design and methods</w:t>
      </w:r>
      <w:r w:rsidRPr="00B107FA">
        <w:rPr>
          <w:rFonts w:ascii="Arial" w:hAnsi="Arial" w:cs="Arial"/>
          <w:kern w:val="0"/>
          <w:sz w:val="24"/>
          <w:szCs w:val="24"/>
          <w14:ligatures w14:val="none"/>
        </w:rPr>
        <w:t>. Sixth edition. Los Angeles: Sage.</w:t>
      </w:r>
    </w:p>
    <w:p w14:paraId="5426FFD1" w14:textId="77777777" w:rsidR="00F67927" w:rsidRPr="00B107FA" w:rsidRDefault="00F67927" w:rsidP="00012630">
      <w:pPr>
        <w:spacing w:line="360" w:lineRule="auto"/>
        <w:rPr>
          <w:rFonts w:ascii="Arial" w:hAnsi="Arial" w:cs="Arial"/>
          <w:kern w:val="0"/>
          <w:sz w:val="24"/>
          <w:szCs w:val="24"/>
          <w14:ligatures w14:val="none"/>
        </w:rPr>
      </w:pPr>
    </w:p>
    <w:p w14:paraId="60E51EF5" w14:textId="77777777" w:rsidR="00AD48DE" w:rsidRPr="00B107FA" w:rsidRDefault="00AD48DE" w:rsidP="004424A1">
      <w:pPr>
        <w:spacing w:line="600" w:lineRule="auto"/>
        <w:rPr>
          <w:rFonts w:ascii="Arial" w:hAnsi="Arial" w:cs="Arial"/>
          <w:kern w:val="0"/>
          <w:sz w:val="24"/>
          <w:szCs w:val="24"/>
          <w14:ligatures w14:val="none"/>
        </w:rPr>
      </w:pPr>
    </w:p>
    <w:p w14:paraId="794D77F3" w14:textId="77777777" w:rsidR="00AD48DE" w:rsidRPr="00B107FA" w:rsidRDefault="00AD48DE" w:rsidP="004424A1">
      <w:pPr>
        <w:spacing w:line="600" w:lineRule="auto"/>
        <w:rPr>
          <w:rFonts w:ascii="Arial" w:hAnsi="Arial" w:cs="Arial"/>
          <w:kern w:val="0"/>
          <w:sz w:val="24"/>
          <w:szCs w:val="24"/>
          <w14:ligatures w14:val="none"/>
        </w:rPr>
      </w:pPr>
    </w:p>
    <w:p w14:paraId="095C92C8" w14:textId="77777777" w:rsidR="00AD48DE" w:rsidRPr="00B107FA" w:rsidRDefault="00AD48DE" w:rsidP="004424A1">
      <w:pPr>
        <w:spacing w:line="600" w:lineRule="auto"/>
        <w:rPr>
          <w:rFonts w:ascii="Arial" w:hAnsi="Arial" w:cs="Arial"/>
          <w:kern w:val="0"/>
          <w:sz w:val="24"/>
          <w:szCs w:val="24"/>
          <w14:ligatures w14:val="none"/>
        </w:rPr>
      </w:pPr>
    </w:p>
    <w:p w14:paraId="6F8D1CC5" w14:textId="77777777" w:rsidR="00AD48DE" w:rsidRPr="00B107FA" w:rsidRDefault="00AD48DE" w:rsidP="004424A1">
      <w:pPr>
        <w:spacing w:line="600" w:lineRule="auto"/>
        <w:rPr>
          <w:rFonts w:ascii="Arial" w:hAnsi="Arial" w:cs="Arial"/>
          <w:kern w:val="0"/>
          <w:sz w:val="24"/>
          <w:szCs w:val="24"/>
          <w14:ligatures w14:val="none"/>
        </w:rPr>
      </w:pPr>
    </w:p>
    <w:p w14:paraId="6EC39BE7" w14:textId="77777777" w:rsidR="00AD48DE" w:rsidRPr="00B107FA" w:rsidRDefault="00AD48DE" w:rsidP="004424A1">
      <w:pPr>
        <w:spacing w:line="600" w:lineRule="auto"/>
        <w:rPr>
          <w:rFonts w:ascii="Arial" w:hAnsi="Arial" w:cs="Arial"/>
          <w:kern w:val="0"/>
          <w:sz w:val="24"/>
          <w:szCs w:val="24"/>
          <w14:ligatures w14:val="none"/>
        </w:rPr>
      </w:pPr>
    </w:p>
    <w:p w14:paraId="10CD477F" w14:textId="77777777" w:rsidR="00AD48DE" w:rsidRPr="00B107FA" w:rsidRDefault="00AD48DE" w:rsidP="004424A1">
      <w:pPr>
        <w:spacing w:line="600" w:lineRule="auto"/>
        <w:rPr>
          <w:rFonts w:ascii="Arial" w:hAnsi="Arial" w:cs="Arial"/>
          <w:kern w:val="0"/>
          <w:sz w:val="24"/>
          <w:szCs w:val="24"/>
          <w14:ligatures w14:val="none"/>
        </w:rPr>
      </w:pPr>
    </w:p>
    <w:p w14:paraId="61D73449" w14:textId="77777777" w:rsidR="00AD48DE" w:rsidRPr="00B107FA" w:rsidRDefault="00AD48DE" w:rsidP="004424A1">
      <w:pPr>
        <w:spacing w:line="600" w:lineRule="auto"/>
        <w:rPr>
          <w:rFonts w:ascii="Arial" w:hAnsi="Arial" w:cs="Arial"/>
          <w:kern w:val="0"/>
          <w:sz w:val="24"/>
          <w:szCs w:val="24"/>
          <w14:ligatures w14:val="none"/>
        </w:rPr>
      </w:pPr>
    </w:p>
    <w:p w14:paraId="7BA09F5F" w14:textId="77777777" w:rsidR="00AD48DE" w:rsidRPr="00B107FA" w:rsidRDefault="00AD48DE" w:rsidP="004424A1">
      <w:pPr>
        <w:spacing w:line="600" w:lineRule="auto"/>
        <w:rPr>
          <w:rFonts w:ascii="Arial" w:hAnsi="Arial" w:cs="Arial"/>
          <w:kern w:val="0"/>
          <w:sz w:val="24"/>
          <w:szCs w:val="24"/>
          <w14:ligatures w14:val="none"/>
        </w:rPr>
      </w:pPr>
    </w:p>
    <w:p w14:paraId="56A1BE1C" w14:textId="77777777" w:rsidR="0039470E" w:rsidRPr="00B107FA" w:rsidRDefault="0039470E" w:rsidP="004424A1">
      <w:pPr>
        <w:spacing w:line="600" w:lineRule="auto"/>
        <w:rPr>
          <w:rFonts w:ascii="Arial" w:hAnsi="Arial" w:cs="Arial"/>
          <w:kern w:val="0"/>
          <w:sz w:val="24"/>
          <w:szCs w:val="24"/>
          <w14:ligatures w14:val="none"/>
        </w:rPr>
      </w:pPr>
    </w:p>
    <w:p w14:paraId="7654DF36" w14:textId="77777777" w:rsidR="0039470E" w:rsidRPr="00B107FA" w:rsidRDefault="0039470E" w:rsidP="004424A1">
      <w:pPr>
        <w:spacing w:line="600" w:lineRule="auto"/>
        <w:rPr>
          <w:rFonts w:ascii="Arial" w:hAnsi="Arial" w:cs="Arial"/>
          <w:kern w:val="0"/>
          <w:sz w:val="24"/>
          <w:szCs w:val="24"/>
          <w14:ligatures w14:val="none"/>
        </w:rPr>
      </w:pPr>
    </w:p>
    <w:sectPr w:rsidR="0039470E" w:rsidRPr="00B107FA" w:rsidSect="0093168C">
      <w:footerReference w:type="default" r:id="rId19"/>
      <w:pgSz w:w="11906" w:h="16838"/>
      <w:pgMar w:top="1440" w:right="1440" w:bottom="1440" w:left="1440" w:header="708"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CEF94" w14:textId="77777777" w:rsidR="0093168C" w:rsidRDefault="0093168C" w:rsidP="0093168C">
      <w:pPr>
        <w:spacing w:after="0" w:line="240" w:lineRule="auto"/>
      </w:pPr>
      <w:r>
        <w:separator/>
      </w:r>
    </w:p>
  </w:endnote>
  <w:endnote w:type="continuationSeparator" w:id="0">
    <w:p w14:paraId="65D6BDE6" w14:textId="77777777" w:rsidR="0093168C" w:rsidRDefault="0093168C" w:rsidP="00931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6416447"/>
      <w:docPartObj>
        <w:docPartGallery w:val="Page Numbers (Bottom of Page)"/>
        <w:docPartUnique/>
      </w:docPartObj>
    </w:sdtPr>
    <w:sdtEndPr>
      <w:rPr>
        <w:color w:val="7F7F7F" w:themeColor="background1" w:themeShade="7F"/>
        <w:spacing w:val="60"/>
      </w:rPr>
    </w:sdtEndPr>
    <w:sdtContent>
      <w:p w14:paraId="10BD3363" w14:textId="6CC7D847" w:rsidR="0093168C" w:rsidRDefault="0093168C">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2AB41A21" w14:textId="2079B826" w:rsidR="0093168C" w:rsidRDefault="0093168C">
    <w:pPr>
      <w:pStyle w:val="Footer"/>
    </w:pPr>
    <w:r>
      <w:t>Grahame Chapman</w:t>
    </w:r>
    <w:r>
      <w:tab/>
      <w:t>Student No.</w:t>
    </w:r>
    <w:r w:rsidR="00AA1618">
      <w:t xml:space="preserve"> </w:t>
    </w:r>
    <w:r>
      <w:t>0750314</w:t>
    </w:r>
    <w:r w:rsidR="00120F9C">
      <w:tab/>
      <w:t xml:space="preserve">Word Count: </w:t>
    </w:r>
    <w:r w:rsidR="007A62EA">
      <w:t>8</w:t>
    </w:r>
    <w:r w:rsidR="00012630">
      <w:t>80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0C3FC" w14:textId="77777777" w:rsidR="0093168C" w:rsidRDefault="0093168C" w:rsidP="0093168C">
      <w:pPr>
        <w:spacing w:after="0" w:line="240" w:lineRule="auto"/>
      </w:pPr>
      <w:r>
        <w:separator/>
      </w:r>
    </w:p>
  </w:footnote>
  <w:footnote w:type="continuationSeparator" w:id="0">
    <w:p w14:paraId="67033039" w14:textId="77777777" w:rsidR="0093168C" w:rsidRDefault="0093168C" w:rsidP="009316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C0433"/>
    <w:multiLevelType w:val="hybridMultilevel"/>
    <w:tmpl w:val="8564F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5091D"/>
    <w:multiLevelType w:val="hybridMultilevel"/>
    <w:tmpl w:val="91BEB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C36920"/>
    <w:multiLevelType w:val="hybridMultilevel"/>
    <w:tmpl w:val="6BAAEB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CF659D"/>
    <w:multiLevelType w:val="hybridMultilevel"/>
    <w:tmpl w:val="24623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654F4D"/>
    <w:multiLevelType w:val="hybridMultilevel"/>
    <w:tmpl w:val="21CAC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6284581">
    <w:abstractNumId w:val="3"/>
  </w:num>
  <w:num w:numId="2" w16cid:durableId="1905795847">
    <w:abstractNumId w:val="1"/>
  </w:num>
  <w:num w:numId="3" w16cid:durableId="1883247003">
    <w:abstractNumId w:val="0"/>
  </w:num>
  <w:num w:numId="4" w16cid:durableId="93289750">
    <w:abstractNumId w:val="4"/>
  </w:num>
  <w:num w:numId="5" w16cid:durableId="20163770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70E"/>
    <w:rsid w:val="00012630"/>
    <w:rsid w:val="000267E3"/>
    <w:rsid w:val="00026FEF"/>
    <w:rsid w:val="00120F9C"/>
    <w:rsid w:val="00121AE4"/>
    <w:rsid w:val="0013567C"/>
    <w:rsid w:val="001573B6"/>
    <w:rsid w:val="001E508A"/>
    <w:rsid w:val="00213D91"/>
    <w:rsid w:val="00246ED7"/>
    <w:rsid w:val="002B3973"/>
    <w:rsid w:val="002D14E9"/>
    <w:rsid w:val="002D4B6B"/>
    <w:rsid w:val="002F172E"/>
    <w:rsid w:val="002F48F6"/>
    <w:rsid w:val="002F6779"/>
    <w:rsid w:val="0039470E"/>
    <w:rsid w:val="003C1371"/>
    <w:rsid w:val="003C1AFC"/>
    <w:rsid w:val="003C2567"/>
    <w:rsid w:val="003F4513"/>
    <w:rsid w:val="00403666"/>
    <w:rsid w:val="00407EE6"/>
    <w:rsid w:val="0041638C"/>
    <w:rsid w:val="00431B37"/>
    <w:rsid w:val="00433B89"/>
    <w:rsid w:val="004424A1"/>
    <w:rsid w:val="00457707"/>
    <w:rsid w:val="00467848"/>
    <w:rsid w:val="004E6B9F"/>
    <w:rsid w:val="005319D2"/>
    <w:rsid w:val="00546539"/>
    <w:rsid w:val="005964BB"/>
    <w:rsid w:val="005D021F"/>
    <w:rsid w:val="005E5281"/>
    <w:rsid w:val="005F5A17"/>
    <w:rsid w:val="006118BE"/>
    <w:rsid w:val="0063249B"/>
    <w:rsid w:val="006418EA"/>
    <w:rsid w:val="00743A5A"/>
    <w:rsid w:val="00765CEA"/>
    <w:rsid w:val="007933C7"/>
    <w:rsid w:val="007A18DA"/>
    <w:rsid w:val="007A62EA"/>
    <w:rsid w:val="00801762"/>
    <w:rsid w:val="00805A9A"/>
    <w:rsid w:val="00810FCC"/>
    <w:rsid w:val="008159E9"/>
    <w:rsid w:val="008255F6"/>
    <w:rsid w:val="00860E4E"/>
    <w:rsid w:val="008712EA"/>
    <w:rsid w:val="00877424"/>
    <w:rsid w:val="00884009"/>
    <w:rsid w:val="008D416E"/>
    <w:rsid w:val="0093168C"/>
    <w:rsid w:val="00954F3C"/>
    <w:rsid w:val="00976221"/>
    <w:rsid w:val="009A40CB"/>
    <w:rsid w:val="009B7DA4"/>
    <w:rsid w:val="009D6832"/>
    <w:rsid w:val="00A32CFC"/>
    <w:rsid w:val="00A334B3"/>
    <w:rsid w:val="00AA1618"/>
    <w:rsid w:val="00AD48DE"/>
    <w:rsid w:val="00AD497B"/>
    <w:rsid w:val="00AE505A"/>
    <w:rsid w:val="00B107FA"/>
    <w:rsid w:val="00B47426"/>
    <w:rsid w:val="00B51EFD"/>
    <w:rsid w:val="00BC35EB"/>
    <w:rsid w:val="00C30A45"/>
    <w:rsid w:val="00C37AEC"/>
    <w:rsid w:val="00CB4BF2"/>
    <w:rsid w:val="00CC0DCA"/>
    <w:rsid w:val="00D13227"/>
    <w:rsid w:val="00D14877"/>
    <w:rsid w:val="00D15FED"/>
    <w:rsid w:val="00D52C68"/>
    <w:rsid w:val="00DB613E"/>
    <w:rsid w:val="00DD5E68"/>
    <w:rsid w:val="00DF0233"/>
    <w:rsid w:val="00DF55FB"/>
    <w:rsid w:val="00F67927"/>
    <w:rsid w:val="00F91F32"/>
    <w:rsid w:val="00FC1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B27E6"/>
  <w15:chartTrackingRefBased/>
  <w15:docId w15:val="{9053BAEA-BA1C-4444-91C1-33E7315D4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470E"/>
    <w:rPr>
      <w:color w:val="0563C1" w:themeColor="hyperlink"/>
      <w:u w:val="single"/>
    </w:rPr>
  </w:style>
  <w:style w:type="character" w:styleId="FollowedHyperlink">
    <w:name w:val="FollowedHyperlink"/>
    <w:basedOn w:val="DefaultParagraphFont"/>
    <w:uiPriority w:val="99"/>
    <w:semiHidden/>
    <w:unhideWhenUsed/>
    <w:rsid w:val="005E5281"/>
    <w:rPr>
      <w:color w:val="954F72" w:themeColor="followedHyperlink"/>
      <w:u w:val="single"/>
    </w:rPr>
  </w:style>
  <w:style w:type="paragraph" w:styleId="Header">
    <w:name w:val="header"/>
    <w:basedOn w:val="Normal"/>
    <w:link w:val="HeaderChar"/>
    <w:uiPriority w:val="99"/>
    <w:unhideWhenUsed/>
    <w:rsid w:val="00931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68C"/>
  </w:style>
  <w:style w:type="paragraph" w:styleId="Footer">
    <w:name w:val="footer"/>
    <w:basedOn w:val="Normal"/>
    <w:link w:val="FooterChar"/>
    <w:uiPriority w:val="99"/>
    <w:unhideWhenUsed/>
    <w:rsid w:val="00931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68C"/>
  </w:style>
  <w:style w:type="character" w:styleId="UnresolvedMention">
    <w:name w:val="Unresolved Mention"/>
    <w:basedOn w:val="DefaultParagraphFont"/>
    <w:uiPriority w:val="99"/>
    <w:semiHidden/>
    <w:unhideWhenUsed/>
    <w:rsid w:val="003C1371"/>
    <w:rPr>
      <w:color w:val="605E5C"/>
      <w:shd w:val="clear" w:color="auto" w:fill="E1DFDD"/>
    </w:rPr>
  </w:style>
  <w:style w:type="paragraph" w:styleId="ListParagraph">
    <w:name w:val="List Paragraph"/>
    <w:basedOn w:val="Normal"/>
    <w:uiPriority w:val="34"/>
    <w:qFormat/>
    <w:rsid w:val="00810FCC"/>
    <w:pPr>
      <w:ind w:left="720"/>
      <w:contextualSpacing/>
    </w:pPr>
  </w:style>
  <w:style w:type="character" w:customStyle="1" w:styleId="oypena">
    <w:name w:val="oypena"/>
    <w:basedOn w:val="DefaultParagraphFont"/>
    <w:rsid w:val="009A40CB"/>
  </w:style>
  <w:style w:type="paragraph" w:customStyle="1" w:styleId="cvgsua">
    <w:name w:val="cvgsua"/>
    <w:basedOn w:val="Normal"/>
    <w:rsid w:val="00D132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4141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hrreview.co.uk/guides/onboarding-the-definitive-guide-for-hr-professionals/148165" TargetMode="External"/><Relationship Id="rId18" Type="http://schemas.openxmlformats.org/officeDocument/2006/relationships/hyperlink" Target="https://doi.org/10.5195/ie.2022.22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hyperlink" Target="https://hbr.org/2019/12/the-value-of-belonging-at-work" TargetMode="External"/><Relationship Id="rId17" Type="http://schemas.openxmlformats.org/officeDocument/2006/relationships/hyperlink" Target="https://doi.org/10.4018/978-1-5225-2480-9" TargetMode="External"/><Relationship Id="rId2" Type="http://schemas.openxmlformats.org/officeDocument/2006/relationships/styles" Target="styles.xml"/><Relationship Id="rId16" Type="http://schemas.openxmlformats.org/officeDocument/2006/relationships/hyperlink" Target="https://www.cipd.org/uk/knowledge/factsheets/induction-factshee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publication/state-care-202122" TargetMode="External"/><Relationship Id="rId5" Type="http://schemas.openxmlformats.org/officeDocument/2006/relationships/footnotes" Target="footnotes.xml"/><Relationship Id="rId15" Type="http://schemas.openxmlformats.org/officeDocument/2006/relationships/hyperlink" Target="https://www.shrm.org/ResourcesAndTools/hr-topics/talent-acquisition/Pages/Employers-New-Hires-Poor-Onboarding.aspx" TargetMode="External"/><Relationship Id="rId10" Type="http://schemas.openxmlformats.org/officeDocument/2006/relationships/hyperlink" Target="https://www.acas.org.uk/sites/default/files/2021-03/Starting-staff-induction.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committees.parliament.uk/publications/23246/documents/171671/defaul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172.26.250.11\Sancta%20Maria\HR\Staff\Personnel\1.%20CIPD\04.%20Driving%20Change%20and%20Building%20Business%20Cases\Research\Exit%20Interview%20Sta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172.26.250.11\Sancta%20Maria\HR\Staff\Personnel\Misc\KPI's\Exit%20Interview%20Feedbac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172.26.250.11\Sancta%20Maria\HR\SMH%20Staff\Personnel\99.%20GC%20CIPD\04.%20Driving%20Change%20and%20Building%20Business%20Cases\Research\Exit%20Interview%20Sta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The Induction Process was Organised and Engaging?</a:t>
            </a:r>
          </a:p>
        </c:rich>
      </c:tx>
      <c:layout>
        <c:manualLayout>
          <c:xMode val="edge"/>
          <c:yMode val="edge"/>
          <c:x val="0.16509209614918235"/>
          <c:y val="5.0357100884777475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rgbClr val="5B825D"/>
            </a:solidFill>
            <a:ln>
              <a:noFill/>
            </a:ln>
            <a:effectLst>
              <a:outerShdw blurRad="57150" dist="19050" dir="5400000" algn="ctr" rotWithShape="0">
                <a:srgbClr val="000000">
                  <a:alpha val="63000"/>
                </a:srgbClr>
              </a:outerShdw>
            </a:effectLst>
            <a:sp3d/>
          </c:spPr>
          <c:invertIfNegative val="0"/>
          <c:dLbls>
            <c:dLbl>
              <c:idx val="0"/>
              <c:layout>
                <c:manualLayout>
                  <c:x val="1.6513759082025705E-2"/>
                  <c:y val="-3.726706859455548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AAB7-4ADC-A0A3-09833E47DF2F}"/>
                </c:ext>
              </c:extLst>
            </c:dLbl>
            <c:dLbl>
              <c:idx val="1"/>
              <c:layout>
                <c:manualLayout>
                  <c:x val="2.0183483322475861E-2"/>
                  <c:y val="-4.140785399395054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AB7-4ADC-A0A3-09833E47DF2F}"/>
                </c:ext>
              </c:extLst>
            </c:dLbl>
            <c:dLbl>
              <c:idx val="2"/>
              <c:layout>
                <c:manualLayout>
                  <c:x val="2.385320756292602E-2"/>
                  <c:y val="-4.554863939334563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AAB7-4ADC-A0A3-09833E47DF2F}"/>
                </c:ext>
              </c:extLst>
            </c:dLbl>
            <c:dLbl>
              <c:idx val="3"/>
              <c:layout>
                <c:manualLayout>
                  <c:x val="1.8348621202250785E-2"/>
                  <c:y val="-4.140785399395054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AB7-4ADC-A0A3-09833E47DF2F}"/>
                </c:ext>
              </c:extLst>
            </c:dLbl>
            <c:dLbl>
              <c:idx val="4"/>
              <c:layout>
                <c:manualLayout>
                  <c:x val="1.4678896961800492E-2"/>
                  <c:y val="-4.140785399395054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AAB7-4ADC-A0A3-09833E47DF2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Sheet1!$C$3:$G$3</c:f>
              <c:strCache>
                <c:ptCount val="5"/>
                <c:pt idx="0">
                  <c:v>Strongly Agree</c:v>
                </c:pt>
                <c:pt idx="1">
                  <c:v>Agree</c:v>
                </c:pt>
                <c:pt idx="2">
                  <c:v>Neither Agree or Disagree</c:v>
                </c:pt>
                <c:pt idx="3">
                  <c:v>Disagree</c:v>
                </c:pt>
                <c:pt idx="4">
                  <c:v>Strongly disagree</c:v>
                </c:pt>
              </c:strCache>
            </c:strRef>
          </c:cat>
          <c:val>
            <c:numRef>
              <c:f>Sheet1!$C$7:$G$7</c:f>
              <c:numCache>
                <c:formatCode>0%</c:formatCode>
                <c:ptCount val="5"/>
                <c:pt idx="0">
                  <c:v>7.1428571428571425E-2</c:v>
                </c:pt>
                <c:pt idx="1">
                  <c:v>0.21428571428571427</c:v>
                </c:pt>
                <c:pt idx="2">
                  <c:v>0.25</c:v>
                </c:pt>
                <c:pt idx="3">
                  <c:v>0.2857142857142857</c:v>
                </c:pt>
                <c:pt idx="4">
                  <c:v>0.17857142857142858</c:v>
                </c:pt>
              </c:numCache>
            </c:numRef>
          </c:val>
          <c:shape val="cylinder"/>
          <c:extLst>
            <c:ext xmlns:c16="http://schemas.microsoft.com/office/drawing/2014/chart" uri="{C3380CC4-5D6E-409C-BE32-E72D297353CC}">
              <c16:uniqueId val="{00000005-AAB7-4ADC-A0A3-09833E47DF2F}"/>
            </c:ext>
          </c:extLst>
        </c:ser>
        <c:dLbls>
          <c:showLegendKey val="0"/>
          <c:showVal val="1"/>
          <c:showCatName val="0"/>
          <c:showSerName val="0"/>
          <c:showPercent val="0"/>
          <c:showBubbleSize val="0"/>
        </c:dLbls>
        <c:gapWidth val="150"/>
        <c:shape val="box"/>
        <c:axId val="1623936703"/>
        <c:axId val="1599599615"/>
        <c:axId val="0"/>
      </c:bar3DChart>
      <c:catAx>
        <c:axId val="1623936703"/>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To What Extend do you agree</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9599615"/>
        <c:crosses val="autoZero"/>
        <c:auto val="1"/>
        <c:lblAlgn val="ctr"/>
        <c:lblOffset val="100"/>
        <c:noMultiLvlLbl val="0"/>
      </c:catAx>
      <c:valAx>
        <c:axId val="15995996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Percentage of Leavers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3936703"/>
        <c:crosses val="autoZero"/>
        <c:crossBetween val="between"/>
      </c:valAx>
      <c:spPr>
        <a:noFill/>
        <a:ln>
          <a:noFill/>
        </a:ln>
        <a:effectLst/>
      </c:spPr>
    </c:plotArea>
    <c:plotVisOnly val="1"/>
    <c:dispBlanksAs val="gap"/>
    <c:showDLblsOverMax val="0"/>
    <c:extLst/>
  </c:chart>
  <c:spPr>
    <a:gradFill flip="none" rotWithShape="1">
      <a:gsLst>
        <a:gs pos="0">
          <a:schemeClr val="accent1">
            <a:lumMod val="5000"/>
            <a:lumOff val="95000"/>
          </a:schemeClr>
        </a:gs>
        <a:gs pos="74000">
          <a:schemeClr val="bg1">
            <a:lumMod val="85000"/>
          </a:schemeClr>
        </a:gs>
        <a:gs pos="83000">
          <a:schemeClr val="bg1">
            <a:lumMod val="75000"/>
          </a:schemeClr>
        </a:gs>
        <a:gs pos="100000">
          <a:schemeClr val="bg1">
            <a:lumMod val="50000"/>
          </a:schemeClr>
        </a:gs>
      </a:gsLst>
      <a:path path="circle">
        <a:fillToRect l="50000" t="50000" r="50000" b="50000"/>
      </a:path>
      <a:tileRect/>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Length of Service of Leavers</a:t>
            </a:r>
          </a:p>
        </c:rich>
      </c:tx>
      <c:layout>
        <c:manualLayout>
          <c:xMode val="edge"/>
          <c:yMode val="edge"/>
          <c:x val="0.28864231193715628"/>
          <c:y val="4.2054659086896651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Sheet1!$C$12</c:f>
              <c:strCache>
                <c:ptCount val="1"/>
                <c:pt idx="0">
                  <c:v>Percentage of Leavers</c:v>
                </c:pt>
              </c:strCache>
            </c:strRef>
          </c:tx>
          <c:spPr>
            <a:solidFill>
              <a:srgbClr val="5B825D"/>
            </a:solidFill>
            <a:ln>
              <a:noFill/>
            </a:ln>
            <a:effectLst>
              <a:outerShdw blurRad="57150" dist="19050" dir="5400000" algn="ctr" rotWithShape="0">
                <a:srgbClr val="000000">
                  <a:alpha val="63000"/>
                </a:srgbClr>
              </a:outerShdw>
            </a:effectLst>
            <a:sp3d/>
          </c:spPr>
          <c:invertIfNegative val="0"/>
          <c:dLbls>
            <c:dLbl>
              <c:idx val="0"/>
              <c:layout>
                <c:manualLayout>
                  <c:x val="1.3888888888888838E-2"/>
                  <c:y val="-4.2437781360066642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E83-407A-969A-C7D407EEA232}"/>
                </c:ext>
              </c:extLst>
            </c:dLbl>
            <c:dLbl>
              <c:idx val="1"/>
              <c:layout>
                <c:manualLayout>
                  <c:x val="1.1111111111111059E-2"/>
                  <c:y val="-4.6296296296296294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E83-407A-969A-C7D407EEA232}"/>
                </c:ext>
              </c:extLst>
            </c:dLbl>
            <c:dLbl>
              <c:idx val="2"/>
              <c:layout>
                <c:manualLayout>
                  <c:x val="1.9444444444444445E-2"/>
                  <c:y val="-1.388888888888891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FE83-407A-969A-C7D407EEA232}"/>
                </c:ext>
              </c:extLst>
            </c:dLbl>
            <c:dLbl>
              <c:idx val="3"/>
              <c:layout>
                <c:manualLayout>
                  <c:x val="1.3888888888888788E-2"/>
                  <c:y val="-9.2592592592592587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E83-407A-969A-C7D407EEA232}"/>
                </c:ext>
              </c:extLst>
            </c:dLbl>
            <c:dLbl>
              <c:idx val="4"/>
              <c:layout>
                <c:manualLayout>
                  <c:x val="1.6666666666666566E-2"/>
                  <c:y val="-4.2437781360066642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FE83-407A-969A-C7D407EEA23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Sheet1!$B$13:$B$17</c:f>
              <c:strCache>
                <c:ptCount val="5"/>
                <c:pt idx="0">
                  <c:v>1 - 6 Months</c:v>
                </c:pt>
                <c:pt idx="1">
                  <c:v>7-12 Months</c:v>
                </c:pt>
                <c:pt idx="2">
                  <c:v>1 - 3 Years</c:v>
                </c:pt>
                <c:pt idx="3">
                  <c:v>3 - 5 Years</c:v>
                </c:pt>
                <c:pt idx="4">
                  <c:v>5 Years +</c:v>
                </c:pt>
              </c:strCache>
            </c:strRef>
          </c:cat>
          <c:val>
            <c:numRef>
              <c:f>Sheet1!$C$13:$C$17</c:f>
              <c:numCache>
                <c:formatCode>0.0%</c:formatCode>
                <c:ptCount val="5"/>
                <c:pt idx="0">
                  <c:v>0.18</c:v>
                </c:pt>
                <c:pt idx="1">
                  <c:v>0.23</c:v>
                </c:pt>
                <c:pt idx="2">
                  <c:v>0.28499999999999998</c:v>
                </c:pt>
                <c:pt idx="3">
                  <c:v>0.08</c:v>
                </c:pt>
                <c:pt idx="4">
                  <c:v>0.22500000000000001</c:v>
                </c:pt>
              </c:numCache>
            </c:numRef>
          </c:val>
          <c:shape val="cylinder"/>
          <c:extLst>
            <c:ext xmlns:c16="http://schemas.microsoft.com/office/drawing/2014/chart" uri="{C3380CC4-5D6E-409C-BE32-E72D297353CC}">
              <c16:uniqueId val="{00000005-FE83-407A-969A-C7D407EEA232}"/>
            </c:ext>
          </c:extLst>
        </c:ser>
        <c:dLbls>
          <c:showLegendKey val="0"/>
          <c:showVal val="1"/>
          <c:showCatName val="0"/>
          <c:showSerName val="0"/>
          <c:showPercent val="0"/>
          <c:showBubbleSize val="0"/>
        </c:dLbls>
        <c:gapWidth val="150"/>
        <c:shape val="box"/>
        <c:axId val="1623936703"/>
        <c:axId val="1599599615"/>
        <c:axId val="0"/>
      </c:bar3DChart>
      <c:catAx>
        <c:axId val="1623936703"/>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Length of Service</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9599615"/>
        <c:crosses val="autoZero"/>
        <c:auto val="1"/>
        <c:lblAlgn val="ctr"/>
        <c:lblOffset val="100"/>
        <c:noMultiLvlLbl val="0"/>
      </c:catAx>
      <c:valAx>
        <c:axId val="15995996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Percentage of Leavers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39367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rgbClr val="4472C4">
            <a:lumMod val="5000"/>
            <a:lumOff val="95000"/>
          </a:srgbClr>
        </a:gs>
        <a:gs pos="74000">
          <a:schemeClr val="bg1">
            <a:lumMod val="85000"/>
          </a:schemeClr>
        </a:gs>
        <a:gs pos="83000">
          <a:schemeClr val="bg1">
            <a:lumMod val="75000"/>
          </a:schemeClr>
        </a:gs>
        <a:gs pos="100000">
          <a:schemeClr val="bg1">
            <a:lumMod val="65000"/>
          </a:schemeClr>
        </a:gs>
      </a:gsLst>
      <a:path path="circle">
        <a:fillToRect l="50000" t="50000" r="50000" b="50000"/>
      </a:path>
      <a:tileRect/>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Did Leavers Experience an Effective Induction? </a:t>
            </a:r>
          </a:p>
        </c:rich>
      </c:tx>
      <c:layout>
        <c:manualLayout>
          <c:xMode val="edge"/>
          <c:yMode val="edge"/>
          <c:x val="0.17416298133966132"/>
          <c:y val="4.644148558683383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rgbClr val="5B825D"/>
            </a:solidFill>
            <a:ln>
              <a:noFill/>
            </a:ln>
            <a:effectLst>
              <a:outerShdw blurRad="57150" dist="19050" dir="5400000" algn="ctr" rotWithShape="0">
                <a:srgbClr val="000000">
                  <a:alpha val="63000"/>
                </a:srgbClr>
              </a:outerShdw>
            </a:effectLst>
            <a:sp3d/>
          </c:spPr>
          <c:invertIfNegative val="0"/>
          <c:dLbls>
            <c:dLbl>
              <c:idx val="0"/>
              <c:layout>
                <c:manualLayout>
                  <c:x val="1.4319806378177022E-2"/>
                  <c:y val="-3.364877960248073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FA4-4831-8AE4-543AB4C724A0}"/>
                </c:ext>
              </c:extLst>
            </c:dLbl>
            <c:dLbl>
              <c:idx val="1"/>
              <c:layout>
                <c:manualLayout>
                  <c:x val="1.4319806378177067E-2"/>
                  <c:y val="-2.523658470186055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FA4-4831-8AE4-543AB4C724A0}"/>
                </c:ext>
              </c:extLst>
            </c:dLbl>
            <c:dLbl>
              <c:idx val="2"/>
              <c:layout>
                <c:manualLayout>
                  <c:x val="7.1599031890885335E-3"/>
                  <c:y val="-3.785487705279082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FA4-4831-8AE4-543AB4C724A0}"/>
                </c:ext>
              </c:extLst>
            </c:dLbl>
            <c:dLbl>
              <c:idx val="3"/>
              <c:layout>
                <c:manualLayout>
                  <c:x val="7.1599031890886202E-3"/>
                  <c:y val="-2.523658470186055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FA4-4831-8AE4-543AB4C724A0}"/>
                </c:ext>
              </c:extLst>
            </c:dLbl>
            <c:dLbl>
              <c:idx val="4"/>
              <c:layout>
                <c:manualLayout>
                  <c:x val="1.9093075170902755E-2"/>
                  <c:y val="-3.785487705279082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3FA4-4831-8AE4-543AB4C724A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Sheet1!$C$3:$G$3</c:f>
              <c:strCache>
                <c:ptCount val="5"/>
                <c:pt idx="0">
                  <c:v>Strongly Agree</c:v>
                </c:pt>
                <c:pt idx="1">
                  <c:v>Agree</c:v>
                </c:pt>
                <c:pt idx="2">
                  <c:v>Neither Agree or Disagree</c:v>
                </c:pt>
                <c:pt idx="3">
                  <c:v>Disagree</c:v>
                </c:pt>
                <c:pt idx="4">
                  <c:v>Strongly disagree</c:v>
                </c:pt>
              </c:strCache>
            </c:strRef>
          </c:cat>
          <c:val>
            <c:numRef>
              <c:f>Sheet1!$C$4:$G$4</c:f>
              <c:numCache>
                <c:formatCode>0%</c:formatCode>
                <c:ptCount val="5"/>
                <c:pt idx="0">
                  <c:v>0.21428571428571427</c:v>
                </c:pt>
                <c:pt idx="1">
                  <c:v>0.32142857142857145</c:v>
                </c:pt>
                <c:pt idx="2">
                  <c:v>0.14285714285714285</c:v>
                </c:pt>
                <c:pt idx="3">
                  <c:v>0.25</c:v>
                </c:pt>
                <c:pt idx="4">
                  <c:v>7.1428571428571425E-2</c:v>
                </c:pt>
              </c:numCache>
            </c:numRef>
          </c:val>
          <c:shape val="cylinder"/>
          <c:extLst>
            <c:ext xmlns:c16="http://schemas.microsoft.com/office/drawing/2014/chart" uri="{C3380CC4-5D6E-409C-BE32-E72D297353CC}">
              <c16:uniqueId val="{00000005-3FA4-4831-8AE4-543AB4C724A0}"/>
            </c:ext>
          </c:extLst>
        </c:ser>
        <c:dLbls>
          <c:showLegendKey val="0"/>
          <c:showVal val="1"/>
          <c:showCatName val="0"/>
          <c:showSerName val="0"/>
          <c:showPercent val="0"/>
          <c:showBubbleSize val="0"/>
        </c:dLbls>
        <c:gapWidth val="150"/>
        <c:shape val="box"/>
        <c:axId val="1623936703"/>
        <c:axId val="1599599615"/>
        <c:axId val="0"/>
      </c:bar3DChart>
      <c:catAx>
        <c:axId val="1623936703"/>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To What Extend do you agree</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9599615"/>
        <c:crosses val="autoZero"/>
        <c:auto val="1"/>
        <c:lblAlgn val="ctr"/>
        <c:lblOffset val="100"/>
        <c:noMultiLvlLbl val="0"/>
      </c:catAx>
      <c:valAx>
        <c:axId val="15995996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Percentage of LEavers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3936703"/>
        <c:crosses val="autoZero"/>
        <c:crossBetween val="between"/>
      </c:valAx>
      <c:spPr>
        <a:noFill/>
        <a:ln>
          <a:noFill/>
        </a:ln>
        <a:effectLst/>
      </c:spPr>
    </c:plotArea>
    <c:plotVisOnly val="1"/>
    <c:dispBlanksAs val="gap"/>
    <c:showDLblsOverMax val="0"/>
    <c:extLst/>
  </c:chart>
  <c:spPr>
    <a:gradFill>
      <a:gsLst>
        <a:gs pos="0">
          <a:srgbClr val="4472C4">
            <a:lumMod val="5000"/>
            <a:lumOff val="95000"/>
          </a:srgbClr>
        </a:gs>
        <a:gs pos="74000">
          <a:schemeClr val="bg1">
            <a:lumMod val="85000"/>
          </a:schemeClr>
        </a:gs>
        <a:gs pos="83000">
          <a:schemeClr val="bg1">
            <a:lumMod val="75000"/>
          </a:schemeClr>
        </a:gs>
        <a:gs pos="100000">
          <a:schemeClr val="bg1">
            <a:lumMod val="65000"/>
          </a:schemeClr>
        </a:gs>
      </a:gsLst>
      <a:path path="circle">
        <a:fillToRect l="50000" t="50000" r="50000" b="50000"/>
      </a:path>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withinLinearReversed" id="25">
  <a:schemeClr val="accent5"/>
</cs:colorStyle>
</file>

<file path=word/charts/style1.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10</Pages>
  <Words>1395</Words>
  <Characters>7956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4</cp:revision>
  <dcterms:created xsi:type="dcterms:W3CDTF">2023-09-24T11:52:00Z</dcterms:created>
  <dcterms:modified xsi:type="dcterms:W3CDTF">2023-09-26T09:30:00Z</dcterms:modified>
</cp:coreProperties>
</file>