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center"/>
        <w:rPr>
          <w:sz w:val="72"/>
          <w:szCs w:val="72"/>
        </w:rPr>
      </w:pPr>
      <w:r w:rsidDel="00000000" w:rsidR="00000000" w:rsidRPr="00000000">
        <w:rPr>
          <w:rtl w:val="0"/>
        </w:rPr>
      </w:r>
    </w:p>
    <w:p w:rsidR="00000000" w:rsidDel="00000000" w:rsidP="00000000" w:rsidRDefault="00000000" w:rsidRPr="00000000" w14:paraId="00000002">
      <w:pPr>
        <w:spacing w:line="259" w:lineRule="auto"/>
        <w:jc w:val="center"/>
        <w:rPr>
          <w:sz w:val="72"/>
          <w:szCs w:val="72"/>
        </w:rPr>
      </w:pPr>
      <w:r w:rsidDel="00000000" w:rsidR="00000000" w:rsidRPr="00000000">
        <w:rPr>
          <w:rtl w:val="0"/>
        </w:rPr>
      </w:r>
    </w:p>
    <w:p w:rsidR="00000000" w:rsidDel="00000000" w:rsidP="00000000" w:rsidRDefault="00000000" w:rsidRPr="00000000" w14:paraId="00000003">
      <w:pPr>
        <w:spacing w:line="259" w:lineRule="auto"/>
        <w:jc w:val="center"/>
        <w:rPr>
          <w:sz w:val="72"/>
          <w:szCs w:val="72"/>
        </w:rPr>
      </w:pPr>
      <w:r w:rsidDel="00000000" w:rsidR="00000000" w:rsidRPr="00000000">
        <w:rPr>
          <w:rtl w:val="0"/>
        </w:rPr>
      </w:r>
    </w:p>
    <w:p w:rsidR="00000000" w:rsidDel="00000000" w:rsidP="00000000" w:rsidRDefault="00000000" w:rsidRPr="00000000" w14:paraId="00000004">
      <w:pPr>
        <w:spacing w:line="259" w:lineRule="auto"/>
        <w:jc w:val="center"/>
        <w:rPr>
          <w:sz w:val="72"/>
          <w:szCs w:val="72"/>
        </w:rPr>
      </w:pPr>
      <w:r w:rsidDel="00000000" w:rsidR="00000000" w:rsidRPr="00000000">
        <w:rPr>
          <w:rtl w:val="0"/>
        </w:rPr>
      </w:r>
    </w:p>
    <w:p w:rsidR="00000000" w:rsidDel="00000000" w:rsidP="00000000" w:rsidRDefault="00000000" w:rsidRPr="00000000" w14:paraId="00000005">
      <w:pPr>
        <w:spacing w:line="259" w:lineRule="auto"/>
        <w:jc w:val="center"/>
        <w:rPr>
          <w:sz w:val="72"/>
          <w:szCs w:val="72"/>
        </w:rPr>
      </w:pPr>
      <w:r w:rsidDel="00000000" w:rsidR="00000000" w:rsidRPr="00000000">
        <w:rPr>
          <w:rtl w:val="0"/>
        </w:rPr>
      </w:r>
    </w:p>
    <w:p w:rsidR="00000000" w:rsidDel="00000000" w:rsidP="00000000" w:rsidRDefault="00000000" w:rsidRPr="00000000" w14:paraId="00000006">
      <w:pPr>
        <w:spacing w:line="259" w:lineRule="auto"/>
        <w:jc w:val="center"/>
        <w:rPr>
          <w:sz w:val="72"/>
          <w:szCs w:val="72"/>
        </w:rPr>
      </w:pPr>
      <w:r w:rsidDel="00000000" w:rsidR="00000000" w:rsidRPr="00000000">
        <w:rPr>
          <w:sz w:val="72"/>
          <w:szCs w:val="72"/>
          <w:rtl w:val="0"/>
        </w:rPr>
        <w:t xml:space="preserve">Psychology in Health </w:t>
      </w:r>
    </w:p>
    <w:p w:rsidR="00000000" w:rsidDel="00000000" w:rsidP="00000000" w:rsidRDefault="00000000" w:rsidRPr="00000000" w14:paraId="00000007">
      <w:pPr>
        <w:spacing w:line="259" w:lineRule="auto"/>
        <w:jc w:val="center"/>
        <w:rPr>
          <w:sz w:val="72"/>
          <w:szCs w:val="72"/>
        </w:rPr>
      </w:pPr>
      <w:r w:rsidDel="00000000" w:rsidR="00000000" w:rsidRPr="00000000">
        <w:rPr>
          <w:sz w:val="72"/>
          <w:szCs w:val="72"/>
          <w:rtl w:val="0"/>
        </w:rPr>
        <w:t xml:space="preserve">and Social Care</w:t>
      </w:r>
    </w:p>
    <w:p w:rsidR="00000000" w:rsidDel="00000000" w:rsidP="00000000" w:rsidRDefault="00000000" w:rsidRPr="00000000" w14:paraId="00000008">
      <w:pPr>
        <w:spacing w:line="259" w:lineRule="auto"/>
        <w:jc w:val="center"/>
        <w:rPr>
          <w:sz w:val="72"/>
          <w:szCs w:val="72"/>
        </w:rPr>
      </w:pPr>
      <w:r w:rsidDel="00000000" w:rsidR="00000000" w:rsidRPr="00000000">
        <w:rPr>
          <w:rtl w:val="0"/>
        </w:rPr>
      </w:r>
    </w:p>
    <w:p w:rsidR="00000000" w:rsidDel="00000000" w:rsidP="00000000" w:rsidRDefault="00000000" w:rsidRPr="00000000" w14:paraId="00000009">
      <w:pPr>
        <w:spacing w:line="259" w:lineRule="auto"/>
        <w:jc w:val="center"/>
        <w:rPr>
          <w:sz w:val="36"/>
          <w:szCs w:val="36"/>
        </w:rPr>
      </w:pPr>
      <w:r w:rsidDel="00000000" w:rsidR="00000000" w:rsidRPr="00000000">
        <w:rPr>
          <w:sz w:val="36"/>
          <w:szCs w:val="36"/>
          <w:rtl w:val="0"/>
        </w:rPr>
        <w:t xml:space="preserve">Student Name: Majdah Bi</w:t>
      </w:r>
    </w:p>
    <w:p w:rsidR="00000000" w:rsidDel="00000000" w:rsidP="00000000" w:rsidRDefault="00000000" w:rsidRPr="00000000" w14:paraId="0000000A">
      <w:pPr>
        <w:spacing w:line="259" w:lineRule="auto"/>
        <w:jc w:val="center"/>
        <w:rPr>
          <w:sz w:val="36"/>
          <w:szCs w:val="36"/>
        </w:rPr>
      </w:pPr>
      <w:r w:rsidDel="00000000" w:rsidR="00000000" w:rsidRPr="00000000">
        <w:rPr>
          <w:sz w:val="36"/>
          <w:szCs w:val="36"/>
          <w:rtl w:val="0"/>
        </w:rPr>
        <w:t xml:space="preserve">Student Number: 2420112</w:t>
      </w:r>
    </w:p>
    <w:p w:rsidR="00000000" w:rsidDel="00000000" w:rsidP="00000000" w:rsidRDefault="00000000" w:rsidRPr="00000000" w14:paraId="0000000B">
      <w:pPr>
        <w:spacing w:line="259" w:lineRule="auto"/>
        <w:jc w:val="center"/>
        <w:rPr>
          <w:sz w:val="36"/>
          <w:szCs w:val="36"/>
        </w:rPr>
      </w:pPr>
      <w:r w:rsidDel="00000000" w:rsidR="00000000" w:rsidRPr="00000000">
        <w:rPr>
          <w:sz w:val="36"/>
          <w:szCs w:val="36"/>
          <w:rtl w:val="0"/>
        </w:rPr>
        <w:t xml:space="preserve">Module Code: LCHS4010</w:t>
      </w:r>
    </w:p>
    <w:p w:rsidR="00000000" w:rsidDel="00000000" w:rsidP="00000000" w:rsidRDefault="00000000" w:rsidRPr="00000000" w14:paraId="0000000C">
      <w:pPr>
        <w:spacing w:line="259" w:lineRule="auto"/>
        <w:jc w:val="center"/>
        <w:rPr>
          <w:sz w:val="36"/>
          <w:szCs w:val="36"/>
        </w:rPr>
      </w:pPr>
      <w:r w:rsidDel="00000000" w:rsidR="00000000" w:rsidRPr="00000000">
        <w:rPr>
          <w:sz w:val="36"/>
          <w:szCs w:val="36"/>
          <w:rtl w:val="0"/>
        </w:rPr>
        <w:t xml:space="preserve">Module Lead: Neale Haddon</w:t>
      </w:r>
    </w:p>
    <w:p w:rsidR="00000000" w:rsidDel="00000000" w:rsidP="00000000" w:rsidRDefault="00000000" w:rsidRPr="00000000" w14:paraId="0000000D">
      <w:pPr>
        <w:spacing w:line="259" w:lineRule="auto"/>
        <w:jc w:val="center"/>
        <w:rPr>
          <w:sz w:val="36"/>
          <w:szCs w:val="36"/>
        </w:rPr>
      </w:pPr>
      <w:r w:rsidDel="00000000" w:rsidR="00000000" w:rsidRPr="00000000">
        <w:rPr>
          <w:sz w:val="36"/>
          <w:szCs w:val="36"/>
          <w:rtl w:val="0"/>
        </w:rPr>
        <w:t xml:space="preserve">Lecturer Name: Prabjot Sahota</w:t>
      </w:r>
    </w:p>
    <w:p w:rsidR="00000000" w:rsidDel="00000000" w:rsidP="00000000" w:rsidRDefault="00000000" w:rsidRPr="00000000" w14:paraId="0000000E">
      <w:pPr>
        <w:spacing w:line="259" w:lineRule="auto"/>
        <w:jc w:val="center"/>
        <w:rPr>
          <w:b w:val="1"/>
          <w:bCs w:val="1"/>
          <w:sz w:val="144"/>
          <w:szCs w:val="144"/>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2"/>
          <w:szCs w:val="32"/>
          <w:u w:val="none"/>
          <w:shd w:fill="auto" w:val="clear"/>
          <w:vertAlign w:val="baseline"/>
          <w:rtl w:val="0"/>
        </w:rPr>
        <w:t xml:space="preserve">Table of Contents</w:t>
      </w:r>
    </w:p>
    <w:sdt>
      <w:sdtPr>
        <w:id w:val="-128370349"/>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l6ladyttc2f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 A: Annotated Bibliography</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ptzdddwis8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 B: Report Target Audience</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v27fox4vbq4w">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tab/>
              <w:t xml:space="preserve">Introduction</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cm77q4oxv8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tab/>
              <w:t xml:space="preserve">Theoretical Application: Integrity vs. Despair</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ef34gcaewiv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tab/>
              <w:t xml:space="preserve">Real-World Case Scenario</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60"/>
              <w:tab w:val="right" w:leader="dot" w:pos="9350"/>
            </w:tabs>
            <w:spacing w:after="100" w:before="0" w:line="360" w:lineRule="auto"/>
            <w:ind w:left="2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59okn2yizq2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tab/>
              <w:t xml:space="preserve">Challenges and Strategies the Challenge: Cognitive Impairment</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hyperlink w:anchor="_heading=h.4mtvwqlr11i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1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spacing w:line="259" w:lineRule="auto"/>
        <w:jc w:val="left"/>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pPr>
      <w:bookmarkStart w:colFirst="0" w:colLast="0" w:name="_heading=h.l6ladyttc2ft" w:id="0"/>
      <w:bookmarkEnd w:id="0"/>
      <w:r w:rsidDel="00000000" w:rsidR="00000000" w:rsidRPr="00000000">
        <w:rPr>
          <w:rtl w:val="0"/>
        </w:rPr>
        <w:t xml:space="preserve">Part A: Annotated Bibliography</w:t>
      </w:r>
    </w:p>
    <w:p w:rsidR="00000000" w:rsidDel="00000000" w:rsidP="00000000" w:rsidRDefault="00000000" w:rsidRPr="00000000" w14:paraId="0000001A">
      <w:pPr>
        <w:rPr>
          <w:i w:val="1"/>
          <w:iCs w:val="1"/>
        </w:rPr>
      </w:pPr>
      <w:r w:rsidDel="00000000" w:rsidR="00000000" w:rsidRPr="00000000">
        <w:rPr>
          <w:i w:val="1"/>
          <w:iCs w:val="1"/>
          <w:rtl w:val="0"/>
        </w:rPr>
        <w:t xml:space="preserve">Source 1: Psychosocial Theory of Erikson (Weeks 1-5) </w:t>
      </w:r>
    </w:p>
    <w:p w:rsidR="00000000" w:rsidDel="00000000" w:rsidP="00000000" w:rsidRDefault="00000000" w:rsidRPr="00000000" w14:paraId="0000001B">
      <w:pPr>
        <w:rPr>
          <w:i w:val="1"/>
          <w:iCs w:val="1"/>
        </w:rPr>
      </w:pPr>
      <w:r w:rsidDel="00000000" w:rsidR="00000000" w:rsidRPr="00000000">
        <w:rPr>
          <w:i w:val="1"/>
          <w:iCs w:val="1"/>
          <w:rtl w:val="0"/>
        </w:rPr>
        <w:t xml:space="preserve">Reference: Erikson, E. H. (1994). The Life Cycle Completed. Extended version. New York, W.W. Norton and Co. </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Summary:</w:t>
      </w:r>
    </w:p>
    <w:p w:rsidR="00000000" w:rsidDel="00000000" w:rsidP="00000000" w:rsidRDefault="00000000" w:rsidRPr="00000000" w14:paraId="0000001D">
      <w:pPr>
        <w:rPr/>
      </w:pPr>
      <w:r w:rsidDel="00000000" w:rsidR="00000000" w:rsidRPr="00000000">
        <w:rPr>
          <w:rtl w:val="0"/>
        </w:rPr>
        <w:t xml:space="preserve">The masterpiece of Erikson describes the eight steps of human development, namely, describing the last stage: Integrity vs. Despair. He claims that during the latter part of adulthood, people look back into their lives with a view of attaining fulfillment. The outcome of successful navigation is "integrity"—recognition of meaningfulness in one’s life. On the other hand, when reconciliation fails to take place, one will experience despair, which is neither regret nor fright of death. It is stressed in the text that this is not the phase of passively contemplating but rather the process of psychologically fighting to preserve ego capabilities in the face of physical deterioration.</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Critical Comment:</w:t>
      </w:r>
    </w:p>
    <w:p w:rsidR="00000000" w:rsidDel="00000000" w:rsidP="00000000" w:rsidRDefault="00000000" w:rsidRPr="00000000" w14:paraId="0000001F">
      <w:pPr>
        <w:rPr/>
      </w:pPr>
      <w:r w:rsidDel="00000000" w:rsidR="00000000" w:rsidRPr="00000000">
        <w:rPr>
          <w:rtl w:val="0"/>
        </w:rPr>
        <w:t xml:space="preserve">The theory of Erikson is critical in the eyes of health and social care professionals to understand the emotional needs of the older adults in residential care. It offers a structure through which residents, who are vulnerable to despair, can be identified. Through the assistance of the so-called life review or reminiscence activities, the staff is able to help residents derive meaning in their past, which will in turn lead to psychological resilience. The weakness is, however, the fact that the theory is somewhat linear and does not fully explain the differences in the definitions of success by the culture in late life. </w:t>
      </w:r>
    </w:p>
    <w:p w:rsidR="00000000" w:rsidDel="00000000" w:rsidP="00000000" w:rsidRDefault="00000000" w:rsidRPr="00000000" w14:paraId="00000020">
      <w:pPr>
        <w:rPr>
          <w:i w:val="1"/>
          <w:iCs w:val="1"/>
        </w:rPr>
      </w:pPr>
      <w:r w:rsidDel="00000000" w:rsidR="00000000" w:rsidRPr="00000000">
        <w:rPr>
          <w:i w:val="1"/>
          <w:iCs w:val="1"/>
          <w:rtl w:val="0"/>
        </w:rPr>
        <w:t xml:space="preserve">Source 2: Bowlby, Attachment Theory (Weeks 1-5) </w:t>
      </w:r>
    </w:p>
    <w:p w:rsidR="00000000" w:rsidDel="00000000" w:rsidP="00000000" w:rsidRDefault="00000000" w:rsidRPr="00000000" w14:paraId="00000021">
      <w:pPr>
        <w:rPr>
          <w:i w:val="1"/>
          <w:iCs w:val="1"/>
        </w:rPr>
      </w:pPr>
      <w:r w:rsidDel="00000000" w:rsidR="00000000" w:rsidRPr="00000000">
        <w:rPr>
          <w:i w:val="1"/>
          <w:iCs w:val="1"/>
          <w:rtl w:val="0"/>
        </w:rPr>
        <w:t xml:space="preserve">Reference: Bowlby, J. (1988). Parent-Child Attachment and Healthy Human Development: A Secure Base. London: Routledge. </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Summary:</w:t>
      </w:r>
    </w:p>
    <w:p w:rsidR="00000000" w:rsidDel="00000000" w:rsidP="00000000" w:rsidRDefault="00000000" w:rsidRPr="00000000" w14:paraId="00000023">
      <w:pPr>
        <w:rPr/>
      </w:pPr>
      <w:r w:rsidDel="00000000" w:rsidR="00000000" w:rsidRPr="00000000">
        <w:rPr>
          <w:rtl w:val="0"/>
        </w:rPr>
        <w:t xml:space="preserve">Although it is traditionally thought of for children, the theory of attachment by Bowlby assumes that the behaviors of seeking a safe base do not disappear after childhood but instead change in the course of the lifespan. The given source discusses the impact of attachment styles as developed during childhood on the reactions of older adults to loss, illness, and the entrance into care facilities. Attachments of security are better coping more easily, and insecure attachments are more likely to result in anxiety and withdrawal in the event of the dependency needed in the health and social care situations.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Critical Comment:</w:t>
      </w:r>
    </w:p>
    <w:p w:rsidR="00000000" w:rsidDel="00000000" w:rsidP="00000000" w:rsidRDefault="00000000" w:rsidRPr="00000000" w14:paraId="00000025">
      <w:pPr>
        <w:rPr/>
      </w:pPr>
      <w:r w:rsidDel="00000000" w:rsidR="00000000" w:rsidRPr="00000000">
        <w:rPr>
          <w:rtl w:val="0"/>
        </w:rPr>
        <w:t xml:space="preserve">This theory is very applicable to professionals dealing with the placement of the older adults in the care homes. When one realizes that a challenging behavior exhibited by the resident is in fact a reaction to the loss of one of their secure bases (home), a person-centered approach to their care can be approached with much greater empathy. This can be used by practitioners to devise strategies that will make the care home a new safe environment. One of the obstacles, however, is the problem of evaluating established attachment styles in a clinical practice with scanty historical information. </w:t>
      </w:r>
    </w:p>
    <w:p w:rsidR="00000000" w:rsidDel="00000000" w:rsidP="00000000" w:rsidRDefault="00000000" w:rsidRPr="00000000" w14:paraId="00000026">
      <w:pPr>
        <w:rPr>
          <w:i w:val="1"/>
          <w:iCs w:val="1"/>
        </w:rPr>
      </w:pPr>
      <w:r w:rsidDel="00000000" w:rsidR="00000000" w:rsidRPr="00000000">
        <w:rPr>
          <w:i w:val="1"/>
          <w:iCs w:val="1"/>
          <w:rtl w:val="0"/>
        </w:rPr>
        <w:t xml:space="preserve">Source 3: Havighurst Activity Theory (Weeks 7-9) </w:t>
      </w:r>
    </w:p>
    <w:p w:rsidR="00000000" w:rsidDel="00000000" w:rsidP="00000000" w:rsidRDefault="00000000" w:rsidRPr="00000000" w14:paraId="00000027">
      <w:pPr>
        <w:rPr>
          <w:i w:val="1"/>
          <w:iCs w:val="1"/>
        </w:rPr>
      </w:pPr>
      <w:r w:rsidDel="00000000" w:rsidR="00000000" w:rsidRPr="00000000">
        <w:rPr>
          <w:i w:val="1"/>
          <w:iCs w:val="1"/>
          <w:rtl w:val="0"/>
        </w:rPr>
        <w:t xml:space="preserve">Reference: Havighurst, R. J. (1961). Successful Aging, The Gerontologist, 1(1), pp. 8-13.</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Summary:</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According to the activity theory proposed by Havighurst, there is a direct relationship between psychological well-being and staying active in old age. According to him, successful aging means not giving up activities as well as social roles of middle age for as long as possible. As some of the roles are lost (e.g., in case of retirement), one has to find alternative ways to sustain himself and satisfaction with life. This is based on the main argument that elderly citizens need social and psychological support as younger ones and can be incorporated in society. </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Critical Comment:</w:t>
      </w:r>
    </w:p>
    <w:p w:rsidR="00000000" w:rsidDel="00000000" w:rsidP="00000000" w:rsidRDefault="00000000" w:rsidRPr="00000000" w14:paraId="0000002B">
      <w:pPr>
        <w:rPr/>
      </w:pPr>
      <w:r w:rsidDel="00000000" w:rsidR="00000000" w:rsidRPr="00000000">
        <w:rPr>
          <w:rtl w:val="0"/>
        </w:rPr>
        <w:t xml:space="preserve">Activity Theory can be used as a blueprint of the interventions at care homes. It is what warrants the adoption of healthy social initiatives, planting, or helper roles of residents to keep them purposeful. It is a direct contradiction to the stereotype that the aging population is inherently desirous of being free of society. The main weakness of it is, however, the possibility of marginalizing people that have considerable physical or cognitive disabilities who cannot be considered as being able to continue aging in the traditional sense and therefore may feel like they are failing to do so. </w:t>
      </w:r>
    </w:p>
    <w:p w:rsidR="00000000" w:rsidDel="00000000" w:rsidP="00000000" w:rsidRDefault="00000000" w:rsidRPr="00000000" w14:paraId="0000002C">
      <w:pPr>
        <w:rPr>
          <w:i w:val="1"/>
          <w:iCs w:val="1"/>
        </w:rPr>
      </w:pPr>
      <w:r w:rsidDel="00000000" w:rsidR="00000000" w:rsidRPr="00000000">
        <w:rPr>
          <w:i w:val="1"/>
          <w:iCs w:val="1"/>
          <w:rtl w:val="0"/>
        </w:rPr>
        <w:t xml:space="preserve">Source 4: Positive Psychology and Well-Being (Weeks 7-9) </w:t>
      </w:r>
    </w:p>
    <w:p w:rsidR="00000000" w:rsidDel="00000000" w:rsidP="00000000" w:rsidRDefault="00000000" w:rsidRPr="00000000" w14:paraId="0000002D">
      <w:pPr>
        <w:rPr>
          <w:i w:val="1"/>
          <w:iCs w:val="1"/>
        </w:rPr>
      </w:pPr>
      <w:r w:rsidDel="00000000" w:rsidR="00000000" w:rsidRPr="00000000">
        <w:rPr>
          <w:i w:val="1"/>
          <w:iCs w:val="1"/>
          <w:rtl w:val="0"/>
        </w:rPr>
        <w:t xml:space="preserve">Reference: Seligman, M. E. P. (2012). Flourish: A Visionary New View of Happiness and Well-being. New York: Free Press. </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Summary:</w:t>
      </w:r>
    </w:p>
    <w:p w:rsidR="00000000" w:rsidDel="00000000" w:rsidP="00000000" w:rsidRDefault="00000000" w:rsidRPr="00000000" w14:paraId="0000002F">
      <w:pPr>
        <w:rPr/>
      </w:pPr>
      <w:r w:rsidDel="00000000" w:rsidR="00000000" w:rsidRPr="00000000">
        <w:rPr>
          <w:rtl w:val="0"/>
        </w:rPr>
        <w:t xml:space="preserve">As a model of human flourishing, Seligman presents the PERMA model (Positive Emotion, Engagement, Relationships, Meaning, and Accomplishment). This approach will be used to develop strengths, unlike traditional psychology, which is concerned with pathology. The text addresses the ways people can nurture well-being by concentrating on something that is going right and capitalizing on the signature strengths, despite the physical limitations prevalent during later adulthood.</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Critical Comment:</w:t>
      </w:r>
    </w:p>
    <w:p w:rsidR="00000000" w:rsidDel="00000000" w:rsidP="00000000" w:rsidRDefault="00000000" w:rsidRPr="00000000" w14:paraId="00000031">
      <w:pPr>
        <w:rPr/>
      </w:pPr>
      <w:r w:rsidDel="00000000" w:rsidR="00000000" w:rsidRPr="00000000">
        <w:rPr>
          <w:rtl w:val="0"/>
        </w:rPr>
        <w:t xml:space="preserve">Positive psychology also offers a new approach to social care, where the former mode of operation is not adulthood. one of a deficit-based approach to social care but rather the strengths-based one. The professionals may use the PERMA model to enhance the environment of a care home, emphasizing major accomplishments of the residents and establishing strong social bonds. This will come in handy especially in the fight against the depression that comes with old age. The problem is that this method needs a major cultural change among employees who are mostly trained to complete tasks that are clinical and led by the medical staff.</w:t>
      </w:r>
    </w:p>
    <w:p w:rsidR="00000000" w:rsidDel="00000000" w:rsidP="00000000" w:rsidRDefault="00000000" w:rsidRPr="00000000" w14:paraId="00000032">
      <w:pPr>
        <w:pStyle w:val="Heading1"/>
        <w:rPr/>
      </w:pPr>
      <w:bookmarkStart w:colFirst="0" w:colLast="0" w:name="_heading=h.ptzdddwis8d" w:id="1"/>
      <w:bookmarkEnd w:id="1"/>
      <w:r w:rsidDel="00000000" w:rsidR="00000000" w:rsidRPr="00000000">
        <w:rPr>
          <w:rtl w:val="0"/>
        </w:rPr>
        <w:t xml:space="preserve">Part B: Report Target Audience</w:t>
      </w:r>
    </w:p>
    <w:p w:rsidR="00000000" w:rsidDel="00000000" w:rsidP="00000000" w:rsidRDefault="00000000" w:rsidRPr="00000000" w14:paraId="00000033">
      <w:pPr>
        <w:rPr/>
      </w:pPr>
      <w:r w:rsidDel="00000000" w:rsidR="00000000" w:rsidRPr="00000000">
        <w:rPr>
          <w:rtl w:val="0"/>
        </w:rPr>
        <w:t xml:space="preserve">Health and Social Care Professionals in an Older Adults Care Home. </w:t>
      </w:r>
    </w:p>
    <w:p w:rsidR="00000000" w:rsidDel="00000000" w:rsidP="00000000" w:rsidRDefault="00000000" w:rsidRPr="00000000" w14:paraId="00000034">
      <w:pPr>
        <w:pStyle w:val="Heading2"/>
        <w:numPr>
          <w:ilvl w:val="0"/>
          <w:numId w:val="2"/>
        </w:numPr>
        <w:ind w:left="720" w:hanging="360"/>
        <w:rPr/>
      </w:pPr>
      <w:bookmarkStart w:colFirst="0" w:colLast="0" w:name="_heading=h.v27fox4vbq4w" w:id="2"/>
      <w:bookmarkEnd w:id="2"/>
      <w:r w:rsidDel="00000000" w:rsidR="00000000" w:rsidRPr="00000000">
        <w:rPr>
          <w:rtl w:val="0"/>
        </w:rPr>
        <w:t xml:space="preserve">Introduction </w:t>
      </w:r>
    </w:p>
    <w:p w:rsidR="00000000" w:rsidDel="00000000" w:rsidP="00000000" w:rsidRDefault="00000000" w:rsidRPr="00000000" w14:paraId="00000035">
      <w:pPr>
        <w:rPr/>
      </w:pPr>
      <w:r w:rsidDel="00000000" w:rsidR="00000000" w:rsidRPr="00000000">
        <w:rPr>
          <w:rtl w:val="0"/>
        </w:rPr>
        <w:t xml:space="preserve">The report is an analysis on the application of the psychosocial theory of Erikson to enhance the psychological well-being of the elderly medical care home residents. The workers in the residential environments are usually concerned with physical health, but psychological health is also of great importance to the quality of life. </w:t>
      </w:r>
    </w:p>
    <w:p w:rsidR="00000000" w:rsidDel="00000000" w:rsidP="00000000" w:rsidRDefault="00000000" w:rsidRPr="00000000" w14:paraId="00000036">
      <w:pPr>
        <w:pStyle w:val="Heading2"/>
        <w:numPr>
          <w:ilvl w:val="0"/>
          <w:numId w:val="2"/>
        </w:numPr>
        <w:ind w:left="720" w:hanging="360"/>
        <w:rPr/>
      </w:pPr>
      <w:bookmarkStart w:colFirst="0" w:colLast="0" w:name="_heading=h.cm77q4oxv8g" w:id="3"/>
      <w:bookmarkEnd w:id="3"/>
      <w:r w:rsidDel="00000000" w:rsidR="00000000" w:rsidRPr="00000000">
        <w:rPr>
          <w:rtl w:val="0"/>
        </w:rPr>
        <w:t xml:space="preserve">Theoretical Application: Integrity vs. Despair </w:t>
      </w:r>
    </w:p>
    <w:p w:rsidR="00000000" w:rsidDel="00000000" w:rsidP="00000000" w:rsidRDefault="00000000" w:rsidRPr="00000000" w14:paraId="00000037">
      <w:pPr>
        <w:rPr/>
      </w:pPr>
      <w:r w:rsidDel="00000000" w:rsidR="00000000" w:rsidRPr="00000000">
        <w:rPr>
          <w:rtl w:val="0"/>
        </w:rPr>
        <w:t xml:space="preserve">According to the theory, the task of the residents in late adulthood (65 and above) is the retrospection of their lives. They become integrators in case they perceive that their life is meaningful and productive. Using this theory will help them have better psychological well-being, as staff can know that the grumpiness or withdrawal of a resident is not exactly because they are experiencing external despair (Sloane, P. D., et al. 2021). By applying this theory, we will be in a position not to pursue the symptoms of emotional distress but pursue the origin of the problem. The marketing of the idea of integrity is linked to the confirmation of a history of a resident, which directly affects his or her present mood, self-esteem, and willingness to communicate with other residents in the care home. </w:t>
      </w:r>
    </w:p>
    <w:p w:rsidR="00000000" w:rsidDel="00000000" w:rsidP="00000000" w:rsidRDefault="00000000" w:rsidRPr="00000000" w14:paraId="00000038">
      <w:pPr>
        <w:pStyle w:val="Heading2"/>
        <w:numPr>
          <w:ilvl w:val="0"/>
          <w:numId w:val="2"/>
        </w:numPr>
        <w:ind w:left="720" w:hanging="360"/>
        <w:rPr/>
      </w:pPr>
      <w:bookmarkStart w:colFirst="0" w:colLast="0" w:name="_heading=h.ef34gcaewivs" w:id="4"/>
      <w:bookmarkEnd w:id="4"/>
      <w:r w:rsidDel="00000000" w:rsidR="00000000" w:rsidRPr="00000000">
        <w:rPr>
          <w:rtl w:val="0"/>
        </w:rPr>
        <w:t xml:space="preserve">Real-World Case Scenario</w:t>
      </w:r>
    </w:p>
    <w:p w:rsidR="00000000" w:rsidDel="00000000" w:rsidP="00000000" w:rsidRDefault="00000000" w:rsidRPr="00000000" w14:paraId="00000039">
      <w:pPr>
        <w:rPr/>
      </w:pPr>
      <w:r w:rsidDel="00000000" w:rsidR="00000000" w:rsidRPr="00000000">
        <w:rPr>
          <w:rtl w:val="0"/>
        </w:rPr>
        <w:t xml:space="preserve">"Mr. A" Consider Mr. A, an 82-year-old patient who is a new resident in our facility. According to Erikson's theory, the staff can determine that Mr. A has never enjoyed his life because he has never realized his aspirations of being an artist as he had wished to do. Mr A is experiencing despair. Instead of simply convincing him to eat, the staff members initiate a project of a life review. They discover that while Mr. A was no amateur with the brush, he had been a good carpenter for 40 years. The staff members help him to redefine his past as carpentry and usefulness by introducing wood-carving equipment and asking him to help them in repairing a little wooden bench in the garden. This intervention allows Mr. A To be more creative , less irritable, and more social. </w:t>
      </w:r>
    </w:p>
    <w:p w:rsidR="00000000" w:rsidDel="00000000" w:rsidP="00000000" w:rsidRDefault="00000000" w:rsidRPr="00000000" w14:paraId="0000003A">
      <w:pPr>
        <w:pStyle w:val="Heading2"/>
        <w:numPr>
          <w:ilvl w:val="0"/>
          <w:numId w:val="2"/>
        </w:numPr>
        <w:ind w:left="720" w:hanging="360"/>
        <w:rPr/>
      </w:pPr>
      <w:bookmarkStart w:colFirst="0" w:colLast="0" w:name="_heading=h.59okn2yizq2p" w:id="5"/>
      <w:bookmarkEnd w:id="5"/>
      <w:r w:rsidDel="00000000" w:rsidR="00000000" w:rsidRPr="00000000">
        <w:rPr>
          <w:rtl w:val="0"/>
        </w:rPr>
        <w:t xml:space="preserve">Challenges and Strategies the Challenge: Cognitive Impairment</w:t>
      </w:r>
    </w:p>
    <w:p w:rsidR="00000000" w:rsidDel="00000000" w:rsidP="00000000" w:rsidRDefault="00000000" w:rsidRPr="00000000" w14:paraId="0000003B">
      <w:pPr>
        <w:rPr/>
      </w:pPr>
      <w:r w:rsidDel="00000000" w:rsidR="00000000" w:rsidRPr="00000000">
        <w:rPr>
          <w:rtl w:val="0"/>
        </w:rPr>
        <w:t xml:space="preserve">One of the greatest shortcomings of Erikson theory implementation is the fact that most of the residents are demented or cognitively impaired. The Strategy: Multi-Sensory Reminiscence The residents with memory loss might not be in a position to conduct the necessary life review to achieve the goal of integrity; they become confused and experience more despair that they cannot articulate (Cuevas-Cancino, J. J., et al. 2021).</w:t>
      </w:r>
    </w:p>
    <w:p w:rsidR="00000000" w:rsidDel="00000000" w:rsidP="00000000" w:rsidRDefault="00000000" w:rsidRPr="00000000" w14:paraId="0000003C">
      <w:pPr>
        <w:rPr/>
      </w:pPr>
      <w:r w:rsidDel="00000000" w:rsidR="00000000" w:rsidRPr="00000000">
        <w:rPr>
          <w:rtl w:val="0"/>
        </w:rPr>
        <w:t xml:space="preserve">To conquer this, Multi-Sensory Reminiscence Therapy is recommended to be used by the professionals. Rather than relying on verbal memory, the staff members will be able to create so-called Memory Boxes, which will include tangible items that will remind the old resident about his/her past life (e.g., the smell of lavender, old photographs, the touch of fabric he/she used to work with, etc.). It is possible, through the Erikson theory, to provide care, which can be as physically accommodative as it can be psychologically restorative as well, in the event of loss of coherent narrative memory. Treating the residents in the crisis of integrity vs. despair, we will be able to give them excellent results in terms of feelings and make the rest of their years be characterized by the sense of peace rather than the sense of regret.</w:t>
      </w:r>
    </w:p>
    <w:p w:rsidR="00000000" w:rsidDel="00000000" w:rsidP="00000000" w:rsidRDefault="00000000" w:rsidRPr="00000000" w14:paraId="0000003D">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rPr/>
      </w:pPr>
      <w:bookmarkStart w:colFirst="0" w:colLast="0" w:name="_heading=h.4mtvwqlr11is" w:id="6"/>
      <w:bookmarkEnd w:id="6"/>
      <w:r w:rsidDel="00000000" w:rsidR="00000000" w:rsidRPr="00000000">
        <w:rPr>
          <w:rtl w:val="0"/>
        </w:rPr>
        <w:t xml:space="preserve">References</w:t>
      </w:r>
    </w:p>
    <w:p w:rsidR="00000000" w:rsidDel="00000000" w:rsidP="00000000" w:rsidRDefault="00000000" w:rsidRPr="00000000" w14:paraId="0000003F">
      <w:pPr>
        <w:rPr/>
      </w:pPr>
      <w:r w:rsidDel="00000000" w:rsidR="00000000" w:rsidRPr="00000000">
        <w:rPr>
          <w:b w:val="1"/>
          <w:bCs w:val="1"/>
          <w:rtl w:val="0"/>
        </w:rPr>
        <w:t xml:space="preserve">Bowlby, J. (1988)</w:t>
      </w:r>
      <w:r w:rsidDel="00000000" w:rsidR="00000000" w:rsidRPr="00000000">
        <w:rPr>
          <w:rtl w:val="0"/>
        </w:rPr>
        <w:t xml:space="preserve"> A Secure Base: Parent-Child Attachment and Healthy Human Development. London: Routledge.</w:t>
      </w:r>
    </w:p>
    <w:p w:rsidR="00000000" w:rsidDel="00000000" w:rsidP="00000000" w:rsidRDefault="00000000" w:rsidRPr="00000000" w14:paraId="00000040">
      <w:pPr>
        <w:rPr/>
      </w:pPr>
      <w:r w:rsidDel="00000000" w:rsidR="00000000" w:rsidRPr="00000000">
        <w:rPr>
          <w:b w:val="1"/>
          <w:bCs w:val="1"/>
          <w:rtl w:val="0"/>
        </w:rPr>
        <w:t xml:space="preserve">Cuevas-Cancino, J. J., et al. (2021)</w:t>
      </w:r>
      <w:r w:rsidDel="00000000" w:rsidR="00000000" w:rsidRPr="00000000">
        <w:rPr>
          <w:rtl w:val="0"/>
        </w:rPr>
        <w:t xml:space="preserve"> 'Reminiscence Therapy for Emotional Well-Being in Older Adults: A Systematic Review', International Journal of Environmental Research and Public Health, 18(11), pp. 58-72.</w:t>
      </w:r>
    </w:p>
    <w:p w:rsidR="00000000" w:rsidDel="00000000" w:rsidP="00000000" w:rsidRDefault="00000000" w:rsidRPr="00000000" w14:paraId="00000041">
      <w:pPr>
        <w:rPr/>
      </w:pPr>
      <w:r w:rsidDel="00000000" w:rsidR="00000000" w:rsidRPr="00000000">
        <w:rPr>
          <w:b w:val="1"/>
          <w:bCs w:val="1"/>
          <w:rtl w:val="0"/>
        </w:rPr>
        <w:t xml:space="preserve">Sloane, P. D., et al. (2021)</w:t>
      </w:r>
      <w:r w:rsidDel="00000000" w:rsidR="00000000" w:rsidRPr="00000000">
        <w:rPr>
          <w:rtl w:val="0"/>
        </w:rPr>
        <w:t xml:space="preserve"> 'Person-Centered Care in Assisted Living: A Review of the Literature and Recommendations for Practice', Journal of the American Medical Directors Association, 22(12), pp. 2450-2458.</w:t>
      </w:r>
    </w:p>
    <w:p w:rsidR="00000000" w:rsidDel="00000000" w:rsidP="00000000" w:rsidRDefault="00000000" w:rsidRPr="00000000" w14:paraId="00000042">
      <w:pPr>
        <w:rPr/>
      </w:pPr>
      <w:r w:rsidDel="00000000" w:rsidR="00000000" w:rsidRPr="00000000">
        <w:rPr>
          <w:b w:val="1"/>
          <w:bCs w:val="1"/>
          <w:rtl w:val="0"/>
        </w:rPr>
        <w:t xml:space="preserve">Erikson, E. H. (1994)</w:t>
      </w:r>
      <w:r w:rsidDel="00000000" w:rsidR="00000000" w:rsidRPr="00000000">
        <w:rPr>
          <w:rtl w:val="0"/>
        </w:rPr>
        <w:t xml:space="preserve"> The Life Cycle Completed. Extended version. New York: W.W. Norton &amp; Company.</w:t>
      </w:r>
    </w:p>
    <w:p w:rsidR="00000000" w:rsidDel="00000000" w:rsidP="00000000" w:rsidRDefault="00000000" w:rsidRPr="00000000" w14:paraId="00000043">
      <w:pPr>
        <w:rPr/>
      </w:pPr>
      <w:r w:rsidDel="00000000" w:rsidR="00000000" w:rsidRPr="00000000">
        <w:rPr>
          <w:b w:val="1"/>
          <w:bCs w:val="1"/>
          <w:rtl w:val="0"/>
        </w:rPr>
        <w:t xml:space="preserve">Havighurst, R. J. (1961)</w:t>
      </w:r>
      <w:r w:rsidDel="00000000" w:rsidR="00000000" w:rsidRPr="00000000">
        <w:rPr>
          <w:rtl w:val="0"/>
        </w:rPr>
        <w:t xml:space="preserve"> 'Successful Aging', The Gerontologist, 1(1), pp. 8–13.</w:t>
      </w:r>
    </w:p>
    <w:p w:rsidR="00000000" w:rsidDel="00000000" w:rsidP="00000000" w:rsidRDefault="00000000" w:rsidRPr="00000000" w14:paraId="00000044">
      <w:pPr>
        <w:rPr/>
      </w:pPr>
      <w:r w:rsidDel="00000000" w:rsidR="00000000" w:rsidRPr="00000000">
        <w:rPr>
          <w:b w:val="1"/>
          <w:bCs w:val="1"/>
          <w:rtl w:val="0"/>
        </w:rPr>
        <w:t xml:space="preserve">Seligman, M. E. P. (2012)</w:t>
      </w:r>
      <w:r w:rsidDel="00000000" w:rsidR="00000000" w:rsidRPr="00000000">
        <w:rPr>
          <w:rtl w:val="0"/>
        </w:rPr>
        <w:t xml:space="preserve"> Flourish: A Visionary New Understanding of Happiness and Well-being. New York: Free Press.</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sz w:val="28"/>
      <w:szCs w:val="28"/>
    </w:rPr>
  </w:style>
  <w:style w:type="paragraph" w:styleId="Heading2">
    <w:name w:val="heading 2"/>
    <w:basedOn w:val="Normal"/>
    <w:next w:val="Normal"/>
    <w:pPr>
      <w:keepNext w:val="1"/>
      <w:keepLines w:val="1"/>
      <w:spacing w:after="0" w:before="40" w:lineRule="auto"/>
    </w:pPr>
    <w:rPr>
      <w:b w:val="1"/>
      <w:bCs w:val="1"/>
      <w:sz w:val="24"/>
      <w:szCs w:val="24"/>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C5572A"/>
    <w:pPr>
      <w:spacing w:after="100" w:afterAutospacing="1" w:before="100" w:beforeAutospacing="1" w:line="240" w:lineRule="auto"/>
    </w:pPr>
    <w:rPr>
      <w:rFonts w:ascii="Times New Roman" w:cs="Times New Roman" w:eastAsia="Times New Roman" w:hAnsi="Times New Roman"/>
      <w:sz w:val="24"/>
      <w:szCs w:val="24"/>
    </w:rPr>
  </w:style>
  <w:style w:type="character" w:styleId="Heading1Char" w:customStyle="1">
    <w:name w:val="Heading 1 Char"/>
    <w:basedOn w:val="DefaultParagraphFont"/>
    <w:link w:val="Heading1"/>
    <w:uiPriority w:val="9"/>
    <w:rsid w:val="00C5572A"/>
    <w:rPr>
      <w:rFonts w:ascii="Arial" w:hAnsi="Arial" w:cstheme="majorBidi" w:eastAsiaTheme="majorEastAsia"/>
      <w:b w:val="1"/>
      <w:sz w:val="28"/>
      <w:szCs w:val="32"/>
    </w:rPr>
  </w:style>
  <w:style w:type="character" w:styleId="Heading2Char" w:customStyle="1">
    <w:name w:val="Heading 2 Char"/>
    <w:basedOn w:val="DefaultParagraphFont"/>
    <w:link w:val="Heading2"/>
    <w:uiPriority w:val="9"/>
    <w:rsid w:val="00C5572A"/>
    <w:rPr>
      <w:rFonts w:ascii="Arial" w:hAnsi="Arial" w:cstheme="majorBidi" w:eastAsiaTheme="majorEastAsia"/>
      <w:b w:val="1"/>
      <w:sz w:val="24"/>
      <w:szCs w:val="26"/>
    </w:rPr>
  </w:style>
  <w:style w:type="paragraph" w:styleId="Header">
    <w:name w:val="header"/>
    <w:basedOn w:val="Normal"/>
    <w:link w:val="HeaderChar"/>
    <w:uiPriority w:val="99"/>
    <w:unhideWhenUsed w:val="1"/>
    <w:rsid w:val="00C5572A"/>
    <w:pPr>
      <w:tabs>
        <w:tab w:val="center" w:pos="4680"/>
        <w:tab w:val="right" w:pos="9360"/>
      </w:tabs>
      <w:spacing w:after="0" w:line="240" w:lineRule="auto"/>
    </w:pPr>
  </w:style>
  <w:style w:type="character" w:styleId="HeaderChar" w:customStyle="1">
    <w:name w:val="Header Char"/>
    <w:basedOn w:val="DefaultParagraphFont"/>
    <w:link w:val="Header"/>
    <w:uiPriority w:val="99"/>
    <w:rsid w:val="00C5572A"/>
    <w:rPr>
      <w:rFonts w:ascii="Arial" w:hAnsi="Arial"/>
    </w:rPr>
  </w:style>
  <w:style w:type="paragraph" w:styleId="Footer">
    <w:name w:val="footer"/>
    <w:basedOn w:val="Normal"/>
    <w:link w:val="FooterChar"/>
    <w:uiPriority w:val="99"/>
    <w:unhideWhenUsed w:val="1"/>
    <w:rsid w:val="00C5572A"/>
    <w:pPr>
      <w:tabs>
        <w:tab w:val="center" w:pos="4680"/>
        <w:tab w:val="right" w:pos="9360"/>
      </w:tabs>
      <w:spacing w:after="0" w:line="240" w:lineRule="auto"/>
    </w:pPr>
  </w:style>
  <w:style w:type="character" w:styleId="FooterChar" w:customStyle="1">
    <w:name w:val="Footer Char"/>
    <w:basedOn w:val="DefaultParagraphFont"/>
    <w:link w:val="Footer"/>
    <w:uiPriority w:val="99"/>
    <w:rsid w:val="00C5572A"/>
    <w:rPr>
      <w:rFonts w:ascii="Arial" w:hAnsi="Arial"/>
    </w:rPr>
  </w:style>
  <w:style w:type="paragraph" w:styleId="ListParagraph">
    <w:name w:val="List Paragraph"/>
    <w:basedOn w:val="Normal"/>
    <w:uiPriority w:val="34"/>
    <w:qFormat w:val="1"/>
    <w:rsid w:val="00C5572A"/>
    <w:pPr>
      <w:ind w:left="720"/>
      <w:contextualSpacing w:val="1"/>
    </w:pPr>
  </w:style>
  <w:style w:type="paragraph" w:styleId="TOCHeading">
    <w:name w:val="TOC Heading"/>
    <w:basedOn w:val="Heading1"/>
    <w:next w:val="Normal"/>
    <w:uiPriority w:val="39"/>
    <w:unhideWhenUsed w:val="1"/>
    <w:qFormat w:val="1"/>
    <w:rsid w:val="006D1AF4"/>
    <w:pPr>
      <w:spacing w:line="259" w:lineRule="auto"/>
      <w:jc w:val="left"/>
      <w:outlineLvl w:val="9"/>
    </w:pPr>
    <w:rPr>
      <w:rFonts w:asciiTheme="majorHAnsi" w:hAnsiTheme="majorHAnsi"/>
      <w:b w:val="0"/>
      <w:color w:val="2f5496" w:themeColor="accent1" w:themeShade="0000BF"/>
      <w:sz w:val="32"/>
    </w:rPr>
  </w:style>
  <w:style w:type="paragraph" w:styleId="TOC1">
    <w:name w:val="toc 1"/>
    <w:basedOn w:val="Normal"/>
    <w:next w:val="Normal"/>
    <w:autoRedefine w:val="1"/>
    <w:uiPriority w:val="39"/>
    <w:unhideWhenUsed w:val="1"/>
    <w:rsid w:val="006D1AF4"/>
    <w:pPr>
      <w:spacing w:after="100"/>
    </w:pPr>
  </w:style>
  <w:style w:type="paragraph" w:styleId="TOC2">
    <w:name w:val="toc 2"/>
    <w:basedOn w:val="Normal"/>
    <w:next w:val="Normal"/>
    <w:autoRedefine w:val="1"/>
    <w:uiPriority w:val="39"/>
    <w:unhideWhenUsed w:val="1"/>
    <w:rsid w:val="006D1AF4"/>
    <w:pPr>
      <w:spacing w:after="100"/>
      <w:ind w:left="220"/>
    </w:pPr>
  </w:style>
  <w:style w:type="character" w:styleId="Hyperlink">
    <w:name w:val="Hyperlink"/>
    <w:basedOn w:val="DefaultParagraphFont"/>
    <w:uiPriority w:val="99"/>
    <w:unhideWhenUsed w:val="1"/>
    <w:rsid w:val="006D1AF4"/>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P6d9uc2KGwFYOeN1m8YUcBc8Ag==">CgMxLjAyDmgubDZsYWR5dHRjMmZ0Mg1oLnB0emRkZHdpczhkMg5oLnYyN2ZveDR2YnE0dzINaC5jbTc3cTRveHY4ZzIOaC5lZjM0Z2NhZXdpdnMyDmguNTlva24yeWl6cTJwMg5oLjRtdHZ3cWxyMTFpczgAciExTUVkdkZXMzk1VjlVY3diZk5uQjAxdTFKb09LOENzbEs=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2026-03-22T13:22:00Z</dcterms:created>
</cp:coreProperties>
</file>