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550FA" w:rsidRDefault="005550FA" w:rsidP="005550F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Student name</w:t>
      </w:r>
      <w:r>
        <w:rPr>
          <w:rStyle w:val="normaltextrun"/>
          <w:rFonts w:ascii="Arial" w:hAnsi="Arial" w:cs="Arial"/>
          <w:sz w:val="28"/>
          <w:szCs w:val="28"/>
        </w:rPr>
        <w:t xml:space="preserve">: Semmie Adeniran </w:t>
      </w:r>
      <w:proofErr w:type="spellStart"/>
      <w:r>
        <w:rPr>
          <w:rStyle w:val="normaltextrun"/>
          <w:rFonts w:ascii="Arial" w:hAnsi="Arial" w:cs="Arial"/>
          <w:sz w:val="28"/>
          <w:szCs w:val="28"/>
        </w:rPr>
        <w:t>Ogunwolu</w:t>
      </w:r>
      <w:proofErr w:type="spellEnd"/>
      <w:r>
        <w:rPr>
          <w:rStyle w:val="eop"/>
          <w:rFonts w:ascii="Arial" w:hAnsi="Arial" w:cs="Arial"/>
          <w:sz w:val="28"/>
          <w:szCs w:val="28"/>
        </w:rPr>
        <w:t> </w:t>
      </w:r>
    </w:p>
    <w:p w:rsidR="005550FA" w:rsidRDefault="005550FA" w:rsidP="005550F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lang w:val="nl-NL"/>
        </w:rPr>
        <w:t>Student ID</w:t>
      </w:r>
      <w:r>
        <w:rPr>
          <w:rStyle w:val="normaltextrun"/>
          <w:rFonts w:ascii="Arial" w:hAnsi="Arial" w:cs="Arial"/>
          <w:sz w:val="28"/>
          <w:szCs w:val="28"/>
          <w:lang w:val="nl-NL"/>
        </w:rPr>
        <w:t>: 2130575</w:t>
      </w:r>
      <w:r>
        <w:rPr>
          <w:rStyle w:val="eop"/>
          <w:rFonts w:ascii="Arial" w:hAnsi="Arial" w:cs="Arial"/>
          <w:sz w:val="28"/>
          <w:szCs w:val="28"/>
        </w:rPr>
        <w:t> </w:t>
      </w:r>
    </w:p>
    <w:p w:rsidR="005550FA" w:rsidRDefault="005550FA" w:rsidP="005550FA">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rsidR="005550FA" w:rsidRDefault="005550FA" w:rsidP="005550F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lang w:val="nl-NL"/>
        </w:rPr>
        <w:t>Module name</w:t>
      </w:r>
      <w:r>
        <w:rPr>
          <w:rStyle w:val="normaltextrun"/>
          <w:rFonts w:ascii="Arial" w:hAnsi="Arial" w:cs="Arial"/>
          <w:sz w:val="28"/>
          <w:szCs w:val="28"/>
          <w:lang w:val="nl-NL"/>
        </w:rPr>
        <w:t xml:space="preserve">: </w:t>
      </w:r>
      <w:r w:rsidR="00F20A8C" w:rsidRPr="00F20A8C">
        <w:rPr>
          <w:rFonts w:ascii="Arial" w:hAnsi="Arial" w:cs="Arial"/>
          <w:sz w:val="28"/>
          <w:szCs w:val="28"/>
          <w:lang w:val="en"/>
        </w:rPr>
        <w:t>Introduction to Public Health</w:t>
      </w:r>
    </w:p>
    <w:p w:rsidR="005550FA" w:rsidRDefault="005550FA" w:rsidP="005550F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 xml:space="preserve">Module </w:t>
      </w:r>
      <w:proofErr w:type="gramStart"/>
      <w:r>
        <w:rPr>
          <w:rStyle w:val="normaltextrun"/>
          <w:rFonts w:ascii="Arial" w:hAnsi="Arial" w:cs="Arial"/>
          <w:b/>
          <w:bCs/>
          <w:sz w:val="28"/>
          <w:szCs w:val="28"/>
        </w:rPr>
        <w:t>code</w:t>
      </w:r>
      <w:r>
        <w:rPr>
          <w:rStyle w:val="normaltextrun"/>
          <w:rFonts w:ascii="Arial" w:hAnsi="Arial" w:cs="Arial"/>
          <w:sz w:val="28"/>
          <w:szCs w:val="28"/>
        </w:rPr>
        <w:t>:LCHS</w:t>
      </w:r>
      <w:proofErr w:type="gramEnd"/>
      <w:r>
        <w:rPr>
          <w:rStyle w:val="normaltextrun"/>
          <w:rFonts w:ascii="Arial" w:hAnsi="Arial" w:cs="Arial"/>
          <w:sz w:val="28"/>
          <w:szCs w:val="28"/>
        </w:rPr>
        <w:t>400</w:t>
      </w:r>
      <w:r w:rsidR="00F20A8C">
        <w:rPr>
          <w:rStyle w:val="normaltextrun"/>
          <w:rFonts w:ascii="Arial" w:hAnsi="Arial" w:cs="Arial"/>
          <w:sz w:val="28"/>
          <w:szCs w:val="28"/>
        </w:rPr>
        <w:t>4</w:t>
      </w:r>
      <w:r>
        <w:rPr>
          <w:rStyle w:val="eop"/>
          <w:rFonts w:ascii="Arial" w:hAnsi="Arial" w:cs="Arial"/>
          <w:sz w:val="28"/>
          <w:szCs w:val="28"/>
        </w:rPr>
        <w:t> </w:t>
      </w:r>
    </w:p>
    <w:p w:rsidR="005550FA" w:rsidRDefault="005550FA" w:rsidP="005550FA">
      <w:pPr>
        <w:pStyle w:val="paragraph"/>
        <w:spacing w:before="0" w:beforeAutospacing="0" w:after="0" w:afterAutospacing="0"/>
        <w:textAlignment w:val="baseline"/>
        <w:rPr>
          <w:rStyle w:val="normaltextrun"/>
          <w:rFonts w:ascii="Arial" w:hAnsi="Arial" w:cs="Arial"/>
          <w:sz w:val="28"/>
          <w:szCs w:val="28"/>
        </w:rPr>
      </w:pPr>
      <w:r>
        <w:rPr>
          <w:rStyle w:val="normaltextrun"/>
          <w:rFonts w:ascii="Arial" w:hAnsi="Arial" w:cs="Arial"/>
          <w:b/>
          <w:bCs/>
          <w:sz w:val="28"/>
          <w:szCs w:val="28"/>
        </w:rPr>
        <w:t xml:space="preserve">Lecturer </w:t>
      </w:r>
      <w:proofErr w:type="gramStart"/>
      <w:r>
        <w:rPr>
          <w:rStyle w:val="normaltextrun"/>
          <w:rFonts w:ascii="Arial" w:hAnsi="Arial" w:cs="Arial"/>
          <w:b/>
          <w:bCs/>
          <w:sz w:val="28"/>
          <w:szCs w:val="28"/>
        </w:rPr>
        <w:t>name</w:t>
      </w:r>
      <w:r>
        <w:rPr>
          <w:rStyle w:val="normaltextrun"/>
          <w:rFonts w:ascii="Calibri" w:hAnsi="Calibri" w:cs="Calibri"/>
          <w:sz w:val="22"/>
          <w:szCs w:val="22"/>
        </w:rPr>
        <w:t> </w:t>
      </w:r>
      <w:r>
        <w:rPr>
          <w:rStyle w:val="eop"/>
          <w:rFonts w:ascii="Calibri" w:hAnsi="Calibri" w:cs="Calibri"/>
          <w:sz w:val="22"/>
          <w:szCs w:val="22"/>
        </w:rPr>
        <w:t> </w:t>
      </w:r>
      <w:r w:rsidR="00CA097F" w:rsidRPr="00CA097F">
        <w:rPr>
          <w:rStyle w:val="normaltextrun"/>
          <w:rFonts w:ascii="Arial" w:hAnsi="Arial" w:cs="Arial"/>
          <w:sz w:val="28"/>
          <w:szCs w:val="28"/>
        </w:rPr>
        <w:t>Laila</w:t>
      </w:r>
      <w:proofErr w:type="gramEnd"/>
      <w:r w:rsidR="00CA097F" w:rsidRPr="00CA097F">
        <w:rPr>
          <w:rStyle w:val="normaltextrun"/>
          <w:rFonts w:ascii="Arial" w:hAnsi="Arial" w:cs="Arial"/>
          <w:sz w:val="28"/>
          <w:szCs w:val="28"/>
        </w:rPr>
        <w:t xml:space="preserve"> Surani -GP1 &amp;2 Bianca Sanfilippo -GP3</w:t>
      </w:r>
    </w:p>
    <w:p w:rsidR="00C84842" w:rsidRDefault="00C84842" w:rsidP="005550FA">
      <w:pPr>
        <w:pStyle w:val="paragraph"/>
        <w:spacing w:before="0" w:beforeAutospacing="0" w:after="0" w:afterAutospacing="0"/>
        <w:textAlignment w:val="baseline"/>
        <w:rPr>
          <w:rStyle w:val="normaltextrun"/>
          <w:rFonts w:ascii="Arial" w:hAnsi="Arial" w:cs="Arial"/>
          <w:sz w:val="28"/>
          <w:szCs w:val="28"/>
        </w:rPr>
      </w:pPr>
    </w:p>
    <w:p w:rsidR="00C84842" w:rsidRDefault="00C84842" w:rsidP="005550F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Assignment 2</w:t>
      </w:r>
    </w:p>
    <w:p w:rsidR="005550FA" w:rsidRDefault="005550FA">
      <w:pPr>
        <w:spacing w:line="240" w:lineRule="auto"/>
        <w:rPr>
          <w:b/>
        </w:rPr>
      </w:pPr>
      <w:r>
        <w:rPr>
          <w:b/>
        </w:rPr>
        <w:br w:type="page"/>
      </w:r>
    </w:p>
    <w:p w:rsidR="009459D6" w:rsidRDefault="00000000">
      <w:pPr>
        <w:pStyle w:val="Heading1"/>
        <w:spacing w:line="360" w:lineRule="auto"/>
        <w:jc w:val="both"/>
        <w:rPr>
          <w:b/>
          <w:sz w:val="22"/>
          <w:szCs w:val="22"/>
        </w:rPr>
      </w:pPr>
      <w:r>
        <w:rPr>
          <w:b/>
          <w:sz w:val="22"/>
          <w:szCs w:val="22"/>
        </w:rPr>
        <w:lastRenderedPageBreak/>
        <w:t>INTRODUCTION</w:t>
      </w:r>
    </w:p>
    <w:p w:rsidR="009459D6" w:rsidRDefault="00000000">
      <w:pPr>
        <w:spacing w:line="360" w:lineRule="auto"/>
        <w:jc w:val="both"/>
      </w:pPr>
      <w:r>
        <w:t>Foot and mouth disease (FMD) is a highly contagious viral disease that affects cloven-hoofed animals, including cattle, sheep, pigs, and goats. It is caused by the FMD virus, which belongs to the picornavirus family. The disease is characterized by the development of painful sores and blisters in the mouth, on the feet, and sometimes on the udders. FMD does not pose a direct threat to human health, but it has significant economic consequences due to its impact on livestock</w:t>
      </w:r>
      <w:hyperlink r:id="rId7">
        <w:r>
          <w:t>(Grubman &amp; Baxt, 2004)</w:t>
        </w:r>
      </w:hyperlink>
      <w:r>
        <w:t>.</w:t>
      </w:r>
    </w:p>
    <w:p w:rsidR="009459D6" w:rsidRDefault="009459D6">
      <w:pPr>
        <w:spacing w:line="360" w:lineRule="auto"/>
        <w:jc w:val="both"/>
      </w:pPr>
    </w:p>
    <w:p w:rsidR="009459D6" w:rsidRDefault="00000000">
      <w:pPr>
        <w:spacing w:line="360" w:lineRule="auto"/>
        <w:jc w:val="both"/>
      </w:pPr>
      <w:r>
        <w:t>The 1967 UK foot and mouth outbreak was one of the most devastating outbreaks of FMD in British history. It began in January 1967 and lasted for several months, affecting various regions of the country. The severity of the outbreak can be demonstrated by the following statistics:</w:t>
      </w:r>
      <w:hyperlink r:id="rId8">
        <w:r>
          <w:t>(Woods, 2013)</w:t>
        </w:r>
      </w:hyperlink>
    </w:p>
    <w:p w:rsidR="009459D6" w:rsidRDefault="009459D6">
      <w:pPr>
        <w:spacing w:line="360" w:lineRule="auto"/>
        <w:jc w:val="both"/>
      </w:pPr>
    </w:p>
    <w:p w:rsidR="009459D6" w:rsidRDefault="00000000">
      <w:pPr>
        <w:spacing w:line="360" w:lineRule="auto"/>
        <w:jc w:val="both"/>
      </w:pPr>
      <w:r>
        <w:t>FMD is a global disease, and outbreaks have occurred in numerous countries. In 1967, the UK outbreak was a significant event within the international context. While specific global statistics for that year are not readily available, FMD has had a significant impact worldwide throughout history, leading to widespread economic losses, trade restrictions, and disruptions to livestock industries.</w:t>
      </w:r>
    </w:p>
    <w:p w:rsidR="009459D6" w:rsidRDefault="009459D6">
      <w:pPr>
        <w:spacing w:line="360" w:lineRule="auto"/>
        <w:jc w:val="both"/>
      </w:pPr>
    </w:p>
    <w:p w:rsidR="009459D6" w:rsidRDefault="00000000">
      <w:pPr>
        <w:spacing w:line="360" w:lineRule="auto"/>
        <w:jc w:val="both"/>
      </w:pPr>
      <w:r>
        <w:t>During the 1967 outbreak in the UK, more than 2,364 confirmed cases of FMD were reported. The disease affected various regions, including England, Wales, and Scotland. The number of affected livestock was substantial, with over 442,000 animals being slaughtered as a control measure to contain the outbreak. This mass culling had a profound impact on the UK agricultural industry, leading to significant economic losses and severe emotional distress for farmers and rural communities.</w:t>
      </w:r>
    </w:p>
    <w:p w:rsidR="009459D6" w:rsidRDefault="009459D6">
      <w:pPr>
        <w:spacing w:line="360" w:lineRule="auto"/>
        <w:jc w:val="both"/>
      </w:pPr>
    </w:p>
    <w:p w:rsidR="009459D6" w:rsidRDefault="00000000">
      <w:pPr>
        <w:pStyle w:val="Heading1"/>
        <w:spacing w:line="360" w:lineRule="auto"/>
        <w:jc w:val="both"/>
        <w:rPr>
          <w:b/>
          <w:sz w:val="22"/>
          <w:szCs w:val="22"/>
        </w:rPr>
      </w:pPr>
      <w:bookmarkStart w:id="0" w:name="_rpsz53fse5ws" w:colFirst="0" w:colLast="0"/>
      <w:bookmarkEnd w:id="0"/>
      <w:r>
        <w:rPr>
          <w:b/>
          <w:sz w:val="22"/>
          <w:szCs w:val="22"/>
        </w:rPr>
        <w:t xml:space="preserve">PUBLIC HEALTH MEASURES </w:t>
      </w:r>
    </w:p>
    <w:p w:rsidR="009459D6" w:rsidRDefault="00000000">
      <w:pPr>
        <w:spacing w:line="360" w:lineRule="auto"/>
        <w:jc w:val="both"/>
      </w:pPr>
      <w:r>
        <w:t>Quarantine and movement restrictions, along with culling and disposal, and vaccination are vital public health measures in controlling the spread of foot and mouth disease (FMD) outbreaks.</w:t>
      </w:r>
    </w:p>
    <w:p w:rsidR="009459D6" w:rsidRDefault="009459D6">
      <w:pPr>
        <w:spacing w:line="360" w:lineRule="auto"/>
        <w:jc w:val="both"/>
      </w:pPr>
    </w:p>
    <w:p w:rsidR="009459D6" w:rsidRDefault="00000000">
      <w:pPr>
        <w:spacing w:line="360" w:lineRule="auto"/>
        <w:jc w:val="both"/>
      </w:pPr>
      <w:r>
        <w:t xml:space="preserve">Quarantine zones are established to isolate infected and suspected premises, preventing the spread of the disease to unaffected areas. Access to these zones is limited to authorized </w:t>
      </w:r>
      <w:r>
        <w:lastRenderedPageBreak/>
        <w:t>personnel only, ensuring strict control over movement. Movement control measures are also enforced to restrict the movement of infected animals, animal products, and potentially contaminated equipment. This includes limiting the movement of susceptible animals from infected areas to unaffected areas and implementing controls on the transportation of animal products that may carry the virus. Traceability and documentation systems are put in place to track and trace the movement of animals and animal products, facilitating rapid response and investigation during outbreaks. Border controls, such as import and export regulations, quarantine measures, and inspections, are essential to prevent the introduction of FMD from other countries.</w:t>
      </w:r>
      <w:hyperlink r:id="rId9">
        <w:r>
          <w:t>(Yang et al., 2014)</w:t>
        </w:r>
      </w:hyperlink>
    </w:p>
    <w:p w:rsidR="009459D6" w:rsidRDefault="009459D6">
      <w:pPr>
        <w:spacing w:line="360" w:lineRule="auto"/>
        <w:jc w:val="both"/>
      </w:pPr>
    </w:p>
    <w:p w:rsidR="009459D6" w:rsidRDefault="00000000">
      <w:pPr>
        <w:spacing w:line="360" w:lineRule="auto"/>
        <w:jc w:val="both"/>
      </w:pPr>
      <w:r>
        <w:t>Culling of infected and exposed animals is a critical component of FMD control. Infected animals, as well as those in close contact or at high risk of infection, are identified and culled to remove the source of the virus. This rapid culling helps prevent further spread. Proper disposal of carcasses is crucial to prevent the transmission of the virus. Disposal methods include burial, incineration, rendering, or composting, all of which should comply with environmental and public health regulations. Strict biosecurity measures are implemented during the culling and disposal process to prevent accidental spread.</w:t>
      </w:r>
      <w:hyperlink r:id="rId10">
        <w:r>
          <w:t>(Koh et al., 2016)</w:t>
        </w:r>
      </w:hyperlink>
    </w:p>
    <w:p w:rsidR="009459D6" w:rsidRDefault="009459D6">
      <w:pPr>
        <w:spacing w:line="360" w:lineRule="auto"/>
        <w:jc w:val="both"/>
      </w:pPr>
    </w:p>
    <w:p w:rsidR="009459D6" w:rsidRDefault="00000000">
      <w:pPr>
        <w:spacing w:line="360" w:lineRule="auto"/>
        <w:jc w:val="both"/>
      </w:pPr>
      <w:r>
        <w:t>Vaccination plays a crucial role in controlling the spread of FMD and protecting susceptible animals. Vaccines are developed using inactivated or attenuated strains of the virus. Strategic vaccination campaigns target specific regions or populations at higher risk of FMD introduction or spread. Prioritization of vaccination is based on factors such as susceptibility of species, potential for virus transmission, and economic impact. Ring vaccination, which involves vaccinating animals in a defined area around an outbreak site, creates a buffer zone of immune animals to prevent the spread of the virus.</w:t>
      </w:r>
      <w:hyperlink r:id="rId11">
        <w:r>
          <w:t>(Zingg et al., 2015)</w:t>
        </w:r>
      </w:hyperlink>
    </w:p>
    <w:p w:rsidR="009459D6" w:rsidRDefault="009459D6">
      <w:pPr>
        <w:spacing w:line="360" w:lineRule="auto"/>
        <w:jc w:val="both"/>
      </w:pPr>
    </w:p>
    <w:p w:rsidR="009459D6" w:rsidRDefault="00000000">
      <w:pPr>
        <w:spacing w:line="360" w:lineRule="auto"/>
        <w:jc w:val="both"/>
        <w:rPr>
          <w:b/>
        </w:rPr>
      </w:pPr>
      <w:r>
        <w:rPr>
          <w:b/>
        </w:rPr>
        <w:t>RISK FACTORS</w:t>
      </w:r>
    </w:p>
    <w:p w:rsidR="009459D6" w:rsidRDefault="00000000">
      <w:pPr>
        <w:spacing w:line="360" w:lineRule="auto"/>
        <w:jc w:val="both"/>
      </w:pPr>
      <w:r>
        <w:t>Animal husbandry practices, global trade and movement of animals, and environmental factors are significant determinants and risk factors associated with the transmission and spread of foot and mouth disease (FMD).</w:t>
      </w:r>
      <w:hyperlink r:id="rId12">
        <w:r>
          <w:t>(Fang et al., 2014)</w:t>
        </w:r>
      </w:hyperlink>
    </w:p>
    <w:p w:rsidR="009459D6" w:rsidRDefault="009459D6">
      <w:pPr>
        <w:spacing w:line="360" w:lineRule="auto"/>
        <w:jc w:val="both"/>
      </w:pPr>
    </w:p>
    <w:p w:rsidR="009459D6" w:rsidRDefault="00000000">
      <w:pPr>
        <w:spacing w:line="360" w:lineRule="auto"/>
        <w:jc w:val="both"/>
      </w:pPr>
      <w:r>
        <w:t xml:space="preserve">Intensive farming systems, characterized by high-density livestock production, increase the risk of FMD transmission. Close proximity between animals in overcrowded conditions facilitates the spread of the virus. Inadequate implementation of biosecurity measures, including poor fencing, </w:t>
      </w:r>
      <w:r>
        <w:lastRenderedPageBreak/>
        <w:t>limited control of animal movements, and insufficient hygiene practices, further heightens the risk of FMD introduction and spread. Lack of proper biosecurity measures allows the virus to enter farms and transmit among animals. Keeping different species of animals in close proximity, such as cattle, sheep, and pigs, can contribute to FMD transmission as different animal species can act as carriers or amplifiers of the virus.</w:t>
      </w:r>
    </w:p>
    <w:p w:rsidR="009459D6" w:rsidRDefault="009459D6">
      <w:pPr>
        <w:spacing w:line="360" w:lineRule="auto"/>
        <w:jc w:val="both"/>
      </w:pPr>
    </w:p>
    <w:p w:rsidR="009459D6" w:rsidRDefault="00000000">
      <w:pPr>
        <w:spacing w:line="360" w:lineRule="auto"/>
        <w:jc w:val="both"/>
      </w:pPr>
      <w:r>
        <w:t>The global trade and movement of animals are also significant risk factors for the introduction and spread of FMD. Importing infected animals or contaminated animal products from FMD-affected regions can introduce the virus into a country. Inadequate adherence to import regulations and quarantine measures increases this risk. Animal movements for trade, exhibitions, or grazing pose a risk for FMD spread as contact between infected and susceptible animals during transportation can facilitate transmission. Illegal animal trade, including smuggling and undocumented trade, further exacerbates the risk by bypassing health certification and control measures, potentially introducing the virus into new areas.</w:t>
      </w:r>
    </w:p>
    <w:p w:rsidR="009459D6" w:rsidRDefault="009459D6">
      <w:pPr>
        <w:spacing w:line="360" w:lineRule="auto"/>
        <w:jc w:val="both"/>
      </w:pPr>
    </w:p>
    <w:p w:rsidR="009459D6" w:rsidRDefault="00000000">
      <w:pPr>
        <w:spacing w:line="360" w:lineRule="auto"/>
        <w:jc w:val="both"/>
      </w:pPr>
      <w:r>
        <w:t>Environmental factors play a role in the survival and transmission of the FMD virus. Optimal temperature and humidity levels favor the virus's survival outside the host animal, enhancing its transmission. Certain climatic conditions, such as moderate temperatures and high humidity, create favorable environments for the virus. Environmental contamination is another risk factor as the virus can contaminate water sources, feed, equipment, and surfaces. Animals can become infected by coming into contact with these contaminated surfaces, contributing to the spread of the disease.</w:t>
      </w:r>
    </w:p>
    <w:p w:rsidR="009459D6" w:rsidRDefault="009459D6">
      <w:pPr>
        <w:spacing w:line="360" w:lineRule="auto"/>
        <w:jc w:val="both"/>
      </w:pPr>
    </w:p>
    <w:p w:rsidR="009459D6" w:rsidRDefault="00000000">
      <w:pPr>
        <w:spacing w:line="360" w:lineRule="auto"/>
        <w:jc w:val="both"/>
      </w:pPr>
      <w:r>
        <w:t>In summary, intensive farming systems, poor implementation of biosecurity measures, mixing of animal species, international import and export, animal movements, illegal animal trade, temperature and humidity, and environmental contamination are all key determinants and risk factors associated with the transmission and spread of foot and mouth disease. Understanding and addressing these factors is crucial in preventing and controlling the spread of FMD.</w:t>
      </w:r>
    </w:p>
    <w:p w:rsidR="009459D6" w:rsidRDefault="009459D6">
      <w:pPr>
        <w:spacing w:line="360" w:lineRule="auto"/>
        <w:jc w:val="both"/>
      </w:pPr>
    </w:p>
    <w:p w:rsidR="009459D6" w:rsidRDefault="009459D6">
      <w:pPr>
        <w:spacing w:line="360" w:lineRule="auto"/>
        <w:jc w:val="both"/>
      </w:pPr>
    </w:p>
    <w:p w:rsidR="009459D6" w:rsidRDefault="009459D6">
      <w:pPr>
        <w:spacing w:line="360" w:lineRule="auto"/>
        <w:jc w:val="both"/>
        <w:rPr>
          <w:b/>
        </w:rPr>
      </w:pPr>
    </w:p>
    <w:p w:rsidR="009459D6" w:rsidRDefault="00000000">
      <w:pPr>
        <w:spacing w:line="360" w:lineRule="auto"/>
        <w:jc w:val="both"/>
        <w:rPr>
          <w:b/>
        </w:rPr>
      </w:pPr>
      <w:r>
        <w:rPr>
          <w:b/>
        </w:rPr>
        <w:t>Short-Term Public Health Consequences in Health or Social Care Settings</w:t>
      </w:r>
    </w:p>
    <w:p w:rsidR="009459D6" w:rsidRDefault="009459D6">
      <w:pPr>
        <w:spacing w:line="360" w:lineRule="auto"/>
        <w:jc w:val="both"/>
      </w:pPr>
    </w:p>
    <w:p w:rsidR="009459D6" w:rsidRDefault="00000000">
      <w:pPr>
        <w:spacing w:line="360" w:lineRule="auto"/>
        <w:jc w:val="both"/>
      </w:pPr>
      <w:r>
        <w:lastRenderedPageBreak/>
        <w:t xml:space="preserve">The occurrence of foot and mouth disease (FMD) can have significant short-term economic consequences in the health and social care settings, including </w:t>
      </w:r>
      <w:hyperlink r:id="rId13">
        <w:r>
          <w:t>(Knight-Jones &amp; Rushton, 2013)</w:t>
        </w:r>
      </w:hyperlink>
      <w:r>
        <w:t>.</w:t>
      </w:r>
    </w:p>
    <w:p w:rsidR="009459D6" w:rsidRDefault="009459D6">
      <w:pPr>
        <w:spacing w:line="360" w:lineRule="auto"/>
        <w:jc w:val="both"/>
      </w:pPr>
    </w:p>
    <w:p w:rsidR="009459D6" w:rsidRDefault="00000000">
      <w:pPr>
        <w:spacing w:line="360" w:lineRule="auto"/>
        <w:jc w:val="both"/>
      </w:pPr>
      <w:r>
        <w:t>Loss of Livestock: FMD outbreaks often result in the culling of infected and susceptible animals to control the spread of the disease. This leads to a loss of livestock, impacting farmers and the livestock industry.</w:t>
      </w:r>
    </w:p>
    <w:p w:rsidR="009459D6" w:rsidRDefault="009459D6">
      <w:pPr>
        <w:spacing w:line="360" w:lineRule="auto"/>
        <w:jc w:val="both"/>
      </w:pPr>
    </w:p>
    <w:p w:rsidR="009459D6" w:rsidRDefault="00000000">
      <w:pPr>
        <w:spacing w:line="360" w:lineRule="auto"/>
        <w:jc w:val="both"/>
      </w:pPr>
      <w:r>
        <w:t>Reduced Productivity: Animals that survive FMD may experience reduced productivity, such as decreased milk production in dairy cattle or reduced weight gain in meat-producing animals. This can result in financial losses for farmers and reduced availability of animal products.</w:t>
      </w:r>
    </w:p>
    <w:p w:rsidR="009459D6" w:rsidRDefault="009459D6">
      <w:pPr>
        <w:spacing w:line="360" w:lineRule="auto"/>
        <w:jc w:val="both"/>
      </w:pPr>
    </w:p>
    <w:p w:rsidR="009459D6" w:rsidRDefault="00000000">
      <w:pPr>
        <w:spacing w:line="360" w:lineRule="auto"/>
        <w:jc w:val="both"/>
      </w:pPr>
      <w:r>
        <w:t>Decreased Market Value: FMD outbreaks can lead to a decrease in the market value of animals and animal products, as trade restrictions are imposed to prevent the spread of the disease. Export bans and limitations on animal movements can disrupt the domestic and international trade of livestock and related products, affecting the livelihoods of farmers and the overall economy.</w:t>
      </w:r>
    </w:p>
    <w:p w:rsidR="009459D6" w:rsidRDefault="009459D6">
      <w:pPr>
        <w:spacing w:line="360" w:lineRule="auto"/>
        <w:jc w:val="both"/>
      </w:pPr>
    </w:p>
    <w:p w:rsidR="009459D6" w:rsidRDefault="00000000">
      <w:pPr>
        <w:spacing w:line="360" w:lineRule="auto"/>
        <w:jc w:val="both"/>
      </w:pPr>
      <w:r>
        <w:t>Increased Burden on Veterinary Services: FMD outbreaks require enhanced veterinary surveillance, diagnosis, and response activities. This places a strain on veterinary services, which must allocate resources and personnel to manage and control the outbreak. Veterinary professionals may be faced with increased workloads and limited capacity to address other animal health issues.</w:t>
      </w:r>
    </w:p>
    <w:p w:rsidR="009459D6" w:rsidRDefault="009459D6">
      <w:pPr>
        <w:spacing w:line="360" w:lineRule="auto"/>
        <w:jc w:val="both"/>
      </w:pPr>
    </w:p>
    <w:p w:rsidR="009459D6" w:rsidRDefault="00000000">
      <w:pPr>
        <w:spacing w:line="360" w:lineRule="auto"/>
        <w:jc w:val="both"/>
      </w:pPr>
      <w:r>
        <w:t>Burden on Public Health Agencies: Public health agencies play a role in coordinating and supporting the response to FMD outbreaks. They may need to provide guidance, surveillance, and communication strategies to manage the public health aspects of the disease. This can lead to increased workload and resource allocation for public health agencies.</w:t>
      </w:r>
    </w:p>
    <w:p w:rsidR="009459D6" w:rsidRDefault="009459D6">
      <w:pPr>
        <w:spacing w:line="360" w:lineRule="auto"/>
        <w:jc w:val="both"/>
      </w:pPr>
    </w:p>
    <w:p w:rsidR="009459D6" w:rsidRDefault="00000000">
      <w:pPr>
        <w:spacing w:line="360" w:lineRule="auto"/>
        <w:jc w:val="both"/>
      </w:pPr>
      <w:r>
        <w:t>Impact on Regular Health and Social Care Services: The deployment of resources and personnel to control FMD outbreaks can impact regular health and social care services. With attention and resources focused on outbreak management, there may be disruptions or delays in providing routine healthcare services, including vaccinations, disease prevention programs, and health promotion activities.</w:t>
      </w:r>
    </w:p>
    <w:p w:rsidR="009459D6" w:rsidRDefault="009459D6">
      <w:pPr>
        <w:spacing w:line="360" w:lineRule="auto"/>
        <w:jc w:val="both"/>
      </w:pPr>
    </w:p>
    <w:p w:rsidR="009459D6" w:rsidRDefault="00000000">
      <w:pPr>
        <w:spacing w:line="360" w:lineRule="auto"/>
        <w:jc w:val="both"/>
      </w:pPr>
      <w:r>
        <w:t>Psychological and Emotional Consequences:</w:t>
      </w:r>
    </w:p>
    <w:p w:rsidR="009459D6" w:rsidRDefault="00000000">
      <w:pPr>
        <w:spacing w:line="360" w:lineRule="auto"/>
        <w:jc w:val="both"/>
      </w:pPr>
      <w:r>
        <w:lastRenderedPageBreak/>
        <w:t xml:space="preserve">FMD outbreaks can have psychological and emotional consequences for farmers, animal caregivers, and affected communities </w:t>
      </w:r>
      <w:hyperlink r:id="rId14">
        <w:r>
          <w:t>(Jones et al., 2018)</w:t>
        </w:r>
      </w:hyperlink>
    </w:p>
    <w:p w:rsidR="009459D6" w:rsidRDefault="009459D6">
      <w:pPr>
        <w:spacing w:line="360" w:lineRule="auto"/>
        <w:jc w:val="both"/>
      </w:pPr>
    </w:p>
    <w:p w:rsidR="009459D6" w:rsidRDefault="00000000">
      <w:pPr>
        <w:spacing w:line="360" w:lineRule="auto"/>
        <w:jc w:val="both"/>
      </w:pPr>
      <w:r>
        <w:t>Stress, Anxiety, and Psychological Distress: Farmers and animal caregivers may experience heightened levels of stress, anxiety, and psychological distress during FMD outbreaks. The fear of losing livestock, financial uncertainties, and the emotional toll of culling animals can significantly impact mental well-being.</w:t>
      </w:r>
    </w:p>
    <w:p w:rsidR="009459D6" w:rsidRDefault="009459D6">
      <w:pPr>
        <w:spacing w:line="360" w:lineRule="auto"/>
        <w:jc w:val="both"/>
      </w:pPr>
    </w:p>
    <w:p w:rsidR="009459D6" w:rsidRDefault="00000000">
      <w:pPr>
        <w:spacing w:line="360" w:lineRule="auto"/>
        <w:jc w:val="both"/>
      </w:pPr>
      <w:r>
        <w:t>Social Isolation: Movement restrictions and biosecurity measures implemented during FMD outbreaks can lead to social isolation among farmers and affected communities. Restrictions on gatherings, farm visits, and community events can exacerbate feelings of isolation and loneliness.</w:t>
      </w:r>
    </w:p>
    <w:p w:rsidR="009459D6" w:rsidRDefault="009459D6">
      <w:pPr>
        <w:spacing w:line="360" w:lineRule="auto"/>
        <w:jc w:val="both"/>
      </w:pPr>
    </w:p>
    <w:p w:rsidR="009459D6" w:rsidRDefault="00000000">
      <w:pPr>
        <w:spacing w:line="360" w:lineRule="auto"/>
        <w:jc w:val="both"/>
      </w:pPr>
      <w:r>
        <w:t>Loss of Livelihoods: FMD outbreaks can result in the loss of livelihoods for farmers and individuals dependent on the livestock industry. The financial and emotional consequences of losing income and livelihood can have long-term psychosocial effects on individuals and communities.</w:t>
      </w:r>
    </w:p>
    <w:p w:rsidR="009459D6" w:rsidRDefault="009459D6">
      <w:pPr>
        <w:spacing w:line="360" w:lineRule="auto"/>
        <w:jc w:val="both"/>
      </w:pPr>
    </w:p>
    <w:p w:rsidR="009459D6" w:rsidRDefault="00000000">
      <w:pPr>
        <w:spacing w:line="360" w:lineRule="auto"/>
        <w:jc w:val="both"/>
        <w:rPr>
          <w:b/>
        </w:rPr>
      </w:pPr>
      <w:r>
        <w:rPr>
          <w:b/>
        </w:rPr>
        <w:t>Long-Term Public Health Consequences in Health or Social Care Settings:</w:t>
      </w:r>
    </w:p>
    <w:p w:rsidR="009459D6" w:rsidRDefault="009459D6">
      <w:pPr>
        <w:spacing w:line="360" w:lineRule="auto"/>
        <w:jc w:val="both"/>
      </w:pPr>
    </w:p>
    <w:p w:rsidR="009459D6" w:rsidRDefault="00000000">
      <w:pPr>
        <w:spacing w:line="360" w:lineRule="auto"/>
        <w:jc w:val="both"/>
      </w:pPr>
      <w:r>
        <w:t>Livestock Industry and Food Security:</w:t>
      </w:r>
    </w:p>
    <w:p w:rsidR="009459D6" w:rsidRDefault="00000000">
      <w:pPr>
        <w:spacing w:line="360" w:lineRule="auto"/>
        <w:jc w:val="both"/>
      </w:pPr>
      <w:r>
        <w:t>Foot and mouth disease outbreaks can have long-lasting public health consequences in health or social care settings, including:</w:t>
      </w:r>
    </w:p>
    <w:p w:rsidR="009459D6" w:rsidRDefault="009459D6">
      <w:pPr>
        <w:spacing w:line="360" w:lineRule="auto"/>
        <w:jc w:val="both"/>
      </w:pPr>
    </w:p>
    <w:p w:rsidR="009459D6" w:rsidRDefault="00000000">
      <w:pPr>
        <w:spacing w:line="360" w:lineRule="auto"/>
        <w:jc w:val="both"/>
      </w:pPr>
      <w:r>
        <w:t>Impact on the Livestock Industry: FMD outbreaks can have a lasting impact on the livestock industry, leading to changes in production systems and farming practices. Farmers may implement stricter biosecurity measures, modify animal husbandry practices, or shift to alternative livestock production methods to prevent future outbreaks. These changes can have economic implications and may require investments in infrastructure and resources.</w:t>
      </w:r>
    </w:p>
    <w:p w:rsidR="009459D6" w:rsidRDefault="009459D6">
      <w:pPr>
        <w:spacing w:line="360" w:lineRule="auto"/>
        <w:jc w:val="both"/>
      </w:pPr>
    </w:p>
    <w:p w:rsidR="009459D6" w:rsidRDefault="00000000">
      <w:pPr>
        <w:spacing w:line="360" w:lineRule="auto"/>
        <w:jc w:val="both"/>
      </w:pPr>
      <w:r>
        <w:t>Potential Decrease in Food Security: FMD outbreaks can result in a decrease in food security, particularly in regions heavily reliant on animal-based products. Reduced availability and increased costs of animal products, such as meat, milk, and dairy, can affect the nutritional status and food choices of the population. Vulnerable groups may be particularly affected by the limited availability and increased prices of animal-based protein sources.</w:t>
      </w:r>
    </w:p>
    <w:p w:rsidR="009459D6" w:rsidRDefault="009459D6">
      <w:pPr>
        <w:spacing w:line="360" w:lineRule="auto"/>
        <w:jc w:val="both"/>
      </w:pPr>
    </w:p>
    <w:p w:rsidR="009459D6" w:rsidRDefault="00000000">
      <w:pPr>
        <w:spacing w:line="360" w:lineRule="auto"/>
        <w:jc w:val="both"/>
      </w:pPr>
      <w:r>
        <w:lastRenderedPageBreak/>
        <w:t>Animal Welfare:</w:t>
      </w:r>
    </w:p>
    <w:p w:rsidR="009459D6" w:rsidRDefault="00000000">
      <w:pPr>
        <w:spacing w:line="360" w:lineRule="auto"/>
        <w:jc w:val="both"/>
      </w:pPr>
      <w:r>
        <w:t>The long-term consequences of FMD outbreaks also extend to animal welfare considerations, including:</w:t>
      </w:r>
    </w:p>
    <w:p w:rsidR="009459D6" w:rsidRDefault="009459D6">
      <w:pPr>
        <w:spacing w:line="360" w:lineRule="auto"/>
        <w:jc w:val="both"/>
      </w:pPr>
    </w:p>
    <w:p w:rsidR="009459D6" w:rsidRDefault="00000000">
      <w:pPr>
        <w:spacing w:line="360" w:lineRule="auto"/>
        <w:jc w:val="both"/>
      </w:pPr>
      <w:r>
        <w:t xml:space="preserve">Negative Consequences on Animal Welfare: FMD outbreaks often involve culling of infected and susceptible animals as a control measure. The culling process can result in distress and suffering for the affected animals. Movement restrictions and changes in farming practices may also impact the overall welfare of livestock, such as limited access to grazing areas or confinement in </w:t>
      </w:r>
      <w:proofErr w:type="spellStart"/>
      <w:r>
        <w:t>biosecure</w:t>
      </w:r>
      <w:proofErr w:type="spellEnd"/>
      <w:r>
        <w:t xml:space="preserve"> facilities.</w:t>
      </w:r>
    </w:p>
    <w:p w:rsidR="009459D6" w:rsidRDefault="009459D6">
      <w:pPr>
        <w:spacing w:line="360" w:lineRule="auto"/>
        <w:jc w:val="both"/>
      </w:pPr>
    </w:p>
    <w:p w:rsidR="009459D6" w:rsidRDefault="00000000">
      <w:pPr>
        <w:spacing w:line="360" w:lineRule="auto"/>
        <w:jc w:val="both"/>
      </w:pPr>
      <w:r>
        <w:t>Effects on Health, Genetics, and Diversity: FMD outbreaks can affect the health, genetics, and diversity of livestock populations. The loss of genetically valuable animals and the need for selective breeding to repopulate herds can impact the genetic diversity and resilience of livestock populations in the long term. Efforts may be required to rebuild and maintain genetic diversity through appropriate breeding programs.</w:t>
      </w:r>
    </w:p>
    <w:p w:rsidR="009459D6" w:rsidRDefault="009459D6">
      <w:pPr>
        <w:spacing w:line="360" w:lineRule="auto"/>
        <w:jc w:val="both"/>
      </w:pPr>
    </w:p>
    <w:p w:rsidR="009459D6" w:rsidRDefault="00000000">
      <w:pPr>
        <w:spacing w:line="360" w:lineRule="auto"/>
        <w:jc w:val="both"/>
      </w:pPr>
      <w:r>
        <w:t xml:space="preserve"> Preparedness and Resilience:</w:t>
      </w:r>
    </w:p>
    <w:p w:rsidR="009459D6" w:rsidRDefault="00000000">
      <w:pPr>
        <w:spacing w:line="360" w:lineRule="auto"/>
        <w:jc w:val="both"/>
      </w:pPr>
      <w:r>
        <w:t>FMD outbreaks serve as reminders to enhance preparedness and resilience in health and social care settings, including:</w:t>
      </w:r>
    </w:p>
    <w:p w:rsidR="009459D6" w:rsidRDefault="009459D6">
      <w:pPr>
        <w:spacing w:line="360" w:lineRule="auto"/>
        <w:jc w:val="both"/>
      </w:pPr>
    </w:p>
    <w:p w:rsidR="009459D6" w:rsidRDefault="00000000">
      <w:pPr>
        <w:spacing w:line="360" w:lineRule="auto"/>
        <w:jc w:val="both"/>
      </w:pPr>
      <w:r>
        <w:t>Improved Surveillance Systems: FMD outbreaks highlight the need for robust surveillance systems to detect and respond promptly to disease threats. Enhancing surveillance capacity, early warning systems, and laboratory capabilities can contribute to early detection and rapid response to FMD outbreaks in the future.</w:t>
      </w:r>
    </w:p>
    <w:p w:rsidR="009459D6" w:rsidRDefault="009459D6">
      <w:pPr>
        <w:spacing w:line="360" w:lineRule="auto"/>
        <w:jc w:val="both"/>
      </w:pPr>
    </w:p>
    <w:p w:rsidR="009459D6" w:rsidRDefault="00000000">
      <w:pPr>
        <w:spacing w:line="360" w:lineRule="auto"/>
        <w:jc w:val="both"/>
      </w:pPr>
      <w:r>
        <w:t>Strengthened Response Strategies: FMD outbreaks provide opportunities to evaluate and strengthen response strategies, including coordination among relevant agencies, resource allocation, and communication plans. Lessons learned from outbreak experiences can inform the development of more effective and efficient response strategies.</w:t>
      </w:r>
    </w:p>
    <w:p w:rsidR="009459D6" w:rsidRDefault="009459D6">
      <w:pPr>
        <w:spacing w:line="360" w:lineRule="auto"/>
        <w:jc w:val="both"/>
      </w:pPr>
    </w:p>
    <w:p w:rsidR="009459D6" w:rsidRDefault="00000000">
      <w:pPr>
        <w:spacing w:line="360" w:lineRule="auto"/>
        <w:jc w:val="both"/>
      </w:pPr>
      <w:r>
        <w:t>Awareness and Education: FMD outbreaks emphasize the importance of public awareness and education in preventing and managing the disease. Increasing knowledge among farmers, animal caregivers, and the general public about FMD transmission, prevention measures, and biosecurity practices can contribute to early detection and effective control of the disease.</w:t>
      </w:r>
    </w:p>
    <w:p w:rsidR="009459D6" w:rsidRDefault="009459D6">
      <w:pPr>
        <w:spacing w:line="360" w:lineRule="auto"/>
        <w:jc w:val="both"/>
      </w:pPr>
    </w:p>
    <w:p w:rsidR="009459D6" w:rsidRDefault="00000000">
      <w:pPr>
        <w:spacing w:line="360" w:lineRule="auto"/>
        <w:jc w:val="both"/>
        <w:rPr>
          <w:b/>
        </w:rPr>
      </w:pPr>
      <w:r>
        <w:rPr>
          <w:b/>
        </w:rPr>
        <w:t>CONCLUSION</w:t>
      </w:r>
    </w:p>
    <w:p w:rsidR="009459D6" w:rsidRPr="00CA097F" w:rsidRDefault="00000000">
      <w:pPr>
        <w:spacing w:line="360" w:lineRule="auto"/>
        <w:jc w:val="both"/>
      </w:pPr>
      <w:r>
        <w:t>In conclusion, foot and mouth disease (FMD) outbreaks have significant short-term and long-term public health consequences in health and social care settings. In the short term, FMD outbreaks lead to economic losses, including the loss of livestock, reduced productivity, and decreased market value of animals and animal products. The burden on veterinary services, public health agencies, and healthcare facilities increases as resources and personnel are deployed to manage the outbreak, impacting regular health and social care services. Moreover, FMD outbreaks have psychological and emotional consequences, such as stress, anxiety, and social isolation experienced by farmers, animal caregivers, and affected communities.</w:t>
      </w:r>
    </w:p>
    <w:p w:rsidR="00CA097F" w:rsidRDefault="00CA097F">
      <w:pPr>
        <w:spacing w:line="240" w:lineRule="auto"/>
        <w:rPr>
          <w:b/>
        </w:rPr>
      </w:pPr>
      <w:r>
        <w:rPr>
          <w:b/>
        </w:rPr>
        <w:br w:type="page"/>
      </w:r>
    </w:p>
    <w:p w:rsidR="009459D6" w:rsidRDefault="00000000">
      <w:pPr>
        <w:spacing w:line="360" w:lineRule="auto"/>
        <w:jc w:val="both"/>
      </w:pPr>
      <w:r>
        <w:rPr>
          <w:b/>
        </w:rPr>
        <w:lastRenderedPageBreak/>
        <w:t>REFERENCES</w:t>
      </w:r>
      <w:r>
        <w:t xml:space="preserve"> </w:t>
      </w:r>
    </w:p>
    <w:p w:rsidR="009459D6" w:rsidRDefault="00000000">
      <w:pPr>
        <w:widowControl w:val="0"/>
        <w:spacing w:line="480" w:lineRule="auto"/>
        <w:ind w:left="720" w:hanging="720"/>
      </w:pPr>
      <w:hyperlink r:id="rId15">
        <w:r>
          <w:t xml:space="preserve">Fang, Y., Wang, S., Zhang, L., Guo, Z., Huang, Z., Tu, C., &amp; Zhu, B.-P. (2014). Risk factors of severe hand, foot and mouth disease: A meta-analysis. </w:t>
        </w:r>
      </w:hyperlink>
      <w:hyperlink r:id="rId16">
        <w:r>
          <w:rPr>
            <w:i/>
          </w:rPr>
          <w:t>Scandinavian Journal of Infectious Diseases</w:t>
        </w:r>
      </w:hyperlink>
      <w:hyperlink r:id="rId17">
        <w:r>
          <w:t xml:space="preserve">, </w:t>
        </w:r>
      </w:hyperlink>
      <w:hyperlink r:id="rId18">
        <w:r>
          <w:rPr>
            <w:i/>
          </w:rPr>
          <w:t>46</w:t>
        </w:r>
      </w:hyperlink>
      <w:hyperlink r:id="rId19">
        <w:r>
          <w:t>(7), 515–522.</w:t>
        </w:r>
      </w:hyperlink>
    </w:p>
    <w:p w:rsidR="009459D6" w:rsidRDefault="00000000">
      <w:pPr>
        <w:widowControl w:val="0"/>
        <w:spacing w:line="480" w:lineRule="auto"/>
        <w:ind w:left="720" w:hanging="720"/>
      </w:pPr>
      <w:hyperlink r:id="rId20">
        <w:r>
          <w:t xml:space="preserve">Grubman, M. J., &amp; Baxt, B. (2004). Foot-and-Mouth Disease. </w:t>
        </w:r>
      </w:hyperlink>
      <w:hyperlink r:id="rId21">
        <w:r>
          <w:rPr>
            <w:i/>
          </w:rPr>
          <w:t>Clinical Microbiology Reviews</w:t>
        </w:r>
      </w:hyperlink>
      <w:hyperlink r:id="rId22">
        <w:r>
          <w:t xml:space="preserve">, </w:t>
        </w:r>
      </w:hyperlink>
      <w:hyperlink r:id="rId23">
        <w:r>
          <w:rPr>
            <w:i/>
          </w:rPr>
          <w:t>17</w:t>
        </w:r>
      </w:hyperlink>
      <w:hyperlink r:id="rId24">
        <w:r>
          <w:t>(2), 465–493. https://doi.org/10.1128/CMR.17.2.465-493.2004</w:t>
        </w:r>
      </w:hyperlink>
    </w:p>
    <w:p w:rsidR="009459D6" w:rsidRDefault="00000000">
      <w:pPr>
        <w:widowControl w:val="0"/>
        <w:spacing w:line="480" w:lineRule="auto"/>
        <w:ind w:left="720" w:hanging="720"/>
      </w:pPr>
      <w:hyperlink r:id="rId25">
        <w:r>
          <w:t xml:space="preserve">Jones, E., Pillay, T. D., Liu, F., Luo, L., Bazo-Alvarez, J. C., Yuan, C., Zhao, S., Chen, Q., Li, Y., &amp; Liao, Q. (2018). Outcomes following severe hand foot and mouth disease: A systematic review and meta-analysis. </w:t>
        </w:r>
      </w:hyperlink>
      <w:hyperlink r:id="rId26">
        <w:r>
          <w:rPr>
            <w:i/>
          </w:rPr>
          <w:t xml:space="preserve">European Journal of </w:t>
        </w:r>
        <w:proofErr w:type="spellStart"/>
        <w:r>
          <w:rPr>
            <w:i/>
          </w:rPr>
          <w:t>Paediatric</w:t>
        </w:r>
        <w:proofErr w:type="spellEnd"/>
        <w:r>
          <w:rPr>
            <w:i/>
          </w:rPr>
          <w:t xml:space="preserve"> Neurology</w:t>
        </w:r>
      </w:hyperlink>
      <w:hyperlink r:id="rId27">
        <w:r>
          <w:t xml:space="preserve">, </w:t>
        </w:r>
      </w:hyperlink>
      <w:hyperlink r:id="rId28">
        <w:r>
          <w:rPr>
            <w:i/>
          </w:rPr>
          <w:t>22</w:t>
        </w:r>
      </w:hyperlink>
      <w:hyperlink r:id="rId29">
        <w:r>
          <w:t>(5), 763–773.</w:t>
        </w:r>
      </w:hyperlink>
    </w:p>
    <w:p w:rsidR="009459D6" w:rsidRDefault="00000000">
      <w:pPr>
        <w:widowControl w:val="0"/>
        <w:spacing w:line="480" w:lineRule="auto"/>
        <w:ind w:left="720" w:hanging="720"/>
      </w:pPr>
      <w:hyperlink r:id="rId30">
        <w:r>
          <w:t xml:space="preserve">Knight-Jones, T. J., &amp; Rushton, J. (2013). The economic impacts of foot and mouth disease–What are they, how big are they and where do they occur? </w:t>
        </w:r>
      </w:hyperlink>
      <w:hyperlink r:id="rId31">
        <w:r>
          <w:rPr>
            <w:i/>
          </w:rPr>
          <w:t>Preventive Veterinary Medicine</w:t>
        </w:r>
      </w:hyperlink>
      <w:hyperlink r:id="rId32">
        <w:r>
          <w:t xml:space="preserve">, </w:t>
        </w:r>
      </w:hyperlink>
      <w:hyperlink r:id="rId33">
        <w:r>
          <w:rPr>
            <w:i/>
          </w:rPr>
          <w:t>112</w:t>
        </w:r>
      </w:hyperlink>
      <w:hyperlink r:id="rId34">
        <w:r>
          <w:t>(3–4), 161–173.</w:t>
        </w:r>
      </w:hyperlink>
    </w:p>
    <w:p w:rsidR="009459D6" w:rsidRDefault="00000000">
      <w:pPr>
        <w:widowControl w:val="0"/>
        <w:spacing w:line="480" w:lineRule="auto"/>
        <w:ind w:left="720" w:hanging="720"/>
      </w:pPr>
      <w:hyperlink r:id="rId35">
        <w:r>
          <w:t xml:space="preserve">Koh, W. M., </w:t>
        </w:r>
        <w:proofErr w:type="spellStart"/>
        <w:r>
          <w:t>Bogich</w:t>
        </w:r>
        <w:proofErr w:type="spellEnd"/>
        <w:r>
          <w:t xml:space="preserve">, T., Siegel, K., </w:t>
        </w:r>
        <w:proofErr w:type="spellStart"/>
        <w:r>
          <w:t>Jin</w:t>
        </w:r>
        <w:proofErr w:type="spellEnd"/>
        <w:r>
          <w:t xml:space="preserve">, J., Chong, E. Y., Tan, C. Y., Chen, M. I., </w:t>
        </w:r>
        <w:proofErr w:type="spellStart"/>
        <w:r>
          <w:t>Horby</w:t>
        </w:r>
        <w:proofErr w:type="spellEnd"/>
        <w:r>
          <w:t xml:space="preserve">, P., &amp; Cook, A. R. (2016). The epidemiology of hand, foot and mouth disease in Asia: A systematic review and analysis. </w:t>
        </w:r>
      </w:hyperlink>
      <w:hyperlink r:id="rId36">
        <w:r>
          <w:rPr>
            <w:i/>
          </w:rPr>
          <w:t>The Pediatric Infectious Disease Journal</w:t>
        </w:r>
      </w:hyperlink>
      <w:hyperlink r:id="rId37">
        <w:r>
          <w:t xml:space="preserve">, </w:t>
        </w:r>
      </w:hyperlink>
      <w:hyperlink r:id="rId38">
        <w:r>
          <w:rPr>
            <w:i/>
          </w:rPr>
          <w:t>35</w:t>
        </w:r>
      </w:hyperlink>
      <w:hyperlink r:id="rId39">
        <w:r>
          <w:t>(10), e285.</w:t>
        </w:r>
      </w:hyperlink>
    </w:p>
    <w:p w:rsidR="009459D6" w:rsidRDefault="00000000">
      <w:pPr>
        <w:widowControl w:val="0"/>
        <w:spacing w:line="480" w:lineRule="auto"/>
        <w:ind w:left="720" w:hanging="720"/>
      </w:pPr>
      <w:hyperlink r:id="rId40">
        <w:r>
          <w:t xml:space="preserve">Woods, A. (2013). </w:t>
        </w:r>
      </w:hyperlink>
      <w:hyperlink r:id="rId41">
        <w:r>
          <w:rPr>
            <w:i/>
          </w:rPr>
          <w:t>A manufactured plague: The history of foot-and-mouth disease in Britain</w:t>
        </w:r>
      </w:hyperlink>
      <w:hyperlink r:id="rId42">
        <w:r>
          <w:t>. Routledge.</w:t>
        </w:r>
      </w:hyperlink>
    </w:p>
    <w:p w:rsidR="009459D6" w:rsidRDefault="00000000">
      <w:pPr>
        <w:widowControl w:val="0"/>
        <w:spacing w:line="480" w:lineRule="auto"/>
        <w:ind w:left="720" w:hanging="720"/>
      </w:pPr>
      <w:hyperlink r:id="rId43">
        <w:r>
          <w:t xml:space="preserve">Yang, P.-C., Shieh, H. K., &amp; Chang, P.-C. (2014). The strategies for the control and prevention of foot-and-mouth disease. </w:t>
        </w:r>
      </w:hyperlink>
      <w:hyperlink r:id="rId44">
        <w:r>
          <w:rPr>
            <w:i/>
          </w:rPr>
          <w:t>Taiwan Veterinary Journal</w:t>
        </w:r>
      </w:hyperlink>
      <w:hyperlink r:id="rId45">
        <w:r>
          <w:t xml:space="preserve">, </w:t>
        </w:r>
      </w:hyperlink>
      <w:hyperlink r:id="rId46">
        <w:r>
          <w:rPr>
            <w:i/>
          </w:rPr>
          <w:t>40</w:t>
        </w:r>
      </w:hyperlink>
      <w:hyperlink r:id="rId47">
        <w:r>
          <w:t>(04), 173–180.</w:t>
        </w:r>
      </w:hyperlink>
    </w:p>
    <w:p w:rsidR="009459D6" w:rsidRDefault="00000000">
      <w:pPr>
        <w:widowControl w:val="0"/>
        <w:spacing w:line="480" w:lineRule="auto"/>
        <w:ind w:left="720" w:hanging="720"/>
      </w:pPr>
      <w:hyperlink r:id="rId48">
        <w:r>
          <w:t xml:space="preserve">Zingg, D., </w:t>
        </w:r>
        <w:proofErr w:type="spellStart"/>
        <w:r>
          <w:t>Häsler</w:t>
        </w:r>
        <w:proofErr w:type="spellEnd"/>
        <w:r>
          <w:t xml:space="preserve">, S., Schuepbach-Regula, G., </w:t>
        </w:r>
        <w:proofErr w:type="spellStart"/>
        <w:r>
          <w:t>Schwermer</w:t>
        </w:r>
        <w:proofErr w:type="spellEnd"/>
        <w:r>
          <w:t xml:space="preserve">, H., &amp; Dürr, S. (2015). Evidence for emergency vaccination having played a crucial role to control the 1965/66 foot-and-mouth disease outbreak in Switzerland. </w:t>
        </w:r>
      </w:hyperlink>
      <w:hyperlink r:id="rId49">
        <w:r>
          <w:rPr>
            <w:i/>
          </w:rPr>
          <w:t>Frontiers in Veterinary Science</w:t>
        </w:r>
      </w:hyperlink>
      <w:hyperlink r:id="rId50">
        <w:r>
          <w:t xml:space="preserve">, </w:t>
        </w:r>
      </w:hyperlink>
      <w:hyperlink r:id="rId51">
        <w:r>
          <w:rPr>
            <w:i/>
          </w:rPr>
          <w:t>2</w:t>
        </w:r>
      </w:hyperlink>
      <w:hyperlink r:id="rId52">
        <w:r>
          <w:t>, 72.</w:t>
        </w:r>
      </w:hyperlink>
    </w:p>
    <w:sectPr w:rsidR="009459D6">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19C7" w:rsidRDefault="004F19C7">
      <w:pPr>
        <w:spacing w:line="240" w:lineRule="auto"/>
      </w:pPr>
      <w:r>
        <w:separator/>
      </w:r>
    </w:p>
  </w:endnote>
  <w:endnote w:type="continuationSeparator" w:id="0">
    <w:p w:rsidR="004F19C7" w:rsidRDefault="004F1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59D6" w:rsidRDefault="00000000">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459D6"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rsidR="009459D6"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19C7" w:rsidRDefault="004F19C7">
      <w:r>
        <w:separator/>
      </w:r>
    </w:p>
  </w:footnote>
  <w:footnote w:type="continuationSeparator" w:id="0">
    <w:p w:rsidR="004F19C7" w:rsidRDefault="004F19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9D6"/>
    <w:rsid w:val="00447759"/>
    <w:rsid w:val="004F19C7"/>
    <w:rsid w:val="005550FA"/>
    <w:rsid w:val="00892923"/>
    <w:rsid w:val="009459D6"/>
    <w:rsid w:val="00C84842"/>
    <w:rsid w:val="00CA097F"/>
    <w:rsid w:val="00D240F9"/>
    <w:rsid w:val="00F20A8C"/>
    <w:rsid w:val="0FFFF9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0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
    </w:rPr>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paragraph" w:customStyle="1" w:styleId="paragraph">
    <w:name w:val="paragraph"/>
    <w:basedOn w:val="Normal"/>
    <w:rsid w:val="005550FA"/>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textrun">
    <w:name w:val="normaltextrun"/>
    <w:basedOn w:val="DefaultParagraphFont"/>
    <w:rsid w:val="005550FA"/>
  </w:style>
  <w:style w:type="character" w:customStyle="1" w:styleId="eop">
    <w:name w:val="eop"/>
    <w:basedOn w:val="DefaultParagraphFont"/>
    <w:rsid w:val="00555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97879">
      <w:bodyDiv w:val="1"/>
      <w:marLeft w:val="0"/>
      <w:marRight w:val="0"/>
      <w:marTop w:val="0"/>
      <w:marBottom w:val="0"/>
      <w:divBdr>
        <w:top w:val="none" w:sz="0" w:space="0" w:color="auto"/>
        <w:left w:val="none" w:sz="0" w:space="0" w:color="auto"/>
        <w:bottom w:val="none" w:sz="0" w:space="0" w:color="auto"/>
        <w:right w:val="none" w:sz="0" w:space="0" w:color="auto"/>
      </w:divBdr>
      <w:divsChild>
        <w:div w:id="1717587762">
          <w:marLeft w:val="0"/>
          <w:marRight w:val="0"/>
          <w:marTop w:val="0"/>
          <w:marBottom w:val="0"/>
          <w:divBdr>
            <w:top w:val="none" w:sz="0" w:space="0" w:color="auto"/>
            <w:left w:val="none" w:sz="0" w:space="0" w:color="auto"/>
            <w:bottom w:val="none" w:sz="0" w:space="0" w:color="auto"/>
            <w:right w:val="none" w:sz="0" w:space="0" w:color="auto"/>
          </w:divBdr>
        </w:div>
        <w:div w:id="1043748233">
          <w:marLeft w:val="0"/>
          <w:marRight w:val="0"/>
          <w:marTop w:val="0"/>
          <w:marBottom w:val="0"/>
          <w:divBdr>
            <w:top w:val="none" w:sz="0" w:space="0" w:color="auto"/>
            <w:left w:val="none" w:sz="0" w:space="0" w:color="auto"/>
            <w:bottom w:val="none" w:sz="0" w:space="0" w:color="auto"/>
            <w:right w:val="none" w:sz="0" w:space="0" w:color="auto"/>
          </w:divBdr>
        </w:div>
        <w:div w:id="68843799">
          <w:marLeft w:val="0"/>
          <w:marRight w:val="0"/>
          <w:marTop w:val="0"/>
          <w:marBottom w:val="0"/>
          <w:divBdr>
            <w:top w:val="none" w:sz="0" w:space="0" w:color="auto"/>
            <w:left w:val="none" w:sz="0" w:space="0" w:color="auto"/>
            <w:bottom w:val="none" w:sz="0" w:space="0" w:color="auto"/>
            <w:right w:val="none" w:sz="0" w:space="0" w:color="auto"/>
          </w:divBdr>
        </w:div>
        <w:div w:id="609551984">
          <w:marLeft w:val="0"/>
          <w:marRight w:val="0"/>
          <w:marTop w:val="0"/>
          <w:marBottom w:val="0"/>
          <w:divBdr>
            <w:top w:val="none" w:sz="0" w:space="0" w:color="auto"/>
            <w:left w:val="none" w:sz="0" w:space="0" w:color="auto"/>
            <w:bottom w:val="none" w:sz="0" w:space="0" w:color="auto"/>
            <w:right w:val="none" w:sz="0" w:space="0" w:color="auto"/>
          </w:divBdr>
        </w:div>
        <w:div w:id="73166820">
          <w:marLeft w:val="0"/>
          <w:marRight w:val="0"/>
          <w:marTop w:val="0"/>
          <w:marBottom w:val="0"/>
          <w:divBdr>
            <w:top w:val="none" w:sz="0" w:space="0" w:color="auto"/>
            <w:left w:val="none" w:sz="0" w:space="0" w:color="auto"/>
            <w:bottom w:val="none" w:sz="0" w:space="0" w:color="auto"/>
            <w:right w:val="none" w:sz="0" w:space="0" w:color="auto"/>
          </w:divBdr>
        </w:div>
        <w:div w:id="879588001">
          <w:marLeft w:val="0"/>
          <w:marRight w:val="0"/>
          <w:marTop w:val="0"/>
          <w:marBottom w:val="0"/>
          <w:divBdr>
            <w:top w:val="none" w:sz="0" w:space="0" w:color="auto"/>
            <w:left w:val="none" w:sz="0" w:space="0" w:color="auto"/>
            <w:bottom w:val="none" w:sz="0" w:space="0" w:color="auto"/>
            <w:right w:val="none" w:sz="0" w:space="0" w:color="auto"/>
          </w:divBdr>
        </w:div>
      </w:divsChild>
    </w:div>
    <w:div w:id="1747534191">
      <w:bodyDiv w:val="1"/>
      <w:marLeft w:val="0"/>
      <w:marRight w:val="0"/>
      <w:marTop w:val="0"/>
      <w:marBottom w:val="0"/>
      <w:divBdr>
        <w:top w:val="none" w:sz="0" w:space="0" w:color="auto"/>
        <w:left w:val="none" w:sz="0" w:space="0" w:color="auto"/>
        <w:bottom w:val="none" w:sz="0" w:space="0" w:color="auto"/>
        <w:right w:val="none" w:sz="0" w:space="0" w:color="auto"/>
      </w:divBdr>
      <w:divsChild>
        <w:div w:id="186872918">
          <w:marLeft w:val="0"/>
          <w:marRight w:val="0"/>
          <w:marTop w:val="0"/>
          <w:marBottom w:val="0"/>
          <w:divBdr>
            <w:top w:val="none" w:sz="0" w:space="0" w:color="auto"/>
            <w:left w:val="none" w:sz="0" w:space="0" w:color="auto"/>
            <w:bottom w:val="none" w:sz="0" w:space="0" w:color="auto"/>
            <w:right w:val="none" w:sz="0" w:space="0" w:color="auto"/>
          </w:divBdr>
        </w:div>
        <w:div w:id="953636662">
          <w:marLeft w:val="0"/>
          <w:marRight w:val="0"/>
          <w:marTop w:val="0"/>
          <w:marBottom w:val="0"/>
          <w:divBdr>
            <w:top w:val="none" w:sz="0" w:space="0" w:color="auto"/>
            <w:left w:val="none" w:sz="0" w:space="0" w:color="auto"/>
            <w:bottom w:val="none" w:sz="0" w:space="0" w:color="auto"/>
            <w:right w:val="none" w:sz="0" w:space="0" w:color="auto"/>
          </w:divBdr>
        </w:div>
        <w:div w:id="1261913596">
          <w:marLeft w:val="0"/>
          <w:marRight w:val="0"/>
          <w:marTop w:val="0"/>
          <w:marBottom w:val="0"/>
          <w:divBdr>
            <w:top w:val="none" w:sz="0" w:space="0" w:color="auto"/>
            <w:left w:val="none" w:sz="0" w:space="0" w:color="auto"/>
            <w:bottom w:val="none" w:sz="0" w:space="0" w:color="auto"/>
            <w:right w:val="none" w:sz="0" w:space="0" w:color="auto"/>
          </w:divBdr>
        </w:div>
        <w:div w:id="2094545799">
          <w:marLeft w:val="0"/>
          <w:marRight w:val="0"/>
          <w:marTop w:val="0"/>
          <w:marBottom w:val="0"/>
          <w:divBdr>
            <w:top w:val="none" w:sz="0" w:space="0" w:color="auto"/>
            <w:left w:val="none" w:sz="0" w:space="0" w:color="auto"/>
            <w:bottom w:val="none" w:sz="0" w:space="0" w:color="auto"/>
            <w:right w:val="none" w:sz="0" w:space="0" w:color="auto"/>
          </w:divBdr>
        </w:div>
        <w:div w:id="1132091905">
          <w:marLeft w:val="0"/>
          <w:marRight w:val="0"/>
          <w:marTop w:val="0"/>
          <w:marBottom w:val="0"/>
          <w:divBdr>
            <w:top w:val="none" w:sz="0" w:space="0" w:color="auto"/>
            <w:left w:val="none" w:sz="0" w:space="0" w:color="auto"/>
            <w:bottom w:val="none" w:sz="0" w:space="0" w:color="auto"/>
            <w:right w:val="none" w:sz="0" w:space="0" w:color="auto"/>
          </w:divBdr>
        </w:div>
        <w:div w:id="1937399580">
          <w:marLeft w:val="0"/>
          <w:marRight w:val="0"/>
          <w:marTop w:val="0"/>
          <w:marBottom w:val="0"/>
          <w:divBdr>
            <w:top w:val="none" w:sz="0" w:space="0" w:color="auto"/>
            <w:left w:val="none" w:sz="0" w:space="0" w:color="auto"/>
            <w:bottom w:val="none" w:sz="0" w:space="0" w:color="auto"/>
            <w:right w:val="none" w:sz="0" w:space="0" w:color="auto"/>
          </w:divBdr>
        </w:div>
      </w:divsChild>
    </w:div>
    <w:div w:id="1921862116">
      <w:bodyDiv w:val="1"/>
      <w:marLeft w:val="0"/>
      <w:marRight w:val="0"/>
      <w:marTop w:val="0"/>
      <w:marBottom w:val="0"/>
      <w:divBdr>
        <w:top w:val="none" w:sz="0" w:space="0" w:color="auto"/>
        <w:left w:val="none" w:sz="0" w:space="0" w:color="auto"/>
        <w:bottom w:val="none" w:sz="0" w:space="0" w:color="auto"/>
        <w:right w:val="none" w:sz="0" w:space="0" w:color="auto"/>
      </w:divBdr>
      <w:divsChild>
        <w:div w:id="1209949985">
          <w:marLeft w:val="0"/>
          <w:marRight w:val="0"/>
          <w:marTop w:val="0"/>
          <w:marBottom w:val="0"/>
          <w:divBdr>
            <w:top w:val="none" w:sz="0" w:space="0" w:color="auto"/>
            <w:left w:val="none" w:sz="0" w:space="0" w:color="auto"/>
            <w:bottom w:val="none" w:sz="0" w:space="0" w:color="auto"/>
            <w:right w:val="none" w:sz="0" w:space="0" w:color="auto"/>
          </w:divBdr>
        </w:div>
        <w:div w:id="290941289">
          <w:marLeft w:val="0"/>
          <w:marRight w:val="0"/>
          <w:marTop w:val="0"/>
          <w:marBottom w:val="0"/>
          <w:divBdr>
            <w:top w:val="none" w:sz="0" w:space="0" w:color="auto"/>
            <w:left w:val="none" w:sz="0" w:space="0" w:color="auto"/>
            <w:bottom w:val="none" w:sz="0" w:space="0" w:color="auto"/>
            <w:right w:val="none" w:sz="0" w:space="0" w:color="auto"/>
          </w:divBdr>
        </w:div>
        <w:div w:id="362634655">
          <w:marLeft w:val="0"/>
          <w:marRight w:val="0"/>
          <w:marTop w:val="0"/>
          <w:marBottom w:val="0"/>
          <w:divBdr>
            <w:top w:val="none" w:sz="0" w:space="0" w:color="auto"/>
            <w:left w:val="none" w:sz="0" w:space="0" w:color="auto"/>
            <w:bottom w:val="none" w:sz="0" w:space="0" w:color="auto"/>
            <w:right w:val="none" w:sz="0" w:space="0" w:color="auto"/>
          </w:divBdr>
        </w:div>
        <w:div w:id="931546415">
          <w:marLeft w:val="0"/>
          <w:marRight w:val="0"/>
          <w:marTop w:val="0"/>
          <w:marBottom w:val="0"/>
          <w:divBdr>
            <w:top w:val="none" w:sz="0" w:space="0" w:color="auto"/>
            <w:left w:val="none" w:sz="0" w:space="0" w:color="auto"/>
            <w:bottom w:val="none" w:sz="0" w:space="0" w:color="auto"/>
            <w:right w:val="none" w:sz="0" w:space="0" w:color="auto"/>
          </w:divBdr>
        </w:div>
        <w:div w:id="1260330230">
          <w:marLeft w:val="0"/>
          <w:marRight w:val="0"/>
          <w:marTop w:val="0"/>
          <w:marBottom w:val="0"/>
          <w:divBdr>
            <w:top w:val="none" w:sz="0" w:space="0" w:color="auto"/>
            <w:left w:val="none" w:sz="0" w:space="0" w:color="auto"/>
            <w:bottom w:val="none" w:sz="0" w:space="0" w:color="auto"/>
            <w:right w:val="none" w:sz="0" w:space="0" w:color="auto"/>
          </w:divBdr>
        </w:div>
        <w:div w:id="6328284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zotero.org/google-docs/?Xk7asp" TargetMode="External"/><Relationship Id="rId18" Type="http://schemas.openxmlformats.org/officeDocument/2006/relationships/hyperlink" Target="https://www.zotero.org/google-docs/?AV6the" TargetMode="External"/><Relationship Id="rId26" Type="http://schemas.openxmlformats.org/officeDocument/2006/relationships/hyperlink" Target="https://www.zotero.org/google-docs/?AV6the" TargetMode="External"/><Relationship Id="rId39" Type="http://schemas.openxmlformats.org/officeDocument/2006/relationships/hyperlink" Target="https://www.zotero.org/google-docs/?AV6the" TargetMode="External"/><Relationship Id="rId21" Type="http://schemas.openxmlformats.org/officeDocument/2006/relationships/hyperlink" Target="https://www.zotero.org/google-docs/?AV6the" TargetMode="External"/><Relationship Id="rId34" Type="http://schemas.openxmlformats.org/officeDocument/2006/relationships/hyperlink" Target="https://www.zotero.org/google-docs/?AV6the" TargetMode="External"/><Relationship Id="rId42" Type="http://schemas.openxmlformats.org/officeDocument/2006/relationships/hyperlink" Target="https://www.zotero.org/google-docs/?AV6the" TargetMode="External"/><Relationship Id="rId47" Type="http://schemas.openxmlformats.org/officeDocument/2006/relationships/hyperlink" Target="https://www.zotero.org/google-docs/?AV6the" TargetMode="External"/><Relationship Id="rId50" Type="http://schemas.openxmlformats.org/officeDocument/2006/relationships/hyperlink" Target="https://www.zotero.org/google-docs/?AV6the" TargetMode="External"/><Relationship Id="rId55" Type="http://schemas.openxmlformats.org/officeDocument/2006/relationships/theme" Target="theme/theme1.xml"/><Relationship Id="rId7" Type="http://schemas.openxmlformats.org/officeDocument/2006/relationships/hyperlink" Target="https://www.zotero.org/google-docs/?ewJNBx" TargetMode="External"/><Relationship Id="rId2" Type="http://schemas.openxmlformats.org/officeDocument/2006/relationships/styles" Target="styles.xml"/><Relationship Id="rId16" Type="http://schemas.openxmlformats.org/officeDocument/2006/relationships/hyperlink" Target="https://www.zotero.org/google-docs/?AV6the" TargetMode="External"/><Relationship Id="rId29" Type="http://schemas.openxmlformats.org/officeDocument/2006/relationships/hyperlink" Target="https://www.zotero.org/google-docs/?AV6the" TargetMode="External"/><Relationship Id="rId11" Type="http://schemas.openxmlformats.org/officeDocument/2006/relationships/hyperlink" Target="https://www.zotero.org/google-docs/?BMWh7e" TargetMode="External"/><Relationship Id="rId24" Type="http://schemas.openxmlformats.org/officeDocument/2006/relationships/hyperlink" Target="https://www.zotero.org/google-docs/?AV6the" TargetMode="External"/><Relationship Id="rId32" Type="http://schemas.openxmlformats.org/officeDocument/2006/relationships/hyperlink" Target="https://www.zotero.org/google-docs/?AV6the" TargetMode="External"/><Relationship Id="rId37" Type="http://schemas.openxmlformats.org/officeDocument/2006/relationships/hyperlink" Target="https://www.zotero.org/google-docs/?AV6the" TargetMode="External"/><Relationship Id="rId40" Type="http://schemas.openxmlformats.org/officeDocument/2006/relationships/hyperlink" Target="https://www.zotero.org/google-docs/?AV6the" TargetMode="External"/><Relationship Id="rId45" Type="http://schemas.openxmlformats.org/officeDocument/2006/relationships/hyperlink" Target="https://www.zotero.org/google-docs/?AV6the"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zotero.org/google-docs/?zQ4fc5" TargetMode="External"/><Relationship Id="rId19" Type="http://schemas.openxmlformats.org/officeDocument/2006/relationships/hyperlink" Target="https://www.zotero.org/google-docs/?AV6the" TargetMode="External"/><Relationship Id="rId31" Type="http://schemas.openxmlformats.org/officeDocument/2006/relationships/hyperlink" Target="https://www.zotero.org/google-docs/?AV6the" TargetMode="External"/><Relationship Id="rId44" Type="http://schemas.openxmlformats.org/officeDocument/2006/relationships/hyperlink" Target="https://www.zotero.org/google-docs/?AV6the" TargetMode="External"/><Relationship Id="rId52" Type="http://schemas.openxmlformats.org/officeDocument/2006/relationships/hyperlink" Target="https://www.zotero.org/google-docs/?AV6the" TargetMode="External"/><Relationship Id="rId4" Type="http://schemas.openxmlformats.org/officeDocument/2006/relationships/webSettings" Target="webSettings.xml"/><Relationship Id="rId9" Type="http://schemas.openxmlformats.org/officeDocument/2006/relationships/hyperlink" Target="https://www.zotero.org/google-docs/?iLBwOc" TargetMode="External"/><Relationship Id="rId14" Type="http://schemas.openxmlformats.org/officeDocument/2006/relationships/hyperlink" Target="https://www.zotero.org/google-docs/?CkGURk" TargetMode="External"/><Relationship Id="rId22" Type="http://schemas.openxmlformats.org/officeDocument/2006/relationships/hyperlink" Target="https://www.zotero.org/google-docs/?AV6the" TargetMode="External"/><Relationship Id="rId27" Type="http://schemas.openxmlformats.org/officeDocument/2006/relationships/hyperlink" Target="https://www.zotero.org/google-docs/?AV6the" TargetMode="External"/><Relationship Id="rId30" Type="http://schemas.openxmlformats.org/officeDocument/2006/relationships/hyperlink" Target="https://www.zotero.org/google-docs/?AV6the" TargetMode="External"/><Relationship Id="rId35" Type="http://schemas.openxmlformats.org/officeDocument/2006/relationships/hyperlink" Target="https://www.zotero.org/google-docs/?AV6the" TargetMode="External"/><Relationship Id="rId43" Type="http://schemas.openxmlformats.org/officeDocument/2006/relationships/hyperlink" Target="https://www.zotero.org/google-docs/?AV6the" TargetMode="External"/><Relationship Id="rId48" Type="http://schemas.openxmlformats.org/officeDocument/2006/relationships/hyperlink" Target="https://www.zotero.org/google-docs/?AV6the" TargetMode="External"/><Relationship Id="rId8" Type="http://schemas.openxmlformats.org/officeDocument/2006/relationships/hyperlink" Target="https://www.zotero.org/google-docs/?SOmHrP" TargetMode="External"/><Relationship Id="rId51" Type="http://schemas.openxmlformats.org/officeDocument/2006/relationships/hyperlink" Target="https://www.zotero.org/google-docs/?AV6the" TargetMode="External"/><Relationship Id="rId3" Type="http://schemas.openxmlformats.org/officeDocument/2006/relationships/settings" Target="settings.xml"/><Relationship Id="rId12" Type="http://schemas.openxmlformats.org/officeDocument/2006/relationships/hyperlink" Target="https://www.zotero.org/google-docs/?ioSNvE" TargetMode="External"/><Relationship Id="rId17" Type="http://schemas.openxmlformats.org/officeDocument/2006/relationships/hyperlink" Target="https://www.zotero.org/google-docs/?AV6the" TargetMode="External"/><Relationship Id="rId25" Type="http://schemas.openxmlformats.org/officeDocument/2006/relationships/hyperlink" Target="https://www.zotero.org/google-docs/?AV6the" TargetMode="External"/><Relationship Id="rId33" Type="http://schemas.openxmlformats.org/officeDocument/2006/relationships/hyperlink" Target="https://www.zotero.org/google-docs/?AV6the" TargetMode="External"/><Relationship Id="rId38" Type="http://schemas.openxmlformats.org/officeDocument/2006/relationships/hyperlink" Target="https://www.zotero.org/google-docs/?AV6the" TargetMode="External"/><Relationship Id="rId46" Type="http://schemas.openxmlformats.org/officeDocument/2006/relationships/hyperlink" Target="https://www.zotero.org/google-docs/?AV6the" TargetMode="External"/><Relationship Id="rId20" Type="http://schemas.openxmlformats.org/officeDocument/2006/relationships/hyperlink" Target="https://www.zotero.org/google-docs/?AV6the" TargetMode="External"/><Relationship Id="rId41" Type="http://schemas.openxmlformats.org/officeDocument/2006/relationships/hyperlink" Target="https://www.zotero.org/google-docs/?AV6th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zotero.org/google-docs/?AV6the" TargetMode="External"/><Relationship Id="rId23" Type="http://schemas.openxmlformats.org/officeDocument/2006/relationships/hyperlink" Target="https://www.zotero.org/google-docs/?AV6the" TargetMode="External"/><Relationship Id="rId28" Type="http://schemas.openxmlformats.org/officeDocument/2006/relationships/hyperlink" Target="https://www.zotero.org/google-docs/?AV6the" TargetMode="External"/><Relationship Id="rId36" Type="http://schemas.openxmlformats.org/officeDocument/2006/relationships/hyperlink" Target="https://www.zotero.org/google-docs/?AV6the" TargetMode="External"/><Relationship Id="rId49" Type="http://schemas.openxmlformats.org/officeDocument/2006/relationships/hyperlink" Target="https://www.zotero.org/google-docs/?AV6t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2805</Words>
  <Characters>15992</Characters>
  <Application>Microsoft Office Word</Application>
  <DocSecurity>0</DocSecurity>
  <Lines>133</Lines>
  <Paragraphs>37</Paragraphs>
  <ScaleCrop>false</ScaleCrop>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2023-05-22T21:37:00Z</dcterms:created>
  <dcterms:modified xsi:type="dcterms:W3CDTF">2023-05-22T21:40:00Z</dcterms:modified>
</cp:coreProperties>
</file>