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41FFB" w14:textId="778DC796" w:rsidR="00907794" w:rsidRDefault="00907794">
      <w:r>
        <w:t xml:space="preserve">Student Name: Maria Nawaz </w:t>
      </w:r>
    </w:p>
    <w:p w14:paraId="23980EF1" w14:textId="0509F1E8" w:rsidR="00907794" w:rsidRDefault="00907794">
      <w:r>
        <w:t xml:space="preserve">Student number: 2521133 </w:t>
      </w:r>
    </w:p>
    <w:p w14:paraId="3B974FB0" w14:textId="13412F3F" w:rsidR="00907794" w:rsidRDefault="00907794">
      <w:r>
        <w:t>Module code: LCHS4003</w:t>
      </w:r>
    </w:p>
    <w:p w14:paraId="094AC8E0" w14:textId="065F3A57" w:rsidR="00907794" w:rsidRDefault="00907794">
      <w:r>
        <w:t xml:space="preserve">Module Title: </w:t>
      </w:r>
      <w:r w:rsidRPr="00907794">
        <w:t>Introduction to Health and Social Care</w:t>
      </w:r>
    </w:p>
    <w:p w14:paraId="5BF9B42F" w14:textId="729894AC" w:rsidR="00907794" w:rsidRDefault="00907794">
      <w:r>
        <w:t xml:space="preserve">Lecturer name: </w:t>
      </w:r>
      <w:r w:rsidRPr="00907794">
        <w:t>Dr Helen Parsons</w:t>
      </w:r>
    </w:p>
    <w:p w14:paraId="44E7F14D" w14:textId="73029F65" w:rsidR="00907794" w:rsidRDefault="00907794">
      <w:r>
        <w:t xml:space="preserve">Assignment Title: Written assignment </w:t>
      </w:r>
    </w:p>
    <w:p w14:paraId="18F44075" w14:textId="6DD4EC67" w:rsidR="002B2506" w:rsidRDefault="002B2506"/>
    <w:p w14:paraId="615B2CF1" w14:textId="77777777" w:rsidR="009A2EEA" w:rsidRDefault="009A2EEA"/>
    <w:p w14:paraId="55676C13" w14:textId="77777777" w:rsidR="009A2EEA" w:rsidRDefault="009A2EEA"/>
    <w:p w14:paraId="4488D18C" w14:textId="77777777" w:rsidR="009A2EEA" w:rsidRDefault="009A2EEA"/>
    <w:p w14:paraId="3CFEBD90" w14:textId="77777777" w:rsidR="009A2EEA" w:rsidRDefault="009A2EEA"/>
    <w:p w14:paraId="08DEE297" w14:textId="77777777" w:rsidR="009A2EEA" w:rsidRDefault="009A2EEA"/>
    <w:p w14:paraId="558018B9" w14:textId="77777777" w:rsidR="009A2EEA" w:rsidRDefault="009A2EEA"/>
    <w:p w14:paraId="1E32EBA2" w14:textId="77777777" w:rsidR="009A2EEA" w:rsidRDefault="009A2EEA"/>
    <w:p w14:paraId="16D8C04B" w14:textId="77777777" w:rsidR="009A2EEA" w:rsidRDefault="009A2EEA"/>
    <w:p w14:paraId="39AB1560" w14:textId="77777777" w:rsidR="009A2EEA" w:rsidRDefault="009A2EEA"/>
    <w:p w14:paraId="3ED81204" w14:textId="77777777" w:rsidR="009A2EEA" w:rsidRDefault="009A2EEA"/>
    <w:p w14:paraId="3913F6E2" w14:textId="77777777" w:rsidR="009A2EEA" w:rsidRDefault="009A2EEA"/>
    <w:p w14:paraId="025B5EB2" w14:textId="77777777" w:rsidR="009A2EEA" w:rsidRDefault="009A2EEA"/>
    <w:p w14:paraId="3ED19B20" w14:textId="77777777" w:rsidR="009A2EEA" w:rsidRDefault="009A2EEA"/>
    <w:p w14:paraId="4703E382" w14:textId="77777777" w:rsidR="009A2EEA" w:rsidRDefault="009A2EEA"/>
    <w:p w14:paraId="42D39A09" w14:textId="77777777" w:rsidR="009A2EEA" w:rsidRDefault="009A2EEA"/>
    <w:p w14:paraId="1F1D91D1" w14:textId="77777777" w:rsidR="009A2EEA" w:rsidRDefault="009A2EEA"/>
    <w:p w14:paraId="7466A7B9" w14:textId="77777777" w:rsidR="009A2EEA" w:rsidRDefault="009A2EEA"/>
    <w:p w14:paraId="4C6154F5" w14:textId="77777777" w:rsidR="009A2EEA" w:rsidRDefault="009A2EEA"/>
    <w:p w14:paraId="5972F7D1" w14:textId="77777777" w:rsidR="009A2EEA" w:rsidRDefault="009A2EEA"/>
    <w:p w14:paraId="6FE00039" w14:textId="77777777" w:rsidR="009A2EEA" w:rsidRDefault="009A2EEA"/>
    <w:p w14:paraId="6EC07244" w14:textId="769E7A76" w:rsidR="009A2EEA" w:rsidRDefault="009A2EEA"/>
    <w:p w14:paraId="625E4BFD" w14:textId="33231832" w:rsidR="009A2EEA" w:rsidRPr="009A2EEA" w:rsidRDefault="009A2EEA" w:rsidP="009A2EEA">
      <w:pPr>
        <w:rPr>
          <w:rFonts w:ascii="Arial" w:hAnsi="Arial" w:cs="Arial"/>
          <w:b/>
          <w:bCs/>
          <w:sz w:val="22"/>
          <w:szCs w:val="22"/>
        </w:rPr>
      </w:pPr>
      <w:r w:rsidRPr="009A2EEA">
        <w:rPr>
          <w:rFonts w:ascii="Arial" w:hAnsi="Arial" w:cs="Arial"/>
          <w:b/>
          <w:bCs/>
          <w:sz w:val="22"/>
          <w:szCs w:val="22"/>
        </w:rPr>
        <w:t xml:space="preserve">Introduction </w:t>
      </w:r>
    </w:p>
    <w:p w14:paraId="56961555" w14:textId="04A36E43" w:rsidR="009A2EEA" w:rsidRPr="009A2EEA" w:rsidRDefault="153A8DBC" w:rsidP="009A2EEA">
      <w:pPr>
        <w:rPr>
          <w:rFonts w:ascii="Arial" w:hAnsi="Arial" w:cs="Arial"/>
          <w:sz w:val="22"/>
          <w:szCs w:val="22"/>
        </w:rPr>
      </w:pPr>
      <w:r w:rsidRPr="0121CDEC">
        <w:rPr>
          <w:rFonts w:ascii="Arial" w:hAnsi="Arial" w:cs="Arial"/>
          <w:sz w:val="22"/>
          <w:szCs w:val="22"/>
        </w:rPr>
        <w:t>This report evaluates the health and social care provision for Mrs Thompson, an 84</w:t>
      </w:r>
      <w:r w:rsidR="009A2EEA">
        <w:noBreakHyphen/>
      </w:r>
      <w:r w:rsidRPr="0121CDEC">
        <w:rPr>
          <w:rFonts w:ascii="Arial" w:hAnsi="Arial" w:cs="Arial"/>
          <w:sz w:val="22"/>
          <w:szCs w:val="22"/>
        </w:rPr>
        <w:t>year</w:t>
      </w:r>
      <w:r w:rsidR="009A2EEA">
        <w:noBreakHyphen/>
      </w:r>
      <w:r w:rsidRPr="0121CDEC">
        <w:rPr>
          <w:rFonts w:ascii="Arial" w:hAnsi="Arial" w:cs="Arial"/>
          <w:sz w:val="22"/>
          <w:szCs w:val="22"/>
        </w:rPr>
        <w:t xml:space="preserve">old woman recently discharged from hospital following pneumonia. She lives alone in sheltered housing, receives </w:t>
      </w:r>
      <w:r w:rsidR="11F8037A" w:rsidRPr="0121CDEC">
        <w:rPr>
          <w:rFonts w:ascii="Arial" w:hAnsi="Arial" w:cs="Arial"/>
          <w:sz w:val="22"/>
          <w:szCs w:val="22"/>
        </w:rPr>
        <w:t>twice daily</w:t>
      </w:r>
      <w:r w:rsidRPr="0121CDEC">
        <w:rPr>
          <w:rFonts w:ascii="Arial" w:hAnsi="Arial" w:cs="Arial"/>
          <w:sz w:val="22"/>
          <w:szCs w:val="22"/>
        </w:rPr>
        <w:t xml:space="preserve"> domiciliary care, and has mild dementia. Two recent incidents—missing her medication for two consecutive days, resulting in increased confusion, and being found outside in cold weather without appropriate clothing—have raised safeguarding concerns and triggered a local council review. This assignment critically examines three core domains of professional practice required to stabilise and improve Mrs Thompson’s care. First, it explores the importance of effective communication, drawing on communication theory and legal duties under the Equality Act 2010. Second, it evaluates administrative skills, accurate record</w:t>
      </w:r>
      <w:r w:rsidR="009A2EEA">
        <w:noBreakHyphen/>
      </w:r>
      <w:r w:rsidRPr="0121CDEC">
        <w:rPr>
          <w:rFonts w:ascii="Arial" w:hAnsi="Arial" w:cs="Arial"/>
          <w:sz w:val="22"/>
          <w:szCs w:val="22"/>
        </w:rPr>
        <w:t>keeping, and compliance with the Data Protection Act 2018. Finally, it discusses collaborative, multi</w:t>
      </w:r>
      <w:r w:rsidR="009A2EEA">
        <w:noBreakHyphen/>
      </w:r>
      <w:r w:rsidRPr="0121CDEC">
        <w:rPr>
          <w:rFonts w:ascii="Arial" w:hAnsi="Arial" w:cs="Arial"/>
          <w:sz w:val="22"/>
          <w:szCs w:val="22"/>
        </w:rPr>
        <w:t>agency working between the GP, community nursing teams and domiciliary care workers to ensure safeguarding, continuity of care and holistic, person</w:t>
      </w:r>
      <w:r w:rsidR="009A2EEA">
        <w:noBreakHyphen/>
      </w:r>
      <w:r w:rsidRPr="0121CDEC">
        <w:rPr>
          <w:rFonts w:ascii="Arial" w:hAnsi="Arial" w:cs="Arial"/>
          <w:sz w:val="22"/>
          <w:szCs w:val="22"/>
        </w:rPr>
        <w:t>centred support.</w:t>
      </w:r>
    </w:p>
    <w:p w14:paraId="56BD3159" w14:textId="6C790F0F" w:rsidR="009A2EEA" w:rsidRPr="009A2EEA" w:rsidRDefault="009A2EEA" w:rsidP="009A2EEA">
      <w:pPr>
        <w:rPr>
          <w:rFonts w:ascii="Arial" w:hAnsi="Arial" w:cs="Arial"/>
          <w:b/>
          <w:bCs/>
          <w:sz w:val="22"/>
          <w:szCs w:val="22"/>
        </w:rPr>
      </w:pPr>
      <w:r w:rsidRPr="009A2EEA">
        <w:rPr>
          <w:rFonts w:ascii="Arial" w:hAnsi="Arial" w:cs="Arial"/>
          <w:b/>
          <w:bCs/>
          <w:sz w:val="22"/>
          <w:szCs w:val="22"/>
        </w:rPr>
        <w:t>1. Effective Communication in Mrs Thompson’s Care</w:t>
      </w:r>
    </w:p>
    <w:p w14:paraId="331B0A82" w14:textId="48C3BA17" w:rsidR="009A2EEA" w:rsidRPr="009A2EEA" w:rsidRDefault="153A8DBC" w:rsidP="009A2EEA">
      <w:pPr>
        <w:rPr>
          <w:rFonts w:ascii="Arial" w:hAnsi="Arial" w:cs="Arial"/>
          <w:sz w:val="22"/>
          <w:szCs w:val="22"/>
        </w:rPr>
      </w:pPr>
      <w:r w:rsidRPr="0121CDEC">
        <w:rPr>
          <w:rFonts w:ascii="Arial" w:hAnsi="Arial" w:cs="Arial"/>
          <w:sz w:val="22"/>
          <w:szCs w:val="22"/>
        </w:rPr>
        <w:t xml:space="preserve">Effective communication is central to </w:t>
      </w:r>
      <w:r w:rsidR="0338D6B2" w:rsidRPr="0121CDEC">
        <w:rPr>
          <w:rFonts w:ascii="Arial" w:hAnsi="Arial" w:cs="Arial"/>
          <w:sz w:val="22"/>
          <w:szCs w:val="22"/>
        </w:rPr>
        <w:t>person-centred</w:t>
      </w:r>
      <w:r w:rsidRPr="0121CDEC">
        <w:rPr>
          <w:rFonts w:ascii="Arial" w:hAnsi="Arial" w:cs="Arial"/>
          <w:sz w:val="22"/>
          <w:szCs w:val="22"/>
        </w:rPr>
        <w:t xml:space="preserve"> care and directly influences safety, emotional well</w:t>
      </w:r>
      <w:r w:rsidR="009A2EEA">
        <w:noBreakHyphen/>
      </w:r>
      <w:r w:rsidRPr="0121CDEC">
        <w:rPr>
          <w:rFonts w:ascii="Arial" w:hAnsi="Arial" w:cs="Arial"/>
          <w:sz w:val="22"/>
          <w:szCs w:val="22"/>
        </w:rPr>
        <w:t>being and health outcomes (Care Quality Commission, 2022). For Mrs Thompson, communication must be adapted to her mild dementia, fluctuating memory, and recent illness. Clear, simple language, repetition, visual prompts and supportive non</w:t>
      </w:r>
      <w:r w:rsidR="009A2EEA">
        <w:noBreakHyphen/>
      </w:r>
      <w:r w:rsidRPr="0121CDEC">
        <w:rPr>
          <w:rFonts w:ascii="Arial" w:hAnsi="Arial" w:cs="Arial"/>
          <w:sz w:val="22"/>
          <w:szCs w:val="22"/>
        </w:rPr>
        <w:t>verbal cues help reduce confusion and promote understanding. Involving her family is equally important, as they can provide insight into her routines, early signs of deterioration and preferred ways of receiving information. Family involvement also strengthens continuity of care, ensuring that professionals and relatives share consistent messages about medication routines and safety expectations.</w:t>
      </w:r>
    </w:p>
    <w:p w14:paraId="2F6EFBA3" w14:textId="77777777" w:rsidR="009A2EEA" w:rsidRPr="009A2EEA" w:rsidRDefault="009A2EEA" w:rsidP="009A2EEA">
      <w:pPr>
        <w:rPr>
          <w:rFonts w:ascii="Arial" w:hAnsi="Arial" w:cs="Arial"/>
          <w:b/>
          <w:bCs/>
          <w:sz w:val="22"/>
          <w:szCs w:val="22"/>
        </w:rPr>
      </w:pPr>
      <w:r w:rsidRPr="009A2EEA">
        <w:rPr>
          <w:rFonts w:ascii="Arial" w:hAnsi="Arial" w:cs="Arial"/>
          <w:b/>
          <w:bCs/>
          <w:sz w:val="22"/>
          <w:szCs w:val="22"/>
        </w:rPr>
        <w:t>Equality Act 2010: Rights and Reasonable Adjustments</w:t>
      </w:r>
    </w:p>
    <w:p w14:paraId="4FB870F5" w14:textId="1DA58E16" w:rsidR="009A2EEA" w:rsidRPr="009A2EEA" w:rsidRDefault="153A8DBC" w:rsidP="009A2EEA">
      <w:pPr>
        <w:rPr>
          <w:rFonts w:ascii="Arial" w:hAnsi="Arial" w:cs="Arial"/>
          <w:sz w:val="22"/>
          <w:szCs w:val="22"/>
        </w:rPr>
      </w:pPr>
      <w:r w:rsidRPr="0121CDEC">
        <w:rPr>
          <w:rFonts w:ascii="Arial" w:hAnsi="Arial" w:cs="Arial"/>
          <w:sz w:val="22"/>
          <w:szCs w:val="22"/>
        </w:rPr>
        <w:t xml:space="preserve">Under the Equality Act 2010, age and disability are protected characteristics. As an older adult with cognitive impairment, Mrs Thompson is legally entitled to protection from discrimination and to reasonable adjustments that support her ability to understand and participate in her care. Reasonable adjustments include simplifying information, allowing extra time for conversations, using pictorial medication charts, and ensuring information is accessible and </w:t>
      </w:r>
      <w:r w:rsidR="16052643" w:rsidRPr="0121CDEC">
        <w:rPr>
          <w:rFonts w:ascii="Arial" w:hAnsi="Arial" w:cs="Arial"/>
          <w:sz w:val="22"/>
          <w:szCs w:val="22"/>
        </w:rPr>
        <w:t>nonpatronizing</w:t>
      </w:r>
      <w:r w:rsidRPr="0121CDEC">
        <w:rPr>
          <w:rFonts w:ascii="Arial" w:hAnsi="Arial" w:cs="Arial"/>
          <w:sz w:val="22"/>
          <w:szCs w:val="22"/>
        </w:rPr>
        <w:t>. NICE (2018) emphasises avoiding “elder</w:t>
      </w:r>
      <w:r w:rsidR="009A2EEA">
        <w:noBreakHyphen/>
      </w:r>
      <w:r w:rsidRPr="0121CDEC">
        <w:rPr>
          <w:rFonts w:ascii="Arial" w:hAnsi="Arial" w:cs="Arial"/>
          <w:sz w:val="22"/>
          <w:szCs w:val="22"/>
        </w:rPr>
        <w:t>speak” and reducing environmental distractions, both of which are essential for Mrs Thompson. These adjustments also uphold her dignity and autonomy, ensuring she remains involved in decision</w:t>
      </w:r>
      <w:r w:rsidR="009A2EEA">
        <w:noBreakHyphen/>
      </w:r>
      <w:r w:rsidRPr="0121CDEC">
        <w:rPr>
          <w:rFonts w:ascii="Arial" w:hAnsi="Arial" w:cs="Arial"/>
          <w:sz w:val="22"/>
          <w:szCs w:val="22"/>
        </w:rPr>
        <w:t>making even when her memory fluctuates.</w:t>
      </w:r>
    </w:p>
    <w:p w14:paraId="71D2518D" w14:textId="77777777" w:rsidR="009A2EEA" w:rsidRPr="009A2EEA" w:rsidRDefault="009A2EEA" w:rsidP="009A2EEA">
      <w:pPr>
        <w:rPr>
          <w:rFonts w:ascii="Arial" w:hAnsi="Arial" w:cs="Arial"/>
          <w:b/>
          <w:bCs/>
          <w:sz w:val="22"/>
          <w:szCs w:val="22"/>
        </w:rPr>
      </w:pPr>
      <w:r w:rsidRPr="009A2EEA">
        <w:rPr>
          <w:rFonts w:ascii="Arial" w:hAnsi="Arial" w:cs="Arial"/>
          <w:b/>
          <w:bCs/>
          <w:sz w:val="22"/>
          <w:szCs w:val="22"/>
        </w:rPr>
        <w:t>Communication Model: Argyle’s Communication Cycle</w:t>
      </w:r>
    </w:p>
    <w:p w14:paraId="2C8F734D" w14:textId="0364C8CA" w:rsidR="009A2EEA" w:rsidRPr="009A2EEA" w:rsidRDefault="153A8DBC" w:rsidP="009A2EEA">
      <w:pPr>
        <w:rPr>
          <w:rFonts w:ascii="Arial" w:hAnsi="Arial" w:cs="Arial"/>
          <w:sz w:val="22"/>
          <w:szCs w:val="22"/>
        </w:rPr>
      </w:pPr>
      <w:r w:rsidRPr="0121CDEC">
        <w:rPr>
          <w:rFonts w:ascii="Arial" w:hAnsi="Arial" w:cs="Arial"/>
          <w:sz w:val="22"/>
          <w:szCs w:val="22"/>
        </w:rPr>
        <w:t xml:space="preserve">Argyle’s Communication Cycle (1972) provides a useful framework for analysing communication breakdowns in Mrs Thompson’s care. The model describes communication as a continuous </w:t>
      </w:r>
      <w:r w:rsidR="412A397B" w:rsidRPr="0121CDEC">
        <w:rPr>
          <w:rFonts w:ascii="Arial" w:hAnsi="Arial" w:cs="Arial"/>
          <w:sz w:val="22"/>
          <w:szCs w:val="22"/>
        </w:rPr>
        <w:t>six stage</w:t>
      </w:r>
      <w:r w:rsidRPr="0121CDEC">
        <w:rPr>
          <w:rFonts w:ascii="Arial" w:hAnsi="Arial" w:cs="Arial"/>
          <w:sz w:val="22"/>
          <w:szCs w:val="22"/>
        </w:rPr>
        <w:t xml:space="preserve"> process: Idea Occurs → Message Coded → Message Sent → Message Received → Message Decoded → Feedback. In practice, a care worker may intend to explain medication timing (idea), translate this into verbal instructions (coding), and deliver the message (sending). Mrs Thompson receives the message but may decode it incorrectly due to dementia or fatigue, leading to misunderstanding. If the care worker does not check comprehension through feedback, the cycle breaks down, contributing to missed medication and increased confusion. Applying Argyle’s model requires practitioners to actively complete the feedback loop. Observing non</w:t>
      </w:r>
      <w:r w:rsidR="009A2EEA">
        <w:noBreakHyphen/>
      </w:r>
      <w:r w:rsidRPr="0121CDEC">
        <w:rPr>
          <w:rFonts w:ascii="Arial" w:hAnsi="Arial" w:cs="Arial"/>
          <w:sz w:val="22"/>
          <w:szCs w:val="22"/>
        </w:rPr>
        <w:t xml:space="preserve">verbal cues such as hesitation, confusion or distress </w:t>
      </w:r>
      <w:r w:rsidR="4322D195" w:rsidRPr="0121CDEC">
        <w:rPr>
          <w:rFonts w:ascii="Arial" w:hAnsi="Arial" w:cs="Arial"/>
          <w:sz w:val="22"/>
          <w:szCs w:val="22"/>
        </w:rPr>
        <w:t>help</w:t>
      </w:r>
      <w:r w:rsidRPr="0121CDEC">
        <w:rPr>
          <w:rFonts w:ascii="Arial" w:hAnsi="Arial" w:cs="Arial"/>
          <w:sz w:val="22"/>
          <w:szCs w:val="22"/>
        </w:rPr>
        <w:t xml:space="preserve"> identify misunderstanding. Asking Mrs Thompson to repeat instructions or demonstrate where her morning tablets are supports clarity. When communicating with her family, the model promotes transparent, two</w:t>
      </w:r>
      <w:r w:rsidR="009A2EEA">
        <w:noBreakHyphen/>
      </w:r>
      <w:r w:rsidRPr="0121CDEC">
        <w:rPr>
          <w:rFonts w:ascii="Arial" w:hAnsi="Arial" w:cs="Arial"/>
          <w:sz w:val="22"/>
          <w:szCs w:val="22"/>
        </w:rPr>
        <w:t>way dialogue, ensuring they remain informed and involved in care planning. Overall, effective communication—grounded in legal rights and communication theory—is essential to prevent further incidents and maintain Mrs Thompson’s dignity, autonomy and safety.</w:t>
      </w:r>
    </w:p>
    <w:p w14:paraId="16472C2A" w14:textId="052D0E30" w:rsidR="009A2EEA" w:rsidRPr="009A2EEA" w:rsidRDefault="153A8DBC" w:rsidP="009A2EEA">
      <w:pPr>
        <w:rPr>
          <w:rFonts w:ascii="Arial" w:hAnsi="Arial" w:cs="Arial"/>
          <w:b/>
          <w:bCs/>
          <w:sz w:val="22"/>
          <w:szCs w:val="22"/>
        </w:rPr>
      </w:pPr>
      <w:r w:rsidRPr="0121CDEC">
        <w:rPr>
          <w:rFonts w:ascii="Arial" w:hAnsi="Arial" w:cs="Arial"/>
          <w:b/>
          <w:bCs/>
          <w:sz w:val="22"/>
          <w:szCs w:val="22"/>
        </w:rPr>
        <w:t xml:space="preserve">2. Administrative Skills, </w:t>
      </w:r>
      <w:r w:rsidR="2CA3BB89" w:rsidRPr="0121CDEC">
        <w:rPr>
          <w:rFonts w:ascii="Arial" w:hAnsi="Arial" w:cs="Arial"/>
          <w:b/>
          <w:bCs/>
          <w:sz w:val="22"/>
          <w:szCs w:val="22"/>
        </w:rPr>
        <w:t>Recordkeeping</w:t>
      </w:r>
      <w:r w:rsidRPr="0121CDEC">
        <w:rPr>
          <w:rFonts w:ascii="Arial" w:hAnsi="Arial" w:cs="Arial"/>
          <w:b/>
          <w:bCs/>
          <w:sz w:val="22"/>
          <w:szCs w:val="22"/>
        </w:rPr>
        <w:t xml:space="preserve"> and Data Protection </w:t>
      </w:r>
    </w:p>
    <w:p w14:paraId="4375FCE8" w14:textId="4CFEE108" w:rsidR="009A2EEA" w:rsidRPr="009A2EEA" w:rsidRDefault="153A8DBC" w:rsidP="009A2EEA">
      <w:pPr>
        <w:rPr>
          <w:rFonts w:ascii="Arial" w:hAnsi="Arial" w:cs="Arial"/>
          <w:sz w:val="22"/>
          <w:szCs w:val="22"/>
        </w:rPr>
      </w:pPr>
      <w:r w:rsidRPr="0121CDEC">
        <w:rPr>
          <w:rFonts w:ascii="Arial" w:hAnsi="Arial" w:cs="Arial"/>
          <w:sz w:val="22"/>
          <w:szCs w:val="22"/>
        </w:rPr>
        <w:t xml:space="preserve">Administrative competence and accurate </w:t>
      </w:r>
      <w:r w:rsidR="25264032" w:rsidRPr="0121CDEC">
        <w:rPr>
          <w:rFonts w:ascii="Arial" w:hAnsi="Arial" w:cs="Arial"/>
          <w:sz w:val="22"/>
          <w:szCs w:val="22"/>
        </w:rPr>
        <w:t>recordkeeping</w:t>
      </w:r>
      <w:r w:rsidRPr="0121CDEC">
        <w:rPr>
          <w:rFonts w:ascii="Arial" w:hAnsi="Arial" w:cs="Arial"/>
          <w:sz w:val="22"/>
          <w:szCs w:val="22"/>
        </w:rPr>
        <w:t xml:space="preserve"> are essential components of clinical governance, ensuring continuity of care, risk management and legal accountability (NMC, 2018). In Mrs Thompson’s case, missed medication and unsafe wandering highlight how documentation directly affects safety and decision</w:t>
      </w:r>
      <w:r w:rsidR="009A2EEA">
        <w:noBreakHyphen/>
      </w:r>
      <w:r w:rsidRPr="0121CDEC">
        <w:rPr>
          <w:rFonts w:ascii="Arial" w:hAnsi="Arial" w:cs="Arial"/>
          <w:sz w:val="22"/>
          <w:szCs w:val="22"/>
        </w:rPr>
        <w:t>making. High</w:t>
      </w:r>
      <w:r w:rsidR="009A2EEA">
        <w:noBreakHyphen/>
      </w:r>
      <w:r w:rsidRPr="0121CDEC">
        <w:rPr>
          <w:rFonts w:ascii="Arial" w:hAnsi="Arial" w:cs="Arial"/>
          <w:sz w:val="22"/>
          <w:szCs w:val="22"/>
        </w:rPr>
        <w:t>quality administrative practice ensures that concerns are escalated promptly and that professionals have access to reliable information when assessing risk.</w:t>
      </w:r>
    </w:p>
    <w:p w14:paraId="20742C38" w14:textId="2F68AC55" w:rsidR="009A2EEA" w:rsidRPr="009A2EEA" w:rsidRDefault="153A8DBC" w:rsidP="009A2EEA">
      <w:pPr>
        <w:rPr>
          <w:rFonts w:ascii="Arial" w:hAnsi="Arial" w:cs="Arial"/>
          <w:b/>
          <w:bCs/>
          <w:sz w:val="22"/>
          <w:szCs w:val="22"/>
        </w:rPr>
      </w:pPr>
      <w:r w:rsidRPr="0121CDEC">
        <w:rPr>
          <w:rFonts w:ascii="Arial" w:hAnsi="Arial" w:cs="Arial"/>
          <w:b/>
          <w:bCs/>
          <w:sz w:val="22"/>
          <w:szCs w:val="22"/>
        </w:rPr>
        <w:t>Principles of High</w:t>
      </w:r>
      <w:r w:rsidR="009A2EEA">
        <w:noBreakHyphen/>
      </w:r>
      <w:r w:rsidRPr="0121CDEC">
        <w:rPr>
          <w:rFonts w:ascii="Arial" w:hAnsi="Arial" w:cs="Arial"/>
          <w:b/>
          <w:bCs/>
          <w:sz w:val="22"/>
          <w:szCs w:val="22"/>
        </w:rPr>
        <w:t xml:space="preserve">Quality </w:t>
      </w:r>
      <w:r w:rsidR="3AE8E35B" w:rsidRPr="0121CDEC">
        <w:rPr>
          <w:rFonts w:ascii="Arial" w:hAnsi="Arial" w:cs="Arial"/>
          <w:b/>
          <w:bCs/>
          <w:sz w:val="22"/>
          <w:szCs w:val="22"/>
        </w:rPr>
        <w:t>Recordkeeping</w:t>
      </w:r>
    </w:p>
    <w:p w14:paraId="23D13551" w14:textId="57536D36" w:rsidR="009A2EEA" w:rsidRPr="009A2EEA" w:rsidRDefault="153A8DBC" w:rsidP="009A2EEA">
      <w:pPr>
        <w:rPr>
          <w:rFonts w:ascii="Arial" w:hAnsi="Arial" w:cs="Arial"/>
          <w:sz w:val="22"/>
          <w:szCs w:val="22"/>
        </w:rPr>
      </w:pPr>
      <w:r w:rsidRPr="0121CDEC">
        <w:rPr>
          <w:rFonts w:ascii="Arial" w:hAnsi="Arial" w:cs="Arial"/>
          <w:sz w:val="22"/>
          <w:szCs w:val="22"/>
        </w:rPr>
        <w:t xml:space="preserve">The Health and Care Professions Council (HCPC, 2016) states that records must be accurate, objective, contemporaneous and clear. When Mrs Thompson missed two days of medication, domiciliary staff correctly submitted an incident report and requested a medication review. This created an audit trail that alerted the GP, community nurse and social services to emerging risks. Accurate documentation prevents isolated incidents from being overlooked and supports early intervention. Good </w:t>
      </w:r>
      <w:r w:rsidR="12B5BCBF" w:rsidRPr="0121CDEC">
        <w:rPr>
          <w:rFonts w:ascii="Arial" w:hAnsi="Arial" w:cs="Arial"/>
          <w:sz w:val="22"/>
          <w:szCs w:val="22"/>
        </w:rPr>
        <w:t>recordkeeping</w:t>
      </w:r>
      <w:r w:rsidRPr="0121CDEC">
        <w:rPr>
          <w:rFonts w:ascii="Arial" w:hAnsi="Arial" w:cs="Arial"/>
          <w:sz w:val="22"/>
          <w:szCs w:val="22"/>
        </w:rPr>
        <w:t xml:space="preserve"> also ensures accountability. If concerns escalate into a safeguarding enquiry, clear documentation provides evidence of actions taken, communication between agencies and patterns of risk. This is essential for demonstrating compliance with professional standards and legal duties.</w:t>
      </w:r>
    </w:p>
    <w:p w14:paraId="2BF71727" w14:textId="77777777" w:rsidR="009A2EEA" w:rsidRPr="009A2EEA" w:rsidRDefault="009A2EEA" w:rsidP="009A2EEA">
      <w:pPr>
        <w:rPr>
          <w:rFonts w:ascii="Arial" w:hAnsi="Arial" w:cs="Arial"/>
          <w:b/>
          <w:bCs/>
          <w:sz w:val="22"/>
          <w:szCs w:val="22"/>
        </w:rPr>
      </w:pPr>
      <w:r w:rsidRPr="009A2EEA">
        <w:rPr>
          <w:rFonts w:ascii="Arial" w:hAnsi="Arial" w:cs="Arial"/>
          <w:b/>
          <w:bCs/>
          <w:sz w:val="22"/>
          <w:szCs w:val="22"/>
        </w:rPr>
        <w:t>Data Protection Act 2018 and UK GDPR</w:t>
      </w:r>
    </w:p>
    <w:p w14:paraId="41400BE2" w14:textId="77777777" w:rsidR="009A2EEA" w:rsidRPr="009A2EEA" w:rsidRDefault="009A2EEA" w:rsidP="009A2EEA">
      <w:pPr>
        <w:rPr>
          <w:rFonts w:ascii="Arial" w:hAnsi="Arial" w:cs="Arial"/>
          <w:sz w:val="22"/>
          <w:szCs w:val="22"/>
        </w:rPr>
      </w:pPr>
      <w:r w:rsidRPr="009A2EEA">
        <w:rPr>
          <w:rFonts w:ascii="Arial" w:hAnsi="Arial" w:cs="Arial"/>
          <w:sz w:val="22"/>
          <w:szCs w:val="22"/>
        </w:rPr>
        <w:t>Mrs Thompson’s personal and medical information is classified as “special category data,” requiring enhanced protection (ICO, 2021). Key principles include:</w:t>
      </w:r>
    </w:p>
    <w:p w14:paraId="5114B956" w14:textId="77777777" w:rsidR="009A2EEA" w:rsidRPr="009A2EEA" w:rsidRDefault="009A2EEA" w:rsidP="009A2EEA">
      <w:pPr>
        <w:numPr>
          <w:ilvl w:val="0"/>
          <w:numId w:val="2"/>
        </w:numPr>
        <w:rPr>
          <w:rFonts w:ascii="Arial" w:hAnsi="Arial" w:cs="Arial"/>
          <w:sz w:val="22"/>
          <w:szCs w:val="22"/>
        </w:rPr>
      </w:pPr>
      <w:r w:rsidRPr="009A2EEA">
        <w:rPr>
          <w:rFonts w:ascii="Arial" w:hAnsi="Arial" w:cs="Arial"/>
          <w:b/>
          <w:bCs/>
          <w:sz w:val="22"/>
          <w:szCs w:val="22"/>
        </w:rPr>
        <w:t>Lawfulness, fairness and transparency:</w:t>
      </w:r>
      <w:r w:rsidRPr="009A2EEA">
        <w:rPr>
          <w:rFonts w:ascii="Arial" w:hAnsi="Arial" w:cs="Arial"/>
          <w:sz w:val="22"/>
          <w:szCs w:val="22"/>
        </w:rPr>
        <w:t xml:space="preserve"> Mrs Thompson and her family must be informed about how her data is stored and shared.</w:t>
      </w:r>
    </w:p>
    <w:p w14:paraId="23170916" w14:textId="77777777" w:rsidR="009A2EEA" w:rsidRPr="009A2EEA" w:rsidRDefault="009A2EEA" w:rsidP="009A2EEA">
      <w:pPr>
        <w:numPr>
          <w:ilvl w:val="0"/>
          <w:numId w:val="2"/>
        </w:numPr>
        <w:rPr>
          <w:rFonts w:ascii="Arial" w:hAnsi="Arial" w:cs="Arial"/>
          <w:sz w:val="22"/>
          <w:szCs w:val="22"/>
        </w:rPr>
      </w:pPr>
      <w:r w:rsidRPr="009A2EEA">
        <w:rPr>
          <w:rFonts w:ascii="Arial" w:hAnsi="Arial" w:cs="Arial"/>
          <w:b/>
          <w:bCs/>
          <w:sz w:val="22"/>
          <w:szCs w:val="22"/>
        </w:rPr>
        <w:t>Purpose limitation and data minimisation:</w:t>
      </w:r>
      <w:r w:rsidRPr="009A2EEA">
        <w:rPr>
          <w:rFonts w:ascii="Arial" w:hAnsi="Arial" w:cs="Arial"/>
          <w:sz w:val="22"/>
          <w:szCs w:val="22"/>
        </w:rPr>
        <w:t xml:space="preserve"> Only essential information should be collected and used for direct care purposes.</w:t>
      </w:r>
    </w:p>
    <w:p w14:paraId="45C45999" w14:textId="77777777" w:rsidR="009A2EEA" w:rsidRPr="009A2EEA" w:rsidRDefault="009A2EEA" w:rsidP="009A2EEA">
      <w:pPr>
        <w:numPr>
          <w:ilvl w:val="0"/>
          <w:numId w:val="2"/>
        </w:numPr>
        <w:rPr>
          <w:rFonts w:ascii="Arial" w:hAnsi="Arial" w:cs="Arial"/>
          <w:sz w:val="22"/>
          <w:szCs w:val="22"/>
        </w:rPr>
      </w:pPr>
      <w:r w:rsidRPr="009A2EEA">
        <w:rPr>
          <w:rFonts w:ascii="Arial" w:hAnsi="Arial" w:cs="Arial"/>
          <w:b/>
          <w:bCs/>
          <w:sz w:val="22"/>
          <w:szCs w:val="22"/>
        </w:rPr>
        <w:t>Accuracy:</w:t>
      </w:r>
      <w:r w:rsidRPr="009A2EEA">
        <w:rPr>
          <w:rFonts w:ascii="Arial" w:hAnsi="Arial" w:cs="Arial"/>
          <w:sz w:val="22"/>
          <w:szCs w:val="22"/>
        </w:rPr>
        <w:t xml:space="preserve"> Records of confusion, medication compliance and wandering must be updated promptly.</w:t>
      </w:r>
    </w:p>
    <w:p w14:paraId="18AE1CCC" w14:textId="29DC06D0" w:rsidR="009A2EEA" w:rsidRPr="009A2EEA" w:rsidRDefault="153A8DBC" w:rsidP="009A2EEA">
      <w:pPr>
        <w:numPr>
          <w:ilvl w:val="0"/>
          <w:numId w:val="2"/>
        </w:numPr>
        <w:rPr>
          <w:rFonts w:ascii="Arial" w:hAnsi="Arial" w:cs="Arial"/>
          <w:sz w:val="22"/>
          <w:szCs w:val="22"/>
        </w:rPr>
      </w:pPr>
      <w:r w:rsidRPr="0121CDEC">
        <w:rPr>
          <w:rFonts w:ascii="Arial" w:hAnsi="Arial" w:cs="Arial"/>
          <w:b/>
          <w:bCs/>
          <w:sz w:val="22"/>
          <w:szCs w:val="22"/>
        </w:rPr>
        <w:t>Integrity and confidentiality:</w:t>
      </w:r>
      <w:r w:rsidRPr="0121CDEC">
        <w:rPr>
          <w:rFonts w:ascii="Arial" w:hAnsi="Arial" w:cs="Arial"/>
          <w:sz w:val="22"/>
          <w:szCs w:val="22"/>
        </w:rPr>
        <w:t xml:space="preserve"> Physical logbooks must be locked, and digital systems must be </w:t>
      </w:r>
      <w:r w:rsidR="49C4FBD4" w:rsidRPr="0121CDEC">
        <w:rPr>
          <w:rFonts w:ascii="Arial" w:hAnsi="Arial" w:cs="Arial"/>
          <w:sz w:val="22"/>
          <w:szCs w:val="22"/>
        </w:rPr>
        <w:t>password protected</w:t>
      </w:r>
      <w:r w:rsidRPr="0121CDEC">
        <w:rPr>
          <w:rFonts w:ascii="Arial" w:hAnsi="Arial" w:cs="Arial"/>
          <w:sz w:val="22"/>
          <w:szCs w:val="22"/>
        </w:rPr>
        <w:t xml:space="preserve"> and encrypted.</w:t>
      </w:r>
    </w:p>
    <w:p w14:paraId="6A938C42" w14:textId="77777777" w:rsidR="009A2EEA" w:rsidRPr="009A2EEA" w:rsidRDefault="009A2EEA" w:rsidP="009A2EEA">
      <w:pPr>
        <w:rPr>
          <w:rFonts w:ascii="Arial" w:hAnsi="Arial" w:cs="Arial"/>
          <w:b/>
          <w:bCs/>
          <w:sz w:val="22"/>
          <w:szCs w:val="22"/>
        </w:rPr>
      </w:pPr>
      <w:r w:rsidRPr="009A2EEA">
        <w:rPr>
          <w:rFonts w:ascii="Arial" w:hAnsi="Arial" w:cs="Arial"/>
          <w:b/>
          <w:bCs/>
          <w:sz w:val="22"/>
          <w:szCs w:val="22"/>
        </w:rPr>
        <w:t>Legislative and Policy Frameworks</w:t>
      </w:r>
    </w:p>
    <w:p w14:paraId="3978AB20" w14:textId="16459093" w:rsidR="009A2EEA" w:rsidRPr="009A2EEA" w:rsidRDefault="153A8DBC" w:rsidP="009A2EEA">
      <w:pPr>
        <w:rPr>
          <w:rFonts w:ascii="Arial" w:hAnsi="Arial" w:cs="Arial"/>
          <w:sz w:val="22"/>
          <w:szCs w:val="22"/>
        </w:rPr>
      </w:pPr>
      <w:r w:rsidRPr="0121CDEC">
        <w:rPr>
          <w:rFonts w:ascii="Arial" w:hAnsi="Arial" w:cs="Arial"/>
          <w:sz w:val="22"/>
          <w:szCs w:val="22"/>
        </w:rPr>
        <w:t xml:space="preserve">The Caldicott Principles (National Data Guardian, 2020) emphasise that the duty to share information can be as important as the duty to protect confidentiality. In safeguarding cases such as Mrs Thompson’s, sharing information with the local council, GP and social services is justified under public interest exemptions. The Care Act 2014 requires local authorities to promote </w:t>
      </w:r>
      <w:r w:rsidR="4D4B578C" w:rsidRPr="0121CDEC">
        <w:rPr>
          <w:rFonts w:ascii="Arial" w:hAnsi="Arial" w:cs="Arial"/>
          <w:sz w:val="22"/>
          <w:szCs w:val="22"/>
        </w:rPr>
        <w:t>wellbeing</w:t>
      </w:r>
      <w:r w:rsidRPr="0121CDEC">
        <w:rPr>
          <w:rFonts w:ascii="Arial" w:hAnsi="Arial" w:cs="Arial"/>
          <w:sz w:val="22"/>
          <w:szCs w:val="22"/>
        </w:rPr>
        <w:t xml:space="preserve"> and conduct multi</w:t>
      </w:r>
      <w:r w:rsidR="009A2EEA">
        <w:noBreakHyphen/>
      </w:r>
      <w:r w:rsidRPr="0121CDEC">
        <w:rPr>
          <w:rFonts w:ascii="Arial" w:hAnsi="Arial" w:cs="Arial"/>
          <w:sz w:val="22"/>
          <w:szCs w:val="22"/>
        </w:rPr>
        <w:t>agency safeguarding reviews when vulnerable adults experience self</w:t>
      </w:r>
      <w:r w:rsidR="009A2EEA">
        <w:noBreakHyphen/>
      </w:r>
      <w:r w:rsidRPr="0121CDEC">
        <w:rPr>
          <w:rFonts w:ascii="Arial" w:hAnsi="Arial" w:cs="Arial"/>
          <w:sz w:val="22"/>
          <w:szCs w:val="22"/>
        </w:rPr>
        <w:t>neglect or acute risk. Accurate documentation provides the evidence base for these statutory responsibilities. Effective administrative practice therefore ensures legal compliance, supports safeguarding, and enables coordinated care across agencies.</w:t>
      </w:r>
    </w:p>
    <w:p w14:paraId="6549BAB9" w14:textId="5ED5A2EF" w:rsidR="009A2EEA" w:rsidRPr="009A2EEA" w:rsidRDefault="153A8DBC" w:rsidP="009A2EEA">
      <w:pPr>
        <w:rPr>
          <w:rFonts w:ascii="Arial" w:hAnsi="Arial" w:cs="Arial"/>
          <w:b/>
          <w:bCs/>
          <w:sz w:val="22"/>
          <w:szCs w:val="22"/>
        </w:rPr>
      </w:pPr>
      <w:r w:rsidRPr="0121CDEC">
        <w:rPr>
          <w:rFonts w:ascii="Arial" w:hAnsi="Arial" w:cs="Arial"/>
          <w:b/>
          <w:bCs/>
          <w:sz w:val="22"/>
          <w:szCs w:val="22"/>
        </w:rPr>
        <w:t xml:space="preserve">3. Collaborative and </w:t>
      </w:r>
      <w:r w:rsidR="71CE701E" w:rsidRPr="0121CDEC">
        <w:rPr>
          <w:rFonts w:ascii="Arial" w:hAnsi="Arial" w:cs="Arial"/>
          <w:b/>
          <w:bCs/>
          <w:sz w:val="22"/>
          <w:szCs w:val="22"/>
        </w:rPr>
        <w:t>Multiagency</w:t>
      </w:r>
      <w:r w:rsidRPr="0121CDEC">
        <w:rPr>
          <w:rFonts w:ascii="Arial" w:hAnsi="Arial" w:cs="Arial"/>
          <w:b/>
          <w:bCs/>
          <w:sz w:val="22"/>
          <w:szCs w:val="22"/>
        </w:rPr>
        <w:t xml:space="preserve"> Working </w:t>
      </w:r>
    </w:p>
    <w:p w14:paraId="588D2BB7" w14:textId="3022B89E" w:rsidR="009A2EEA" w:rsidRPr="009A2EEA" w:rsidRDefault="153A8DBC" w:rsidP="009A2EEA">
      <w:pPr>
        <w:rPr>
          <w:rFonts w:ascii="Arial" w:hAnsi="Arial" w:cs="Arial"/>
          <w:sz w:val="22"/>
          <w:szCs w:val="22"/>
        </w:rPr>
      </w:pPr>
      <w:r w:rsidRPr="0121CDEC">
        <w:rPr>
          <w:rFonts w:ascii="Arial" w:hAnsi="Arial" w:cs="Arial"/>
          <w:sz w:val="22"/>
          <w:szCs w:val="22"/>
        </w:rPr>
        <w:t xml:space="preserve">Complex cases involving dementia, frailty and safeguarding require coordinated </w:t>
      </w:r>
      <w:r w:rsidR="5ED9C078" w:rsidRPr="0121CDEC">
        <w:rPr>
          <w:rFonts w:ascii="Arial" w:hAnsi="Arial" w:cs="Arial"/>
          <w:sz w:val="22"/>
          <w:szCs w:val="22"/>
        </w:rPr>
        <w:t>multiagency</w:t>
      </w:r>
      <w:r w:rsidRPr="0121CDEC">
        <w:rPr>
          <w:rFonts w:ascii="Arial" w:hAnsi="Arial" w:cs="Arial"/>
          <w:sz w:val="22"/>
          <w:szCs w:val="22"/>
        </w:rPr>
        <w:t xml:space="preserve"> working (DHSC, 2020). Mrs Thompson’s care network includes her GP, community nurse, domiciliary care workers, sheltered housing staff and local authority social services. Each professional contributes different expertise, making collaboration essential for holistic support.</w:t>
      </w:r>
    </w:p>
    <w:p w14:paraId="3AD2E386" w14:textId="77777777" w:rsidR="009A2EEA" w:rsidRPr="007F0617" w:rsidRDefault="009A2EEA" w:rsidP="007F0617">
      <w:pPr>
        <w:rPr>
          <w:rFonts w:ascii="Arial" w:hAnsi="Arial" w:cs="Arial"/>
          <w:b/>
          <w:bCs/>
          <w:sz w:val="22"/>
          <w:szCs w:val="22"/>
        </w:rPr>
      </w:pPr>
      <w:r w:rsidRPr="007F0617">
        <w:rPr>
          <w:rFonts w:ascii="Arial" w:hAnsi="Arial" w:cs="Arial"/>
          <w:b/>
          <w:bCs/>
          <w:sz w:val="22"/>
          <w:szCs w:val="22"/>
        </w:rPr>
        <w:t>Approaches to Effective Collaboration</w:t>
      </w:r>
    </w:p>
    <w:p w14:paraId="476F4F91" w14:textId="77777777" w:rsidR="009A2EEA" w:rsidRPr="009A2EEA" w:rsidRDefault="009A2EEA" w:rsidP="007F0617">
      <w:pPr>
        <w:pStyle w:val="NoSpacing"/>
        <w:numPr>
          <w:ilvl w:val="0"/>
          <w:numId w:val="4"/>
        </w:numPr>
      </w:pPr>
      <w:r w:rsidRPr="009A2EEA">
        <w:rPr>
          <w:b/>
          <w:bCs/>
        </w:rPr>
        <w:t>Multidisciplinary Team (MDT) meetings:</w:t>
      </w:r>
      <w:r w:rsidRPr="009A2EEA">
        <w:t xml:space="preserve"> Regular case discussions allow professionals to share updates, reassess medication options, monitor pneumonia recovery and review daily functional changes.</w:t>
      </w:r>
    </w:p>
    <w:p w14:paraId="144C36E2" w14:textId="63ED8D9A" w:rsidR="009A2EEA" w:rsidRPr="009A2EEA" w:rsidRDefault="153A8DBC" w:rsidP="007F0617">
      <w:pPr>
        <w:pStyle w:val="NoSpacing"/>
        <w:numPr>
          <w:ilvl w:val="0"/>
          <w:numId w:val="4"/>
        </w:numPr>
      </w:pPr>
      <w:r w:rsidRPr="0121CDEC">
        <w:rPr>
          <w:b/>
          <w:bCs/>
        </w:rPr>
        <w:t>Shared digital care records:</w:t>
      </w:r>
      <w:r>
        <w:t xml:space="preserve"> Integrated systems ensure </w:t>
      </w:r>
      <w:r w:rsidR="7254C4F4">
        <w:t>real-time</w:t>
      </w:r>
      <w:r>
        <w:t xml:space="preserve"> visibility of medication compliance and incident reports.</w:t>
      </w:r>
    </w:p>
    <w:p w14:paraId="4AE24156" w14:textId="77777777" w:rsidR="009A2EEA" w:rsidRPr="009A2EEA" w:rsidRDefault="009A2EEA" w:rsidP="007F0617">
      <w:pPr>
        <w:pStyle w:val="NoSpacing"/>
        <w:numPr>
          <w:ilvl w:val="0"/>
          <w:numId w:val="4"/>
        </w:numPr>
      </w:pPr>
      <w:r w:rsidRPr="009A2EEA">
        <w:rPr>
          <w:b/>
          <w:bCs/>
        </w:rPr>
        <w:t>Key worker or care coordinator:</w:t>
      </w:r>
      <w:r w:rsidRPr="009A2EEA">
        <w:t xml:space="preserve"> Assigning a named professional provides a single point of contact for the family and ensures consistent communication. These approaches help ensure that concerns such as missed medication or wandering are addressed promptly and consistently across agencies.</w:t>
      </w:r>
    </w:p>
    <w:p w14:paraId="64F153C9" w14:textId="2DEA5E06" w:rsidR="009A2EEA" w:rsidRPr="009A2EEA" w:rsidRDefault="153A8DBC" w:rsidP="009A2EEA">
      <w:pPr>
        <w:rPr>
          <w:rFonts w:ascii="Arial" w:hAnsi="Arial" w:cs="Arial"/>
          <w:b/>
          <w:bCs/>
          <w:sz w:val="22"/>
          <w:szCs w:val="22"/>
        </w:rPr>
      </w:pPr>
      <w:r w:rsidRPr="0121CDEC">
        <w:rPr>
          <w:rFonts w:ascii="Arial" w:hAnsi="Arial" w:cs="Arial"/>
          <w:b/>
          <w:bCs/>
          <w:sz w:val="22"/>
          <w:szCs w:val="22"/>
        </w:rPr>
        <w:t xml:space="preserve">Overcoming </w:t>
      </w:r>
      <w:r w:rsidR="34CB1AC6" w:rsidRPr="0121CDEC">
        <w:rPr>
          <w:rFonts w:ascii="Arial" w:hAnsi="Arial" w:cs="Arial"/>
          <w:b/>
          <w:bCs/>
          <w:sz w:val="22"/>
          <w:szCs w:val="22"/>
        </w:rPr>
        <w:t>Multiagency</w:t>
      </w:r>
      <w:r w:rsidRPr="0121CDEC">
        <w:rPr>
          <w:rFonts w:ascii="Arial" w:hAnsi="Arial" w:cs="Arial"/>
          <w:b/>
          <w:bCs/>
          <w:sz w:val="22"/>
          <w:szCs w:val="22"/>
        </w:rPr>
        <w:t xml:space="preserve"> Challenges</w:t>
      </w:r>
    </w:p>
    <w:p w14:paraId="1928342B" w14:textId="70941648" w:rsidR="009A2EEA" w:rsidRPr="009A2EEA" w:rsidRDefault="4137F29A" w:rsidP="009A2EEA">
      <w:pPr>
        <w:rPr>
          <w:rFonts w:ascii="Arial" w:hAnsi="Arial" w:cs="Arial"/>
          <w:sz w:val="22"/>
          <w:szCs w:val="22"/>
        </w:rPr>
      </w:pPr>
      <w:r w:rsidRPr="0121CDEC">
        <w:rPr>
          <w:rFonts w:ascii="Arial" w:hAnsi="Arial" w:cs="Arial"/>
          <w:sz w:val="22"/>
          <w:szCs w:val="22"/>
        </w:rPr>
        <w:t>Multiagency</w:t>
      </w:r>
      <w:r w:rsidR="153A8DBC" w:rsidRPr="0121CDEC">
        <w:rPr>
          <w:rFonts w:ascii="Arial" w:hAnsi="Arial" w:cs="Arial"/>
          <w:sz w:val="22"/>
          <w:szCs w:val="22"/>
        </w:rPr>
        <w:t xml:space="preserve"> working often faces barriers such as conflicting organisational cultures, unclear roles, communication gaps and uncertainty around information</w:t>
      </w:r>
      <w:r w:rsidR="009A2EEA">
        <w:noBreakHyphen/>
      </w:r>
      <w:r w:rsidR="153A8DBC" w:rsidRPr="0121CDEC">
        <w:rPr>
          <w:rFonts w:ascii="Arial" w:hAnsi="Arial" w:cs="Arial"/>
          <w:sz w:val="22"/>
          <w:szCs w:val="22"/>
        </w:rPr>
        <w:t>sharing (Dixon et al., 2022). Strategies to address these include:</w:t>
      </w:r>
    </w:p>
    <w:p w14:paraId="3666098C" w14:textId="4D5965DE" w:rsidR="009A2EEA" w:rsidRPr="009A2EEA" w:rsidRDefault="153A8DBC" w:rsidP="007F0617">
      <w:pPr>
        <w:pStyle w:val="NoSpacing"/>
      </w:pPr>
      <w:r w:rsidRPr="0121CDEC">
        <w:rPr>
          <w:b/>
          <w:bCs/>
        </w:rPr>
        <w:t xml:space="preserve">Clear </w:t>
      </w:r>
      <w:r w:rsidR="61AAAB33" w:rsidRPr="0121CDEC">
        <w:rPr>
          <w:b/>
          <w:bCs/>
        </w:rPr>
        <w:t>interagency</w:t>
      </w:r>
      <w:r w:rsidRPr="0121CDEC">
        <w:rPr>
          <w:b/>
          <w:bCs/>
        </w:rPr>
        <w:t xml:space="preserve"> protocols:</w:t>
      </w:r>
      <w:r>
        <w:t xml:space="preserve"> Defined escalation procedures help care workers report missed medication or safety risks promptly.</w:t>
      </w:r>
    </w:p>
    <w:p w14:paraId="038914FB" w14:textId="77777777" w:rsidR="009A2EEA" w:rsidRPr="009A2EEA" w:rsidRDefault="009A2EEA" w:rsidP="007F0617">
      <w:pPr>
        <w:pStyle w:val="NoSpacing"/>
      </w:pPr>
      <w:r w:rsidRPr="009A2EEA">
        <w:rPr>
          <w:b/>
          <w:bCs/>
        </w:rPr>
        <w:t>Joint training:</w:t>
      </w:r>
      <w:r w:rsidRPr="009A2EEA">
        <w:t xml:space="preserve"> Shared training on the Mental Capacity Act 2005 and safeguarding standards promotes consistent understanding of risk.</w:t>
      </w:r>
    </w:p>
    <w:p w14:paraId="3CF6A1D9" w14:textId="04B2BB09" w:rsidR="009A2EEA" w:rsidRPr="009A2EEA" w:rsidRDefault="153A8DBC" w:rsidP="007F0617">
      <w:pPr>
        <w:pStyle w:val="NoSpacing"/>
      </w:pPr>
      <w:r w:rsidRPr="0121CDEC">
        <w:rPr>
          <w:b/>
          <w:bCs/>
        </w:rPr>
        <w:t xml:space="preserve">Proactive </w:t>
      </w:r>
      <w:r w:rsidR="655C2E1F" w:rsidRPr="0121CDEC">
        <w:rPr>
          <w:b/>
          <w:bCs/>
        </w:rPr>
        <w:t>information sharing</w:t>
      </w:r>
      <w:r w:rsidRPr="0121CDEC">
        <w:rPr>
          <w:b/>
          <w:bCs/>
        </w:rPr>
        <w:t>:</w:t>
      </w:r>
      <w:r>
        <w:t xml:space="preserve"> Following Caldicott Principle 7 ensures concerns are communicated early, preventing crises such as further wandering incidents.</w:t>
      </w:r>
    </w:p>
    <w:p w14:paraId="5CABD24E" w14:textId="77777777" w:rsidR="009A2EEA" w:rsidRPr="009A2EEA" w:rsidRDefault="009A2EEA" w:rsidP="009A2EEA">
      <w:pPr>
        <w:rPr>
          <w:rFonts w:ascii="Arial" w:hAnsi="Arial" w:cs="Arial"/>
          <w:sz w:val="22"/>
          <w:szCs w:val="22"/>
        </w:rPr>
      </w:pPr>
      <w:r w:rsidRPr="009A2EEA">
        <w:rPr>
          <w:rFonts w:ascii="Arial" w:hAnsi="Arial" w:cs="Arial"/>
          <w:sz w:val="22"/>
          <w:szCs w:val="22"/>
        </w:rPr>
        <w:t>Effective collaboration is essential to safeguard Mrs Thompson, prevent further incidents and promote her independence.</w:t>
      </w:r>
    </w:p>
    <w:p w14:paraId="46AFD752" w14:textId="4F4D9B62" w:rsidR="009A2EEA" w:rsidRPr="009A2EEA" w:rsidRDefault="009A2EEA" w:rsidP="009A2EEA">
      <w:pPr>
        <w:rPr>
          <w:rFonts w:ascii="Arial" w:hAnsi="Arial" w:cs="Arial"/>
          <w:b/>
          <w:bCs/>
          <w:sz w:val="22"/>
          <w:szCs w:val="22"/>
        </w:rPr>
      </w:pPr>
      <w:r w:rsidRPr="009A2EEA">
        <w:rPr>
          <w:rFonts w:ascii="Arial" w:hAnsi="Arial" w:cs="Arial"/>
          <w:b/>
          <w:bCs/>
          <w:sz w:val="22"/>
          <w:szCs w:val="22"/>
        </w:rPr>
        <w:t xml:space="preserve">Conclusion </w:t>
      </w:r>
    </w:p>
    <w:p w14:paraId="62E44E96" w14:textId="07EAAB2B" w:rsidR="009A2EEA" w:rsidRDefault="153A8DBC" w:rsidP="009A2EEA">
      <w:pPr>
        <w:rPr>
          <w:rFonts w:ascii="Arial" w:hAnsi="Arial" w:cs="Arial"/>
          <w:sz w:val="22"/>
          <w:szCs w:val="22"/>
        </w:rPr>
      </w:pPr>
      <w:r w:rsidRPr="0121CDEC">
        <w:rPr>
          <w:rFonts w:ascii="Arial" w:hAnsi="Arial" w:cs="Arial"/>
          <w:sz w:val="22"/>
          <w:szCs w:val="22"/>
        </w:rPr>
        <w:t>Mrs Thompson’s case highlights the interdependence of communication, administration and collaborative practice in adult social care. Effective communication—supported by Argyle’s Communication Cycle and the Equality Act 2010—ensures her cognitive needs, dignity and autonomy are respected. Robust administrative skills and compliance with the Data Protection Act 2018 safeguard her personal information while maintaining accurate records essential for risk management. Collaborative multi</w:t>
      </w:r>
      <w:r w:rsidR="009A2EEA">
        <w:noBreakHyphen/>
      </w:r>
      <w:r w:rsidRPr="0121CDEC">
        <w:rPr>
          <w:rFonts w:ascii="Arial" w:hAnsi="Arial" w:cs="Arial"/>
          <w:sz w:val="22"/>
          <w:szCs w:val="22"/>
        </w:rPr>
        <w:t>agency working between her GP, community nurses, domiciliary care workers and social services is vital to address safeguarding concerns and provide coordinated, person</w:t>
      </w:r>
      <w:r w:rsidR="009A2EEA">
        <w:noBreakHyphen/>
      </w:r>
      <w:r w:rsidRPr="0121CDEC">
        <w:rPr>
          <w:rFonts w:ascii="Arial" w:hAnsi="Arial" w:cs="Arial"/>
          <w:sz w:val="22"/>
          <w:szCs w:val="22"/>
        </w:rPr>
        <w:t xml:space="preserve">centred care. By integrating these professional practices, health and social care services can deliver safe, lawful and holistic support that promotes Mrs Thompson’s </w:t>
      </w:r>
      <w:r w:rsidR="06D4B8D7" w:rsidRPr="0121CDEC">
        <w:rPr>
          <w:rFonts w:ascii="Arial" w:hAnsi="Arial" w:cs="Arial"/>
          <w:sz w:val="22"/>
          <w:szCs w:val="22"/>
        </w:rPr>
        <w:t>well-being</w:t>
      </w:r>
      <w:r w:rsidRPr="0121CDEC">
        <w:rPr>
          <w:rFonts w:ascii="Arial" w:hAnsi="Arial" w:cs="Arial"/>
          <w:sz w:val="22"/>
          <w:szCs w:val="22"/>
        </w:rPr>
        <w:t xml:space="preserve"> and independence within her home environment.</w:t>
      </w:r>
    </w:p>
    <w:p w14:paraId="45FE4154" w14:textId="77777777" w:rsidR="007F0617" w:rsidRDefault="007F0617" w:rsidP="009A2EEA">
      <w:pPr>
        <w:rPr>
          <w:rFonts w:ascii="Arial" w:hAnsi="Arial" w:cs="Arial"/>
          <w:sz w:val="22"/>
          <w:szCs w:val="22"/>
        </w:rPr>
      </w:pPr>
    </w:p>
    <w:p w14:paraId="6625903E" w14:textId="77777777" w:rsidR="007F0617" w:rsidRDefault="007F0617" w:rsidP="009A2EEA">
      <w:pPr>
        <w:rPr>
          <w:rFonts w:ascii="Arial" w:hAnsi="Arial" w:cs="Arial"/>
          <w:sz w:val="22"/>
          <w:szCs w:val="22"/>
        </w:rPr>
      </w:pPr>
    </w:p>
    <w:p w14:paraId="1D26049C" w14:textId="77777777" w:rsidR="007F0617" w:rsidRDefault="007F0617" w:rsidP="009A2EEA">
      <w:pPr>
        <w:rPr>
          <w:rFonts w:ascii="Arial" w:hAnsi="Arial" w:cs="Arial"/>
          <w:sz w:val="22"/>
          <w:szCs w:val="22"/>
        </w:rPr>
      </w:pPr>
    </w:p>
    <w:p w14:paraId="45FDBCEB" w14:textId="77777777" w:rsidR="007F0617" w:rsidRDefault="007F0617" w:rsidP="009A2EEA">
      <w:pPr>
        <w:rPr>
          <w:rFonts w:ascii="Arial" w:hAnsi="Arial" w:cs="Arial"/>
          <w:sz w:val="22"/>
          <w:szCs w:val="22"/>
        </w:rPr>
      </w:pPr>
    </w:p>
    <w:p w14:paraId="2BE75D57" w14:textId="77777777" w:rsidR="007F0617" w:rsidRDefault="007F0617" w:rsidP="009A2EEA">
      <w:pPr>
        <w:rPr>
          <w:rFonts w:ascii="Arial" w:hAnsi="Arial" w:cs="Arial"/>
          <w:sz w:val="22"/>
          <w:szCs w:val="22"/>
        </w:rPr>
      </w:pPr>
    </w:p>
    <w:p w14:paraId="7426FE80" w14:textId="77777777" w:rsidR="007F0617" w:rsidRDefault="007F0617" w:rsidP="009A2EEA">
      <w:pPr>
        <w:rPr>
          <w:rFonts w:ascii="Arial" w:hAnsi="Arial" w:cs="Arial"/>
          <w:sz w:val="22"/>
          <w:szCs w:val="22"/>
        </w:rPr>
      </w:pPr>
    </w:p>
    <w:p w14:paraId="39713EEA" w14:textId="77777777" w:rsidR="007F0617" w:rsidRDefault="007F0617" w:rsidP="009A2EEA">
      <w:pPr>
        <w:rPr>
          <w:rFonts w:ascii="Arial" w:hAnsi="Arial" w:cs="Arial"/>
          <w:sz w:val="22"/>
          <w:szCs w:val="22"/>
        </w:rPr>
      </w:pPr>
    </w:p>
    <w:p w14:paraId="10965446" w14:textId="77777777" w:rsidR="007F0617" w:rsidRDefault="007F0617" w:rsidP="009A2EEA">
      <w:pPr>
        <w:rPr>
          <w:rFonts w:ascii="Arial" w:hAnsi="Arial" w:cs="Arial"/>
          <w:sz w:val="22"/>
          <w:szCs w:val="22"/>
        </w:rPr>
      </w:pPr>
    </w:p>
    <w:p w14:paraId="10DF246F" w14:textId="77777777" w:rsidR="007F0617" w:rsidRDefault="007F0617" w:rsidP="009A2EEA">
      <w:pPr>
        <w:rPr>
          <w:rFonts w:ascii="Arial" w:hAnsi="Arial" w:cs="Arial"/>
          <w:sz w:val="22"/>
          <w:szCs w:val="22"/>
        </w:rPr>
      </w:pPr>
    </w:p>
    <w:p w14:paraId="26728394" w14:textId="77777777" w:rsidR="007F0617" w:rsidRDefault="007F0617" w:rsidP="009A2EEA">
      <w:pPr>
        <w:rPr>
          <w:rFonts w:ascii="Arial" w:hAnsi="Arial" w:cs="Arial"/>
          <w:sz w:val="22"/>
          <w:szCs w:val="22"/>
        </w:rPr>
      </w:pPr>
    </w:p>
    <w:p w14:paraId="214DF492" w14:textId="77777777" w:rsidR="007F0617" w:rsidRDefault="007F0617" w:rsidP="009A2EEA">
      <w:pPr>
        <w:rPr>
          <w:rFonts w:ascii="Arial" w:hAnsi="Arial" w:cs="Arial"/>
          <w:sz w:val="22"/>
          <w:szCs w:val="22"/>
        </w:rPr>
      </w:pPr>
    </w:p>
    <w:p w14:paraId="58CA2892" w14:textId="77777777" w:rsidR="007F0617" w:rsidRDefault="007F0617" w:rsidP="009A2EEA">
      <w:pPr>
        <w:rPr>
          <w:rFonts w:ascii="Arial" w:hAnsi="Arial" w:cs="Arial"/>
          <w:sz w:val="22"/>
          <w:szCs w:val="22"/>
        </w:rPr>
      </w:pPr>
    </w:p>
    <w:p w14:paraId="6F5B645F" w14:textId="77777777" w:rsidR="007F0617" w:rsidRDefault="007F0617" w:rsidP="009A2EEA">
      <w:pPr>
        <w:rPr>
          <w:rFonts w:ascii="Arial" w:hAnsi="Arial" w:cs="Arial"/>
          <w:sz w:val="22"/>
          <w:szCs w:val="22"/>
        </w:rPr>
      </w:pPr>
    </w:p>
    <w:p w14:paraId="7DFB82BB" w14:textId="77777777" w:rsidR="007F0617" w:rsidRDefault="007F0617" w:rsidP="009A2EEA">
      <w:pPr>
        <w:rPr>
          <w:rFonts w:ascii="Arial" w:hAnsi="Arial" w:cs="Arial"/>
          <w:sz w:val="22"/>
          <w:szCs w:val="22"/>
        </w:rPr>
      </w:pPr>
    </w:p>
    <w:p w14:paraId="26113EBE" w14:textId="77777777" w:rsidR="007F0617" w:rsidRDefault="007F0617" w:rsidP="009A2EEA">
      <w:pPr>
        <w:rPr>
          <w:rFonts w:ascii="Arial" w:hAnsi="Arial" w:cs="Arial"/>
          <w:sz w:val="22"/>
          <w:szCs w:val="22"/>
        </w:rPr>
      </w:pPr>
    </w:p>
    <w:p w14:paraId="7B2B0DC6" w14:textId="77777777" w:rsidR="007F0617" w:rsidRDefault="007F0617" w:rsidP="009A2EEA">
      <w:pPr>
        <w:rPr>
          <w:rFonts w:ascii="Arial" w:hAnsi="Arial" w:cs="Arial"/>
          <w:sz w:val="22"/>
          <w:szCs w:val="22"/>
        </w:rPr>
      </w:pPr>
    </w:p>
    <w:p w14:paraId="7E7DE6BC" w14:textId="77777777" w:rsidR="007F0617" w:rsidRDefault="007F0617" w:rsidP="009A2EEA">
      <w:pPr>
        <w:rPr>
          <w:rFonts w:ascii="Arial" w:hAnsi="Arial" w:cs="Arial"/>
          <w:sz w:val="22"/>
          <w:szCs w:val="22"/>
        </w:rPr>
      </w:pPr>
    </w:p>
    <w:p w14:paraId="7255FCE7" w14:textId="77777777" w:rsidR="007F0617" w:rsidRDefault="007F0617" w:rsidP="009A2EEA">
      <w:pPr>
        <w:rPr>
          <w:rFonts w:ascii="Arial" w:hAnsi="Arial" w:cs="Arial"/>
          <w:sz w:val="22"/>
          <w:szCs w:val="22"/>
        </w:rPr>
      </w:pPr>
    </w:p>
    <w:p w14:paraId="50D3DF6B" w14:textId="77777777" w:rsidR="007F0617" w:rsidRDefault="007F0617" w:rsidP="009A2EEA">
      <w:pPr>
        <w:rPr>
          <w:rFonts w:ascii="Arial" w:hAnsi="Arial" w:cs="Arial"/>
          <w:sz w:val="22"/>
          <w:szCs w:val="22"/>
        </w:rPr>
      </w:pPr>
    </w:p>
    <w:p w14:paraId="04B8C00E" w14:textId="77777777" w:rsidR="007F0617" w:rsidRDefault="007F0617" w:rsidP="009A2EEA">
      <w:pPr>
        <w:rPr>
          <w:rFonts w:ascii="Arial" w:hAnsi="Arial" w:cs="Arial"/>
          <w:sz w:val="22"/>
          <w:szCs w:val="22"/>
        </w:rPr>
      </w:pPr>
    </w:p>
    <w:p w14:paraId="7D7977E5" w14:textId="77777777" w:rsidR="007F0617" w:rsidRDefault="007F0617" w:rsidP="009A2EEA">
      <w:pPr>
        <w:rPr>
          <w:rFonts w:ascii="Arial" w:hAnsi="Arial" w:cs="Arial"/>
          <w:sz w:val="22"/>
          <w:szCs w:val="22"/>
        </w:rPr>
      </w:pPr>
    </w:p>
    <w:p w14:paraId="794CEA4D" w14:textId="77777777" w:rsidR="007F0617" w:rsidRDefault="007F0617" w:rsidP="009A2EEA">
      <w:pPr>
        <w:rPr>
          <w:rFonts w:ascii="Arial" w:hAnsi="Arial" w:cs="Arial"/>
          <w:sz w:val="22"/>
          <w:szCs w:val="22"/>
        </w:rPr>
      </w:pPr>
    </w:p>
    <w:p w14:paraId="31A2A310" w14:textId="77777777" w:rsidR="007F0617" w:rsidRDefault="007F0617" w:rsidP="009A2EEA">
      <w:pPr>
        <w:rPr>
          <w:rFonts w:ascii="Arial" w:hAnsi="Arial" w:cs="Arial"/>
          <w:sz w:val="22"/>
          <w:szCs w:val="22"/>
        </w:rPr>
      </w:pPr>
    </w:p>
    <w:p w14:paraId="576C805F" w14:textId="77777777" w:rsidR="007F0617" w:rsidRDefault="007F0617" w:rsidP="009A2EEA">
      <w:pPr>
        <w:rPr>
          <w:rFonts w:ascii="Arial" w:hAnsi="Arial" w:cs="Arial"/>
          <w:sz w:val="22"/>
          <w:szCs w:val="22"/>
        </w:rPr>
      </w:pPr>
    </w:p>
    <w:p w14:paraId="375332F7" w14:textId="77777777" w:rsidR="007F0617" w:rsidRDefault="007F0617" w:rsidP="009A2EEA">
      <w:pPr>
        <w:rPr>
          <w:rFonts w:ascii="Arial" w:hAnsi="Arial" w:cs="Arial"/>
          <w:sz w:val="22"/>
          <w:szCs w:val="22"/>
        </w:rPr>
      </w:pPr>
    </w:p>
    <w:p w14:paraId="0A3C60E4" w14:textId="77777777" w:rsidR="007F0617" w:rsidRDefault="007F0617" w:rsidP="009A2EEA">
      <w:pPr>
        <w:rPr>
          <w:rFonts w:ascii="Arial" w:hAnsi="Arial" w:cs="Arial"/>
          <w:sz w:val="22"/>
          <w:szCs w:val="22"/>
        </w:rPr>
      </w:pPr>
    </w:p>
    <w:p w14:paraId="2D8B3A4D" w14:textId="77777777" w:rsidR="007F0617" w:rsidRDefault="007F0617" w:rsidP="009A2EEA">
      <w:pPr>
        <w:rPr>
          <w:rFonts w:ascii="Arial" w:hAnsi="Arial" w:cs="Arial"/>
          <w:sz w:val="22"/>
          <w:szCs w:val="22"/>
        </w:rPr>
      </w:pPr>
    </w:p>
    <w:p w14:paraId="42421F4C" w14:textId="77777777" w:rsidR="007F0617" w:rsidRDefault="007F0617" w:rsidP="009A2EEA">
      <w:pPr>
        <w:rPr>
          <w:rFonts w:ascii="Arial" w:hAnsi="Arial" w:cs="Arial"/>
          <w:sz w:val="22"/>
          <w:szCs w:val="22"/>
        </w:rPr>
      </w:pPr>
    </w:p>
    <w:p w14:paraId="472BCDB7" w14:textId="77777777" w:rsidR="007F0617" w:rsidRPr="009A2EEA" w:rsidRDefault="007F0617" w:rsidP="009A2EEA">
      <w:pPr>
        <w:rPr>
          <w:rFonts w:ascii="Arial" w:hAnsi="Arial" w:cs="Arial"/>
          <w:sz w:val="22"/>
          <w:szCs w:val="22"/>
        </w:rPr>
      </w:pPr>
    </w:p>
    <w:p w14:paraId="1CFBB0FF" w14:textId="4202C3CC" w:rsidR="009A2EEA" w:rsidRDefault="009A2EEA" w:rsidP="009A2EEA">
      <w:pPr>
        <w:rPr>
          <w:rFonts w:ascii="Arial" w:hAnsi="Arial" w:cs="Arial"/>
          <w:b/>
          <w:bCs/>
          <w:sz w:val="22"/>
          <w:szCs w:val="22"/>
        </w:rPr>
      </w:pPr>
      <w:r w:rsidRPr="009A2EEA">
        <w:rPr>
          <w:rFonts w:ascii="Arial" w:hAnsi="Arial" w:cs="Arial"/>
          <w:b/>
          <w:bCs/>
          <w:sz w:val="22"/>
          <w:szCs w:val="22"/>
        </w:rPr>
        <w:t xml:space="preserve"> Reference List</w:t>
      </w:r>
    </w:p>
    <w:p w14:paraId="4078B1EC" w14:textId="77777777" w:rsidR="007F0617" w:rsidRDefault="009A2EEA" w:rsidP="009A2EEA">
      <w:pPr>
        <w:rPr>
          <w:rFonts w:ascii="Arial" w:hAnsi="Arial" w:cs="Arial"/>
          <w:sz w:val="22"/>
          <w:szCs w:val="22"/>
        </w:rPr>
      </w:pPr>
      <w:r w:rsidRPr="009A2EEA">
        <w:rPr>
          <w:rFonts w:ascii="Arial" w:hAnsi="Arial" w:cs="Arial"/>
          <w:sz w:val="22"/>
          <w:szCs w:val="22"/>
        </w:rPr>
        <w:t xml:space="preserve">Argyle, M. (1972) </w:t>
      </w:r>
      <w:r w:rsidRPr="009A2EEA">
        <w:rPr>
          <w:rFonts w:ascii="Arial" w:hAnsi="Arial" w:cs="Arial"/>
          <w:i/>
          <w:iCs/>
          <w:sz w:val="22"/>
          <w:szCs w:val="22"/>
        </w:rPr>
        <w:t>The Psychology of Interpersonal Behaviour</w:t>
      </w:r>
      <w:r w:rsidRPr="009A2EEA">
        <w:rPr>
          <w:rFonts w:ascii="Arial" w:hAnsi="Arial" w:cs="Arial"/>
          <w:sz w:val="22"/>
          <w:szCs w:val="22"/>
        </w:rPr>
        <w:t xml:space="preserve">. 2nd edn. Harmondsworth: Penguin Books. </w:t>
      </w:r>
    </w:p>
    <w:p w14:paraId="6DC1FBBE" w14:textId="77777777" w:rsidR="007F0617" w:rsidRDefault="009A2EEA" w:rsidP="009A2EEA">
      <w:pPr>
        <w:rPr>
          <w:rFonts w:ascii="Arial" w:hAnsi="Arial" w:cs="Arial"/>
          <w:sz w:val="22"/>
          <w:szCs w:val="22"/>
        </w:rPr>
      </w:pPr>
      <w:r w:rsidRPr="009A2EEA">
        <w:rPr>
          <w:rFonts w:ascii="Arial" w:hAnsi="Arial" w:cs="Arial"/>
          <w:sz w:val="22"/>
          <w:szCs w:val="22"/>
        </w:rPr>
        <w:t>Care Act 2014, c. 23. London: The Stationery Office.</w:t>
      </w:r>
    </w:p>
    <w:p w14:paraId="4763A5B7" w14:textId="77777777" w:rsidR="007F0617" w:rsidRDefault="009A2EEA" w:rsidP="009A2EEA">
      <w:pPr>
        <w:rPr>
          <w:rFonts w:ascii="Arial" w:hAnsi="Arial" w:cs="Arial"/>
          <w:sz w:val="22"/>
          <w:szCs w:val="22"/>
        </w:rPr>
      </w:pPr>
      <w:r w:rsidRPr="009A2EEA">
        <w:rPr>
          <w:rFonts w:ascii="Arial" w:hAnsi="Arial" w:cs="Arial"/>
          <w:sz w:val="22"/>
          <w:szCs w:val="22"/>
        </w:rPr>
        <w:t xml:space="preserve"> Care Quality Commission (CQC) (2022) </w:t>
      </w:r>
      <w:r w:rsidRPr="009A2EEA">
        <w:rPr>
          <w:rFonts w:ascii="Arial" w:hAnsi="Arial" w:cs="Arial"/>
          <w:i/>
          <w:iCs/>
          <w:sz w:val="22"/>
          <w:szCs w:val="22"/>
        </w:rPr>
        <w:t>The sector we regulate: Adult social care</w:t>
      </w:r>
      <w:r w:rsidRPr="009A2EEA">
        <w:rPr>
          <w:rFonts w:ascii="Arial" w:hAnsi="Arial" w:cs="Arial"/>
          <w:sz w:val="22"/>
          <w:szCs w:val="22"/>
        </w:rPr>
        <w:t xml:space="preserve">. Newcastle upon Tyne: CQC. </w:t>
      </w:r>
    </w:p>
    <w:p w14:paraId="2F201473" w14:textId="77777777" w:rsidR="007F0617" w:rsidRDefault="009A2EEA" w:rsidP="009A2EEA">
      <w:pPr>
        <w:rPr>
          <w:rFonts w:ascii="Arial" w:hAnsi="Arial" w:cs="Arial"/>
          <w:sz w:val="22"/>
          <w:szCs w:val="22"/>
        </w:rPr>
      </w:pPr>
      <w:r w:rsidRPr="009A2EEA">
        <w:rPr>
          <w:rFonts w:ascii="Arial" w:hAnsi="Arial" w:cs="Arial"/>
          <w:sz w:val="22"/>
          <w:szCs w:val="22"/>
        </w:rPr>
        <w:t>Data Protection Act 2018, c. 12. London: The Stationery Office.</w:t>
      </w:r>
    </w:p>
    <w:p w14:paraId="059FC588" w14:textId="77777777" w:rsidR="007F0617" w:rsidRDefault="009A2EEA" w:rsidP="009A2EEA">
      <w:pPr>
        <w:rPr>
          <w:rFonts w:ascii="Arial" w:hAnsi="Arial" w:cs="Arial"/>
          <w:sz w:val="22"/>
          <w:szCs w:val="22"/>
        </w:rPr>
      </w:pPr>
      <w:r w:rsidRPr="009A2EEA">
        <w:rPr>
          <w:rFonts w:ascii="Arial" w:hAnsi="Arial" w:cs="Arial"/>
          <w:sz w:val="22"/>
          <w:szCs w:val="22"/>
        </w:rPr>
        <w:t xml:space="preserve"> Department of Health and Social Care (DHSC) (2020) </w:t>
      </w:r>
      <w:r w:rsidRPr="009A2EEA">
        <w:rPr>
          <w:rFonts w:ascii="Arial" w:hAnsi="Arial" w:cs="Arial"/>
          <w:i/>
          <w:iCs/>
          <w:sz w:val="22"/>
          <w:szCs w:val="22"/>
        </w:rPr>
        <w:t>Integration and innovation: working together to improve health and social care for all</w:t>
      </w:r>
      <w:r w:rsidRPr="009A2EEA">
        <w:rPr>
          <w:rFonts w:ascii="Arial" w:hAnsi="Arial" w:cs="Arial"/>
          <w:sz w:val="22"/>
          <w:szCs w:val="22"/>
        </w:rPr>
        <w:t>. London: DHSC.</w:t>
      </w:r>
    </w:p>
    <w:p w14:paraId="3BE2002F" w14:textId="6A59D039" w:rsidR="007F0617" w:rsidRDefault="153A8DBC" w:rsidP="009A2EEA">
      <w:pPr>
        <w:rPr>
          <w:rFonts w:ascii="Arial" w:hAnsi="Arial" w:cs="Arial"/>
          <w:sz w:val="22"/>
          <w:szCs w:val="22"/>
        </w:rPr>
      </w:pPr>
      <w:r w:rsidRPr="0121CDEC">
        <w:rPr>
          <w:rFonts w:ascii="Arial" w:hAnsi="Arial" w:cs="Arial"/>
          <w:sz w:val="22"/>
          <w:szCs w:val="22"/>
        </w:rPr>
        <w:t xml:space="preserve"> Dixon, S., Kendall, B., Driscoll, J. and Pope, C. (2022) ‘Supporting the “multi” in </w:t>
      </w:r>
      <w:r w:rsidR="06D58FE2" w:rsidRPr="0121CDEC">
        <w:rPr>
          <w:rFonts w:ascii="Arial" w:hAnsi="Arial" w:cs="Arial"/>
          <w:sz w:val="22"/>
          <w:szCs w:val="22"/>
        </w:rPr>
        <w:t>multiagency</w:t>
      </w:r>
      <w:r w:rsidRPr="0121CDEC">
        <w:rPr>
          <w:rFonts w:ascii="Arial" w:hAnsi="Arial" w:cs="Arial"/>
          <w:sz w:val="22"/>
          <w:szCs w:val="22"/>
        </w:rPr>
        <w:t xml:space="preserve"> working’, </w:t>
      </w:r>
      <w:r w:rsidRPr="0121CDEC">
        <w:rPr>
          <w:rFonts w:ascii="Arial" w:hAnsi="Arial" w:cs="Arial"/>
          <w:i/>
          <w:iCs/>
          <w:sz w:val="22"/>
          <w:szCs w:val="22"/>
        </w:rPr>
        <w:t>British Journal of General Practice</w:t>
      </w:r>
      <w:r w:rsidRPr="0121CDEC">
        <w:rPr>
          <w:rFonts w:ascii="Arial" w:hAnsi="Arial" w:cs="Arial"/>
          <w:sz w:val="22"/>
          <w:szCs w:val="22"/>
        </w:rPr>
        <w:t xml:space="preserve">, 72(722), pp. 438–439. </w:t>
      </w:r>
    </w:p>
    <w:p w14:paraId="433AFC1D" w14:textId="77777777" w:rsidR="007F0617" w:rsidRDefault="009A2EEA" w:rsidP="009A2EEA">
      <w:pPr>
        <w:rPr>
          <w:rFonts w:ascii="Arial" w:hAnsi="Arial" w:cs="Arial"/>
          <w:sz w:val="22"/>
          <w:szCs w:val="22"/>
        </w:rPr>
      </w:pPr>
      <w:r w:rsidRPr="009A2EEA">
        <w:rPr>
          <w:rFonts w:ascii="Arial" w:hAnsi="Arial" w:cs="Arial"/>
          <w:sz w:val="22"/>
          <w:szCs w:val="22"/>
        </w:rPr>
        <w:t>Equality Act 2010, c. 15. London: The Stationery Office.</w:t>
      </w:r>
    </w:p>
    <w:p w14:paraId="54425BA7" w14:textId="77777777" w:rsidR="007F0617" w:rsidRDefault="009A2EEA" w:rsidP="009A2EEA">
      <w:pPr>
        <w:rPr>
          <w:rFonts w:ascii="Arial" w:hAnsi="Arial" w:cs="Arial"/>
          <w:sz w:val="22"/>
          <w:szCs w:val="22"/>
        </w:rPr>
      </w:pPr>
      <w:r w:rsidRPr="009A2EEA">
        <w:rPr>
          <w:rFonts w:ascii="Arial" w:hAnsi="Arial" w:cs="Arial"/>
          <w:sz w:val="22"/>
          <w:szCs w:val="22"/>
        </w:rPr>
        <w:t xml:space="preserve"> Health and Care Professions Council (HCPC) (2016) </w:t>
      </w:r>
      <w:r w:rsidRPr="009A2EEA">
        <w:rPr>
          <w:rFonts w:ascii="Arial" w:hAnsi="Arial" w:cs="Arial"/>
          <w:i/>
          <w:iCs/>
          <w:sz w:val="22"/>
          <w:szCs w:val="22"/>
        </w:rPr>
        <w:t>Standards of conduct, performance and ethics</w:t>
      </w:r>
      <w:r w:rsidRPr="009A2EEA">
        <w:rPr>
          <w:rFonts w:ascii="Arial" w:hAnsi="Arial" w:cs="Arial"/>
          <w:sz w:val="22"/>
          <w:szCs w:val="22"/>
        </w:rPr>
        <w:t xml:space="preserve">. London: HCPC. </w:t>
      </w:r>
    </w:p>
    <w:p w14:paraId="2439BF92" w14:textId="77777777" w:rsidR="007F0617" w:rsidRDefault="009A2EEA" w:rsidP="009A2EEA">
      <w:pPr>
        <w:rPr>
          <w:rFonts w:ascii="Arial" w:hAnsi="Arial" w:cs="Arial"/>
          <w:sz w:val="22"/>
          <w:szCs w:val="22"/>
        </w:rPr>
      </w:pPr>
      <w:r w:rsidRPr="009A2EEA">
        <w:rPr>
          <w:rFonts w:ascii="Arial" w:hAnsi="Arial" w:cs="Arial"/>
          <w:sz w:val="22"/>
          <w:szCs w:val="22"/>
        </w:rPr>
        <w:t xml:space="preserve">Information Commissioner’s Office (ICO) (2021) </w:t>
      </w:r>
      <w:r w:rsidRPr="009A2EEA">
        <w:rPr>
          <w:rFonts w:ascii="Arial" w:hAnsi="Arial" w:cs="Arial"/>
          <w:i/>
          <w:iCs/>
          <w:sz w:val="22"/>
          <w:szCs w:val="22"/>
        </w:rPr>
        <w:t>Guide to the UK GDPR</w:t>
      </w:r>
      <w:r w:rsidRPr="009A2EEA">
        <w:rPr>
          <w:rFonts w:ascii="Arial" w:hAnsi="Arial" w:cs="Arial"/>
          <w:sz w:val="22"/>
          <w:szCs w:val="22"/>
        </w:rPr>
        <w:t xml:space="preserve">. Wilmslow: ICO. National Data Guardian (2020) </w:t>
      </w:r>
      <w:r w:rsidRPr="009A2EEA">
        <w:rPr>
          <w:rFonts w:ascii="Arial" w:hAnsi="Arial" w:cs="Arial"/>
          <w:i/>
          <w:iCs/>
          <w:sz w:val="22"/>
          <w:szCs w:val="22"/>
        </w:rPr>
        <w:t>The Caldicott Principles</w:t>
      </w:r>
      <w:r w:rsidRPr="009A2EEA">
        <w:rPr>
          <w:rFonts w:ascii="Arial" w:hAnsi="Arial" w:cs="Arial"/>
          <w:sz w:val="22"/>
          <w:szCs w:val="22"/>
        </w:rPr>
        <w:t xml:space="preserve">. London: DHSC. </w:t>
      </w:r>
    </w:p>
    <w:p w14:paraId="2DC5CBD5" w14:textId="77777777" w:rsidR="007F0617" w:rsidRDefault="009A2EEA" w:rsidP="009A2EEA">
      <w:pPr>
        <w:rPr>
          <w:rFonts w:ascii="Arial" w:hAnsi="Arial" w:cs="Arial"/>
          <w:sz w:val="22"/>
          <w:szCs w:val="22"/>
        </w:rPr>
      </w:pPr>
      <w:r w:rsidRPr="009A2EEA">
        <w:rPr>
          <w:rFonts w:ascii="Arial" w:hAnsi="Arial" w:cs="Arial"/>
          <w:sz w:val="22"/>
          <w:szCs w:val="22"/>
        </w:rPr>
        <w:t xml:space="preserve">National Institute for Health and Care Excellence (NICE) (2018) </w:t>
      </w:r>
      <w:r w:rsidRPr="009A2EEA">
        <w:rPr>
          <w:rFonts w:ascii="Arial" w:hAnsi="Arial" w:cs="Arial"/>
          <w:i/>
          <w:iCs/>
          <w:sz w:val="22"/>
          <w:szCs w:val="22"/>
        </w:rPr>
        <w:t>Dementia: assessment, management and support for people living with dementia and their carers (NG97)</w:t>
      </w:r>
      <w:r w:rsidRPr="009A2EEA">
        <w:rPr>
          <w:rFonts w:ascii="Arial" w:hAnsi="Arial" w:cs="Arial"/>
          <w:sz w:val="22"/>
          <w:szCs w:val="22"/>
        </w:rPr>
        <w:t>. London: NICE.</w:t>
      </w:r>
    </w:p>
    <w:p w14:paraId="7EC1F815" w14:textId="5676FC9C" w:rsidR="009A2EEA" w:rsidRPr="009A2EEA" w:rsidRDefault="009A2EEA" w:rsidP="009A2EEA">
      <w:pPr>
        <w:rPr>
          <w:rFonts w:ascii="Arial" w:hAnsi="Arial" w:cs="Arial"/>
          <w:sz w:val="22"/>
          <w:szCs w:val="22"/>
        </w:rPr>
      </w:pPr>
      <w:r w:rsidRPr="009A2EEA">
        <w:rPr>
          <w:rFonts w:ascii="Arial" w:hAnsi="Arial" w:cs="Arial"/>
          <w:sz w:val="22"/>
          <w:szCs w:val="22"/>
        </w:rPr>
        <w:t xml:space="preserve"> Nursing and Midwifery Council (NMC) (2018) </w:t>
      </w:r>
      <w:r w:rsidRPr="009A2EEA">
        <w:rPr>
          <w:rFonts w:ascii="Arial" w:hAnsi="Arial" w:cs="Arial"/>
          <w:i/>
          <w:iCs/>
          <w:sz w:val="22"/>
          <w:szCs w:val="22"/>
        </w:rPr>
        <w:t>The Code</w:t>
      </w:r>
      <w:r w:rsidRPr="009A2EEA">
        <w:rPr>
          <w:rFonts w:ascii="Arial" w:hAnsi="Arial" w:cs="Arial"/>
          <w:sz w:val="22"/>
          <w:szCs w:val="22"/>
        </w:rPr>
        <w:t>. London: NMC.</w:t>
      </w:r>
    </w:p>
    <w:p w14:paraId="2C0DBCF2" w14:textId="77777777" w:rsidR="009A2EEA" w:rsidRPr="009A2EEA" w:rsidRDefault="009A2EEA">
      <w:pPr>
        <w:rPr>
          <w:rFonts w:ascii="Arial" w:hAnsi="Arial" w:cs="Arial"/>
          <w:sz w:val="22"/>
          <w:szCs w:val="22"/>
        </w:rPr>
      </w:pPr>
    </w:p>
    <w:sectPr w:rsidR="009A2EEA" w:rsidRPr="009A2E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A3AFE"/>
    <w:multiLevelType w:val="hybridMultilevel"/>
    <w:tmpl w:val="B500306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2A96F9B"/>
    <w:multiLevelType w:val="hybridMultilevel"/>
    <w:tmpl w:val="AD2608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C7350"/>
    <w:multiLevelType w:val="multilevel"/>
    <w:tmpl w:val="2D4AE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D90708"/>
    <w:multiLevelType w:val="multilevel"/>
    <w:tmpl w:val="F3083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0C4CBA"/>
    <w:multiLevelType w:val="multilevel"/>
    <w:tmpl w:val="7E2CE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926A99"/>
    <w:multiLevelType w:val="multilevel"/>
    <w:tmpl w:val="95822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2A3C3C"/>
    <w:multiLevelType w:val="multilevel"/>
    <w:tmpl w:val="2556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041C99"/>
    <w:multiLevelType w:val="hybridMultilevel"/>
    <w:tmpl w:val="B44A1D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831456"/>
    <w:multiLevelType w:val="multilevel"/>
    <w:tmpl w:val="D67C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0192232">
    <w:abstractNumId w:val="3"/>
  </w:num>
  <w:num w:numId="2" w16cid:durableId="1413358096">
    <w:abstractNumId w:val="6"/>
  </w:num>
  <w:num w:numId="3" w16cid:durableId="1434667046">
    <w:abstractNumId w:val="1"/>
  </w:num>
  <w:num w:numId="4" w16cid:durableId="1581795808">
    <w:abstractNumId w:val="0"/>
  </w:num>
  <w:num w:numId="5" w16cid:durableId="1685209495">
    <w:abstractNumId w:val="5"/>
  </w:num>
  <w:num w:numId="6" w16cid:durableId="1687513069">
    <w:abstractNumId w:val="2"/>
  </w:num>
  <w:num w:numId="7" w16cid:durableId="313144831">
    <w:abstractNumId w:val="8"/>
  </w:num>
  <w:num w:numId="8" w16cid:durableId="481696598">
    <w:abstractNumId w:val="7"/>
  </w:num>
  <w:num w:numId="9" w16cid:durableId="5804532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794"/>
    <w:rsid w:val="002B2506"/>
    <w:rsid w:val="007E24CB"/>
    <w:rsid w:val="007F0617"/>
    <w:rsid w:val="00907794"/>
    <w:rsid w:val="009A2EEA"/>
    <w:rsid w:val="00A351D2"/>
    <w:rsid w:val="00DC1BB4"/>
    <w:rsid w:val="00FC23EA"/>
    <w:rsid w:val="0121CDEC"/>
    <w:rsid w:val="0338D6B2"/>
    <w:rsid w:val="06D4B8D7"/>
    <w:rsid w:val="06D58FE2"/>
    <w:rsid w:val="10B1D9C5"/>
    <w:rsid w:val="11F8037A"/>
    <w:rsid w:val="12B5BCBF"/>
    <w:rsid w:val="153A8DBC"/>
    <w:rsid w:val="16052643"/>
    <w:rsid w:val="25264032"/>
    <w:rsid w:val="2CA3BB89"/>
    <w:rsid w:val="2DE0F5A4"/>
    <w:rsid w:val="34CB1AC6"/>
    <w:rsid w:val="386A338D"/>
    <w:rsid w:val="3AE8E35B"/>
    <w:rsid w:val="3EA4C18D"/>
    <w:rsid w:val="40C51F94"/>
    <w:rsid w:val="412A397B"/>
    <w:rsid w:val="4137F29A"/>
    <w:rsid w:val="42D86BE4"/>
    <w:rsid w:val="4322D195"/>
    <w:rsid w:val="49C4FBD4"/>
    <w:rsid w:val="4D4B578C"/>
    <w:rsid w:val="597C06F6"/>
    <w:rsid w:val="5ED9C078"/>
    <w:rsid w:val="61AAAB33"/>
    <w:rsid w:val="655C2E1F"/>
    <w:rsid w:val="71CE701E"/>
    <w:rsid w:val="7254C4F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656ABAB"/>
  <w15:chartTrackingRefBased/>
  <w15:docId w15:val="{EC51A8CF-8A09-4C33-B12B-60CDD31DB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7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7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7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7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794"/>
    <w:rPr>
      <w:rFonts w:eastAsiaTheme="majorEastAsia" w:cstheme="majorBidi"/>
      <w:color w:val="272727" w:themeColor="text1" w:themeTint="D8"/>
    </w:rPr>
  </w:style>
  <w:style w:type="paragraph" w:styleId="Title">
    <w:name w:val="Title"/>
    <w:basedOn w:val="Normal"/>
    <w:next w:val="Normal"/>
    <w:link w:val="TitleChar"/>
    <w:uiPriority w:val="10"/>
    <w:qFormat/>
    <w:rsid w:val="00907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7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794"/>
    <w:pPr>
      <w:spacing w:before="160"/>
      <w:jc w:val="center"/>
    </w:pPr>
    <w:rPr>
      <w:i/>
      <w:iCs/>
      <w:color w:val="404040" w:themeColor="text1" w:themeTint="BF"/>
    </w:rPr>
  </w:style>
  <w:style w:type="character" w:customStyle="1" w:styleId="QuoteChar">
    <w:name w:val="Quote Char"/>
    <w:basedOn w:val="DefaultParagraphFont"/>
    <w:link w:val="Quote"/>
    <w:uiPriority w:val="29"/>
    <w:rsid w:val="00907794"/>
    <w:rPr>
      <w:i/>
      <w:iCs/>
      <w:color w:val="404040" w:themeColor="text1" w:themeTint="BF"/>
    </w:rPr>
  </w:style>
  <w:style w:type="paragraph" w:styleId="ListParagraph">
    <w:name w:val="List Paragraph"/>
    <w:basedOn w:val="Normal"/>
    <w:uiPriority w:val="34"/>
    <w:qFormat/>
    <w:rsid w:val="00907794"/>
    <w:pPr>
      <w:ind w:left="720"/>
      <w:contextualSpacing/>
    </w:pPr>
  </w:style>
  <w:style w:type="character" w:styleId="IntenseEmphasis">
    <w:name w:val="Intense Emphasis"/>
    <w:basedOn w:val="DefaultParagraphFont"/>
    <w:uiPriority w:val="21"/>
    <w:qFormat/>
    <w:rsid w:val="00907794"/>
    <w:rPr>
      <w:i/>
      <w:iCs/>
      <w:color w:val="0F4761" w:themeColor="accent1" w:themeShade="BF"/>
    </w:rPr>
  </w:style>
  <w:style w:type="paragraph" w:styleId="IntenseQuote">
    <w:name w:val="Intense Quote"/>
    <w:basedOn w:val="Normal"/>
    <w:next w:val="Normal"/>
    <w:link w:val="IntenseQuoteChar"/>
    <w:uiPriority w:val="30"/>
    <w:qFormat/>
    <w:rsid w:val="00907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794"/>
    <w:rPr>
      <w:i/>
      <w:iCs/>
      <w:color w:val="0F4761" w:themeColor="accent1" w:themeShade="BF"/>
    </w:rPr>
  </w:style>
  <w:style w:type="character" w:styleId="IntenseReference">
    <w:name w:val="Intense Reference"/>
    <w:basedOn w:val="DefaultParagraphFont"/>
    <w:uiPriority w:val="32"/>
    <w:qFormat/>
    <w:rsid w:val="00907794"/>
    <w:rPr>
      <w:b/>
      <w:bCs/>
      <w:smallCaps/>
      <w:color w:val="0F4761" w:themeColor="accent1" w:themeShade="BF"/>
      <w:spacing w:val="5"/>
    </w:rPr>
  </w:style>
  <w:style w:type="character" w:styleId="Hyperlink">
    <w:name w:val="Hyperlink"/>
    <w:basedOn w:val="DefaultParagraphFont"/>
    <w:uiPriority w:val="99"/>
    <w:unhideWhenUsed/>
    <w:rsid w:val="007E24CB"/>
    <w:rPr>
      <w:color w:val="467886" w:themeColor="hyperlink"/>
      <w:u w:val="single"/>
    </w:rPr>
  </w:style>
  <w:style w:type="character" w:styleId="UnresolvedMention">
    <w:name w:val="Unresolved Mention"/>
    <w:basedOn w:val="DefaultParagraphFont"/>
    <w:uiPriority w:val="99"/>
    <w:semiHidden/>
    <w:unhideWhenUsed/>
    <w:rsid w:val="007E24CB"/>
    <w:rPr>
      <w:color w:val="605E5C"/>
      <w:shd w:val="clear" w:color="auto" w:fill="E1DFDD"/>
    </w:rPr>
  </w:style>
  <w:style w:type="paragraph" w:styleId="NoSpacing">
    <w:name w:val="No Spacing"/>
    <w:uiPriority w:val="1"/>
    <w:qFormat/>
    <w:rsid w:val="007F06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AC297A-05C8-439E-AB6A-8B4C31F7B45C}">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CF02C3D2-33D8-4507-86A2-CB268F9C4962}">
  <ds:schemaRefs>
    <ds:schemaRef ds:uri="http://schemas.microsoft.com/sharepoint/v3/contenttype/forms"/>
  </ds:schemaRefs>
</ds:datastoreItem>
</file>

<file path=customXml/itemProps3.xml><?xml version="1.0" encoding="utf-8"?>
<ds:datastoreItem xmlns:ds="http://schemas.openxmlformats.org/officeDocument/2006/customXml" ds:itemID="{0ACBEE93-C6D1-4725-90D1-9426F9ACFD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Nawaz (2521133)</dc:creator>
  <cp:keywords/>
  <dc:description/>
  <cp:lastModifiedBy>Maria Nawaz (2521133)</cp:lastModifiedBy>
  <cp:revision>3</cp:revision>
  <dcterms:created xsi:type="dcterms:W3CDTF">2026-07-22T00:22:00Z</dcterms:created>
  <dcterms:modified xsi:type="dcterms:W3CDTF">2026-07-23T14:57:00Z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