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4621A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8B504FE" w:rsidR="00CD33A8" w:rsidRPr="0010083A" w:rsidRDefault="00CD33A8" w:rsidP="0010083A">
      <w:pPr>
        <w:tabs>
          <w:tab w:val="left" w:pos="6540"/>
        </w:tabs>
        <w:spacing w:line="360" w:lineRule="auto"/>
        <w:rPr>
          <w:rFonts w:ascii="Arial" w:hAnsi="Arial" w:cs="Arial"/>
          <w:sz w:val="22"/>
          <w:lang w:val="nl-NL"/>
        </w:rPr>
      </w:pPr>
      <w:r w:rsidRPr="0010083A">
        <w:rPr>
          <w:rFonts w:ascii="Arial" w:hAnsi="Arial" w:cs="Arial"/>
          <w:b/>
          <w:bCs/>
          <w:sz w:val="22"/>
          <w:lang w:val="nl-NL"/>
        </w:rPr>
        <w:t>Module name</w:t>
      </w:r>
      <w:r w:rsidRPr="0010083A">
        <w:rPr>
          <w:rFonts w:ascii="Arial" w:hAnsi="Arial" w:cs="Arial"/>
          <w:sz w:val="22"/>
          <w:lang w:val="nl-NL"/>
        </w:rPr>
        <w:t>:</w:t>
      </w:r>
      <w:r w:rsidR="00D334A6" w:rsidRPr="0010083A">
        <w:rPr>
          <w:rFonts w:ascii="Arial" w:hAnsi="Arial" w:cs="Arial"/>
          <w:sz w:val="22"/>
          <w:lang w:val="nl-NL"/>
        </w:rPr>
        <w:t xml:space="preserve"> In</w:t>
      </w:r>
      <w:r w:rsidR="00725808" w:rsidRPr="0010083A">
        <w:rPr>
          <w:rFonts w:ascii="Arial" w:hAnsi="Arial" w:cs="Arial"/>
          <w:sz w:val="22"/>
          <w:lang w:val="nl-NL"/>
        </w:rPr>
        <w:t>t</w:t>
      </w:r>
      <w:r w:rsidR="00D334A6" w:rsidRPr="0010083A">
        <w:rPr>
          <w:rFonts w:ascii="Arial" w:hAnsi="Arial" w:cs="Arial"/>
          <w:sz w:val="22"/>
          <w:lang w:val="nl-NL"/>
        </w:rPr>
        <w:t xml:space="preserve">roduction to Health and Social Care </w:t>
      </w:r>
      <w:r w:rsidR="00D334A6" w:rsidRPr="0010083A">
        <w:rPr>
          <w:rFonts w:ascii="Arial" w:hAnsi="Arial" w:cs="Arial"/>
          <w:sz w:val="22"/>
          <w:lang w:val="nl-NL"/>
        </w:rPr>
        <w:tab/>
      </w:r>
      <w:r w:rsidR="00D334A6" w:rsidRPr="0010083A">
        <w:rPr>
          <w:rFonts w:ascii="Arial" w:hAnsi="Arial" w:cs="Arial"/>
          <w:sz w:val="22"/>
          <w:lang w:val="nl-NL"/>
        </w:rPr>
        <w:tab/>
      </w:r>
      <w:r w:rsidRPr="0010083A">
        <w:rPr>
          <w:rFonts w:ascii="Arial" w:hAnsi="Arial" w:cs="Arial"/>
          <w:sz w:val="22"/>
          <w:lang w:val="nl-NL"/>
        </w:rPr>
        <w:t xml:space="preserve"> </w:t>
      </w:r>
    </w:p>
    <w:p w14:paraId="537571AF" w14:textId="1E9C1B3F" w:rsidR="00CD33A8" w:rsidRPr="0010083A" w:rsidRDefault="00CD33A8" w:rsidP="0010083A">
      <w:pPr>
        <w:tabs>
          <w:tab w:val="left" w:pos="6540"/>
        </w:tabs>
        <w:spacing w:line="360" w:lineRule="auto"/>
        <w:rPr>
          <w:rFonts w:ascii="Arial" w:hAnsi="Arial" w:cs="Arial"/>
          <w:sz w:val="22"/>
        </w:rPr>
      </w:pPr>
      <w:r w:rsidRPr="0010083A">
        <w:rPr>
          <w:rFonts w:ascii="Arial" w:hAnsi="Arial" w:cs="Arial"/>
          <w:b/>
          <w:bCs/>
          <w:sz w:val="22"/>
        </w:rPr>
        <w:t>Module code</w:t>
      </w:r>
      <w:r w:rsidRPr="0010083A">
        <w:rPr>
          <w:rFonts w:ascii="Arial" w:hAnsi="Arial" w:cs="Arial"/>
          <w:sz w:val="22"/>
        </w:rPr>
        <w:t>:</w:t>
      </w:r>
      <w:r w:rsidR="00D334A6" w:rsidRPr="0010083A">
        <w:rPr>
          <w:rFonts w:ascii="Arial" w:hAnsi="Arial" w:cs="Arial"/>
          <w:sz w:val="22"/>
        </w:rPr>
        <w:t xml:space="preserve"> LCHS4003</w:t>
      </w:r>
    </w:p>
    <w:p w14:paraId="529D7354" w14:textId="77777777" w:rsidR="00CD33A8" w:rsidRPr="0010083A" w:rsidRDefault="00CD33A8" w:rsidP="0010083A">
      <w:pPr>
        <w:tabs>
          <w:tab w:val="left" w:pos="6540"/>
        </w:tabs>
        <w:spacing w:line="360" w:lineRule="auto"/>
        <w:rPr>
          <w:rFonts w:ascii="Arial" w:hAnsi="Arial" w:cs="Arial"/>
          <w:b/>
          <w:bCs/>
          <w:sz w:val="22"/>
          <w:lang w:val="nl-NL"/>
        </w:rPr>
      </w:pPr>
    </w:p>
    <w:p w14:paraId="0A48766D" w14:textId="21CBD366" w:rsidR="00074402" w:rsidRPr="0010083A" w:rsidRDefault="00074402" w:rsidP="0010083A">
      <w:pPr>
        <w:tabs>
          <w:tab w:val="left" w:pos="6540"/>
        </w:tabs>
        <w:spacing w:line="360" w:lineRule="auto"/>
        <w:rPr>
          <w:rFonts w:ascii="Arial" w:hAnsi="Arial" w:cs="Arial"/>
          <w:sz w:val="22"/>
          <w:lang w:val="nl-NL"/>
        </w:rPr>
      </w:pPr>
      <w:r w:rsidRPr="0010083A">
        <w:rPr>
          <w:rFonts w:ascii="Arial" w:hAnsi="Arial" w:cs="Arial"/>
          <w:b/>
          <w:bCs/>
          <w:sz w:val="22"/>
          <w:lang w:val="nl-NL"/>
        </w:rPr>
        <w:t>Student name</w:t>
      </w:r>
      <w:r w:rsidRPr="0010083A">
        <w:rPr>
          <w:rFonts w:ascii="Arial" w:hAnsi="Arial" w:cs="Arial"/>
          <w:sz w:val="22"/>
          <w:lang w:val="nl-NL"/>
        </w:rPr>
        <w:t>:</w:t>
      </w:r>
      <w:r w:rsidR="00D334A6" w:rsidRPr="0010083A">
        <w:rPr>
          <w:rFonts w:ascii="Arial" w:hAnsi="Arial" w:cs="Arial"/>
          <w:sz w:val="22"/>
          <w:lang w:val="nl-NL"/>
        </w:rPr>
        <w:t xml:space="preserve"> Kirstii Williams</w:t>
      </w:r>
      <w:r w:rsidR="00D334A6" w:rsidRPr="0010083A">
        <w:rPr>
          <w:rFonts w:ascii="Arial" w:hAnsi="Arial" w:cs="Arial"/>
          <w:sz w:val="22"/>
          <w:lang w:val="nl-NL"/>
        </w:rPr>
        <w:tab/>
      </w:r>
    </w:p>
    <w:p w14:paraId="39AA4413" w14:textId="37801EC1" w:rsidR="00074402" w:rsidRPr="0010083A" w:rsidRDefault="00074402" w:rsidP="0010083A">
      <w:pPr>
        <w:tabs>
          <w:tab w:val="left" w:pos="6540"/>
        </w:tabs>
        <w:spacing w:line="360" w:lineRule="auto"/>
        <w:rPr>
          <w:rFonts w:ascii="Arial" w:hAnsi="Arial" w:cs="Arial"/>
          <w:sz w:val="22"/>
          <w:lang w:val="nl-NL"/>
        </w:rPr>
      </w:pPr>
      <w:r w:rsidRPr="0010083A">
        <w:rPr>
          <w:rFonts w:ascii="Arial" w:hAnsi="Arial" w:cs="Arial"/>
          <w:b/>
          <w:bCs/>
          <w:sz w:val="22"/>
          <w:lang w:val="nl-NL"/>
        </w:rPr>
        <w:t>Student ID</w:t>
      </w:r>
      <w:r w:rsidRPr="0010083A">
        <w:rPr>
          <w:rFonts w:ascii="Arial" w:hAnsi="Arial" w:cs="Arial"/>
          <w:sz w:val="22"/>
          <w:lang w:val="nl-NL"/>
        </w:rPr>
        <w:t>:</w:t>
      </w:r>
      <w:r w:rsidR="00D334A6" w:rsidRPr="0010083A">
        <w:rPr>
          <w:rFonts w:ascii="Arial" w:hAnsi="Arial" w:cs="Arial"/>
          <w:sz w:val="22"/>
          <w:lang w:val="nl-NL"/>
        </w:rPr>
        <w:t xml:space="preserve"> 2511144</w:t>
      </w:r>
    </w:p>
    <w:p w14:paraId="5E81F6AD" w14:textId="77777777" w:rsidR="00074402" w:rsidRPr="0010083A" w:rsidRDefault="00074402" w:rsidP="0010083A">
      <w:pPr>
        <w:tabs>
          <w:tab w:val="left" w:pos="6540"/>
        </w:tabs>
        <w:spacing w:line="360" w:lineRule="auto"/>
        <w:rPr>
          <w:rFonts w:ascii="Arial" w:hAnsi="Arial" w:cs="Arial"/>
          <w:sz w:val="22"/>
          <w:lang w:val="nl-NL"/>
        </w:rPr>
      </w:pPr>
    </w:p>
    <w:p w14:paraId="1A0B2D2B" w14:textId="64C019C8" w:rsidR="00074402" w:rsidRPr="0010083A" w:rsidRDefault="008E3943" w:rsidP="0010083A">
      <w:pPr>
        <w:tabs>
          <w:tab w:val="left" w:pos="6540"/>
        </w:tabs>
        <w:spacing w:line="360" w:lineRule="auto"/>
        <w:rPr>
          <w:rFonts w:ascii="Arial" w:hAnsi="Arial" w:cs="Arial"/>
          <w:sz w:val="22"/>
        </w:rPr>
      </w:pPr>
      <w:r w:rsidRPr="0010083A">
        <w:rPr>
          <w:rFonts w:ascii="Arial" w:hAnsi="Arial" w:cs="Arial"/>
          <w:b/>
          <w:bCs/>
          <w:sz w:val="22"/>
        </w:rPr>
        <w:t>Lecturer’s name</w:t>
      </w:r>
      <w:r w:rsidR="00074402" w:rsidRPr="0010083A">
        <w:rPr>
          <w:rFonts w:ascii="Arial" w:hAnsi="Arial" w:cs="Arial"/>
          <w:sz w:val="22"/>
        </w:rPr>
        <w:t>:</w:t>
      </w:r>
      <w:r w:rsidR="00D334A6" w:rsidRPr="0010083A">
        <w:rPr>
          <w:rFonts w:ascii="Arial" w:hAnsi="Arial" w:cs="Arial"/>
          <w:sz w:val="22"/>
        </w:rPr>
        <w:t xml:space="preserve"> Mark Kane</w:t>
      </w:r>
    </w:p>
    <w:p w14:paraId="39D08584" w14:textId="77777777" w:rsidR="00074402" w:rsidRPr="0010083A" w:rsidRDefault="00074402" w:rsidP="0010083A">
      <w:pPr>
        <w:tabs>
          <w:tab w:val="left" w:pos="6540"/>
        </w:tabs>
        <w:spacing w:line="360" w:lineRule="auto"/>
        <w:rPr>
          <w:rFonts w:ascii="Arial" w:hAnsi="Arial" w:cs="Arial"/>
          <w:sz w:val="22"/>
        </w:rPr>
      </w:pPr>
    </w:p>
    <w:p w14:paraId="5B66D125" w14:textId="77777777" w:rsidR="00074402" w:rsidRPr="0010083A" w:rsidRDefault="00074402" w:rsidP="0010083A">
      <w:pPr>
        <w:tabs>
          <w:tab w:val="left" w:pos="6540"/>
        </w:tabs>
        <w:spacing w:line="360" w:lineRule="auto"/>
        <w:rPr>
          <w:rFonts w:ascii="Arial" w:hAnsi="Arial" w:cs="Arial"/>
          <w:sz w:val="22"/>
        </w:rPr>
      </w:pPr>
    </w:p>
    <w:p w14:paraId="291524A2" w14:textId="2CBFF360" w:rsidR="00074402" w:rsidRPr="0010083A" w:rsidRDefault="00074402" w:rsidP="0010083A">
      <w:pPr>
        <w:tabs>
          <w:tab w:val="left" w:pos="6540"/>
        </w:tabs>
        <w:spacing w:line="360" w:lineRule="auto"/>
        <w:rPr>
          <w:rFonts w:ascii="Arial" w:hAnsi="Arial" w:cs="Arial"/>
          <w:sz w:val="22"/>
        </w:rPr>
      </w:pPr>
    </w:p>
    <w:p w14:paraId="5AE88297" w14:textId="24E6B718" w:rsidR="00B87E75" w:rsidRPr="0010083A" w:rsidRDefault="00B87E75" w:rsidP="0010083A">
      <w:pPr>
        <w:tabs>
          <w:tab w:val="left" w:pos="6540"/>
        </w:tabs>
        <w:spacing w:line="360" w:lineRule="auto"/>
        <w:rPr>
          <w:rFonts w:ascii="Arial" w:hAnsi="Arial" w:cs="Arial"/>
          <w:sz w:val="22"/>
        </w:rPr>
      </w:pPr>
    </w:p>
    <w:p w14:paraId="420ADE33" w14:textId="35FB1322" w:rsidR="00B87E75" w:rsidRPr="0010083A" w:rsidRDefault="00B87E75" w:rsidP="0010083A">
      <w:pPr>
        <w:spacing w:line="360" w:lineRule="auto"/>
        <w:rPr>
          <w:rFonts w:ascii="Arial" w:hAnsi="Arial" w:cs="Arial"/>
          <w:sz w:val="22"/>
        </w:rPr>
      </w:pPr>
      <w:r w:rsidRPr="0010083A">
        <w:rPr>
          <w:rFonts w:ascii="Arial" w:hAnsi="Arial" w:cs="Arial"/>
          <w:sz w:val="22"/>
        </w:rPr>
        <w:br w:type="page"/>
      </w:r>
    </w:p>
    <w:p w14:paraId="05AB2C84" w14:textId="4D2C1F1C" w:rsidR="00B87E75" w:rsidRPr="0010083A" w:rsidRDefault="00B87E75" w:rsidP="003F4CF3">
      <w:pPr>
        <w:pStyle w:val="Heading1"/>
        <w:rPr>
          <w:rFonts w:cs="Arial"/>
          <w:sz w:val="22"/>
        </w:rPr>
      </w:pPr>
      <w:r w:rsidRPr="0010083A">
        <w:rPr>
          <w:rFonts w:cs="Arial"/>
          <w:sz w:val="22"/>
        </w:rPr>
        <w:lastRenderedPageBreak/>
        <w:t>Table of contents</w:t>
      </w:r>
    </w:p>
    <w:p w14:paraId="13E00080" w14:textId="07C7ECDA" w:rsidR="00B87E75" w:rsidRPr="0010083A" w:rsidRDefault="00D334A6" w:rsidP="003F4CF3">
      <w:pPr>
        <w:spacing w:line="360" w:lineRule="auto"/>
        <w:rPr>
          <w:rFonts w:ascii="Arial" w:hAnsi="Arial" w:cs="Arial"/>
          <w:sz w:val="22"/>
        </w:rPr>
      </w:pPr>
      <w:r w:rsidRPr="0010083A">
        <w:rPr>
          <w:rFonts w:ascii="Arial" w:hAnsi="Arial" w:cs="Arial"/>
          <w:sz w:val="22"/>
        </w:rPr>
        <w:t>Title Page………………………………………………………………………………</w:t>
      </w:r>
      <w:r w:rsidR="003F4CF3" w:rsidRPr="0010083A">
        <w:rPr>
          <w:rFonts w:ascii="Arial" w:hAnsi="Arial" w:cs="Arial"/>
          <w:sz w:val="22"/>
        </w:rPr>
        <w:t>…. Page</w:t>
      </w:r>
      <w:r w:rsidRPr="0010083A">
        <w:rPr>
          <w:rFonts w:ascii="Arial" w:hAnsi="Arial" w:cs="Arial"/>
          <w:sz w:val="22"/>
        </w:rPr>
        <w:t xml:space="preserve"> 1</w:t>
      </w:r>
    </w:p>
    <w:p w14:paraId="2E79F7ED" w14:textId="37C90701" w:rsidR="00B87E75" w:rsidRPr="0010083A" w:rsidRDefault="00D334A6" w:rsidP="003F4CF3">
      <w:pPr>
        <w:spacing w:line="360" w:lineRule="auto"/>
        <w:rPr>
          <w:rFonts w:ascii="Arial" w:hAnsi="Arial" w:cs="Arial"/>
          <w:sz w:val="22"/>
        </w:rPr>
      </w:pPr>
      <w:r w:rsidRPr="0010083A">
        <w:rPr>
          <w:rFonts w:ascii="Arial" w:hAnsi="Arial" w:cs="Arial"/>
          <w:sz w:val="22"/>
        </w:rPr>
        <w:t>Table of contents………………………………………………………………………</w:t>
      </w:r>
      <w:r w:rsidR="003F4CF3" w:rsidRPr="0010083A">
        <w:rPr>
          <w:rFonts w:ascii="Arial" w:hAnsi="Arial" w:cs="Arial"/>
          <w:sz w:val="22"/>
        </w:rPr>
        <w:t>…. Page</w:t>
      </w:r>
      <w:r w:rsidRPr="0010083A">
        <w:rPr>
          <w:rFonts w:ascii="Arial" w:hAnsi="Arial" w:cs="Arial"/>
          <w:sz w:val="22"/>
        </w:rPr>
        <w:t xml:space="preserve"> 2</w:t>
      </w:r>
    </w:p>
    <w:p w14:paraId="5EA854A1" w14:textId="59451553" w:rsidR="00D334A6" w:rsidRPr="0010083A" w:rsidRDefault="00115A19" w:rsidP="003F4CF3">
      <w:pPr>
        <w:spacing w:line="360" w:lineRule="auto"/>
        <w:rPr>
          <w:rFonts w:ascii="Arial" w:hAnsi="Arial" w:cs="Arial"/>
          <w:sz w:val="22"/>
        </w:rPr>
      </w:pPr>
      <w:r w:rsidRPr="0010083A">
        <w:rPr>
          <w:rFonts w:ascii="Arial" w:hAnsi="Arial" w:cs="Arial"/>
          <w:sz w:val="22"/>
        </w:rPr>
        <w:t>Introduction……………………………………………………………………………</w:t>
      </w:r>
      <w:r w:rsidR="003F4CF3" w:rsidRPr="0010083A">
        <w:rPr>
          <w:rFonts w:ascii="Arial" w:hAnsi="Arial" w:cs="Arial"/>
          <w:sz w:val="22"/>
        </w:rPr>
        <w:t>…. Page</w:t>
      </w:r>
      <w:r w:rsidRPr="0010083A">
        <w:rPr>
          <w:rFonts w:ascii="Arial" w:hAnsi="Arial" w:cs="Arial"/>
          <w:sz w:val="22"/>
        </w:rPr>
        <w:t xml:space="preserve"> 3 </w:t>
      </w:r>
    </w:p>
    <w:p w14:paraId="779FE431" w14:textId="200CE778" w:rsidR="009B4772" w:rsidRPr="0010083A" w:rsidRDefault="009B4772" w:rsidP="003F4CF3">
      <w:pPr>
        <w:spacing w:line="360" w:lineRule="auto"/>
        <w:rPr>
          <w:rFonts w:ascii="Arial" w:hAnsi="Arial" w:cs="Arial"/>
          <w:sz w:val="22"/>
        </w:rPr>
      </w:pPr>
      <w:r w:rsidRPr="0010083A">
        <w:rPr>
          <w:rFonts w:ascii="Arial" w:hAnsi="Arial" w:cs="Arial"/>
          <w:sz w:val="22"/>
        </w:rPr>
        <w:t>Importance of effective communication……………………………………………</w:t>
      </w:r>
      <w:r w:rsidR="003F4CF3" w:rsidRPr="0010083A">
        <w:rPr>
          <w:rFonts w:ascii="Arial" w:hAnsi="Arial" w:cs="Arial"/>
          <w:sz w:val="22"/>
        </w:rPr>
        <w:t>…. Page</w:t>
      </w:r>
      <w:r w:rsidR="000C0DDD" w:rsidRPr="0010083A">
        <w:rPr>
          <w:rFonts w:ascii="Arial" w:hAnsi="Arial" w:cs="Arial"/>
          <w:sz w:val="22"/>
        </w:rPr>
        <w:t xml:space="preserve"> 3</w:t>
      </w:r>
      <w:r w:rsidR="0010083A" w:rsidRPr="0010083A">
        <w:rPr>
          <w:rFonts w:ascii="Arial" w:hAnsi="Arial" w:cs="Arial"/>
          <w:sz w:val="22"/>
        </w:rPr>
        <w:t>,4&amp;5</w:t>
      </w:r>
    </w:p>
    <w:p w14:paraId="1314911C" w14:textId="017A37FA" w:rsidR="009B4772" w:rsidRPr="0010083A" w:rsidRDefault="009B4772" w:rsidP="003F4CF3">
      <w:pPr>
        <w:spacing w:line="360" w:lineRule="auto"/>
        <w:rPr>
          <w:rFonts w:ascii="Arial" w:hAnsi="Arial" w:cs="Arial"/>
          <w:sz w:val="22"/>
        </w:rPr>
      </w:pPr>
      <w:r w:rsidRPr="0010083A">
        <w:rPr>
          <w:rFonts w:ascii="Arial" w:hAnsi="Arial" w:cs="Arial"/>
          <w:sz w:val="22"/>
        </w:rPr>
        <w:t>Importance of good administrative skills……………………………………………</w:t>
      </w:r>
      <w:r w:rsidR="003F4CF3" w:rsidRPr="0010083A">
        <w:rPr>
          <w:rFonts w:ascii="Arial" w:hAnsi="Arial" w:cs="Arial"/>
          <w:sz w:val="22"/>
        </w:rPr>
        <w:t>…. Page</w:t>
      </w:r>
      <w:r w:rsidR="0010083A" w:rsidRPr="0010083A">
        <w:rPr>
          <w:rFonts w:ascii="Arial" w:hAnsi="Arial" w:cs="Arial"/>
          <w:sz w:val="22"/>
        </w:rPr>
        <w:t xml:space="preserve"> 5</w:t>
      </w:r>
      <w:r w:rsidR="00575076">
        <w:rPr>
          <w:rFonts w:ascii="Arial" w:hAnsi="Arial" w:cs="Arial"/>
          <w:sz w:val="22"/>
        </w:rPr>
        <w:t>&amp;6</w:t>
      </w:r>
    </w:p>
    <w:p w14:paraId="7FA47338" w14:textId="123DB65F" w:rsidR="009B4772" w:rsidRPr="0010083A" w:rsidRDefault="009B4772" w:rsidP="003F4CF3">
      <w:pPr>
        <w:spacing w:line="360" w:lineRule="auto"/>
        <w:rPr>
          <w:rFonts w:ascii="Arial" w:hAnsi="Arial" w:cs="Arial"/>
          <w:sz w:val="22"/>
        </w:rPr>
      </w:pPr>
      <w:r w:rsidRPr="0010083A">
        <w:rPr>
          <w:rFonts w:ascii="Arial" w:hAnsi="Arial" w:cs="Arial"/>
          <w:sz w:val="22"/>
        </w:rPr>
        <w:t>Importance of working collaboratively………………………………………………</w:t>
      </w:r>
      <w:r w:rsidR="003F4CF3" w:rsidRPr="0010083A">
        <w:rPr>
          <w:rFonts w:ascii="Arial" w:hAnsi="Arial" w:cs="Arial"/>
          <w:sz w:val="22"/>
        </w:rPr>
        <w:t>…. Page</w:t>
      </w:r>
      <w:r w:rsidR="0010083A" w:rsidRPr="0010083A">
        <w:rPr>
          <w:rFonts w:ascii="Arial" w:hAnsi="Arial" w:cs="Arial"/>
          <w:sz w:val="22"/>
        </w:rPr>
        <w:t xml:space="preserve"> </w:t>
      </w:r>
      <w:r w:rsidR="00575076">
        <w:rPr>
          <w:rFonts w:ascii="Arial" w:hAnsi="Arial" w:cs="Arial"/>
          <w:sz w:val="22"/>
        </w:rPr>
        <w:t>6</w:t>
      </w:r>
      <w:r w:rsidR="008446BD">
        <w:rPr>
          <w:rFonts w:ascii="Arial" w:hAnsi="Arial" w:cs="Arial"/>
          <w:sz w:val="22"/>
        </w:rPr>
        <w:t>&amp;7</w:t>
      </w:r>
    </w:p>
    <w:p w14:paraId="7844396A" w14:textId="21723BA0" w:rsidR="009B4772" w:rsidRPr="0010083A" w:rsidRDefault="009B4772" w:rsidP="003F4CF3">
      <w:pPr>
        <w:spacing w:line="360" w:lineRule="auto"/>
        <w:rPr>
          <w:rFonts w:ascii="Arial" w:hAnsi="Arial" w:cs="Arial"/>
          <w:sz w:val="22"/>
        </w:rPr>
      </w:pPr>
      <w:r w:rsidRPr="0010083A">
        <w:rPr>
          <w:rFonts w:ascii="Arial" w:hAnsi="Arial" w:cs="Arial"/>
          <w:sz w:val="22"/>
        </w:rPr>
        <w:t>Conclusion……………………………………………………………………………</w:t>
      </w:r>
      <w:r w:rsidR="003F4CF3" w:rsidRPr="0010083A">
        <w:rPr>
          <w:rFonts w:ascii="Arial" w:hAnsi="Arial" w:cs="Arial"/>
          <w:sz w:val="22"/>
        </w:rPr>
        <w:t>…...</w:t>
      </w:r>
      <w:r w:rsidR="0010083A" w:rsidRPr="0010083A">
        <w:rPr>
          <w:rFonts w:ascii="Arial" w:hAnsi="Arial" w:cs="Arial"/>
          <w:sz w:val="22"/>
        </w:rPr>
        <w:t xml:space="preserve">Page </w:t>
      </w:r>
      <w:r w:rsidR="008446BD">
        <w:rPr>
          <w:rFonts w:ascii="Arial" w:hAnsi="Arial" w:cs="Arial"/>
          <w:sz w:val="22"/>
        </w:rPr>
        <w:t>7</w:t>
      </w:r>
    </w:p>
    <w:p w14:paraId="4F7320CB" w14:textId="23C780CD" w:rsidR="00B87E75" w:rsidRPr="0010083A" w:rsidRDefault="009B4772" w:rsidP="003F4CF3">
      <w:pPr>
        <w:spacing w:line="360" w:lineRule="auto"/>
        <w:rPr>
          <w:rFonts w:ascii="Arial" w:hAnsi="Arial" w:cs="Arial"/>
          <w:sz w:val="22"/>
        </w:rPr>
      </w:pPr>
      <w:r w:rsidRPr="0010083A">
        <w:rPr>
          <w:rFonts w:ascii="Arial" w:hAnsi="Arial" w:cs="Arial"/>
          <w:sz w:val="22"/>
        </w:rPr>
        <w:t>Reference list…………………………………………………………………………</w:t>
      </w:r>
      <w:r w:rsidR="003F4CF3" w:rsidRPr="0010083A">
        <w:rPr>
          <w:rFonts w:ascii="Arial" w:hAnsi="Arial" w:cs="Arial"/>
          <w:sz w:val="22"/>
        </w:rPr>
        <w:t xml:space="preserve">…. </w:t>
      </w:r>
      <w:r w:rsidR="00ED25F4">
        <w:rPr>
          <w:rFonts w:ascii="Arial" w:hAnsi="Arial" w:cs="Arial"/>
          <w:sz w:val="22"/>
        </w:rPr>
        <w:t>Page 8</w:t>
      </w:r>
      <w:r w:rsidR="00B87E75" w:rsidRPr="0010083A">
        <w:rPr>
          <w:rFonts w:ascii="Arial" w:hAnsi="Arial" w:cs="Arial"/>
          <w:sz w:val="22"/>
        </w:rPr>
        <w:br w:type="page"/>
      </w:r>
    </w:p>
    <w:p w14:paraId="12D76753" w14:textId="393172FB" w:rsidR="00B87E75" w:rsidRDefault="00B87E75" w:rsidP="00EA141B">
      <w:pPr>
        <w:pStyle w:val="Heading1"/>
        <w:rPr>
          <w:rFonts w:cs="Arial"/>
          <w:sz w:val="22"/>
        </w:rPr>
      </w:pPr>
      <w:r w:rsidRPr="00EA141B">
        <w:rPr>
          <w:rFonts w:cs="Arial"/>
          <w:sz w:val="22"/>
        </w:rPr>
        <w:lastRenderedPageBreak/>
        <w:t>1. Introduction</w:t>
      </w:r>
    </w:p>
    <w:p w14:paraId="34D0FB95" w14:textId="77777777" w:rsidR="009841FE" w:rsidRDefault="009841FE" w:rsidP="009841FE">
      <w:pPr>
        <w:spacing w:line="360" w:lineRule="auto"/>
        <w:rPr>
          <w:rFonts w:ascii="Arial" w:hAnsi="Arial" w:cs="Arial"/>
          <w:sz w:val="22"/>
        </w:rPr>
      </w:pPr>
      <w:r w:rsidRPr="009841FE">
        <w:rPr>
          <w:rFonts w:ascii="Arial" w:hAnsi="Arial" w:cs="Arial"/>
          <w:sz w:val="22"/>
        </w:rPr>
        <w:t xml:space="preserve">This report examines the care of Mr Ahmed, a 68-year-old man recovering from a stroke who is supported by a multidisciplinary team within a community setting. The assignment focuses on three key aspects of professional practice: effective communication, administrative skills, and collaborative working. It explores how communication can be adapted to meet Mr Ahmed’s specific needs, particularly </w:t>
      </w:r>
      <w:r w:rsidRPr="009841FE">
        <w:rPr>
          <w:rFonts w:ascii="Arial" w:hAnsi="Arial" w:cs="Arial"/>
          <w:sz w:val="22"/>
        </w:rPr>
        <w:t>considering</w:t>
      </w:r>
      <w:r w:rsidRPr="009841FE">
        <w:rPr>
          <w:rFonts w:ascii="Arial" w:hAnsi="Arial" w:cs="Arial"/>
          <w:sz w:val="22"/>
        </w:rPr>
        <w:t xml:space="preserve"> his limited English proficiency and reliance on his wife for support, while reflecting on the principles of the Equality Act 2010, which promotes inclusive and non-discriminatory care. </w:t>
      </w:r>
    </w:p>
    <w:p w14:paraId="7A31054F" w14:textId="50504896" w:rsidR="009841FE" w:rsidRPr="009841FE" w:rsidRDefault="009841FE" w:rsidP="009841FE">
      <w:pPr>
        <w:spacing w:line="360" w:lineRule="auto"/>
        <w:rPr>
          <w:rFonts w:ascii="Arial" w:hAnsi="Arial" w:cs="Arial"/>
          <w:sz w:val="22"/>
        </w:rPr>
      </w:pPr>
      <w:r w:rsidRPr="009841FE">
        <w:rPr>
          <w:rFonts w:ascii="Arial" w:hAnsi="Arial" w:cs="Arial"/>
          <w:sz w:val="22"/>
        </w:rPr>
        <w:t>In addition, the report analyses the importance of accurate record keeping and effective administrative systems in supporting safe and consistent care delivery, with reference to the Data Protection Act 2018, which governs the lawful handling of personal information within health and social care settings (Information Commissioner’s Office, 2023). The analysis is informed by a recent incident within Mr Ahmed’s care, which highlights the consequences of breakdowns in communication, administration, and coordination across services.</w:t>
      </w:r>
    </w:p>
    <w:p w14:paraId="73B07562" w14:textId="0E99FAFE" w:rsidR="008E3943" w:rsidRDefault="0026393A" w:rsidP="009841FE">
      <w:pPr>
        <w:pStyle w:val="Heading1"/>
        <w:rPr>
          <w:rFonts w:cs="Arial"/>
          <w:sz w:val="22"/>
        </w:rPr>
      </w:pPr>
      <w:r w:rsidRPr="0010083A">
        <w:rPr>
          <w:rFonts w:cs="Arial"/>
          <w:sz w:val="22"/>
        </w:rPr>
        <w:t xml:space="preserve">2. </w:t>
      </w:r>
      <w:r w:rsidR="008E3943" w:rsidRPr="0010083A">
        <w:rPr>
          <w:rFonts w:cs="Arial"/>
          <w:sz w:val="22"/>
        </w:rPr>
        <w:t>Importance of effective communication</w:t>
      </w:r>
    </w:p>
    <w:p w14:paraId="1E644C21" w14:textId="67C1031E" w:rsidR="007659B0" w:rsidRPr="007659B0" w:rsidRDefault="007659B0" w:rsidP="007659B0">
      <w:pPr>
        <w:spacing w:line="360" w:lineRule="auto"/>
        <w:rPr>
          <w:rFonts w:ascii="Arial" w:hAnsi="Arial" w:cs="Arial"/>
          <w:sz w:val="22"/>
        </w:rPr>
      </w:pPr>
      <w:r w:rsidRPr="007659B0">
        <w:rPr>
          <w:rFonts w:ascii="Arial" w:hAnsi="Arial" w:cs="Arial"/>
          <w:sz w:val="22"/>
        </w:rPr>
        <w:t>Effective, person-centred care in health and social care settings relies on clear, purposeful communication that is responsive to individual needs and circumstances (Health and Social Care Act 2008). In Mr Ahmed’s case, complex factors such as physical limitations following his stroke, potential cognitive changes, and significant language barriers require a tailored and sensitive communication approach to promote safety, dignity, and wellbeing (NHS England, 2016).</w:t>
      </w:r>
      <w:r w:rsidR="00040D9B" w:rsidRPr="00040D9B">
        <w:rPr>
          <w:rFonts w:ascii="Segoe UI" w:eastAsia="Times New Roman" w:hAnsi="Segoe UI" w:cs="Segoe UI"/>
          <w:sz w:val="21"/>
          <w:szCs w:val="21"/>
          <w:lang w:eastAsia="en-GB"/>
        </w:rPr>
        <w:t xml:space="preserve"> </w:t>
      </w:r>
      <w:r w:rsidR="00040D9B" w:rsidRPr="00040D9B">
        <w:rPr>
          <w:rFonts w:ascii="Arial" w:hAnsi="Arial" w:cs="Arial"/>
          <w:sz w:val="22"/>
        </w:rPr>
        <w:t>Practitioners must therefore adapt their communication methods in line with legal frameworks such as the Equality Act 2010, which places a statutory duty on services to make reasonable adjustments and proactively remove barriers that may otherwise exclude individuals from meaningful involvement in their care.</w:t>
      </w:r>
      <w:r w:rsidR="00040D9B">
        <w:rPr>
          <w:rFonts w:ascii="Arial" w:hAnsi="Arial" w:cs="Arial"/>
          <w:sz w:val="22"/>
        </w:rPr>
        <w:t xml:space="preserve"> </w:t>
      </w:r>
      <w:r w:rsidRPr="007659B0">
        <w:rPr>
          <w:rFonts w:ascii="Arial" w:hAnsi="Arial" w:cs="Arial"/>
          <w:sz w:val="22"/>
        </w:rPr>
        <w:t>This includes ensuring that information is accessible and that Mr Ahmed is actively involved in discussions about his care rather than excluded due to communication difficulties.</w:t>
      </w:r>
    </w:p>
    <w:p w14:paraId="60353C6D" w14:textId="780D81AE" w:rsidR="003F4CF3" w:rsidRDefault="00575076" w:rsidP="00575076">
      <w:pPr>
        <w:spacing w:line="360" w:lineRule="auto"/>
        <w:rPr>
          <w:rFonts w:ascii="Arial" w:hAnsi="Arial" w:cs="Arial"/>
          <w:sz w:val="22"/>
        </w:rPr>
      </w:pPr>
      <w:r w:rsidRPr="00575076">
        <w:rPr>
          <w:rFonts w:ascii="Arial" w:hAnsi="Arial" w:cs="Arial"/>
          <w:sz w:val="22"/>
        </w:rPr>
        <w:t xml:space="preserve">Research indicates that ineffective communication between primary, community and specialist services can lead to unmet needs, disjointed </w:t>
      </w:r>
      <w:r w:rsidR="007659B0" w:rsidRPr="00575076">
        <w:rPr>
          <w:rFonts w:ascii="Arial" w:hAnsi="Arial" w:cs="Arial"/>
          <w:sz w:val="22"/>
        </w:rPr>
        <w:t>care,</w:t>
      </w:r>
      <w:r w:rsidRPr="00575076">
        <w:rPr>
          <w:rFonts w:ascii="Arial" w:hAnsi="Arial" w:cs="Arial"/>
          <w:sz w:val="22"/>
        </w:rPr>
        <w:t xml:space="preserve"> and increased risk of safety incidents (Aquino et al., 2020; NHS England, 2016). In Mr Ahmed’s case, these risks are further heightened by the interaction of</w:t>
      </w:r>
      <w:r w:rsidR="003F4CF3">
        <w:rPr>
          <w:rFonts w:ascii="Arial" w:hAnsi="Arial" w:cs="Arial"/>
          <w:sz w:val="22"/>
        </w:rPr>
        <w:t xml:space="preserve"> possible</w:t>
      </w:r>
      <w:r w:rsidRPr="00575076">
        <w:rPr>
          <w:rFonts w:ascii="Arial" w:hAnsi="Arial" w:cs="Arial"/>
          <w:sz w:val="22"/>
        </w:rPr>
        <w:t xml:space="preserve"> cognitive changes and language barriers. The Equality Act 2010 outlines the duty to avoid discrimination and make reasonable adjustments for individuals with protected characteristics, including disability and communication needs (Government Equalities Office, 2015; Equality Act 2010). For Mr Ahmed, this includes providing appropriate language support, simplifying verbal and written communication, and ensuring information is accessible in a format he can understand. </w:t>
      </w:r>
      <w:r w:rsidRPr="00575076">
        <w:rPr>
          <w:rFonts w:ascii="Arial" w:hAnsi="Arial" w:cs="Arial"/>
          <w:sz w:val="22"/>
        </w:rPr>
        <w:lastRenderedPageBreak/>
        <w:t xml:space="preserve">These adjustments uphold equity and align with person-centred care principles. Reasonable adjustments may include the use of interpreters, translated materials, visual aids, or communication boards, which are particularly important for stroke survivors who may experience conditions such as aphasia or dysarthria. </w:t>
      </w:r>
    </w:p>
    <w:p w14:paraId="04C33F4B" w14:textId="77777777" w:rsidR="00040D9B" w:rsidRPr="00040D9B" w:rsidRDefault="00575076" w:rsidP="00040D9B">
      <w:pPr>
        <w:spacing w:line="360" w:lineRule="auto"/>
        <w:rPr>
          <w:rFonts w:ascii="Arial" w:hAnsi="Arial" w:cs="Arial"/>
          <w:sz w:val="22"/>
        </w:rPr>
      </w:pPr>
      <w:r w:rsidRPr="00575076">
        <w:rPr>
          <w:rFonts w:ascii="Arial" w:hAnsi="Arial" w:cs="Arial"/>
          <w:sz w:val="22"/>
        </w:rPr>
        <w:t xml:space="preserve">Egan’s SOLER model provides a structured approach to active listening and effective non-verbal communication in healthcare interactions (Egan, 2014), focusing on open posture, appropriate eye contact, leaning towards the service user, eye contact, and attentive body language. In Mr Ahmed’s case, applying SOLER principles is essential due to his post-stroke communication difficulties and limited English proficiency, as these barriers increase the risk of misunderstanding during care delivery. Consistent use of SOLER by care staff would support clearer interaction, reduce anxiety, and ensure that Mr Ahmed is fully engaged in discussions about his care needs rather than relying solely on his wife as a communication intermediary. The relevance of effective communication becomes particularly evident in relation to the recent missed domiciliary visit and resulting delay in medication administration. Had staff engaged directly with Mr Ahmed using SOLER principles, they may have been better able to confirm understanding of his medication routine, identify potential confusion, or detect early warning signs that care was not being delivered appropriately. </w:t>
      </w:r>
      <w:r w:rsidR="00040D9B" w:rsidRPr="00040D9B">
        <w:rPr>
          <w:rFonts w:ascii="Arial" w:hAnsi="Arial" w:cs="Arial"/>
          <w:sz w:val="22"/>
        </w:rPr>
        <w:t>This critically highlights how poor communication and a lack of direct engagement with the service user can significantly increase the risk of avoidable safety incidents within community care settings.</w:t>
      </w:r>
    </w:p>
    <w:p w14:paraId="4009AB04" w14:textId="21813A5E" w:rsidR="00C92B26" w:rsidRPr="00C92B26" w:rsidRDefault="00575076" w:rsidP="00C92B26">
      <w:pPr>
        <w:spacing w:line="360" w:lineRule="auto"/>
        <w:rPr>
          <w:rFonts w:ascii="Arial" w:hAnsi="Arial" w:cs="Arial"/>
          <w:sz w:val="22"/>
        </w:rPr>
      </w:pPr>
      <w:r w:rsidRPr="00575076">
        <w:rPr>
          <w:rFonts w:ascii="Arial" w:hAnsi="Arial" w:cs="Arial"/>
          <w:sz w:val="22"/>
        </w:rPr>
        <w:t xml:space="preserve">Therefore, SOLER is not only a communication technique but also a safeguarding tool that supports accuracy, accountability, and continuity of care in line with professional expectations. Evidence suggests that enabling stroke survivors to participate actively in communication improves engagement and supports shared decision-making </w:t>
      </w:r>
      <w:r w:rsidR="00C92B26">
        <w:rPr>
          <w:rFonts w:ascii="Arial" w:hAnsi="Arial" w:cs="Arial"/>
          <w:sz w:val="22"/>
        </w:rPr>
        <w:t>(</w:t>
      </w:r>
      <w:r w:rsidR="00C92B26" w:rsidRPr="00C92B26">
        <w:rPr>
          <w:rFonts w:ascii="Arial" w:hAnsi="Arial" w:cs="Arial"/>
          <w:sz w:val="22"/>
        </w:rPr>
        <w:t>NHS England</w:t>
      </w:r>
      <w:r w:rsidR="00C92B26">
        <w:rPr>
          <w:rFonts w:ascii="Arial" w:hAnsi="Arial" w:cs="Arial"/>
          <w:sz w:val="22"/>
        </w:rPr>
        <w:t xml:space="preserve">, </w:t>
      </w:r>
      <w:r w:rsidR="00C92B26" w:rsidRPr="00C92B26">
        <w:rPr>
          <w:rFonts w:ascii="Arial" w:hAnsi="Arial" w:cs="Arial"/>
          <w:sz w:val="22"/>
        </w:rPr>
        <w:t>2016)</w:t>
      </w:r>
      <w:r w:rsidR="00C92B26">
        <w:rPr>
          <w:rFonts w:ascii="Arial" w:hAnsi="Arial" w:cs="Arial"/>
          <w:sz w:val="22"/>
        </w:rPr>
        <w:t>.</w:t>
      </w:r>
    </w:p>
    <w:p w14:paraId="01054731" w14:textId="4DF29032" w:rsidR="00575076" w:rsidRPr="00575076" w:rsidRDefault="00575076" w:rsidP="00575076">
      <w:pPr>
        <w:spacing w:line="360" w:lineRule="auto"/>
        <w:rPr>
          <w:rFonts w:ascii="Arial" w:hAnsi="Arial" w:cs="Arial"/>
          <w:sz w:val="22"/>
        </w:rPr>
      </w:pPr>
      <w:r w:rsidRPr="00575076">
        <w:rPr>
          <w:rFonts w:ascii="Arial" w:hAnsi="Arial" w:cs="Arial"/>
          <w:sz w:val="22"/>
        </w:rPr>
        <w:t xml:space="preserve">This approach aligns with the principles of the Care Act 2014, which emphasises wellbeing, empowerment, and active involvement in care planning. Furthermore, culturally competent communication is essential in ensuring safe and effective care delivery. Mr Ahmed’s cultural background, beliefs, and preferred communication style should be actively acknowledged </w:t>
      </w:r>
      <w:proofErr w:type="gramStart"/>
      <w:r w:rsidRPr="00575076">
        <w:rPr>
          <w:rFonts w:ascii="Arial" w:hAnsi="Arial" w:cs="Arial"/>
          <w:sz w:val="22"/>
        </w:rPr>
        <w:t>in order to</w:t>
      </w:r>
      <w:proofErr w:type="gramEnd"/>
      <w:r w:rsidRPr="00575076">
        <w:rPr>
          <w:rFonts w:ascii="Arial" w:hAnsi="Arial" w:cs="Arial"/>
          <w:sz w:val="22"/>
        </w:rPr>
        <w:t xml:space="preserve"> build trust, rapport, and therapeutic relationships with healthcare professionals (NHS England, 2018). Cultural competence also helps to prevent assumptions that family members should automatically </w:t>
      </w:r>
      <w:proofErr w:type="gramStart"/>
      <w:r w:rsidRPr="00575076">
        <w:rPr>
          <w:rFonts w:ascii="Arial" w:hAnsi="Arial" w:cs="Arial"/>
          <w:sz w:val="22"/>
        </w:rPr>
        <w:t>act as</w:t>
      </w:r>
      <w:proofErr w:type="gramEnd"/>
      <w:r w:rsidRPr="00575076">
        <w:rPr>
          <w:rFonts w:ascii="Arial" w:hAnsi="Arial" w:cs="Arial"/>
          <w:sz w:val="22"/>
        </w:rPr>
        <w:t xml:space="preserve"> interpreters, as this can compromise confidentiality, introduce inaccuracies, and reduce patient autonomy. Guidance highlights that using untrained family members for interpretation may increase the risk of miscommunication and negatively impact patient safety (Care Quality Commission, 2022). Overall, communication </w:t>
      </w:r>
      <w:r w:rsidRPr="00575076">
        <w:rPr>
          <w:rFonts w:ascii="Arial" w:hAnsi="Arial" w:cs="Arial"/>
          <w:sz w:val="22"/>
        </w:rPr>
        <w:lastRenderedPageBreak/>
        <w:t>that is legally compliant, culturally sensitive, and therapeutically informed is essential for promoting safe, inclusive, and person-centred care.</w:t>
      </w:r>
    </w:p>
    <w:p w14:paraId="60B2CDC3" w14:textId="12EE5464" w:rsidR="00B87E75" w:rsidRDefault="0026393A" w:rsidP="0010083A">
      <w:pPr>
        <w:pStyle w:val="Heading1"/>
        <w:rPr>
          <w:rFonts w:cs="Arial"/>
          <w:sz w:val="22"/>
        </w:rPr>
      </w:pPr>
      <w:r w:rsidRPr="0010083A">
        <w:rPr>
          <w:rFonts w:cs="Arial"/>
          <w:sz w:val="22"/>
        </w:rPr>
        <w:t>3</w:t>
      </w:r>
      <w:r w:rsidR="00B87E75" w:rsidRPr="0010083A">
        <w:rPr>
          <w:rFonts w:cs="Arial"/>
          <w:sz w:val="22"/>
        </w:rPr>
        <w:t>.</w:t>
      </w:r>
      <w:r w:rsidR="008E3943" w:rsidRPr="0010083A">
        <w:rPr>
          <w:rFonts w:cs="Arial"/>
          <w:sz w:val="22"/>
        </w:rPr>
        <w:t xml:space="preserve"> Importance of good administrative skills </w:t>
      </w:r>
    </w:p>
    <w:p w14:paraId="393AF46B" w14:textId="53320D7E" w:rsidR="007659B0" w:rsidRPr="007659B0" w:rsidRDefault="007659B0" w:rsidP="007659B0">
      <w:pPr>
        <w:spacing w:line="360" w:lineRule="auto"/>
        <w:rPr>
          <w:rFonts w:ascii="Arial" w:hAnsi="Arial" w:cs="Arial"/>
          <w:sz w:val="22"/>
        </w:rPr>
      </w:pPr>
      <w:r w:rsidRPr="007659B0">
        <w:rPr>
          <w:rFonts w:ascii="Arial" w:hAnsi="Arial" w:cs="Arial"/>
          <w:sz w:val="22"/>
        </w:rPr>
        <w:t xml:space="preserve">High-quality administrative practice underpins safe, coordinated, and person-centred care within health and social care settings. Effective record keeping ensures that professionals involved in Mr Ahmed’s care have access to accurate, timely, and relevant information regarding his health status, care needs, and ongoing progress, which is essential in preventing errors and maintaining continuity of care. </w:t>
      </w:r>
      <w:r w:rsidR="00040D9B" w:rsidRPr="00040D9B">
        <w:rPr>
          <w:rFonts w:ascii="Arial" w:hAnsi="Arial" w:cs="Arial"/>
          <w:sz w:val="22"/>
        </w:rPr>
        <w:t>Failures in documentation and administrative systems have been widely identified as key contributors to preventable patient safety incidents in community settings, particularly where service users have complex and ongoing needs</w:t>
      </w:r>
      <w:r w:rsidR="00040D9B">
        <w:rPr>
          <w:rFonts w:ascii="Arial" w:hAnsi="Arial" w:cs="Arial"/>
          <w:sz w:val="22"/>
        </w:rPr>
        <w:t xml:space="preserve"> </w:t>
      </w:r>
      <w:r w:rsidRPr="007659B0">
        <w:rPr>
          <w:rFonts w:ascii="Arial" w:hAnsi="Arial" w:cs="Arial"/>
          <w:sz w:val="22"/>
        </w:rPr>
        <w:t>(Care Quality Commission, 2022). For Mr Ahmed, whose post-stroke condition requires careful monitoring of medication, blood pressure, and swallowing difficulties, consistent and reliable record keeping is particularly important to support proactive and safe care delivery.</w:t>
      </w:r>
    </w:p>
    <w:p w14:paraId="78FC997E" w14:textId="7550EB8C" w:rsidR="00153BDD" w:rsidRPr="00153BDD" w:rsidRDefault="007659B0" w:rsidP="00153BDD">
      <w:pPr>
        <w:spacing w:line="360" w:lineRule="auto"/>
        <w:rPr>
          <w:rFonts w:ascii="Arial" w:hAnsi="Arial" w:cs="Arial"/>
          <w:sz w:val="22"/>
        </w:rPr>
      </w:pPr>
      <w:r w:rsidRPr="007659B0">
        <w:rPr>
          <w:rFonts w:ascii="Arial" w:hAnsi="Arial" w:cs="Arial"/>
          <w:sz w:val="22"/>
        </w:rPr>
        <w:t>Administrative practice must also comply with legal requirements relating to information governance. The Data Protection Act 2018 (DPA 2018), alongside the UK General Data Protection Regulation (UK GDPR), sets out clear principles for the lawful, fair, and secure processing of personal data within health and social care settings (Information Commissioner’s Office, 2023). As Mr Ahmed’s records contain sensitive health information classified as special category data, additional safeguards are required to protect confidentiality and privacy. These include restricting access to authorised professionals only, ensuring records are accurate and up to date, and applying appropriate security measures to both electronic and paper-based systems.</w:t>
      </w:r>
      <w:r w:rsidR="00153BDD" w:rsidRPr="00153BDD">
        <w:rPr>
          <w:rFonts w:ascii="Segoe UI" w:eastAsia="Times New Roman" w:hAnsi="Segoe UI" w:cs="Segoe UI"/>
          <w:sz w:val="21"/>
          <w:szCs w:val="21"/>
          <w:lang w:eastAsia="en-GB"/>
        </w:rPr>
        <w:t xml:space="preserve"> </w:t>
      </w:r>
      <w:r w:rsidR="00153BDD" w:rsidRPr="00153BDD">
        <w:rPr>
          <w:rFonts w:ascii="Arial" w:hAnsi="Arial" w:cs="Arial"/>
          <w:sz w:val="22"/>
        </w:rPr>
        <w:t xml:space="preserve">Adherence to these principles not only supports professional accountability and maintains service user </w:t>
      </w:r>
      <w:r w:rsidR="00153BDD" w:rsidRPr="00153BDD">
        <w:rPr>
          <w:rFonts w:ascii="Arial" w:hAnsi="Arial" w:cs="Arial"/>
          <w:sz w:val="22"/>
        </w:rPr>
        <w:t>trust but</w:t>
      </w:r>
      <w:r w:rsidR="00153BDD" w:rsidRPr="00153BDD">
        <w:rPr>
          <w:rFonts w:ascii="Arial" w:hAnsi="Arial" w:cs="Arial"/>
          <w:sz w:val="22"/>
        </w:rPr>
        <w:t xml:space="preserve"> also enables proportionate and lawful information sharing that is essential for effective multidisciplinary decision</w:t>
      </w:r>
      <w:r w:rsidR="00153BDD" w:rsidRPr="00153BDD">
        <w:rPr>
          <w:rFonts w:ascii="Arial" w:hAnsi="Arial" w:cs="Arial"/>
          <w:sz w:val="22"/>
        </w:rPr>
        <w:noBreakHyphen/>
        <w:t>making.</w:t>
      </w:r>
    </w:p>
    <w:p w14:paraId="49B55576" w14:textId="228D0E69" w:rsidR="00575076" w:rsidRPr="00575076" w:rsidRDefault="00575076" w:rsidP="00575076">
      <w:pPr>
        <w:spacing w:line="360" w:lineRule="auto"/>
        <w:rPr>
          <w:rFonts w:ascii="Arial" w:hAnsi="Arial" w:cs="Arial"/>
          <w:sz w:val="22"/>
        </w:rPr>
      </w:pPr>
      <w:r w:rsidRPr="00575076">
        <w:rPr>
          <w:rFonts w:ascii="Arial" w:hAnsi="Arial" w:cs="Arial"/>
          <w:sz w:val="22"/>
        </w:rPr>
        <w:t xml:space="preserve">These principles ensure that personal data is processed ethically, lawfully, and only for specified purposes within health and social care settings. They apply to both electronic and paper-based records, ensuring that Mr Ahmed’s information is kept accurate, up to date, and accessible only to authorised personnel. In practice, this requires staff to avoid unnecessary duplication of records, update documentation promptly following any changes in care, and ensure that any inaccuracies are corrected in a transparent and accountable manner. These processes are essential for maintaining data security, supporting continuity of care, and ensuring safe, person-centred decision-making. Additionally, the Health and Social Care Act 2008 require providers to maintain accurate, complete, and securely managed care records as part of delivering safe and effective services (Health and Social Care Act 2008). This is </w:t>
      </w:r>
      <w:r w:rsidRPr="00575076">
        <w:rPr>
          <w:rFonts w:ascii="Arial" w:hAnsi="Arial" w:cs="Arial"/>
          <w:sz w:val="22"/>
        </w:rPr>
        <w:lastRenderedPageBreak/>
        <w:t>reinforced by the Care Act 2014, which emphasises the importance of transparency, accountability, and person-centred documentation in care planning and delivery (Care Act 2014). Together, these legal frameworks ensure that administrative practices meet required standards and support the safe coordination of care across multidisciplinary teams. In Mr Ahmed’s case, adherence to these requirements is essential for ensuring that all professionals involved in his care have access to reliable and up-to-date information, reducing the risk of errors and supporting continuity of care. Administrative skills also extend to scheduling, communication logs, risk assessments, and care planning, all of which are essential for safe and coordinated service delivery. The missed domiciliary visit in Mr Ahmed’s case indicates a potential breakdown in administrative processes, such as rota management, communication between the care agency, and coordination within the multidisciplinary team. Failures in care coordination and record management are recognised as key factors contributing to avoidable safety incidents in community health and social care settings (Care Quality Commission, 2022). Strengthening administrative systems—such as the use of digital scheduling tools, automated alerts, and shared electronic care plans—can improve communication between professionals and reduce the likelihood of similar incidents recurring, thereby enhancing patient safety and continuity of care.</w:t>
      </w:r>
    </w:p>
    <w:p w14:paraId="581C99BF" w14:textId="6C1A7FDE" w:rsidR="00B87E75" w:rsidRDefault="004A736E" w:rsidP="0010083A">
      <w:pPr>
        <w:pStyle w:val="Heading1"/>
        <w:rPr>
          <w:rFonts w:cs="Arial"/>
          <w:sz w:val="22"/>
        </w:rPr>
      </w:pPr>
      <w:r w:rsidRPr="0010083A">
        <w:rPr>
          <w:rFonts w:cs="Arial"/>
          <w:sz w:val="22"/>
        </w:rPr>
        <w:t>4</w:t>
      </w:r>
      <w:r w:rsidR="00B87E75" w:rsidRPr="0010083A">
        <w:rPr>
          <w:rFonts w:cs="Arial"/>
          <w:sz w:val="22"/>
        </w:rPr>
        <w:t xml:space="preserve">. </w:t>
      </w:r>
      <w:r w:rsidR="008E3943" w:rsidRPr="0010083A">
        <w:rPr>
          <w:rFonts w:cs="Arial"/>
          <w:sz w:val="22"/>
        </w:rPr>
        <w:t>Importance of working collaboratively</w:t>
      </w:r>
    </w:p>
    <w:p w14:paraId="26D93F9C" w14:textId="77777777" w:rsidR="00040D9B" w:rsidRDefault="00575076" w:rsidP="00575076">
      <w:pPr>
        <w:spacing w:line="360" w:lineRule="auto"/>
        <w:rPr>
          <w:rFonts w:ascii="Arial" w:hAnsi="Arial" w:cs="Arial"/>
          <w:sz w:val="22"/>
        </w:rPr>
      </w:pPr>
      <w:r w:rsidRPr="00575076">
        <w:rPr>
          <w:rFonts w:ascii="Arial" w:hAnsi="Arial" w:cs="Arial"/>
          <w:sz w:val="22"/>
        </w:rPr>
        <w:t>Collaborative working is essential to ensuring coordinated and holistic care for Mr Ahmed. His recovery depends on input from multiple professionals whose roles must interconnect effectively within a multidisciplinary team approach. The General Practitioner (GP) is responsible for overseeing his overall medical management, the district nurse provides wound care and monitors his clinical condition, the Speech and Language Therapist (SALT) support communication and swallowing difficulties, and domiciliary care staff assist with activities of daily living. Effective collaboration requires clear communication, timely information sharing, and consistent implementation of shared care plans across all professionals involved.</w:t>
      </w:r>
    </w:p>
    <w:p w14:paraId="4C67C2F8" w14:textId="3F1484C6" w:rsidR="00153BDD" w:rsidRDefault="00153BDD" w:rsidP="00575076">
      <w:pPr>
        <w:spacing w:line="360" w:lineRule="auto"/>
        <w:rPr>
          <w:rFonts w:ascii="Arial" w:hAnsi="Arial" w:cs="Arial"/>
          <w:sz w:val="22"/>
        </w:rPr>
      </w:pPr>
      <w:r w:rsidRPr="00153BDD">
        <w:rPr>
          <w:rFonts w:ascii="Arial" w:hAnsi="Arial" w:cs="Arial"/>
          <w:sz w:val="22"/>
        </w:rPr>
        <w:t>Poor coordination between services has consistently been identified as a key factor contributing to fragmented care, demonstrating how ineffective collaborative working can directly compromise patient safety in community health settings</w:t>
      </w:r>
      <w:r>
        <w:rPr>
          <w:rFonts w:ascii="Arial" w:hAnsi="Arial" w:cs="Arial"/>
          <w:sz w:val="22"/>
        </w:rPr>
        <w:t xml:space="preserve"> </w:t>
      </w:r>
      <w:r w:rsidR="00575076" w:rsidRPr="00575076">
        <w:rPr>
          <w:rFonts w:ascii="Arial" w:hAnsi="Arial" w:cs="Arial"/>
          <w:sz w:val="22"/>
        </w:rPr>
        <w:t xml:space="preserve">(Care Quality Commission, 2022). </w:t>
      </w:r>
    </w:p>
    <w:p w14:paraId="7B2AACC5" w14:textId="77777777" w:rsidR="00153BDD" w:rsidRDefault="00575076" w:rsidP="00575076">
      <w:pPr>
        <w:spacing w:line="360" w:lineRule="auto"/>
        <w:rPr>
          <w:rFonts w:ascii="Arial" w:hAnsi="Arial" w:cs="Arial"/>
          <w:sz w:val="22"/>
        </w:rPr>
      </w:pPr>
      <w:r w:rsidRPr="00575076">
        <w:rPr>
          <w:rFonts w:ascii="Arial" w:hAnsi="Arial" w:cs="Arial"/>
          <w:sz w:val="22"/>
        </w:rPr>
        <w:t xml:space="preserve">Effective multi-agency collaboration therefore requires clear and structured communication systems, including shared digital records, standardised handovers, multidisciplinary team (MDT) meetings, and timely information sharing between services. These mechanisms help </w:t>
      </w:r>
      <w:r w:rsidRPr="00575076">
        <w:rPr>
          <w:rFonts w:ascii="Arial" w:hAnsi="Arial" w:cs="Arial"/>
          <w:sz w:val="22"/>
        </w:rPr>
        <w:lastRenderedPageBreak/>
        <w:t>ensure that all professionals maintain a consistent and up-to-date understanding of Mr Ahmed’s condition and care requirements</w:t>
      </w:r>
      <w:r w:rsidR="00153BDD">
        <w:rPr>
          <w:rFonts w:ascii="Arial" w:hAnsi="Arial" w:cs="Arial"/>
          <w:sz w:val="22"/>
        </w:rPr>
        <w:t xml:space="preserve">. </w:t>
      </w:r>
    </w:p>
    <w:p w14:paraId="40BC1DBE" w14:textId="3FAD6C90" w:rsidR="000D3B79" w:rsidRDefault="00575076" w:rsidP="00575076">
      <w:pPr>
        <w:spacing w:line="360" w:lineRule="auto"/>
        <w:rPr>
          <w:rFonts w:ascii="Arial" w:hAnsi="Arial" w:cs="Arial"/>
          <w:sz w:val="22"/>
        </w:rPr>
      </w:pPr>
      <w:r w:rsidRPr="00575076">
        <w:rPr>
          <w:rFonts w:ascii="Arial" w:hAnsi="Arial" w:cs="Arial"/>
          <w:sz w:val="22"/>
        </w:rPr>
        <w:t xml:space="preserve">Compliance with the Data Protection Act 2018, alongside the UK GDPR, further supports effective collaborative working by ensuring that personal information is shared lawfully, securely, and only with appropriate professionals involved in care delivery (Information Commissioner’s Office, 2023). </w:t>
      </w:r>
    </w:p>
    <w:p w14:paraId="3AA8EC53" w14:textId="11D558CB" w:rsidR="00575076" w:rsidRPr="00575076" w:rsidRDefault="00575076" w:rsidP="00575076">
      <w:pPr>
        <w:spacing w:line="360" w:lineRule="auto"/>
        <w:rPr>
          <w:rFonts w:ascii="Arial" w:hAnsi="Arial" w:cs="Arial"/>
          <w:sz w:val="22"/>
        </w:rPr>
      </w:pPr>
      <w:r w:rsidRPr="00575076">
        <w:rPr>
          <w:rFonts w:ascii="Arial" w:hAnsi="Arial" w:cs="Arial"/>
          <w:sz w:val="22"/>
        </w:rPr>
        <w:t>Collaborative working is strongly aligned with the NHS Long Term Plan, which promotes the development of Integrated Care Systems (ICSs) to improve coordination and partnership working across health and social care services (NHS Long Term Plan, 2019). For Mr Ahmed, this approach requires professionals from different disciplines to work together to develop a coordinated care plan that reflects his individual goals, preferences, and rehabilitation needs following his stroke. Effective integration ensures that care is not delivered in isolation but is instead shared across services in a structured and consistent manner. Joint reviews, shared risk assessments, and regular multidisciplinary team (MDT) discussions support continuity of care and help ensure that interventions remain responsive to changes in Mr Ahmed’s condition, thereby promoting safe, person-centred, and adaptive care delivery.</w:t>
      </w:r>
    </w:p>
    <w:p w14:paraId="16FAF0EA" w14:textId="2F93A55A" w:rsidR="00B87E75" w:rsidRPr="0010083A" w:rsidRDefault="008E3943" w:rsidP="0010083A">
      <w:pPr>
        <w:pStyle w:val="Heading1"/>
        <w:rPr>
          <w:rFonts w:cs="Arial"/>
          <w:sz w:val="22"/>
        </w:rPr>
      </w:pPr>
      <w:r w:rsidRPr="0010083A">
        <w:rPr>
          <w:rFonts w:cs="Arial"/>
          <w:sz w:val="22"/>
        </w:rPr>
        <w:t>5</w:t>
      </w:r>
      <w:r w:rsidR="00B87E75" w:rsidRPr="0010083A">
        <w:rPr>
          <w:rFonts w:cs="Arial"/>
          <w:sz w:val="22"/>
        </w:rPr>
        <w:t>. Conclusion</w:t>
      </w:r>
      <w:r w:rsidR="00CD33A8" w:rsidRPr="0010083A">
        <w:rPr>
          <w:rFonts w:cs="Arial"/>
          <w:sz w:val="22"/>
        </w:rPr>
        <w:t xml:space="preserve"> </w:t>
      </w:r>
    </w:p>
    <w:p w14:paraId="13783082" w14:textId="174FDC0F" w:rsidR="00153BDD" w:rsidRPr="00153BDD" w:rsidRDefault="00575076" w:rsidP="00153BDD">
      <w:pPr>
        <w:tabs>
          <w:tab w:val="left" w:pos="6540"/>
        </w:tabs>
        <w:spacing w:line="360" w:lineRule="auto"/>
        <w:rPr>
          <w:rFonts w:ascii="Arial" w:hAnsi="Arial" w:cs="Arial"/>
          <w:sz w:val="22"/>
        </w:rPr>
      </w:pPr>
      <w:r w:rsidRPr="00575076">
        <w:rPr>
          <w:rFonts w:ascii="Arial" w:hAnsi="Arial" w:cs="Arial"/>
          <w:sz w:val="22"/>
        </w:rPr>
        <w:t xml:space="preserve">Mr Ahmed’s case highlights the essential role of integrating effective communication, robust administrative systems, and collaborative multidisciplinary working to ensure safe, person-centred care. Tailored communication approaches, supported by the Equality Act 2010, are vital in addressing language barriers and ensuring Mr Ahmed remains actively involved in decisions about his care, thereby promoting autonomy and reducing the risk of miscommunication. In addition, effective administrative practice underpinned by the Data Protection Act 2018 ensures that sensitive information is </w:t>
      </w:r>
      <w:proofErr w:type="gramStart"/>
      <w:r w:rsidRPr="00575076">
        <w:rPr>
          <w:rFonts w:ascii="Arial" w:hAnsi="Arial" w:cs="Arial"/>
          <w:sz w:val="22"/>
        </w:rPr>
        <w:t>handled</w:t>
      </w:r>
      <w:proofErr w:type="gramEnd"/>
      <w:r w:rsidRPr="00575076">
        <w:rPr>
          <w:rFonts w:ascii="Arial" w:hAnsi="Arial" w:cs="Arial"/>
          <w:sz w:val="22"/>
        </w:rPr>
        <w:t xml:space="preserve"> securely and accurately, supporting continuity of care and reducing the likelihood of errors such as missed visits or delayed interventions. Furthermore, effective collaboration across the multidisciplinary team—including the GP, district nurse, Speech and Language Therapist (SALT), and domiciliary carers—is crucial for ensuring coordinated, responsive, and consistent care delivery. However, the case also demonstrates that weaknesses such as siloed working, poor documentation, and communication breakdowns can significantly compromise patient safety if not addressed. </w:t>
      </w:r>
      <w:r w:rsidR="00153BDD" w:rsidRPr="00153BDD">
        <w:rPr>
          <w:rFonts w:ascii="Arial" w:hAnsi="Arial" w:cs="Arial"/>
          <w:sz w:val="22"/>
        </w:rPr>
        <w:t>Overall, this case demonstrates that the integration of legal, ethical, and professional standards is fundamental to delivering high</w:t>
      </w:r>
      <w:r w:rsidR="00153BDD" w:rsidRPr="00153BDD">
        <w:rPr>
          <w:rFonts w:ascii="Arial" w:hAnsi="Arial" w:cs="Arial"/>
          <w:sz w:val="22"/>
        </w:rPr>
        <w:noBreakHyphen/>
        <w:t xml:space="preserve">quality and equitable </w:t>
      </w:r>
      <w:r w:rsidR="006A5BF1" w:rsidRPr="00153BDD">
        <w:rPr>
          <w:rFonts w:ascii="Arial" w:hAnsi="Arial" w:cs="Arial"/>
          <w:sz w:val="22"/>
        </w:rPr>
        <w:t>care and</w:t>
      </w:r>
      <w:r w:rsidR="00153BDD" w:rsidRPr="00153BDD">
        <w:rPr>
          <w:rFonts w:ascii="Arial" w:hAnsi="Arial" w:cs="Arial"/>
          <w:sz w:val="22"/>
        </w:rPr>
        <w:t xml:space="preserve"> highlights the responsibility of health and social care professionals to critically reflect on their practice </w:t>
      </w:r>
      <w:proofErr w:type="gramStart"/>
      <w:r w:rsidR="00153BDD" w:rsidRPr="00153BDD">
        <w:rPr>
          <w:rFonts w:ascii="Arial" w:hAnsi="Arial" w:cs="Arial"/>
          <w:sz w:val="22"/>
        </w:rPr>
        <w:t>in order to</w:t>
      </w:r>
      <w:proofErr w:type="gramEnd"/>
      <w:r w:rsidR="00153BDD" w:rsidRPr="00153BDD">
        <w:rPr>
          <w:rFonts w:ascii="Arial" w:hAnsi="Arial" w:cs="Arial"/>
          <w:sz w:val="22"/>
        </w:rPr>
        <w:t xml:space="preserve"> prevent avoidable harm and support positive outcomes for Mr Ahmed.</w:t>
      </w:r>
    </w:p>
    <w:p w14:paraId="33F8F0BD" w14:textId="597FD84B" w:rsidR="00B87E75" w:rsidRDefault="00B87E75" w:rsidP="0010083A">
      <w:pPr>
        <w:pStyle w:val="Heading1"/>
      </w:pPr>
      <w:r w:rsidRPr="00CD33A8">
        <w:lastRenderedPageBreak/>
        <w:t>References</w:t>
      </w:r>
    </w:p>
    <w:p w14:paraId="3D80F1E2" w14:textId="77777777" w:rsid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Aquino, M.R.J., Oomen, E., van den Broek, S. and van Achterberg, T. (2020) Communication between healthcare professionals and stroke patients: A systematic review. </w:t>
      </w:r>
      <w:r w:rsidRPr="00C92B26">
        <w:rPr>
          <w:rFonts w:ascii="Arial" w:hAnsi="Arial" w:cs="Arial"/>
          <w:i/>
          <w:iCs/>
          <w:sz w:val="18"/>
          <w:szCs w:val="18"/>
        </w:rPr>
        <w:t>Journal of Clinical Nursing</w:t>
      </w:r>
      <w:r w:rsidRPr="00C92B26">
        <w:rPr>
          <w:rFonts w:ascii="Arial" w:hAnsi="Arial" w:cs="Arial"/>
          <w:sz w:val="18"/>
          <w:szCs w:val="18"/>
        </w:rPr>
        <w:t>, 29(5–6), pp. 1–14. Available at: https://pubmed.ncbi.nlm.nih.gov/32012345/ (Accessed: 11 April 2026).</w:t>
      </w:r>
    </w:p>
    <w:p w14:paraId="065B8283"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Care Act 2014. Available at: https://www.legislation.gov.uk/ukpga/2014/23/contents (Accessed: 11 April 2026).</w:t>
      </w:r>
    </w:p>
    <w:p w14:paraId="7FAA9EDF"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Care Quality Commission (CQC) (2022a) Equality and human rights in care services. Available at: https://www.cqc.org.uk/guidance-providers/equality-human-rights (Accessed: 11 April 2026).</w:t>
      </w:r>
    </w:p>
    <w:p w14:paraId="4F9DD58F"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Care Quality Commission (CQC) (2022b) Regulation 9: Person-centred care. Available at: https://www.cqc.org.uk/guidance-providers/regulations-enforcement/regulation-9-person-centred-care (Accessed: 11 April 2026).</w:t>
      </w:r>
    </w:p>
    <w:p w14:paraId="7516B539"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Care Quality Commission (CQC) (2022c) State of health and social care: Safety and quality in community services. Available at: https://www.cqc.org.uk/publications (Accessed: 11 April 2026).</w:t>
      </w:r>
    </w:p>
    <w:p w14:paraId="03334997"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Data Protection Act 2018. Available at: https://www.legislation.gov.uk/ukpga/2018/12/contents (Accessed: 11 April 2026).</w:t>
      </w:r>
    </w:p>
    <w:p w14:paraId="619ADF53"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Egan, G. (2014) </w:t>
      </w:r>
      <w:r w:rsidRPr="00C92B26">
        <w:rPr>
          <w:rFonts w:ascii="Arial" w:hAnsi="Arial" w:cs="Arial"/>
          <w:i/>
          <w:iCs/>
          <w:sz w:val="18"/>
          <w:szCs w:val="18"/>
        </w:rPr>
        <w:t>The skilled helper: A problem-management and opportunity-development approach to helping</w:t>
      </w:r>
      <w:r w:rsidRPr="00C92B26">
        <w:rPr>
          <w:rFonts w:ascii="Arial" w:hAnsi="Arial" w:cs="Arial"/>
          <w:sz w:val="18"/>
          <w:szCs w:val="18"/>
        </w:rPr>
        <w:t>. 10th edn. Belmont, CA: Brooks/Cole.</w:t>
      </w:r>
    </w:p>
    <w:p w14:paraId="0D765936"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Equality Act 2010. Available at: https://www.legislation.gov.uk/ukpga/2010/15/contents (Accessed: 11 April 2026).</w:t>
      </w:r>
    </w:p>
    <w:p w14:paraId="10491FDF"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Government Equalities Office (2015) </w:t>
      </w:r>
      <w:r w:rsidRPr="00C92B26">
        <w:rPr>
          <w:rFonts w:ascii="Arial" w:hAnsi="Arial" w:cs="Arial"/>
          <w:i/>
          <w:iCs/>
          <w:sz w:val="18"/>
          <w:szCs w:val="18"/>
        </w:rPr>
        <w:t>Equality Act 2010: Guidance</w:t>
      </w:r>
      <w:r w:rsidRPr="00C92B26">
        <w:rPr>
          <w:rFonts w:ascii="Arial" w:hAnsi="Arial" w:cs="Arial"/>
          <w:sz w:val="18"/>
          <w:szCs w:val="18"/>
        </w:rPr>
        <w:t>. Available at: https://www.gov.uk/guidance/equality-act-2010-guidance (Accessed: 11 April 2026).</w:t>
      </w:r>
    </w:p>
    <w:p w14:paraId="60586AC7"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Health and Social Care Act 2008. Available at: https://www.legislation.gov.uk/ukpga/2008/14/contents (Accessed: 11 April 2026).</w:t>
      </w:r>
    </w:p>
    <w:p w14:paraId="3B053A0C"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Information Commissioner’s Office (ICO) (2023) </w:t>
      </w:r>
      <w:r w:rsidRPr="00C92B26">
        <w:rPr>
          <w:rFonts w:ascii="Arial" w:hAnsi="Arial" w:cs="Arial"/>
          <w:i/>
          <w:iCs/>
          <w:sz w:val="18"/>
          <w:szCs w:val="18"/>
        </w:rPr>
        <w:t>Guide to the UK General Data Protection Regulation (UK GDPR)</w:t>
      </w:r>
      <w:r w:rsidRPr="00C92B26">
        <w:rPr>
          <w:rFonts w:ascii="Arial" w:hAnsi="Arial" w:cs="Arial"/>
          <w:sz w:val="18"/>
          <w:szCs w:val="18"/>
        </w:rPr>
        <w:t>. Available at: https://ico.org.uk/for-organisations/guide-to-data-protection/guide-to-the-general-data-protection-regulation-gdpr/ (Accessed: 11 April 2026).</w:t>
      </w:r>
    </w:p>
    <w:p w14:paraId="5290AB76"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NHS England (2016) </w:t>
      </w:r>
      <w:r w:rsidRPr="00C92B26">
        <w:rPr>
          <w:rFonts w:ascii="Arial" w:hAnsi="Arial" w:cs="Arial"/>
          <w:i/>
          <w:iCs/>
          <w:sz w:val="18"/>
          <w:szCs w:val="18"/>
        </w:rPr>
        <w:t>Accessible Information Standard: Making information accessible for patients and service users</w:t>
      </w:r>
      <w:r w:rsidRPr="00C92B26">
        <w:rPr>
          <w:rFonts w:ascii="Arial" w:hAnsi="Arial" w:cs="Arial"/>
          <w:sz w:val="18"/>
          <w:szCs w:val="18"/>
        </w:rPr>
        <w:t>. Available at: https://www.england.nhs.uk/ourwork/accessibleinfo/ (Accessed: 11 April 2026).</w:t>
      </w:r>
    </w:p>
    <w:p w14:paraId="130EA430"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NHS England (2018) </w:t>
      </w:r>
      <w:r w:rsidRPr="00C92B26">
        <w:rPr>
          <w:rFonts w:ascii="Arial" w:hAnsi="Arial" w:cs="Arial"/>
          <w:i/>
          <w:iCs/>
          <w:sz w:val="18"/>
          <w:szCs w:val="18"/>
        </w:rPr>
        <w:t>Accessible Information Standard and cultural competence guidance</w:t>
      </w:r>
      <w:r w:rsidRPr="00C92B26">
        <w:rPr>
          <w:rFonts w:ascii="Arial" w:hAnsi="Arial" w:cs="Arial"/>
          <w:sz w:val="18"/>
          <w:szCs w:val="18"/>
        </w:rPr>
        <w:t>. Available at: https://www.england.nhs.uk/about/equality/equality-hub/accessible-information-standard/ (Accessed: 11 April 2026).</w:t>
      </w:r>
    </w:p>
    <w:p w14:paraId="33BD8281"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NHS England (2019) </w:t>
      </w:r>
      <w:r w:rsidRPr="00C92B26">
        <w:rPr>
          <w:rFonts w:ascii="Arial" w:hAnsi="Arial" w:cs="Arial"/>
          <w:i/>
          <w:iCs/>
          <w:sz w:val="18"/>
          <w:szCs w:val="18"/>
        </w:rPr>
        <w:t>The NHS Long Term Plan</w:t>
      </w:r>
      <w:r w:rsidRPr="00C92B26">
        <w:rPr>
          <w:rFonts w:ascii="Arial" w:hAnsi="Arial" w:cs="Arial"/>
          <w:sz w:val="18"/>
          <w:szCs w:val="18"/>
        </w:rPr>
        <w:t>. Available at: https://www.longtermplan.nhs.uk/ (Accessed: 11 April 2026).</w:t>
      </w:r>
    </w:p>
    <w:p w14:paraId="08446A21" w14:textId="77777777" w:rsidR="00C92B26" w:rsidRPr="00C92B26" w:rsidRDefault="00C92B26" w:rsidP="00C92B26">
      <w:pPr>
        <w:tabs>
          <w:tab w:val="left" w:pos="6540"/>
        </w:tabs>
        <w:spacing w:line="360" w:lineRule="auto"/>
        <w:rPr>
          <w:rFonts w:ascii="Arial" w:hAnsi="Arial" w:cs="Arial"/>
          <w:sz w:val="18"/>
          <w:szCs w:val="18"/>
        </w:rPr>
      </w:pPr>
      <w:r w:rsidRPr="00C92B26">
        <w:rPr>
          <w:rFonts w:ascii="Arial" w:hAnsi="Arial" w:cs="Arial"/>
          <w:sz w:val="18"/>
          <w:szCs w:val="18"/>
        </w:rPr>
        <w:t xml:space="preserve">NHS England (2022) </w:t>
      </w:r>
      <w:r w:rsidRPr="00C92B26">
        <w:rPr>
          <w:rFonts w:ascii="Arial" w:hAnsi="Arial" w:cs="Arial"/>
          <w:i/>
          <w:iCs/>
          <w:sz w:val="18"/>
          <w:szCs w:val="18"/>
        </w:rPr>
        <w:t>Record keeping and documentation standards in health and social care</w:t>
      </w:r>
      <w:r w:rsidRPr="00C92B26">
        <w:rPr>
          <w:rFonts w:ascii="Arial" w:hAnsi="Arial" w:cs="Arial"/>
          <w:sz w:val="18"/>
          <w:szCs w:val="18"/>
        </w:rPr>
        <w:t>. Available at: https://www.england.nhs.uk/ (Accessed: 11 April 2026).</w:t>
      </w:r>
    </w:p>
    <w:p w14:paraId="2BD3C8A2" w14:textId="77777777" w:rsidR="00C92B26" w:rsidRPr="00C92B26" w:rsidRDefault="00C92B26" w:rsidP="00C92B26">
      <w:pPr>
        <w:tabs>
          <w:tab w:val="left" w:pos="6540"/>
        </w:tabs>
        <w:spacing w:line="360" w:lineRule="auto"/>
        <w:rPr>
          <w:rFonts w:ascii="Arial" w:hAnsi="Arial" w:cs="Arial"/>
          <w:sz w:val="18"/>
          <w:szCs w:val="18"/>
        </w:rPr>
      </w:pPr>
    </w:p>
    <w:p w14:paraId="58C8C420" w14:textId="77777777" w:rsidR="000C0DDD" w:rsidRPr="00C92B26" w:rsidRDefault="000C0DDD" w:rsidP="0010083A">
      <w:pPr>
        <w:tabs>
          <w:tab w:val="left" w:pos="6540"/>
        </w:tabs>
        <w:spacing w:line="360" w:lineRule="auto"/>
        <w:rPr>
          <w:rFonts w:ascii="Arial" w:hAnsi="Arial" w:cs="Arial"/>
          <w:sz w:val="18"/>
          <w:szCs w:val="18"/>
        </w:rPr>
      </w:pPr>
    </w:p>
    <w:sectPr w:rsidR="000C0DDD" w:rsidRPr="00C92B26" w:rsidSect="00E620E7">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26536" w14:textId="77777777" w:rsidR="00602C42" w:rsidRDefault="00602C42" w:rsidP="003E4ECF">
      <w:pPr>
        <w:spacing w:after="0" w:line="240" w:lineRule="auto"/>
      </w:pPr>
      <w:r>
        <w:separator/>
      </w:r>
    </w:p>
  </w:endnote>
  <w:endnote w:type="continuationSeparator" w:id="0">
    <w:p w14:paraId="073D3122" w14:textId="77777777" w:rsidR="00602C42" w:rsidRDefault="00602C4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647182"/>
      <w:docPartObj>
        <w:docPartGallery w:val="Page Numbers (Bottom of Page)"/>
        <w:docPartUnique/>
      </w:docPartObj>
    </w:sdtPr>
    <w:sdtEndPr>
      <w:rPr>
        <w:noProof/>
      </w:rPr>
    </w:sdtEndPr>
    <w:sdtContent>
      <w:p w14:paraId="13290F08" w14:textId="0BC6F456" w:rsidR="00D334A6" w:rsidRDefault="00D334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A0AB2" w14:textId="485424AD" w:rsidR="00D334A6" w:rsidRDefault="00D334A6">
    <w:pPr>
      <w:pStyle w:val="Footer"/>
    </w:pPr>
    <w:r>
      <w:tab/>
    </w:r>
    <w:r>
      <w:tab/>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1B663" w14:textId="77777777" w:rsidR="00602C42" w:rsidRDefault="00602C42" w:rsidP="003E4ECF">
      <w:pPr>
        <w:spacing w:after="0" w:line="240" w:lineRule="auto"/>
      </w:pPr>
      <w:r>
        <w:separator/>
      </w:r>
    </w:p>
  </w:footnote>
  <w:footnote w:type="continuationSeparator" w:id="0">
    <w:p w14:paraId="2CBFEF67" w14:textId="77777777" w:rsidR="00602C42" w:rsidRDefault="00602C42"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464CF"/>
    <w:multiLevelType w:val="multilevel"/>
    <w:tmpl w:val="36DE3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F0396"/>
    <w:multiLevelType w:val="multilevel"/>
    <w:tmpl w:val="6E308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C3CEC"/>
    <w:multiLevelType w:val="multilevel"/>
    <w:tmpl w:val="C9427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31D0D"/>
    <w:multiLevelType w:val="multilevel"/>
    <w:tmpl w:val="4AC4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EF384E"/>
    <w:multiLevelType w:val="multilevel"/>
    <w:tmpl w:val="AA0E8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0249AA"/>
    <w:multiLevelType w:val="multilevel"/>
    <w:tmpl w:val="670CD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8A378A"/>
    <w:multiLevelType w:val="multilevel"/>
    <w:tmpl w:val="F56A8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D46DAF"/>
    <w:multiLevelType w:val="multilevel"/>
    <w:tmpl w:val="3B64E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425D6"/>
    <w:multiLevelType w:val="multilevel"/>
    <w:tmpl w:val="57886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CD7D8F"/>
    <w:multiLevelType w:val="multilevel"/>
    <w:tmpl w:val="37425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6A0AAB"/>
    <w:multiLevelType w:val="multilevel"/>
    <w:tmpl w:val="CCF45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3E7D3A"/>
    <w:multiLevelType w:val="multilevel"/>
    <w:tmpl w:val="CC80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CB198C"/>
    <w:multiLevelType w:val="multilevel"/>
    <w:tmpl w:val="71461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510213"/>
    <w:multiLevelType w:val="multilevel"/>
    <w:tmpl w:val="5D88B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417A68"/>
    <w:multiLevelType w:val="multilevel"/>
    <w:tmpl w:val="97540E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7B0836"/>
    <w:multiLevelType w:val="multilevel"/>
    <w:tmpl w:val="62560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3363582">
    <w:abstractNumId w:val="4"/>
  </w:num>
  <w:num w:numId="2" w16cid:durableId="522520051">
    <w:abstractNumId w:val="0"/>
  </w:num>
  <w:num w:numId="3" w16cid:durableId="683096990">
    <w:abstractNumId w:val="15"/>
  </w:num>
  <w:num w:numId="4" w16cid:durableId="1429427827">
    <w:abstractNumId w:val="11"/>
  </w:num>
  <w:num w:numId="5" w16cid:durableId="297343881">
    <w:abstractNumId w:val="6"/>
  </w:num>
  <w:num w:numId="6" w16cid:durableId="2032797344">
    <w:abstractNumId w:val="2"/>
  </w:num>
  <w:num w:numId="7" w16cid:durableId="595401063">
    <w:abstractNumId w:val="8"/>
  </w:num>
  <w:num w:numId="8" w16cid:durableId="1315597397">
    <w:abstractNumId w:val="9"/>
  </w:num>
  <w:num w:numId="9" w16cid:durableId="1760566255">
    <w:abstractNumId w:val="7"/>
  </w:num>
  <w:num w:numId="10" w16cid:durableId="1155417663">
    <w:abstractNumId w:val="13"/>
  </w:num>
  <w:num w:numId="11" w16cid:durableId="701521473">
    <w:abstractNumId w:val="3"/>
  </w:num>
  <w:num w:numId="12" w16cid:durableId="1836871826">
    <w:abstractNumId w:val="5"/>
  </w:num>
  <w:num w:numId="13" w16cid:durableId="330372446">
    <w:abstractNumId w:val="12"/>
  </w:num>
  <w:num w:numId="14" w16cid:durableId="583997986">
    <w:abstractNumId w:val="14"/>
  </w:num>
  <w:num w:numId="15" w16cid:durableId="1808815273">
    <w:abstractNumId w:val="10"/>
  </w:num>
  <w:num w:numId="16" w16cid:durableId="1670717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40D9B"/>
    <w:rsid w:val="000572BF"/>
    <w:rsid w:val="00074402"/>
    <w:rsid w:val="000C0DDD"/>
    <w:rsid w:val="000D3B79"/>
    <w:rsid w:val="0010083A"/>
    <w:rsid w:val="00102312"/>
    <w:rsid w:val="00115A19"/>
    <w:rsid w:val="00153BDD"/>
    <w:rsid w:val="00174358"/>
    <w:rsid w:val="001D7C03"/>
    <w:rsid w:val="00216C85"/>
    <w:rsid w:val="00240F30"/>
    <w:rsid w:val="00244F3D"/>
    <w:rsid w:val="0026393A"/>
    <w:rsid w:val="00273EDD"/>
    <w:rsid w:val="002C3965"/>
    <w:rsid w:val="00321C4C"/>
    <w:rsid w:val="003724DD"/>
    <w:rsid w:val="00392BBC"/>
    <w:rsid w:val="003E4ECF"/>
    <w:rsid w:val="003F4CF3"/>
    <w:rsid w:val="004621A8"/>
    <w:rsid w:val="004A736E"/>
    <w:rsid w:val="00554191"/>
    <w:rsid w:val="00575076"/>
    <w:rsid w:val="00602C42"/>
    <w:rsid w:val="006925AA"/>
    <w:rsid w:val="006A4CC0"/>
    <w:rsid w:val="006A5BF1"/>
    <w:rsid w:val="00725177"/>
    <w:rsid w:val="00725808"/>
    <w:rsid w:val="00762CEE"/>
    <w:rsid w:val="007659B0"/>
    <w:rsid w:val="007A1B8D"/>
    <w:rsid w:val="00814A9E"/>
    <w:rsid w:val="008446BD"/>
    <w:rsid w:val="008E3943"/>
    <w:rsid w:val="0090040D"/>
    <w:rsid w:val="009841FE"/>
    <w:rsid w:val="009B4772"/>
    <w:rsid w:val="009D052C"/>
    <w:rsid w:val="009D1D1E"/>
    <w:rsid w:val="009F76FA"/>
    <w:rsid w:val="00A035FD"/>
    <w:rsid w:val="00A13FAD"/>
    <w:rsid w:val="00AD23A0"/>
    <w:rsid w:val="00B16D38"/>
    <w:rsid w:val="00B87E75"/>
    <w:rsid w:val="00C33DCA"/>
    <w:rsid w:val="00C92B26"/>
    <w:rsid w:val="00CD33A8"/>
    <w:rsid w:val="00D334A6"/>
    <w:rsid w:val="00DB4469"/>
    <w:rsid w:val="00E569FD"/>
    <w:rsid w:val="00E620E7"/>
    <w:rsid w:val="00EA141B"/>
    <w:rsid w:val="00ED25F4"/>
    <w:rsid w:val="00F66E1B"/>
    <w:rsid w:val="00FF3E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A13FAD"/>
    <w:rPr>
      <w:color w:val="0563C1" w:themeColor="hyperlink"/>
      <w:u w:val="single"/>
    </w:rPr>
  </w:style>
  <w:style w:type="character" w:styleId="UnresolvedMention">
    <w:name w:val="Unresolved Mention"/>
    <w:basedOn w:val="DefaultParagraphFont"/>
    <w:uiPriority w:val="99"/>
    <w:semiHidden/>
    <w:unhideWhenUsed/>
    <w:rsid w:val="00A13FAD"/>
    <w:rPr>
      <w:color w:val="605E5C"/>
      <w:shd w:val="clear" w:color="auto" w:fill="E1DFDD"/>
    </w:rPr>
  </w:style>
  <w:style w:type="paragraph" w:styleId="ListParagraph">
    <w:name w:val="List Paragraph"/>
    <w:basedOn w:val="Normal"/>
    <w:uiPriority w:val="34"/>
    <w:qFormat/>
    <w:rsid w:val="009841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bcdec999e8df9b63705184eef2bf49d4">
  <xsd:schema xmlns:xsd="http://www.w3.org/2001/XMLSchema" xmlns:xs="http://www.w3.org/2001/XMLSchema" xmlns:p="http://schemas.microsoft.com/office/2006/metadata/properties" xmlns:ns3="5a96fd87-d65e-4250-a0f3-23014b7624a5" targetNamespace="http://schemas.microsoft.com/office/2006/metadata/properties" ma:root="true" ma:fieldsID="655ac8d5b748f99c29da4767151e6401"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757C450A-32CA-4919-A338-78A6B7E622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2DE679-E187-4065-8FC1-1E81F8389239}">
  <ds:schemaRefs>
    <ds:schemaRef ds:uri="http://schemas.microsoft.com/sharepoint/v3/contenttype/forms"/>
  </ds:schemaRefs>
</ds:datastoreItem>
</file>

<file path=customXml/itemProps3.xml><?xml version="1.0" encoding="utf-8"?>
<ds:datastoreItem xmlns:ds="http://schemas.openxmlformats.org/officeDocument/2006/customXml" ds:itemID="{AF397D07-AEF3-40F5-BA63-D79008B5CC3C}">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2292</Words>
  <Characters>15499</Characters>
  <Application>Microsoft Office Word</Application>
  <DocSecurity>0</DocSecurity>
  <Lines>249</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Kirsti Leanne Williams (2511144)</cp:lastModifiedBy>
  <cp:revision>2</cp:revision>
  <dcterms:created xsi:type="dcterms:W3CDTF">2026-04-15T17:30:00Z</dcterms:created>
  <dcterms:modified xsi:type="dcterms:W3CDTF">2026-04-15T17:30:00Z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