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156" w:beforeLines="50" w:after="312" w:afterLines="100" w:line="360" w:lineRule="auto"/>
        <w:rPr>
          <w:rFonts w:ascii="Arial" w:hAnsi="Arial" w:cs="Arial"/>
        </w:rPr>
      </w:pPr>
    </w:p>
    <w:p>
      <w:pPr>
        <w:pStyle w:val="5"/>
        <w:spacing w:before="156" w:beforeLines="50" w:after="312" w:afterLines="100" w:line="360" w:lineRule="auto"/>
        <w:rPr>
          <w:rFonts w:ascii="Arial" w:hAnsi="Arial" w:cs="Arial"/>
        </w:rPr>
      </w:pPr>
    </w:p>
    <w:p>
      <w:pPr>
        <w:pStyle w:val="5"/>
        <w:spacing w:before="156" w:beforeLines="50" w:after="312" w:afterLines="100" w:line="360" w:lineRule="auto"/>
        <w:rPr>
          <w:rFonts w:ascii="Arial" w:hAnsi="Arial" w:cs="Arial"/>
        </w:rPr>
      </w:pPr>
    </w:p>
    <w:p>
      <w:pPr>
        <w:pStyle w:val="5"/>
        <w:spacing w:before="156" w:beforeLines="50" w:after="312" w:afterLines="100" w:line="360" w:lineRule="auto"/>
        <w:rPr>
          <w:rFonts w:ascii="Arial" w:hAnsi="Arial" w:cs="Arial"/>
        </w:rPr>
      </w:pPr>
    </w:p>
    <w:p>
      <w:pPr>
        <w:pStyle w:val="5"/>
        <w:spacing w:before="156" w:beforeLines="50" w:after="312" w:afterLines="100" w:line="360" w:lineRule="auto"/>
        <w:rPr>
          <w:rFonts w:ascii="Arial" w:hAnsi="Arial" w:cs="Arial"/>
        </w:rPr>
      </w:pPr>
    </w:p>
    <w:p>
      <w:pPr>
        <w:pStyle w:val="5"/>
        <w:spacing w:before="156" w:beforeLines="50" w:after="312" w:afterLines="100" w:line="360" w:lineRule="auto"/>
        <w:rPr>
          <w:rFonts w:ascii="Arial" w:hAnsi="Arial" w:cs="Arial"/>
        </w:rPr>
      </w:pPr>
      <w:r>
        <w:rPr>
          <w:rFonts w:hint="eastAsia" w:ascii="Arial" w:hAnsi="Arial" w:cs="Arial"/>
          <w:lang w:val="en-US" w:eastAsia="zh-Hans"/>
        </w:rPr>
        <w:t>BMBM</w:t>
      </w:r>
      <w:r>
        <w:rPr>
          <w:rFonts w:hint="default" w:ascii="Arial" w:hAnsi="Arial" w:cs="Arial"/>
          <w:lang w:eastAsia="zh-Hans"/>
        </w:rPr>
        <w:t xml:space="preserve"> 6021</w:t>
      </w:r>
      <w:r>
        <w:rPr>
          <w:rFonts w:ascii="Arial" w:hAnsi="Arial" w:cs="Arial"/>
        </w:rPr>
        <w:t xml:space="preserve"> International Business Communication </w:t>
      </w:r>
    </w:p>
    <w:p>
      <w:pPr>
        <w:pStyle w:val="5"/>
        <w:spacing w:before="156" w:beforeLines="50" w:after="312" w:afterLines="100" w:line="360" w:lineRule="auto"/>
        <w:rPr>
          <w:rFonts w:ascii="Arial" w:hAnsi="Arial" w:cs="Arial"/>
        </w:rPr>
      </w:pPr>
      <w:r>
        <w:rPr>
          <w:rFonts w:ascii="Arial" w:hAnsi="Arial" w:cs="Arial"/>
        </w:rPr>
        <w:t>Assignment title: IBC Challenge RESIT</w:t>
      </w:r>
    </w:p>
    <w:p>
      <w:pPr>
        <w:pStyle w:val="5"/>
        <w:spacing w:before="156" w:beforeLines="50" w:after="312" w:afterLines="100" w:line="360" w:lineRule="auto"/>
        <w:rPr>
          <w:rFonts w:ascii="Arial" w:hAnsi="Arial" w:cs="Arial"/>
        </w:rPr>
      </w:pPr>
      <w:r>
        <w:t xml:space="preserve">Intercultural Communication </w:t>
      </w:r>
      <w:r>
        <w:rPr>
          <w:rFonts w:hint="eastAsia"/>
        </w:rPr>
        <w:t>C</w:t>
      </w:r>
      <w:r>
        <w:t xml:space="preserve">hallenges and sensitivities of </w:t>
      </w:r>
      <w:r>
        <w:rPr>
          <w:rFonts w:hint="eastAsia"/>
        </w:rPr>
        <w:t>HSBC</w:t>
      </w:r>
      <w:r>
        <w:t xml:space="preserve"> UK </w:t>
      </w:r>
      <w:bookmarkStart w:id="0" w:name="_GoBack"/>
      <w:bookmarkEnd w:id="0"/>
      <w:r>
        <w:t xml:space="preserve">operating in China </w:t>
      </w:r>
    </w:p>
    <w:p>
      <w:pPr>
        <w:widowControl/>
        <w:spacing w:before="156" w:beforeLines="50" w:after="312" w:afterLines="100" w:line="360" w:lineRule="auto"/>
        <w:jc w:val="left"/>
        <w:rPr>
          <w:rFonts w:ascii="Arial" w:hAnsi="Arial" w:cs="Arial" w:eastAsiaTheme="majorEastAsia"/>
          <w:b/>
          <w:bCs/>
          <w:sz w:val="22"/>
        </w:rPr>
      </w:pPr>
      <w:r>
        <w:rPr>
          <w:rFonts w:ascii="Arial" w:hAnsi="Arial" w:cs="Arial"/>
          <w:sz w:val="22"/>
        </w:rPr>
        <w:br w:type="page"/>
      </w:r>
    </w:p>
    <w:p>
      <w:pPr>
        <w:spacing w:before="156" w:beforeLines="50" w:after="312" w:afterLines="100" w:line="360" w:lineRule="auto"/>
        <w:rPr>
          <w:rFonts w:ascii="Arial" w:hAnsi="Arial" w:cs="Arial"/>
          <w:sz w:val="22"/>
        </w:rPr>
      </w:pPr>
      <w:r>
        <w:rPr>
          <w:rFonts w:ascii="Arial" w:hAnsi="Arial" w:cs="Arial"/>
          <w:sz w:val="22"/>
        </w:rPr>
        <w:t xml:space="preserve">Since the 21st century, the increasing economic globalization has been an inevitable megatrend, and enterprises have begun to seek sustainable development with a global mindset toward multinational operation </w:t>
      </w:r>
      <w:r>
        <w:rPr>
          <w:rFonts w:ascii="Arial" w:hAnsi="Arial" w:cs="Arial"/>
          <w:sz w:val="22"/>
        </w:rPr>
        <w:fldChar w:fldCharType="begin" w:fldLock="1"/>
      </w:r>
      <w:r>
        <w:rPr>
          <w:rFonts w:ascii="Arial" w:hAnsi="Arial" w:cs="Arial"/>
          <w:sz w:val="22"/>
        </w:rPr>
        <w:instrText xml:space="preserve">ADDIN CSL_CITATION {"citationItems":[{"id":"ITEM-1","itemData":{"ISSN":"1573-0697","author":[{"dropping-particle":"","family":"Calvano","given":"Lisa","non-dropping-particle":"","parse-names":false,"suffix":""}],"container-title":"Journal of Business Ethics","id":"ITEM-1","issue":"4","issued":{"date-parts":[["2008"]]},"page":"793-805","publisher":"Springer","title":"Multinational corporations and local communities: A critical analysis of conflict","type":"article-journal","volume":"82"},"uris":["http://www.mendeley.com/documents/?uuid=422fe9fb-771a-4acb-89de-16074326d053"]}],"mendeley":{"formattedCitation":"(Calvano, 2008)","plainTextFormattedCitation":"(Calvano, 2008)","previouslyFormattedCitation":"(Calvano, 2008)"},"properties":{"noteIndex":0},"schema":"https://github.com/citation-style-language/schema/raw/master/csl-citation.json"}</w:instrText>
      </w:r>
      <w:r>
        <w:rPr>
          <w:rFonts w:ascii="Arial" w:hAnsi="Arial" w:cs="Arial"/>
          <w:sz w:val="22"/>
        </w:rPr>
        <w:fldChar w:fldCharType="separate"/>
      </w:r>
      <w:r>
        <w:rPr>
          <w:rFonts w:ascii="Arial" w:hAnsi="Arial" w:cs="Arial"/>
          <w:sz w:val="22"/>
        </w:rPr>
        <w:t>(Calvano, 2008)</w:t>
      </w:r>
      <w:r>
        <w:rPr>
          <w:rFonts w:ascii="Arial" w:hAnsi="Arial" w:cs="Arial"/>
          <w:sz w:val="22"/>
        </w:rPr>
        <w:fldChar w:fldCharType="end"/>
      </w:r>
      <w:r>
        <w:rPr>
          <w:rFonts w:ascii="Arial" w:hAnsi="Arial" w:cs="Arial"/>
          <w:sz w:val="22"/>
        </w:rPr>
        <w:t xml:space="preserve">. However, at the same time, the cross-cultural challenges brought about by multinational operations also make the internal operational problems of enterprises gradually appear. Compared with domestic operations, multinational operations are more complex. Most multinational enterprises lose money in overseas investments </w:t>
      </w:r>
      <w:r>
        <w:rPr>
          <w:rFonts w:ascii="Arial" w:hAnsi="Arial" w:cs="Arial"/>
          <w:sz w:val="22"/>
        </w:rPr>
        <w:fldChar w:fldCharType="begin" w:fldLock="1"/>
      </w:r>
      <w:r>
        <w:rPr>
          <w:rFonts w:ascii="Arial" w:hAnsi="Arial" w:cs="Arial"/>
          <w:sz w:val="22"/>
        </w:rPr>
        <w:instrText xml:space="preserve">ADDIN CSL_CITATION {"citationItems":[{"id":"ITEM-1","itemData":{"author":[{"dropping-particle":"","family":"Tran","given":"Ben","non-dropping-particle":"","parse-names":false,"suffix":""}],"container-title":"Handbook of research on impacts of international business and political affairs on the global economy","id":"ITEM-1","issued":{"date-parts":[["2016"]]},"page":"62-92","publisher":"IGI Global","title":"Communication (intercultural and multicultural) at play for cross cultural management within multinational corporations (MNCs)","type":"chapter"},"uris":["http://www.mendeley.com/documents/?uuid=edf47d97-8e1f-4f95-84ee-3a6d53c950f6"]}],"mendeley":{"formattedCitation":"(Tran, 2016)","plainTextFormattedCitation":"(Tran, 2016)","previouslyFormattedCitation":"(Tran, 2016)"},"properties":{"noteIndex":0},"schema":"https://github.com/citation-style-language/schema/raw/master/csl-citation.json"}</w:instrText>
      </w:r>
      <w:r>
        <w:rPr>
          <w:rFonts w:ascii="Arial" w:hAnsi="Arial" w:cs="Arial"/>
          <w:sz w:val="22"/>
        </w:rPr>
        <w:fldChar w:fldCharType="separate"/>
      </w:r>
      <w:r>
        <w:rPr>
          <w:rFonts w:ascii="Arial" w:hAnsi="Arial" w:cs="Arial"/>
          <w:sz w:val="22"/>
        </w:rPr>
        <w:t>(Tran, 2016)</w:t>
      </w:r>
      <w:r>
        <w:rPr>
          <w:rFonts w:ascii="Arial" w:hAnsi="Arial" w:cs="Arial"/>
          <w:sz w:val="22"/>
        </w:rPr>
        <w:fldChar w:fldCharType="end"/>
      </w:r>
      <w:r>
        <w:rPr>
          <w:rFonts w:ascii="Arial" w:hAnsi="Arial" w:cs="Arial"/>
          <w:sz w:val="22"/>
        </w:rPr>
        <w:t xml:space="preserve">. Among them, culture conflict becomes a primary factor that leads to the failure of multinational investment and trade that cannot be ignored </w:t>
      </w:r>
      <w:r>
        <w:rPr>
          <w:rFonts w:ascii="Arial" w:hAnsi="Arial" w:cs="Arial"/>
          <w:sz w:val="22"/>
        </w:rPr>
        <w:fldChar w:fldCharType="begin" w:fldLock="1"/>
      </w:r>
      <w:r>
        <w:rPr>
          <w:rFonts w:ascii="Arial" w:hAnsi="Arial" w:cs="Arial"/>
          <w:sz w:val="22"/>
        </w:rPr>
        <w:instrText xml:space="preserve">ADDIN CSL_CITATION {"citationItems":[{"id":"ITEM-1","itemData":{"ISBN":"1118149696","author":[{"dropping-particle":"","family":"Scollon","given":"Ron","non-dropping-particle":"","parse-names":false,"suffix":""},{"dropping-particle":"","family":"Scollon","given":"Suzanne Wong","non-dropping-particle":"","parse-names":false,"suffix":""},{"dropping-particle":"","family":"Jones","given":"Rodney H","non-dropping-particle":"","parse-names":false,"suffix":""}],"id":"ITEM-1","issued":{"date-parts":[["2011"]]},"publisher":"John Wiley &amp; Sons","title":"Intercultural communication: A discourse approach","type":"book"},"uris":["http://www.mendeley.com/documents/?uuid=661d8e55-48b5-486d-a991-9c33ea0d6e18"]}],"mendeley":{"formattedCitation":"(Scollon, Scollon and Jones, 2011)","plainTextFormattedCitation":"(Scollon, Scollon and Jones, 2011)","previouslyFormattedCitation":"(Scollon, Scollon and Jones, 2011)"},"properties":{"noteIndex":0},"schema":"https://github.com/citation-style-language/schema/raw/master/csl-citation.json"}</w:instrText>
      </w:r>
      <w:r>
        <w:rPr>
          <w:rFonts w:ascii="Arial" w:hAnsi="Arial" w:cs="Arial"/>
          <w:sz w:val="22"/>
        </w:rPr>
        <w:fldChar w:fldCharType="separate"/>
      </w:r>
      <w:r>
        <w:rPr>
          <w:rFonts w:ascii="Arial" w:hAnsi="Arial" w:cs="Arial"/>
          <w:sz w:val="22"/>
        </w:rPr>
        <w:t>(Scollon, Scollon and Jones, 2011)</w:t>
      </w:r>
      <w:r>
        <w:rPr>
          <w:rFonts w:ascii="Arial" w:hAnsi="Arial" w:cs="Arial"/>
          <w:sz w:val="22"/>
        </w:rPr>
        <w:fldChar w:fldCharType="end"/>
      </w:r>
      <w:r>
        <w:rPr>
          <w:rFonts w:ascii="Arial" w:hAnsi="Arial" w:cs="Arial"/>
          <w:sz w:val="22"/>
        </w:rPr>
        <w:t xml:space="preserve">. The failure caused by cultural conflict is essentially because of the lack of cross-cultural communication and management ability of enterprises. Then how to improve the effectiveness of cross-cultural communication, deal with the challenges of cross-cultural communication, and achieve cultural communication effectiveness in such an environmental organization will be a major issue for multinational companies </w:t>
      </w:r>
      <w:r>
        <w:rPr>
          <w:rFonts w:ascii="Arial" w:hAnsi="Arial" w:cs="Arial"/>
          <w:sz w:val="22"/>
        </w:rPr>
        <w:fldChar w:fldCharType="begin" w:fldLock="1"/>
      </w:r>
      <w:r>
        <w:rPr>
          <w:rFonts w:ascii="Arial" w:hAnsi="Arial" w:cs="Arial"/>
          <w:sz w:val="22"/>
        </w:rPr>
        <w:instrText xml:space="preserve">ADDIN CSL_CITATION {"citationItems":[{"id":"ITEM-1","itemData":{"ISBN":"9780230244511","ISSN":"0142-6001","PMID":"52860294","abstract":"Written in a highly accessible style and in four parts, this book provides rapid and authoritative access to current ideas and practice in intercultural communication. It draws on concepts and findings from a range of different disciplines and uses authentic examples of intercultural interaction to illustrate points. Cover; Contents; List of Figures; General Editors' Preface; Acknowledgements; 1 Introduction; Part 1 Conceptualizing Intercultural Interaction; Part 2 Promoting Competence in Intercultural Interaction; Part 3 Researching Intercultural Interaction; Part 4 Resources; References; Index;","author":[{"dropping-particle":"","family":"Spencer-Oatey","given":"H","non-dropping-particle":"","parse-names":false,"suffix":""},{"dropping-particle":"","family":"Franklin","given":"P","non-dropping-particle":"","parse-names":false,"suffix":""}],"container-title":"Research and Practice in Applied Linguistics","id":"ITEM-1","issued":{"date-parts":[["2009"]]},"number-of-pages":"384","title":"Intercultural Interaction [electronic resource] : A Multidisciplinary Approach to Intercultural Communication","type":"book"},"uris":["http://www.mendeley.com/documents/?uuid=920c793a-b294-33f6-a8c6-196d38189772"]}],"mendeley":{"formattedCitation":"(Spencer-Oatey and Franklin, 2009)","plainTextFormattedCitation":"(Spencer-Oatey and Franklin, 2009)","previouslyFormattedCitation":"(Spencer-Oatey and Franklin, 2009)"},"properties":{"noteIndex":0},"schema":"https://github.com/citation-style-language/schema/raw/master/csl-citation.json"}</w:instrText>
      </w:r>
      <w:r>
        <w:rPr>
          <w:rFonts w:ascii="Arial" w:hAnsi="Arial" w:cs="Arial"/>
          <w:sz w:val="22"/>
        </w:rPr>
        <w:fldChar w:fldCharType="separate"/>
      </w:r>
      <w:r>
        <w:rPr>
          <w:rFonts w:ascii="Arial" w:hAnsi="Arial" w:cs="Arial"/>
          <w:sz w:val="22"/>
        </w:rPr>
        <w:t>(Spencer-Oatey and Franklin, 2009)</w:t>
      </w:r>
      <w:r>
        <w:rPr>
          <w:rFonts w:ascii="Arial" w:hAnsi="Arial" w:cs="Arial"/>
          <w:sz w:val="22"/>
        </w:rPr>
        <w:fldChar w:fldCharType="end"/>
      </w:r>
      <w:r>
        <w:rPr>
          <w:rFonts w:ascii="Arial" w:hAnsi="Arial" w:cs="Arial"/>
          <w:sz w:val="22"/>
        </w:rPr>
        <w:t>.</w:t>
      </w:r>
    </w:p>
    <w:p>
      <w:pPr>
        <w:spacing w:before="156" w:beforeLines="50" w:after="312" w:afterLines="100" w:line="360" w:lineRule="auto"/>
        <w:rPr>
          <w:rFonts w:ascii="Arial" w:hAnsi="Arial" w:cs="Arial"/>
          <w:sz w:val="22"/>
        </w:rPr>
      </w:pPr>
      <w:r>
        <w:rPr>
          <w:rFonts w:ascii="Arial" w:hAnsi="Arial" w:cs="Arial"/>
          <w:sz w:val="22"/>
        </w:rPr>
        <w:t xml:space="preserve">The Belt and Road Initiative (BRI) is a national economic growth strategy announced by the state of China in 2013. The One Belt, One Road refers to the New Silk Road Economic Belt, which connects China to Europe through Central and West Asia, and the 21st Century Maritime Silk Road, which connects China to Southeast Asian countries, Africa and Europe </w:t>
      </w:r>
      <w:r>
        <w:rPr>
          <w:rFonts w:ascii="Arial" w:hAnsi="Arial" w:cs="Arial"/>
          <w:sz w:val="22"/>
        </w:rPr>
        <w:fldChar w:fldCharType="begin" w:fldLock="1"/>
      </w:r>
      <w:r>
        <w:rPr>
          <w:rFonts w:ascii="Arial" w:hAnsi="Arial" w:cs="Arial"/>
          <w:sz w:val="22"/>
        </w:rPr>
        <w:instrText xml:space="preserve">ADDIN CSL_CITATION {"citationItems":[{"id":"ITEM-1","itemData":{"ISSN":"1043-951X","author":[{"dropping-particle":"","family":"Huang","given":"Yiping","non-dropping-particle":"","parse-names":false,"suffix":""}],"container-title":"China Economic Review","id":"ITEM-1","issued":{"date-parts":[["2016"]]},"page":"314-321","publisher":"Elsevier","title":"Understanding China's Belt &amp; Road initiative: motivation, framework and assessment","type":"article-journal","volume":"40"},"uris":["http://www.mendeley.com/documents/?uuid=0b26585d-a0f3-4bd9-bf7e-b72ee0f3a597"]}],"mendeley":{"formattedCitation":"(Huang, 2016)","plainTextFormattedCitation":"(Huang, 2016)","previouslyFormattedCitation":"(Huang, 2016)"},"properties":{"noteIndex":0},"schema":"https://github.com/citation-style-language/schema/raw/master/csl-citation.json"}</w:instrText>
      </w:r>
      <w:r>
        <w:rPr>
          <w:rFonts w:ascii="Arial" w:hAnsi="Arial" w:cs="Arial"/>
          <w:sz w:val="22"/>
        </w:rPr>
        <w:fldChar w:fldCharType="separate"/>
      </w:r>
      <w:r>
        <w:rPr>
          <w:rFonts w:ascii="Arial" w:hAnsi="Arial" w:cs="Arial"/>
          <w:sz w:val="22"/>
        </w:rPr>
        <w:t>(Huang, 2016)</w:t>
      </w:r>
      <w:r>
        <w:rPr>
          <w:rFonts w:ascii="Arial" w:hAnsi="Arial" w:cs="Arial"/>
          <w:sz w:val="22"/>
        </w:rPr>
        <w:fldChar w:fldCharType="end"/>
      </w:r>
      <w:r>
        <w:rPr>
          <w:rFonts w:ascii="Arial" w:hAnsi="Arial" w:cs="Arial"/>
          <w:sz w:val="22"/>
        </w:rPr>
        <w:t xml:space="preserve">. Covering 64% of the world's population and 29% of the world's GDP, the Belt and Road aim to strengthen East-West connectivity and cooperation and to promote infrastructure development in up to 65 countries </w:t>
      </w:r>
      <w:r>
        <w:rPr>
          <w:rFonts w:ascii="Arial" w:hAnsi="Arial" w:cs="Arial"/>
          <w:sz w:val="22"/>
        </w:rPr>
        <w:fldChar w:fldCharType="begin" w:fldLock="1"/>
      </w:r>
      <w:r>
        <w:rPr>
          <w:rFonts w:ascii="Arial" w:hAnsi="Arial" w:cs="Arial"/>
          <w:sz w:val="22"/>
        </w:rPr>
        <w:instrText xml:space="preserve">ADDIN CSL_CITATION {"citationItems":[{"id":"ITEM-1","itemData":{"ISSN":"2057-8911","author":[{"dropping-particle":"","family":"Callahan","given":"William A","non-dropping-particle":"","parse-names":false,"suffix":""}],"container-title":"Asian Journal of Comparative Politics","id":"ITEM-1","issue":"3","issued":{"date-parts":[["2016"]]},"page":"226-243","publisher":"SAGE Publications Sage UK: London, England","title":"China's \"Asia Dream\" The Belt Road Initiative and the new regional order","type":"article-journal","volume":"1"},"uris":["http://www.mendeley.com/documents/?uuid=d781c1d4-f654-4c72-b4f6-328556c9c933"]}],"mendeley":{"formattedCitation":"(Callahan, 2016)","plainTextFormattedCitation":"(Callahan, 2016)","previouslyFormattedCitation":"(Callahan, 2016)"},"properties":{"noteIndex":0},"schema":"https://github.com/citation-style-language/schema/raw/master/csl-citation.json"}</w:instrText>
      </w:r>
      <w:r>
        <w:rPr>
          <w:rFonts w:ascii="Arial" w:hAnsi="Arial" w:cs="Arial"/>
          <w:sz w:val="22"/>
        </w:rPr>
        <w:fldChar w:fldCharType="separate"/>
      </w:r>
      <w:r>
        <w:rPr>
          <w:rFonts w:ascii="Arial" w:hAnsi="Arial" w:cs="Arial"/>
          <w:sz w:val="22"/>
        </w:rPr>
        <w:t>(Callahan, 2016)</w:t>
      </w:r>
      <w:r>
        <w:rPr>
          <w:rFonts w:ascii="Arial" w:hAnsi="Arial" w:cs="Arial"/>
          <w:sz w:val="22"/>
        </w:rPr>
        <w:fldChar w:fldCharType="end"/>
      </w:r>
      <w:r>
        <w:rPr>
          <w:rFonts w:ascii="Arial" w:hAnsi="Arial" w:cs="Arial"/>
          <w:sz w:val="22"/>
        </w:rPr>
        <w:t xml:space="preserve">. Against this backdrop, as well as the prosperity of the Chinese economy and the relaxation of the foreign investment requirements, HSBC UK, one of the largest banking and financial service providers in the whole world serving over 40 million customers </w:t>
      </w:r>
      <w:r>
        <w:rPr>
          <w:rFonts w:ascii="Arial" w:hAnsi="Arial" w:cs="Arial"/>
          <w:sz w:val="22"/>
        </w:rPr>
        <w:fldChar w:fldCharType="begin" w:fldLock="1"/>
      </w:r>
      <w:r>
        <w:rPr>
          <w:rFonts w:ascii="Arial" w:hAnsi="Arial" w:cs="Arial"/>
          <w:sz w:val="22"/>
        </w:rPr>
        <w:instrText xml:space="preserve">ADDIN CSL_CITATION {"citationItems":[{"id":"ITEM-1","itemData":{"URL":"https://www.about.hsbc.co.uk/","accessed":{"date-parts":[["2022","7","20"]]},"author":[{"dropping-particle":"","family":"HSBC","given":"","non-dropping-particle":"","parse-names":false,"suffix":""}],"id":"ITEM-1","issued":{"date-parts":[["2021"]]},"title":"About HSBC | HSBC in the UK","type":"webpage"},"uris":["http://www.mendeley.com/documents/?uuid=307955a0-53d8-3b20-8ce2-3cc76b365fc7"]}],"mendeley":{"formattedCitation":"(HSBC, 2021)","plainTextFormattedCitation":"(HSBC, 2021)"},"properties":{"noteIndex":0},"schema":"https://github.com/citation-style-language/schema/raw/master/csl-citation.json"}</w:instrText>
      </w:r>
      <w:r>
        <w:rPr>
          <w:rFonts w:ascii="Arial" w:hAnsi="Arial" w:cs="Arial"/>
          <w:sz w:val="22"/>
        </w:rPr>
        <w:fldChar w:fldCharType="separate"/>
      </w:r>
      <w:r>
        <w:rPr>
          <w:rFonts w:ascii="Arial" w:hAnsi="Arial" w:cs="Arial"/>
          <w:sz w:val="22"/>
        </w:rPr>
        <w:t>(HSBC, 2021)</w:t>
      </w:r>
      <w:r>
        <w:rPr>
          <w:rFonts w:ascii="Arial" w:hAnsi="Arial" w:cs="Arial"/>
          <w:sz w:val="22"/>
        </w:rPr>
        <w:fldChar w:fldCharType="end"/>
      </w:r>
      <w:r>
        <w:rPr>
          <w:rFonts w:ascii="Arial" w:hAnsi="Arial" w:cs="Arial"/>
          <w:sz w:val="22"/>
        </w:rPr>
        <w:t xml:space="preserve">, perceive China as an attractive destination for international trade and have proactively penetrate its business into the Chinese market. The current essay sheds light on the challenges and sensitivities from the perspective of the HSBC UK, a typical British business, when doing business with Chinese businesses.  </w:t>
      </w:r>
    </w:p>
    <w:p>
      <w:pPr>
        <w:spacing w:before="156" w:beforeLines="50" w:after="312" w:afterLines="100" w:line="360" w:lineRule="auto"/>
        <w:rPr>
          <w:rFonts w:ascii="Arial" w:hAnsi="Arial" w:cs="Arial"/>
          <w:sz w:val="22"/>
        </w:rPr>
      </w:pPr>
      <w:r>
        <w:rPr>
          <w:rFonts w:ascii="Arial" w:hAnsi="Arial" w:cs="Arial"/>
          <w:sz w:val="22"/>
        </w:rPr>
        <w:t xml:space="preserve">Culture can be broadly understood as a shared system of attitudes, beliefs, values, and behaviours </w:t>
      </w:r>
      <w:r>
        <w:rPr>
          <w:rFonts w:ascii="Arial" w:hAnsi="Arial" w:cs="Arial"/>
          <w:sz w:val="22"/>
        </w:rPr>
        <w:fldChar w:fldCharType="begin" w:fldLock="1"/>
      </w:r>
      <w:r>
        <w:rPr>
          <w:rFonts w:ascii="Arial" w:hAnsi="Arial" w:cs="Arial"/>
          <w:sz w:val="22"/>
        </w:rPr>
        <w:instrText xml:space="preserve">ADDIN CSL_CITATION {"citationItems":[{"id":"ITEM-1","itemData":{"ISBN":"0203129822","author":[{"dropping-particle":"","family":"Mulhern","given":"Francis","non-dropping-particle":"","parse-names":false,"suffix":""}],"id":"ITEM-1","issued":{"date-parts":[["2002"]]},"publisher":"Routledge","title":"Culture/metaculture","type":"book"},"uris":["http://www.mendeley.com/documents/?uuid=f971994d-e0b2-48e3-886f-c212afa3fd1c"]}],"mendeley":{"formattedCitation":"(Mulhern, 2002)","plainTextFormattedCitation":"(Mulhern, 2002)","previouslyFormattedCitation":"(Mulhern, 2002)"},"properties":{"noteIndex":0},"schema":"https://github.com/citation-style-language/schema/raw/master/csl-citation.json"}</w:instrText>
      </w:r>
      <w:r>
        <w:rPr>
          <w:rFonts w:ascii="Arial" w:hAnsi="Arial" w:cs="Arial"/>
          <w:sz w:val="22"/>
        </w:rPr>
        <w:fldChar w:fldCharType="separate"/>
      </w:r>
      <w:r>
        <w:rPr>
          <w:rFonts w:ascii="Arial" w:hAnsi="Arial" w:cs="Arial"/>
          <w:sz w:val="22"/>
        </w:rPr>
        <w:t>(Mulhern, 2002)</w:t>
      </w:r>
      <w:r>
        <w:rPr>
          <w:rFonts w:ascii="Arial" w:hAnsi="Arial" w:cs="Arial"/>
          <w:sz w:val="22"/>
        </w:rPr>
        <w:fldChar w:fldCharType="end"/>
      </w:r>
      <w:r>
        <w:rPr>
          <w:rFonts w:ascii="Arial" w:hAnsi="Arial" w:cs="Arial"/>
          <w:sz w:val="22"/>
        </w:rPr>
        <w:t xml:space="preserve">. When the term is referred to by interculturalists, it does not simply mean the national culture that is specific to the national social and economic system but covers the whole range of different types of cultures, including corporate culture, national culture, regional culture, etc. </w:t>
      </w:r>
      <w:r>
        <w:rPr>
          <w:rFonts w:ascii="Arial" w:hAnsi="Arial" w:cs="Arial"/>
          <w:sz w:val="22"/>
        </w:rPr>
        <w:fldChar w:fldCharType="begin" w:fldLock="1"/>
      </w:r>
      <w:r>
        <w:rPr>
          <w:rFonts w:ascii="Arial" w:hAnsi="Arial" w:cs="Arial"/>
          <w:sz w:val="22"/>
        </w:rPr>
        <w:instrText xml:space="preserve">ADDIN CSL_CITATION {"citationItems":[{"id":"ITEM-1","itemData":{"ISSN":"0047-2506","author":[{"dropping-particle":"","family":"Leung","given":"Kwok","non-dropping-particle":"","parse-names":false,"suffix":""},{"dropping-particle":"","family":"Bhagat","given":"Rabi S","non-dropping-particle":"","parse-names":false,"suffix":""},{"dropping-particle":"","family":"Buchan","given":"Nancy R","non-dropping-particle":"","parse-names":false,"suffix":""},{"dropping-particle":"","family":"Erez","given":"Miriam","non-dropping-particle":"","parse-names":false,"suffix":""},{"dropping-particle":"","family":"Gibson","given":"Cristina B","non-dropping-particle":"","parse-names":false,"suffix":""}],"container-title":"Journal of international business studies","id":"ITEM-1","issue":"4","issued":{"date-parts":[["2005"]]},"page":"357-378","publisher":"Springer","title":"Culture and international business: Recent advances and their implications for future research","type":"article-journal","volume":"36"},"uris":["http://www.mendeley.com/documents/?uuid=808d8a60-41f7-4693-a94b-112b4b48a87c"]}],"mendeley":{"formattedCitation":"(Leung &lt;i&gt;et al.&lt;/i&gt;, 2005)","plainTextFormattedCitation":"(Leung et al., 2005)","previouslyFormattedCitation":"(Leung &lt;i&gt;et al.&lt;/i&gt;, 2005)"},"properties":{"noteIndex":0},"schema":"https://github.com/citation-style-language/schema/raw/master/csl-citation.json"}</w:instrText>
      </w:r>
      <w:r>
        <w:rPr>
          <w:rFonts w:ascii="Arial" w:hAnsi="Arial" w:cs="Arial"/>
          <w:sz w:val="22"/>
        </w:rPr>
        <w:fldChar w:fldCharType="separate"/>
      </w:r>
      <w:r>
        <w:rPr>
          <w:rFonts w:ascii="Arial" w:hAnsi="Arial" w:cs="Arial"/>
          <w:sz w:val="22"/>
        </w:rPr>
        <w:t xml:space="preserve">(Leung </w:t>
      </w:r>
      <w:r>
        <w:rPr>
          <w:rFonts w:ascii="Arial" w:hAnsi="Arial" w:cs="Arial"/>
          <w:i/>
          <w:sz w:val="22"/>
        </w:rPr>
        <w:t>et al.</w:t>
      </w:r>
      <w:r>
        <w:rPr>
          <w:rFonts w:ascii="Arial" w:hAnsi="Arial" w:cs="Arial"/>
          <w:sz w:val="22"/>
        </w:rPr>
        <w:t>, 2005)</w:t>
      </w:r>
      <w:r>
        <w:rPr>
          <w:rFonts w:ascii="Arial" w:hAnsi="Arial" w:cs="Arial"/>
          <w:sz w:val="22"/>
        </w:rPr>
        <w:fldChar w:fldCharType="end"/>
      </w:r>
      <w:r>
        <w:rPr>
          <w:rFonts w:ascii="Arial" w:hAnsi="Arial" w:cs="Arial"/>
          <w:sz w:val="22"/>
        </w:rPr>
        <w:t xml:space="preserve"> Communication refers to the exchange of information, which involves the information sender and receiver. Communication does not necessarily happen only through the verbal way through the use of words, but also through non-verbal factors such as gestures and expressions </w:t>
      </w:r>
      <w:r>
        <w:rPr>
          <w:rFonts w:ascii="Arial" w:hAnsi="Arial" w:cs="Arial"/>
          <w:sz w:val="22"/>
        </w:rPr>
        <w:fldChar w:fldCharType="begin" w:fldLock="1"/>
      </w:r>
      <w:r>
        <w:rPr>
          <w:rFonts w:ascii="Arial" w:hAnsi="Arial" w:cs="Arial"/>
          <w:sz w:val="22"/>
        </w:rPr>
        <w:instrText xml:space="preserve">ADDIN CSL_CITATION {"citationItems":[{"id":"ITEM-1","itemData":{"ISBN":"0195330064","author":[{"dropping-particle":"","family":"Chung","given":"Leeva C","non-dropping-particle":"","parse-names":false,"suffix":""},{"dropping-particle":"","family":"Ting-Toomey","given":"S","non-dropping-particle":"","parse-names":false,"suffix":""}],"id":"ITEM-1","issued":{"date-parts":[["2005"]]},"publisher":"Oxford University Press","title":"Understanding intercultural communication","type":"book"},"uris":["http://www.mendeley.com/documents/?uuid=a8ae5b50-257d-472a-a957-07b4888814ab"]}],"mendeley":{"formattedCitation":"(Chung and Ting-Toomey, 2005)","plainTextFormattedCitation":"(Chung and Ting-Toomey, 2005)","previouslyFormattedCitation":"(Chung and Ting-Toomey, 2005)"},"properties":{"noteIndex":0},"schema":"https://github.com/citation-style-language/schema/raw/master/csl-citation.json"}</w:instrText>
      </w:r>
      <w:r>
        <w:rPr>
          <w:rFonts w:ascii="Arial" w:hAnsi="Arial" w:cs="Arial"/>
          <w:sz w:val="22"/>
        </w:rPr>
        <w:fldChar w:fldCharType="separate"/>
      </w:r>
      <w:r>
        <w:rPr>
          <w:rFonts w:ascii="Arial" w:hAnsi="Arial" w:cs="Arial"/>
          <w:sz w:val="22"/>
        </w:rPr>
        <w:t>(Chung and Ting-Toomey, 2005)</w:t>
      </w:r>
      <w:r>
        <w:rPr>
          <w:rFonts w:ascii="Arial" w:hAnsi="Arial" w:cs="Arial"/>
          <w:sz w:val="22"/>
        </w:rPr>
        <w:fldChar w:fldCharType="end"/>
      </w:r>
      <w:r>
        <w:rPr>
          <w:rFonts w:ascii="Arial" w:hAnsi="Arial" w:cs="Arial"/>
          <w:sz w:val="22"/>
        </w:rPr>
        <w:t xml:space="preserve">. Intercultural business communication takes place in the business place typically when the sender and receiver of the information are characterized by diversified cultural backgrounds. As a result, intercultural business communication implies communication under specific situations of cultural overlap while the cultural differences of the communication participants significantly influence the communication effectiveness in terms of process and results </w:t>
      </w:r>
      <w:r>
        <w:rPr>
          <w:rFonts w:ascii="Arial" w:hAnsi="Arial" w:cs="Arial"/>
          <w:sz w:val="22"/>
        </w:rPr>
        <w:fldChar w:fldCharType="begin" w:fldLock="1"/>
      </w:r>
      <w:r>
        <w:rPr>
          <w:rFonts w:ascii="Arial" w:hAnsi="Arial" w:cs="Arial"/>
          <w:sz w:val="22"/>
        </w:rPr>
        <w:instrText xml:space="preserve">ADDIN CSL_CITATION {"citationItems":[{"id":"ITEM-1","itemData":{"ISBN":"1118149696","author":[{"dropping-particle":"","family":"Scollon","given":"Ron","non-dropping-particle":"","parse-names":false,"suffix":""},{"dropping-particle":"","family":"Scollon","given":"Suzanne Wong","non-dropping-particle":"","parse-names":false,"suffix":""},{"dropping-particle":"","family":"Jones","given":"Rodney H","non-dropping-particle":"","parse-names":false,"suffix":""}],"id":"ITEM-1","issued":{"date-parts":[["2011"]]},"publisher":"John Wiley &amp; Sons","title":"Intercultural communication: A discourse approach","type":"book"},"uris":["http://www.mendeley.com/documents/?uuid=661d8e55-48b5-486d-a991-9c33ea0d6e18"]}],"mendeley":{"formattedCitation":"(Scollon, Scollon and Jones, 2011)","plainTextFormattedCitation":"(Scollon, Scollon and Jones, 2011)","previouslyFormattedCitation":"(Scollon, Scollon and Jones, 2011)"},"properties":{"noteIndex":0},"schema":"https://github.com/citation-style-language/schema/raw/master/csl-citation.json"}</w:instrText>
      </w:r>
      <w:r>
        <w:rPr>
          <w:rFonts w:ascii="Arial" w:hAnsi="Arial" w:cs="Arial"/>
          <w:sz w:val="22"/>
        </w:rPr>
        <w:fldChar w:fldCharType="separate"/>
      </w:r>
      <w:r>
        <w:rPr>
          <w:rFonts w:ascii="Arial" w:hAnsi="Arial" w:cs="Arial"/>
          <w:sz w:val="22"/>
        </w:rPr>
        <w:t>(Scollon, Scollon and Jones, 2011)</w:t>
      </w:r>
      <w:r>
        <w:rPr>
          <w:rFonts w:ascii="Arial" w:hAnsi="Arial" w:cs="Arial"/>
          <w:sz w:val="22"/>
        </w:rPr>
        <w:fldChar w:fldCharType="end"/>
      </w:r>
      <w:r>
        <w:rPr>
          <w:rFonts w:ascii="Arial" w:hAnsi="Arial" w:cs="Arial"/>
          <w:sz w:val="22"/>
        </w:rPr>
        <w:t xml:space="preserve">. Also, it has to be noted that intercultural business communication is performed to promote intercultural cooperation and to seek the economic benefits of multinational enterprises. The huge gap in terms of culture between China and the UK has resulted in more challenges and sensitivities in HSBC UK’s communication in the Chinese workplace. </w:t>
      </w:r>
    </w:p>
    <w:p>
      <w:pPr>
        <w:spacing w:before="156" w:beforeLines="50" w:after="312" w:afterLines="100" w:line="360" w:lineRule="auto"/>
        <w:rPr>
          <w:rFonts w:ascii="Arial" w:hAnsi="Arial" w:cs="Arial"/>
          <w:sz w:val="22"/>
        </w:rPr>
      </w:pPr>
      <w:r>
        <w:rPr>
          <w:rFonts w:ascii="Arial" w:hAnsi="Arial" w:cs="Arial"/>
          <w:sz w:val="22"/>
        </w:rPr>
        <w:t xml:space="preserve">As verbal communication is still the most effective and commonly adopted way of intercultural business communication, the section focuses on the challenges arising from verbal communication. EF Education, the world's leading English training provider, has released its 2021 ranking of English proficiency in non-native English-speaking countries around the world. According to this ranking, the Dutch ranked first out of 80 countries and territories surveyed in English proficiency, with China's English proficiency level steadily increasing to its highest level since scoring began in 2011. China's overall English proficiency level still hovers at low proficiency, but compared to last year, this year's score improved by 1.53, the highest ever, and the ranking moved up eight places to 49 out of 112 in 2021 </w:t>
      </w:r>
      <w:r>
        <w:rPr>
          <w:rFonts w:ascii="Arial" w:hAnsi="Arial" w:cs="Arial"/>
          <w:sz w:val="22"/>
        </w:rPr>
        <w:fldChar w:fldCharType="begin" w:fldLock="1"/>
      </w:r>
      <w:r>
        <w:rPr>
          <w:rFonts w:ascii="Arial" w:hAnsi="Arial" w:cs="Arial"/>
          <w:sz w:val="22"/>
        </w:rPr>
        <w:instrText xml:space="preserve">ADDIN CSL_CITATION {"citationItems":[{"id":"ITEM-1","itemData":{"URL":"https://www.ef.com/wwen/epi/regions/asia/china/","accessed":{"date-parts":[["2022","7","19"]]},"author":[{"dropping-particle":"","family":"EF English","given":"","non-dropping-particle":"","parse-names":false,"suffix":""}],"id":"ITEM-1","issued":{"date-parts":[["2022"]]},"title":"EF EPI 2021 – EF English Proficiency Index – China","type":"webpage"},"uris":["http://www.mendeley.com/documents/?uuid=758a8711-1d79-3107-a95c-c9fdf8482ccf"]}],"mendeley":{"formattedCitation":"(EF English, 2022)","plainTextFormattedCitation":"(EF English, 2022)","previouslyFormattedCitation":"(EF English, 2022)"},"properties":{"noteIndex":0},"schema":"https://github.com/citation-style-language/schema/raw/master/csl-citation.json"}</w:instrText>
      </w:r>
      <w:r>
        <w:rPr>
          <w:rFonts w:ascii="Arial" w:hAnsi="Arial" w:cs="Arial"/>
          <w:sz w:val="22"/>
        </w:rPr>
        <w:fldChar w:fldCharType="separate"/>
      </w:r>
      <w:r>
        <w:rPr>
          <w:rFonts w:ascii="Arial" w:hAnsi="Arial" w:cs="Arial"/>
          <w:sz w:val="22"/>
        </w:rPr>
        <w:t>(EF English, 2022)</w:t>
      </w:r>
      <w:r>
        <w:rPr>
          <w:rFonts w:ascii="Arial" w:hAnsi="Arial" w:cs="Arial"/>
          <w:sz w:val="22"/>
        </w:rPr>
        <w:fldChar w:fldCharType="end"/>
      </w:r>
      <w:r>
        <w:rPr>
          <w:rFonts w:ascii="Arial" w:hAnsi="Arial" w:cs="Arial"/>
          <w:sz w:val="22"/>
        </w:rPr>
        <w:t xml:space="preserve">. At the same time, English education in China has been criticized for being ‘dumb’, as much higher attention has been placed on reading and writing rather than speaking and listening </w:t>
      </w:r>
      <w:r>
        <w:rPr>
          <w:rFonts w:ascii="Arial" w:hAnsi="Arial" w:cs="Arial"/>
          <w:sz w:val="22"/>
        </w:rPr>
        <w:fldChar w:fldCharType="begin" w:fldLock="1"/>
      </w:r>
      <w:r>
        <w:rPr>
          <w:rFonts w:ascii="Arial" w:hAnsi="Arial" w:cs="Arial"/>
          <w:sz w:val="22"/>
        </w:rPr>
        <w:instrText xml:space="preserve">ADDIN CSL_CITATION {"citationItems":[{"id":"ITEM-1","itemData":{"ISSN":"1931-3152","author":[{"dropping-particle":"","family":"Liu","given":"Na","non-dropping-particle":"","parse-names":false,"suffix":""},{"dropping-particle":"","family":"Lin","given":"Chih-Kai","non-dropping-particle":"","parse-names":false,"suffix":""},{"dropping-particle":"","family":"Wiley","given":"Terrence G","non-dropping-particle":"","parse-names":false,"suffix":""}],"container-title":"International Multilingual Research Journal","id":"ITEM-1","issue":"2","issued":{"date-parts":[["2016"]]},"page":"137-157","publisher":"Taylor &amp; Francis","title":"Learner views on English and English language teaching in China","type":"article-journal","volume":"10"},"uris":["http://www.mendeley.com/documents/?uuid=af948aed-5b6e-4b2f-b18a-d4c4a6628caf"]}],"mendeley":{"formattedCitation":"(Liu, Lin and Wiley, 2016)","plainTextFormattedCitation":"(Liu, Lin and Wiley, 2016)","previouslyFormattedCitation":"(Liu, Lin and Wiley, 2016)"},"properties":{"noteIndex":0},"schema":"https://github.com/citation-style-language/schema/raw/master/csl-citation.json"}</w:instrText>
      </w:r>
      <w:r>
        <w:rPr>
          <w:rFonts w:ascii="Arial" w:hAnsi="Arial" w:cs="Arial"/>
          <w:sz w:val="22"/>
        </w:rPr>
        <w:fldChar w:fldCharType="separate"/>
      </w:r>
      <w:r>
        <w:rPr>
          <w:rFonts w:ascii="Arial" w:hAnsi="Arial" w:cs="Arial"/>
          <w:sz w:val="22"/>
        </w:rPr>
        <w:t>(Liu, Lin and Wiley, 2016)</w:t>
      </w:r>
      <w:r>
        <w:rPr>
          <w:rFonts w:ascii="Arial" w:hAnsi="Arial" w:cs="Arial"/>
          <w:sz w:val="22"/>
        </w:rPr>
        <w:fldChar w:fldCharType="end"/>
      </w:r>
      <w:r>
        <w:rPr>
          <w:rFonts w:ascii="Arial" w:hAnsi="Arial" w:cs="Arial"/>
          <w:sz w:val="22"/>
        </w:rPr>
        <w:t xml:space="preserve">. Therefore, it could be a prominent challenge for British businesses to communicate with their Chinese partners and employees using English. At the same time, nearly all public or governmental documentation is leased only in the Chinese version. It would be challenging for HSBC UK, which mainly relies on British English for daily communication, to develop effective communication and unfold local business smoothly by English in their routine communication. </w:t>
      </w:r>
    </w:p>
    <w:p>
      <w:pPr>
        <w:spacing w:before="156" w:beforeLines="50" w:after="312" w:afterLines="100" w:line="360" w:lineRule="auto"/>
        <w:rPr>
          <w:rFonts w:ascii="Arial" w:hAnsi="Arial" w:cs="Arial"/>
          <w:sz w:val="22"/>
        </w:rPr>
      </w:pPr>
      <w:r>
        <w:rPr>
          <w:rFonts w:ascii="Arial" w:hAnsi="Arial" w:cs="Arial"/>
          <w:sz w:val="22"/>
        </w:rPr>
        <w:t xml:space="preserve">As indicated, the business communication also involves non-verbal communication. The section focusses on the cultural-differences in terms of gift-giving between the Chinese and British culture. </w:t>
      </w:r>
      <w:r>
        <w:rPr>
          <w:rFonts w:ascii="Arial" w:hAnsi="Arial" w:cs="Arial"/>
          <w:sz w:val="22"/>
        </w:rPr>
        <w:fldChar w:fldCharType="begin" w:fldLock="1"/>
      </w:r>
      <w:r>
        <w:rPr>
          <w:rFonts w:ascii="Arial" w:hAnsi="Arial" w:cs="Arial"/>
          <w:sz w:val="22"/>
        </w:rPr>
        <w:instrText xml:space="preserve">ADDIN CSL_CITATION {"citationItems":[{"id":"ITEM-1","itemData":{"author":[{"dropping-particle":"","family":"Macklin","given":"M Carole","non-dropping-particle":"","parse-names":false,"suffix":""},{"dropping-particle":"","family":"Walker","given":"Mary","non-dropping-particle":"","parse-names":false,"suffix":""}],"container-title":"Proceedings of the 1988 Academy of Marketing Science (AMS) Annual Conference","id":"ITEM-1","issued":{"date-parts":[["2015"]]},"page":"28-32","publisher":"Springer","title":"The joy and irritation of gift giving","type":"paper-conference"},"uris":["http://www.mendeley.com/documents/?uuid=03e4b24b-0f2b-49d1-9132-259e5fbd77c7"]}],"mendeley":{"formattedCitation":"(Macklin and Walker, 2015)","manualFormatting":"Macklin &amp; Walker (2015)","plainTextFormattedCitation":"(Macklin and Walker, 2015)","previouslyFormattedCitation":"(Macklin and Walker, 2015)"},"properties":{"noteIndex":0},"schema":"https://github.com/citation-style-language/schema/raw/master/csl-citation.json"}</w:instrText>
      </w:r>
      <w:r>
        <w:rPr>
          <w:rFonts w:ascii="Arial" w:hAnsi="Arial" w:cs="Arial"/>
          <w:sz w:val="22"/>
        </w:rPr>
        <w:fldChar w:fldCharType="separate"/>
      </w:r>
      <w:r>
        <w:rPr>
          <w:rFonts w:ascii="Arial" w:hAnsi="Arial" w:cs="Arial"/>
          <w:sz w:val="22"/>
        </w:rPr>
        <w:t>Macklin &amp; Walker (2015)</w:t>
      </w:r>
      <w:r>
        <w:rPr>
          <w:rFonts w:ascii="Arial" w:hAnsi="Arial" w:cs="Arial"/>
          <w:sz w:val="22"/>
        </w:rPr>
        <w:fldChar w:fldCharType="end"/>
      </w:r>
      <w:r>
        <w:rPr>
          <w:rFonts w:ascii="Arial" w:hAnsi="Arial" w:cs="Arial"/>
          <w:sz w:val="22"/>
        </w:rPr>
        <w:t xml:space="preserve"> argue that gift-giving is the process of choosing, exchanging, and evaluating products or services in order to fulfil an obligation or out of choice. The gift giving also indicates its patterns across cultures. </w:t>
      </w:r>
      <w:r>
        <w:rPr>
          <w:rFonts w:ascii="Arial" w:hAnsi="Arial" w:cs="Arial"/>
          <w:sz w:val="22"/>
        </w:rPr>
        <w:fldChar w:fldCharType="begin" w:fldLock="1"/>
      </w:r>
      <w:r>
        <w:rPr>
          <w:rFonts w:ascii="Arial" w:hAnsi="Arial" w:cs="Arial"/>
          <w:sz w:val="22"/>
        </w:rPr>
        <w:instrText xml:space="preserve">ADDIN CSL_CITATION {"citationItems":[{"id":"ITEM-1","itemData":{"ISSN":"0148-2963","author":[{"dropping-particle":"","family":"Beatty","given":"Sharon E","non-dropping-particle":"","parse-names":false,"suffix":""},{"dropping-particle":"","family":"Kahle","given":"Lynn R","non-dropping-particle":"","parse-names":false,"suffix":""},{"dropping-particle":"","family":"Homer","given":"Pamela","non-dropping-particle":"","parse-names":false,"suffix":""}],"container-title":"Journal of Business Research","id":"ITEM-1","issue":"2","issued":{"date-parts":[["1991"]]},"page":"149-157","publisher":"Elsevier","title":"Personal values and gift-giving behaviors: A study across cultures","type":"article-journal","volume":"22"},"uris":["http://www.mendeley.com/documents/?uuid=737f7e4e-1f7d-408c-ad56-648018165d6c"]}],"mendeley":{"formattedCitation":"(Beatty, Kahle and Homer, 1991)","manualFormatting":"Beatty et al. (1991)","plainTextFormattedCitation":"(Beatty, Kahle and Homer, 1991)","previouslyFormattedCitation":"(Beatty, Kahle and Homer, 1991)"},"properties":{"noteIndex":0},"schema":"https://github.com/citation-style-language/schema/raw/master/csl-citation.json"}</w:instrText>
      </w:r>
      <w:r>
        <w:rPr>
          <w:rFonts w:ascii="Arial" w:hAnsi="Arial" w:cs="Arial"/>
          <w:sz w:val="22"/>
        </w:rPr>
        <w:fldChar w:fldCharType="separate"/>
      </w:r>
      <w:r>
        <w:rPr>
          <w:rFonts w:ascii="Arial" w:hAnsi="Arial" w:cs="Arial"/>
          <w:sz w:val="22"/>
        </w:rPr>
        <w:t>Beatty et al. (1991)</w:t>
      </w:r>
      <w:r>
        <w:rPr>
          <w:rFonts w:ascii="Arial" w:hAnsi="Arial" w:cs="Arial"/>
          <w:sz w:val="22"/>
        </w:rPr>
        <w:fldChar w:fldCharType="end"/>
      </w:r>
      <w:r>
        <w:rPr>
          <w:rFonts w:ascii="Arial" w:hAnsi="Arial" w:cs="Arial"/>
          <w:sz w:val="22"/>
        </w:rPr>
        <w:t xml:space="preserve"> proposed a broad measure of gift-giving behaviour using the amount of gift giving and the effort expended in gift selection. In China, gift-giving is always associated with relationships, and the closeness of the relationship determines the difference in treatment, and relationships are an important resource in Chinese society </w:t>
      </w:r>
      <w:r>
        <w:rPr>
          <w:rFonts w:ascii="Arial" w:hAnsi="Arial" w:cs="Arial"/>
          <w:sz w:val="22"/>
        </w:rPr>
        <w:fldChar w:fldCharType="begin" w:fldLock="1"/>
      </w:r>
      <w:r>
        <w:rPr>
          <w:rFonts w:ascii="Arial" w:hAnsi="Arial" w:cs="Arial"/>
          <w:sz w:val="22"/>
        </w:rPr>
        <w:instrText xml:space="preserve">ADDIN CSL_CITATION {"citationItems":[{"id":"ITEM-1","itemData":{"ISSN":"0267-257X","author":[{"dropping-particle":"","family":"Tynan","given":"Caroline","non-dropping-particle":"","parse-names":false,"suffix":""},{"dropping-particle":"","family":"Teresa Pereira Heath","given":"M","non-dropping-particle":"","parse-names":false,"suffix":""},{"dropping-particle":"","family":"Ennew","given":"Christine","non-dropping-particle":"","parse-names":false,"suffix":""},{"dropping-particle":"","family":"Wang","given":"Fangfang","non-dropping-particle":"","parse-names":false,"suffix":""},{"dropping-particle":"","family":"Sun","given":"Luping","non-dropping-particle":"","parse-names":false,"suffix":""}],"container-title":"Journal of Marketing Management","id":"ITEM-1","issue":"11-12","issued":{"date-parts":[["2010"]]},"page":"1112-1128","publisher":"Taylor &amp; Francis","title":"Self-gift giving in China and the UK: Collectivist versus individualist orientations","type":"article-journal","volume":"26"},"uris":["http://www.mendeley.com/documents/?uuid=96b28687-475f-47cc-9027-eb20e9166f14"]}],"mendeley":{"formattedCitation":"(Tynan &lt;i&gt;et al.&lt;/i&gt;, 2010)","plainTextFormattedCitation":"(Tynan et al., 2010)","previouslyFormattedCitation":"(Tynan &lt;i&gt;et al.&lt;/i&gt;, 2010)"},"properties":{"noteIndex":0},"schema":"https://github.com/citation-style-language/schema/raw/master/csl-citation.json"}</w:instrText>
      </w:r>
      <w:r>
        <w:rPr>
          <w:rFonts w:ascii="Arial" w:hAnsi="Arial" w:cs="Arial"/>
          <w:sz w:val="22"/>
        </w:rPr>
        <w:fldChar w:fldCharType="separate"/>
      </w:r>
      <w:r>
        <w:rPr>
          <w:rFonts w:ascii="Arial" w:hAnsi="Arial" w:cs="Arial"/>
          <w:sz w:val="22"/>
        </w:rPr>
        <w:t xml:space="preserve">(Tynan </w:t>
      </w:r>
      <w:r>
        <w:rPr>
          <w:rFonts w:ascii="Arial" w:hAnsi="Arial" w:cs="Arial"/>
          <w:i/>
          <w:sz w:val="22"/>
        </w:rPr>
        <w:t>et al.</w:t>
      </w:r>
      <w:r>
        <w:rPr>
          <w:rFonts w:ascii="Arial" w:hAnsi="Arial" w:cs="Arial"/>
          <w:sz w:val="22"/>
        </w:rPr>
        <w:t>, 2010)</w:t>
      </w:r>
      <w:r>
        <w:rPr>
          <w:rFonts w:ascii="Arial" w:hAnsi="Arial" w:cs="Arial"/>
          <w:sz w:val="22"/>
        </w:rPr>
        <w:fldChar w:fldCharType="end"/>
      </w:r>
      <w:r>
        <w:rPr>
          <w:rFonts w:ascii="Arial" w:hAnsi="Arial" w:cs="Arial"/>
          <w:sz w:val="22"/>
        </w:rPr>
        <w:t xml:space="preserve">. Currently, China is in a period of transition, and the development of the market economy has led to an increase in opportunities, and social relationships have become an important way to gain opportunities, status, and benefits, while gift exchange is an important means to expand and maintain social networks, making Chinese people highly conscious of the importance of gift exchange </w:t>
      </w:r>
      <w:r>
        <w:rPr>
          <w:rFonts w:ascii="Arial" w:hAnsi="Arial" w:cs="Arial"/>
          <w:sz w:val="22"/>
        </w:rPr>
        <w:fldChar w:fldCharType="begin" w:fldLock="1"/>
      </w:r>
      <w:r>
        <w:rPr>
          <w:rFonts w:ascii="Arial" w:hAnsi="Arial" w:cs="Arial"/>
          <w:sz w:val="22"/>
        </w:rPr>
        <w:instrText xml:space="preserve">ADDIN CSL_CITATION {"citationItems":[{"id":"ITEM-1","itemData":{"ISSN":"1050-8422","author":[{"dropping-particle":"","family":"Li","given":"Peikai","non-dropping-particle":"","parse-names":false,"suffix":""},{"dropping-particle":"","family":"Sun","given":"Jian-Min","non-dropping-particle":"","parse-names":false,"suffix":""},{"dropping-particle":"","family":"Taris","given":"Toon W","non-dropping-particle":"","parse-names":false,"suffix":""}],"container-title":"Ethics &amp; Behavior","id":"ITEM-1","issue":"4","issued":{"date-parts":[["2022"]]},"page":"307-325","publisher":"Taylor &amp; Francis","title":"Differentiating between gift giving and bribing in China: A guanxi perspective","type":"article-journal","volume":"32"},"uris":["http://www.mendeley.com/documents/?uuid=1b0999ee-ba51-4d2e-a204-e72cfafc77a8"]},{"id":"ITEM-2","itemData":{"ISSN":"1744-1374","author":[{"dropping-particle":"","family":"Hudik","given":"Marek","non-dropping-particle":"","parse-names":false,"suffix":""},{"dropping-particle":"","family":"Fang","given":"Eddy S","non-dropping-particle":"","parse-names":false,"suffix":""}],"container-title":"Journal of Institutional Economics","id":"ITEM-2","issue":"5","issued":{"date-parts":[["2020"]]},"page":"731-746","publisher":"Cambridge University Press","title":"Money or in-kind gift? Evidence from red packets in China","type":"article-journal","volume":"16"},"uris":["http://www.mendeley.com/documents/?uuid=a0b5ea77-678b-419c-bd55-742cb0780f3a"]}],"mendeley":{"formattedCitation":"(Hudik and Fang, 2020; Li, Sun and Taris, 2022)","plainTextFormattedCitation":"(Hudik and Fang, 2020; Li, Sun and Taris, 2022)","previouslyFormattedCitation":"(Hudik and Fang, 2020; Li, Sun and Taris, 2022)"},"properties":{"noteIndex":0},"schema":"https://github.com/citation-style-language/schema/raw/master/csl-citation.json"}</w:instrText>
      </w:r>
      <w:r>
        <w:rPr>
          <w:rFonts w:ascii="Arial" w:hAnsi="Arial" w:cs="Arial"/>
          <w:sz w:val="22"/>
        </w:rPr>
        <w:fldChar w:fldCharType="separate"/>
      </w:r>
      <w:r>
        <w:rPr>
          <w:rFonts w:ascii="Arial" w:hAnsi="Arial" w:cs="Arial"/>
          <w:sz w:val="22"/>
        </w:rPr>
        <w:t>(Hudik and Fang, 2020; Li, Sun and Taris, 2022)</w:t>
      </w:r>
      <w:r>
        <w:rPr>
          <w:rFonts w:ascii="Arial" w:hAnsi="Arial" w:cs="Arial"/>
          <w:sz w:val="22"/>
        </w:rPr>
        <w:fldChar w:fldCharType="end"/>
      </w:r>
      <w:r>
        <w:rPr>
          <w:rFonts w:ascii="Arial" w:hAnsi="Arial" w:cs="Arial"/>
          <w:sz w:val="22"/>
        </w:rPr>
        <w:t xml:space="preserve">. This is especially true in the fierce banking industry in China, when gift-giving to business partners and customers are highly common to establish social networks. However, in the British workplace, gift-giving is not as common as in the Chinese workplace, and it usually happens in the special occasions. Specifically, in British workplace, there are many gift-giving taboos in daily and business interactions, such as avoiding gifts in business interactions to avoid suspicion of bribery; avoiding sending gifts with the company logo between friends to avoid suspicion of advertising for the company; etc. </w:t>
      </w:r>
      <w:r>
        <w:rPr>
          <w:rFonts w:ascii="Arial" w:hAnsi="Arial" w:cs="Arial"/>
          <w:sz w:val="22"/>
        </w:rPr>
        <w:fldChar w:fldCharType="begin" w:fldLock="1"/>
      </w:r>
      <w:r>
        <w:rPr>
          <w:rFonts w:ascii="Arial" w:hAnsi="Arial" w:cs="Arial"/>
          <w:sz w:val="22"/>
        </w:rPr>
        <w:instrText xml:space="preserve">ADDIN CSL_CITATION {"citationItems":[{"id":"ITEM-1","itemData":{"ISSN":"0267-257X","author":[{"dropping-particle":"","family":"Tynan","given":"Caroline","non-dropping-particle":"","parse-names":false,"suffix":""},{"dropping-particle":"","family":"Teresa Pereira Heath","given":"M","non-dropping-particle":"","parse-names":false,"suffix":""},{"dropping-particle":"","family":"Ennew","given":"Christine","non-dropping-particle":"","parse-names":false,"suffix":""},{"dropping-particle":"","family":"Wang","given":"Fangfang","non-dropping-particle":"","parse-names":false,"suffix":""},{"dropping-particle":"","family":"Sun","given":"Luping","non-dropping-particle":"","parse-names":false,"suffix":""}],"container-title":"Journal of Marketing Management","id":"ITEM-1","issue":"11-12","issued":{"date-parts":[["2010"]]},"page":"1112-1128","publisher":"Taylor &amp; Francis","title":"Self-gift giving in China and the UK: Collectivist versus individualist orientations","type":"article-journal","volume":"26"},"uris":["http://www.mendeley.com/documents/?uuid=96b28687-475f-47cc-9027-eb20e9166f14"]},{"id":"ITEM-2","itemData":{"ISBN":"184545040X","author":[{"dropping-particle":"","family":"Konrad","given":"Monica","non-dropping-particle":"","parse-names":false,"suffix":""}],"id":"ITEM-2","issued":{"date-parts":[["2005"]]},"publisher":"Berghahn Books","title":"Nameless relations: anonymity, Melanesia and reproductive gift exchange between British ova donors and recipients","type":"book","volume":"7"},"uris":["http://www.mendeley.com/documents/?uuid=5447a798-ecba-4e2b-8bbb-1950b053c4f3"]}],"mendeley":{"formattedCitation":"(Konrad, 2005; Tynan &lt;i&gt;et al.&lt;/i&gt;, 2010)","plainTextFormattedCitation":"(Konrad, 2005; Tynan et al., 2010)","previouslyFormattedCitation":"(Konrad, 2005; Tynan &lt;i&gt;et al.&lt;/i&gt;, 2010)"},"properties":{"noteIndex":0},"schema":"https://github.com/citation-style-language/schema/raw/master/csl-citation.json"}</w:instrText>
      </w:r>
      <w:r>
        <w:rPr>
          <w:rFonts w:ascii="Arial" w:hAnsi="Arial" w:cs="Arial"/>
          <w:sz w:val="22"/>
        </w:rPr>
        <w:fldChar w:fldCharType="separate"/>
      </w:r>
      <w:r>
        <w:rPr>
          <w:rFonts w:ascii="Arial" w:hAnsi="Arial" w:cs="Arial"/>
          <w:sz w:val="22"/>
        </w:rPr>
        <w:t xml:space="preserve">(Konrad, 2005; Tynan </w:t>
      </w:r>
      <w:r>
        <w:rPr>
          <w:rFonts w:ascii="Arial" w:hAnsi="Arial" w:cs="Arial"/>
          <w:i/>
          <w:sz w:val="22"/>
        </w:rPr>
        <w:t>et al.</w:t>
      </w:r>
      <w:r>
        <w:rPr>
          <w:rFonts w:ascii="Arial" w:hAnsi="Arial" w:cs="Arial"/>
          <w:sz w:val="22"/>
        </w:rPr>
        <w:t>, 2010)</w:t>
      </w:r>
      <w:r>
        <w:rPr>
          <w:rFonts w:ascii="Arial" w:hAnsi="Arial" w:cs="Arial"/>
          <w:sz w:val="22"/>
        </w:rPr>
        <w:fldChar w:fldCharType="end"/>
      </w:r>
      <w:r>
        <w:rPr>
          <w:rFonts w:ascii="Arial" w:hAnsi="Arial" w:cs="Arial"/>
          <w:sz w:val="22"/>
        </w:rPr>
        <w:t xml:space="preserve"> According to the collectivist-individualist value dimension proposed by </w:t>
      </w:r>
      <w:r>
        <w:rPr>
          <w:rFonts w:ascii="Arial" w:hAnsi="Arial" w:cs="Arial"/>
          <w:sz w:val="22"/>
        </w:rPr>
        <w:fldChar w:fldCharType="begin" w:fldLock="1"/>
      </w:r>
      <w:r>
        <w:rPr>
          <w:rFonts w:ascii="Arial" w:hAnsi="Arial" w:cs="Arial"/>
          <w:sz w:val="22"/>
        </w:rPr>
        <w:instrText xml:space="preserve">ADDIN CSL_CITATION {"citationItems":[{"id":"ITEM-1","itemData":{"author":[{"dropping-particle":"","family":"Hofstede","given":"Geert.","non-dropping-particle":"","parse-names":false,"suffix":""}],"container-title":"Online readings in psychology and culture","id":"ITEM-1","issue":"1","issued":{"date-parts":[["2011"]]},"page":"2307-0919","title":"Dimensionalizing cultures: The Hofstede model in context.","type":"article-journal","volume":"2"},"uris":["http://www.mendeley.com/documents/?uuid=0c03a322-ea08-457c-85f8-155229884277"]}],"mendeley":{"formattedCitation":"(Hofstede, 2011)","manualFormatting":"Hofstede (2011)","plainTextFormattedCitation":"(Hofstede, 2011)","previouslyFormattedCitation":"(Hofstede, 2011)"},"properties":{"noteIndex":0},"schema":"https://github.com/citation-style-language/schema/raw/master/csl-citation.json"}</w:instrText>
      </w:r>
      <w:r>
        <w:rPr>
          <w:rFonts w:ascii="Arial" w:hAnsi="Arial" w:cs="Arial"/>
          <w:sz w:val="22"/>
        </w:rPr>
        <w:fldChar w:fldCharType="separate"/>
      </w:r>
      <w:r>
        <w:rPr>
          <w:rFonts w:ascii="Arial" w:hAnsi="Arial" w:cs="Arial"/>
          <w:sz w:val="22"/>
        </w:rPr>
        <w:t>Hofstede (2011)</w:t>
      </w:r>
      <w:r>
        <w:rPr>
          <w:rFonts w:ascii="Arial" w:hAnsi="Arial" w:cs="Arial"/>
          <w:sz w:val="22"/>
        </w:rPr>
        <w:fldChar w:fldCharType="end"/>
      </w:r>
      <w:r>
        <w:rPr>
          <w:rFonts w:ascii="Arial" w:hAnsi="Arial" w:cs="Arial"/>
          <w:sz w:val="22"/>
        </w:rPr>
        <w:t xml:space="preserve">, culture are divided into collectivist and individualist cultures. In the context of collectivist culture, Chinese people have a strong group concept and are dependent on the group, believing that each person is a part of a complex group network rather than an individual independent of the group. Therefore, they attach importance to interpersonal relationships in their daily interactions and try to establish and maintain good interpersonal relationships. In contrast to Chinese culture, the British promotes individualism, respects human rights and freedom, and advocates equality for all. They believe that they are independent individuals first and then exist in a certain collective, so they generally have less dependence on the collective and value their own personal interests and self-fulfilments more </w:t>
      </w:r>
      <w:r>
        <w:rPr>
          <w:rFonts w:ascii="Arial" w:hAnsi="Arial" w:cs="Arial"/>
          <w:sz w:val="22"/>
        </w:rPr>
        <w:fldChar w:fldCharType="begin" w:fldLock="1"/>
      </w:r>
      <w:r>
        <w:rPr>
          <w:rFonts w:ascii="Arial" w:hAnsi="Arial" w:cs="Arial"/>
          <w:sz w:val="22"/>
        </w:rPr>
        <w:instrText xml:space="preserve">ADDIN CSL_CITATION {"citationItems":[{"id":"ITEM-1","itemData":{"ISSN":"0129-2986","author":[{"dropping-particle":"","family":"Kim","given":"Min-Sun","non-dropping-particle":"","parse-names":false,"suffix":""}],"container-title":"Asian Journal of Communication","id":"ITEM-1","issue":"2","issued":{"date-parts":[["2010"]]},"page":"166-180","publisher":"Taylor &amp; Francis","title":"Intercultural communication in Asia: Current state and future prospects","type":"article-journal","volume":"20"},"uris":["http://www.mendeley.com/documents/?uuid=9fc47a32-41be-41e3-8d67-d2a691542d21"]}],"mendeley":{"formattedCitation":"(Kim, 2010)","plainTextFormattedCitation":"(Kim, 2010)","previouslyFormattedCitation":"(Kim, 2010)"},"properties":{"noteIndex":0},"schema":"https://github.com/citation-style-language/schema/raw/master/csl-citation.json"}</w:instrText>
      </w:r>
      <w:r>
        <w:rPr>
          <w:rFonts w:ascii="Arial" w:hAnsi="Arial" w:cs="Arial"/>
          <w:sz w:val="22"/>
        </w:rPr>
        <w:fldChar w:fldCharType="separate"/>
      </w:r>
      <w:r>
        <w:rPr>
          <w:rFonts w:ascii="Arial" w:hAnsi="Arial" w:cs="Arial"/>
          <w:sz w:val="22"/>
        </w:rPr>
        <w:t>(Kim, 2010)</w:t>
      </w:r>
      <w:r>
        <w:rPr>
          <w:rFonts w:ascii="Arial" w:hAnsi="Arial" w:cs="Arial"/>
          <w:sz w:val="22"/>
        </w:rPr>
        <w:fldChar w:fldCharType="end"/>
      </w:r>
      <w:r>
        <w:rPr>
          <w:rFonts w:ascii="Arial" w:hAnsi="Arial" w:cs="Arial"/>
          <w:sz w:val="22"/>
        </w:rPr>
        <w:t xml:space="preserve">. This also leads them to neglect the establishment of group relationships in their daily lives, so the use of gift-giving as a form of social interaction is also much less compared to China. In the anti-corruption law in Britain, bribery is a serious infringement of the expectation that any act of a public function, business-related act, act in an employment relationship, and act of a group of persons, both corporate and non-corporate, will be performed with honesty, fairness, and trust, which results in the improper exercise of a duty or act in violation of a statutory provision </w:t>
      </w:r>
      <w:r>
        <w:rPr>
          <w:rFonts w:ascii="Arial" w:hAnsi="Arial" w:cs="Arial"/>
          <w:sz w:val="22"/>
        </w:rPr>
        <w:fldChar w:fldCharType="begin" w:fldLock="1"/>
      </w:r>
      <w:r>
        <w:rPr>
          <w:rFonts w:ascii="Arial" w:hAnsi="Arial" w:cs="Arial"/>
          <w:sz w:val="22"/>
        </w:rPr>
        <w:instrText xml:space="preserve">ADDIN CSL_CITATION {"citationItems":[{"id":"ITEM-1","itemData":{"ISSN":"1748-8958","author":[{"dropping-particle":"","family":"Lord","given":"Nicholas J","non-dropping-particle":"","parse-names":false,"suffix":""}],"container-title":"Criminology &amp; Criminal Justice","id":"ITEM-1","issue":"1","issued":{"date-parts":[["2014"]]},"page":"100-120","publisher":"SAGE Publications Sage UK: London, England","title":"Responding to transnational corporate bribery using international frameworks for enforcement: Anti-bribery and corruption in the UK and Germany","type":"article-journal","volume":"14"},"uris":["http://www.mendeley.com/documents/?uuid=96a2d620-caad-47fe-a39e-c0eb8f0d8bbf"]}],"mendeley":{"formattedCitation":"(Lord, 2014)","plainTextFormattedCitation":"(Lord, 2014)","previouslyFormattedCitation":"(Lord, 2014)"},"properties":{"noteIndex":0},"schema":"https://github.com/citation-style-language/schema/raw/master/csl-citation.json"}</w:instrText>
      </w:r>
      <w:r>
        <w:rPr>
          <w:rFonts w:ascii="Arial" w:hAnsi="Arial" w:cs="Arial"/>
          <w:sz w:val="22"/>
        </w:rPr>
        <w:fldChar w:fldCharType="separate"/>
      </w:r>
      <w:r>
        <w:rPr>
          <w:rFonts w:ascii="Arial" w:hAnsi="Arial" w:cs="Arial"/>
          <w:sz w:val="22"/>
        </w:rPr>
        <w:t>(Lord, 2014)</w:t>
      </w:r>
      <w:r>
        <w:rPr>
          <w:rFonts w:ascii="Arial" w:hAnsi="Arial" w:cs="Arial"/>
          <w:sz w:val="22"/>
        </w:rPr>
        <w:fldChar w:fldCharType="end"/>
      </w:r>
      <w:r>
        <w:rPr>
          <w:rFonts w:ascii="Arial" w:hAnsi="Arial" w:cs="Arial"/>
          <w:sz w:val="22"/>
        </w:rPr>
        <w:t>. The serious infringement of the expectation of honesty, fairness or trust becomes the qualitative characteristic of the crime of bribery and is the basic criterion for determining impropriety. Therefore, it is expected that HSBC will be more reluctant toward the gift-giving culture in the Chinese workplace.</w:t>
      </w:r>
    </w:p>
    <w:p>
      <w:pPr>
        <w:spacing w:before="156" w:beforeLines="50" w:after="312" w:afterLines="100" w:line="360" w:lineRule="auto"/>
        <w:rPr>
          <w:rFonts w:ascii="Arial" w:hAnsi="Arial" w:cs="Arial"/>
          <w:sz w:val="22"/>
        </w:rPr>
      </w:pPr>
      <w:r>
        <w:rPr>
          <w:rFonts w:ascii="Arial" w:hAnsi="Arial" w:cs="Arial"/>
          <w:sz w:val="22"/>
        </w:rPr>
        <w:fldChar w:fldCharType="begin" w:fldLock="1"/>
      </w:r>
      <w:r>
        <w:rPr>
          <w:rFonts w:ascii="Arial" w:hAnsi="Arial" w:cs="Arial"/>
          <w:sz w:val="22"/>
        </w:rPr>
        <w:instrText xml:space="preserve">ADDIN CSL_CITATION {"citationItems":[{"id":"ITEM-1","itemData":{"ISBN":"0013-1725","author":[{"dropping-particle":"","family":"Hall","given":"Edward T","non-dropping-particle":"","parse-names":false,"suffix":""}],"container-title":"The Educational Forum","id":"ITEM-1","issue":"1","issued":{"date-parts":[["1990"]]},"page":"21-34","publisher":"Taylor &amp; Francis","title":"Unstated features of the cultural context of learning","type":"paper-conference","volume":"54"},"uris":["http://www.mendeley.com/documents/?uuid=719a93d4-83f8-4993-aee7-c40b10b5ace8"]}],"mendeley":{"formattedCitation":"(Hall, 1990)","manualFormatting":"Hall (1990)","plainTextFormattedCitation":"(Hall, 1990)","previouslyFormattedCitation":"(Hall, 1990)"},"properties":{"noteIndex":0},"schema":"https://github.com/citation-style-language/schema/raw/master/csl-citation.json"}</w:instrText>
      </w:r>
      <w:r>
        <w:rPr>
          <w:rFonts w:ascii="Arial" w:hAnsi="Arial" w:cs="Arial"/>
          <w:sz w:val="22"/>
        </w:rPr>
        <w:fldChar w:fldCharType="separate"/>
      </w:r>
      <w:r>
        <w:rPr>
          <w:rFonts w:ascii="Arial" w:hAnsi="Arial" w:cs="Arial"/>
          <w:sz w:val="22"/>
        </w:rPr>
        <w:t>Hall (1990)</w:t>
      </w:r>
      <w:r>
        <w:rPr>
          <w:rFonts w:ascii="Arial" w:hAnsi="Arial" w:cs="Arial"/>
          <w:sz w:val="22"/>
        </w:rPr>
        <w:fldChar w:fldCharType="end"/>
      </w:r>
      <w:r>
        <w:rPr>
          <w:rFonts w:ascii="Arial" w:hAnsi="Arial" w:cs="Arial"/>
          <w:sz w:val="22"/>
        </w:rPr>
        <w:t xml:space="preserve"> proposed two models of high-context and low-context cultural communication. The high- and low-context cultural communication models suggest that individuals tend to have different degrees of attenuation of uncertain information in their initial interactions. It can be seen that the differences between high- and low-context cultural communication are particularly evident under the constraints of expression and attribution of communicative responsibility. In terms of expression, high-context culture transmits information through the context of the expresser, spreading similar social conventions, worldviews or customs of both parties, etc., with the hope that both parties can each obtain the set information smoothly before communicating </w:t>
      </w:r>
      <w:r>
        <w:rPr>
          <w:rFonts w:ascii="Arial" w:hAnsi="Arial" w:cs="Arial"/>
          <w:sz w:val="22"/>
        </w:rPr>
        <w:fldChar w:fldCharType="begin" w:fldLock="1"/>
      </w:r>
      <w:r>
        <w:rPr>
          <w:rFonts w:ascii="Arial" w:hAnsi="Arial" w:cs="Arial"/>
          <w:sz w:val="22"/>
        </w:rPr>
        <w:instrText xml:space="preserve">ADDIN CSL_CITATION {"citationItems":[{"id":"ITEM-1","itemData":{"ISBN":"0013-1725","author":[{"dropping-particle":"","family":"Hall","given":"Edward T","non-dropping-particle":"","parse-names":false,"suffix":""}],"container-title":"The Educational Forum","id":"ITEM-1","issue":"1","issued":{"date-parts":[["1990"]]},"page":"21-34","publisher":"Taylor &amp; Francis","title":"Unstated features of the cultural context of learning","type":"paper-conference","volume":"54"},"uris":["http://www.mendeley.com/documents/?uuid=719a93d4-83f8-4993-aee7-c40b10b5ace8"]}],"mendeley":{"formattedCitation":"(Hall, 1990)","plainTextFormattedCitation":"(Hall, 1990)","previouslyFormattedCitation":"(Hall, 1990)"},"properties":{"noteIndex":0},"schema":"https://github.com/citation-style-language/schema/raw/master/csl-citation.json"}</w:instrText>
      </w:r>
      <w:r>
        <w:rPr>
          <w:rFonts w:ascii="Arial" w:hAnsi="Arial" w:cs="Arial"/>
          <w:sz w:val="22"/>
        </w:rPr>
        <w:fldChar w:fldCharType="separate"/>
      </w:r>
      <w:r>
        <w:rPr>
          <w:rFonts w:ascii="Arial" w:hAnsi="Arial" w:cs="Arial"/>
          <w:sz w:val="22"/>
        </w:rPr>
        <w:t>(Hall, 1990)</w:t>
      </w:r>
      <w:r>
        <w:rPr>
          <w:rFonts w:ascii="Arial" w:hAnsi="Arial" w:cs="Arial"/>
          <w:sz w:val="22"/>
        </w:rPr>
        <w:fldChar w:fldCharType="end"/>
      </w:r>
      <w:r>
        <w:rPr>
          <w:rFonts w:ascii="Arial" w:hAnsi="Arial" w:cs="Arial"/>
          <w:sz w:val="22"/>
        </w:rPr>
        <w:t xml:space="preserve">. In low-context cultures, the communication relies more on language and less on the context, and the information is conveyed through the code of the statute, and the two parties in low-context cultures regard the so-called "roundabout method" as disrespectful to the communication </w:t>
      </w:r>
      <w:r>
        <w:rPr>
          <w:rFonts w:ascii="Arial" w:hAnsi="Arial" w:cs="Arial"/>
          <w:sz w:val="22"/>
        </w:rPr>
        <w:fldChar w:fldCharType="begin" w:fldLock="1"/>
      </w:r>
      <w:r>
        <w:rPr>
          <w:rFonts w:ascii="Arial" w:hAnsi="Arial" w:cs="Arial"/>
          <w:sz w:val="22"/>
        </w:rPr>
        <w:instrText xml:space="preserve">ADDIN CSL_CITATION {"citationItems":[{"id":"ITEM-1","itemData":{"ISBN":"0013-1725","author":[{"dropping-particle":"","family":"Hall","given":"Edward T","non-dropping-particle":"","parse-names":false,"suffix":""}],"container-title":"The Educational Forum","id":"ITEM-1","issue":"1","issued":{"date-parts":[["1990"]]},"page":"21-34","publisher":"Taylor &amp; Francis","title":"Unstated features of the cultural context of learning","type":"paper-conference","volume":"54"},"uris":["http://www.mendeley.com/documents/?uuid=719a93d4-83f8-4993-aee7-c40b10b5ace8"]}],"mendeley":{"formattedCitation":"(Hall, 1990)","plainTextFormattedCitation":"(Hall, 1990)","previouslyFormattedCitation":"(Hall, 1990)"},"properties":{"noteIndex":0},"schema":"https://github.com/citation-style-language/schema/raw/master/csl-citation.json"}</w:instrText>
      </w:r>
      <w:r>
        <w:rPr>
          <w:rFonts w:ascii="Arial" w:hAnsi="Arial" w:cs="Arial"/>
          <w:sz w:val="22"/>
        </w:rPr>
        <w:fldChar w:fldCharType="separate"/>
      </w:r>
      <w:r>
        <w:rPr>
          <w:rFonts w:ascii="Arial" w:hAnsi="Arial" w:cs="Arial"/>
          <w:sz w:val="22"/>
        </w:rPr>
        <w:t>(Hall, 1990)</w:t>
      </w:r>
      <w:r>
        <w:rPr>
          <w:rFonts w:ascii="Arial" w:hAnsi="Arial" w:cs="Arial"/>
          <w:sz w:val="22"/>
        </w:rPr>
        <w:fldChar w:fldCharType="end"/>
      </w:r>
      <w:r>
        <w:rPr>
          <w:rFonts w:ascii="Arial" w:hAnsi="Arial" w:cs="Arial"/>
          <w:sz w:val="22"/>
        </w:rPr>
        <w:t xml:space="preserve">. The different ways of communication between high and low-context cultures not only determine the obvious differences in the way they adopt expressions in communication but also have an impact on the construction of information schemas and decoding paths. From the perspective of the high-low text, the British and Chinese cultures are at two opposite ends. Specifically, the UK is a typical representative of low-context culture, and China is a manifestation of the high-context culture. For instance, mass communication in British companies is vested in the explicit and direct code and highly relies on immediate communication situations to exchange information </w:t>
      </w:r>
      <w:r>
        <w:rPr>
          <w:rFonts w:ascii="Arial" w:hAnsi="Arial" w:cs="Arial"/>
          <w:sz w:val="22"/>
        </w:rPr>
        <w:fldChar w:fldCharType="begin" w:fldLock="1"/>
      </w:r>
      <w:r>
        <w:rPr>
          <w:rFonts w:ascii="Arial" w:hAnsi="Arial" w:cs="Arial"/>
          <w:sz w:val="22"/>
        </w:rPr>
        <w:instrText xml:space="preserve">ADDIN CSL_CITATION {"citationItems":[{"id":"ITEM-1","itemData":{"ISSN":"0360-3989","author":[{"dropping-particle":"","family":"Gudykunst","given":"William B","non-dropping-particle":"","parse-names":false,"suffix":""},{"dropping-particle":"","family":"Matsumoto","given":"Yuko","non-dropping-particle":"","parse-names":false,"suffix":""},{"dropping-particle":"","family":"Ting-Toomey","given":"Stella","non-dropping-particle":"","parse-names":false,"suffix":""},{"dropping-particle":"","family":"Nishida","given":"Tsukasa","non-dropping-particle":"","parse-names":false,"suffix":""},{"dropping-particle":"","family":"Kim","given":"Kwangsu","non-dropping-particle":"","parse-names":false,"suffix":""},{"dropping-particle":"","family":"Heyman","given":"Sam","non-dropping-particle":"","parse-names":false,"suffix":""}],"container-title":"Human communication research","id":"ITEM-1","issue":"4","issued":{"date-parts":[["1996"]]},"page":"510-543","publisher":"Oxford University Press","title":"The influence of cultural individualism-collectivism, self construals, and individual values on communication styles across cultures","type":"article-journal","volume":"22"},"uris":["http://www.mendeley.com/documents/?uuid=69e74e7e-44b3-4fcf-8a45-0284f691cce2"]}],"mendeley":{"formattedCitation":"(Gudykunst &lt;i&gt;et al.&lt;/i&gt;, 1996)","plainTextFormattedCitation":"(Gudykunst et al., 1996)","previouslyFormattedCitation":"(Gudykunst &lt;i&gt;et al.&lt;/i&gt;, 1996)"},"properties":{"noteIndex":0},"schema":"https://github.com/citation-style-language/schema/raw/master/csl-citation.json"}</w:instrText>
      </w:r>
      <w:r>
        <w:rPr>
          <w:rFonts w:ascii="Arial" w:hAnsi="Arial" w:cs="Arial"/>
          <w:sz w:val="22"/>
        </w:rPr>
        <w:fldChar w:fldCharType="separate"/>
      </w:r>
      <w:r>
        <w:rPr>
          <w:rFonts w:ascii="Arial" w:hAnsi="Arial" w:cs="Arial"/>
          <w:sz w:val="22"/>
        </w:rPr>
        <w:t xml:space="preserve">(Gudykunst </w:t>
      </w:r>
      <w:r>
        <w:rPr>
          <w:rFonts w:ascii="Arial" w:hAnsi="Arial" w:cs="Arial"/>
          <w:i/>
          <w:sz w:val="22"/>
        </w:rPr>
        <w:t>et al.</w:t>
      </w:r>
      <w:r>
        <w:rPr>
          <w:rFonts w:ascii="Arial" w:hAnsi="Arial" w:cs="Arial"/>
          <w:sz w:val="22"/>
        </w:rPr>
        <w:t>, 1996)</w:t>
      </w:r>
      <w:r>
        <w:rPr>
          <w:rFonts w:ascii="Arial" w:hAnsi="Arial" w:cs="Arial"/>
          <w:sz w:val="22"/>
        </w:rPr>
        <w:fldChar w:fldCharType="end"/>
      </w:r>
      <w:r>
        <w:rPr>
          <w:rFonts w:ascii="Arial" w:hAnsi="Arial" w:cs="Arial"/>
          <w:sz w:val="22"/>
        </w:rPr>
        <w:t xml:space="preserve">. The intimacy in the high-context culture of China means employees tend to be involved with each other, and information, such as feelings, attitudes, and emotions, are more implicit. Typically, employees in the Chinese workplace could understand their roles and specific information in the communication context, and this understanding could help them comprehend non-verbal information to a higher extent effectively </w:t>
      </w:r>
      <w:r>
        <w:rPr>
          <w:rFonts w:ascii="Arial" w:hAnsi="Arial" w:cs="Arial"/>
          <w:sz w:val="22"/>
        </w:rPr>
        <w:fldChar w:fldCharType="begin" w:fldLock="1"/>
      </w:r>
      <w:r>
        <w:rPr>
          <w:rFonts w:ascii="Arial" w:hAnsi="Arial" w:cs="Arial"/>
          <w:sz w:val="22"/>
        </w:rPr>
        <w:instrText xml:space="preserve">ADDIN CSL_CITATION {"citationItems":[{"id":"ITEM-1","itemData":{"ISSN":"0742-6046","author":[{"dropping-particle":"","family":"Kim","given":"Donghoon","non-dropping-particle":"","parse-names":false,"suffix":""},{"dropping-particle":"","family":"Pan","given":"Yigang","non-dropping-particle":"","parse-names":false,"suffix":""},{"dropping-particle":"","family":"Park","given":"Heung Soo","non-dropping-particle":"","parse-names":false,"suffix":""}],"container-title":"Psychology &amp; Marketing","id":"ITEM-1","issue":"6","issued":{"date-parts":[["1998"]]},"page":"507-521","publisher":"Wiley Online Library","title":"High</w:instrText>
      </w:r>
      <w:r>
        <w:rPr>
          <w:rFonts w:ascii="Malgun Gothic" w:hAnsi="Malgun Gothic" w:cs="Malgun Gothic"/>
          <w:sz w:val="22"/>
        </w:rPr>
        <w:instrText xml:space="preserve">�</w:instrText>
      </w:r>
      <w:r>
        <w:rPr>
          <w:rFonts w:ascii="Arial" w:hAnsi="Arial" w:cs="Arial"/>
          <w:sz w:val="22"/>
        </w:rPr>
        <w:instrText xml:space="preserve">\\versus low</w:instrText>
      </w:r>
      <w:r>
        <w:rPr>
          <w:rFonts w:ascii="Malgun Gothic" w:hAnsi="Malgun Gothic" w:cs="Malgun Gothic"/>
          <w:sz w:val="22"/>
        </w:rPr>
        <w:instrText xml:space="preserve">�</w:instrText>
      </w:r>
      <w:r>
        <w:rPr>
          <w:rFonts w:ascii="Arial" w:hAnsi="Arial" w:cs="Arial"/>
          <w:sz w:val="22"/>
        </w:rPr>
        <w:instrText xml:space="preserve">\\Context culture: A comparison of Chinese, Korean, and American cultures","type":"article-journal","volume":"15"},"uris":["http://www.mendeley.com/documents/?uuid=e87e8b29-1877-4efd-bc19-b06c5eb2056d"]}],"mendeley":{"formattedCitation":"(Kim, Pan and Park, 1998)","plainTextFormattedCitation":"(Kim, Pan and Park, 1998)","previouslyFormattedCitation":"(Kim, Pan and Park, 1998)"},"properties":{"noteIndex":0},"schema":"https://github.com/citation-style-language/schema/raw/master/csl-citation.json"}</w:instrText>
      </w:r>
      <w:r>
        <w:rPr>
          <w:rFonts w:ascii="Arial" w:hAnsi="Arial" w:cs="Arial"/>
          <w:sz w:val="22"/>
        </w:rPr>
        <w:fldChar w:fldCharType="separate"/>
      </w:r>
      <w:r>
        <w:rPr>
          <w:rFonts w:ascii="Arial" w:hAnsi="Arial" w:cs="Arial"/>
          <w:sz w:val="22"/>
        </w:rPr>
        <w:t>(Kim, Pan and Park, 1998)</w:t>
      </w:r>
      <w:r>
        <w:rPr>
          <w:rFonts w:ascii="Arial" w:hAnsi="Arial" w:cs="Arial"/>
          <w:sz w:val="22"/>
        </w:rPr>
        <w:fldChar w:fldCharType="end"/>
      </w:r>
      <w:r>
        <w:rPr>
          <w:rFonts w:ascii="Arial" w:hAnsi="Arial" w:cs="Arial"/>
          <w:sz w:val="22"/>
        </w:rPr>
        <w:t xml:space="preserve">. As a result, the British employees working for HSBC, during their communication with Chinese employees, may not be able to capture all information sent by the Chinese employees, they will pay attention to the explicit and direct hints in the verbal communication but neglect the hidden clues in the specific communication situation.  </w:t>
      </w:r>
    </w:p>
    <w:p>
      <w:pPr>
        <w:spacing w:before="156" w:beforeLines="50" w:after="312" w:afterLines="100" w:line="360" w:lineRule="auto"/>
        <w:jc w:val="center"/>
        <w:rPr>
          <w:rFonts w:ascii="Arial" w:hAnsi="Arial" w:cs="Arial"/>
          <w:sz w:val="20"/>
          <w:szCs w:val="20"/>
        </w:rPr>
      </w:pPr>
      <w:r>
        <w:rPr>
          <w:rFonts w:ascii="Arial" w:hAnsi="Arial" w:cs="Arial"/>
          <w:sz w:val="20"/>
          <w:szCs w:val="20"/>
        </w:rPr>
        <w:drawing>
          <wp:inline distT="0" distB="0" distL="0" distR="0">
            <wp:extent cx="4105275" cy="196405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4" cstate="print">
                      <a:extLst>
                        <a:ext uri="{28A0092B-C50C-407E-A947-70E740481C1C}">
                          <a14:useLocalDpi xmlns:a14="http://schemas.microsoft.com/office/drawing/2010/main" val="0"/>
                        </a:ext>
                      </a:extLst>
                    </a:blip>
                    <a:srcRect t="10372" b="9422"/>
                    <a:stretch>
                      <a:fillRect/>
                    </a:stretch>
                  </pic:blipFill>
                  <pic:spPr>
                    <a:xfrm>
                      <a:off x="0" y="0"/>
                      <a:ext cx="4113580" cy="1968240"/>
                    </a:xfrm>
                    <a:prstGeom prst="rect">
                      <a:avLst/>
                    </a:prstGeom>
                    <a:noFill/>
                    <a:ln>
                      <a:noFill/>
                    </a:ln>
                  </pic:spPr>
                </pic:pic>
              </a:graphicData>
            </a:graphic>
          </wp:inline>
        </w:drawing>
      </w:r>
    </w:p>
    <w:p>
      <w:pPr>
        <w:spacing w:before="156" w:beforeLines="50" w:after="312" w:afterLines="100" w:line="360" w:lineRule="auto"/>
        <w:jc w:val="center"/>
        <w:rPr>
          <w:rFonts w:ascii="Arial" w:hAnsi="Arial" w:cs="Arial"/>
          <w:sz w:val="20"/>
          <w:szCs w:val="20"/>
        </w:rPr>
      </w:pPr>
      <w:r>
        <w:rPr>
          <w:rFonts w:ascii="Arial" w:hAnsi="Arial" w:cs="Arial"/>
          <w:sz w:val="20"/>
          <w:szCs w:val="20"/>
        </w:rPr>
        <w:t xml:space="preserve">Figure 1: High-low context comparisons </w:t>
      </w:r>
      <w:r>
        <w:rPr>
          <w:rFonts w:ascii="Arial" w:hAnsi="Arial" w:cs="Arial"/>
          <w:sz w:val="20"/>
          <w:szCs w:val="20"/>
        </w:rPr>
        <w:fldChar w:fldCharType="begin" w:fldLock="1"/>
      </w:r>
      <w:r>
        <w:rPr>
          <w:rFonts w:ascii="Arial" w:hAnsi="Arial" w:cs="Arial"/>
          <w:sz w:val="20"/>
          <w:szCs w:val="20"/>
        </w:rPr>
        <w:instrText xml:space="preserve">ADDIN CSL_CITATION {"citationItems":[{"id":"ITEM-1","itemData":{"ISBN":"1610392507","author":[{"dropping-particle":"","family":"Meyer","given":"Erin","non-dropping-particle":"","parse-names":false,"suffix":""}],"id":"ITEM-1","issued":{"date-parts":[["2014"]]},"publisher":"Public Affairs","title":"The culture map: Breaking through the invisible boundaries of global business","type":"book"},"uris":["http://www.mendeley.com/documents/?uuid=75600952-425a-4ff6-96ee-4191fc87782b"]}],"mendeley":{"formattedCitation":"(Meyer, 2014)","plainTextFormattedCitation":"(Meyer, 2014)","previouslyFormattedCitation":"(Meyer, 2014)"},"properties":{"noteIndex":0},"schema":"https://github.com/citation-style-language/schema/raw/master/csl-citation.json"}</w:instrText>
      </w:r>
      <w:r>
        <w:rPr>
          <w:rFonts w:ascii="Arial" w:hAnsi="Arial" w:cs="Arial"/>
          <w:sz w:val="20"/>
          <w:szCs w:val="20"/>
        </w:rPr>
        <w:fldChar w:fldCharType="separate"/>
      </w:r>
      <w:r>
        <w:rPr>
          <w:rFonts w:ascii="Arial" w:hAnsi="Arial" w:cs="Arial"/>
          <w:sz w:val="20"/>
          <w:szCs w:val="20"/>
        </w:rPr>
        <w:t>(Meyer, 2014)</w:t>
      </w:r>
      <w:r>
        <w:rPr>
          <w:rFonts w:ascii="Arial" w:hAnsi="Arial" w:cs="Arial"/>
          <w:sz w:val="20"/>
          <w:szCs w:val="20"/>
        </w:rPr>
        <w:fldChar w:fldCharType="end"/>
      </w:r>
    </w:p>
    <w:p>
      <w:pPr>
        <w:spacing w:before="156" w:beforeLines="50" w:after="312" w:afterLines="100" w:line="360" w:lineRule="auto"/>
        <w:rPr>
          <w:rFonts w:ascii="Arial" w:hAnsi="Arial" w:cs="Arial"/>
          <w:sz w:val="22"/>
        </w:rPr>
      </w:pPr>
      <w:r>
        <w:rPr>
          <w:rFonts w:ascii="Arial" w:hAnsi="Arial" w:cs="Arial"/>
          <w:sz w:val="22"/>
        </w:rPr>
        <w:t xml:space="preserve">Another theoretical lens to approach the potential challenges and sensitivities in intercultural communication here is the six cultural dimension framework promoted by </w:t>
      </w:r>
      <w:r>
        <w:rPr>
          <w:rFonts w:ascii="Arial" w:hAnsi="Arial" w:cs="Arial"/>
          <w:sz w:val="22"/>
        </w:rPr>
        <w:fldChar w:fldCharType="begin" w:fldLock="1"/>
      </w:r>
      <w:r>
        <w:rPr>
          <w:rFonts w:ascii="Arial" w:hAnsi="Arial" w:cs="Arial"/>
          <w:sz w:val="22"/>
        </w:rPr>
        <w:instrText xml:space="preserve">ADDIN CSL_CITATION {"citationItems":[{"id":"ITEM-1","itemData":{"author":[{"dropping-particle":"","family":"Hofstede","given":"Geert.","non-dropping-particle":"","parse-names":false,"suffix":""}],"container-title":"Online readings in psychology and culture","id":"ITEM-1","issue":"1","issued":{"date-parts":[["2011"]]},"page":"2307-0919","title":"Dimensionalizing cultures: The Hofstede model in context.","type":"article-journal","volume":"2"},"uris":["http://www.mendeley.com/documents/?uuid=0c03a322-ea08-457c-85f8-155229884277"]}],"mendeley":{"formattedCitation":"(Hofstede, 2011)","manualFormatting":"Hofstede (2011)","plainTextFormattedCitation":"(Hofstede, 2011)","previouslyFormattedCitation":"(Hofstede, 2011)"},"properties":{"noteIndex":0},"schema":"https://github.com/citation-style-language/schema/raw/master/csl-citation.json"}</w:instrText>
      </w:r>
      <w:r>
        <w:rPr>
          <w:rFonts w:ascii="Arial" w:hAnsi="Arial" w:cs="Arial"/>
          <w:sz w:val="22"/>
        </w:rPr>
        <w:fldChar w:fldCharType="separate"/>
      </w:r>
      <w:r>
        <w:rPr>
          <w:rFonts w:ascii="Arial" w:hAnsi="Arial" w:cs="Arial"/>
          <w:sz w:val="22"/>
        </w:rPr>
        <w:t>Hofstede (2011)</w:t>
      </w:r>
      <w:r>
        <w:rPr>
          <w:rFonts w:ascii="Arial" w:hAnsi="Arial" w:cs="Arial"/>
          <w:sz w:val="22"/>
        </w:rPr>
        <w:fldChar w:fldCharType="end"/>
      </w:r>
      <w:r>
        <w:rPr>
          <w:rFonts w:ascii="Arial" w:hAnsi="Arial" w:cs="Arial"/>
          <w:sz w:val="22"/>
        </w:rPr>
        <w:t xml:space="preserve">, including power distance, individualism, masculinity, uncertainty avoidance, long-term orientation, and indulgence. In Chinese society, influenced by Confucian cultural thought, people tend to respect the authority of leaders and officials, recognizing the hierarchical order at the top and bottom, and are used to obeying and listening </w:t>
      </w:r>
      <w:r>
        <w:rPr>
          <w:rFonts w:ascii="Arial" w:hAnsi="Arial" w:cs="Arial"/>
          <w:sz w:val="22"/>
        </w:rPr>
        <w:fldChar w:fldCharType="begin" w:fldLock="1"/>
      </w:r>
      <w:r>
        <w:rPr>
          <w:rFonts w:ascii="Arial" w:hAnsi="Arial" w:cs="Arial"/>
          <w:sz w:val="22"/>
        </w:rPr>
        <w:instrText xml:space="preserve">ADDIN CSL_CITATION {"citationItems":[{"id":"ITEM-1","itemData":{"ISSN":"0147-1767","author":[{"dropping-particle":"","family":"Fang","given":"Tony","non-dropping-particle":"","parse-names":false,"suffix":""},{"dropping-particle":"","family":"Faure","given":"Guy Olivier","non-dropping-particle":"","parse-names":false,"suffix":""}],"container-title":"International Journal of Intercultural Relations","id":"ITEM-1","issue":"3","issued":{"date-parts":[["2011"]]},"page":"320-333","publisher":"Elsevier","title":"Chinese communication characteristics: A Yin Yang perspective","type":"article-journal","volume":"35"},"uris":["http://www.mendeley.com/documents/?uuid=d19a1071-b5cb-4675-bf61-89e7e44a10d6"]}],"mendeley":{"formattedCitation":"(Fang and Faure, 2011)","plainTextFormattedCitation":"(Fang and Faure, 2011)","previouslyFormattedCitation":"(Fang and Faure, 2011)"},"properties":{"noteIndex":0},"schema":"https://github.com/citation-style-language/schema/raw/master/csl-citation.json"}</w:instrText>
      </w:r>
      <w:r>
        <w:rPr>
          <w:rFonts w:ascii="Arial" w:hAnsi="Arial" w:cs="Arial"/>
          <w:sz w:val="22"/>
        </w:rPr>
        <w:fldChar w:fldCharType="separate"/>
      </w:r>
      <w:r>
        <w:rPr>
          <w:rFonts w:ascii="Arial" w:hAnsi="Arial" w:cs="Arial"/>
          <w:sz w:val="22"/>
        </w:rPr>
        <w:t>(Fang and Faure, 2011)</w:t>
      </w:r>
      <w:r>
        <w:rPr>
          <w:rFonts w:ascii="Arial" w:hAnsi="Arial" w:cs="Arial"/>
          <w:sz w:val="22"/>
        </w:rPr>
        <w:fldChar w:fldCharType="end"/>
      </w:r>
      <w:r>
        <w:rPr>
          <w:rFonts w:ascii="Arial" w:hAnsi="Arial" w:cs="Arial"/>
          <w:sz w:val="22"/>
        </w:rPr>
        <w:t xml:space="preserve">; while the British have a stronger sense of democracy, people firmly believe equality and don’t accept privileges. The communication with the Chinese employees would be replied with positive answers, as the high-power distance of the Chinese culture made employees worry about their negative answers would result in bad impressions to their superiors and create some additional barriers to their performance management and future career. Also, conflicts can result from employees who hold a different understanding of power distance, and also result in different ways of handling conflicts. As indicated above, China is a typical collective society and Britain is a typical individual society. That could lead to the formulation of small communities and subcultures within the company bonded by social networks. In terms of communication, communication in the Chinese workplace represents the attention to the concerns of the collective interests and benefits, and communication in the British workplace is, in turn, directed by objectivity, supported by factual evidence. Also, collectivism leads to the derivation of Guanxi in China (which can be perceived as information connections or relationships or favour-seeking pragmatistic social practice) that decide and dominate business activities in the Chinese workplace </w:t>
      </w:r>
      <w:r>
        <w:rPr>
          <w:rFonts w:ascii="Arial" w:hAnsi="Arial" w:cs="Arial"/>
          <w:sz w:val="22"/>
        </w:rPr>
        <w:fldChar w:fldCharType="begin" w:fldLock="1"/>
      </w:r>
      <w:r>
        <w:rPr>
          <w:rFonts w:ascii="Arial" w:hAnsi="Arial" w:cs="Arial"/>
          <w:sz w:val="22"/>
        </w:rPr>
        <w:instrText xml:space="preserve">ADDIN CSL_CITATION {"citationItems":[{"id":"ITEM-1","itemData":{"ISBN":"0761915761","author":[{"dropping-particle":"","family":"Fang","given":"Tony","non-dropping-particle":"","parse-names":false,"suffix":""}],"id":"ITEM-1","issued":{"date-parts":[["1999"]]},"publisher":"Sage","title":"Chinese business negotiating style","type":"book"},"uris":["http://www.mendeley.com/documents/?uuid=436d9a5b-5c8d-4739-8aad-21ed270c9a29"]}],"mendeley":{"formattedCitation":"(Fang, 1999)","plainTextFormattedCitation":"(Fang, 1999)","previouslyFormattedCitation":"(Fang, 1999)"},"properties":{"noteIndex":0},"schema":"https://github.com/citation-style-language/schema/raw/master/csl-citation.json"}</w:instrText>
      </w:r>
      <w:r>
        <w:rPr>
          <w:rFonts w:ascii="Arial" w:hAnsi="Arial" w:cs="Arial"/>
          <w:sz w:val="22"/>
        </w:rPr>
        <w:fldChar w:fldCharType="separate"/>
      </w:r>
      <w:r>
        <w:rPr>
          <w:rFonts w:ascii="Arial" w:hAnsi="Arial" w:cs="Arial"/>
          <w:sz w:val="22"/>
        </w:rPr>
        <w:t>(Fang, 1999)</w:t>
      </w:r>
      <w:r>
        <w:rPr>
          <w:rFonts w:ascii="Arial" w:hAnsi="Arial" w:cs="Arial"/>
          <w:sz w:val="22"/>
        </w:rPr>
        <w:fldChar w:fldCharType="end"/>
      </w:r>
      <w:r>
        <w:rPr>
          <w:rFonts w:ascii="Arial" w:hAnsi="Arial" w:cs="Arial"/>
          <w:sz w:val="22"/>
        </w:rPr>
        <w:t xml:space="preserve">. Guanxi directly contributes to the collaborative behaviours among Chinese employees, and among local business partners </w:t>
      </w:r>
      <w:r>
        <w:rPr>
          <w:rFonts w:ascii="Arial" w:hAnsi="Arial" w:cs="Arial"/>
          <w:sz w:val="22"/>
        </w:rPr>
        <w:fldChar w:fldCharType="begin" w:fldLock="1"/>
      </w:r>
      <w:r>
        <w:rPr>
          <w:rFonts w:ascii="Arial" w:hAnsi="Arial" w:cs="Arial"/>
          <w:sz w:val="22"/>
        </w:rPr>
        <w:instrText xml:space="preserve">ADDIN CSL_CITATION {"citationItems":[{"id":"ITEM-1","itemData":{"ISBN":"1793-3137","author":[{"dropping-particle":"","family":"Luo","given":"Yadong","non-dropping-particle":"","parse-names":false,"suffix":""}],"id":"ITEM-1","issued":{"date-parts":[["2007"]]},"publisher":"World Scientific","title":"Guanxi and business","type":"book"},"uris":["http://www.mendeley.com/documents/?uuid=691c6b6d-44a9-460d-8d86-075e7a6e6ffb"]}],"mendeley":{"formattedCitation":"(Luo, 2007)","plainTextFormattedCitation":"(Luo, 2007)","previouslyFormattedCitation":"(Luo, 2007)"},"properties":{"noteIndex":0},"schema":"https://github.com/citation-style-language/schema/raw/master/csl-citation.json"}</w:instrText>
      </w:r>
      <w:r>
        <w:rPr>
          <w:rFonts w:ascii="Arial" w:hAnsi="Arial" w:cs="Arial"/>
          <w:sz w:val="22"/>
        </w:rPr>
        <w:fldChar w:fldCharType="separate"/>
      </w:r>
      <w:r>
        <w:rPr>
          <w:rFonts w:ascii="Arial" w:hAnsi="Arial" w:cs="Arial"/>
          <w:sz w:val="22"/>
        </w:rPr>
        <w:t>(Luo, 2007)</w:t>
      </w:r>
      <w:r>
        <w:rPr>
          <w:rFonts w:ascii="Arial" w:hAnsi="Arial" w:cs="Arial"/>
          <w:sz w:val="22"/>
        </w:rPr>
        <w:fldChar w:fldCharType="end"/>
      </w:r>
      <w:r>
        <w:rPr>
          <w:rFonts w:ascii="Arial" w:hAnsi="Arial" w:cs="Arial"/>
          <w:sz w:val="22"/>
        </w:rPr>
        <w:t xml:space="preserve">. The relationship in the British business is more based on a contractual relationship in which businesses are more like and accustomed to turning to regulatory framework rather than relational connection. It could be challenging for HSBC UK to accommodate to a workplace where informatl relationships are commonly leveraged to maintain the business. The masculinity dimension indicates that the Chinese society and the British society are both relatively masculine directed where the workplace is featured for its orientation by fierce competition and career achievement, the attention towards femininity indicators, such as work-life balance is less important. Also, some similarities have been found in the uncertainty avoidance dimension, indicating a strong tendency to avoid ambiguities and uncertainties. That, therefore, justifies and highlights the relevance and significance of explicit codes of conduct and guidance in the workplace to clarify a wide range of matters in the workplace, and also indicates their preferences towards deliberate planning rather than emergent responses in terms of decision making </w:t>
      </w:r>
      <w:r>
        <w:rPr>
          <w:rFonts w:ascii="Arial" w:hAnsi="Arial" w:cs="Arial"/>
          <w:sz w:val="22"/>
        </w:rPr>
        <w:fldChar w:fldCharType="begin" w:fldLock="1"/>
      </w:r>
      <w:r>
        <w:rPr>
          <w:rFonts w:ascii="Arial" w:hAnsi="Arial" w:cs="Arial"/>
          <w:sz w:val="22"/>
        </w:rPr>
        <w:instrText xml:space="preserve">ADDIN CSL_CITATION {"citationItems":[{"id":"ITEM-1","itemData":{"ISBN":"0761915761","author":[{"dropping-particle":"","family":"Fang","given":"Tony","non-dropping-particle":"","parse-names":false,"suffix":""}],"id":"ITEM-1","issued":{"date-parts":[["1999"]]},"publisher":"Sage","title":"Chinese business negotiating style","type":"book"},"uris":["http://www.mendeley.com/documents/?uuid=436d9a5b-5c8d-4739-8aad-21ed270c9a29"]}],"mendeley":{"formattedCitation":"(Fang, 1999)","plainTextFormattedCitation":"(Fang, 1999)","previouslyFormattedCitation":"(Fang, 1999)"},"properties":{"noteIndex":0},"schema":"https://github.com/citation-style-language/schema/raw/master/csl-citation.json"}</w:instrText>
      </w:r>
      <w:r>
        <w:rPr>
          <w:rFonts w:ascii="Arial" w:hAnsi="Arial" w:cs="Arial"/>
          <w:sz w:val="22"/>
        </w:rPr>
        <w:fldChar w:fldCharType="separate"/>
      </w:r>
      <w:r>
        <w:rPr>
          <w:rFonts w:ascii="Arial" w:hAnsi="Arial" w:cs="Arial"/>
          <w:sz w:val="22"/>
        </w:rPr>
        <w:t>(Fang, 1999)</w:t>
      </w:r>
      <w:r>
        <w:rPr>
          <w:rFonts w:ascii="Arial" w:hAnsi="Arial" w:cs="Arial"/>
          <w:sz w:val="22"/>
        </w:rPr>
        <w:fldChar w:fldCharType="end"/>
      </w:r>
      <w:r>
        <w:rPr>
          <w:rFonts w:ascii="Arial" w:hAnsi="Arial" w:cs="Arial"/>
          <w:sz w:val="22"/>
        </w:rPr>
        <w:t xml:space="preserve">. This is especially true in the banking industry, where clear, sound and transparent codes of conduct are relied on to deliver services and control risks. Regular meetings will be commonly used in both workplaces to communicate the work progress, discuss the potential deviations from the predetermined schedule and develop immediate action plans. In terms of the indulgence dimension, Chinese employees are more restrained compared to British employees who tend to be more indulgent and show more respect for their natural desires. </w:t>
      </w:r>
    </w:p>
    <w:p>
      <w:pPr>
        <w:spacing w:before="156" w:beforeLines="50" w:after="312" w:afterLines="100" w:line="360" w:lineRule="auto"/>
        <w:jc w:val="center"/>
        <w:rPr>
          <w:rFonts w:ascii="Arial" w:hAnsi="Arial" w:cs="Arial"/>
          <w:sz w:val="18"/>
          <w:szCs w:val="18"/>
        </w:rPr>
      </w:pPr>
      <w:r>
        <w:rPr>
          <w:rFonts w:ascii="Arial" w:hAnsi="Arial" w:cs="Arial"/>
          <w:sz w:val="18"/>
          <w:szCs w:val="18"/>
        </w:rPr>
        <w:drawing>
          <wp:inline distT="0" distB="0" distL="0" distR="0">
            <wp:extent cx="3708400" cy="149098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714521" cy="1493902"/>
                    </a:xfrm>
                    <a:prstGeom prst="rect">
                      <a:avLst/>
                    </a:prstGeom>
                    <a:noFill/>
                    <a:ln>
                      <a:noFill/>
                    </a:ln>
                  </pic:spPr>
                </pic:pic>
              </a:graphicData>
            </a:graphic>
          </wp:inline>
        </w:drawing>
      </w:r>
    </w:p>
    <w:p>
      <w:pPr>
        <w:spacing w:before="156" w:beforeLines="50" w:after="312" w:afterLines="100" w:line="360" w:lineRule="auto"/>
        <w:jc w:val="center"/>
        <w:rPr>
          <w:rFonts w:ascii="Arial" w:hAnsi="Arial" w:cs="Arial"/>
          <w:sz w:val="18"/>
          <w:szCs w:val="18"/>
        </w:rPr>
      </w:pPr>
      <w:r>
        <w:rPr>
          <w:rFonts w:ascii="Arial" w:hAnsi="Arial" w:cs="Arial"/>
          <w:sz w:val="18"/>
          <w:szCs w:val="18"/>
        </w:rPr>
        <w:t xml:space="preserve">Figure 2: Culture comparisons between China and the UK through Hofstede’s six dimensions (China in Blue; the UK in Purple) </w:t>
      </w:r>
      <w:r>
        <w:rPr>
          <w:rFonts w:ascii="Arial" w:hAnsi="Arial" w:cs="Arial"/>
          <w:sz w:val="18"/>
          <w:szCs w:val="18"/>
        </w:rPr>
        <w:fldChar w:fldCharType="begin" w:fldLock="1"/>
      </w:r>
      <w:r>
        <w:rPr>
          <w:rFonts w:ascii="Arial" w:hAnsi="Arial" w:cs="Arial"/>
          <w:sz w:val="18"/>
          <w:szCs w:val="18"/>
        </w:rPr>
        <w:instrText xml:space="preserve">ADDIN CSL_CITATION {"citationItems":[{"id":"ITEM-1","itemData":{"URL":"https://www.hofstede-insights.com/","accessed":{"date-parts":[["2022","7","19"]]},"author":[{"dropping-particle":"","family":"Hofstede Insight","given":"","non-dropping-particle":"","parse-names":false,"suffix":""}],"id":"ITEM-1","issued":{"date-parts":[["0"]]},"title":"Home - Hofstede Insights Organisational Culture Consulting","type":"webpage"},"uris":["http://www.mendeley.com/documents/?uuid=31d684ed-a884-3566-acd6-6a4df661bf16"]}],"mendeley":{"formattedCitation":"(Hofstede Insight, no date)","plainTextFormattedCitation":"(Hofstede Insight, no date)","previouslyFormattedCitation":"(Hofstede Insight, no date)"},"properties":{"noteIndex":0},"schema":"https://github.com/citation-style-language/schema/raw/master/csl-citation.json"}</w:instrText>
      </w:r>
      <w:r>
        <w:rPr>
          <w:rFonts w:ascii="Arial" w:hAnsi="Arial" w:cs="Arial"/>
          <w:sz w:val="18"/>
          <w:szCs w:val="18"/>
        </w:rPr>
        <w:fldChar w:fldCharType="separate"/>
      </w:r>
      <w:r>
        <w:rPr>
          <w:rFonts w:ascii="Arial" w:hAnsi="Arial" w:cs="Arial"/>
          <w:sz w:val="18"/>
          <w:szCs w:val="18"/>
        </w:rPr>
        <w:t>(Hofstede Insight, no date)</w:t>
      </w:r>
      <w:r>
        <w:rPr>
          <w:rFonts w:ascii="Arial" w:hAnsi="Arial" w:cs="Arial"/>
          <w:sz w:val="18"/>
          <w:szCs w:val="18"/>
        </w:rPr>
        <w:fldChar w:fldCharType="end"/>
      </w:r>
    </w:p>
    <w:p>
      <w:pPr>
        <w:spacing w:before="156" w:beforeLines="50" w:after="312" w:afterLines="100" w:line="360" w:lineRule="auto"/>
        <w:rPr>
          <w:rFonts w:ascii="Arial" w:hAnsi="Arial" w:cs="Arial"/>
          <w:sz w:val="22"/>
        </w:rPr>
      </w:pPr>
      <w:r>
        <w:rPr>
          <w:rFonts w:ascii="Arial" w:hAnsi="Arial" w:cs="Arial"/>
          <w:sz w:val="22"/>
        </w:rPr>
        <w:t xml:space="preserve">If communication problems caused by cultural differences are not effectively addressed, they will become an obstacle to the development of HSBC UK in China. The improvement of intercultural management capability can make HSBC UK pay attention to the risks brought by cultural differences, and accelerate the process of cultural integration, so as to promote the growth of enterprises under the spirit of "diversity and inclusive", and achieve the elimination of many obstacles brought by cultural differences. Several recommendations are provided here for HSBC UK for its operation in China. </w:t>
      </w:r>
    </w:p>
    <w:p>
      <w:pPr>
        <w:spacing w:before="156" w:beforeLines="50" w:after="312" w:afterLines="100" w:line="360" w:lineRule="auto"/>
        <w:rPr>
          <w:rFonts w:ascii="Arial" w:hAnsi="Arial" w:cs="Arial"/>
          <w:sz w:val="22"/>
        </w:rPr>
      </w:pPr>
      <w:r>
        <w:rPr>
          <w:rFonts w:ascii="Arial" w:hAnsi="Arial" w:cs="Arial"/>
          <w:sz w:val="22"/>
        </w:rPr>
        <w:t>Cultural integration in cross-cultural management is not a simple addition of two cultures, but a scientific integration after cultural identification. The first is to seek the common ground between the two cultures. The first thing that HSBC UK should do is not to find the cultural differences between the two countries, but to explore the common ground of the two cultures. On the basis of cultural common ground to cultivate common values, so that HSBC UK can truly integrate into China, but also conducive to the unity and collaboration of the staff of both countries, thus contributing to the improvement of work efficiency. Resolving cross-cultural conflicts is a direct manifestation of improving cross-cultural management ability, and is an aspect that multinational enterprises cannot ignore. Language is the bridge of communication, the employees of multinational enterprises should have the basic language literacy of the country where the project is located, and continuously improve the language communication ability in the process of project promotion, and focus on solving cultural problems. At the same time, they should also pay attention to communication methods and communication skills, respect foreign language habits, and avoid unnecessary misunderstandings. At the same time, cross-cultural training is an effective way for HSBC UK to communicate with foreign companies and an important means to promote cultural integration between them. The basis of cross-cultural training is to have an in-depth understanding of the two countries' cultures and corporate cultures, and on this basis to carry out training in a variety of ways to avoid problems such as culture shock among employees of HSBC when working in China.</w:t>
      </w:r>
    </w:p>
    <w:p>
      <w:pPr>
        <w:widowControl/>
        <w:spacing w:before="156" w:beforeLines="50" w:after="312" w:afterLines="100" w:line="360" w:lineRule="auto"/>
        <w:jc w:val="left"/>
        <w:rPr>
          <w:rFonts w:ascii="Arial" w:hAnsi="Arial" w:cs="Arial"/>
          <w:sz w:val="22"/>
        </w:rPr>
      </w:pPr>
      <w:r>
        <w:rPr>
          <w:rFonts w:ascii="Arial" w:hAnsi="Arial" w:cs="Arial"/>
          <w:sz w:val="22"/>
        </w:rPr>
        <w:br w:type="page"/>
      </w:r>
    </w:p>
    <w:p>
      <w:pPr>
        <w:pStyle w:val="2"/>
        <w:spacing w:before="156" w:beforeLines="50" w:after="312" w:afterLines="100" w:line="360" w:lineRule="auto"/>
        <w:rPr>
          <w:rFonts w:ascii="Arial" w:hAnsi="Arial" w:cs="Arial"/>
          <w:sz w:val="28"/>
          <w:szCs w:val="28"/>
        </w:rPr>
      </w:pPr>
      <w:r>
        <w:rPr>
          <w:rFonts w:ascii="Arial" w:hAnsi="Arial" w:cs="Arial"/>
          <w:sz w:val="28"/>
          <w:szCs w:val="28"/>
        </w:rPr>
        <w:t xml:space="preserve">References </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sz w:val="22"/>
        </w:rPr>
        <w:fldChar w:fldCharType="begin" w:fldLock="1"/>
      </w:r>
      <w:r>
        <w:rPr>
          <w:rFonts w:ascii="Arial" w:hAnsi="Arial" w:cs="Arial"/>
          <w:sz w:val="22"/>
        </w:rPr>
        <w:instrText xml:space="preserve">ADDIN Mendeley Bibliography CSL_BIBLIOGRAPHY </w:instrText>
      </w:r>
      <w:r>
        <w:rPr>
          <w:rFonts w:ascii="Arial" w:hAnsi="Arial" w:cs="Arial"/>
          <w:sz w:val="22"/>
        </w:rPr>
        <w:fldChar w:fldCharType="separate"/>
      </w:r>
      <w:r>
        <w:rPr>
          <w:rFonts w:ascii="Arial" w:hAnsi="Arial" w:cs="Arial"/>
          <w:kern w:val="0"/>
          <w:sz w:val="22"/>
          <w:szCs w:val="24"/>
        </w:rPr>
        <w:t xml:space="preserve">Beatty, S. E., Kahle, L. R. and Homer, P. (1991) ‘Personal values and gift-giving behaviors: A study across cultures’, </w:t>
      </w:r>
      <w:r>
        <w:rPr>
          <w:rFonts w:ascii="Arial" w:hAnsi="Arial" w:cs="Arial"/>
          <w:i/>
          <w:iCs/>
          <w:kern w:val="0"/>
          <w:sz w:val="22"/>
          <w:szCs w:val="24"/>
        </w:rPr>
        <w:t>Journal of Business Research</w:t>
      </w:r>
      <w:r>
        <w:rPr>
          <w:rFonts w:ascii="Arial" w:hAnsi="Arial" w:cs="Arial"/>
          <w:kern w:val="0"/>
          <w:sz w:val="22"/>
          <w:szCs w:val="24"/>
        </w:rPr>
        <w:t>, 22(2), pp. 149–157.</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Callahan, W. A. (2016) ‘China’s “Asia Dream” The Belt Road Initiative and the new regional order’, </w:t>
      </w:r>
      <w:r>
        <w:rPr>
          <w:rFonts w:ascii="Arial" w:hAnsi="Arial" w:cs="Arial"/>
          <w:i/>
          <w:iCs/>
          <w:kern w:val="0"/>
          <w:sz w:val="22"/>
          <w:szCs w:val="24"/>
        </w:rPr>
        <w:t>Asian Journal of Comparative Politics</w:t>
      </w:r>
      <w:r>
        <w:rPr>
          <w:rFonts w:ascii="Arial" w:hAnsi="Arial" w:cs="Arial"/>
          <w:kern w:val="0"/>
          <w:sz w:val="22"/>
          <w:szCs w:val="24"/>
        </w:rPr>
        <w:t>, 1(3), pp. 226–243.</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Calvano, L. (2008) ‘Multinational corporations and local communities: A critical analysis of conflict’, </w:t>
      </w:r>
      <w:r>
        <w:rPr>
          <w:rFonts w:ascii="Arial" w:hAnsi="Arial" w:cs="Arial"/>
          <w:i/>
          <w:iCs/>
          <w:kern w:val="0"/>
          <w:sz w:val="22"/>
          <w:szCs w:val="24"/>
        </w:rPr>
        <w:t>Journal of Business Ethics</w:t>
      </w:r>
      <w:r>
        <w:rPr>
          <w:rFonts w:ascii="Arial" w:hAnsi="Arial" w:cs="Arial"/>
          <w:kern w:val="0"/>
          <w:sz w:val="22"/>
          <w:szCs w:val="24"/>
        </w:rPr>
        <w:t>, 82(4), pp. 793–805.</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Chung, L. C. and Ting-Toomey, S. (2005) </w:t>
      </w:r>
      <w:r>
        <w:rPr>
          <w:rFonts w:ascii="Arial" w:hAnsi="Arial" w:cs="Arial"/>
          <w:i/>
          <w:iCs/>
          <w:kern w:val="0"/>
          <w:sz w:val="22"/>
          <w:szCs w:val="24"/>
        </w:rPr>
        <w:t>Understanding intercultural communication</w:t>
      </w:r>
      <w:r>
        <w:rPr>
          <w:rFonts w:ascii="Arial" w:hAnsi="Arial" w:cs="Arial"/>
          <w:kern w:val="0"/>
          <w:sz w:val="22"/>
          <w:szCs w:val="24"/>
        </w:rPr>
        <w:t>. Oxford University Press.</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EF English (2022) </w:t>
      </w:r>
      <w:r>
        <w:rPr>
          <w:rFonts w:ascii="Arial" w:hAnsi="Arial" w:cs="Arial"/>
          <w:i/>
          <w:iCs/>
          <w:kern w:val="0"/>
          <w:sz w:val="22"/>
          <w:szCs w:val="24"/>
        </w:rPr>
        <w:t>EF EPI 2021 – EF English Proficiency Index – China</w:t>
      </w:r>
      <w:r>
        <w:rPr>
          <w:rFonts w:ascii="Arial" w:hAnsi="Arial" w:cs="Arial"/>
          <w:kern w:val="0"/>
          <w:sz w:val="22"/>
          <w:szCs w:val="24"/>
        </w:rPr>
        <w:t>. Available at: https://www.ef.com/wwen/epi/regions/asia/china/ (Accessed: 19 July 2022).</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Fang, T. (1999) </w:t>
      </w:r>
      <w:r>
        <w:rPr>
          <w:rFonts w:ascii="Arial" w:hAnsi="Arial" w:cs="Arial"/>
          <w:i/>
          <w:iCs/>
          <w:kern w:val="0"/>
          <w:sz w:val="22"/>
          <w:szCs w:val="24"/>
        </w:rPr>
        <w:t>Chinese business negotiating style</w:t>
      </w:r>
      <w:r>
        <w:rPr>
          <w:rFonts w:ascii="Arial" w:hAnsi="Arial" w:cs="Arial"/>
          <w:kern w:val="0"/>
          <w:sz w:val="22"/>
          <w:szCs w:val="24"/>
        </w:rPr>
        <w:t>. Sage.</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Fang, T. and Faure, G. O. (2011) ‘Chinese communication characteristics: A Yin Yang perspective’, </w:t>
      </w:r>
      <w:r>
        <w:rPr>
          <w:rFonts w:ascii="Arial" w:hAnsi="Arial" w:cs="Arial"/>
          <w:i/>
          <w:iCs/>
          <w:kern w:val="0"/>
          <w:sz w:val="22"/>
          <w:szCs w:val="24"/>
        </w:rPr>
        <w:t>International Journal of Intercultural Relations</w:t>
      </w:r>
      <w:r>
        <w:rPr>
          <w:rFonts w:ascii="Arial" w:hAnsi="Arial" w:cs="Arial"/>
          <w:kern w:val="0"/>
          <w:sz w:val="22"/>
          <w:szCs w:val="24"/>
        </w:rPr>
        <w:t>, 35(3), pp. 320–333.</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Gudykunst, W. B. </w:t>
      </w:r>
      <w:r>
        <w:rPr>
          <w:rFonts w:ascii="Arial" w:hAnsi="Arial" w:cs="Arial"/>
          <w:i/>
          <w:iCs/>
          <w:kern w:val="0"/>
          <w:sz w:val="22"/>
          <w:szCs w:val="24"/>
        </w:rPr>
        <w:t>et al.</w:t>
      </w:r>
      <w:r>
        <w:rPr>
          <w:rFonts w:ascii="Arial" w:hAnsi="Arial" w:cs="Arial"/>
          <w:kern w:val="0"/>
          <w:sz w:val="22"/>
          <w:szCs w:val="24"/>
        </w:rPr>
        <w:t xml:space="preserve"> (1996) ‘The influence of cultural individualism-collectivism, self construals, and individual values on communication styles across cultures’, </w:t>
      </w:r>
      <w:r>
        <w:rPr>
          <w:rFonts w:ascii="Arial" w:hAnsi="Arial" w:cs="Arial"/>
          <w:i/>
          <w:iCs/>
          <w:kern w:val="0"/>
          <w:sz w:val="22"/>
          <w:szCs w:val="24"/>
        </w:rPr>
        <w:t>Human communication research</w:t>
      </w:r>
      <w:r>
        <w:rPr>
          <w:rFonts w:ascii="Arial" w:hAnsi="Arial" w:cs="Arial"/>
          <w:kern w:val="0"/>
          <w:sz w:val="22"/>
          <w:szCs w:val="24"/>
        </w:rPr>
        <w:t>, 22(4), pp. 510–543.</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Hall, E. T. (1990) ‘Unstated features of the cultural context of learning’, in </w:t>
      </w:r>
      <w:r>
        <w:rPr>
          <w:rFonts w:ascii="Arial" w:hAnsi="Arial" w:cs="Arial"/>
          <w:i/>
          <w:iCs/>
          <w:kern w:val="0"/>
          <w:sz w:val="22"/>
          <w:szCs w:val="24"/>
        </w:rPr>
        <w:t>The Educational Forum</w:t>
      </w:r>
      <w:r>
        <w:rPr>
          <w:rFonts w:ascii="Arial" w:hAnsi="Arial" w:cs="Arial"/>
          <w:kern w:val="0"/>
          <w:sz w:val="22"/>
          <w:szCs w:val="24"/>
        </w:rPr>
        <w:t>. Taylor &amp; Francis, pp. 21–34.</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Hofstede, G. (2011) ‘Dimensionalizing cultures: The Hofstede model in context.’, </w:t>
      </w:r>
      <w:r>
        <w:rPr>
          <w:rFonts w:ascii="Arial" w:hAnsi="Arial" w:cs="Arial"/>
          <w:i/>
          <w:iCs/>
          <w:kern w:val="0"/>
          <w:sz w:val="22"/>
          <w:szCs w:val="24"/>
        </w:rPr>
        <w:t>Online readings in psychology and culture</w:t>
      </w:r>
      <w:r>
        <w:rPr>
          <w:rFonts w:ascii="Arial" w:hAnsi="Arial" w:cs="Arial"/>
          <w:kern w:val="0"/>
          <w:sz w:val="22"/>
          <w:szCs w:val="24"/>
        </w:rPr>
        <w:t>, 2(1), pp. 2307–0919.</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Hofstede Insight (no date) </w:t>
      </w:r>
      <w:r>
        <w:rPr>
          <w:rFonts w:ascii="Arial" w:hAnsi="Arial" w:cs="Arial"/>
          <w:i/>
          <w:iCs/>
          <w:kern w:val="0"/>
          <w:sz w:val="22"/>
          <w:szCs w:val="24"/>
        </w:rPr>
        <w:t>Home - Hofstede Insights Organisational Culture Consulting</w:t>
      </w:r>
      <w:r>
        <w:rPr>
          <w:rFonts w:ascii="Arial" w:hAnsi="Arial" w:cs="Arial"/>
          <w:kern w:val="0"/>
          <w:sz w:val="22"/>
          <w:szCs w:val="24"/>
        </w:rPr>
        <w:t>. Available at: https://www.hofstede-insights.com/ (Accessed: 19 July 2022).</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HSBC (2021) </w:t>
      </w:r>
      <w:r>
        <w:rPr>
          <w:rFonts w:ascii="Arial" w:hAnsi="Arial" w:cs="Arial"/>
          <w:i/>
          <w:iCs/>
          <w:kern w:val="0"/>
          <w:sz w:val="22"/>
          <w:szCs w:val="24"/>
        </w:rPr>
        <w:t>About HSBC | HSBC in the UK</w:t>
      </w:r>
      <w:r>
        <w:rPr>
          <w:rFonts w:ascii="Arial" w:hAnsi="Arial" w:cs="Arial"/>
          <w:kern w:val="0"/>
          <w:sz w:val="22"/>
          <w:szCs w:val="24"/>
        </w:rPr>
        <w:t>. Available at: https://www.about.hsbc.co.uk/ (Accessed: 20 July 2022).</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Huang, Y. (2016) ‘Understanding China’s Belt &amp; Road initiative: motivation, framework and assessment’, </w:t>
      </w:r>
      <w:r>
        <w:rPr>
          <w:rFonts w:ascii="Arial" w:hAnsi="Arial" w:cs="Arial"/>
          <w:i/>
          <w:iCs/>
          <w:kern w:val="0"/>
          <w:sz w:val="22"/>
          <w:szCs w:val="24"/>
        </w:rPr>
        <w:t>China Economic Review</w:t>
      </w:r>
      <w:r>
        <w:rPr>
          <w:rFonts w:ascii="Arial" w:hAnsi="Arial" w:cs="Arial"/>
          <w:kern w:val="0"/>
          <w:sz w:val="22"/>
          <w:szCs w:val="24"/>
        </w:rPr>
        <w:t>, 40, pp. 314–321.</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Hudik, M. and Fang, E. S. (2020) ‘Money or in-kind gift? Evidence from red packets in China’, </w:t>
      </w:r>
      <w:r>
        <w:rPr>
          <w:rFonts w:ascii="Arial" w:hAnsi="Arial" w:cs="Arial"/>
          <w:i/>
          <w:iCs/>
          <w:kern w:val="0"/>
          <w:sz w:val="22"/>
          <w:szCs w:val="24"/>
        </w:rPr>
        <w:t>Journal of Institutional Economics</w:t>
      </w:r>
      <w:r>
        <w:rPr>
          <w:rFonts w:ascii="Arial" w:hAnsi="Arial" w:cs="Arial"/>
          <w:kern w:val="0"/>
          <w:sz w:val="22"/>
          <w:szCs w:val="24"/>
        </w:rPr>
        <w:t>, 16(5), pp. 731–746.</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Kim, D., Pan, Y. and Park, H. S. (1998) ‘High</w:t>
      </w:r>
      <w:r>
        <w:rPr>
          <w:rFonts w:ascii="Malgun Gothic" w:hAnsi="Malgun Gothic" w:cs="Malgun Gothic"/>
          <w:kern w:val="0"/>
          <w:sz w:val="22"/>
          <w:szCs w:val="24"/>
        </w:rPr>
        <w:t>-</w:t>
      </w:r>
      <w:r>
        <w:rPr>
          <w:rFonts w:ascii="Arial" w:hAnsi="Arial" w:cs="Arial"/>
          <w:kern w:val="0"/>
          <w:sz w:val="22"/>
          <w:szCs w:val="24"/>
        </w:rPr>
        <w:t>versus low</w:t>
      </w:r>
      <w:r>
        <w:rPr>
          <w:rFonts w:ascii="Malgun Gothic" w:hAnsi="Malgun Gothic" w:cs="Malgun Gothic"/>
          <w:kern w:val="0"/>
          <w:sz w:val="22"/>
          <w:szCs w:val="24"/>
        </w:rPr>
        <w:t>-</w:t>
      </w:r>
      <w:r>
        <w:rPr>
          <w:rFonts w:ascii="Arial" w:hAnsi="Arial" w:cs="Arial"/>
          <w:kern w:val="0"/>
          <w:sz w:val="22"/>
          <w:szCs w:val="24"/>
        </w:rPr>
        <w:t xml:space="preserve">Context culture: A comparison of Chinese, Korean, and American cultures’, </w:t>
      </w:r>
      <w:r>
        <w:rPr>
          <w:rFonts w:ascii="Arial" w:hAnsi="Arial" w:cs="Arial"/>
          <w:i/>
          <w:iCs/>
          <w:kern w:val="0"/>
          <w:sz w:val="22"/>
          <w:szCs w:val="24"/>
        </w:rPr>
        <w:t>Psychology &amp; Marketing</w:t>
      </w:r>
      <w:r>
        <w:rPr>
          <w:rFonts w:ascii="Arial" w:hAnsi="Arial" w:cs="Arial"/>
          <w:kern w:val="0"/>
          <w:sz w:val="22"/>
          <w:szCs w:val="24"/>
        </w:rPr>
        <w:t>, 15(6), pp. 507–521.</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Kim, M.-S. (2010) ‘Intercultural communication in Asia: Current state and future prospects’, </w:t>
      </w:r>
      <w:r>
        <w:rPr>
          <w:rFonts w:ascii="Arial" w:hAnsi="Arial" w:cs="Arial"/>
          <w:i/>
          <w:iCs/>
          <w:kern w:val="0"/>
          <w:sz w:val="22"/>
          <w:szCs w:val="24"/>
        </w:rPr>
        <w:t>Asian Journal of Communication</w:t>
      </w:r>
      <w:r>
        <w:rPr>
          <w:rFonts w:ascii="Arial" w:hAnsi="Arial" w:cs="Arial"/>
          <w:kern w:val="0"/>
          <w:sz w:val="22"/>
          <w:szCs w:val="24"/>
        </w:rPr>
        <w:t>, 20(2), pp. 166–180.</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Konrad, M. (2005) </w:t>
      </w:r>
      <w:r>
        <w:rPr>
          <w:rFonts w:ascii="Arial" w:hAnsi="Arial" w:cs="Arial"/>
          <w:i/>
          <w:iCs/>
          <w:kern w:val="0"/>
          <w:sz w:val="22"/>
          <w:szCs w:val="24"/>
        </w:rPr>
        <w:t>Nameless relations: anonymity, Melanesia and reproductive gift exchange between British ova donors and recipients</w:t>
      </w:r>
      <w:r>
        <w:rPr>
          <w:rFonts w:ascii="Arial" w:hAnsi="Arial" w:cs="Arial"/>
          <w:kern w:val="0"/>
          <w:sz w:val="22"/>
          <w:szCs w:val="24"/>
        </w:rPr>
        <w:t>. Berghahn Books.</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Leung, K. </w:t>
      </w:r>
      <w:r>
        <w:rPr>
          <w:rFonts w:ascii="Arial" w:hAnsi="Arial" w:cs="Arial"/>
          <w:i/>
          <w:iCs/>
          <w:kern w:val="0"/>
          <w:sz w:val="22"/>
          <w:szCs w:val="24"/>
        </w:rPr>
        <w:t>et al.</w:t>
      </w:r>
      <w:r>
        <w:rPr>
          <w:rFonts w:ascii="Arial" w:hAnsi="Arial" w:cs="Arial"/>
          <w:kern w:val="0"/>
          <w:sz w:val="22"/>
          <w:szCs w:val="24"/>
        </w:rPr>
        <w:t xml:space="preserve"> (2005) ‘Culture and international business: Recent advances and their implications for future research’, </w:t>
      </w:r>
      <w:r>
        <w:rPr>
          <w:rFonts w:ascii="Arial" w:hAnsi="Arial" w:cs="Arial"/>
          <w:i/>
          <w:iCs/>
          <w:kern w:val="0"/>
          <w:sz w:val="22"/>
          <w:szCs w:val="24"/>
        </w:rPr>
        <w:t>Journal of international business studies</w:t>
      </w:r>
      <w:r>
        <w:rPr>
          <w:rFonts w:ascii="Arial" w:hAnsi="Arial" w:cs="Arial"/>
          <w:kern w:val="0"/>
          <w:sz w:val="22"/>
          <w:szCs w:val="24"/>
        </w:rPr>
        <w:t>, 36(4), pp. 357–378.</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Li, P., Sun, J.-M. and Taris, T. W. (2022) ‘Differentiating between gift giving and bribing in China: A guanxi perspective’, </w:t>
      </w:r>
      <w:r>
        <w:rPr>
          <w:rFonts w:ascii="Arial" w:hAnsi="Arial" w:cs="Arial"/>
          <w:i/>
          <w:iCs/>
          <w:kern w:val="0"/>
          <w:sz w:val="22"/>
          <w:szCs w:val="24"/>
        </w:rPr>
        <w:t>Ethics &amp; Behavior</w:t>
      </w:r>
      <w:r>
        <w:rPr>
          <w:rFonts w:ascii="Arial" w:hAnsi="Arial" w:cs="Arial"/>
          <w:kern w:val="0"/>
          <w:sz w:val="22"/>
          <w:szCs w:val="24"/>
        </w:rPr>
        <w:t>, 32(4), pp. 307–325.</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Liu, N., Lin, C.-K. and Wiley, T. G. (2016) ‘Learner views on English and English language teaching in China’, </w:t>
      </w:r>
      <w:r>
        <w:rPr>
          <w:rFonts w:ascii="Arial" w:hAnsi="Arial" w:cs="Arial"/>
          <w:i/>
          <w:iCs/>
          <w:kern w:val="0"/>
          <w:sz w:val="22"/>
          <w:szCs w:val="24"/>
        </w:rPr>
        <w:t>International Multilingual Research Journal</w:t>
      </w:r>
      <w:r>
        <w:rPr>
          <w:rFonts w:ascii="Arial" w:hAnsi="Arial" w:cs="Arial"/>
          <w:kern w:val="0"/>
          <w:sz w:val="22"/>
          <w:szCs w:val="24"/>
        </w:rPr>
        <w:t>, 10(2), pp. 137–157.</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Lord, N. J. (2014) ‘Responding to transnational corporate bribery using international frameworks for enforcement: Anti-bribery and corruption in the UK and Germany’, </w:t>
      </w:r>
      <w:r>
        <w:rPr>
          <w:rFonts w:ascii="Arial" w:hAnsi="Arial" w:cs="Arial"/>
          <w:i/>
          <w:iCs/>
          <w:kern w:val="0"/>
          <w:sz w:val="22"/>
          <w:szCs w:val="24"/>
        </w:rPr>
        <w:t>Criminology &amp; Criminal Justice</w:t>
      </w:r>
      <w:r>
        <w:rPr>
          <w:rFonts w:ascii="Arial" w:hAnsi="Arial" w:cs="Arial"/>
          <w:kern w:val="0"/>
          <w:sz w:val="22"/>
          <w:szCs w:val="24"/>
        </w:rPr>
        <w:t>, 14(1), pp. 100–120.</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Luo, Y. (2007) </w:t>
      </w:r>
      <w:r>
        <w:rPr>
          <w:rFonts w:ascii="Arial" w:hAnsi="Arial" w:cs="Arial"/>
          <w:i/>
          <w:iCs/>
          <w:kern w:val="0"/>
          <w:sz w:val="22"/>
          <w:szCs w:val="24"/>
        </w:rPr>
        <w:t>Guanxi and business</w:t>
      </w:r>
      <w:r>
        <w:rPr>
          <w:rFonts w:ascii="Arial" w:hAnsi="Arial" w:cs="Arial"/>
          <w:kern w:val="0"/>
          <w:sz w:val="22"/>
          <w:szCs w:val="24"/>
        </w:rPr>
        <w:t>. World Scientific.</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Macklin, M. C. and Walker, M. (2015) ‘The joy and irritation of gift giving’, in </w:t>
      </w:r>
      <w:r>
        <w:rPr>
          <w:rFonts w:ascii="Arial" w:hAnsi="Arial" w:cs="Arial"/>
          <w:i/>
          <w:iCs/>
          <w:kern w:val="0"/>
          <w:sz w:val="22"/>
          <w:szCs w:val="24"/>
        </w:rPr>
        <w:t>Proceedings of the 1988 Academy of Marketing Science (AMS) Annual Conference</w:t>
      </w:r>
      <w:r>
        <w:rPr>
          <w:rFonts w:ascii="Arial" w:hAnsi="Arial" w:cs="Arial"/>
          <w:kern w:val="0"/>
          <w:sz w:val="22"/>
          <w:szCs w:val="24"/>
        </w:rPr>
        <w:t>. Springer, pp. 28–32.</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Meyer, E. (2014) </w:t>
      </w:r>
      <w:r>
        <w:rPr>
          <w:rFonts w:ascii="Arial" w:hAnsi="Arial" w:cs="Arial"/>
          <w:i/>
          <w:iCs/>
          <w:kern w:val="0"/>
          <w:sz w:val="22"/>
          <w:szCs w:val="24"/>
        </w:rPr>
        <w:t>The culture map: Breaking through the invisible boundaries of global business</w:t>
      </w:r>
      <w:r>
        <w:rPr>
          <w:rFonts w:ascii="Arial" w:hAnsi="Arial" w:cs="Arial"/>
          <w:kern w:val="0"/>
          <w:sz w:val="22"/>
          <w:szCs w:val="24"/>
        </w:rPr>
        <w:t>. Public Affairs.</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Mulhern, F. (2002) </w:t>
      </w:r>
      <w:r>
        <w:rPr>
          <w:rFonts w:ascii="Arial" w:hAnsi="Arial" w:cs="Arial"/>
          <w:i/>
          <w:iCs/>
          <w:kern w:val="0"/>
          <w:sz w:val="22"/>
          <w:szCs w:val="24"/>
        </w:rPr>
        <w:t>Culture/metaculture</w:t>
      </w:r>
      <w:r>
        <w:rPr>
          <w:rFonts w:ascii="Arial" w:hAnsi="Arial" w:cs="Arial"/>
          <w:kern w:val="0"/>
          <w:sz w:val="22"/>
          <w:szCs w:val="24"/>
        </w:rPr>
        <w:t>. Routledge.</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Scollon, R., Scollon, S. W. and Jones, R. H. (2011) </w:t>
      </w:r>
      <w:r>
        <w:rPr>
          <w:rFonts w:ascii="Arial" w:hAnsi="Arial" w:cs="Arial"/>
          <w:i/>
          <w:iCs/>
          <w:kern w:val="0"/>
          <w:sz w:val="22"/>
          <w:szCs w:val="24"/>
        </w:rPr>
        <w:t>Intercultural communication: A discourse approach</w:t>
      </w:r>
      <w:r>
        <w:rPr>
          <w:rFonts w:ascii="Arial" w:hAnsi="Arial" w:cs="Arial"/>
          <w:kern w:val="0"/>
          <w:sz w:val="22"/>
          <w:szCs w:val="24"/>
        </w:rPr>
        <w:t>. John Wiley &amp; Sons.</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Spencer-Oatey, H. and Franklin, P. (2009) </w:t>
      </w:r>
      <w:r>
        <w:rPr>
          <w:rFonts w:ascii="Arial" w:hAnsi="Arial" w:cs="Arial"/>
          <w:i/>
          <w:iCs/>
          <w:kern w:val="0"/>
          <w:sz w:val="22"/>
          <w:szCs w:val="24"/>
        </w:rPr>
        <w:t>Intercultural Interaction [electronic resource] : A Multidisciplinary Approach to Intercultural Communication</w:t>
      </w:r>
      <w:r>
        <w:rPr>
          <w:rFonts w:ascii="Arial" w:hAnsi="Arial" w:cs="Arial"/>
          <w:kern w:val="0"/>
          <w:sz w:val="22"/>
          <w:szCs w:val="24"/>
        </w:rPr>
        <w:t xml:space="preserve">, </w:t>
      </w:r>
      <w:r>
        <w:rPr>
          <w:rFonts w:ascii="Arial" w:hAnsi="Arial" w:cs="Arial"/>
          <w:i/>
          <w:iCs/>
          <w:kern w:val="0"/>
          <w:sz w:val="22"/>
          <w:szCs w:val="24"/>
        </w:rPr>
        <w:t>Research and Practice in Applied Linguistics</w:t>
      </w:r>
      <w:r>
        <w:rPr>
          <w:rFonts w:ascii="Arial" w:hAnsi="Arial" w:cs="Arial"/>
          <w:kern w:val="0"/>
          <w:sz w:val="22"/>
          <w:szCs w:val="24"/>
        </w:rPr>
        <w:t>. Available at: https://books.google.com/books?hl=zh-CN&amp;lr=&amp;id=uluADAAAQBAJ&amp;oi=fnd&amp;pg=PP1&amp;dq=intercultural+communication&amp;ots=BZP_LZMWrn&amp;sig=49TMVDR7d7IO25Ke54rJQKd9AJA (Accessed: 31 December 2021).</w:t>
      </w:r>
    </w:p>
    <w:p>
      <w:pPr>
        <w:pStyle w:val="10"/>
        <w:numPr>
          <w:ilvl w:val="0"/>
          <w:numId w:val="1"/>
        </w:numPr>
        <w:autoSpaceDE w:val="0"/>
        <w:autoSpaceDN w:val="0"/>
        <w:adjustRightInd w:val="0"/>
        <w:spacing w:before="160" w:after="320" w:line="360" w:lineRule="auto"/>
        <w:ind w:firstLineChars="0"/>
        <w:jc w:val="left"/>
        <w:rPr>
          <w:rFonts w:ascii="Arial" w:hAnsi="Arial" w:cs="Arial"/>
          <w:kern w:val="0"/>
          <w:sz w:val="22"/>
          <w:szCs w:val="24"/>
        </w:rPr>
      </w:pPr>
      <w:r>
        <w:rPr>
          <w:rFonts w:ascii="Arial" w:hAnsi="Arial" w:cs="Arial"/>
          <w:kern w:val="0"/>
          <w:sz w:val="22"/>
          <w:szCs w:val="24"/>
        </w:rPr>
        <w:t xml:space="preserve">Tran, B. (2016) ‘Communication (intercultural and multicultural) at play for cross cultural management within multinational corporations (MNCs)’, in </w:t>
      </w:r>
      <w:r>
        <w:rPr>
          <w:rFonts w:ascii="Arial" w:hAnsi="Arial" w:cs="Arial"/>
          <w:i/>
          <w:iCs/>
          <w:kern w:val="0"/>
          <w:sz w:val="22"/>
          <w:szCs w:val="24"/>
        </w:rPr>
        <w:t>Handbook of research on impacts of international business and political affairs on the global economy</w:t>
      </w:r>
      <w:r>
        <w:rPr>
          <w:rFonts w:ascii="Arial" w:hAnsi="Arial" w:cs="Arial"/>
          <w:kern w:val="0"/>
          <w:sz w:val="22"/>
          <w:szCs w:val="24"/>
        </w:rPr>
        <w:t>. IGI Global, pp. 62–92.</w:t>
      </w:r>
    </w:p>
    <w:p>
      <w:pPr>
        <w:pStyle w:val="10"/>
        <w:numPr>
          <w:ilvl w:val="0"/>
          <w:numId w:val="1"/>
        </w:numPr>
        <w:autoSpaceDE w:val="0"/>
        <w:autoSpaceDN w:val="0"/>
        <w:adjustRightInd w:val="0"/>
        <w:spacing w:before="160" w:after="320" w:line="360" w:lineRule="auto"/>
        <w:ind w:firstLineChars="0"/>
        <w:jc w:val="left"/>
        <w:rPr>
          <w:rFonts w:ascii="Arial" w:hAnsi="Arial" w:cs="Arial"/>
          <w:sz w:val="22"/>
        </w:rPr>
      </w:pPr>
      <w:r>
        <w:rPr>
          <w:rFonts w:ascii="Arial" w:hAnsi="Arial" w:cs="Arial"/>
          <w:kern w:val="0"/>
          <w:sz w:val="22"/>
          <w:szCs w:val="24"/>
        </w:rPr>
        <w:t xml:space="preserve">Tynan, C. </w:t>
      </w:r>
      <w:r>
        <w:rPr>
          <w:rFonts w:ascii="Arial" w:hAnsi="Arial" w:cs="Arial"/>
          <w:i/>
          <w:iCs/>
          <w:kern w:val="0"/>
          <w:sz w:val="22"/>
          <w:szCs w:val="24"/>
        </w:rPr>
        <w:t>et al.</w:t>
      </w:r>
      <w:r>
        <w:rPr>
          <w:rFonts w:ascii="Arial" w:hAnsi="Arial" w:cs="Arial"/>
          <w:kern w:val="0"/>
          <w:sz w:val="22"/>
          <w:szCs w:val="24"/>
        </w:rPr>
        <w:t xml:space="preserve"> (2010) ‘Self-gift giving in China and the UK: Collectivist versus individualist orientations’, </w:t>
      </w:r>
      <w:r>
        <w:rPr>
          <w:rFonts w:ascii="Arial" w:hAnsi="Arial" w:cs="Arial"/>
          <w:i/>
          <w:iCs/>
          <w:kern w:val="0"/>
          <w:sz w:val="22"/>
          <w:szCs w:val="24"/>
        </w:rPr>
        <w:t>Journal of Marketing Management</w:t>
      </w:r>
      <w:r>
        <w:rPr>
          <w:rFonts w:ascii="Arial" w:hAnsi="Arial" w:cs="Arial"/>
          <w:kern w:val="0"/>
          <w:sz w:val="22"/>
          <w:szCs w:val="24"/>
        </w:rPr>
        <w:t>, 26(11–12), pp. 1112–1128.</w:t>
      </w:r>
    </w:p>
    <w:p>
      <w:pPr>
        <w:spacing w:before="156" w:beforeLines="50" w:after="312" w:afterLines="100" w:line="360" w:lineRule="auto"/>
        <w:rPr>
          <w:rFonts w:ascii="Arial" w:hAnsi="Arial" w:cs="Arial"/>
          <w:sz w:val="22"/>
        </w:rPr>
      </w:pPr>
      <w:r>
        <w:rPr>
          <w:rFonts w:ascii="Arial" w:hAnsi="Arial" w:cs="Arial"/>
          <w:sz w:val="22"/>
        </w:rPr>
        <w:fldChar w:fldCharType="end"/>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Arial">
    <w:panose1 w:val="020B0604020202020204"/>
    <w:charset w:val="00"/>
    <w:family w:val="swiss"/>
    <w:pitch w:val="default"/>
    <w:sig w:usb0="00000000" w:usb1="00000000" w:usb2="00000000" w:usb3="00000000" w:csb0="00000000" w:csb1="00000000"/>
  </w:font>
  <w:font w:name="Malgun Gothic">
    <w:altName w:val="Apple SD Gothic Neo"/>
    <w:panose1 w:val="020B0503020000020004"/>
    <w:charset w:val="81"/>
    <w:family w:val="swiss"/>
    <w:pitch w:val="default"/>
    <w:sig w:usb0="00000000" w:usb1="00000000" w:usb2="00000012" w:usb3="00000000" w:csb0="00080001" w:csb1="00000000"/>
  </w:font>
  <w:font w:name="Apple SD Gothic Neo">
    <w:panose1 w:val="02000300000000000000"/>
    <w:charset w:val="86"/>
    <w:family w:val="auto"/>
    <w:pitch w:val="default"/>
    <w:sig w:usb0="00000000" w:usb1="00000000" w:usb2="00000000" w:usb3="00000000" w:csb0="003E0000" w:csb1="00000000"/>
  </w:font>
  <w:font w:name="等线 Light">
    <w:altName w:val="汉仪中等线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315DDC"/>
    <w:multiLevelType w:val="multilevel"/>
    <w:tmpl w:val="08315DD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EAD"/>
    <w:rsid w:val="00005569"/>
    <w:rsid w:val="0001565B"/>
    <w:rsid w:val="00041999"/>
    <w:rsid w:val="000C54AE"/>
    <w:rsid w:val="000D1430"/>
    <w:rsid w:val="000E06BE"/>
    <w:rsid w:val="001247C8"/>
    <w:rsid w:val="001338CC"/>
    <w:rsid w:val="001B461F"/>
    <w:rsid w:val="001E2625"/>
    <w:rsid w:val="002B6EAD"/>
    <w:rsid w:val="002C4122"/>
    <w:rsid w:val="002F6CBE"/>
    <w:rsid w:val="0032294C"/>
    <w:rsid w:val="00327D6C"/>
    <w:rsid w:val="003550C1"/>
    <w:rsid w:val="00366C74"/>
    <w:rsid w:val="00371367"/>
    <w:rsid w:val="00420C0D"/>
    <w:rsid w:val="004279F3"/>
    <w:rsid w:val="00463B16"/>
    <w:rsid w:val="00490D6A"/>
    <w:rsid w:val="00575151"/>
    <w:rsid w:val="005D0B77"/>
    <w:rsid w:val="005E6B35"/>
    <w:rsid w:val="0062690A"/>
    <w:rsid w:val="00626D37"/>
    <w:rsid w:val="00640E89"/>
    <w:rsid w:val="00655F7A"/>
    <w:rsid w:val="00685CDF"/>
    <w:rsid w:val="00747DA1"/>
    <w:rsid w:val="00783941"/>
    <w:rsid w:val="007C2F62"/>
    <w:rsid w:val="00822895"/>
    <w:rsid w:val="0083758D"/>
    <w:rsid w:val="00897239"/>
    <w:rsid w:val="008D14B4"/>
    <w:rsid w:val="009013FE"/>
    <w:rsid w:val="009B4293"/>
    <w:rsid w:val="00AB7908"/>
    <w:rsid w:val="00AB7FC7"/>
    <w:rsid w:val="00AF45A3"/>
    <w:rsid w:val="00B6766A"/>
    <w:rsid w:val="00BF38D2"/>
    <w:rsid w:val="00CF07E6"/>
    <w:rsid w:val="00D810B0"/>
    <w:rsid w:val="00D84861"/>
    <w:rsid w:val="00D87C0C"/>
    <w:rsid w:val="00D94203"/>
    <w:rsid w:val="00DB7815"/>
    <w:rsid w:val="00DC0F30"/>
    <w:rsid w:val="00DE3BE1"/>
    <w:rsid w:val="00E538E9"/>
    <w:rsid w:val="00EB4D0E"/>
    <w:rsid w:val="00F07B44"/>
    <w:rsid w:val="00FB40AF"/>
    <w:rsid w:val="00FD76B3"/>
    <w:rsid w:val="0FAF47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GB"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5">
    <w:name w:val="Title"/>
    <w:basedOn w:val="1"/>
    <w:next w:val="1"/>
    <w:link w:val="11"/>
    <w:qFormat/>
    <w:uiPriority w:val="10"/>
    <w:pPr>
      <w:spacing w:before="240" w:after="60"/>
      <w:jc w:val="center"/>
      <w:outlineLvl w:val="0"/>
    </w:pPr>
    <w:rPr>
      <w:rFonts w:asciiTheme="majorHAnsi" w:hAnsiTheme="majorHAnsi" w:eastAsiaTheme="majorEastAsia" w:cstheme="majorBidi"/>
      <w:b/>
      <w:bCs/>
      <w:sz w:val="32"/>
      <w:szCs w:val="32"/>
    </w:rPr>
  </w:style>
  <w:style w:type="character" w:customStyle="1" w:styleId="8">
    <w:name w:val="页眉 字符"/>
    <w:basedOn w:val="7"/>
    <w:link w:val="4"/>
    <w:uiPriority w:val="99"/>
    <w:rPr>
      <w:sz w:val="18"/>
      <w:szCs w:val="18"/>
      <w:lang w:val="en-GB"/>
    </w:rPr>
  </w:style>
  <w:style w:type="character" w:customStyle="1" w:styleId="9">
    <w:name w:val="页脚 字符"/>
    <w:basedOn w:val="7"/>
    <w:link w:val="3"/>
    <w:qFormat/>
    <w:uiPriority w:val="99"/>
    <w:rPr>
      <w:sz w:val="18"/>
      <w:szCs w:val="18"/>
      <w:lang w:val="en-GB"/>
    </w:rPr>
  </w:style>
  <w:style w:type="paragraph" w:styleId="10">
    <w:name w:val="List Paragraph"/>
    <w:basedOn w:val="1"/>
    <w:qFormat/>
    <w:uiPriority w:val="34"/>
    <w:pPr>
      <w:ind w:firstLine="420" w:firstLineChars="200"/>
    </w:pPr>
  </w:style>
  <w:style w:type="character" w:customStyle="1" w:styleId="11">
    <w:name w:val="标题 字符"/>
    <w:basedOn w:val="7"/>
    <w:link w:val="5"/>
    <w:qFormat/>
    <w:uiPriority w:val="10"/>
    <w:rPr>
      <w:rFonts w:asciiTheme="majorHAnsi" w:hAnsiTheme="majorHAnsi" w:eastAsiaTheme="majorEastAsia" w:cstheme="majorBidi"/>
      <w:b/>
      <w:bCs/>
      <w:sz w:val="32"/>
      <w:szCs w:val="32"/>
      <w:lang w:val="en-GB"/>
    </w:rPr>
  </w:style>
  <w:style w:type="character" w:customStyle="1" w:styleId="12">
    <w:name w:val="标题 1 字符"/>
    <w:basedOn w:val="7"/>
    <w:link w:val="2"/>
    <w:qFormat/>
    <w:uiPriority w:val="9"/>
    <w:rPr>
      <w:b/>
      <w:bCs/>
      <w:kern w:val="44"/>
      <w:sz w:val="44"/>
      <w:szCs w:val="44"/>
      <w:lang w:val="en-G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8367</Words>
  <Characters>47693</Characters>
  <Lines>397</Lines>
  <Paragraphs>111</Paragraphs>
  <TotalTime>274</TotalTime>
  <ScaleCrop>false</ScaleCrop>
  <LinksUpToDate>false</LinksUpToDate>
  <CharactersWithSpaces>55949</CharactersWithSpaces>
  <Application>WPS Office_4.4.1.7360_F1E327BC-269C-435d-A152-05C5408002CA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2022-07-19T19:52:00Z</dcterms:created>
  <dc:creator>admin admin</dc:creator>
  <cp:lastModifiedBy>WPS_1647087601</cp:lastModifiedBy>
  <dcterms:modified xsi:type="dcterms:W3CDTF">2022-07-20T22:09:40Z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7th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http://www.zotero.org/styles/chicago-fullnote-bibliography</vt:lpwstr>
  </property>
  <property fmtid="{D5CDD505-2E9C-101B-9397-08002B2CF9AE}" pid="9" name="Mendeley Recent Style Name 3_1">
    <vt:lpwstr>Chicago Manual of Style 17th edition (full note)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http://www.zotero.org/styles/harvard-coventry-university</vt:lpwstr>
  </property>
  <property fmtid="{D5CDD505-2E9C-101B-9397-08002B2CF9AE}" pid="13" name="Mendeley Recent Style Name 5_1">
    <vt:lpwstr>Coventry University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http://www.zotero.org/styles/harvard-university-of-leeds</vt:lpwstr>
  </property>
  <property fmtid="{D5CDD505-2E9C-101B-9397-08002B2CF9AE}" pid="19" name="Mendeley Recent Style Name 8_1">
    <vt:lpwstr>University of Leeds - Harvard</vt:lpwstr>
  </property>
  <property fmtid="{D5CDD505-2E9C-101B-9397-08002B2CF9AE}" pid="20" name="Mendeley Recent Style Id 9_1">
    <vt:lpwstr>http://www.zotero.org/styles/harvard-university-of-westminster</vt:lpwstr>
  </property>
  <property fmtid="{D5CDD505-2E9C-101B-9397-08002B2CF9AE}" pid="21" name="Mendeley Recent Style Name 9_1">
    <vt:lpwstr>University of Westminster - Harvard</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y fmtid="{D5CDD505-2E9C-101B-9397-08002B2CF9AE}" pid="25" name="KSOProductBuildVer">
    <vt:lpwstr>2052-4.4.1.7360</vt:lpwstr>
  </property>
  <property fmtid="{D5CDD505-2E9C-101B-9397-08002B2CF9AE}" pid="26" name="ICV">
    <vt:lpwstr>7B3086648AF52D3EA40CD862D1075AE5</vt:lpwstr>
  </property>
</Properties>
</file>