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D3B5" w14:textId="77777777" w:rsidR="00863A21" w:rsidRPr="00863A21" w:rsidRDefault="00863A21" w:rsidP="00863A21">
      <w:pPr>
        <w:jc w:val="center"/>
        <w:rPr>
          <w:rFonts w:ascii="Arial" w:hAnsi="Arial" w:cs="Arial"/>
          <w:b/>
          <w:bCs/>
          <w:color w:val="000000" w:themeColor="text1"/>
          <w:sz w:val="32"/>
          <w:szCs w:val="32"/>
        </w:rPr>
      </w:pPr>
    </w:p>
    <w:p w14:paraId="12614A27" w14:textId="77777777" w:rsidR="00863A21" w:rsidRPr="00863A21" w:rsidRDefault="00863A21" w:rsidP="00863A21">
      <w:pPr>
        <w:jc w:val="center"/>
        <w:rPr>
          <w:rFonts w:ascii="Arial" w:hAnsi="Arial" w:cs="Arial"/>
          <w:b/>
          <w:bCs/>
          <w:color w:val="000000" w:themeColor="text1"/>
          <w:sz w:val="32"/>
          <w:szCs w:val="32"/>
        </w:rPr>
      </w:pPr>
    </w:p>
    <w:p w14:paraId="2B29F1DD" w14:textId="77777777" w:rsidR="00863A21" w:rsidRPr="00863A21" w:rsidRDefault="00863A21" w:rsidP="00863A21">
      <w:pPr>
        <w:jc w:val="center"/>
        <w:rPr>
          <w:rFonts w:ascii="Arial" w:hAnsi="Arial" w:cs="Arial"/>
          <w:b/>
          <w:bCs/>
          <w:color w:val="000000" w:themeColor="text1"/>
          <w:sz w:val="32"/>
          <w:szCs w:val="32"/>
        </w:rPr>
      </w:pPr>
    </w:p>
    <w:p w14:paraId="740EB539" w14:textId="77777777" w:rsidR="00863A21" w:rsidRPr="00863A21" w:rsidRDefault="00863A21" w:rsidP="00863A21">
      <w:pPr>
        <w:jc w:val="center"/>
        <w:rPr>
          <w:rFonts w:ascii="Arial" w:hAnsi="Arial" w:cs="Arial"/>
          <w:b/>
          <w:bCs/>
          <w:color w:val="000000" w:themeColor="text1"/>
          <w:sz w:val="32"/>
          <w:szCs w:val="32"/>
        </w:rPr>
      </w:pPr>
    </w:p>
    <w:p w14:paraId="26C69F46" w14:textId="77777777" w:rsidR="00863A21" w:rsidRPr="00863A21" w:rsidRDefault="00863A21" w:rsidP="00863A21">
      <w:pPr>
        <w:jc w:val="center"/>
        <w:rPr>
          <w:rFonts w:ascii="Arial" w:hAnsi="Arial" w:cs="Arial"/>
          <w:b/>
          <w:bCs/>
          <w:color w:val="000000" w:themeColor="text1"/>
          <w:sz w:val="32"/>
          <w:szCs w:val="32"/>
        </w:rPr>
      </w:pPr>
    </w:p>
    <w:p w14:paraId="1B484EFD" w14:textId="77777777" w:rsidR="00863A21" w:rsidRPr="00863A21" w:rsidRDefault="00863A21" w:rsidP="00863A21">
      <w:pPr>
        <w:jc w:val="center"/>
        <w:rPr>
          <w:rFonts w:ascii="Arial" w:hAnsi="Arial" w:cs="Arial"/>
          <w:b/>
          <w:bCs/>
          <w:color w:val="000000" w:themeColor="text1"/>
          <w:sz w:val="32"/>
          <w:szCs w:val="32"/>
        </w:rPr>
      </w:pPr>
    </w:p>
    <w:p w14:paraId="01611509" w14:textId="77777777" w:rsidR="00863A21" w:rsidRPr="00863A21" w:rsidRDefault="00863A21" w:rsidP="00863A21">
      <w:pPr>
        <w:jc w:val="center"/>
        <w:rPr>
          <w:rFonts w:ascii="Arial" w:hAnsi="Arial" w:cs="Arial"/>
          <w:b/>
          <w:bCs/>
          <w:color w:val="000000" w:themeColor="text1"/>
          <w:sz w:val="32"/>
          <w:szCs w:val="32"/>
        </w:rPr>
      </w:pPr>
    </w:p>
    <w:p w14:paraId="70285CAE" w14:textId="77777777" w:rsidR="00863A21" w:rsidRPr="00863A21" w:rsidRDefault="00863A21" w:rsidP="00863A21">
      <w:pPr>
        <w:jc w:val="center"/>
        <w:rPr>
          <w:rFonts w:ascii="Arial" w:hAnsi="Arial" w:cs="Arial"/>
          <w:b/>
          <w:bCs/>
          <w:color w:val="000000" w:themeColor="text1"/>
          <w:sz w:val="32"/>
          <w:szCs w:val="32"/>
        </w:rPr>
      </w:pPr>
    </w:p>
    <w:p w14:paraId="48AB27C3" w14:textId="0470A2F6" w:rsidR="00863A21" w:rsidRPr="00863A21" w:rsidRDefault="00863A21" w:rsidP="00863A21">
      <w:pPr>
        <w:jc w:val="center"/>
        <w:rPr>
          <w:rFonts w:ascii="Arial" w:hAnsi="Arial" w:cs="Arial"/>
          <w:b/>
          <w:bCs/>
          <w:color w:val="000000" w:themeColor="text1"/>
          <w:sz w:val="32"/>
          <w:szCs w:val="32"/>
        </w:rPr>
      </w:pPr>
      <w:r w:rsidRPr="00863A21">
        <w:rPr>
          <w:rFonts w:ascii="Arial" w:hAnsi="Arial" w:cs="Arial"/>
          <w:b/>
          <w:bCs/>
          <w:color w:val="000000" w:themeColor="text1"/>
          <w:sz w:val="32"/>
          <w:szCs w:val="32"/>
        </w:rPr>
        <w:t>BMIH4002 Food and Beverage Operations</w:t>
      </w:r>
    </w:p>
    <w:p w14:paraId="351D8675" w14:textId="77777777" w:rsidR="00863A21" w:rsidRPr="00863A21" w:rsidRDefault="00863A21" w:rsidP="00863A21">
      <w:pPr>
        <w:jc w:val="center"/>
        <w:rPr>
          <w:rFonts w:ascii="Arial" w:hAnsi="Arial" w:cs="Arial"/>
          <w:b/>
          <w:bCs/>
          <w:color w:val="000000" w:themeColor="text1"/>
          <w:sz w:val="32"/>
          <w:szCs w:val="32"/>
        </w:rPr>
      </w:pPr>
    </w:p>
    <w:p w14:paraId="67A734A6" w14:textId="7378B8EC" w:rsidR="00863A21" w:rsidRPr="00863A21" w:rsidRDefault="00863A21" w:rsidP="00863A21">
      <w:pPr>
        <w:jc w:val="center"/>
        <w:rPr>
          <w:rFonts w:ascii="Arial" w:hAnsi="Arial" w:cs="Arial"/>
          <w:b/>
          <w:bCs/>
          <w:color w:val="000000" w:themeColor="text1"/>
          <w:sz w:val="32"/>
          <w:szCs w:val="32"/>
        </w:rPr>
      </w:pPr>
      <w:r w:rsidRPr="00863A21">
        <w:rPr>
          <w:rFonts w:ascii="Arial" w:hAnsi="Arial" w:cs="Arial"/>
          <w:b/>
          <w:bCs/>
          <w:color w:val="000000" w:themeColor="text1"/>
          <w:sz w:val="32"/>
          <w:szCs w:val="32"/>
        </w:rPr>
        <w:t>(Ratings, Inspections and Reporting Procedures)</w:t>
      </w:r>
    </w:p>
    <w:p w14:paraId="795B2D64" w14:textId="77777777" w:rsidR="00863A21" w:rsidRPr="00863A21" w:rsidRDefault="00863A21">
      <w:pPr>
        <w:rPr>
          <w:rFonts w:ascii="Arial" w:hAnsi="Arial" w:cs="Arial"/>
          <w:b/>
          <w:bCs/>
          <w:color w:val="000000" w:themeColor="text1"/>
          <w:sz w:val="32"/>
          <w:szCs w:val="32"/>
        </w:rPr>
      </w:pPr>
      <w:r w:rsidRPr="00863A21">
        <w:rPr>
          <w:rFonts w:ascii="Arial" w:hAnsi="Arial" w:cs="Arial"/>
          <w:b/>
          <w:bCs/>
          <w:color w:val="000000" w:themeColor="text1"/>
          <w:sz w:val="32"/>
          <w:szCs w:val="32"/>
        </w:rPr>
        <w:br w:type="page"/>
      </w:r>
    </w:p>
    <w:p w14:paraId="4F65FB9D" w14:textId="77777777" w:rsidR="00863A21" w:rsidRPr="00863A21" w:rsidRDefault="00863A21" w:rsidP="00863A21">
      <w:pPr>
        <w:pStyle w:val="BodyText"/>
        <w:rPr>
          <w:rFonts w:ascii="Tahoma"/>
          <w:color w:val="000000" w:themeColor="text1"/>
          <w:sz w:val="20"/>
          <w:lang w:val="en-GB"/>
        </w:rPr>
      </w:pPr>
    </w:p>
    <w:p w14:paraId="1672908D" w14:textId="77777777" w:rsidR="00863A21" w:rsidRPr="00863A21" w:rsidRDefault="00863A21" w:rsidP="00863A21">
      <w:pPr>
        <w:pStyle w:val="BodyText"/>
        <w:spacing w:before="1"/>
        <w:rPr>
          <w:rFonts w:ascii="Tahoma"/>
          <w:color w:val="000000" w:themeColor="text1"/>
          <w:sz w:val="16"/>
          <w:lang w:val="en-G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3228"/>
        <w:gridCol w:w="5788"/>
      </w:tblGrid>
      <w:tr w:rsidR="00863A21" w:rsidRPr="00863A21" w14:paraId="7F492F3C" w14:textId="77777777" w:rsidTr="00863A21">
        <w:trPr>
          <w:trHeight w:val="1432"/>
        </w:trPr>
        <w:tc>
          <w:tcPr>
            <w:tcW w:w="1790" w:type="pct"/>
            <w:shd w:val="clear" w:color="auto" w:fill="8DB3E1"/>
          </w:tcPr>
          <w:p w14:paraId="442034E2" w14:textId="2E0ABD4A" w:rsidR="00863A21" w:rsidRPr="00863A21" w:rsidRDefault="00863A21" w:rsidP="00863A21">
            <w:pPr>
              <w:pStyle w:val="TableParagraph"/>
              <w:spacing w:before="1" w:line="360" w:lineRule="auto"/>
              <w:ind w:left="107"/>
              <w:jc w:val="both"/>
              <w:rPr>
                <w:rFonts w:ascii="Arial" w:hAnsi="Arial" w:cs="Arial"/>
                <w:color w:val="000000" w:themeColor="text1"/>
                <w:sz w:val="24"/>
                <w:szCs w:val="24"/>
                <w:lang w:val="en-GB"/>
              </w:rPr>
            </w:pPr>
            <w:r w:rsidRPr="00863A21">
              <w:rPr>
                <w:rFonts w:ascii="Arial" w:hAnsi="Arial" w:cs="Arial"/>
                <w:b/>
                <w:color w:val="000000" w:themeColor="text1"/>
                <w:sz w:val="24"/>
                <w:szCs w:val="24"/>
                <w:lang w:val="en-GB"/>
              </w:rPr>
              <w:t xml:space="preserve">Student Name: </w:t>
            </w:r>
            <w:r w:rsidR="00AE0375">
              <w:rPr>
                <w:rFonts w:ascii="Arial" w:hAnsi="Arial" w:cs="Arial"/>
                <w:b/>
                <w:color w:val="000000" w:themeColor="text1"/>
                <w:sz w:val="24"/>
                <w:szCs w:val="24"/>
                <w:lang w:val="en-GB"/>
              </w:rPr>
              <w:t xml:space="preserve">Gheorghe Bogdan Ilies </w:t>
            </w:r>
          </w:p>
          <w:p w14:paraId="22999CC4" w14:textId="77777777" w:rsidR="00863A21" w:rsidRPr="00863A21" w:rsidRDefault="00863A21" w:rsidP="00863A21">
            <w:pPr>
              <w:pStyle w:val="TableParagraph"/>
              <w:spacing w:before="7" w:line="360" w:lineRule="auto"/>
              <w:jc w:val="both"/>
              <w:rPr>
                <w:rFonts w:ascii="Arial" w:hAnsi="Arial" w:cs="Arial"/>
                <w:color w:val="000000" w:themeColor="text1"/>
                <w:sz w:val="24"/>
                <w:szCs w:val="24"/>
                <w:lang w:val="en-GB"/>
              </w:rPr>
            </w:pPr>
          </w:p>
          <w:p w14:paraId="7A1FDCCC" w14:textId="328D189C" w:rsidR="00863A21" w:rsidRPr="00863A21" w:rsidRDefault="00863A21" w:rsidP="00863A21">
            <w:pPr>
              <w:pStyle w:val="TableParagraph"/>
              <w:spacing w:line="360" w:lineRule="auto"/>
              <w:ind w:left="107"/>
              <w:jc w:val="both"/>
              <w:rPr>
                <w:rFonts w:ascii="Arial" w:hAnsi="Arial" w:cs="Arial"/>
                <w:color w:val="000000" w:themeColor="text1"/>
                <w:sz w:val="24"/>
                <w:szCs w:val="24"/>
                <w:lang w:val="en-GB"/>
              </w:rPr>
            </w:pPr>
            <w:r w:rsidRPr="00863A21">
              <w:rPr>
                <w:rFonts w:ascii="Arial" w:hAnsi="Arial" w:cs="Arial"/>
                <w:b/>
                <w:color w:val="000000" w:themeColor="text1"/>
                <w:sz w:val="24"/>
                <w:szCs w:val="24"/>
                <w:lang w:val="en-GB"/>
              </w:rPr>
              <w:t xml:space="preserve">Student Number: </w:t>
            </w:r>
            <w:r w:rsidR="00AE0375">
              <w:rPr>
                <w:rFonts w:ascii="Arial" w:hAnsi="Arial" w:cs="Arial"/>
                <w:b/>
                <w:color w:val="000000" w:themeColor="text1"/>
                <w:sz w:val="24"/>
                <w:szCs w:val="24"/>
                <w:lang w:val="en-GB"/>
              </w:rPr>
              <w:t>2025668</w:t>
            </w:r>
          </w:p>
        </w:tc>
        <w:tc>
          <w:tcPr>
            <w:tcW w:w="3210" w:type="pct"/>
            <w:shd w:val="clear" w:color="auto" w:fill="8DB3E1"/>
          </w:tcPr>
          <w:p w14:paraId="336676E5" w14:textId="77777777" w:rsidR="00863A21" w:rsidRPr="00863A21" w:rsidRDefault="00863A21" w:rsidP="00863A21">
            <w:pPr>
              <w:pStyle w:val="TableParagraph"/>
              <w:spacing w:before="1" w:line="360" w:lineRule="auto"/>
              <w:ind w:left="108"/>
              <w:jc w:val="both"/>
              <w:rPr>
                <w:rFonts w:ascii="Arial" w:hAnsi="Arial" w:cs="Arial"/>
                <w:color w:val="000000" w:themeColor="text1"/>
                <w:sz w:val="24"/>
                <w:szCs w:val="24"/>
                <w:lang w:val="en-GB"/>
              </w:rPr>
            </w:pPr>
            <w:r w:rsidRPr="00863A21">
              <w:rPr>
                <w:rFonts w:ascii="Arial" w:hAnsi="Arial" w:cs="Arial"/>
                <w:b/>
                <w:color w:val="000000" w:themeColor="text1"/>
                <w:sz w:val="24"/>
                <w:szCs w:val="24"/>
                <w:lang w:val="en-GB"/>
              </w:rPr>
              <w:t>Module: Food and Beverage Operations</w:t>
            </w:r>
          </w:p>
          <w:p w14:paraId="7CEC0189" w14:textId="77777777" w:rsidR="00863A21" w:rsidRPr="00863A21" w:rsidRDefault="00863A21" w:rsidP="00863A21">
            <w:pPr>
              <w:pStyle w:val="TableParagraph"/>
              <w:spacing w:before="7" w:line="360" w:lineRule="auto"/>
              <w:jc w:val="both"/>
              <w:rPr>
                <w:rFonts w:ascii="Arial" w:hAnsi="Arial" w:cs="Arial"/>
                <w:color w:val="000000" w:themeColor="text1"/>
                <w:sz w:val="24"/>
                <w:szCs w:val="24"/>
                <w:lang w:val="en-GB"/>
              </w:rPr>
            </w:pPr>
          </w:p>
          <w:p w14:paraId="0503D684" w14:textId="65926D2B" w:rsidR="00863A21" w:rsidRPr="00863A21" w:rsidRDefault="00863A21" w:rsidP="00863A21">
            <w:pPr>
              <w:pStyle w:val="TableParagraph"/>
              <w:spacing w:line="360" w:lineRule="auto"/>
              <w:ind w:left="108"/>
              <w:jc w:val="both"/>
              <w:rPr>
                <w:rFonts w:ascii="Arial" w:hAnsi="Arial" w:cs="Arial"/>
                <w:b/>
                <w:color w:val="000000" w:themeColor="text1"/>
                <w:sz w:val="24"/>
                <w:szCs w:val="24"/>
                <w:lang w:val="en-GB"/>
              </w:rPr>
            </w:pPr>
            <w:r w:rsidRPr="00863A21">
              <w:rPr>
                <w:rFonts w:ascii="Arial" w:hAnsi="Arial" w:cs="Arial"/>
                <w:b/>
                <w:color w:val="000000" w:themeColor="text1"/>
                <w:sz w:val="24"/>
                <w:szCs w:val="24"/>
                <w:lang w:val="en-GB"/>
              </w:rPr>
              <w:t>Lecturer:</w:t>
            </w:r>
            <w:r w:rsidR="00F15C6F">
              <w:rPr>
                <w:rFonts w:ascii="Arial" w:hAnsi="Arial" w:cs="Arial"/>
                <w:b/>
                <w:color w:val="000000" w:themeColor="text1"/>
                <w:sz w:val="24"/>
                <w:szCs w:val="24"/>
                <w:lang w:val="en-GB"/>
              </w:rPr>
              <w:t xml:space="preserve"> Ryan Peters</w:t>
            </w:r>
          </w:p>
        </w:tc>
      </w:tr>
    </w:tbl>
    <w:p w14:paraId="3F629943" w14:textId="77777777" w:rsidR="00863A21" w:rsidRPr="00863A21" w:rsidRDefault="00863A21" w:rsidP="00863A21">
      <w:pPr>
        <w:pStyle w:val="BodyText"/>
        <w:spacing w:before="7" w:line="360" w:lineRule="auto"/>
        <w:jc w:val="both"/>
        <w:rPr>
          <w:rFonts w:ascii="Arial" w:hAnsi="Arial" w:cs="Arial"/>
          <w:color w:val="000000" w:themeColor="text1"/>
          <w:sz w:val="24"/>
          <w:szCs w:val="24"/>
          <w:lang w:val="en-G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3439"/>
        <w:gridCol w:w="5577"/>
      </w:tblGrid>
      <w:tr w:rsidR="00863A21" w:rsidRPr="00863A21" w14:paraId="015BFCF9" w14:textId="77777777" w:rsidTr="00863A21">
        <w:trPr>
          <w:trHeight w:val="1432"/>
        </w:trPr>
        <w:tc>
          <w:tcPr>
            <w:tcW w:w="1907" w:type="pct"/>
            <w:shd w:val="clear" w:color="auto" w:fill="FAD3B4"/>
          </w:tcPr>
          <w:p w14:paraId="449E6EEA" w14:textId="77777777" w:rsidR="00863A21" w:rsidRPr="00C86DB5" w:rsidRDefault="00863A21" w:rsidP="00C86DB5">
            <w:pPr>
              <w:spacing w:line="360" w:lineRule="auto"/>
              <w:jc w:val="center"/>
              <w:rPr>
                <w:rFonts w:ascii="Arial" w:hAnsi="Arial" w:cs="Arial"/>
                <w:b/>
                <w:bCs/>
                <w:sz w:val="24"/>
                <w:szCs w:val="24"/>
              </w:rPr>
            </w:pPr>
            <w:r w:rsidRPr="00C86DB5">
              <w:rPr>
                <w:rFonts w:ascii="Arial" w:hAnsi="Arial" w:cs="Arial"/>
                <w:b/>
                <w:bCs/>
                <w:sz w:val="24"/>
                <w:szCs w:val="24"/>
              </w:rPr>
              <w:t>Topic of choice: Ratings, Inspections and Reporting Procedures</w:t>
            </w:r>
          </w:p>
        </w:tc>
        <w:tc>
          <w:tcPr>
            <w:tcW w:w="3093" w:type="pct"/>
            <w:shd w:val="clear" w:color="auto" w:fill="FAD3B4"/>
          </w:tcPr>
          <w:p w14:paraId="0D11DD1B" w14:textId="16E790FF" w:rsidR="00863A21" w:rsidRPr="00C86DB5" w:rsidRDefault="00863A21" w:rsidP="00C86DB5">
            <w:pPr>
              <w:spacing w:line="360" w:lineRule="auto"/>
              <w:jc w:val="center"/>
              <w:rPr>
                <w:rFonts w:ascii="Arial" w:hAnsi="Arial" w:cs="Arial"/>
                <w:b/>
                <w:bCs/>
                <w:sz w:val="24"/>
                <w:szCs w:val="24"/>
              </w:rPr>
            </w:pPr>
            <w:r w:rsidRPr="00C86DB5">
              <w:rPr>
                <w:rFonts w:ascii="Arial" w:hAnsi="Arial" w:cs="Arial"/>
                <w:b/>
                <w:bCs/>
                <w:sz w:val="24"/>
                <w:szCs w:val="24"/>
              </w:rPr>
              <w:t>Date Completed: 0</w:t>
            </w:r>
            <w:r w:rsidR="00AE0375">
              <w:rPr>
                <w:rFonts w:ascii="Arial" w:hAnsi="Arial" w:cs="Arial"/>
                <w:b/>
                <w:bCs/>
                <w:sz w:val="24"/>
                <w:szCs w:val="24"/>
              </w:rPr>
              <w:t>3</w:t>
            </w:r>
            <w:r w:rsidRPr="00C86DB5">
              <w:rPr>
                <w:rFonts w:ascii="Arial" w:hAnsi="Arial" w:cs="Arial"/>
                <w:b/>
                <w:bCs/>
                <w:sz w:val="24"/>
                <w:szCs w:val="24"/>
              </w:rPr>
              <w:t>/02/2022</w:t>
            </w:r>
          </w:p>
        </w:tc>
      </w:tr>
      <w:tr w:rsidR="00863A21" w:rsidRPr="00863A21" w14:paraId="531A1798" w14:textId="77777777" w:rsidTr="00863A21">
        <w:trPr>
          <w:trHeight w:val="5377"/>
        </w:trPr>
        <w:tc>
          <w:tcPr>
            <w:tcW w:w="5000" w:type="pct"/>
            <w:gridSpan w:val="2"/>
          </w:tcPr>
          <w:p w14:paraId="0E9D03B3" w14:textId="77777777" w:rsidR="00863A21" w:rsidRPr="00863A21" w:rsidRDefault="00863A21" w:rsidP="00863A21">
            <w:pPr>
              <w:pStyle w:val="NormalWeb"/>
              <w:spacing w:before="0" w:beforeAutospacing="0" w:after="200" w:afterAutospacing="0" w:line="360" w:lineRule="auto"/>
              <w:jc w:val="both"/>
              <w:rPr>
                <w:rFonts w:ascii="Arial" w:hAnsi="Arial" w:cs="Arial"/>
                <w:color w:val="000000" w:themeColor="text1"/>
                <w:lang w:val="en-GB"/>
              </w:rPr>
            </w:pPr>
            <w:r w:rsidRPr="00863A21">
              <w:rPr>
                <w:rFonts w:ascii="Arial" w:hAnsi="Arial" w:cs="Arial"/>
                <w:color w:val="000000" w:themeColor="text1"/>
                <w:lang w:val="en-GB"/>
              </w:rPr>
              <w:t>The hospitality industry can achieve the capability of improving customer experience by maintaining the quality and hygiene of its services. Majorly, supervision is needed in the area of “food and beverage operations” for tracking and maintaining the highest possible quality for food and beverages. In this case, proper monitoring and managing quality and hygiene of food and beverages can help the industry in retaining as well as expanding the customer base.</w:t>
            </w:r>
          </w:p>
          <w:p w14:paraId="38A3B3E8" w14:textId="77777777" w:rsidR="00863A21" w:rsidRPr="00863A21" w:rsidRDefault="00863A21" w:rsidP="00863A21">
            <w:pPr>
              <w:pStyle w:val="NormalWeb"/>
              <w:spacing w:before="0" w:beforeAutospacing="0" w:after="200" w:afterAutospacing="0" w:line="360" w:lineRule="auto"/>
              <w:jc w:val="both"/>
              <w:rPr>
                <w:rFonts w:ascii="Arial" w:hAnsi="Arial" w:cs="Arial"/>
                <w:color w:val="000000" w:themeColor="text1"/>
                <w:lang w:val="en-GB"/>
              </w:rPr>
            </w:pPr>
            <w:r w:rsidRPr="00863A21">
              <w:rPr>
                <w:rFonts w:ascii="Arial" w:hAnsi="Arial" w:cs="Arial"/>
                <w:color w:val="000000" w:themeColor="text1"/>
                <w:lang w:val="en-GB"/>
              </w:rPr>
              <w:t xml:space="preserve">I feel the need for including my personal reflection and then linking that with the entire work to industry discussion, as I learned significant things at the time of pursuing the task under </w:t>
            </w:r>
            <w:r w:rsidRPr="00863A21">
              <w:rPr>
                <w:rFonts w:ascii="Arial" w:hAnsi="Arial" w:cs="Arial"/>
                <w:b/>
                <w:bCs/>
                <w:i/>
                <w:iCs/>
                <w:color w:val="000000" w:themeColor="text1"/>
                <w:lang w:val="en-GB"/>
              </w:rPr>
              <w:t>“Food and Beverage Operations”</w:t>
            </w:r>
            <w:r w:rsidRPr="00863A21">
              <w:rPr>
                <w:rFonts w:ascii="Arial" w:hAnsi="Arial" w:cs="Arial"/>
                <w:color w:val="000000" w:themeColor="text1"/>
                <w:lang w:val="en-GB"/>
              </w:rPr>
              <w:t xml:space="preserve">. I developed a range of skills related to the procedure of “rating, inspection, and reporting” in week 4. I learned the process of rating, which is dependent on inspection of food hygiene and food safety. Regarding this, I evaluated food safety measures for maintaining the effectiveness of operations related to food and beverages. </w:t>
            </w:r>
            <w:r w:rsidRPr="00863A21">
              <w:rPr>
                <w:rFonts w:ascii="Arial" w:hAnsi="Arial" w:cs="Arial"/>
                <w:b/>
                <w:bCs/>
                <w:i/>
                <w:iCs/>
                <w:color w:val="000000" w:themeColor="text1"/>
                <w:lang w:val="en-GB"/>
              </w:rPr>
              <w:t>“Safer Food, Better Business”</w:t>
            </w:r>
            <w:r w:rsidRPr="00863A21">
              <w:rPr>
                <w:rFonts w:ascii="Arial" w:hAnsi="Arial" w:cs="Arial"/>
                <w:color w:val="000000" w:themeColor="text1"/>
                <w:lang w:val="en-GB"/>
              </w:rPr>
              <w:t xml:space="preserve"> and </w:t>
            </w:r>
            <w:r w:rsidRPr="00863A21">
              <w:rPr>
                <w:rFonts w:ascii="Arial" w:hAnsi="Arial" w:cs="Arial"/>
                <w:b/>
                <w:bCs/>
                <w:i/>
                <w:iCs/>
                <w:color w:val="000000" w:themeColor="text1"/>
                <w:lang w:val="en-GB"/>
              </w:rPr>
              <w:t>“Hazard Analysis and Critical Control Point”</w:t>
            </w:r>
            <w:r w:rsidRPr="00863A21">
              <w:rPr>
                <w:rFonts w:ascii="Arial" w:hAnsi="Arial" w:cs="Arial"/>
                <w:color w:val="000000" w:themeColor="text1"/>
                <w:lang w:val="en-GB"/>
              </w:rPr>
              <w:t xml:space="preserve"> are the most significant criteria that determine the rate regarding food hygiene. Throughout the learning process, I was provided with some </w:t>
            </w:r>
            <w:r w:rsidRPr="00863A21">
              <w:rPr>
                <w:rFonts w:ascii="Arial" w:hAnsi="Arial" w:cs="Arial"/>
                <w:b/>
                <w:bCs/>
                <w:i/>
                <w:iCs/>
                <w:color w:val="000000" w:themeColor="text1"/>
                <w:lang w:val="en-GB"/>
              </w:rPr>
              <w:t>case scenarios</w:t>
            </w:r>
            <w:r w:rsidRPr="00863A21">
              <w:rPr>
                <w:rFonts w:ascii="Arial" w:hAnsi="Arial" w:cs="Arial"/>
                <w:color w:val="000000" w:themeColor="text1"/>
                <w:lang w:val="en-GB"/>
              </w:rPr>
              <w:t xml:space="preserve">, and that helped me in understanding the process of undertaking an </w:t>
            </w:r>
            <w:r w:rsidRPr="00863A21">
              <w:rPr>
                <w:rFonts w:ascii="Arial" w:hAnsi="Arial" w:cs="Arial"/>
                <w:b/>
                <w:bCs/>
                <w:i/>
                <w:iCs/>
                <w:color w:val="000000" w:themeColor="text1"/>
                <w:lang w:val="en-GB"/>
              </w:rPr>
              <w:t xml:space="preserve">inspection </w:t>
            </w:r>
            <w:r w:rsidRPr="00863A21">
              <w:rPr>
                <w:rFonts w:ascii="Arial" w:hAnsi="Arial" w:cs="Arial"/>
                <w:color w:val="000000" w:themeColor="text1"/>
                <w:lang w:val="en-GB"/>
              </w:rPr>
              <w:t xml:space="preserve">and accomplishing with efficiency by </w:t>
            </w:r>
            <w:r w:rsidRPr="00863A21">
              <w:rPr>
                <w:rFonts w:ascii="Arial" w:hAnsi="Arial" w:cs="Arial"/>
                <w:b/>
                <w:bCs/>
                <w:i/>
                <w:iCs/>
                <w:color w:val="000000" w:themeColor="text1"/>
                <w:lang w:val="en-GB"/>
              </w:rPr>
              <w:t>rating</w:t>
            </w:r>
            <w:r w:rsidRPr="00863A21">
              <w:rPr>
                <w:rFonts w:ascii="Arial" w:hAnsi="Arial" w:cs="Arial"/>
                <w:color w:val="000000" w:themeColor="text1"/>
                <w:lang w:val="en-GB"/>
              </w:rPr>
              <w:t xml:space="preserve">. These are significant for </w:t>
            </w:r>
            <w:r w:rsidRPr="00863A21">
              <w:rPr>
                <w:rFonts w:ascii="Arial" w:hAnsi="Arial" w:cs="Arial"/>
                <w:b/>
                <w:bCs/>
                <w:i/>
                <w:iCs/>
                <w:color w:val="000000" w:themeColor="text1"/>
                <w:lang w:val="en-GB"/>
              </w:rPr>
              <w:t>reporting</w:t>
            </w:r>
            <w:r w:rsidRPr="00863A21">
              <w:rPr>
                <w:rFonts w:ascii="Arial" w:hAnsi="Arial" w:cs="Arial"/>
                <w:color w:val="000000" w:themeColor="text1"/>
                <w:lang w:val="en-GB"/>
              </w:rPr>
              <w:t xml:space="preserve"> the overall observation, which helped me in developing my </w:t>
            </w:r>
            <w:r w:rsidRPr="00863A21">
              <w:rPr>
                <w:rFonts w:ascii="Arial" w:hAnsi="Arial" w:cs="Arial"/>
                <w:b/>
                <w:bCs/>
                <w:i/>
                <w:iCs/>
                <w:color w:val="000000" w:themeColor="text1"/>
                <w:lang w:val="en-GB"/>
              </w:rPr>
              <w:t>“written communication skills”</w:t>
            </w:r>
            <w:r w:rsidRPr="00863A21">
              <w:rPr>
                <w:rFonts w:ascii="Arial" w:hAnsi="Arial" w:cs="Arial"/>
                <w:color w:val="000000" w:themeColor="text1"/>
                <w:lang w:val="en-GB"/>
              </w:rPr>
              <w:t xml:space="preserve"> as well.</w:t>
            </w:r>
          </w:p>
          <w:p w14:paraId="7B39A8DD" w14:textId="77777777" w:rsidR="00863A21" w:rsidRPr="00863A21" w:rsidRDefault="00863A21" w:rsidP="00863A21">
            <w:pPr>
              <w:pStyle w:val="NormalWeb"/>
              <w:spacing w:before="0" w:beforeAutospacing="0" w:after="200" w:afterAutospacing="0" w:line="360" w:lineRule="auto"/>
              <w:jc w:val="both"/>
              <w:rPr>
                <w:rFonts w:ascii="Arial" w:hAnsi="Arial" w:cs="Arial"/>
                <w:color w:val="000000" w:themeColor="text1"/>
                <w:lang w:val="en-GB"/>
              </w:rPr>
            </w:pPr>
            <w:r w:rsidRPr="00863A21">
              <w:rPr>
                <w:rFonts w:ascii="Arial" w:hAnsi="Arial" w:cs="Arial"/>
                <w:color w:val="000000" w:themeColor="text1"/>
                <w:lang w:val="en-GB"/>
              </w:rPr>
              <w:t xml:space="preserve">The </w:t>
            </w:r>
            <w:r w:rsidRPr="00863A21">
              <w:rPr>
                <w:rFonts w:ascii="Arial" w:hAnsi="Arial" w:cs="Arial"/>
                <w:b/>
                <w:bCs/>
                <w:i/>
                <w:iCs/>
                <w:color w:val="000000" w:themeColor="text1"/>
                <w:lang w:val="en-GB"/>
              </w:rPr>
              <w:t>SFBB guideline</w:t>
            </w:r>
            <w:r w:rsidRPr="00863A21">
              <w:rPr>
                <w:rFonts w:ascii="Arial" w:hAnsi="Arial" w:cs="Arial"/>
                <w:color w:val="000000" w:themeColor="text1"/>
                <w:lang w:val="en-GB"/>
              </w:rPr>
              <w:t xml:space="preserve"> gave proper knowledge on collecting information on the core areas like cross-communication, cooking, chilling, cleaning, using diary, and management. The respective pieces of information can be implemented in practical uses at the time of complying with </w:t>
            </w:r>
            <w:r w:rsidRPr="00863A21">
              <w:rPr>
                <w:rFonts w:ascii="Arial" w:hAnsi="Arial" w:cs="Arial"/>
                <w:b/>
                <w:bCs/>
                <w:i/>
                <w:iCs/>
                <w:color w:val="000000" w:themeColor="text1"/>
                <w:lang w:val="en-GB"/>
              </w:rPr>
              <w:t>food hygiene regulations</w:t>
            </w:r>
            <w:r w:rsidRPr="00863A21">
              <w:rPr>
                <w:rFonts w:ascii="Arial" w:hAnsi="Arial" w:cs="Arial"/>
                <w:color w:val="000000" w:themeColor="text1"/>
                <w:lang w:val="en-GB"/>
              </w:rPr>
              <w:t xml:space="preserve"> and preparing food and </w:t>
            </w:r>
            <w:r w:rsidRPr="00863A21">
              <w:rPr>
                <w:rFonts w:ascii="Arial" w:hAnsi="Arial" w:cs="Arial"/>
                <w:color w:val="000000" w:themeColor="text1"/>
                <w:lang w:val="en-GB"/>
              </w:rPr>
              <w:lastRenderedPageBreak/>
              <w:t xml:space="preserve">beverages by following </w:t>
            </w:r>
            <w:r w:rsidRPr="00863A21">
              <w:rPr>
                <w:rFonts w:ascii="Arial" w:hAnsi="Arial" w:cs="Arial"/>
                <w:b/>
                <w:bCs/>
                <w:i/>
                <w:iCs/>
                <w:color w:val="000000" w:themeColor="text1"/>
                <w:lang w:val="en-GB"/>
              </w:rPr>
              <w:t>food safety measures</w:t>
            </w:r>
            <w:r w:rsidRPr="00863A21">
              <w:rPr>
                <w:rFonts w:ascii="Arial" w:hAnsi="Arial" w:cs="Arial"/>
                <w:color w:val="000000" w:themeColor="text1"/>
                <w:lang w:val="en-GB"/>
              </w:rPr>
              <w:t xml:space="preserve"> (Yasmine Motarjemi, 2014). In addition, theoretical knowledge regarding food safety and food hygiene can be applied in order to train staff in a hospitality organisation and protect the market image of the business. These, in turn, can contribute to improving the score of</w:t>
            </w:r>
            <w:r w:rsidRPr="00863A21">
              <w:rPr>
                <w:rFonts w:ascii="Arial" w:hAnsi="Arial" w:cs="Arial"/>
                <w:b/>
                <w:bCs/>
                <w:i/>
                <w:iCs/>
                <w:color w:val="000000" w:themeColor="text1"/>
                <w:lang w:val="en-GB"/>
              </w:rPr>
              <w:t xml:space="preserve"> “food hygiene rating”</w:t>
            </w:r>
            <w:r w:rsidRPr="00863A21">
              <w:rPr>
                <w:rFonts w:ascii="Arial" w:hAnsi="Arial" w:cs="Arial"/>
                <w:color w:val="000000" w:themeColor="text1"/>
                <w:lang w:val="en-GB"/>
              </w:rPr>
              <w:t xml:space="preserve">, and thus, the overall business functions can also be improved. In this case, implementing the </w:t>
            </w:r>
            <w:r w:rsidRPr="00863A21">
              <w:rPr>
                <w:rFonts w:ascii="Arial" w:hAnsi="Arial" w:cs="Arial"/>
                <w:b/>
                <w:bCs/>
                <w:i/>
                <w:iCs/>
                <w:color w:val="000000" w:themeColor="text1"/>
                <w:lang w:val="en-GB"/>
              </w:rPr>
              <w:t>“Food Safety Act 1990”</w:t>
            </w:r>
            <w:r w:rsidRPr="00863A21">
              <w:rPr>
                <w:rFonts w:ascii="Arial" w:hAnsi="Arial" w:cs="Arial"/>
                <w:color w:val="000000" w:themeColor="text1"/>
                <w:lang w:val="en-GB"/>
              </w:rPr>
              <w:t xml:space="preserve"> is also a crucial need for the hospitality industry, as it helps in </w:t>
            </w:r>
            <w:r w:rsidRPr="00863A21">
              <w:rPr>
                <w:rFonts w:ascii="Arial" w:hAnsi="Arial" w:cs="Arial"/>
                <w:b/>
                <w:bCs/>
                <w:i/>
                <w:iCs/>
                <w:color w:val="000000" w:themeColor="text1"/>
                <w:lang w:val="en-GB"/>
              </w:rPr>
              <w:t>“preparing, presenting, labelling, storing, transporting, importing, and exporting food”</w:t>
            </w:r>
            <w:r w:rsidRPr="00863A21">
              <w:rPr>
                <w:rFonts w:ascii="Arial" w:hAnsi="Arial" w:cs="Arial"/>
                <w:color w:val="000000" w:themeColor="text1"/>
                <w:lang w:val="en-GB"/>
              </w:rPr>
              <w:t xml:space="preserve"> with sustainably safe measures (Food Standards Agency, 2020). Underpinning legal compliance of this Act is put into action by the </w:t>
            </w:r>
            <w:r w:rsidRPr="00863A21">
              <w:rPr>
                <w:rFonts w:ascii="Arial" w:hAnsi="Arial" w:cs="Arial"/>
                <w:b/>
                <w:bCs/>
                <w:i/>
                <w:iCs/>
                <w:color w:val="000000" w:themeColor="text1"/>
                <w:lang w:val="en-GB"/>
              </w:rPr>
              <w:t>“Food Standards Agency”</w:t>
            </w:r>
            <w:r w:rsidRPr="00863A21">
              <w:rPr>
                <w:rFonts w:ascii="Arial" w:hAnsi="Arial" w:cs="Arial"/>
                <w:color w:val="000000" w:themeColor="text1"/>
                <w:lang w:val="en-GB"/>
              </w:rPr>
              <w:t xml:space="preserve">, which is set up by law enforcement of the </w:t>
            </w:r>
            <w:r w:rsidRPr="00863A21">
              <w:rPr>
                <w:rFonts w:ascii="Arial" w:hAnsi="Arial" w:cs="Arial"/>
                <w:b/>
                <w:bCs/>
                <w:i/>
                <w:iCs/>
                <w:color w:val="000000" w:themeColor="text1"/>
                <w:lang w:val="en-GB"/>
              </w:rPr>
              <w:t>“Food Standards Act 1999”</w:t>
            </w:r>
            <w:r w:rsidRPr="00863A21">
              <w:rPr>
                <w:rFonts w:ascii="Arial" w:hAnsi="Arial" w:cs="Arial"/>
                <w:color w:val="000000" w:themeColor="text1"/>
                <w:lang w:val="en-GB"/>
              </w:rPr>
              <w:t xml:space="preserve"> (Food Standards Agency, 2020). The </w:t>
            </w:r>
            <w:r w:rsidRPr="00863A21">
              <w:rPr>
                <w:rFonts w:ascii="Arial" w:hAnsi="Arial" w:cs="Arial"/>
                <w:b/>
                <w:bCs/>
                <w:i/>
                <w:iCs/>
                <w:color w:val="000000" w:themeColor="text1"/>
                <w:lang w:val="en-GB"/>
              </w:rPr>
              <w:t>“Food Standards Act 1999”</w:t>
            </w:r>
            <w:r w:rsidRPr="00863A21">
              <w:rPr>
                <w:rFonts w:ascii="Arial" w:hAnsi="Arial" w:cs="Arial"/>
                <w:color w:val="000000" w:themeColor="text1"/>
                <w:lang w:val="en-GB"/>
              </w:rPr>
              <w:t xml:space="preserve"> is deployed to protect the interest of consumers through the production process and supply chain regarding food and beverages (Food Standards Agency, 2020).</w:t>
            </w:r>
          </w:p>
          <w:p w14:paraId="6E102177" w14:textId="77777777" w:rsidR="00863A21" w:rsidRPr="00863A21" w:rsidRDefault="00863A21" w:rsidP="00863A21">
            <w:pPr>
              <w:pStyle w:val="NormalWeb"/>
              <w:spacing w:before="0" w:beforeAutospacing="0" w:after="200" w:afterAutospacing="0" w:line="360" w:lineRule="auto"/>
              <w:jc w:val="both"/>
              <w:rPr>
                <w:rFonts w:ascii="Arial" w:hAnsi="Arial" w:cs="Arial"/>
                <w:color w:val="000000" w:themeColor="text1"/>
                <w:lang w:val="en-GB"/>
              </w:rPr>
            </w:pPr>
            <w:r w:rsidRPr="00863A21">
              <w:rPr>
                <w:rFonts w:ascii="Arial" w:hAnsi="Arial" w:cs="Arial"/>
                <w:color w:val="000000" w:themeColor="text1"/>
                <w:lang w:val="en-GB"/>
              </w:rPr>
              <w:t xml:space="preserve">The chosen topic is </w:t>
            </w:r>
            <w:r w:rsidRPr="00863A21">
              <w:rPr>
                <w:rFonts w:ascii="Arial" w:hAnsi="Arial" w:cs="Arial"/>
                <w:b/>
                <w:bCs/>
                <w:i/>
                <w:iCs/>
                <w:color w:val="000000" w:themeColor="text1"/>
                <w:lang w:val="en-GB"/>
              </w:rPr>
              <w:t>“Food and Beverage Operations”</w:t>
            </w:r>
            <w:r w:rsidRPr="00863A21">
              <w:rPr>
                <w:rFonts w:ascii="Arial" w:hAnsi="Arial" w:cs="Arial"/>
                <w:color w:val="000000" w:themeColor="text1"/>
                <w:lang w:val="en-GB"/>
              </w:rPr>
              <w:t xml:space="preserve"> regarding </w:t>
            </w:r>
            <w:r w:rsidRPr="00863A21">
              <w:rPr>
                <w:rFonts w:ascii="Arial" w:hAnsi="Arial" w:cs="Arial"/>
                <w:b/>
                <w:bCs/>
                <w:i/>
                <w:iCs/>
                <w:color w:val="000000" w:themeColor="text1"/>
                <w:lang w:val="en-GB"/>
              </w:rPr>
              <w:t>“Food and Beverage Operations”</w:t>
            </w:r>
            <w:r w:rsidRPr="00863A21">
              <w:rPr>
                <w:rFonts w:ascii="Arial" w:hAnsi="Arial" w:cs="Arial"/>
                <w:color w:val="000000" w:themeColor="text1"/>
                <w:lang w:val="en-GB"/>
              </w:rPr>
              <w:t xml:space="preserve">. The topic is important for investigating the quality and hygiene of food and beverages. This is because quality control in the food and beverage industry guarantees producing good quality food items and beverages (Davis, 2008). Therefore, monitoring and managing quality of food and beverages is immensely significant in attracting and enlarging the base of customers thereby raising the overall sales volume (Cousins </w:t>
            </w:r>
            <w:r w:rsidRPr="00863A21">
              <w:rPr>
                <w:rFonts w:ascii="Arial" w:hAnsi="Arial" w:cs="Arial"/>
                <w:i/>
                <w:iCs/>
                <w:color w:val="000000" w:themeColor="text1"/>
                <w:lang w:val="en-GB"/>
              </w:rPr>
              <w:t>et al.</w:t>
            </w:r>
            <w:r w:rsidRPr="00863A21">
              <w:rPr>
                <w:rFonts w:ascii="Arial" w:hAnsi="Arial" w:cs="Arial"/>
                <w:color w:val="000000" w:themeColor="text1"/>
                <w:lang w:val="en-GB"/>
              </w:rPr>
              <w:t xml:space="preserve"> 2011). Underlying procedures of inspecting, rating, and reporting are significantly crucial for catering to the existing demand for food and beverages offered by the hospitality industry (Zutshi, 2019). The hospitality industry is completely dependent on its effectiveness of maintaining quality of food and beverages. In this case, it is highly important for the industry to incorporate the </w:t>
            </w:r>
            <w:r w:rsidRPr="00863A21">
              <w:rPr>
                <w:rFonts w:ascii="Arial" w:hAnsi="Arial" w:cs="Arial"/>
                <w:b/>
                <w:bCs/>
                <w:i/>
                <w:iCs/>
                <w:color w:val="000000" w:themeColor="text1"/>
                <w:lang w:val="en-GB"/>
              </w:rPr>
              <w:t>“Total Quality Management”</w:t>
            </w:r>
            <w:r w:rsidRPr="00863A21">
              <w:rPr>
                <w:rFonts w:ascii="Arial" w:hAnsi="Arial" w:cs="Arial"/>
                <w:color w:val="000000" w:themeColor="text1"/>
                <w:lang w:val="en-GB"/>
              </w:rPr>
              <w:t xml:space="preserve"> model in order to rescue chances of risks regarding food and beverages (Johnston, 2012). In addition, quality maintenance is effective for creating new preferences amongst target customers towards the products. </w:t>
            </w:r>
          </w:p>
          <w:p w14:paraId="7BE0C3BE" w14:textId="77777777" w:rsidR="00863A21" w:rsidRPr="00863A21" w:rsidRDefault="00863A21" w:rsidP="00863A21">
            <w:pPr>
              <w:pStyle w:val="NormalWeb"/>
              <w:spacing w:before="0" w:beforeAutospacing="0" w:after="200" w:afterAutospacing="0" w:line="360" w:lineRule="auto"/>
              <w:jc w:val="both"/>
              <w:rPr>
                <w:rFonts w:ascii="Arial" w:hAnsi="Arial" w:cs="Arial"/>
                <w:color w:val="000000" w:themeColor="text1"/>
                <w:lang w:val="en-GB"/>
              </w:rPr>
            </w:pPr>
            <w:r w:rsidRPr="00863A21">
              <w:rPr>
                <w:rFonts w:ascii="Arial" w:hAnsi="Arial" w:cs="Arial"/>
                <w:color w:val="000000" w:themeColor="text1"/>
                <w:lang w:val="en-GB"/>
              </w:rPr>
              <w:t xml:space="preserve">During the learning module, I have effectively developed significant skills regarding inspecting, rating, and reporting food hygiene. I gained knowledge on incorporating the </w:t>
            </w:r>
            <w:r w:rsidRPr="00863A21">
              <w:rPr>
                <w:rFonts w:ascii="Arial" w:hAnsi="Arial" w:cs="Arial"/>
                <w:b/>
                <w:bCs/>
                <w:i/>
                <w:iCs/>
                <w:color w:val="000000" w:themeColor="text1"/>
                <w:lang w:val="en-GB"/>
              </w:rPr>
              <w:t>“Food Safety Act 1990”</w:t>
            </w:r>
            <w:r w:rsidRPr="00863A21">
              <w:rPr>
                <w:rFonts w:ascii="Arial" w:hAnsi="Arial" w:cs="Arial"/>
                <w:color w:val="000000" w:themeColor="text1"/>
                <w:lang w:val="en-GB"/>
              </w:rPr>
              <w:t xml:space="preserve"> and the </w:t>
            </w:r>
            <w:r w:rsidRPr="00863A21">
              <w:rPr>
                <w:rFonts w:ascii="Arial" w:hAnsi="Arial" w:cs="Arial"/>
                <w:b/>
                <w:bCs/>
                <w:i/>
                <w:iCs/>
                <w:color w:val="000000" w:themeColor="text1"/>
                <w:lang w:val="en-GB"/>
              </w:rPr>
              <w:t>“Food Standards Act 1999”</w:t>
            </w:r>
            <w:r w:rsidRPr="00863A21">
              <w:rPr>
                <w:rFonts w:ascii="Arial" w:hAnsi="Arial" w:cs="Arial"/>
                <w:color w:val="000000" w:themeColor="text1"/>
                <w:lang w:val="en-GB"/>
              </w:rPr>
              <w:t xml:space="preserve"> in line with the </w:t>
            </w:r>
            <w:r w:rsidRPr="00863A21">
              <w:rPr>
                <w:rFonts w:ascii="Arial" w:hAnsi="Arial" w:cs="Arial"/>
                <w:b/>
                <w:bCs/>
                <w:i/>
                <w:iCs/>
                <w:color w:val="000000" w:themeColor="text1"/>
                <w:lang w:val="en-GB"/>
              </w:rPr>
              <w:t>“Total Quality Management”</w:t>
            </w:r>
            <w:r w:rsidRPr="00863A21">
              <w:rPr>
                <w:rFonts w:ascii="Arial" w:hAnsi="Arial" w:cs="Arial"/>
                <w:color w:val="000000" w:themeColor="text1"/>
                <w:lang w:val="en-GB"/>
              </w:rPr>
              <w:t xml:space="preserve"> model for tracking and improving the quality of food. I </w:t>
            </w:r>
            <w:r w:rsidRPr="00863A21">
              <w:rPr>
                <w:rFonts w:ascii="Arial" w:hAnsi="Arial" w:cs="Arial"/>
                <w:color w:val="000000" w:themeColor="text1"/>
                <w:lang w:val="en-GB"/>
              </w:rPr>
              <w:lastRenderedPageBreak/>
              <w:t>also understood the process of maintaining food safety measures at the time of producing, packaging, storing, and delivering food and beverages.</w:t>
            </w:r>
          </w:p>
          <w:p w14:paraId="78C2576A" w14:textId="77777777" w:rsidR="00863A21" w:rsidRPr="00863A21" w:rsidRDefault="00863A21" w:rsidP="00863A21">
            <w:pPr>
              <w:pStyle w:val="NormalWeb"/>
              <w:spacing w:before="0" w:beforeAutospacing="0" w:after="200" w:afterAutospacing="0" w:line="360" w:lineRule="auto"/>
              <w:jc w:val="both"/>
              <w:rPr>
                <w:rFonts w:ascii="Arial" w:hAnsi="Arial" w:cs="Arial"/>
                <w:color w:val="000000" w:themeColor="text1"/>
                <w:lang w:val="en-GB"/>
              </w:rPr>
            </w:pPr>
            <w:r w:rsidRPr="00863A21">
              <w:rPr>
                <w:rFonts w:ascii="Arial" w:hAnsi="Arial" w:cs="Arial"/>
                <w:color w:val="000000" w:themeColor="text1"/>
                <w:lang w:val="en-GB"/>
              </w:rPr>
              <w:t>The topic that I have chosen is congruent to the responsibilities of a Food Inspector, as I myself want to be a Food Inspector in the future. I will be applying the food safety measures to make sure that food and beverages will be produced with the best quality ingredients so that consumers do not have to face any type of hazards regarding their consumption. I will also apply my skills in inspecting the quality and hygiene of food and beverages and also rating the same based on the industrial standards.</w:t>
            </w:r>
          </w:p>
          <w:p w14:paraId="5490D3CC" w14:textId="2896BA01" w:rsidR="00863A21" w:rsidRPr="00863A21" w:rsidRDefault="00863A21" w:rsidP="00863A21">
            <w:pPr>
              <w:pStyle w:val="NormalWeb"/>
              <w:spacing w:before="0" w:beforeAutospacing="0" w:after="200" w:afterAutospacing="0" w:line="360" w:lineRule="auto"/>
              <w:jc w:val="both"/>
              <w:rPr>
                <w:rFonts w:ascii="Arial" w:hAnsi="Arial" w:cs="Arial"/>
                <w:color w:val="000000" w:themeColor="text1"/>
                <w:lang w:val="en-GB"/>
              </w:rPr>
            </w:pPr>
            <w:r w:rsidRPr="00863A21">
              <w:rPr>
                <w:rFonts w:ascii="Arial" w:hAnsi="Arial" w:cs="Arial"/>
                <w:color w:val="000000" w:themeColor="text1"/>
                <w:lang w:val="en-GB"/>
              </w:rPr>
              <w:t>The study provides an idea regarding the quality and hygiene management for food and beverages. I developed a range of skills along with the process of comprehending the relevant legal compliance in order to improve the overall quality of hospitality services.</w:t>
            </w:r>
          </w:p>
        </w:tc>
      </w:tr>
    </w:tbl>
    <w:p w14:paraId="4356C963" w14:textId="5E944B24" w:rsidR="00863A21" w:rsidRPr="00863A21" w:rsidRDefault="00863A21" w:rsidP="00863A21">
      <w:pPr>
        <w:rPr>
          <w:rFonts w:ascii="Arial" w:hAnsi="Arial" w:cs="Arial"/>
          <w:b/>
          <w:bCs/>
          <w:color w:val="000000" w:themeColor="text1"/>
          <w:sz w:val="32"/>
          <w:szCs w:val="32"/>
        </w:rPr>
      </w:pPr>
    </w:p>
    <w:p w14:paraId="7A1386E8" w14:textId="77777777" w:rsidR="00863A21" w:rsidRPr="00863A21" w:rsidRDefault="00863A21">
      <w:pPr>
        <w:rPr>
          <w:rFonts w:ascii="Arial" w:hAnsi="Arial" w:cs="Arial"/>
          <w:b/>
          <w:bCs/>
          <w:color w:val="000000" w:themeColor="text1"/>
          <w:sz w:val="32"/>
          <w:szCs w:val="32"/>
        </w:rPr>
      </w:pPr>
      <w:r w:rsidRPr="00863A21">
        <w:rPr>
          <w:rFonts w:ascii="Arial" w:hAnsi="Arial" w:cs="Arial"/>
          <w:b/>
          <w:bCs/>
          <w:color w:val="000000" w:themeColor="text1"/>
          <w:sz w:val="32"/>
          <w:szCs w:val="32"/>
        </w:rPr>
        <w:br w:type="page"/>
      </w:r>
    </w:p>
    <w:p w14:paraId="5A2B6286" w14:textId="77777777" w:rsidR="00863A21" w:rsidRPr="00863A21" w:rsidRDefault="00863A21" w:rsidP="00863A21">
      <w:pPr>
        <w:pStyle w:val="NormalWeb"/>
        <w:spacing w:before="0" w:after="200" w:line="360" w:lineRule="auto"/>
        <w:jc w:val="both"/>
        <w:rPr>
          <w:rFonts w:ascii="Arial" w:hAnsi="Arial" w:cs="Arial"/>
          <w:b/>
          <w:bCs/>
          <w:color w:val="000000" w:themeColor="text1"/>
          <w:lang w:val="en-GB"/>
        </w:rPr>
      </w:pPr>
      <w:r w:rsidRPr="00863A21">
        <w:rPr>
          <w:rFonts w:ascii="Arial" w:hAnsi="Arial" w:cs="Arial"/>
          <w:b/>
          <w:bCs/>
          <w:color w:val="000000" w:themeColor="text1"/>
          <w:lang w:val="en-GB"/>
        </w:rPr>
        <w:lastRenderedPageBreak/>
        <w:t>Reference List</w:t>
      </w:r>
    </w:p>
    <w:p w14:paraId="5F08F69A" w14:textId="77777777" w:rsidR="00863A21" w:rsidRPr="00863A21" w:rsidRDefault="00863A21" w:rsidP="00863A21">
      <w:pPr>
        <w:spacing w:before="240" w:line="360" w:lineRule="auto"/>
        <w:jc w:val="both"/>
        <w:rPr>
          <w:rFonts w:ascii="Arial" w:hAnsi="Arial" w:cs="Arial"/>
          <w:color w:val="000000" w:themeColor="text1"/>
          <w:sz w:val="24"/>
          <w:szCs w:val="24"/>
          <w:lang w:val="en-GB"/>
        </w:rPr>
      </w:pPr>
      <w:r w:rsidRPr="00863A21">
        <w:rPr>
          <w:rFonts w:ascii="Arial" w:hAnsi="Arial" w:cs="Arial"/>
          <w:color w:val="000000" w:themeColor="text1"/>
          <w:sz w:val="24"/>
          <w:szCs w:val="24"/>
          <w:lang w:val="en-GB"/>
        </w:rPr>
        <w:t xml:space="preserve">Cousins, J., Foskett, D. and Pennington, A. (2011). </w:t>
      </w:r>
      <w:r w:rsidRPr="00863A21">
        <w:rPr>
          <w:rFonts w:ascii="Arial" w:hAnsi="Arial" w:cs="Arial"/>
          <w:i/>
          <w:iCs/>
          <w:color w:val="000000" w:themeColor="text1"/>
          <w:sz w:val="24"/>
          <w:szCs w:val="24"/>
          <w:lang w:val="en-GB"/>
        </w:rPr>
        <w:t xml:space="preserve">Food and beverage management: For the hospitality, tourism and event industries </w:t>
      </w:r>
      <w:r w:rsidRPr="00863A21">
        <w:rPr>
          <w:rFonts w:ascii="Arial" w:hAnsi="Arial" w:cs="Arial"/>
          <w:color w:val="000000" w:themeColor="text1"/>
          <w:sz w:val="24"/>
          <w:szCs w:val="24"/>
          <w:lang w:val="en-GB"/>
        </w:rPr>
        <w:t>(3rd ed.). Oxford: Goodfellow.</w:t>
      </w:r>
    </w:p>
    <w:p w14:paraId="75E95479" w14:textId="77777777" w:rsidR="00863A21" w:rsidRPr="00863A21" w:rsidRDefault="00863A21" w:rsidP="00863A21">
      <w:pPr>
        <w:spacing w:before="240" w:line="360" w:lineRule="auto"/>
        <w:jc w:val="both"/>
        <w:rPr>
          <w:rFonts w:ascii="Arial" w:hAnsi="Arial" w:cs="Arial"/>
          <w:color w:val="000000" w:themeColor="text1"/>
          <w:sz w:val="24"/>
          <w:szCs w:val="24"/>
          <w:lang w:val="en-GB"/>
        </w:rPr>
      </w:pPr>
      <w:r w:rsidRPr="00863A21">
        <w:rPr>
          <w:rFonts w:ascii="Arial" w:hAnsi="Arial" w:cs="Arial"/>
          <w:color w:val="000000" w:themeColor="text1"/>
          <w:sz w:val="24"/>
          <w:szCs w:val="24"/>
          <w:lang w:val="en-GB"/>
        </w:rPr>
        <w:t xml:space="preserve">Davis, B. (2008). </w:t>
      </w:r>
      <w:r w:rsidRPr="00863A21">
        <w:rPr>
          <w:rFonts w:ascii="Arial" w:hAnsi="Arial" w:cs="Arial"/>
          <w:i/>
          <w:iCs/>
          <w:color w:val="000000" w:themeColor="text1"/>
          <w:sz w:val="24"/>
          <w:szCs w:val="24"/>
          <w:lang w:val="en-GB"/>
        </w:rPr>
        <w:t>Food and beverage management</w:t>
      </w:r>
      <w:r w:rsidRPr="00863A21">
        <w:rPr>
          <w:rFonts w:ascii="Arial" w:hAnsi="Arial" w:cs="Arial"/>
          <w:color w:val="000000" w:themeColor="text1"/>
          <w:sz w:val="24"/>
          <w:szCs w:val="24"/>
          <w:lang w:val="en-GB"/>
        </w:rPr>
        <w:t>. 4th ed. /. Peter. Alcott, Ioannis. Pantelidis, &amp; Andrew. Lockwood (eds.). Oxford: Butterworth-Heinemann.</w:t>
      </w:r>
    </w:p>
    <w:p w14:paraId="135AA0B1" w14:textId="77777777" w:rsidR="00863A21" w:rsidRPr="00863A21" w:rsidRDefault="00863A21" w:rsidP="00863A21">
      <w:pPr>
        <w:spacing w:before="240" w:line="360" w:lineRule="auto"/>
        <w:jc w:val="both"/>
        <w:rPr>
          <w:rFonts w:ascii="Arial" w:hAnsi="Arial" w:cs="Arial"/>
          <w:color w:val="000000" w:themeColor="text1"/>
          <w:sz w:val="24"/>
          <w:szCs w:val="24"/>
          <w:lang w:val="en-GB"/>
        </w:rPr>
      </w:pPr>
      <w:r w:rsidRPr="00863A21">
        <w:rPr>
          <w:rFonts w:ascii="Arial" w:hAnsi="Arial" w:cs="Arial"/>
          <w:color w:val="000000" w:themeColor="text1"/>
          <w:sz w:val="24"/>
          <w:szCs w:val="24"/>
          <w:lang w:val="en-GB"/>
        </w:rPr>
        <w:t xml:space="preserve">Food Standards Agency (2020). </w:t>
      </w:r>
      <w:r w:rsidRPr="00863A21">
        <w:rPr>
          <w:rFonts w:ascii="Arial" w:hAnsi="Arial" w:cs="Arial"/>
          <w:i/>
          <w:iCs/>
          <w:color w:val="000000" w:themeColor="text1"/>
          <w:sz w:val="24"/>
          <w:szCs w:val="24"/>
          <w:lang w:val="en-GB"/>
        </w:rPr>
        <w:t>Key regulations</w:t>
      </w:r>
      <w:r w:rsidRPr="00863A21">
        <w:rPr>
          <w:rFonts w:ascii="Arial" w:hAnsi="Arial" w:cs="Arial"/>
          <w:color w:val="000000" w:themeColor="text1"/>
          <w:sz w:val="24"/>
          <w:szCs w:val="24"/>
          <w:lang w:val="en-GB"/>
        </w:rPr>
        <w:t>. Available from: https://www.food.gov.uk/about-us/key-regulations [Accessed on 3 January 2022]</w:t>
      </w:r>
    </w:p>
    <w:p w14:paraId="16D36E29" w14:textId="77777777" w:rsidR="00863A21" w:rsidRPr="00863A21" w:rsidRDefault="00863A21" w:rsidP="00863A21">
      <w:pPr>
        <w:spacing w:before="240" w:line="360" w:lineRule="auto"/>
        <w:jc w:val="both"/>
        <w:rPr>
          <w:rFonts w:ascii="Arial" w:hAnsi="Arial" w:cs="Arial"/>
          <w:color w:val="000000" w:themeColor="text1"/>
          <w:sz w:val="24"/>
          <w:szCs w:val="24"/>
          <w:lang w:val="en-GB"/>
        </w:rPr>
      </w:pPr>
      <w:r w:rsidRPr="00863A21">
        <w:rPr>
          <w:rFonts w:ascii="Arial" w:hAnsi="Arial" w:cs="Arial"/>
          <w:color w:val="000000" w:themeColor="text1"/>
          <w:sz w:val="24"/>
          <w:szCs w:val="24"/>
          <w:lang w:val="en-GB"/>
        </w:rPr>
        <w:t xml:space="preserve">Johnston, R. (2012). </w:t>
      </w:r>
      <w:r w:rsidRPr="00863A21">
        <w:rPr>
          <w:rFonts w:ascii="Arial" w:hAnsi="Arial" w:cs="Arial"/>
          <w:i/>
          <w:iCs/>
          <w:color w:val="000000" w:themeColor="text1"/>
          <w:sz w:val="24"/>
          <w:szCs w:val="24"/>
          <w:lang w:val="en-GB"/>
        </w:rPr>
        <w:t>Service operations management: improving service delivery</w:t>
      </w:r>
      <w:r w:rsidRPr="00863A21">
        <w:rPr>
          <w:rFonts w:ascii="Arial" w:hAnsi="Arial" w:cs="Arial"/>
          <w:color w:val="000000" w:themeColor="text1"/>
          <w:sz w:val="24"/>
          <w:szCs w:val="24"/>
          <w:lang w:val="en-GB"/>
        </w:rPr>
        <w:t>. 4th ed. Michael Shulver &amp; Graham Clark (eds.). Harlow, England: Pearson.</w:t>
      </w:r>
    </w:p>
    <w:p w14:paraId="4835D5CA" w14:textId="77777777" w:rsidR="00863A21" w:rsidRPr="00863A21" w:rsidRDefault="00863A21" w:rsidP="00863A21">
      <w:pPr>
        <w:spacing w:before="240" w:line="360" w:lineRule="auto"/>
        <w:jc w:val="both"/>
        <w:rPr>
          <w:rFonts w:ascii="Arial" w:hAnsi="Arial" w:cs="Arial"/>
          <w:color w:val="000000" w:themeColor="text1"/>
          <w:sz w:val="24"/>
          <w:szCs w:val="24"/>
          <w:lang w:val="en-GB"/>
        </w:rPr>
      </w:pPr>
      <w:r w:rsidRPr="00863A21">
        <w:rPr>
          <w:rFonts w:ascii="Arial" w:hAnsi="Arial" w:cs="Arial"/>
          <w:color w:val="000000" w:themeColor="text1"/>
          <w:sz w:val="24"/>
          <w:szCs w:val="24"/>
          <w:lang w:val="en-GB"/>
        </w:rPr>
        <w:t xml:space="preserve">Yasmine Motarjemi, H.L. (2014). </w:t>
      </w:r>
      <w:r w:rsidRPr="00863A21">
        <w:rPr>
          <w:rFonts w:ascii="Arial" w:hAnsi="Arial" w:cs="Arial"/>
          <w:i/>
          <w:iCs/>
          <w:color w:val="000000" w:themeColor="text1"/>
          <w:sz w:val="24"/>
          <w:szCs w:val="24"/>
          <w:lang w:val="en-GB"/>
        </w:rPr>
        <w:t>Food safety management: a practical guide for the food industry</w:t>
      </w:r>
      <w:r w:rsidRPr="00863A21">
        <w:rPr>
          <w:rFonts w:ascii="Arial" w:hAnsi="Arial" w:cs="Arial"/>
          <w:color w:val="000000" w:themeColor="text1"/>
          <w:sz w:val="24"/>
          <w:szCs w:val="24"/>
          <w:lang w:val="en-GB"/>
        </w:rPr>
        <w:t>. Illustrated edition. Yasmine. Motarjemi &amp; H. L. M. Lelieveld (eds.). Amsterdam: Academic Press.</w:t>
      </w:r>
    </w:p>
    <w:p w14:paraId="54577761" w14:textId="77777777" w:rsidR="00863A21" w:rsidRPr="00863A21" w:rsidRDefault="00863A21" w:rsidP="00863A21">
      <w:pPr>
        <w:spacing w:before="240" w:line="360" w:lineRule="auto"/>
        <w:jc w:val="both"/>
        <w:rPr>
          <w:rFonts w:ascii="Arial" w:hAnsi="Arial" w:cs="Arial"/>
          <w:color w:val="000000" w:themeColor="text1"/>
          <w:sz w:val="24"/>
          <w:szCs w:val="24"/>
          <w:lang w:val="en-GB"/>
        </w:rPr>
      </w:pPr>
      <w:r w:rsidRPr="00863A21">
        <w:rPr>
          <w:rFonts w:ascii="Arial" w:hAnsi="Arial" w:cs="Arial"/>
          <w:color w:val="000000" w:themeColor="text1"/>
          <w:sz w:val="24"/>
          <w:szCs w:val="24"/>
          <w:lang w:val="en-GB"/>
        </w:rPr>
        <w:t xml:space="preserve">Zutshi, A. (2019). </w:t>
      </w:r>
      <w:r w:rsidRPr="00863A21">
        <w:rPr>
          <w:rFonts w:ascii="Arial" w:hAnsi="Arial" w:cs="Arial"/>
          <w:i/>
          <w:iCs/>
          <w:color w:val="000000" w:themeColor="text1"/>
          <w:sz w:val="24"/>
          <w:szCs w:val="24"/>
          <w:lang w:val="en-GB"/>
        </w:rPr>
        <w:t>How to develop well-informed and assured teams to embed food safety compliance in the UK catering and hospitality industry</w:t>
      </w:r>
      <w:r w:rsidRPr="00863A21">
        <w:rPr>
          <w:rFonts w:ascii="Arial" w:hAnsi="Arial" w:cs="Arial"/>
          <w:color w:val="000000" w:themeColor="text1"/>
          <w:sz w:val="24"/>
          <w:szCs w:val="24"/>
          <w:lang w:val="en-GB"/>
        </w:rPr>
        <w:t>. Perspectives in public health. [Online] 139 (6), 294–295. Available from: doi:10.1177/1757913919872783.</w:t>
      </w:r>
    </w:p>
    <w:p w14:paraId="0DA06D78" w14:textId="77777777" w:rsidR="0014100E" w:rsidRPr="00863A21" w:rsidRDefault="0014100E" w:rsidP="00863A21">
      <w:pPr>
        <w:rPr>
          <w:rFonts w:ascii="Arial" w:hAnsi="Arial" w:cs="Arial"/>
          <w:b/>
          <w:bCs/>
          <w:color w:val="000000" w:themeColor="text1"/>
          <w:sz w:val="32"/>
          <w:szCs w:val="32"/>
        </w:rPr>
      </w:pPr>
    </w:p>
    <w:sectPr w:rsidR="0014100E" w:rsidRPr="00863A21" w:rsidSect="00863A21">
      <w:footerReference w:type="default" r:id="rId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856AC1" w14:textId="77777777" w:rsidR="009671F1" w:rsidRDefault="009671F1" w:rsidP="00863A21">
      <w:pPr>
        <w:spacing w:after="0" w:line="240" w:lineRule="auto"/>
      </w:pPr>
      <w:r>
        <w:separator/>
      </w:r>
    </w:p>
  </w:endnote>
  <w:endnote w:type="continuationSeparator" w:id="0">
    <w:p w14:paraId="4205D42B" w14:textId="77777777" w:rsidR="009671F1" w:rsidRDefault="009671F1" w:rsidP="00863A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panose1 w:val="020F0502020204030204"/>
    <w:charset w:val="00"/>
    <w:family w:val="swiss"/>
    <w:pitch w:val="variable"/>
    <w:sig w:usb0="E10002FF" w:usb1="5000E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852813"/>
      <w:docPartObj>
        <w:docPartGallery w:val="Page Numbers (Bottom of Page)"/>
        <w:docPartUnique/>
      </w:docPartObj>
    </w:sdtPr>
    <w:sdtEndPr>
      <w:rPr>
        <w:rFonts w:ascii="Arial" w:hAnsi="Arial" w:cs="Arial"/>
        <w:noProof/>
        <w:sz w:val="20"/>
        <w:szCs w:val="20"/>
      </w:rPr>
    </w:sdtEndPr>
    <w:sdtContent>
      <w:p w14:paraId="48CB578E" w14:textId="39621B37" w:rsidR="00863A21" w:rsidRPr="00863A21" w:rsidRDefault="00863A21">
        <w:pPr>
          <w:pStyle w:val="Footer"/>
          <w:jc w:val="right"/>
          <w:rPr>
            <w:rFonts w:ascii="Arial" w:hAnsi="Arial" w:cs="Arial"/>
            <w:sz w:val="20"/>
            <w:szCs w:val="20"/>
          </w:rPr>
        </w:pPr>
        <w:r w:rsidRPr="00863A21">
          <w:rPr>
            <w:rFonts w:ascii="Arial" w:hAnsi="Arial" w:cs="Arial"/>
            <w:sz w:val="20"/>
            <w:szCs w:val="20"/>
          </w:rPr>
          <w:fldChar w:fldCharType="begin"/>
        </w:r>
        <w:r w:rsidRPr="00863A21">
          <w:rPr>
            <w:rFonts w:ascii="Arial" w:hAnsi="Arial" w:cs="Arial"/>
            <w:sz w:val="20"/>
            <w:szCs w:val="20"/>
          </w:rPr>
          <w:instrText xml:space="preserve"> PAGE   \* MERGEFORMAT </w:instrText>
        </w:r>
        <w:r w:rsidRPr="00863A21">
          <w:rPr>
            <w:rFonts w:ascii="Arial" w:hAnsi="Arial" w:cs="Arial"/>
            <w:sz w:val="20"/>
            <w:szCs w:val="20"/>
          </w:rPr>
          <w:fldChar w:fldCharType="separate"/>
        </w:r>
        <w:r w:rsidRPr="00863A21">
          <w:rPr>
            <w:rFonts w:ascii="Arial" w:hAnsi="Arial" w:cs="Arial"/>
            <w:noProof/>
            <w:sz w:val="20"/>
            <w:szCs w:val="20"/>
          </w:rPr>
          <w:t>2</w:t>
        </w:r>
        <w:r w:rsidRPr="00863A21">
          <w:rPr>
            <w:rFonts w:ascii="Arial" w:hAnsi="Arial" w:cs="Arial"/>
            <w:noProof/>
            <w:sz w:val="20"/>
            <w:szCs w:val="20"/>
          </w:rPr>
          <w:fldChar w:fldCharType="end"/>
        </w:r>
      </w:p>
    </w:sdtContent>
  </w:sdt>
  <w:p w14:paraId="109143CA" w14:textId="77777777" w:rsidR="00863A21" w:rsidRDefault="00863A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89B6AD" w14:textId="77777777" w:rsidR="009671F1" w:rsidRDefault="009671F1" w:rsidP="00863A21">
      <w:pPr>
        <w:spacing w:after="0" w:line="240" w:lineRule="auto"/>
      </w:pPr>
      <w:r>
        <w:separator/>
      </w:r>
    </w:p>
  </w:footnote>
  <w:footnote w:type="continuationSeparator" w:id="0">
    <w:p w14:paraId="79A8A874" w14:textId="77777777" w:rsidR="009671F1" w:rsidRDefault="009671F1" w:rsidP="00863A2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282"/>
    <w:rsid w:val="00131137"/>
    <w:rsid w:val="0014100E"/>
    <w:rsid w:val="003278DE"/>
    <w:rsid w:val="00823282"/>
    <w:rsid w:val="00863A21"/>
    <w:rsid w:val="008F7C13"/>
    <w:rsid w:val="009671F1"/>
    <w:rsid w:val="00AE0375"/>
    <w:rsid w:val="00C86DB5"/>
    <w:rsid w:val="00D26E8B"/>
    <w:rsid w:val="00EE0D26"/>
    <w:rsid w:val="00F15C6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AAE6C"/>
  <w15:chartTrackingRefBased/>
  <w15:docId w15:val="{1B6842FF-EA27-46FF-A1BC-80CF59233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rsid w:val="00EE0D26"/>
    <w:pPr>
      <w:keepNext/>
      <w:keepLines/>
      <w:spacing w:before="400" w:after="120" w:line="240" w:lineRule="auto"/>
      <w:jc w:val="both"/>
      <w:outlineLvl w:val="0"/>
    </w:pPr>
    <w:rPr>
      <w:rFonts w:ascii="Times New Roman" w:eastAsia="Arial" w:hAnsi="Times New Roman" w:cs="Times New Roman"/>
      <w:b/>
      <w:sz w:val="28"/>
      <w:shd w:val="clear" w:color="auto" w:fill="FFFFFF"/>
      <w:lang w:val="en-US" w:eastAsia="en-IN"/>
    </w:rPr>
  </w:style>
  <w:style w:type="paragraph" w:styleId="Heading6">
    <w:name w:val="heading 6"/>
    <w:basedOn w:val="Normal"/>
    <w:link w:val="Heading6Char"/>
    <w:uiPriority w:val="9"/>
    <w:unhideWhenUsed/>
    <w:qFormat/>
    <w:rsid w:val="00863A21"/>
    <w:pPr>
      <w:widowControl w:val="0"/>
      <w:autoSpaceDE w:val="0"/>
      <w:autoSpaceDN w:val="0"/>
      <w:spacing w:after="0" w:line="240" w:lineRule="auto"/>
      <w:ind w:left="1200" w:hanging="361"/>
      <w:jc w:val="both"/>
      <w:outlineLvl w:val="5"/>
    </w:pPr>
    <w:rPr>
      <w:rFonts w:ascii="Carlito" w:eastAsia="Carlito" w:hAnsi="Carlito" w:cs="Carlito"/>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E0D26"/>
    <w:rPr>
      <w:rFonts w:ascii="Times New Roman" w:eastAsia="Arial" w:hAnsi="Times New Roman" w:cs="Times New Roman"/>
      <w:b/>
      <w:sz w:val="28"/>
      <w:lang w:val="en-US" w:eastAsia="en-IN"/>
    </w:rPr>
  </w:style>
  <w:style w:type="paragraph" w:styleId="Header">
    <w:name w:val="header"/>
    <w:basedOn w:val="Normal"/>
    <w:link w:val="HeaderChar"/>
    <w:uiPriority w:val="99"/>
    <w:unhideWhenUsed/>
    <w:rsid w:val="00863A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3A21"/>
  </w:style>
  <w:style w:type="paragraph" w:styleId="Footer">
    <w:name w:val="footer"/>
    <w:basedOn w:val="Normal"/>
    <w:link w:val="FooterChar"/>
    <w:uiPriority w:val="99"/>
    <w:unhideWhenUsed/>
    <w:rsid w:val="00863A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3A21"/>
  </w:style>
  <w:style w:type="character" w:customStyle="1" w:styleId="Heading6Char">
    <w:name w:val="Heading 6 Char"/>
    <w:basedOn w:val="DefaultParagraphFont"/>
    <w:link w:val="Heading6"/>
    <w:uiPriority w:val="9"/>
    <w:rsid w:val="00863A21"/>
    <w:rPr>
      <w:rFonts w:ascii="Carlito" w:eastAsia="Carlito" w:hAnsi="Carlito" w:cs="Carlito"/>
      <w:b/>
      <w:bCs/>
      <w:lang w:val="en-US"/>
    </w:rPr>
  </w:style>
  <w:style w:type="paragraph" w:styleId="BodyText">
    <w:name w:val="Body Text"/>
    <w:basedOn w:val="Normal"/>
    <w:link w:val="BodyTextChar"/>
    <w:uiPriority w:val="1"/>
    <w:qFormat/>
    <w:rsid w:val="00863A21"/>
    <w:pPr>
      <w:widowControl w:val="0"/>
      <w:autoSpaceDE w:val="0"/>
      <w:autoSpaceDN w:val="0"/>
      <w:spacing w:after="0" w:line="240" w:lineRule="auto"/>
    </w:pPr>
    <w:rPr>
      <w:rFonts w:ascii="Carlito" w:eastAsia="Carlito" w:hAnsi="Carlito" w:cs="Carlito"/>
      <w:lang w:val="en-US"/>
    </w:rPr>
  </w:style>
  <w:style w:type="character" w:customStyle="1" w:styleId="BodyTextChar">
    <w:name w:val="Body Text Char"/>
    <w:basedOn w:val="DefaultParagraphFont"/>
    <w:link w:val="BodyText"/>
    <w:uiPriority w:val="1"/>
    <w:rsid w:val="00863A21"/>
    <w:rPr>
      <w:rFonts w:ascii="Carlito" w:eastAsia="Carlito" w:hAnsi="Carlito" w:cs="Carlito"/>
      <w:lang w:val="en-US"/>
    </w:rPr>
  </w:style>
  <w:style w:type="paragraph" w:customStyle="1" w:styleId="TableParagraph">
    <w:name w:val="Table Paragraph"/>
    <w:basedOn w:val="Normal"/>
    <w:uiPriority w:val="1"/>
    <w:qFormat/>
    <w:rsid w:val="00863A21"/>
    <w:pPr>
      <w:widowControl w:val="0"/>
      <w:autoSpaceDE w:val="0"/>
      <w:autoSpaceDN w:val="0"/>
      <w:spacing w:after="0" w:line="240" w:lineRule="auto"/>
    </w:pPr>
    <w:rPr>
      <w:rFonts w:ascii="Carlito" w:eastAsia="Carlito" w:hAnsi="Carlito" w:cs="Carlito"/>
      <w:lang w:val="en-US"/>
    </w:rPr>
  </w:style>
  <w:style w:type="paragraph" w:styleId="NormalWeb">
    <w:name w:val="Normal (Web)"/>
    <w:basedOn w:val="Normal"/>
    <w:uiPriority w:val="99"/>
    <w:unhideWhenUsed/>
    <w:rsid w:val="00863A21"/>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994</Words>
  <Characters>5669</Characters>
  <Application>Microsoft Office Word</Application>
  <DocSecurity>0</DocSecurity>
  <Lines>47</Lines>
  <Paragraphs>13</Paragraphs>
  <ScaleCrop>false</ScaleCrop>
  <Company/>
  <LinksUpToDate>false</LinksUpToDate>
  <CharactersWithSpaces>6650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Gheorghe Bogdan</cp:lastModifiedBy>
  <cp:revision>3</cp:revision>
  <dcterms:created xsi:type="dcterms:W3CDTF">2022-02-05T08:26:00Z</dcterms:created>
  <dcterms:modified xsi:type="dcterms:W3CDTF">2022-02-06T18:50:00Z</dcterms:modified>
</cp:coreProperties>
</file>