
<file path=[Content_Types].xml><?xml version="1.0" encoding="utf-8"?>
<Types xmlns="http://schemas.openxmlformats.org/package/2006/content-types">
  <Default ContentType="image/png" Extension="png"/>
  <Default ContentType="application/vnd.openxmlformats-package.relationships+xml" Extension="rels"/>
  <Default ContentType="application/vnd.openxmlformats-officedocument.spreadsheetml.sheet" Extension="xlsx"/>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drawingml.chart+xml" PartName="/word/charts/chart3.xml"/>
  <Override ContentType="application/vnd.openxmlformats-officedocument.drawingml.chart+xml" PartName="/word/charts/chart4.xml"/>
  <Override ContentType="application/vnd.ms-office.chartcolorstyle+xml" PartName="/word/charts/colors1.xml"/>
  <Override ContentType="application/vnd.ms-office.chartcolorstyle+xml" PartName="/word/charts/colors2.xml"/>
  <Override ContentType="application/vnd.ms-office.chartcolorstyle+xml" PartName="/word/charts/colors3.xml"/>
  <Override ContentType="application/vnd.ms-office.chartcolorstyle+xml" PartName="/word/charts/colors4.xml"/>
  <Override ContentType="application/vnd.ms-office.chartstyle+xml" PartName="/word/charts/style1.xml"/>
  <Override ContentType="application/vnd.ms-office.chartstyle+xml" PartName="/word/charts/style2.xml"/>
  <Override ContentType="application/vnd.ms-office.chartstyle+xml" PartName="/word/charts/style3.xml"/>
  <Override ContentType="application/vnd.ms-office.chartstyle+xml" PartName="/word/charts/style4.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mc:Ignorable="w14 wp14">
  <w:body>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center"/>
        <w:rPr>
          <w:rFonts w:ascii="Times New Roman" w:hAnsi="Times New Roman"/>
          <w:sz w:val="24"/>
          <w:szCs w:val="22"/>
          <w:lang w:bidi="ar_SA" w:eastAsia="en_US" w:val="en_US"/>
        </w:rPr>
      </w:pPr>
      <w:r>
        <w:rPr>
          <w:rFonts w:ascii="Times New Roman" w:hAnsi="Times New Roman"/>
          <w:sz w:val="24"/>
        </w:rPr>
        <w:t>VLE Impact on Student’s Learning Experience</w:t>
      </w:r>
    </w:p>
    <w:p>
      <w:pPr>
        <w:spacing w:line="480" w:lineRule="auto"/>
        <w:jc w:val="center"/>
        <w:rPr>
          <w:rFonts w:ascii="Times New Roman" w:hAnsi="Times New Roman"/>
          <w:sz w:val="24"/>
          <w:szCs w:val="22"/>
          <w:lang w:bidi="ar_SA" w:eastAsia="en_US" w:val="en_US"/>
        </w:rPr>
      </w:pPr>
      <w:r>
        <w:rPr>
          <w:rFonts w:ascii="Times New Roman" w:hAnsi="Times New Roman"/>
          <w:sz w:val="24"/>
        </w:rPr>
        <w:t>Student’s Name</w:t>
      </w:r>
      <w:r>
        <w:rPr>
          <w:rFonts w:ascii="Times New Roman" w:hAnsi="Times New Roman"/>
          <w:vanish w:val="0"/>
          <w:color w:val="000000"/>
          <w:sz w:val="24"/>
          <w:szCs w:val="22"/>
          <w:rtl w:val="0"/>
          <w:lang w:val="en-US"/>
        </w:rPr>
        <w:t>: Syed Rahman</w:t>
      </w:r>
    </w:p>
    <w:p>
      <w:pPr>
        <w:spacing w:line="480" w:lineRule="auto"/>
        <w:jc w:val="center"/>
        <w:rPr>
          <w:rFonts w:ascii="Times New Roman" w:hAnsi="Times New Roman"/>
          <w:sz w:val="24"/>
          <w:szCs w:val="22"/>
          <w:lang w:bidi="ar_SA" w:eastAsia="en_US" w:val="en_US"/>
        </w:rPr>
      </w:pPr>
      <w:r>
        <w:rPr>
          <w:rFonts w:ascii="Times New Roman" w:hAnsi="Times New Roman"/>
          <w:sz w:val="24"/>
        </w:rPr>
        <w:t>ID:</w:t>
      </w:r>
      <w:r>
        <w:rPr>
          <w:rFonts w:ascii="Times New Roman" w:hAnsi="Times New Roman"/>
          <w:vanish w:val="0"/>
          <w:color w:val="000000"/>
          <w:sz w:val="24"/>
          <w:szCs w:val="22"/>
          <w:rtl w:val="0"/>
          <w:lang w:val="en-US"/>
        </w:rPr>
        <w:t xml:space="preserve"> 1818484</w:t>
      </w:r>
    </w:p>
    <w:p>
      <w:pPr>
        <w:spacing w:line="480" w:lineRule="auto"/>
        <w:jc w:val="center"/>
        <w:rPr>
          <w:rFonts w:ascii="Times New Roman" w:hAnsi="Times New Roman"/>
          <w:sz w:val="24"/>
          <w:szCs w:val="22"/>
          <w:lang w:bidi="ar_SA" w:eastAsia="en_US" w:val="en_US"/>
        </w:rPr>
      </w:pPr>
    </w:p>
    <w:p>
      <w:pPr>
        <w:spacing w:line="480" w:lineRule="auto"/>
        <w:jc w:val="center"/>
        <w:rPr>
          <w:rFonts w:ascii="Times New Roman" w:hAnsi="Times New Roman"/>
          <w:sz w:val="24"/>
          <w:szCs w:val="22"/>
          <w:lang w:bidi="ar_SA" w:eastAsia="en_US" w:val="en_US"/>
        </w:rPr>
      </w:pPr>
      <w:r>
        <w:rPr>
          <w:rFonts w:ascii="Times New Roman" w:hAnsi="Times New Roman"/>
          <w:sz w:val="24"/>
        </w:rPr>
        <w:t>Course</w:t>
      </w:r>
      <w:r>
        <w:rPr>
          <w:rFonts w:ascii="Times New Roman" w:hAnsi="Times New Roman"/>
          <w:vanish w:val="0"/>
          <w:color w:val="000000"/>
          <w:sz w:val="24"/>
          <w:szCs w:val="22"/>
          <w:rtl w:val="0"/>
          <w:lang w:val="en-US"/>
        </w:rPr>
        <w:t>: Digital Skills and Research Methods</w:t>
      </w:r>
    </w:p>
    <w:p>
      <w:pPr>
        <w:spacing w:line="480" w:lineRule="auto"/>
        <w:jc w:val="center"/>
        <w:rPr>
          <w:rFonts w:ascii="Times New Roman" w:hAnsi="Times New Roman"/>
          <w:sz w:val="24"/>
          <w:szCs w:val="22"/>
          <w:lang w:bidi="ar_SA" w:eastAsia="en_US" w:val="en_US"/>
        </w:rPr>
      </w:pPr>
      <w:r>
        <w:rPr>
          <w:rFonts w:ascii="Times New Roman" w:hAnsi="Times New Roman"/>
          <w:sz w:val="24"/>
        </w:rPr>
        <w:t>Date</w:t>
      </w:r>
      <w:r>
        <w:rPr>
          <w:rFonts w:ascii="Times New Roman" w:hAnsi="Times New Roman"/>
          <w:vanish w:val="0"/>
          <w:color w:val="000000"/>
          <w:sz w:val="24"/>
          <w:szCs w:val="22"/>
          <w:rtl w:val="0"/>
          <w:lang w:val="en-US"/>
        </w:rPr>
        <w:t>: 07/01/2020</w:t>
      </w: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jc w:val="both"/>
        <w:rPr>
          <w:rFonts w:ascii="Times New Roman" w:hAnsi="Times New Roman"/>
          <w:sz w:val="24"/>
          <w:szCs w:val="22"/>
          <w:lang w:bidi="ar_SA" w:eastAsia="en_US" w:val="en_US"/>
        </w:rPr>
      </w:pPr>
    </w:p>
    <w:p>
      <w:pPr>
        <w:pStyle w:val="Heading1"/>
        <w:jc w:val="both"/>
        <w:rPr>
          <w:rStyle w:val="Normal"/>
          <w:color w:val="2E74B5"/>
          <w:sz w:val="32"/>
          <w:szCs w:val="32"/>
          <w:lang w:bidi="ar_SA" w:eastAsia="en_US" w:val="en_US"/>
        </w:rPr>
      </w:pPr>
      <w:bookmarkStart w:id="0" w:name="_Toc29119051"/>
      <w:r>
        <w:t>Abstract</w:t>
      </w:r>
      <w:bookmarkEnd w:id="0"/>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The research is based on the knowledge and understanding of Virtual Learning Environments and its impact on </w:t>
      </w:r>
      <w:r>
        <w:rPr>
          <w:rFonts w:ascii="Times New Roman" w:hAnsi="Times New Roman"/>
          <w:sz w:val="24"/>
        </w:rPr>
        <w:t>student's learning experience. The idea of applying technology towards the delivery of content was considered too far-fetched by many academics and research</w:t>
      </w:r>
      <w:r>
        <w:rPr>
          <w:rFonts w:ascii="Times New Roman" w:hAnsi="Times New Roman"/>
          <w:sz w:val="24"/>
        </w:rPr>
        <w:t xml:space="preserve">ers but advancement t in technology made this possible. The study will be done through the use of questionnaires and analyzed, the sample population will be selected from the University of Wales Trinity </w:t>
      </w:r>
      <w:r>
        <w:rPr>
          <w:rFonts w:ascii="Times New Roman" w:hAnsi="Times New Roman"/>
          <w:sz w:val="24"/>
        </w:rPr>
        <w:t xml:space="preserve">Saint </w:t>
      </w:r>
      <w:r>
        <w:rPr>
          <w:rFonts w:ascii="Times New Roman" w:hAnsi="Times New Roman"/>
          <w:sz w:val="24"/>
        </w:rPr>
        <w:t>David London and results highlighted that virtual learning, in general, has a significant positive impact on the student's experience.</w:t>
      </w: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sdt>
      <w:sdtPr>
        <w:rPr>
          <w:rFonts w:asciiTheme="minorHAnsi" w:eastAsiaTheme="minorHAnsi" w:hAnsiTheme="minorHAnsi" w:cstheme="minorBidi"/>
          <w:color w:val="auto"/>
          <w:sz w:val="22"/>
          <w:szCs w:val="22"/>
        </w:rPr>
        <w:id w:val="1993292644"/>
        <w:docPartObj>
          <w:docPartGallery w:val="Table of Contents"/>
          <w:docPartUnique/>
        </w:docPartObj>
      </w:sdtPr>
      <w:sdtEndPr>
        <w:rPr>
          <w:b/>
          <w:bCs/>
          <w:noProof/>
        </w:rPr>
      </w:sdtEndPr>
      <w:sdtContent>
        <w:p>
          <w:pPr>
            <w:pStyle w:val="TOCHeading"/>
            <w:jc w:val="both"/>
            <w:rPr>
              <w:rStyle w:val="Heading1"/>
              <w:color w:val="2E74B5"/>
              <w:sz w:val="32"/>
              <w:szCs w:val="32"/>
              <w:lang w:bidi="ar_SA" w:eastAsia="en_US" w:val="en_US"/>
            </w:rPr>
          </w:pPr>
          <w:r>
            <w:t>Table of Contents</w:t>
          </w:r>
        </w:p>
        <w:p>
          <w:pPr>
            <w:pStyle w:val="TOC1"/>
            <w:tabs>
              <w:tab w:leader="dot" w:pos="9350" w:val="right"/>
            </w:tabs>
            <w:jc w:val="both"/>
            <w:rPr>
              <w:rStyle w:val="Normal"/>
              <w:sz w:val="22"/>
              <w:szCs w:val="22"/>
              <w:lang w:bidi="ar_SA" w:eastAsia="en_US" w:val="en_US"/>
            </w:rPr>
          </w:pPr>
          <w:r>
            <w:fldChar w:fldCharType="begin"/>
          </w:r>
          <w:r>
            <w:instrText xml:space="preserve"> TOC \o "1-3" \h \z \u </w:instrText>
          </w:r>
          <w:r>
            <w:fldChar w:fldCharType="separate"/>
          </w:r>
          <w:hyperlink w:anchor="_Toc29119051" w:history="1">
            <w:r>
              <w:rPr>
                <w:rStyle w:val="Hyperlink"/>
                <w:noProof w:val="1"/>
              </w:rPr>
              <w:t>Abstract</w:t>
            </w:r>
            <w:r>
              <w:rPr>
                <w:noProof w:val="1"/>
              </w:rPr>
              <w:t xml:space="preserve">	</w:t>
            </w:r>
            <w:r>
              <w:rPr>
                <w:noProof w:val="1"/>
              </w:rPr>
              <w:fldChar w:fldCharType="begin"/>
            </w:r>
            <w:r>
              <w:rPr>
                <w:noProof w:val="1"/>
              </w:rPr>
              <w:instrText xml:space="preserve"> PAGEREF _Toc29119051 \h </w:instrText>
            </w:r>
            <w:r>
              <w:rPr>
                <w:noProof w:val="1"/>
              </w:rPr>
              <w:fldChar w:fldCharType="separate"/>
            </w:r>
            <w:r>
              <w:rPr>
                <w:noProof w:val="1"/>
              </w:rPr>
              <w:t>2</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52" w:history="1">
            <w:r>
              <w:rPr>
                <w:rStyle w:val="Hyperlink"/>
                <w:noProof w:val="1"/>
              </w:rPr>
              <w:t>Introduction</w:t>
            </w:r>
            <w:r>
              <w:rPr>
                <w:noProof w:val="1"/>
              </w:rPr>
              <w:t xml:space="preserve">	</w:t>
            </w:r>
            <w:r>
              <w:rPr>
                <w:noProof w:val="1"/>
              </w:rPr>
              <w:fldChar w:fldCharType="begin"/>
            </w:r>
            <w:r>
              <w:rPr>
                <w:noProof w:val="1"/>
              </w:rPr>
              <w:instrText xml:space="preserve"> PAGEREF _Toc29119052 \h </w:instrText>
            </w:r>
            <w:r>
              <w:rPr>
                <w:noProof w:val="1"/>
              </w:rPr>
              <w:fldChar w:fldCharType="separate"/>
            </w:r>
            <w:r>
              <w:rPr>
                <w:noProof w:val="1"/>
              </w:rPr>
              <w:t>4</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53" w:history="1">
            <w:r>
              <w:rPr>
                <w:rStyle w:val="Hyperlink"/>
                <w:noProof w:val="1"/>
              </w:rPr>
              <w:t>Aims and Objectives</w:t>
            </w:r>
            <w:r>
              <w:rPr>
                <w:noProof w:val="1"/>
              </w:rPr>
              <w:t xml:space="preserve">	</w:t>
            </w:r>
            <w:r>
              <w:rPr>
                <w:noProof w:val="1"/>
              </w:rPr>
              <w:fldChar w:fldCharType="begin"/>
            </w:r>
            <w:r>
              <w:rPr>
                <w:noProof w:val="1"/>
              </w:rPr>
              <w:instrText xml:space="preserve"> PAGEREF _Toc29119053 \h </w:instrText>
            </w:r>
            <w:r>
              <w:rPr>
                <w:noProof w:val="1"/>
              </w:rPr>
              <w:fldChar w:fldCharType="separate"/>
            </w:r>
            <w:r>
              <w:rPr>
                <w:noProof w:val="1"/>
              </w:rPr>
              <w:t>4</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54" w:history="1">
            <w:r>
              <w:rPr>
                <w:rStyle w:val="Hyperlink"/>
                <w:noProof w:val="1"/>
              </w:rPr>
              <w:t>Literature Review</w:t>
            </w:r>
            <w:r>
              <w:rPr>
                <w:noProof w:val="1"/>
              </w:rPr>
              <w:t xml:space="preserve">	</w:t>
            </w:r>
            <w:r>
              <w:rPr>
                <w:noProof w:val="1"/>
              </w:rPr>
              <w:fldChar w:fldCharType="begin"/>
            </w:r>
            <w:r>
              <w:rPr>
                <w:noProof w:val="1"/>
              </w:rPr>
              <w:instrText xml:space="preserve"> PAGEREF _Toc29119054 \h </w:instrText>
            </w:r>
            <w:r>
              <w:rPr>
                <w:noProof w:val="1"/>
              </w:rPr>
              <w:fldChar w:fldCharType="separate"/>
            </w:r>
            <w:r>
              <w:rPr>
                <w:noProof w:val="1"/>
              </w:rPr>
              <w:t>4</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55" w:history="1">
            <w:r>
              <w:rPr>
                <w:rStyle w:val="Hyperlink"/>
                <w:noProof w:val="1"/>
              </w:rPr>
              <w:t>Methodology</w:t>
            </w:r>
            <w:r>
              <w:rPr>
                <w:noProof w:val="1"/>
              </w:rPr>
              <w:t xml:space="preserve">	</w:t>
            </w:r>
            <w:r>
              <w:rPr>
                <w:noProof w:val="1"/>
              </w:rPr>
              <w:fldChar w:fldCharType="begin"/>
            </w:r>
            <w:r>
              <w:rPr>
                <w:noProof w:val="1"/>
              </w:rPr>
              <w:instrText xml:space="preserve"> PAGEREF _Toc29119055 \h </w:instrText>
            </w:r>
            <w:r>
              <w:rPr>
                <w:noProof w:val="1"/>
              </w:rPr>
              <w:fldChar w:fldCharType="separate"/>
            </w:r>
            <w:r>
              <w:rPr>
                <w:noProof w:val="1"/>
              </w:rPr>
              <w:t>7</w:t>
            </w:r>
            <w:r>
              <w:rPr>
                <w:noProof w:val="1"/>
              </w:rPr>
              <w:fldChar w:fldCharType="end"/>
            </w:r>
          </w:hyperlink>
        </w:p>
        <w:p>
          <w:pPr>
            <w:pStyle w:val="TOC2"/>
            <w:tabs>
              <w:tab w:leader="dot" w:pos="9350" w:val="right"/>
            </w:tabs>
            <w:jc w:val="both"/>
            <w:rPr>
              <w:rStyle w:val="Normal"/>
              <w:sz w:val="22"/>
              <w:szCs w:val="22"/>
              <w:lang w:bidi="ar_SA" w:eastAsia="en_US" w:val="en_US"/>
            </w:rPr>
          </w:pPr>
          <w:hyperlink w:anchor="_Toc29119056" w:history="1">
            <w:r>
              <w:rPr>
                <w:rStyle w:val="Hyperlink"/>
                <w:noProof w:val="1"/>
              </w:rPr>
              <w:t>Type of Research</w:t>
            </w:r>
            <w:r>
              <w:rPr>
                <w:noProof w:val="1"/>
              </w:rPr>
              <w:t xml:space="preserve">	</w:t>
            </w:r>
            <w:r>
              <w:rPr>
                <w:noProof w:val="1"/>
              </w:rPr>
              <w:fldChar w:fldCharType="begin"/>
            </w:r>
            <w:r>
              <w:rPr>
                <w:noProof w:val="1"/>
              </w:rPr>
              <w:instrText xml:space="preserve"> PAGEREF _Toc29119056 \h </w:instrText>
            </w:r>
            <w:r>
              <w:rPr>
                <w:noProof w:val="1"/>
              </w:rPr>
              <w:fldChar w:fldCharType="separate"/>
            </w:r>
            <w:r>
              <w:rPr>
                <w:noProof w:val="1"/>
              </w:rPr>
              <w:t>7</w:t>
            </w:r>
            <w:r>
              <w:rPr>
                <w:noProof w:val="1"/>
              </w:rPr>
              <w:fldChar w:fldCharType="end"/>
            </w:r>
          </w:hyperlink>
        </w:p>
        <w:p>
          <w:pPr>
            <w:pStyle w:val="TOC2"/>
            <w:tabs>
              <w:tab w:leader="dot" w:pos="9350" w:val="right"/>
            </w:tabs>
            <w:jc w:val="both"/>
            <w:rPr>
              <w:rStyle w:val="Normal"/>
              <w:sz w:val="22"/>
              <w:szCs w:val="22"/>
              <w:lang w:bidi="ar_SA" w:eastAsia="en_US" w:val="en_US"/>
            </w:rPr>
          </w:pPr>
          <w:hyperlink w:anchor="_Toc29119057" w:history="1">
            <w:r>
              <w:rPr>
                <w:rStyle w:val="Hyperlink"/>
                <w:noProof w:val="1"/>
              </w:rPr>
              <w:t>Approach</w:t>
            </w:r>
            <w:r>
              <w:rPr>
                <w:noProof w:val="1"/>
              </w:rPr>
              <w:t xml:space="preserve">	</w:t>
            </w:r>
            <w:r>
              <w:rPr>
                <w:noProof w:val="1"/>
              </w:rPr>
              <w:fldChar w:fldCharType="begin"/>
            </w:r>
            <w:r>
              <w:rPr>
                <w:noProof w:val="1"/>
              </w:rPr>
              <w:instrText xml:space="preserve"> PAGEREF _Toc29119057 \h </w:instrText>
            </w:r>
            <w:r>
              <w:rPr>
                <w:noProof w:val="1"/>
              </w:rPr>
              <w:fldChar w:fldCharType="separate"/>
            </w:r>
            <w:r>
              <w:rPr>
                <w:noProof w:val="1"/>
              </w:rPr>
              <w:t>7</w:t>
            </w:r>
            <w:r>
              <w:rPr>
                <w:noProof w:val="1"/>
              </w:rPr>
              <w:fldChar w:fldCharType="end"/>
            </w:r>
          </w:hyperlink>
        </w:p>
        <w:p>
          <w:pPr>
            <w:pStyle w:val="TOC2"/>
            <w:tabs>
              <w:tab w:leader="dot" w:pos="9350" w:val="right"/>
            </w:tabs>
            <w:jc w:val="both"/>
            <w:rPr>
              <w:rStyle w:val="Normal"/>
              <w:sz w:val="22"/>
              <w:szCs w:val="22"/>
              <w:lang w:bidi="ar_SA" w:eastAsia="en_US" w:val="en_US"/>
            </w:rPr>
          </w:pPr>
          <w:hyperlink w:anchor="_Toc29119058" w:history="1">
            <w:r>
              <w:rPr>
                <w:rStyle w:val="Hyperlink"/>
                <w:noProof w:val="1"/>
              </w:rPr>
              <w:t>Population and sample</w:t>
            </w:r>
            <w:r>
              <w:rPr>
                <w:noProof w:val="1"/>
              </w:rPr>
              <w:t xml:space="preserve">	</w:t>
            </w:r>
            <w:r>
              <w:rPr>
                <w:noProof w:val="1"/>
              </w:rPr>
              <w:fldChar w:fldCharType="begin"/>
            </w:r>
            <w:r>
              <w:rPr>
                <w:noProof w:val="1"/>
              </w:rPr>
              <w:instrText xml:space="preserve"> PAGEREF _Toc29119058 \h </w:instrText>
            </w:r>
            <w:r>
              <w:rPr>
                <w:noProof w:val="1"/>
              </w:rPr>
              <w:fldChar w:fldCharType="separate"/>
            </w:r>
            <w:r>
              <w:rPr>
                <w:noProof w:val="1"/>
              </w:rPr>
              <w:t>8</w:t>
            </w:r>
            <w:r>
              <w:rPr>
                <w:noProof w:val="1"/>
              </w:rPr>
              <w:fldChar w:fldCharType="end"/>
            </w:r>
          </w:hyperlink>
        </w:p>
        <w:p>
          <w:pPr>
            <w:pStyle w:val="TOC2"/>
            <w:tabs>
              <w:tab w:leader="dot" w:pos="9350" w:val="right"/>
            </w:tabs>
            <w:jc w:val="both"/>
            <w:rPr>
              <w:rStyle w:val="Normal"/>
              <w:sz w:val="22"/>
              <w:szCs w:val="22"/>
              <w:lang w:bidi="ar_SA" w:eastAsia="en_US" w:val="en_US"/>
            </w:rPr>
          </w:pPr>
          <w:hyperlink w:anchor="_Toc29119059" w:history="1">
            <w:r>
              <w:rPr>
                <w:rStyle w:val="Hyperlink"/>
                <w:noProof w:val="1"/>
              </w:rPr>
              <w:t>Data Collection Techniques</w:t>
            </w:r>
            <w:r>
              <w:rPr>
                <w:noProof w:val="1"/>
              </w:rPr>
              <w:t xml:space="preserve">	</w:t>
            </w:r>
            <w:r>
              <w:rPr>
                <w:noProof w:val="1"/>
              </w:rPr>
              <w:fldChar w:fldCharType="begin"/>
            </w:r>
            <w:r>
              <w:rPr>
                <w:noProof w:val="1"/>
              </w:rPr>
              <w:instrText xml:space="preserve"> PAGE</w:instrText>
            </w:r>
            <w:r>
              <w:rPr>
                <w:noProof w:val="1"/>
              </w:rPr>
              <w:instrText xml:space="preserve">REF _Toc29119059 \h </w:instrText>
            </w:r>
            <w:r>
              <w:rPr>
                <w:noProof w:val="1"/>
              </w:rPr>
              <w:fldChar w:fldCharType="separate"/>
            </w:r>
            <w:r>
              <w:rPr>
                <w:noProof w:val="1"/>
              </w:rPr>
              <w:t>8</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60" w:history="1">
            <w:r>
              <w:rPr>
                <w:rStyle w:val="Hyperlink"/>
                <w:noProof w:val="1"/>
              </w:rPr>
              <w:t>Ethical Considerations</w:t>
            </w:r>
            <w:r>
              <w:rPr>
                <w:noProof w:val="1"/>
              </w:rPr>
              <w:t xml:space="preserve">	</w:t>
            </w:r>
            <w:r>
              <w:rPr>
                <w:noProof w:val="1"/>
              </w:rPr>
              <w:fldChar w:fldCharType="begin"/>
            </w:r>
            <w:r>
              <w:rPr>
                <w:noProof w:val="1"/>
              </w:rPr>
              <w:instrText xml:space="preserve"> PAGEREF _Toc29119060 \h </w:instrText>
            </w:r>
            <w:r>
              <w:rPr>
                <w:noProof w:val="1"/>
              </w:rPr>
              <w:fldChar w:fldCharType="separate"/>
            </w:r>
            <w:r>
              <w:rPr>
                <w:noProof w:val="1"/>
              </w:rPr>
              <w:t>9</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61" w:history="1">
            <w:r>
              <w:rPr>
                <w:rStyle w:val="Hyperlink"/>
                <w:noProof w:val="1"/>
              </w:rPr>
              <w:t>Results</w:t>
            </w:r>
            <w:r>
              <w:rPr>
                <w:noProof w:val="1"/>
              </w:rPr>
              <w:t xml:space="preserve">	</w:t>
            </w:r>
            <w:r>
              <w:rPr>
                <w:noProof w:val="1"/>
              </w:rPr>
              <w:fldChar w:fldCharType="begin"/>
            </w:r>
            <w:r>
              <w:rPr>
                <w:noProof w:val="1"/>
              </w:rPr>
              <w:instrText xml:space="preserve"> PAGEREF _Toc29119061 \h </w:instrText>
            </w:r>
            <w:r>
              <w:rPr>
                <w:noProof w:val="1"/>
              </w:rPr>
              <w:fldChar w:fldCharType="separate"/>
            </w:r>
            <w:r>
              <w:rPr>
                <w:noProof w:val="1"/>
              </w:rPr>
              <w:t>9</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62" w:history="1">
            <w:r>
              <w:rPr>
                <w:rStyle w:val="Hyperlink"/>
                <w:noProof w:val="1"/>
              </w:rPr>
              <w:t>Limitations</w:t>
            </w:r>
            <w:r>
              <w:rPr>
                <w:noProof w:val="1"/>
              </w:rPr>
              <w:t xml:space="preserve">	</w:t>
            </w:r>
            <w:r>
              <w:rPr>
                <w:noProof w:val="1"/>
              </w:rPr>
              <w:fldChar w:fldCharType="begin"/>
            </w:r>
            <w:r>
              <w:rPr>
                <w:noProof w:val="1"/>
              </w:rPr>
              <w:instrText xml:space="preserve"> PAGEREF _Toc2</w:instrText>
            </w:r>
            <w:r>
              <w:rPr>
                <w:noProof w:val="1"/>
              </w:rPr>
              <w:instrText xml:space="preserve">9119062 \h </w:instrText>
            </w:r>
            <w:r>
              <w:rPr>
                <w:noProof w:val="1"/>
              </w:rPr>
              <w:fldChar w:fldCharType="separate"/>
            </w:r>
            <w:r>
              <w:rPr>
                <w:noProof w:val="1"/>
              </w:rPr>
              <w:t>13</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63" w:history="1">
            <w:r>
              <w:rPr>
                <w:rStyle w:val="Hyperlink"/>
                <w:noProof w:val="1"/>
              </w:rPr>
              <w:t>Conclusion</w:t>
            </w:r>
            <w:r>
              <w:rPr>
                <w:noProof w:val="1"/>
              </w:rPr>
              <w:t xml:space="preserve">	</w:t>
            </w:r>
            <w:r>
              <w:rPr>
                <w:noProof w:val="1"/>
              </w:rPr>
              <w:fldChar w:fldCharType="begin"/>
            </w:r>
            <w:r>
              <w:rPr>
                <w:noProof w:val="1"/>
              </w:rPr>
              <w:instrText xml:space="preserve"> PAGEREF _Toc29119063 \h </w:instrText>
            </w:r>
            <w:r>
              <w:rPr>
                <w:noProof w:val="1"/>
              </w:rPr>
              <w:fldChar w:fldCharType="separate"/>
            </w:r>
            <w:r>
              <w:rPr>
                <w:noProof w:val="1"/>
              </w:rPr>
              <w:t>13</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64" w:history="1">
            <w:r>
              <w:rPr>
                <w:rStyle w:val="Hyperlink"/>
                <w:noProof w:val="1"/>
              </w:rPr>
              <w:t>Reference List</w:t>
            </w:r>
            <w:r>
              <w:rPr>
                <w:noProof w:val="1"/>
              </w:rPr>
              <w:t xml:space="preserve">	</w:t>
            </w:r>
            <w:r>
              <w:rPr>
                <w:noProof w:val="1"/>
              </w:rPr>
              <w:fldChar w:fldCharType="begin"/>
            </w:r>
            <w:r>
              <w:rPr>
                <w:noProof w:val="1"/>
              </w:rPr>
              <w:instrText xml:space="preserve"> PAGEREF _Toc29119064 \h </w:instrText>
            </w:r>
            <w:r>
              <w:rPr>
                <w:noProof w:val="1"/>
              </w:rPr>
              <w:fldChar w:fldCharType="separate"/>
            </w:r>
            <w:r>
              <w:rPr>
                <w:noProof w:val="1"/>
              </w:rPr>
              <w:t>14</w:t>
            </w:r>
            <w:r>
              <w:rPr>
                <w:noProof w:val="1"/>
              </w:rPr>
              <w:fldChar w:fldCharType="end"/>
            </w:r>
          </w:hyperlink>
        </w:p>
        <w:p>
          <w:pPr>
            <w:pStyle w:val="TOC1"/>
            <w:tabs>
              <w:tab w:leader="dot" w:pos="9350" w:val="right"/>
            </w:tabs>
            <w:jc w:val="both"/>
            <w:rPr>
              <w:rStyle w:val="Normal"/>
              <w:sz w:val="22"/>
              <w:szCs w:val="22"/>
              <w:lang w:bidi="ar_SA" w:eastAsia="en_US" w:val="en_US"/>
            </w:rPr>
          </w:pPr>
          <w:hyperlink w:anchor="_Toc29119065" w:history="1">
            <w:r>
              <w:rPr>
                <w:rStyle w:val="Hyperlink"/>
                <w:noProof w:val="1"/>
              </w:rPr>
              <w:t>Appendix</w:t>
            </w:r>
            <w:r>
              <w:rPr>
                <w:noProof w:val="1"/>
              </w:rPr>
              <w:t xml:space="preserve">	</w:t>
            </w:r>
            <w:r>
              <w:rPr>
                <w:noProof w:val="1"/>
              </w:rPr>
              <w:fldChar w:fldCharType="begin"/>
            </w:r>
            <w:r>
              <w:rPr>
                <w:noProof w:val="1"/>
              </w:rPr>
              <w:instrText xml:space="preserve"> PAGEREF </w:instrText>
            </w:r>
            <w:r>
              <w:rPr>
                <w:noProof w:val="1"/>
              </w:rPr>
              <w:instrText xml:space="preserve">_Toc29119065 \h </w:instrText>
            </w:r>
            <w:r>
              <w:rPr>
                <w:noProof w:val="1"/>
              </w:rPr>
              <w:fldChar w:fldCharType="separate"/>
            </w:r>
            <w:r>
              <w:rPr>
                <w:noProof w:val="1"/>
              </w:rPr>
              <w:t>14</w:t>
            </w:r>
            <w:r>
              <w:rPr>
                <w:noProof w:val="1"/>
              </w:rPr>
              <w:fldChar w:fldCharType="end"/>
            </w:r>
          </w:hyperlink>
        </w:p>
        <w:p>
          <w:pPr>
            <w:pStyle w:val="TOC2"/>
            <w:tabs>
              <w:tab w:leader="dot" w:pos="9350" w:val="right"/>
            </w:tabs>
            <w:jc w:val="both"/>
            <w:rPr>
              <w:rStyle w:val="Normal"/>
              <w:sz w:val="22"/>
              <w:szCs w:val="22"/>
              <w:lang w:bidi="ar_SA" w:eastAsia="en_US" w:val="en_US"/>
            </w:rPr>
          </w:pPr>
          <w:hyperlink w:anchor="_Toc29119066" w:history="1">
            <w:r>
              <w:rPr>
                <w:rStyle w:val="Hyperlink"/>
                <w:noProof w:val="1"/>
              </w:rPr>
              <w:t>Questionnaire</w:t>
            </w:r>
            <w:r>
              <w:rPr>
                <w:noProof w:val="1"/>
              </w:rPr>
              <w:t xml:space="preserve">	</w:t>
            </w:r>
            <w:r>
              <w:rPr>
                <w:noProof w:val="1"/>
              </w:rPr>
              <w:fldChar w:fldCharType="begin"/>
            </w:r>
            <w:r>
              <w:rPr>
                <w:noProof w:val="1"/>
              </w:rPr>
              <w:instrText xml:space="preserve"> PAGEREF _Toc29119066 \h </w:instrText>
            </w:r>
            <w:r>
              <w:rPr>
                <w:noProof w:val="1"/>
              </w:rPr>
              <w:fldChar w:fldCharType="separate"/>
            </w:r>
            <w:r>
              <w:rPr>
                <w:noProof w:val="1"/>
              </w:rPr>
              <w:t>14</w:t>
            </w:r>
            <w:r>
              <w:rPr>
                <w:noProof w:val="1"/>
              </w:rPr>
              <w:fldChar w:fldCharType="end"/>
            </w:r>
          </w:hyperlink>
        </w:p>
        <w:p>
          <w:pPr>
            <w:jc w:val="both"/>
            <w:rPr>
              <w:sz w:val="22"/>
              <w:szCs w:val="22"/>
              <w:lang w:bidi="ar_SA" w:eastAsia="en_US" w:val="en_US"/>
            </w:rPr>
          </w:pPr>
        </w:p>
      </w:sdtContent>
    </w:sdt>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pStyle w:val="Heading1"/>
        <w:jc w:val="both"/>
        <w:rPr>
          <w:rStyle w:val="Normal"/>
          <w:color w:val="2E74B5"/>
          <w:sz w:val="32"/>
          <w:szCs w:val="32"/>
          <w:lang w:bidi="ar_SA" w:eastAsia="en_US" w:val="en_US"/>
        </w:rPr>
      </w:pPr>
      <w:bookmarkStart w:id="1" w:name="_Toc29119052"/>
      <w:r>
        <w:t>Introduction</w:t>
      </w:r>
      <w:bookmarkEnd w:id="1"/>
    </w:p>
    <w:p>
      <w:pPr>
        <w:spacing w:line="480" w:lineRule="auto"/>
        <w:jc w:val="both"/>
        <w:rPr>
          <w:rFonts w:ascii="Times New Roman" w:hAnsi="Times New Roman"/>
          <w:sz w:val="24"/>
          <w:szCs w:val="22"/>
          <w:lang w:bidi="ar_SA" w:eastAsia="en_US" w:val="en_US"/>
        </w:rPr>
      </w:pPr>
      <w:r>
        <w:rPr>
          <w:rFonts w:ascii="Times New Roman" w:hAnsi="Times New Roman"/>
          <w:sz w:val="24"/>
        </w:rPr>
        <w:t>Increased development in the rapid development in communication technology has increased the demand and need for virtual learning which mainly involves connections of</w:t>
      </w:r>
      <w:r>
        <w:rPr>
          <w:rFonts w:ascii="Times New Roman" w:hAnsi="Times New Roman"/>
          <w:sz w:val="24"/>
        </w:rPr>
        <w:t xml:space="preserve"> the students both synchronously and asynchronously</w:t>
      </w:r>
      <w:r>
        <w:rPr>
          <w:rFonts w:ascii="Times New Roman" w:hAnsi="Times New Roman"/>
          <w:sz w:val="24"/>
        </w:rPr>
        <w:t xml:space="preserve"> (Follows, 201</w:t>
      </w:r>
      <w:r>
        <w:rPr>
          <w:rFonts w:ascii="Times New Roman" w:hAnsi="Times New Roman"/>
          <w:sz w:val="24"/>
        </w:rPr>
        <w:t>9</w:t>
      </w:r>
      <w:r>
        <w:rPr>
          <w:rFonts w:ascii="Times New Roman" w:hAnsi="Times New Roman"/>
          <w:sz w:val="24"/>
        </w:rPr>
        <w:t>)</w:t>
      </w:r>
      <w:r>
        <w:rPr>
          <w:rFonts w:ascii="Times New Roman" w:hAnsi="Times New Roman"/>
          <w:sz w:val="24"/>
        </w:rPr>
        <w:t xml:space="preserve">. Asynchronous virtual learning means that the learners receive course work delivered through the message boards and emails which are then posted to the online forums. Asynchronous learning, on the other hand, is done when the learner is offline. It gives </w:t>
      </w:r>
      <w:r>
        <w:rPr>
          <w:rFonts w:ascii="Times New Roman" w:hAnsi="Times New Roman"/>
          <w:sz w:val="24"/>
        </w:rPr>
        <w:t xml:space="preserve">the learner the opportunity to best collaborate and communicate through their computer with no limitation of times and distance. </w:t>
      </w:r>
      <w:r>
        <w:rPr>
          <w:rFonts w:ascii="Times New Roman" w:hAnsi="Times New Roman"/>
          <w:sz w:val="24"/>
        </w:rPr>
        <w:t>Through this mode of learning the learners are able to complete their school work at their own time through the use of the internet as a tool of support over volunteering too much on an online interactive class</w:t>
      </w:r>
      <w:r>
        <w:rPr>
          <w:rFonts w:ascii="Times New Roman" w:hAnsi="Times New Roman"/>
          <w:sz w:val="24"/>
        </w:rPr>
        <w:t xml:space="preserve"> (</w:t>
      </w:r>
      <w:r>
        <w:rPr>
          <w:rFonts w:ascii="Times New Roman" w:hAnsi="Times New Roman"/>
          <w:sz w:val="24"/>
        </w:rPr>
        <w:t>Gannon-</w:t>
      </w:r>
      <w:r>
        <w:rPr>
          <w:rFonts w:ascii="Times New Roman" w:hAnsi="Times New Roman"/>
          <w:sz w:val="24"/>
        </w:rPr>
        <w:t>Leary and Fontainha, 201</w:t>
      </w:r>
      <w:r>
        <w:rPr>
          <w:rFonts w:ascii="Times New Roman" w:hAnsi="Times New Roman"/>
          <w:sz w:val="24"/>
        </w:rPr>
        <w:t>7</w:t>
      </w:r>
      <w:r>
        <w:rPr>
          <w:rFonts w:ascii="Times New Roman" w:hAnsi="Times New Roman"/>
          <w:sz w:val="24"/>
        </w:rPr>
        <w:t>)</w:t>
      </w:r>
      <w:r>
        <w:rPr>
          <w:rFonts w:ascii="Times New Roman" w:hAnsi="Times New Roman"/>
          <w:sz w:val="24"/>
        </w:rPr>
        <w:t>.</w:t>
      </w:r>
      <w:r>
        <w:rPr>
          <w:rFonts w:ascii="Times New Roman" w:hAnsi="Times New Roman"/>
          <w:sz w:val="24"/>
        </w:rPr>
        <w:t xml:space="preserve"> On the other hand, Synchronous virtual learning involves learning in real-time. It mostly involves video chats that enable the learner to interact with the educator instantly. The report will be looking at identifying and analyzing the impact of virtual learning environments on the student's learning experience.  </w:t>
      </w:r>
    </w:p>
    <w:p>
      <w:pPr>
        <w:pStyle w:val="Heading1"/>
        <w:jc w:val="both"/>
        <w:rPr>
          <w:rStyle w:val="Normal"/>
          <w:color w:val="2E74B5"/>
          <w:sz w:val="32"/>
          <w:szCs w:val="32"/>
          <w:lang w:bidi="ar_SA" w:eastAsia="en_US" w:val="en_US"/>
        </w:rPr>
      </w:pPr>
      <w:bookmarkStart w:id="2" w:name="_Toc29119053"/>
      <w:r>
        <w:t>Aims and Objectives</w:t>
      </w:r>
      <w:bookmarkEnd w:id="2"/>
    </w:p>
    <w:p>
      <w:pPr>
        <w:spacing w:line="480" w:lineRule="auto"/>
        <w:jc w:val="both"/>
        <w:rPr>
          <w:rFonts w:ascii="Times New Roman" w:hAnsi="Times New Roman"/>
          <w:sz w:val="24"/>
          <w:szCs w:val="22"/>
          <w:lang w:bidi="ar_SA" w:eastAsia="en_US" w:val="en_US"/>
        </w:rPr>
      </w:pPr>
      <w:r>
        <w:rPr>
          <w:rFonts w:ascii="Times New Roman" w:hAnsi="Times New Roman"/>
          <w:sz w:val="24"/>
        </w:rPr>
        <w:t>The aim and objectives of the research include:</w:t>
      </w:r>
    </w:p>
    <w:p>
      <w:pPr>
        <w:pStyle w:val="ListParagraph"/>
        <w:numPr>
          <w:ilvl w:val="0"/>
          <w:numId w:val="1"/>
        </w:numPr>
        <w:spacing w:line="480" w:lineRule="auto"/>
        <w:jc w:val="both"/>
        <w:rPr>
          <w:rStyle w:val="Normal"/>
          <w:rFonts w:ascii="Times New Roman" w:hAnsi="Times New Roman"/>
          <w:sz w:val="24"/>
          <w:szCs w:val="22"/>
          <w:lang w:bidi="ar_SA" w:eastAsia="en_US" w:val="en_US"/>
        </w:rPr>
      </w:pPr>
      <w:r>
        <w:rPr>
          <w:rFonts w:ascii="Times New Roman" w:hAnsi="Times New Roman"/>
          <w:sz w:val="24"/>
        </w:rPr>
        <w:t>Define V</w:t>
      </w:r>
      <w:r>
        <w:rPr>
          <w:rFonts w:ascii="Times New Roman" w:hAnsi="Times New Roman"/>
          <w:sz w:val="24"/>
        </w:rPr>
        <w:t>irtual Learning Environment</w:t>
      </w:r>
    </w:p>
    <w:p>
      <w:pPr>
        <w:pStyle w:val="ListParagraph"/>
        <w:numPr>
          <w:ilvl w:val="0"/>
          <w:numId w:val="1"/>
        </w:numPr>
        <w:spacing w:line="480" w:lineRule="auto"/>
        <w:jc w:val="both"/>
        <w:rPr>
          <w:rStyle w:val="Normal"/>
          <w:rFonts w:ascii="Times New Roman" w:hAnsi="Times New Roman"/>
          <w:sz w:val="24"/>
          <w:szCs w:val="22"/>
          <w:lang w:bidi="ar_SA" w:eastAsia="en_US" w:val="en_US"/>
        </w:rPr>
      </w:pPr>
      <w:r>
        <w:rPr>
          <w:rFonts w:ascii="Times New Roman" w:hAnsi="Times New Roman"/>
          <w:sz w:val="24"/>
        </w:rPr>
        <w:t>Identify the impact of the Virtual Learning Environments</w:t>
      </w:r>
    </w:p>
    <w:p>
      <w:pPr>
        <w:pStyle w:val="ListParagraph"/>
        <w:numPr>
          <w:ilvl w:val="0"/>
          <w:numId w:val="1"/>
        </w:numPr>
        <w:spacing w:line="480" w:lineRule="auto"/>
        <w:jc w:val="both"/>
        <w:rPr>
          <w:rStyle w:val="Normal"/>
          <w:rFonts w:ascii="Times New Roman" w:hAnsi="Times New Roman"/>
          <w:sz w:val="24"/>
          <w:szCs w:val="22"/>
          <w:lang w:bidi="ar_SA" w:eastAsia="en_US" w:val="en_US"/>
        </w:rPr>
      </w:pPr>
      <w:r>
        <w:rPr>
          <w:rFonts w:ascii="Times New Roman" w:hAnsi="Times New Roman"/>
          <w:sz w:val="24"/>
        </w:rPr>
        <w:t>Recommend resolution on the negative impact of VLE</w:t>
      </w:r>
    </w:p>
    <w:p>
      <w:pPr>
        <w:pStyle w:val="Heading1"/>
        <w:jc w:val="both"/>
        <w:rPr>
          <w:rStyle w:val="Normal"/>
          <w:color w:val="2E74B5"/>
          <w:sz w:val="32"/>
          <w:szCs w:val="32"/>
          <w:lang w:bidi="ar_SA" w:eastAsia="en_US" w:val="en_US"/>
        </w:rPr>
      </w:pPr>
      <w:bookmarkStart w:id="3" w:name="_Toc29119054"/>
      <w:r>
        <w:t>Literature Review</w:t>
      </w:r>
      <w:bookmarkEnd w:id="3"/>
    </w:p>
    <w:p>
      <w:pPr>
        <w:spacing w:line="480" w:lineRule="auto"/>
        <w:jc w:val="both"/>
        <w:rPr>
          <w:rFonts w:ascii="Times New Roman" w:hAnsi="Times New Roman"/>
          <w:sz w:val="24"/>
          <w:szCs w:val="22"/>
          <w:lang w:bidi="ar_SA" w:eastAsia="en_US" w:val="en_US"/>
        </w:rPr>
      </w:pPr>
      <w:r>
        <w:rPr>
          <w:rFonts w:ascii="Times New Roman" w:hAnsi="Times New Roman"/>
          <w:sz w:val="24"/>
        </w:rPr>
        <w:t>E-learning, virtual learning, Distance learning no matter the choice of terms information technology h</w:t>
      </w:r>
      <w:r>
        <w:rPr>
          <w:rFonts w:ascii="Times New Roman" w:hAnsi="Times New Roman"/>
          <w:sz w:val="24"/>
        </w:rPr>
        <w:t>as advanced and changed how the recent teaching and learning takes place</w:t>
      </w:r>
      <w:r>
        <w:rPr>
          <w:rFonts w:ascii="Times New Roman" w:hAnsi="Times New Roman"/>
          <w:sz w:val="24"/>
        </w:rPr>
        <w:t xml:space="preserve"> </w:t>
      </w:r>
      <w:r>
        <w:rPr>
          <w:rFonts w:ascii="Times New Roman" w:hAnsi="Times New Roman"/>
          <w:sz w:val="24"/>
        </w:rPr>
        <w:t>(</w:t>
      </w:r>
      <w:r>
        <w:rPr>
          <w:rFonts w:ascii="Times New Roman" w:hAnsi="Times New Roman"/>
          <w:sz w:val="24"/>
        </w:rPr>
        <w:t>Stonebrake</w:t>
      </w:r>
      <w:r>
        <w:rPr>
          <w:rFonts w:ascii="Times New Roman" w:hAnsi="Times New Roman"/>
          <w:sz w:val="24"/>
        </w:rPr>
        <w:t>r and Hazeltine, 201</w:t>
      </w:r>
      <w:r>
        <w:rPr>
          <w:rFonts w:ascii="Times New Roman" w:hAnsi="Times New Roman"/>
          <w:sz w:val="24"/>
        </w:rPr>
        <w:t>4</w:t>
      </w:r>
      <w:r>
        <w:rPr>
          <w:rFonts w:ascii="Times New Roman" w:hAnsi="Times New Roman"/>
          <w:sz w:val="24"/>
        </w:rPr>
        <w:t>)</w:t>
      </w:r>
      <w:r>
        <w:rPr>
          <w:rFonts w:ascii="Times New Roman" w:hAnsi="Times New Roman"/>
          <w:sz w:val="24"/>
        </w:rPr>
        <w:t>. Historically, the idea of applying technology towards the delivery of content was considered too far-fetched by many academics and researchers. Howe</w:t>
      </w:r>
      <w:r>
        <w:rPr>
          <w:rFonts w:ascii="Times New Roman" w:hAnsi="Times New Roman"/>
          <w:sz w:val="24"/>
        </w:rPr>
        <w:t>ver, over a few decades, there has been an acceptance of this idea of distance learning to enhance the opportunities for education. The advancement in information technology presented new opportunities to offer the learners, parents, administrators, and ed</w:t>
      </w:r>
      <w:r>
        <w:rPr>
          <w:rFonts w:ascii="Times New Roman" w:hAnsi="Times New Roman"/>
          <w:sz w:val="24"/>
        </w:rPr>
        <w:t xml:space="preserve">ucators on the education of masses. </w:t>
      </w:r>
      <w:r>
        <w:rPr>
          <w:rFonts w:ascii="Times New Roman" w:hAnsi="Times New Roman"/>
          <w:sz w:val="24"/>
        </w:rPr>
        <w:t xml:space="preserve">Before the introduction of other </w:t>
      </w:r>
      <w:r>
        <w:rPr>
          <w:rFonts w:ascii="Times New Roman" w:hAnsi="Times New Roman"/>
          <w:sz w:val="24"/>
        </w:rPr>
        <w:t>mediums,</w:t>
      </w:r>
      <w:r>
        <w:rPr>
          <w:rFonts w:ascii="Times New Roman" w:hAnsi="Times New Roman"/>
          <w:sz w:val="24"/>
        </w:rPr>
        <w:t xml:space="preserve"> the research shows that the United States postal service was one of the primary means to deliver distance learning materials</w:t>
      </w:r>
      <w:r>
        <w:rPr>
          <w:rFonts w:ascii="Times New Roman" w:hAnsi="Times New Roman"/>
          <w:sz w:val="24"/>
        </w:rPr>
        <w:t xml:space="preserve"> (Gulz, 201</w:t>
      </w:r>
      <w:r>
        <w:rPr>
          <w:rFonts w:ascii="Times New Roman" w:hAnsi="Times New Roman"/>
          <w:sz w:val="24"/>
        </w:rPr>
        <w:t>4</w:t>
      </w:r>
      <w:r>
        <w:rPr>
          <w:rFonts w:ascii="Times New Roman" w:hAnsi="Times New Roman"/>
          <w:sz w:val="24"/>
        </w:rPr>
        <w:t>)</w:t>
      </w:r>
      <w:r>
        <w:rPr>
          <w:rFonts w:ascii="Times New Roman" w:hAnsi="Times New Roman"/>
          <w:sz w:val="24"/>
        </w:rPr>
        <w:t xml:space="preserve">. </w:t>
      </w:r>
      <w:r>
        <w:rPr>
          <w:rFonts w:ascii="Times New Roman" w:hAnsi="Times New Roman"/>
          <w:sz w:val="24"/>
        </w:rPr>
        <w:t>After a student's enrolment in courses, the instructor would mail the materials, tests, assignments and additional learning materials. The students would then complete the test and assignments in a similar mode through the postal service. More recently, the internet-based and technologies and multimedia offered reliable options for distance learning and teaching</w:t>
      </w:r>
      <w:r>
        <w:rPr>
          <w:rFonts w:ascii="Times New Roman" w:hAnsi="Times New Roman"/>
          <w:sz w:val="24"/>
        </w:rPr>
        <w:t xml:space="preserve"> (</w:t>
      </w:r>
      <w:r>
        <w:rPr>
          <w:rFonts w:ascii="Times New Roman" w:hAnsi="Times New Roman"/>
          <w:sz w:val="24"/>
        </w:rPr>
        <w:t>McFadden</w:t>
      </w:r>
      <w:r>
        <w:rPr>
          <w:rFonts w:ascii="Times New Roman" w:hAnsi="Times New Roman"/>
          <w:sz w:val="24"/>
        </w:rPr>
        <w:t xml:space="preserve"> and McKenzie, 2016)</w:t>
      </w:r>
      <w:r>
        <w:rPr>
          <w:rFonts w:ascii="Times New Roman" w:hAnsi="Times New Roman"/>
          <w:sz w:val="24"/>
        </w:rPr>
        <w:t xml:space="preserve">. This mode of education was </w:t>
      </w:r>
      <w:r>
        <w:rPr>
          <w:rFonts w:ascii="Times New Roman" w:hAnsi="Times New Roman"/>
          <w:sz w:val="24"/>
        </w:rPr>
        <w:t xml:space="preserve">utilized this means of distance learning was applied as a means of supplementing and providing the expertise needed in the education of learners. Currently, with private, public schools and universities have an internet connection the state and any other party educating the masses are able to use this course to expand their study programs. However, since the opportunity to </w:t>
      </w:r>
      <w:r>
        <w:rPr>
          <w:rFonts w:ascii="Times New Roman" w:hAnsi="Times New Roman"/>
          <w:sz w:val="24"/>
        </w:rPr>
        <w:t>be able to be educated online was presented to people there developed various issues and concerns. Such included, the lack of teachers and students who are proficient and competent in such technology</w:t>
      </w:r>
      <w:r>
        <w:rPr>
          <w:rFonts w:ascii="Times New Roman" w:hAnsi="Times New Roman"/>
          <w:sz w:val="24"/>
        </w:rPr>
        <w:t xml:space="preserve"> (Martín-Gutiérre and González-Marrero</w:t>
      </w:r>
      <w:r>
        <w:rPr>
          <w:rFonts w:ascii="Times New Roman" w:hAnsi="Times New Roman"/>
          <w:sz w:val="24"/>
        </w:rPr>
        <w:t>, 2017</w:t>
      </w:r>
      <w:r>
        <w:rPr>
          <w:rFonts w:ascii="Times New Roman" w:hAnsi="Times New Roman"/>
          <w:sz w:val="24"/>
        </w:rPr>
        <w:t>)</w:t>
      </w:r>
      <w:r>
        <w:rPr>
          <w:rFonts w:ascii="Times New Roman" w:hAnsi="Times New Roman"/>
          <w:sz w:val="24"/>
        </w:rPr>
        <w:t>. Also, there existed resistance to change and acceptance of this new mode of educating as most faculty were used to the traditional means of a brick and motor type of school environment. Additionally, it developed student passivity and student isolation and their needs to be aware of the student limitations. These issues repr</w:t>
      </w:r>
      <w:r>
        <w:rPr>
          <w:rFonts w:ascii="Times New Roman" w:hAnsi="Times New Roman"/>
          <w:sz w:val="24"/>
        </w:rPr>
        <w:t xml:space="preserve">esented a limited number of the apprehensions towards distance learning and teaching opportunities, though they are legitimate concerns for the significant part these issues were related </w:t>
      </w:r>
      <w:r>
        <w:rPr>
          <w:rFonts w:ascii="Times New Roman" w:hAnsi="Times New Roman"/>
          <w:sz w:val="24"/>
        </w:rPr>
        <w:t>to technological issues and training which had attainable remedies.</w:t>
      </w:r>
      <w:r>
        <w:rPr>
          <w:rFonts w:ascii="Times New Roman" w:hAnsi="Times New Roman"/>
          <w:sz w:val="24"/>
        </w:rPr>
        <w:t xml:space="preserve"> Due to the expansion in the application of standardized testing for the measure of accountability so as the lists for the arguments for overlooking the low achievement of whole categories of learners. </w:t>
      </w:r>
      <w:r>
        <w:rPr>
          <w:rFonts w:ascii="Times New Roman" w:hAnsi="Times New Roman"/>
          <w:sz w:val="24"/>
        </w:rPr>
        <w:t xml:space="preserve">According to </w:t>
      </w:r>
      <w:r>
        <w:rPr>
          <w:rFonts w:ascii="Times New Roman" w:hAnsi="Times New Roman"/>
          <w:sz w:val="24"/>
        </w:rPr>
        <w:t>Sch</w:t>
      </w:r>
      <w:r>
        <w:rPr>
          <w:rFonts w:ascii="Times New Roman" w:hAnsi="Times New Roman"/>
          <w:sz w:val="24"/>
        </w:rPr>
        <w:t xml:space="preserve">neider and Synteta (2017). </w:t>
      </w:r>
      <w:r>
        <w:rPr>
          <w:rFonts w:ascii="Times New Roman" w:hAnsi="Times New Roman"/>
          <w:sz w:val="24"/>
        </w:rPr>
        <w:t xml:space="preserve">These virtual learning environments introduced with the main aim of progressing learners from passive to active learners.  </w:t>
      </w:r>
      <w:r>
        <w:rPr>
          <w:rFonts w:ascii="Times New Roman" w:hAnsi="Times New Roman"/>
          <w:sz w:val="24"/>
        </w:rPr>
        <w:t xml:space="preserve"> </w:t>
      </w:r>
      <w:r>
        <w:rPr>
          <w:rFonts w:ascii="Times New Roman" w:hAnsi="Times New Roman"/>
          <w:sz w:val="24"/>
        </w:rPr>
        <w:t xml:space="preserve">Active learners </w:t>
      </w:r>
      <w:r>
        <w:rPr>
          <w:rFonts w:ascii="Times New Roman" w:hAnsi="Times New Roman"/>
          <w:sz w:val="24"/>
        </w:rPr>
        <w:t>promote</w:t>
      </w:r>
      <w:r>
        <w:rPr>
          <w:rFonts w:ascii="Times New Roman" w:hAnsi="Times New Roman"/>
          <w:sz w:val="24"/>
        </w:rPr>
        <w:t xml:space="preserve"> the innate skills of critical thinking which are important for the transfer of information and the use of acquired information into work settings. </w:t>
      </w:r>
      <w:r>
        <w:rPr>
          <w:rFonts w:ascii="Times New Roman" w:hAnsi="Times New Roman"/>
          <w:sz w:val="24"/>
        </w:rPr>
        <w:t xml:space="preserve">Generally, virtual learning offers some advantages to the process of learning and teaching. This involves solving the instructor's issue of inadequate time for involvement. </w:t>
      </w:r>
      <w:r>
        <w:rPr>
          <w:rFonts w:ascii="Times New Roman" w:hAnsi="Times New Roman"/>
          <w:sz w:val="24"/>
        </w:rPr>
        <w:t>Through</w:t>
      </w:r>
      <w:r>
        <w:rPr>
          <w:rFonts w:ascii="Times New Roman" w:hAnsi="Times New Roman"/>
          <w:sz w:val="24"/>
        </w:rPr>
        <w:t xml:space="preserve"> the learning environments, the instructor is able to best optimize the focus and timeliness of their curriculum to the student'</w:t>
      </w:r>
      <w:r>
        <w:rPr>
          <w:rFonts w:ascii="Times New Roman" w:hAnsi="Times New Roman"/>
          <w:sz w:val="24"/>
        </w:rPr>
        <w:t xml:space="preserve">s and the students, on the other hand, are able best fit into the learning time. </w:t>
      </w:r>
      <w:r>
        <w:rPr>
          <w:rFonts w:ascii="Times New Roman" w:hAnsi="Times New Roman"/>
          <w:sz w:val="24"/>
        </w:rPr>
        <w:t>Also, online delivery presents an advantage as it allows educators to present up to date materials through the provision of links which can be located through websites and sent to students. This means that instead of having to buy textbooks its saves cost as there are readily available for the students</w:t>
      </w:r>
      <w:r>
        <w:rPr>
          <w:rFonts w:ascii="Times New Roman" w:hAnsi="Times New Roman"/>
          <w:sz w:val="24"/>
        </w:rPr>
        <w:t xml:space="preserve"> (Huang and Backman,</w:t>
      </w:r>
      <w:r>
        <w:rPr>
          <w:rFonts w:ascii="Times New Roman" w:hAnsi="Times New Roman"/>
          <w:sz w:val="24"/>
        </w:rPr>
        <w:t xml:space="preserve"> 2010</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This mode of education has mostly proved to be relevant in </w:t>
      </w:r>
      <w:r>
        <w:rPr>
          <w:rFonts w:ascii="Times New Roman" w:hAnsi="Times New Roman"/>
          <w:sz w:val="24"/>
        </w:rPr>
        <w:t>this</w:t>
      </w:r>
      <w:r>
        <w:rPr>
          <w:rFonts w:ascii="Times New Roman" w:hAnsi="Times New Roman"/>
          <w:sz w:val="24"/>
        </w:rPr>
        <w:t xml:space="preserve"> time and age as </w:t>
      </w:r>
      <w:r>
        <w:rPr>
          <w:rFonts w:ascii="Times New Roman" w:hAnsi="Times New Roman"/>
          <w:sz w:val="24"/>
        </w:rPr>
        <w:t>learners</w:t>
      </w:r>
      <w:r>
        <w:rPr>
          <w:rFonts w:ascii="Times New Roman" w:hAnsi="Times New Roman"/>
          <w:sz w:val="24"/>
        </w:rPr>
        <w:t xml:space="preserve"> today are advanced technologically and are more competent as they spend a lot of time communicating and researching for information in the virtual world. </w:t>
      </w:r>
      <w:r>
        <w:rPr>
          <w:rFonts w:ascii="Times New Roman" w:hAnsi="Times New Roman"/>
          <w:sz w:val="24"/>
        </w:rPr>
        <w:t xml:space="preserve">So as to gain the significant benefit of virtual learning environments it is suggested that virtual teaching and learning need to be informative, productive, communicative, collaborative and </w:t>
      </w:r>
      <w:r>
        <w:rPr>
          <w:rFonts w:ascii="Times New Roman" w:hAnsi="Times New Roman"/>
          <w:sz w:val="24"/>
        </w:rPr>
        <w:t>aggravated</w:t>
      </w:r>
      <w:r>
        <w:rPr>
          <w:rFonts w:ascii="Times New Roman" w:hAnsi="Times New Roman"/>
          <w:sz w:val="24"/>
        </w:rPr>
        <w:t xml:space="preserve">.  Productive means that leaners </w:t>
      </w:r>
      <w:r>
        <w:rPr>
          <w:rFonts w:ascii="Times New Roman" w:hAnsi="Times New Roman"/>
          <w:sz w:val="24"/>
        </w:rPr>
        <w:t xml:space="preserve">need to be offered an opportunity </w:t>
      </w:r>
      <w:r>
        <w:rPr>
          <w:rFonts w:ascii="Times New Roman" w:hAnsi="Times New Roman"/>
          <w:sz w:val="24"/>
        </w:rPr>
        <w:t>to best demonstrate their ability to create in the target</w:t>
      </w:r>
      <w:r>
        <w:rPr>
          <w:rFonts w:ascii="Times New Roman" w:hAnsi="Times New Roman"/>
          <w:sz w:val="24"/>
        </w:rPr>
        <w:t xml:space="preserve"> (</w:t>
      </w:r>
      <w:r>
        <w:rPr>
          <w:rFonts w:ascii="Times New Roman" w:hAnsi="Times New Roman"/>
          <w:sz w:val="24"/>
        </w:rPr>
        <w:t>Goldbe</w:t>
      </w:r>
      <w:r>
        <w:rPr>
          <w:rFonts w:ascii="Times New Roman" w:hAnsi="Times New Roman"/>
          <w:sz w:val="24"/>
        </w:rPr>
        <w:t>rg, H.R., and McKhann, G.M., 2018)</w:t>
      </w:r>
      <w:r>
        <w:rPr>
          <w:rFonts w:ascii="Times New Roman" w:hAnsi="Times New Roman"/>
          <w:sz w:val="24"/>
        </w:rPr>
        <w:t xml:space="preserve">. Informative means that the learners need to have the ability to best seek reliable information autonomously and be self-directed and empowered. Collaborative means that the learners need to collaborate towards the completion of tasks that will generate the intense motivation from the </w:t>
      </w:r>
      <w:r>
        <w:rPr>
          <w:rFonts w:ascii="Times New Roman" w:hAnsi="Times New Roman"/>
          <w:sz w:val="24"/>
        </w:rPr>
        <w:t xml:space="preserve">leaners and also encourage peer learning. </w:t>
      </w:r>
      <w:r>
        <w:rPr>
          <w:rFonts w:ascii="Times New Roman" w:hAnsi="Times New Roman"/>
          <w:sz w:val="24"/>
        </w:rPr>
        <w:t>While communicative means that the learning and teaching need to be aimed towards offering the learner</w:t>
      </w:r>
      <w:r>
        <w:rPr>
          <w:rFonts w:ascii="Times New Roman" w:hAnsi="Times New Roman"/>
          <w:sz w:val="24"/>
        </w:rPr>
        <w:t xml:space="preserve">s with the chance to use their </w:t>
      </w:r>
      <w:r>
        <w:rPr>
          <w:rFonts w:ascii="Times New Roman" w:hAnsi="Times New Roman"/>
          <w:sz w:val="24"/>
        </w:rPr>
        <w:t xml:space="preserve">gained skills while </w:t>
      </w:r>
      <w:r>
        <w:rPr>
          <w:rFonts w:ascii="Times New Roman" w:hAnsi="Times New Roman"/>
          <w:sz w:val="24"/>
        </w:rPr>
        <w:t>aggravated</w:t>
      </w:r>
      <w:r>
        <w:rPr>
          <w:rFonts w:ascii="Times New Roman" w:hAnsi="Times New Roman"/>
          <w:sz w:val="24"/>
        </w:rPr>
        <w:t xml:space="preserve"> means the learning and teaching need t</w:t>
      </w:r>
      <w:r>
        <w:rPr>
          <w:rFonts w:ascii="Times New Roman" w:hAnsi="Times New Roman"/>
          <w:sz w:val="24"/>
        </w:rPr>
        <w:t xml:space="preserve">o recognize the multiliteracies </w:t>
      </w:r>
      <w:r>
        <w:rPr>
          <w:rFonts w:ascii="Times New Roman" w:hAnsi="Times New Roman"/>
          <w:sz w:val="24"/>
        </w:rPr>
        <w:t xml:space="preserve">possessed by the leaners. </w:t>
      </w:r>
      <w:r>
        <w:rPr>
          <w:rFonts w:ascii="Times New Roman" w:hAnsi="Times New Roman"/>
          <w:sz w:val="24"/>
        </w:rPr>
        <w:t xml:space="preserve"> The virtual learning and teaching practice bring impact to </w:t>
      </w:r>
      <w:r>
        <w:rPr>
          <w:rFonts w:ascii="Times New Roman" w:hAnsi="Times New Roman"/>
          <w:sz w:val="24"/>
        </w:rPr>
        <w:t>both the learners and educators. According to</w:t>
      </w:r>
      <w:r>
        <w:rPr>
          <w:rFonts w:ascii="Times New Roman" w:hAnsi="Times New Roman"/>
          <w:sz w:val="24"/>
        </w:rPr>
        <w:t xml:space="preserve"> </w:t>
      </w:r>
      <w:r>
        <w:rPr>
          <w:rFonts w:ascii="Times New Roman" w:hAnsi="Times New Roman"/>
          <w:sz w:val="24"/>
        </w:rPr>
        <w:t xml:space="preserve">Acton </w:t>
      </w:r>
      <w:r>
        <w:rPr>
          <w:rFonts w:ascii="Times New Roman" w:hAnsi="Times New Roman"/>
          <w:sz w:val="24"/>
        </w:rPr>
        <w:t>and Golden (201</w:t>
      </w:r>
      <w:r>
        <w:rPr>
          <w:rFonts w:ascii="Times New Roman" w:hAnsi="Times New Roman"/>
          <w:sz w:val="24"/>
        </w:rPr>
        <w:t>9</w:t>
      </w:r>
      <w:r>
        <w:rPr>
          <w:rFonts w:ascii="Times New Roman" w:hAnsi="Times New Roman"/>
          <w:sz w:val="24"/>
        </w:rPr>
        <w:t xml:space="preserve">). </w:t>
      </w:r>
      <w:r>
        <w:rPr>
          <w:rFonts w:ascii="Times New Roman" w:hAnsi="Times New Roman"/>
          <w:sz w:val="24"/>
        </w:rPr>
        <w:t xml:space="preserve">In the part of student responsibilities for leaning it is, therefore, heightened as the students are able to learn and apply digital materials. It significantly impacts the learner's learning style. </w:t>
      </w:r>
      <w:r>
        <w:rPr>
          <w:rFonts w:ascii="Times New Roman" w:hAnsi="Times New Roman"/>
          <w:sz w:val="24"/>
        </w:rPr>
        <w:t>Students</w:t>
      </w:r>
      <w:r>
        <w:rPr>
          <w:rFonts w:ascii="Times New Roman" w:hAnsi="Times New Roman"/>
          <w:sz w:val="24"/>
        </w:rPr>
        <w:t xml:space="preserve"> who are from the </w:t>
      </w:r>
      <w:r>
        <w:rPr>
          <w:rFonts w:ascii="Times New Roman" w:hAnsi="Times New Roman"/>
          <w:sz w:val="24"/>
        </w:rPr>
        <w:t>conventional</w:t>
      </w:r>
      <w:r>
        <w:rPr>
          <w:rFonts w:ascii="Times New Roman" w:hAnsi="Times New Roman"/>
          <w:sz w:val="24"/>
        </w:rPr>
        <w:t xml:space="preserve"> system of learning need to adapt to the modern environment of learning through being more participatory and active. </w:t>
      </w:r>
      <w:r>
        <w:rPr>
          <w:rFonts w:ascii="Times New Roman" w:hAnsi="Times New Roman"/>
          <w:sz w:val="24"/>
        </w:rPr>
        <w:t>For the educators, virtual learning presents a new competency for the</w:t>
      </w:r>
      <w:r>
        <w:rPr>
          <w:rFonts w:ascii="Times New Roman" w:hAnsi="Times New Roman"/>
          <w:sz w:val="24"/>
        </w:rPr>
        <w:t xml:space="preserve"> instructors, this is so as it needs significant flexibility and an understanding of the resources and how to access them and when to apply them for the best effect. </w:t>
      </w:r>
    </w:p>
    <w:p>
      <w:pPr>
        <w:pStyle w:val="Heading1"/>
        <w:jc w:val="both"/>
        <w:rPr>
          <w:rStyle w:val="Normal"/>
          <w:color w:val="2E74B5"/>
          <w:sz w:val="32"/>
          <w:szCs w:val="32"/>
          <w:lang w:bidi="ar_SA" w:eastAsia="en_US" w:val="en_US"/>
        </w:rPr>
      </w:pPr>
      <w:bookmarkStart w:id="4" w:name="_Toc29119055"/>
      <w:r>
        <w:t>Methodology</w:t>
      </w:r>
      <w:bookmarkEnd w:id="4"/>
    </w:p>
    <w:p>
      <w:pPr>
        <w:pStyle w:val="Heading2"/>
        <w:jc w:val="both"/>
        <w:rPr>
          <w:rStyle w:val="Normal"/>
          <w:color w:val="2E74B5"/>
          <w:sz w:val="26"/>
          <w:szCs w:val="26"/>
          <w:lang w:bidi="ar_SA" w:eastAsia="en_US" w:val="en_US"/>
        </w:rPr>
      </w:pPr>
      <w:bookmarkStart w:id="5" w:name="_Toc29119056"/>
      <w:r>
        <w:t xml:space="preserve">Type </w:t>
      </w:r>
      <w:r>
        <w:t>of Research</w:t>
      </w:r>
      <w:bookmarkEnd w:id="5"/>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This type of research is considered field research. Field research is defined to be a study where a researcher observes the </w:t>
      </w:r>
      <w:r>
        <w:rPr>
          <w:rFonts w:ascii="Times New Roman" w:hAnsi="Times New Roman"/>
          <w:sz w:val="24"/>
        </w:rPr>
        <w:t xml:space="preserve">subject while in its natural environment. In our case the </w:t>
      </w:r>
      <w:r>
        <w:rPr>
          <w:rFonts w:ascii="Times New Roman" w:hAnsi="Times New Roman"/>
          <w:sz w:val="24"/>
        </w:rPr>
        <w:t>UWTSD</w:t>
      </w:r>
      <w:r>
        <w:rPr>
          <w:rFonts w:ascii="Times New Roman" w:hAnsi="Times New Roman"/>
          <w:sz w:val="24"/>
        </w:rPr>
        <w:t>.</w:t>
      </w:r>
    </w:p>
    <w:p>
      <w:pPr>
        <w:pStyle w:val="Heading2"/>
        <w:jc w:val="both"/>
        <w:rPr>
          <w:rStyle w:val="Normal"/>
          <w:color w:val="2E74B5"/>
          <w:sz w:val="26"/>
          <w:szCs w:val="26"/>
          <w:lang w:bidi="ar_SA" w:eastAsia="en_US" w:val="en_US"/>
        </w:rPr>
      </w:pPr>
      <w:bookmarkStart w:id="6" w:name="_Toc29119057"/>
      <w:r>
        <w:t>Approach</w:t>
      </w:r>
      <w:bookmarkEnd w:id="6"/>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The research study </w:t>
      </w:r>
      <w:r>
        <w:rPr>
          <w:rFonts w:ascii="Times New Roman" w:hAnsi="Times New Roman"/>
          <w:sz w:val="24"/>
        </w:rPr>
        <w:t>will employ a mix method approach. Mix method refers to empirical research which involves the gathering and evaluation of both quantitative and qualitative data. This type of approach in research data and quantitative data are combined. The mixed designs a</w:t>
      </w:r>
      <w:r>
        <w:rPr>
          <w:rFonts w:ascii="Times New Roman" w:hAnsi="Times New Roman"/>
          <w:sz w:val="24"/>
        </w:rPr>
        <w:t>re categorized into three namely, emended, triangulation and explanatory design. In this research, triangulation design will be implemented. This design is considered a one</w:t>
      </w:r>
      <w:r>
        <w:rPr>
          <w:rFonts w:ascii="Times New Roman" w:hAnsi="Times New Roman"/>
          <w:sz w:val="24"/>
        </w:rPr>
        <w:t>-phase design where there is a collection of two types of data.</w:t>
      </w:r>
      <w:r>
        <w:rPr>
          <w:rFonts w:ascii="Times New Roman" w:hAnsi="Times New Roman"/>
          <w:sz w:val="24"/>
        </w:rPr>
        <w:t xml:space="preserve"> </w:t>
      </w:r>
      <w:r>
        <w:rPr>
          <w:rFonts w:ascii="Times New Roman" w:hAnsi="Times New Roman"/>
          <w:sz w:val="24"/>
        </w:rPr>
        <w:t xml:space="preserve">The data is then collected through primary and secondary sources. Primary sources refer to originally gathered data and information which is done through the use of </w:t>
      </w:r>
      <w:r>
        <w:rPr>
          <w:rFonts w:ascii="Times New Roman" w:hAnsi="Times New Roman"/>
          <w:sz w:val="24"/>
        </w:rPr>
        <w:t xml:space="preserve">questionnaires, interviews and observations and secondary is a reference to other pieces of work associated with their research topic which includes peer-reviewed journals, academic documents, and the </w:t>
      </w:r>
      <w:r>
        <w:rPr>
          <w:rFonts w:ascii="Times New Roman" w:hAnsi="Times New Roman"/>
          <w:sz w:val="24"/>
        </w:rPr>
        <w:t>internet</w:t>
      </w:r>
      <w:r>
        <w:rPr>
          <w:rFonts w:ascii="Times New Roman" w:hAnsi="Times New Roman"/>
          <w:sz w:val="24"/>
        </w:rPr>
        <w:t>.</w:t>
      </w:r>
      <w:r>
        <w:rPr>
          <w:rFonts w:ascii="Times New Roman" w:hAnsi="Times New Roman"/>
          <w:sz w:val="24"/>
        </w:rPr>
        <w:t xml:space="preserve"> </w:t>
      </w:r>
      <w:r>
        <w:rPr>
          <w:rFonts w:ascii="Times New Roman" w:hAnsi="Times New Roman"/>
          <w:sz w:val="24"/>
        </w:rPr>
        <w:t>Therefore</w:t>
      </w:r>
      <w:r>
        <w:rPr>
          <w:rFonts w:ascii="Times New Roman" w:hAnsi="Times New Roman"/>
          <w:sz w:val="24"/>
        </w:rPr>
        <w:t xml:space="preserve">, the results of the qualitative and </w:t>
      </w:r>
      <w:r>
        <w:rPr>
          <w:rFonts w:ascii="Times New Roman" w:hAnsi="Times New Roman"/>
          <w:sz w:val="24"/>
        </w:rPr>
        <w:t>quantitative</w:t>
      </w:r>
      <w:r>
        <w:rPr>
          <w:rFonts w:ascii="Times New Roman" w:hAnsi="Times New Roman"/>
          <w:sz w:val="24"/>
        </w:rPr>
        <w:t xml:space="preserve"> data are combined into a general interpretation. </w:t>
      </w:r>
    </w:p>
    <w:p>
      <w:pPr>
        <w:pStyle w:val="Heading2"/>
        <w:jc w:val="both"/>
        <w:rPr>
          <w:rStyle w:val="Normal"/>
          <w:color w:val="2E74B5"/>
          <w:sz w:val="26"/>
          <w:szCs w:val="26"/>
          <w:lang w:bidi="ar_SA" w:eastAsia="en_US" w:val="en_US"/>
        </w:rPr>
      </w:pPr>
      <w:bookmarkStart w:id="7" w:name="_Toc29119058"/>
      <w:r>
        <w:t>Population and sample</w:t>
      </w:r>
      <w:bookmarkEnd w:id="7"/>
      <w:r>
        <w:t xml:space="preserve"> </w:t>
      </w:r>
    </w:p>
    <w:p>
      <w:pPr>
        <w:spacing w:line="480" w:lineRule="auto"/>
        <w:jc w:val="both"/>
        <w:rPr>
          <w:rFonts w:ascii="Times New Roman" w:hAnsi="Times New Roman"/>
          <w:sz w:val="24"/>
          <w:szCs w:val="22"/>
          <w:lang w:bidi="ar_SA" w:eastAsia="en_US" w:val="en_US"/>
        </w:rPr>
      </w:pPr>
      <w:r>
        <w:rPr>
          <w:rFonts w:ascii="Times New Roman" w:hAnsi="Times New Roman"/>
          <w:sz w:val="24"/>
        </w:rPr>
        <w:t>The population of the re</w:t>
      </w:r>
      <w:r>
        <w:rPr>
          <w:rFonts w:ascii="Times New Roman" w:hAnsi="Times New Roman"/>
          <w:sz w:val="24"/>
        </w:rPr>
        <w:t>search is made up of the students from the University of Wales Trinity Saint David London.</w:t>
      </w:r>
      <w:r>
        <w:rPr>
          <w:rFonts w:ascii="Times New Roman" w:hAnsi="Times New Roman"/>
          <w:sz w:val="24"/>
        </w:rPr>
        <w:t xml:space="preserve"> The selection will be done from those who have learned and had experience with virtual learning environments. The selection of the students will be from the </w:t>
      </w:r>
      <w:r>
        <w:rPr>
          <w:rFonts w:ascii="Times New Roman" w:hAnsi="Times New Roman"/>
          <w:sz w:val="24"/>
        </w:rPr>
        <w:t>second term of</w:t>
      </w:r>
      <w:r>
        <w:rPr>
          <w:rFonts w:ascii="Times New Roman" w:hAnsi="Times New Roman"/>
          <w:sz w:val="24"/>
        </w:rPr>
        <w:t xml:space="preserve"> academic year 2019/2020</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Due to the significant population, the respondents will be chosen by the sample. The technique for sampling to be applied is purposive sampling this will be done through various classes. The table below represents the sample population of students selected.   </w:t>
      </w:r>
    </w:p>
    <w:p>
      <w:pPr>
        <w:spacing w:line="480" w:lineRule="auto"/>
        <w:jc w:val="both"/>
        <w:rPr>
          <w:rFonts w:ascii="Times New Roman" w:hAnsi="Times New Roman"/>
          <w:sz w:val="24"/>
          <w:szCs w:val="22"/>
          <w:lang w:bidi="ar_SA" w:eastAsia="en_US" w:val="en_US"/>
        </w:rPr>
      </w:pPr>
    </w:p>
    <w:tbl>
      <w:tblPr>
        <w:tblStyle w:val="TableGrid"/>
        <w:tblW w:type="auto" w:w="0"/>
        <w:tblLook w:val="04A0"/>
      </w:tblPr>
      <w:tblGrid>
        <w:gridCol w:w="2337"/>
        <w:gridCol w:w="2337"/>
        <w:gridCol w:w="2338"/>
      </w:tblGrid>
      <w:tr>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Number</w:t>
            </w:r>
          </w:p>
        </w:tc>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Class</w:t>
            </w:r>
          </w:p>
        </w:tc>
        <w:tc>
          <w:tcPr>
            <w:tcW w:type="dxa" w:w="2338"/>
          </w:tcPr>
          <w:p>
            <w:pPr>
              <w:spacing w:line="480" w:lineRule="auto"/>
              <w:jc w:val="both"/>
              <w:rPr>
                <w:rFonts w:ascii="Times New Roman" w:hAnsi="Times New Roman"/>
                <w:sz w:val="24"/>
                <w:szCs w:val="22"/>
                <w:lang w:bidi="ar_SA" w:eastAsia="en_US" w:val="en_US"/>
              </w:rPr>
            </w:pPr>
            <w:r>
              <w:rPr>
                <w:rFonts w:ascii="Times New Roman" w:hAnsi="Times New Roman"/>
                <w:sz w:val="24"/>
              </w:rPr>
              <w:t>S</w:t>
            </w:r>
            <w:r>
              <w:rPr>
                <w:rFonts w:ascii="Times New Roman" w:hAnsi="Times New Roman"/>
                <w:sz w:val="24"/>
              </w:rPr>
              <w:t>a</w:t>
            </w:r>
            <w:r>
              <w:rPr>
                <w:rFonts w:ascii="Times New Roman" w:hAnsi="Times New Roman"/>
                <w:sz w:val="24"/>
              </w:rPr>
              <w:t>mple</w:t>
            </w:r>
          </w:p>
        </w:tc>
      </w:tr>
      <w:tr>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1</w:t>
            </w:r>
          </w:p>
        </w:tc>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Group</w:t>
            </w:r>
            <w:r>
              <w:rPr>
                <w:rFonts w:ascii="Times New Roman" w:hAnsi="Times New Roman"/>
                <w:sz w:val="24"/>
              </w:rPr>
              <w:t xml:space="preserve"> </w:t>
            </w:r>
            <w:r>
              <w:rPr>
                <w:rFonts w:ascii="Times New Roman" w:hAnsi="Times New Roman"/>
                <w:sz w:val="24"/>
              </w:rPr>
              <w:t>A</w:t>
            </w:r>
          </w:p>
        </w:tc>
        <w:tc>
          <w:tcPr>
            <w:tcW w:type="dxa" w:w="2338"/>
          </w:tcPr>
          <w:p>
            <w:pPr>
              <w:spacing w:line="480" w:lineRule="auto"/>
              <w:jc w:val="both"/>
              <w:rPr>
                <w:rFonts w:ascii="Times New Roman" w:hAnsi="Times New Roman"/>
                <w:sz w:val="24"/>
                <w:szCs w:val="22"/>
                <w:lang w:bidi="ar_SA" w:eastAsia="en_US" w:val="en_US"/>
              </w:rPr>
            </w:pPr>
            <w:r>
              <w:rPr>
                <w:rFonts w:ascii="Times New Roman" w:hAnsi="Times New Roman"/>
                <w:sz w:val="24"/>
              </w:rPr>
              <w:t>10</w:t>
            </w:r>
          </w:p>
        </w:tc>
      </w:tr>
      <w:tr>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2</w:t>
            </w:r>
          </w:p>
        </w:tc>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Gr</w:t>
            </w:r>
            <w:r>
              <w:rPr>
                <w:rFonts w:ascii="Times New Roman" w:hAnsi="Times New Roman"/>
                <w:sz w:val="24"/>
              </w:rPr>
              <w:t xml:space="preserve">oup </w:t>
            </w:r>
            <w:r>
              <w:rPr>
                <w:rFonts w:ascii="Times New Roman" w:hAnsi="Times New Roman"/>
                <w:sz w:val="24"/>
              </w:rPr>
              <w:t>B</w:t>
            </w:r>
          </w:p>
        </w:tc>
        <w:tc>
          <w:tcPr>
            <w:tcW w:type="dxa" w:w="2338"/>
          </w:tcPr>
          <w:p>
            <w:pPr>
              <w:spacing w:line="480" w:lineRule="auto"/>
              <w:jc w:val="both"/>
              <w:rPr>
                <w:rFonts w:ascii="Times New Roman" w:hAnsi="Times New Roman"/>
                <w:sz w:val="24"/>
                <w:szCs w:val="22"/>
                <w:lang w:bidi="ar_SA" w:eastAsia="en_US" w:val="en_US"/>
              </w:rPr>
            </w:pPr>
            <w:r>
              <w:rPr>
                <w:rFonts w:ascii="Times New Roman" w:hAnsi="Times New Roman"/>
                <w:sz w:val="24"/>
              </w:rPr>
              <w:t>10</w:t>
            </w:r>
          </w:p>
        </w:tc>
      </w:tr>
      <w:tr>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3</w:t>
            </w:r>
          </w:p>
        </w:tc>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H &amp; S (</w:t>
            </w:r>
            <w:r>
              <w:rPr>
                <w:rFonts w:ascii="Times New Roman" w:hAnsi="Times New Roman"/>
                <w:sz w:val="24"/>
              </w:rPr>
              <w:t xml:space="preserve">Group </w:t>
            </w:r>
            <w:r>
              <w:rPr>
                <w:rFonts w:ascii="Times New Roman" w:hAnsi="Times New Roman"/>
                <w:sz w:val="24"/>
              </w:rPr>
              <w:t>A</w:t>
            </w:r>
            <w:r>
              <w:rPr>
                <w:rFonts w:ascii="Times New Roman" w:hAnsi="Times New Roman"/>
                <w:sz w:val="24"/>
              </w:rPr>
              <w:t>)</w:t>
            </w:r>
          </w:p>
        </w:tc>
        <w:tc>
          <w:tcPr>
            <w:tcW w:type="dxa" w:w="2338"/>
          </w:tcPr>
          <w:p>
            <w:pPr>
              <w:spacing w:line="480" w:lineRule="auto"/>
              <w:jc w:val="both"/>
              <w:rPr>
                <w:rFonts w:ascii="Times New Roman" w:hAnsi="Times New Roman"/>
                <w:sz w:val="24"/>
                <w:szCs w:val="22"/>
                <w:lang w:bidi="ar_SA" w:eastAsia="en_US" w:val="en_US"/>
              </w:rPr>
            </w:pPr>
            <w:r>
              <w:rPr>
                <w:rFonts w:ascii="Times New Roman" w:hAnsi="Times New Roman"/>
                <w:sz w:val="24"/>
              </w:rPr>
              <w:t>10</w:t>
            </w:r>
          </w:p>
        </w:tc>
      </w:tr>
      <w:tr>
        <w:tc>
          <w:tcPr>
            <w:tcW w:type="dxa" w:w="2337"/>
          </w:tcPr>
          <w:p>
            <w:pPr>
              <w:spacing w:line="480" w:lineRule="auto"/>
              <w:jc w:val="both"/>
              <w:rPr>
                <w:rFonts w:ascii="Times New Roman" w:hAnsi="Times New Roman"/>
                <w:sz w:val="24"/>
                <w:szCs w:val="22"/>
                <w:lang w:bidi="ar_SA" w:eastAsia="en_US" w:val="en_US"/>
              </w:rPr>
            </w:pPr>
          </w:p>
        </w:tc>
        <w:tc>
          <w:tcPr>
            <w:tcW w:type="dxa" w:w="2337"/>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Total </w:t>
            </w:r>
          </w:p>
        </w:tc>
        <w:tc>
          <w:tcPr>
            <w:tcW w:type="dxa" w:w="2338"/>
          </w:tcPr>
          <w:p>
            <w:pPr>
              <w:spacing w:line="480" w:lineRule="auto"/>
              <w:jc w:val="both"/>
              <w:rPr>
                <w:rFonts w:ascii="Times New Roman" w:hAnsi="Times New Roman"/>
                <w:sz w:val="24"/>
                <w:szCs w:val="22"/>
                <w:lang w:bidi="ar_SA" w:eastAsia="en_US" w:val="en_US"/>
              </w:rPr>
            </w:pPr>
            <w:r>
              <w:rPr>
                <w:rFonts w:ascii="Times New Roman" w:hAnsi="Times New Roman"/>
                <w:sz w:val="24"/>
              </w:rPr>
              <w:t>30</w:t>
            </w:r>
          </w:p>
        </w:tc>
      </w:tr>
    </w:tbl>
    <w:p>
      <w:pPr>
        <w:spacing w:line="480" w:lineRule="auto"/>
        <w:jc w:val="both"/>
        <w:rPr>
          <w:rFonts w:ascii="Times New Roman" w:hAnsi="Times New Roman"/>
          <w:b w:val="1"/>
          <w:i w:val="1"/>
          <w:sz w:val="24"/>
          <w:szCs w:val="22"/>
          <w:lang w:bidi="ar_SA" w:eastAsia="en_US" w:val="en_US"/>
        </w:rPr>
      </w:pPr>
      <w:r>
        <w:rPr>
          <w:rFonts w:ascii="Times New Roman" w:hAnsi="Times New Roman"/>
          <w:b w:val="1"/>
          <w:i w:val="1"/>
          <w:sz w:val="24"/>
        </w:rPr>
        <w:t xml:space="preserve">Table one: Data of </w:t>
      </w:r>
      <w:r>
        <w:rPr>
          <w:rFonts w:ascii="Times New Roman" w:hAnsi="Times New Roman"/>
          <w:b w:val="1"/>
          <w:i w:val="1"/>
          <w:sz w:val="24"/>
        </w:rPr>
        <w:t>Department Students Forth semester year 2019/2020</w:t>
      </w:r>
    </w:p>
    <w:p>
      <w:pPr>
        <w:pStyle w:val="Heading2"/>
        <w:jc w:val="both"/>
        <w:rPr>
          <w:rStyle w:val="Normal"/>
          <w:color w:val="2E74B5"/>
          <w:sz w:val="26"/>
          <w:szCs w:val="26"/>
          <w:lang w:bidi="ar_SA" w:eastAsia="en_US" w:val="en_US"/>
        </w:rPr>
      </w:pPr>
      <w:bookmarkStart w:id="8" w:name="_Toc29119059"/>
      <w:r>
        <w:t>Data Collection Techniques</w:t>
      </w:r>
      <w:bookmarkEnd w:id="8"/>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The data will be gathered through the use of questionnaires and </w:t>
      </w:r>
      <w:r>
        <w:rPr>
          <w:rFonts w:ascii="Times New Roman" w:hAnsi="Times New Roman"/>
          <w:sz w:val="24"/>
        </w:rPr>
        <w:t>documentation. The questionnaire is applied at the initial stage of study so as to identify the impact of VLE o the student's experience, this will be done through the impact on their learning activity.</w:t>
      </w:r>
      <w:r>
        <w:rPr>
          <w:rFonts w:ascii="Times New Roman" w:hAnsi="Times New Roman"/>
          <w:sz w:val="24"/>
        </w:rPr>
        <w:t xml:space="preserve"> The questionnaire is made up of two categories the initial part asked the respondents their opinion and on how they perceive the </w:t>
      </w:r>
      <w:r>
        <w:rPr>
          <w:rFonts w:ascii="Times New Roman" w:hAnsi="Times New Roman"/>
          <w:sz w:val="24"/>
        </w:rPr>
        <w:t xml:space="preserve">use of Virtual learning environments for learning.  And the second part will include four questions that are designed to be open-ended with the aim of data triangulation. </w:t>
      </w:r>
      <w:r>
        <w:rPr>
          <w:rFonts w:ascii="Times New Roman" w:hAnsi="Times New Roman"/>
          <w:sz w:val="24"/>
        </w:rPr>
        <w:t xml:space="preserve">It will be </w:t>
      </w:r>
      <w:r>
        <w:rPr>
          <w:rFonts w:ascii="Times New Roman" w:hAnsi="Times New Roman"/>
          <w:sz w:val="24"/>
        </w:rPr>
        <w:t>asking</w:t>
      </w:r>
      <w:r>
        <w:rPr>
          <w:rFonts w:ascii="Times New Roman" w:hAnsi="Times New Roman"/>
          <w:sz w:val="24"/>
        </w:rPr>
        <w:t xml:space="preserve"> on </w:t>
      </w:r>
      <w:r>
        <w:rPr>
          <w:rFonts w:ascii="Times New Roman" w:hAnsi="Times New Roman"/>
          <w:sz w:val="24"/>
        </w:rPr>
        <w:t>their</w:t>
      </w:r>
      <w:r>
        <w:rPr>
          <w:rFonts w:ascii="Times New Roman" w:hAnsi="Times New Roman"/>
          <w:sz w:val="24"/>
        </w:rPr>
        <w:t xml:space="preserve"> activities, purpose, </w:t>
      </w:r>
      <w:r>
        <w:rPr>
          <w:rFonts w:ascii="Times New Roman" w:hAnsi="Times New Roman"/>
          <w:sz w:val="24"/>
        </w:rPr>
        <w:t>challenges</w:t>
      </w:r>
      <w:r>
        <w:rPr>
          <w:rFonts w:ascii="Times New Roman" w:hAnsi="Times New Roman"/>
          <w:sz w:val="24"/>
        </w:rPr>
        <w:t xml:space="preserve">, and benefits their preference and expectations with regard to virtual learning. </w:t>
      </w:r>
      <w:r>
        <w:rPr>
          <w:rFonts w:ascii="Times New Roman" w:hAnsi="Times New Roman"/>
          <w:sz w:val="24"/>
        </w:rPr>
        <w:t>Documentation will be in the form of records and responses from the finding of the questionnaire.</w:t>
      </w:r>
      <w:r>
        <w:rPr>
          <w:rFonts w:ascii="Times New Roman" w:hAnsi="Times New Roman"/>
          <w:sz w:val="24"/>
        </w:rPr>
        <w:t xml:space="preserve"> The questions will be responded with yes or no responses and others with a scale of degree.</w:t>
      </w:r>
    </w:p>
    <w:p>
      <w:pPr>
        <w:pStyle w:val="Heading1"/>
        <w:jc w:val="both"/>
        <w:rPr>
          <w:rStyle w:val="Normal"/>
          <w:color w:val="2E74B5"/>
          <w:sz w:val="32"/>
          <w:szCs w:val="32"/>
          <w:lang w:bidi="ar_SA" w:eastAsia="en_US" w:val="en_US"/>
        </w:rPr>
      </w:pPr>
      <w:bookmarkStart w:id="9" w:name="_Toc29119060"/>
      <w:r>
        <w:t>Ethical Considerations</w:t>
      </w:r>
      <w:bookmarkEnd w:id="9"/>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Given the nature of the research, the ethical consideration implemented was seeking consent from the </w:t>
      </w:r>
      <w:r>
        <w:rPr>
          <w:rFonts w:ascii="Times New Roman" w:hAnsi="Times New Roman"/>
          <w:sz w:val="24"/>
        </w:rPr>
        <w:t>University and the respondents themselves through the signing of consent forms for acknowledgment of participation in the research.</w:t>
      </w:r>
    </w:p>
    <w:p>
      <w:pPr>
        <w:pStyle w:val="Heading1"/>
        <w:jc w:val="both"/>
        <w:rPr>
          <w:rStyle w:val="Normal"/>
          <w:color w:val="2E74B5"/>
          <w:sz w:val="32"/>
          <w:szCs w:val="32"/>
          <w:lang w:bidi="ar_SA" w:eastAsia="en_US" w:val="en_US"/>
        </w:rPr>
      </w:pPr>
      <w:bookmarkStart w:id="10" w:name="_Toc29119061"/>
      <w:r>
        <w:t>Results</w:t>
      </w:r>
      <w:bookmarkEnd w:id="10"/>
      <w:r>
        <w:t xml:space="preserve"> </w:t>
      </w:r>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Findings from </w:t>
      </w:r>
      <w:r>
        <w:rPr>
          <w:rFonts w:ascii="Times New Roman" w:hAnsi="Times New Roman"/>
          <w:sz w:val="24"/>
        </w:rPr>
        <w:t xml:space="preserve">the research revealed that ninety percent of students who participated in the research preferred Virtual Learning Environments over the conventional learning modes. This was so as students believed that the time constraint solved by the VLE enhanced their </w:t>
      </w:r>
      <w:r>
        <w:rPr>
          <w:rFonts w:ascii="Times New Roman" w:hAnsi="Times New Roman"/>
          <w:sz w:val="24"/>
        </w:rPr>
        <w:t>ability to study a subject at their own pace and this was a benefit for them as they were able to best understand.</w:t>
      </w:r>
    </w:p>
    <w:tbl>
      <w:tblPr>
        <w:tblStyle w:val="TableGrid"/>
        <w:tblW w:type="auto" w:w="0"/>
        <w:tblLook w:val="04A0"/>
      </w:tblPr>
      <w:tblGrid>
        <w:gridCol w:w="4675"/>
        <w:gridCol w:w="4675"/>
      </w:tblGrid>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Question One </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Parentage </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Yes</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90 %</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No</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10 %</w:t>
            </w:r>
          </w:p>
        </w:tc>
      </w:tr>
      <w:tr>
        <w:tc>
          <w:tcPr>
            <w:tcW w:type="dxa" w:w="4675"/>
          </w:tcPr>
          <w:p>
            <w:pPr>
              <w:spacing w:line="480" w:lineRule="auto"/>
              <w:jc w:val="both"/>
              <w:rPr>
                <w:rFonts w:ascii="Times New Roman" w:hAnsi="Times New Roman"/>
                <w:sz w:val="24"/>
                <w:szCs w:val="22"/>
                <w:lang w:bidi="ar_SA" w:eastAsia="en_US" w:val="en_US"/>
              </w:rPr>
            </w:pPr>
          </w:p>
        </w:tc>
        <w:tc>
          <w:tcPr>
            <w:tcW w:type="dxa" w:w="4675"/>
          </w:tcPr>
          <w:p>
            <w:pPr>
              <w:spacing w:line="480" w:lineRule="auto"/>
              <w:jc w:val="both"/>
              <w:rPr>
                <w:rFonts w:ascii="Times New Roman" w:hAnsi="Times New Roman"/>
                <w:sz w:val="24"/>
                <w:szCs w:val="22"/>
                <w:lang w:bidi="ar_SA" w:eastAsia="en_US" w:val="en_US"/>
              </w:rPr>
            </w:pPr>
          </w:p>
        </w:tc>
      </w:tr>
    </w:tbl>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 </w:t>
      </w:r>
      <w:r>
        <w:rPr>
          <w:rFonts w:ascii="Times New Roman" w:hAnsi="Times New Roman"/>
          <w:noProof w:val="1"/>
          <w:sz w:val="24"/>
        </w:rPr>
        <w:drawing>
          <wp:inline distB="0" distL="0" distR="0" distT="0">
            <wp:extent cx="4933950" cy="2219325"/>
            <wp:effectExtent b="9525" l="0" r="0" t="0"/>
            <wp:docPr id="2" name="Chart 2"/>
            <wp:cNvGraphicFramePr/>
            <a:graphic>
              <a:graphicData uri="http://schemas.openxmlformats.org/drawingml/2006/chart">
                <c:chart xmlns:cdr="http://schemas.openxmlformats.org/drawingml/2006/chartDrawing" r:id="rId2"/>
              </a:graphicData>
            </a:graphic>
          </wp:inline>
        </w:drawing>
      </w: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The findings also revealed that most of the students found that the Virtual </w:t>
      </w:r>
      <w:r>
        <w:rPr>
          <w:rFonts w:ascii="Times New Roman" w:hAnsi="Times New Roman"/>
          <w:sz w:val="24"/>
        </w:rPr>
        <w:t>learning experience was better compared to the conventional mode of learning. This was so as most students found that the environment offered them an opportunity to be able to organize their own learning schedule according to their learning strengths and l</w:t>
      </w:r>
      <w:r>
        <w:rPr>
          <w:rFonts w:ascii="Times New Roman" w:hAnsi="Times New Roman"/>
          <w:sz w:val="24"/>
        </w:rPr>
        <w:t>imitations.</w:t>
      </w:r>
    </w:p>
    <w:tbl>
      <w:tblPr>
        <w:tblStyle w:val="TableGrid"/>
        <w:tblW w:type="auto" w:w="0"/>
        <w:tblLook w:val="04A0"/>
      </w:tblPr>
      <w:tblGrid>
        <w:gridCol w:w="4675"/>
        <w:gridCol w:w="4675"/>
      </w:tblGrid>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Question Two </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Percentage </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Low </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10%</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Medium </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40%</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High</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50%</w:t>
            </w:r>
          </w:p>
        </w:tc>
      </w:tr>
    </w:tbl>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r>
        <w:rPr>
          <w:rFonts w:ascii="Times New Roman" w:hAnsi="Times New Roman"/>
          <w:noProof w:val="1"/>
          <w:sz w:val="24"/>
        </w:rPr>
        <w:drawing>
          <wp:inline distB="0" distL="0" distR="0" distT="0">
            <wp:extent cx="5486400" cy="3200400"/>
            <wp:effectExtent b="0" l="0" r="0" t="0"/>
            <wp:docPr id="3" name="Chart 3"/>
            <wp:cNvGraphicFramePr/>
            <a:graphic>
              <a:graphicData uri="http://schemas.openxmlformats.org/drawingml/2006/chart">
                <c:chart xmlns:cdr="http://schemas.openxmlformats.org/drawingml/2006/chartDrawing" r:id="rId3"/>
              </a:graphicData>
            </a:graphic>
          </wp:inline>
        </w:drawing>
      </w:r>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 Response from the respondents further highlighted that the Virtual learning environments improved student’</w:t>
      </w:r>
      <w:r>
        <w:rPr>
          <w:rFonts w:ascii="Times New Roman" w:hAnsi="Times New Roman"/>
          <w:sz w:val="24"/>
        </w:rPr>
        <w:t xml:space="preserve">s experience by improving their performance in terms of knowledge gathering and retention </w:t>
      </w:r>
      <w:r>
        <w:rPr>
          <w:rFonts w:ascii="Times New Roman" w:hAnsi="Times New Roman"/>
          <w:sz w:val="24"/>
        </w:rPr>
        <w:t>as the environments present an opportunity for the learner to indulge in further study and research and also encourages peer education.</w:t>
      </w:r>
    </w:p>
    <w:tbl>
      <w:tblPr>
        <w:tblStyle w:val="TableGrid"/>
        <w:tblW w:type="auto" w:w="0"/>
        <w:tblLook w:val="04A0"/>
      </w:tblPr>
      <w:tblGrid>
        <w:gridCol w:w="4675"/>
        <w:gridCol w:w="4675"/>
      </w:tblGrid>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Question Three</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Percentage </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Yes</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70%</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No</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30%</w:t>
            </w:r>
          </w:p>
        </w:tc>
      </w:tr>
    </w:tbl>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r>
        <w:rPr>
          <w:rFonts w:ascii="Times New Roman" w:hAnsi="Times New Roman"/>
          <w:noProof w:val="1"/>
          <w:sz w:val="24"/>
        </w:rPr>
        <w:drawing>
          <wp:inline distB="0" distL="0" distR="0" distT="0">
            <wp:extent cx="5219700" cy="2219325"/>
            <wp:effectExtent b="9525" l="0" r="0" t="0"/>
            <wp:docPr id="4" name="Chart 4"/>
            <wp:cNvGraphicFramePr/>
            <a:graphic>
              <a:graphicData uri="http://schemas.openxmlformats.org/drawingml/2006/chart">
                <c:chart xmlns:cdr="http://schemas.openxmlformats.org/drawingml/2006/chartDrawing" r:id="rId4"/>
              </a:graphicData>
            </a:graphic>
          </wp:inline>
        </w:drawing>
      </w:r>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And finally, the study revealed that most of the respondents found a Virtual learning environment of significant relevance to their learning competencies. As it presented many opportunities to the </w:t>
      </w:r>
      <w:r>
        <w:rPr>
          <w:rFonts w:ascii="Times New Roman" w:hAnsi="Times New Roman"/>
          <w:sz w:val="24"/>
        </w:rPr>
        <w:t>learners</w:t>
      </w:r>
      <w:r>
        <w:rPr>
          <w:rFonts w:ascii="Times New Roman" w:hAnsi="Times New Roman"/>
          <w:sz w:val="24"/>
        </w:rPr>
        <w:t xml:space="preserve"> and also educators in making the learning-teaching</w:t>
      </w:r>
      <w:r>
        <w:rPr>
          <w:rFonts w:ascii="Times New Roman" w:hAnsi="Times New Roman"/>
          <w:sz w:val="24"/>
        </w:rPr>
        <w:t xml:space="preserve"> process more bearable and effective, as they are able to best track their progress and adjust accordingly to meet criteria.</w:t>
      </w:r>
    </w:p>
    <w:tbl>
      <w:tblPr>
        <w:tblStyle w:val="TableGrid"/>
        <w:tblW w:type="auto" w:w="0"/>
        <w:tblLook w:val="04A0"/>
      </w:tblPr>
      <w:tblGrid>
        <w:gridCol w:w="4675"/>
        <w:gridCol w:w="4675"/>
      </w:tblGrid>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Question Four</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Percentage</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Low</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20%</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Medium</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30%</w:t>
            </w:r>
          </w:p>
        </w:tc>
      </w:tr>
      <w:tr>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High</w:t>
            </w:r>
          </w:p>
        </w:tc>
        <w:tc>
          <w:tcPr>
            <w:tcW w:type="dxa" w:w="4675"/>
          </w:tcPr>
          <w:p>
            <w:pPr>
              <w:spacing w:line="480" w:lineRule="auto"/>
              <w:jc w:val="both"/>
              <w:rPr>
                <w:rFonts w:ascii="Times New Roman" w:hAnsi="Times New Roman"/>
                <w:sz w:val="24"/>
                <w:szCs w:val="22"/>
                <w:lang w:bidi="ar_SA" w:eastAsia="en_US" w:val="en_US"/>
              </w:rPr>
            </w:pPr>
            <w:r>
              <w:rPr>
                <w:rFonts w:ascii="Times New Roman" w:hAnsi="Times New Roman"/>
                <w:sz w:val="24"/>
              </w:rPr>
              <w:t>50 %</w:t>
            </w:r>
          </w:p>
        </w:tc>
      </w:tr>
    </w:tbl>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r>
        <w:rPr>
          <w:rFonts w:ascii="Times New Roman" w:hAnsi="Times New Roman"/>
          <w:noProof w:val="1"/>
          <w:sz w:val="24"/>
        </w:rPr>
        <w:drawing>
          <wp:inline distB="0" distL="0" distR="0" distT="0">
            <wp:extent cx="5724525" cy="2552700"/>
            <wp:effectExtent b="0" l="0" r="9525" t="0"/>
            <wp:docPr id="5" name="Chart 5"/>
            <wp:cNvGraphicFramePr/>
            <a:graphic>
              <a:graphicData uri="http://schemas.openxmlformats.org/drawingml/2006/chart">
                <c:chart xmlns:cdr="http://schemas.openxmlformats.org/drawingml/2006/chartDrawing" r:id="rId5"/>
              </a:graphicData>
            </a:graphic>
          </wp:inline>
        </w:drawing>
      </w:r>
    </w:p>
    <w:p>
      <w:pPr>
        <w:pStyle w:val="Heading1"/>
        <w:jc w:val="both"/>
        <w:rPr>
          <w:rStyle w:val="Normal"/>
          <w:color w:val="2E74B5"/>
          <w:sz w:val="32"/>
          <w:szCs w:val="32"/>
          <w:lang w:bidi="ar_SA" w:eastAsia="en_US" w:val="en_US"/>
        </w:rPr>
      </w:pPr>
      <w:bookmarkStart w:id="11" w:name="_Toc29119062"/>
      <w:r>
        <w:t>Limitations</w:t>
      </w:r>
      <w:bookmarkEnd w:id="11"/>
      <w:r>
        <w:t xml:space="preserve"> </w:t>
      </w:r>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The research was conducted successfully however, </w:t>
      </w:r>
      <w:r>
        <w:rPr>
          <w:rFonts w:ascii="Times New Roman" w:hAnsi="Times New Roman"/>
          <w:sz w:val="24"/>
        </w:rPr>
        <w:t>there were few limitations as some of the participants of the research were late for the study and the res</w:t>
      </w:r>
      <w:r>
        <w:rPr>
          <w:rFonts w:ascii="Times New Roman" w:hAnsi="Times New Roman"/>
          <w:sz w:val="24"/>
        </w:rPr>
        <w:t>earch had to be delayed for few</w:t>
      </w:r>
      <w:r>
        <w:rPr>
          <w:rFonts w:ascii="Times New Roman" w:hAnsi="Times New Roman"/>
          <w:sz w:val="24"/>
        </w:rPr>
        <w:t xml:space="preserve">. minutes.  </w:t>
      </w:r>
    </w:p>
    <w:p>
      <w:pPr>
        <w:pStyle w:val="Heading1"/>
        <w:jc w:val="both"/>
        <w:rPr>
          <w:rStyle w:val="Normal"/>
          <w:color w:val="2E74B5"/>
          <w:sz w:val="32"/>
          <w:szCs w:val="32"/>
          <w:lang w:bidi="ar_SA" w:eastAsia="en_US" w:val="en_US"/>
        </w:rPr>
      </w:pPr>
      <w:bookmarkStart w:id="12" w:name="_Toc29119063"/>
      <w:r>
        <w:t>Conclusion</w:t>
      </w:r>
      <w:bookmarkEnd w:id="12"/>
    </w:p>
    <w:p>
      <w:pPr>
        <w:spacing w:line="480" w:lineRule="auto"/>
        <w:jc w:val="both"/>
        <w:rPr>
          <w:rFonts w:ascii="Times New Roman" w:hAnsi="Times New Roman"/>
          <w:sz w:val="24"/>
          <w:szCs w:val="22"/>
          <w:lang w:bidi="ar_SA" w:eastAsia="en_US" w:val="en_US"/>
        </w:rPr>
      </w:pPr>
      <w:r>
        <w:rPr>
          <w:rFonts w:ascii="Times New Roman" w:hAnsi="Times New Roman"/>
          <w:sz w:val="24"/>
        </w:rPr>
        <w:t xml:space="preserve">In conclusion, it is safe to say that virtual learning, in general, has a significant positive </w:t>
      </w:r>
      <w:r>
        <w:rPr>
          <w:rFonts w:ascii="Times New Roman" w:hAnsi="Times New Roman"/>
          <w:sz w:val="24"/>
        </w:rPr>
        <w:t xml:space="preserve">impact on the student's experience. The research findings reeled that participation and implementation of virtual learning environments where learners and educators are able to share materials and post-learning materials improve and help in learning. </w:t>
      </w:r>
      <w:r>
        <w:rPr>
          <w:rFonts w:ascii="Times New Roman" w:hAnsi="Times New Roman"/>
          <w:sz w:val="24"/>
        </w:rPr>
        <w:t xml:space="preserve">And it is recommended that virtual learning be introduced into learning facilities to complement the </w:t>
      </w:r>
      <w:r>
        <w:rPr>
          <w:rFonts w:ascii="Times New Roman" w:hAnsi="Times New Roman"/>
          <w:sz w:val="24"/>
        </w:rPr>
        <w:t>existing</w:t>
      </w:r>
      <w:r>
        <w:rPr>
          <w:rFonts w:ascii="Times New Roman" w:hAnsi="Times New Roman"/>
          <w:sz w:val="24"/>
        </w:rPr>
        <w:t xml:space="preserve"> modes of teaching and learning for the </w:t>
      </w:r>
      <w:r>
        <w:rPr>
          <w:rFonts w:ascii="Times New Roman" w:hAnsi="Times New Roman"/>
          <w:sz w:val="24"/>
        </w:rPr>
        <w:t>betterment of the learning process.</w:t>
      </w: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pStyle w:val="Heading1"/>
        <w:jc w:val="both"/>
        <w:rPr>
          <w:rStyle w:val="Normal"/>
          <w:color w:val="2E74B5"/>
          <w:sz w:val="32"/>
          <w:szCs w:val="32"/>
          <w:lang w:bidi="ar_SA" w:eastAsia="en_US" w:val="en_US"/>
        </w:rPr>
      </w:pPr>
      <w:bookmarkStart w:id="13" w:name="_Toc29119064"/>
      <w:r>
        <w:t>Reference List</w:t>
      </w:r>
      <w:bookmarkEnd w:id="13"/>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Follows, S.B., 201</w:t>
      </w:r>
      <w:r>
        <w:rPr>
          <w:rFonts w:ascii="Times New Roman" w:hAnsi="Times New Roman"/>
          <w:sz w:val="24"/>
        </w:rPr>
        <w:t>9. Virtual learning environments. </w:t>
      </w:r>
      <w:r>
        <w:rPr>
          <w:rFonts w:ascii="Times New Roman" w:hAnsi="Times New Roman"/>
          <w:i w:val="1"/>
          <w:iCs w:val="1"/>
          <w:sz w:val="24"/>
        </w:rPr>
        <w:t>The Journal</w:t>
      </w:r>
      <w:r>
        <w:rPr>
          <w:rFonts w:ascii="Times New Roman" w:hAnsi="Times New Roman"/>
          <w:sz w:val="24"/>
        </w:rPr>
        <w:t>, </w:t>
      </w:r>
      <w:r>
        <w:rPr>
          <w:rFonts w:ascii="Times New Roman" w:hAnsi="Times New Roman"/>
          <w:i w:val="1"/>
          <w:iCs w:val="1"/>
          <w:sz w:val="24"/>
        </w:rPr>
        <w:t>27</w:t>
      </w:r>
      <w:r>
        <w:rPr>
          <w:rFonts w:ascii="Times New Roman" w:hAnsi="Times New Roman"/>
          <w:sz w:val="24"/>
        </w:rPr>
        <w:t>(4).</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Gannon-</w:t>
      </w:r>
      <w:r>
        <w:rPr>
          <w:rFonts w:ascii="Times New Roman" w:hAnsi="Times New Roman"/>
          <w:sz w:val="24"/>
        </w:rPr>
        <w:t>Leary, P. and Fontainha, E., 201</w:t>
      </w:r>
      <w:r>
        <w:rPr>
          <w:rFonts w:ascii="Times New Roman" w:hAnsi="Times New Roman"/>
          <w:sz w:val="24"/>
        </w:rPr>
        <w:t>7. Communities of Practice and virtual learning communities: benefits, barriers and success factors. </w:t>
      </w:r>
      <w:r>
        <w:rPr>
          <w:rFonts w:ascii="Times New Roman" w:hAnsi="Times New Roman"/>
          <w:i w:val="1"/>
          <w:iCs w:val="1"/>
          <w:sz w:val="24"/>
        </w:rPr>
        <w:t>Barriers and Success Factors. eLearning Papers</w:t>
      </w:r>
      <w:r>
        <w:rPr>
          <w:rFonts w:ascii="Times New Roman" w:hAnsi="Times New Roman"/>
          <w:sz w:val="24"/>
        </w:rPr>
        <w:t>, (5).</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Stonebrake</w:t>
      </w:r>
      <w:r>
        <w:rPr>
          <w:rFonts w:ascii="Times New Roman" w:hAnsi="Times New Roman"/>
          <w:sz w:val="24"/>
        </w:rPr>
        <w:t>r, P.W. and Hazeltine, J.E., 201</w:t>
      </w:r>
      <w:r>
        <w:rPr>
          <w:rFonts w:ascii="Times New Roman" w:hAnsi="Times New Roman"/>
          <w:sz w:val="24"/>
        </w:rPr>
        <w:t xml:space="preserve">4. </w:t>
      </w:r>
      <w:r>
        <w:rPr>
          <w:rFonts w:ascii="Times New Roman" w:hAnsi="Times New Roman"/>
          <w:sz w:val="24"/>
        </w:rPr>
        <w:t>Virtual learning effectiveness: An examination of the process. </w:t>
      </w:r>
      <w:r>
        <w:rPr>
          <w:rFonts w:ascii="Times New Roman" w:hAnsi="Times New Roman"/>
          <w:i w:val="1"/>
          <w:iCs w:val="1"/>
          <w:sz w:val="24"/>
        </w:rPr>
        <w:t>The Learning Organization</w:t>
      </w:r>
      <w:r>
        <w:rPr>
          <w:rFonts w:ascii="Times New Roman" w:hAnsi="Times New Roman"/>
          <w:sz w:val="24"/>
        </w:rPr>
        <w:t>, </w:t>
      </w:r>
      <w:r>
        <w:rPr>
          <w:rFonts w:ascii="Times New Roman" w:hAnsi="Times New Roman"/>
          <w:i w:val="1"/>
          <w:iCs w:val="1"/>
          <w:sz w:val="24"/>
        </w:rPr>
        <w:t>11</w:t>
      </w:r>
      <w:r>
        <w:rPr>
          <w:rFonts w:ascii="Times New Roman" w:hAnsi="Times New Roman"/>
          <w:sz w:val="24"/>
        </w:rPr>
        <w:t>(3), pp.209-225.</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Gulz, A., 201</w:t>
      </w:r>
      <w:r>
        <w:rPr>
          <w:rFonts w:ascii="Times New Roman" w:hAnsi="Times New Roman"/>
          <w:sz w:val="24"/>
        </w:rPr>
        <w:t xml:space="preserve">4. Benefits of virtual characters in computer-based learning environments: Claims and evidence. </w:t>
      </w:r>
      <w:r>
        <w:rPr>
          <w:rFonts w:ascii="Times New Roman" w:hAnsi="Times New Roman"/>
          <w:i w:val="1"/>
          <w:iCs w:val="1"/>
          <w:sz w:val="24"/>
        </w:rPr>
        <w:t>International Journal of Artificial In</w:t>
      </w:r>
      <w:r>
        <w:rPr>
          <w:rFonts w:ascii="Times New Roman" w:hAnsi="Times New Roman"/>
          <w:i w:val="1"/>
          <w:iCs w:val="1"/>
          <w:sz w:val="24"/>
        </w:rPr>
        <w:t>telligence in Education</w:t>
      </w:r>
      <w:r>
        <w:rPr>
          <w:rFonts w:ascii="Times New Roman" w:hAnsi="Times New Roman"/>
          <w:sz w:val="24"/>
        </w:rPr>
        <w:t>, </w:t>
      </w:r>
      <w:r>
        <w:rPr>
          <w:rFonts w:ascii="Times New Roman" w:hAnsi="Times New Roman"/>
          <w:i w:val="1"/>
          <w:iCs w:val="1"/>
          <w:sz w:val="24"/>
        </w:rPr>
        <w:t>14</w:t>
      </w:r>
      <w:r>
        <w:rPr>
          <w:rFonts w:ascii="Times New Roman" w:hAnsi="Times New Roman"/>
          <w:sz w:val="24"/>
        </w:rPr>
        <w:t>(3, 4), pp.313-334.</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McFadden</w:t>
      </w:r>
      <w:r>
        <w:rPr>
          <w:rFonts w:ascii="Times New Roman" w:hAnsi="Times New Roman"/>
          <w:sz w:val="24"/>
        </w:rPr>
        <w:t>, E. and McKenzie, J., 2016</w:t>
      </w:r>
      <w:r>
        <w:rPr>
          <w:rFonts w:ascii="Times New Roman" w:hAnsi="Times New Roman"/>
          <w:sz w:val="24"/>
        </w:rPr>
        <w:t>. Facilitating virtual learning groups: A practical approach. </w:t>
      </w:r>
      <w:r>
        <w:rPr>
          <w:rFonts w:ascii="Times New Roman" w:hAnsi="Times New Roman"/>
          <w:i w:val="1"/>
          <w:iCs w:val="1"/>
          <w:sz w:val="24"/>
        </w:rPr>
        <w:t>Journal of Management Development</w:t>
      </w:r>
      <w:r>
        <w:rPr>
          <w:rFonts w:ascii="Times New Roman" w:hAnsi="Times New Roman"/>
          <w:sz w:val="24"/>
        </w:rPr>
        <w:t>, </w:t>
      </w:r>
      <w:r>
        <w:rPr>
          <w:rFonts w:ascii="Times New Roman" w:hAnsi="Times New Roman"/>
          <w:i w:val="1"/>
          <w:iCs w:val="1"/>
          <w:sz w:val="24"/>
        </w:rPr>
        <w:t>20</w:t>
      </w:r>
      <w:r>
        <w:rPr>
          <w:rFonts w:ascii="Times New Roman" w:hAnsi="Times New Roman"/>
          <w:sz w:val="24"/>
        </w:rPr>
        <w:t>(6), pp.470-494.</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 xml:space="preserve">Martín-Gutiérrez, J </w:t>
      </w:r>
      <w:r>
        <w:rPr>
          <w:rFonts w:ascii="Times New Roman" w:hAnsi="Times New Roman"/>
          <w:sz w:val="24"/>
        </w:rPr>
        <w:t>and González-Marrero, A., 2017. Virtual technologies trends in education. </w:t>
      </w:r>
      <w:r>
        <w:rPr>
          <w:rFonts w:ascii="Times New Roman" w:hAnsi="Times New Roman"/>
          <w:i w:val="1"/>
          <w:iCs w:val="1"/>
          <w:sz w:val="24"/>
        </w:rPr>
        <w:t>EURASIA Journal of Mathematics Science and Technology Education</w:t>
      </w:r>
      <w:r>
        <w:rPr>
          <w:rFonts w:ascii="Times New Roman" w:hAnsi="Times New Roman"/>
          <w:sz w:val="24"/>
        </w:rPr>
        <w:t>, </w:t>
      </w:r>
      <w:r>
        <w:rPr>
          <w:rFonts w:ascii="Times New Roman" w:hAnsi="Times New Roman"/>
          <w:i w:val="1"/>
          <w:iCs w:val="1"/>
          <w:sz w:val="24"/>
        </w:rPr>
        <w:t>13</w:t>
      </w:r>
      <w:r>
        <w:rPr>
          <w:rFonts w:ascii="Times New Roman" w:hAnsi="Times New Roman"/>
          <w:sz w:val="24"/>
        </w:rPr>
        <w:t>(2), pp.469-486.</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 xml:space="preserve">Acton, T, </w:t>
      </w:r>
      <w:r>
        <w:rPr>
          <w:rFonts w:ascii="Times New Roman" w:hAnsi="Times New Roman"/>
          <w:sz w:val="24"/>
        </w:rPr>
        <w:t>and Golden, W., 201</w:t>
      </w:r>
      <w:r>
        <w:rPr>
          <w:rFonts w:ascii="Times New Roman" w:hAnsi="Times New Roman"/>
          <w:sz w:val="24"/>
        </w:rPr>
        <w:t>9. DeLone &amp; McLean success model as a descriptive tool in evaluating the use of a virtual learning environment.</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Sch</w:t>
      </w:r>
      <w:r>
        <w:rPr>
          <w:rFonts w:ascii="Times New Roman" w:hAnsi="Times New Roman"/>
          <w:sz w:val="24"/>
        </w:rPr>
        <w:t>neider, D. and Synteta, P., 2017</w:t>
      </w:r>
      <w:r>
        <w:rPr>
          <w:rFonts w:ascii="Times New Roman" w:hAnsi="Times New Roman"/>
          <w:sz w:val="24"/>
        </w:rPr>
        <w:t>. Virtual learning environments. In </w:t>
      </w:r>
      <w:r>
        <w:rPr>
          <w:rFonts w:ascii="Times New Roman" w:hAnsi="Times New Roman"/>
          <w:i w:val="1"/>
          <w:iCs w:val="1"/>
          <w:sz w:val="24"/>
        </w:rPr>
        <w:t>3rd Hellenic Conference" Information &amp; Communication Technologies in Education"</w:t>
      </w:r>
      <w:r>
        <w:rPr>
          <w:rFonts w:ascii="Times New Roman" w:hAnsi="Times New Roman"/>
          <w:sz w:val="24"/>
        </w:rPr>
        <w:t> (pp. 3-18). Kastaniotis Editions, Greece.</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Goldbe</w:t>
      </w:r>
      <w:r>
        <w:rPr>
          <w:rFonts w:ascii="Times New Roman" w:hAnsi="Times New Roman"/>
          <w:sz w:val="24"/>
        </w:rPr>
        <w:t>rg, H.R., and McKhann, G.M., 2018</w:t>
      </w:r>
      <w:r>
        <w:rPr>
          <w:rFonts w:ascii="Times New Roman" w:hAnsi="Times New Roman"/>
          <w:sz w:val="24"/>
        </w:rPr>
        <w:t xml:space="preserve">. Student test </w:t>
      </w:r>
      <w:r>
        <w:rPr>
          <w:rFonts w:ascii="Times New Roman" w:hAnsi="Times New Roman"/>
          <w:sz w:val="24"/>
        </w:rPr>
        <w:t>scores are improved in a virtual learning environment. </w:t>
      </w:r>
      <w:r>
        <w:rPr>
          <w:rFonts w:ascii="Times New Roman" w:hAnsi="Times New Roman"/>
          <w:i w:val="1"/>
          <w:iCs w:val="1"/>
          <w:sz w:val="24"/>
        </w:rPr>
        <w:t>Advances in physiology education</w:t>
      </w:r>
      <w:r>
        <w:rPr>
          <w:rFonts w:ascii="Times New Roman" w:hAnsi="Times New Roman"/>
          <w:sz w:val="24"/>
        </w:rPr>
        <w:t>, </w:t>
      </w:r>
      <w:r>
        <w:rPr>
          <w:rFonts w:ascii="Times New Roman" w:hAnsi="Times New Roman"/>
          <w:i w:val="1"/>
          <w:iCs w:val="1"/>
          <w:sz w:val="24"/>
        </w:rPr>
        <w:t>23</w:t>
      </w:r>
      <w:r>
        <w:rPr>
          <w:rFonts w:ascii="Times New Roman" w:hAnsi="Times New Roman"/>
          <w:sz w:val="24"/>
        </w:rPr>
        <w:t>(1), pp. S59-66.</w:t>
      </w:r>
    </w:p>
    <w:p>
      <w:pPr>
        <w:spacing w:line="480" w:lineRule="auto"/>
        <w:ind w:hanging="720" w:left="720"/>
        <w:jc w:val="both"/>
        <w:rPr>
          <w:rFonts w:ascii="Times New Roman" w:hAnsi="Times New Roman"/>
          <w:sz w:val="24"/>
          <w:szCs w:val="22"/>
          <w:lang w:bidi="ar_SA" w:eastAsia="en_US" w:val="en_US"/>
        </w:rPr>
      </w:pPr>
      <w:r>
        <w:rPr>
          <w:rFonts w:ascii="Times New Roman" w:hAnsi="Times New Roman"/>
          <w:sz w:val="24"/>
        </w:rPr>
        <w:t>Huang, Y.C.</w:t>
      </w:r>
      <w:r>
        <w:rPr>
          <w:rFonts w:ascii="Times New Roman" w:hAnsi="Times New Roman"/>
          <w:sz w:val="24"/>
        </w:rPr>
        <w:t xml:space="preserve"> </w:t>
      </w:r>
      <w:r>
        <w:rPr>
          <w:rFonts w:ascii="Times New Roman" w:hAnsi="Times New Roman"/>
          <w:sz w:val="24"/>
        </w:rPr>
        <w:t>and Backman, K.F., 2010. Student attitude toward virtual learning in second life: A flow theory approach. </w:t>
      </w:r>
      <w:r>
        <w:rPr>
          <w:rFonts w:ascii="Times New Roman" w:hAnsi="Times New Roman"/>
          <w:i w:val="1"/>
          <w:iCs w:val="1"/>
          <w:sz w:val="24"/>
        </w:rPr>
        <w:t xml:space="preserve">Journal of Teaching in Travel </w:t>
      </w:r>
      <w:r>
        <w:rPr>
          <w:rFonts w:ascii="Times New Roman" w:hAnsi="Times New Roman"/>
          <w:i w:val="1"/>
          <w:iCs w:val="1"/>
          <w:sz w:val="24"/>
        </w:rPr>
        <w:t>&amp; Tourism</w:t>
      </w:r>
      <w:r>
        <w:rPr>
          <w:rFonts w:ascii="Times New Roman" w:hAnsi="Times New Roman"/>
          <w:sz w:val="24"/>
        </w:rPr>
        <w:t>, </w:t>
      </w:r>
      <w:r>
        <w:rPr>
          <w:rFonts w:ascii="Times New Roman" w:hAnsi="Times New Roman"/>
          <w:i w:val="1"/>
          <w:iCs w:val="1"/>
          <w:sz w:val="24"/>
        </w:rPr>
        <w:t>10</w:t>
      </w:r>
      <w:r>
        <w:rPr>
          <w:rFonts w:ascii="Times New Roman" w:hAnsi="Times New Roman"/>
          <w:sz w:val="24"/>
        </w:rPr>
        <w:t>(4), pp.312-334.</w:t>
      </w:r>
    </w:p>
    <w:p>
      <w:pPr>
        <w:pStyle w:val="Heading1"/>
        <w:jc w:val="both"/>
        <w:rPr>
          <w:rStyle w:val="Normal"/>
          <w:color w:val="2E74B5"/>
          <w:sz w:val="32"/>
          <w:szCs w:val="32"/>
          <w:lang w:bidi="ar_SA" w:eastAsia="en_US" w:val="en_US"/>
        </w:rPr>
      </w:pPr>
    </w:p>
    <w:p>
      <w:pPr>
        <w:pStyle w:val="Heading1"/>
        <w:jc w:val="both"/>
        <w:rPr>
          <w:rStyle w:val="Normal"/>
          <w:color w:val="2E74B5"/>
          <w:sz w:val="32"/>
          <w:szCs w:val="32"/>
          <w:lang w:bidi="ar_SA" w:eastAsia="en_US" w:val="en_US"/>
        </w:rPr>
      </w:pPr>
      <w:bookmarkStart w:id="14" w:name="_Toc29119065"/>
      <w:r>
        <w:t>Appendix</w:t>
      </w:r>
      <w:bookmarkEnd w:id="14"/>
    </w:p>
    <w:p>
      <w:pPr>
        <w:pStyle w:val="Heading2"/>
        <w:jc w:val="both"/>
        <w:rPr>
          <w:rStyle w:val="Normal"/>
          <w:color w:val="2E74B5"/>
          <w:sz w:val="26"/>
          <w:szCs w:val="26"/>
          <w:lang w:bidi="ar_SA" w:eastAsia="en_US" w:val="en_US"/>
        </w:rPr>
      </w:pPr>
      <w:bookmarkStart w:id="15" w:name="_Toc29119066"/>
      <w:r>
        <w:t>Questionnaire</w:t>
      </w:r>
      <w:bookmarkEnd w:id="15"/>
      <w:r>
        <w:t xml:space="preserve"> </w:t>
      </w:r>
    </w:p>
    <w:tbl>
      <w:tblPr>
        <w:tblStyle w:val="TableGrid"/>
        <w:tblW w:type="auto" w:w="0"/>
        <w:tblLook w:val="04A0"/>
      </w:tblPr>
      <w:tblGrid>
        <w:gridCol w:w="5215"/>
        <w:gridCol w:w="4135"/>
      </w:tblGrid>
      <w:tr>
        <w:tc>
          <w:tcPr>
            <w:tcW w:type="dxa" w:w="5215"/>
          </w:tcPr>
          <w:p>
            <w:pPr>
              <w:spacing w:line="480" w:lineRule="auto"/>
              <w:jc w:val="both"/>
              <w:rPr>
                <w:rFonts w:ascii="Times New Roman" w:hAnsi="Times New Roman"/>
                <w:b w:val="1"/>
                <w:sz w:val="24"/>
                <w:szCs w:val="22"/>
                <w:lang w:bidi="ar_SA" w:eastAsia="en_US" w:val="en_US"/>
              </w:rPr>
            </w:pPr>
            <w:r>
              <w:rPr>
                <w:rFonts w:ascii="Times New Roman" w:hAnsi="Times New Roman"/>
                <w:b w:val="1"/>
                <w:sz w:val="24"/>
              </w:rPr>
              <w:t xml:space="preserve">Questions </w:t>
            </w:r>
          </w:p>
        </w:tc>
        <w:tc>
          <w:tcPr>
            <w:tcW w:type="dxa" w:w="4135"/>
          </w:tcPr>
          <w:p>
            <w:pPr>
              <w:spacing w:line="480" w:lineRule="auto"/>
              <w:jc w:val="both"/>
              <w:rPr>
                <w:rFonts w:ascii="Times New Roman" w:hAnsi="Times New Roman"/>
                <w:b w:val="1"/>
                <w:sz w:val="24"/>
                <w:szCs w:val="22"/>
                <w:lang w:bidi="ar_SA" w:eastAsia="en_US" w:val="en_US"/>
              </w:rPr>
            </w:pPr>
            <w:r>
              <w:rPr>
                <w:rFonts w:ascii="Times New Roman" w:hAnsi="Times New Roman"/>
                <w:b w:val="1"/>
                <w:sz w:val="24"/>
              </w:rPr>
              <w:t xml:space="preserve">Response </w:t>
            </w:r>
          </w:p>
        </w:tc>
      </w:tr>
      <w:tr>
        <w:tc>
          <w:tcPr>
            <w:tcW w:type="dxa" w:w="5215"/>
          </w:tcPr>
          <w:p>
            <w:pPr>
              <w:pStyle w:val="ListParagraph"/>
              <w:numPr>
                <w:ilvl w:val="0"/>
                <w:numId w:val="2"/>
              </w:numPr>
              <w:spacing w:line="480" w:lineRule="auto"/>
              <w:jc w:val="both"/>
              <w:rPr>
                <w:rStyle w:val="Normal"/>
                <w:rFonts w:ascii="Times New Roman" w:hAnsi="Times New Roman"/>
                <w:sz w:val="24"/>
                <w:szCs w:val="22"/>
                <w:lang w:bidi="ar_SA" w:eastAsia="en_US" w:val="en_US"/>
              </w:rPr>
            </w:pPr>
            <w:r>
              <w:rPr>
                <w:rFonts w:ascii="Times New Roman" w:hAnsi="Times New Roman"/>
                <w:sz w:val="24"/>
              </w:rPr>
              <w:t>Do you prefer using Virtual learning Environments over conventional learning modes.</w:t>
            </w:r>
          </w:p>
        </w:tc>
        <w:tc>
          <w:tcPr>
            <w:tcW w:type="dxa" w:w="4135"/>
          </w:tcPr>
          <w:p>
            <w:pPr>
              <w:spacing w:line="480" w:lineRule="auto"/>
              <w:jc w:val="both"/>
              <w:rPr>
                <w:rFonts w:ascii="Times New Roman" w:hAnsi="Times New Roman"/>
                <w:sz w:val="24"/>
                <w:szCs w:val="22"/>
                <w:lang w:bidi="ar_SA" w:eastAsia="en_US" w:val="en_US"/>
              </w:rPr>
            </w:pPr>
            <w:r>
              <w:rPr>
                <w:rFonts w:ascii="Times New Roman" w:hAnsi="Times New Roman"/>
                <w:sz w:val="24"/>
              </w:rPr>
              <w:t>Yes / No</w:t>
            </w:r>
          </w:p>
        </w:tc>
      </w:tr>
      <w:tr>
        <w:tc>
          <w:tcPr>
            <w:tcW w:type="dxa" w:w="5215"/>
          </w:tcPr>
          <w:p>
            <w:pPr>
              <w:pStyle w:val="ListParagraph"/>
              <w:numPr>
                <w:ilvl w:val="0"/>
                <w:numId w:val="2"/>
              </w:numPr>
              <w:spacing w:line="480" w:lineRule="auto"/>
              <w:jc w:val="both"/>
              <w:rPr>
                <w:rStyle w:val="Normal"/>
                <w:rFonts w:ascii="Times New Roman" w:hAnsi="Times New Roman"/>
                <w:sz w:val="24"/>
                <w:szCs w:val="22"/>
                <w:lang w:bidi="ar_SA" w:eastAsia="en_US" w:val="en_US"/>
              </w:rPr>
            </w:pPr>
            <w:r>
              <w:rPr>
                <w:rFonts w:ascii="Times New Roman" w:hAnsi="Times New Roman"/>
                <w:sz w:val="24"/>
              </w:rPr>
              <w:t xml:space="preserve">In terms of Learning Experience, how can you range the use of Virtual </w:t>
            </w:r>
            <w:r>
              <w:rPr>
                <w:rFonts w:ascii="Times New Roman" w:hAnsi="Times New Roman"/>
                <w:sz w:val="24"/>
              </w:rPr>
              <w:t>Learning Environments</w:t>
            </w:r>
          </w:p>
        </w:tc>
        <w:tc>
          <w:tcPr>
            <w:tcW w:type="dxa" w:w="4135"/>
          </w:tcPr>
          <w:p>
            <w:pPr>
              <w:spacing w:line="480" w:lineRule="auto"/>
              <w:jc w:val="both"/>
              <w:rPr>
                <w:rFonts w:ascii="Times New Roman" w:hAnsi="Times New Roman"/>
                <w:sz w:val="24"/>
                <w:szCs w:val="22"/>
                <w:lang w:bidi="ar_SA" w:eastAsia="en_US" w:val="en_US"/>
              </w:rPr>
            </w:pPr>
            <w:r>
              <w:rPr>
                <w:rFonts w:ascii="Times New Roman" w:hAnsi="Times New Roman"/>
                <w:sz w:val="24"/>
              </w:rPr>
              <w:t>Low / Medium / High</w:t>
            </w:r>
          </w:p>
        </w:tc>
      </w:tr>
      <w:tr>
        <w:tc>
          <w:tcPr>
            <w:tcW w:type="dxa" w:w="5215"/>
          </w:tcPr>
          <w:p>
            <w:pPr>
              <w:pStyle w:val="ListParagraph"/>
              <w:numPr>
                <w:ilvl w:val="0"/>
                <w:numId w:val="2"/>
              </w:numPr>
              <w:spacing w:line="480" w:lineRule="auto"/>
              <w:jc w:val="both"/>
              <w:rPr>
                <w:rStyle w:val="Normal"/>
                <w:rFonts w:ascii="Times New Roman" w:hAnsi="Times New Roman"/>
                <w:sz w:val="24"/>
                <w:szCs w:val="22"/>
                <w:lang w:bidi="ar_SA" w:eastAsia="en_US" w:val="en_US"/>
              </w:rPr>
            </w:pPr>
            <w:r>
              <w:rPr>
                <w:rFonts w:ascii="Times New Roman" w:hAnsi="Times New Roman"/>
                <w:sz w:val="24"/>
              </w:rPr>
              <w:t>Do you feel learning through Virtual Learning environments makes you perform in terms of retention better.</w:t>
            </w:r>
          </w:p>
        </w:tc>
        <w:tc>
          <w:tcPr>
            <w:tcW w:type="dxa" w:w="4135"/>
          </w:tcPr>
          <w:p>
            <w:pPr>
              <w:spacing w:line="480" w:lineRule="auto"/>
              <w:jc w:val="both"/>
              <w:rPr>
                <w:rFonts w:ascii="Times New Roman" w:hAnsi="Times New Roman"/>
                <w:sz w:val="24"/>
                <w:szCs w:val="22"/>
                <w:lang w:bidi="ar_SA" w:eastAsia="en_US" w:val="en_US"/>
              </w:rPr>
            </w:pPr>
            <w:r>
              <w:rPr>
                <w:rFonts w:ascii="Times New Roman" w:hAnsi="Times New Roman"/>
                <w:sz w:val="24"/>
              </w:rPr>
              <w:t>Yes / No</w:t>
            </w:r>
          </w:p>
        </w:tc>
      </w:tr>
      <w:tr>
        <w:tc>
          <w:tcPr>
            <w:tcW w:type="dxa" w:w="5215"/>
          </w:tcPr>
          <w:p>
            <w:pPr>
              <w:pStyle w:val="ListParagraph"/>
              <w:numPr>
                <w:ilvl w:val="0"/>
                <w:numId w:val="2"/>
              </w:numPr>
              <w:spacing w:line="480" w:lineRule="auto"/>
              <w:jc w:val="both"/>
              <w:rPr>
                <w:rStyle w:val="Normal"/>
                <w:rFonts w:ascii="Times New Roman" w:hAnsi="Times New Roman"/>
                <w:sz w:val="24"/>
                <w:szCs w:val="22"/>
                <w:lang w:bidi="ar_SA" w:eastAsia="en_US" w:val="en_US"/>
              </w:rPr>
            </w:pPr>
            <w:r>
              <w:rPr>
                <w:rFonts w:ascii="Times New Roman" w:hAnsi="Times New Roman"/>
                <w:sz w:val="24"/>
              </w:rPr>
              <w:t>How can you rate the relevance of Virtual learning environment to your learning competencies</w:t>
            </w:r>
          </w:p>
        </w:tc>
        <w:tc>
          <w:tcPr>
            <w:tcW w:type="dxa" w:w="4135"/>
          </w:tcPr>
          <w:p>
            <w:pPr>
              <w:spacing w:line="480" w:lineRule="auto"/>
              <w:jc w:val="both"/>
              <w:rPr>
                <w:rFonts w:ascii="Times New Roman" w:hAnsi="Times New Roman"/>
                <w:sz w:val="24"/>
                <w:szCs w:val="22"/>
                <w:lang w:bidi="ar_SA" w:eastAsia="en_US" w:val="en_US"/>
              </w:rPr>
            </w:pPr>
            <w:r>
              <w:rPr>
                <w:rFonts w:ascii="Times New Roman" w:hAnsi="Times New Roman"/>
                <w:sz w:val="24"/>
              </w:rPr>
              <w:t>Low</w:t>
            </w:r>
            <w:r>
              <w:rPr>
                <w:rFonts w:ascii="Times New Roman" w:hAnsi="Times New Roman"/>
                <w:sz w:val="24"/>
              </w:rPr>
              <w:t>/ Medium / High</w:t>
            </w:r>
          </w:p>
        </w:tc>
      </w:tr>
    </w:tbl>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p>
    <w:p>
      <w:pPr>
        <w:spacing w:line="480" w:lineRule="auto"/>
        <w:jc w:val="both"/>
        <w:rPr>
          <w:rFonts w:ascii="Times New Roman" w:hAnsi="Times New Roman"/>
          <w:sz w:val="24"/>
          <w:szCs w:val="22"/>
          <w:lang w:bidi="ar_SA" w:eastAsia="en_US" w:val="en_US"/>
        </w:rPr>
      </w:pPr>
      <w:bookmarkStart w:id="16" w:name="_GoBack"/>
      <w:bookmarkEnd w:id="16"/>
      <w:r>
        <w:rPr>
          <w:rFonts w:ascii="Times New Roman" w:hAnsi="Times New Roman"/>
          <w:noProof w:val="1"/>
          <w:sz w:val="24"/>
        </w:rPr>
        <w:drawing>
          <wp:inline distB="0" distL="0" distR="0" distT="0">
            <wp:extent cx="5937250" cy="7683500"/>
            <wp:effectExtent b="0" l="0" r="6350" t="0"/>
            <wp:docPr id="1" name="Picture 1"/>
            <wp:cNvGraphicFramePr>
              <a:graphicFrameLocks noChangeAspect="1"/>
            </wp:cNvGraphicFramePr>
            <a:graphic>
              <a:graphicData uri="http://schemas.openxmlformats.org/drawingml/2006/picture">
                <pic:pic>
                  <pic:nvPicPr>
                    <pic:cNvPr id="0" name="Picture 1"/>
                    <pic:cNvPicPr>
                      <a:picLocks noChangeArrowheads="1" noChangeAspect="1"/>
                    </pic:cNvPicPr>
                  </pic:nvPicPr>
                  <pic:blipFill>
                    <a:blip r:embed="rId6" cstate="print"/>
                    <a:srcRect/>
                    <a:stretch>
                      <a:fillRect/>
                    </a:stretch>
                  </pic:blipFill>
                  <pic:spPr bwMode="auto">
                    <a:xfrm>
                      <a:off x="0" y="0"/>
                      <a:ext cx="5937250" cy="7683500"/>
                    </a:xfrm>
                    <a:prstGeom prst="rect">
                      <a:avLst/>
                    </a:prstGeom>
                    <a:noFill/>
                    <a:ln>
                      <a:noFill/>
                    </a:ln>
                  </pic:spPr>
                </pic:pic>
              </a:graphicData>
            </a:graphic>
          </wp:inline>
        </w:drawing>
      </w:r>
    </w:p>
    <w:sectPr>
      <w:headerReference w:type="default" r:id="rId7"/>
      <w:pgSz w:h="15840" w:w="12240"/>
      <w:pgMar w:bottom="1440" w:footer="720" w:gutter="0" w:header="720" w:left="1440" w:right="1440" w:top="144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EFE74" w14:textId="77777777" w:rsidR="00EF2040" w:rsidRDefault="00EF2040">
      <w:pPr>
        <w:spacing w:after="0" w:line="240" w:lineRule="auto"/>
      </w:pPr>
      <w:r>
        <w:separator/>
      </w:r>
    </w:p>
  </w:endnote>
  <w:endnote w:type="continuationSeparator" w:id="0">
    <w:p w14:paraId="72B35E88" w14:textId="77777777" w:rsidR="00EF2040" w:rsidRDefault="00EF2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050D7" w14:textId="77777777" w:rsidR="00EF2040" w:rsidRDefault="00EF2040">
      <w:pPr>
        <w:spacing w:after="0" w:line="240" w:lineRule="auto"/>
      </w:pPr>
      <w:r>
        <w:separator/>
      </w:r>
    </w:p>
  </w:footnote>
  <w:footnote w:type="continuationSeparator" w:id="0">
    <w:p w14:paraId="78ACCE3E" w14:textId="77777777" w:rsidR="00EF2040" w:rsidRDefault="00EF2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120"/>
      <w:gridCol w:w="21"/>
      <w:gridCol w:w="6219"/>
    </w:tblGrid>
    <w:tr w:rsidR="000445C3" w14:paraId="54BE1574" w14:textId="77777777" w:rsidTr="0086222F">
      <w:trPr>
        <w:trHeight w:val="720"/>
      </w:trPr>
      <w:tc>
        <w:tcPr>
          <w:tcW w:w="1667" w:type="pct"/>
        </w:tcPr>
        <w:p w14:paraId="54BE1571" w14:textId="77777777" w:rsidR="0086222F" w:rsidRPr="0086222F" w:rsidRDefault="0086222F">
          <w:pPr>
            <w:pStyle w:val="Header"/>
            <w:tabs>
              <w:tab w:val="clear" w:pos="4680"/>
              <w:tab w:val="clear" w:pos="9360"/>
            </w:tabs>
            <w:rPr>
              <w:rFonts w:ascii="Times New Roman" w:hAnsi="Times New Roman" w:cs="Times New Roman"/>
            </w:rPr>
          </w:pPr>
        </w:p>
      </w:tc>
      <w:tc>
        <w:tcPr>
          <w:tcW w:w="11" w:type="pct"/>
        </w:tcPr>
        <w:p w14:paraId="54BE1572" w14:textId="77777777" w:rsidR="0086222F" w:rsidRPr="0086222F" w:rsidRDefault="0086222F">
          <w:pPr>
            <w:pStyle w:val="Header"/>
            <w:tabs>
              <w:tab w:val="clear" w:pos="4680"/>
              <w:tab w:val="clear" w:pos="9360"/>
            </w:tabs>
            <w:jc w:val="center"/>
            <w:rPr>
              <w:rFonts w:ascii="Times New Roman" w:hAnsi="Times New Roman" w:cs="Times New Roman"/>
            </w:rPr>
          </w:pPr>
        </w:p>
      </w:tc>
      <w:tc>
        <w:tcPr>
          <w:tcW w:w="3323" w:type="pct"/>
        </w:tcPr>
        <w:p w14:paraId="54BE1573" w14:textId="77777777" w:rsidR="0086222F" w:rsidRPr="0086222F" w:rsidRDefault="00EF2040">
          <w:pPr>
            <w:pStyle w:val="Header"/>
            <w:tabs>
              <w:tab w:val="clear" w:pos="4680"/>
              <w:tab w:val="clear" w:pos="9360"/>
            </w:tabs>
            <w:jc w:val="right"/>
            <w:rPr>
              <w:rFonts w:ascii="Times New Roman" w:hAnsi="Times New Roman" w:cs="Times New Roman"/>
            </w:rPr>
          </w:pPr>
          <w:r w:rsidRPr="0086222F">
            <w:rPr>
              <w:rFonts w:ascii="Times New Roman" w:hAnsi="Times New Roman" w:cs="Times New Roman"/>
              <w:sz w:val="24"/>
              <w:szCs w:val="24"/>
            </w:rPr>
            <w:t xml:space="preserve">VLE IMPACT ON LEARNING EXPERIENCE </w:t>
          </w:r>
          <w:r w:rsidRPr="0086222F">
            <w:rPr>
              <w:rFonts w:ascii="Times New Roman" w:hAnsi="Times New Roman" w:cs="Times New Roman"/>
              <w:sz w:val="24"/>
              <w:szCs w:val="24"/>
            </w:rPr>
            <w:fldChar w:fldCharType="begin"/>
          </w:r>
          <w:r w:rsidRPr="0086222F">
            <w:rPr>
              <w:rFonts w:ascii="Times New Roman" w:hAnsi="Times New Roman" w:cs="Times New Roman"/>
              <w:sz w:val="24"/>
              <w:szCs w:val="24"/>
            </w:rPr>
            <w:instrText xml:space="preserve"> PAGE   \* MERGEFORMAT </w:instrText>
          </w:r>
          <w:r w:rsidRPr="0086222F">
            <w:rPr>
              <w:rFonts w:ascii="Times New Roman" w:hAnsi="Times New Roman" w:cs="Times New Roman"/>
              <w:sz w:val="24"/>
              <w:szCs w:val="24"/>
            </w:rPr>
            <w:fldChar w:fldCharType="separate"/>
          </w:r>
          <w:r w:rsidR="004A6055">
            <w:rPr>
              <w:rFonts w:ascii="Times New Roman" w:hAnsi="Times New Roman" w:cs="Times New Roman"/>
              <w:noProof/>
              <w:sz w:val="24"/>
              <w:szCs w:val="24"/>
            </w:rPr>
            <w:t>6</w:t>
          </w:r>
          <w:r w:rsidRPr="0086222F">
            <w:rPr>
              <w:rFonts w:ascii="Times New Roman" w:hAnsi="Times New Roman" w:cs="Times New Roman"/>
              <w:sz w:val="24"/>
              <w:szCs w:val="24"/>
            </w:rPr>
            <w:fldChar w:fldCharType="end"/>
          </w:r>
        </w:p>
      </w:tc>
    </w:tr>
  </w:tbl>
  <w:p w14:paraId="54BE1575" w14:textId="77777777" w:rsidR="0086222F" w:rsidRPr="0086222F" w:rsidRDefault="0086222F">
    <w:pPr>
      <w:pStyle w:val="Header"/>
      <w:rPr>
        <w:rFonts w:ascii="Times New Roman" w:hAnsi="Times New Roman" w:cs="Times New Roman"/>
      </w:rPr>
    </w:pPr>
  </w:p>
</w:hdr>
</file>

<file path=word/numbering.xml><?xml version="1.0" encoding="utf-8"?>
<w:numbering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w:abstractNum w:abstractNumId="0">
    <w:multiLevelType w:val="hybridMultilevel"/>
    <w:tmpl w:val="6890B26A"/>
    <w:numStyleLink w:val=""/>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abstractNum w:abstractNumId="1">
    <w:multiLevelType w:val="hybridMultilevel"/>
    <w:tmpl w:val="F69AFD2C"/>
    <w:numStyleLink w:val=""/>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num w:numId="1">
    <w:abstractNumId w:val="0"/>
  </w:num>
  <w:num w:numId="2">
    <w:abstractNumId w:val="1"/>
  </w:num>
</w:numbering>
</file>

<file path=word/settings.xml><?xml version="1.0" encoding="utf-8"?>
<w:settings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E90"/>
    <w:rsid w:val="00005A31"/>
    <w:rsid w:val="0000671A"/>
    <w:rsid w:val="00043969"/>
    <w:rsid w:val="000445C3"/>
    <w:rsid w:val="000F6D78"/>
    <w:rsid w:val="0012005D"/>
    <w:rsid w:val="00121424"/>
    <w:rsid w:val="0015192D"/>
    <w:rsid w:val="001E4EAB"/>
    <w:rsid w:val="002013B2"/>
    <w:rsid w:val="00217B09"/>
    <w:rsid w:val="00226B61"/>
    <w:rsid w:val="00245F6D"/>
    <w:rsid w:val="0027084E"/>
    <w:rsid w:val="002709BE"/>
    <w:rsid w:val="002B5B27"/>
    <w:rsid w:val="002B73E7"/>
    <w:rsid w:val="002C0BCE"/>
    <w:rsid w:val="002C35C6"/>
    <w:rsid w:val="002D3555"/>
    <w:rsid w:val="002D555B"/>
    <w:rsid w:val="002E712A"/>
    <w:rsid w:val="002F3AD2"/>
    <w:rsid w:val="002F4E89"/>
    <w:rsid w:val="003076B6"/>
    <w:rsid w:val="00313F5F"/>
    <w:rsid w:val="00315B4F"/>
    <w:rsid w:val="003A5088"/>
    <w:rsid w:val="003D57F5"/>
    <w:rsid w:val="004253FC"/>
    <w:rsid w:val="00436F12"/>
    <w:rsid w:val="0047162E"/>
    <w:rsid w:val="004A13BD"/>
    <w:rsid w:val="004A6055"/>
    <w:rsid w:val="004C226D"/>
    <w:rsid w:val="00526057"/>
    <w:rsid w:val="00530A89"/>
    <w:rsid w:val="005621B7"/>
    <w:rsid w:val="005834F7"/>
    <w:rsid w:val="00586405"/>
    <w:rsid w:val="00586D89"/>
    <w:rsid w:val="00590B35"/>
    <w:rsid w:val="00595B75"/>
    <w:rsid w:val="005A16D8"/>
    <w:rsid w:val="005C2978"/>
    <w:rsid w:val="005D1E90"/>
    <w:rsid w:val="005E523A"/>
    <w:rsid w:val="005E5BA7"/>
    <w:rsid w:val="006146D9"/>
    <w:rsid w:val="00622F52"/>
    <w:rsid w:val="00657539"/>
    <w:rsid w:val="0067443F"/>
    <w:rsid w:val="00682318"/>
    <w:rsid w:val="00695DEB"/>
    <w:rsid w:val="006A0FD7"/>
    <w:rsid w:val="006A2A94"/>
    <w:rsid w:val="006B03B6"/>
    <w:rsid w:val="006C4EA0"/>
    <w:rsid w:val="006D3DC0"/>
    <w:rsid w:val="00700DCD"/>
    <w:rsid w:val="00713716"/>
    <w:rsid w:val="00714681"/>
    <w:rsid w:val="00723106"/>
    <w:rsid w:val="007377C4"/>
    <w:rsid w:val="007654E7"/>
    <w:rsid w:val="0077781D"/>
    <w:rsid w:val="007D149E"/>
    <w:rsid w:val="00805762"/>
    <w:rsid w:val="00807F92"/>
    <w:rsid w:val="00832D89"/>
    <w:rsid w:val="00836C4F"/>
    <w:rsid w:val="00860E16"/>
    <w:rsid w:val="0086222F"/>
    <w:rsid w:val="00870259"/>
    <w:rsid w:val="00895F87"/>
    <w:rsid w:val="008D32E9"/>
    <w:rsid w:val="008E717B"/>
    <w:rsid w:val="008F43D4"/>
    <w:rsid w:val="00911CC0"/>
    <w:rsid w:val="00923FC8"/>
    <w:rsid w:val="00944506"/>
    <w:rsid w:val="0095055A"/>
    <w:rsid w:val="00955776"/>
    <w:rsid w:val="00961205"/>
    <w:rsid w:val="0097167A"/>
    <w:rsid w:val="009D7FF6"/>
    <w:rsid w:val="009F5AD3"/>
    <w:rsid w:val="00A029AF"/>
    <w:rsid w:val="00A27B21"/>
    <w:rsid w:val="00A64CE1"/>
    <w:rsid w:val="00A72CCE"/>
    <w:rsid w:val="00A82F2E"/>
    <w:rsid w:val="00A9478B"/>
    <w:rsid w:val="00AC2F2A"/>
    <w:rsid w:val="00AF2188"/>
    <w:rsid w:val="00AF4DC7"/>
    <w:rsid w:val="00B128F0"/>
    <w:rsid w:val="00B443DB"/>
    <w:rsid w:val="00B93A27"/>
    <w:rsid w:val="00BB7EB6"/>
    <w:rsid w:val="00BC70EA"/>
    <w:rsid w:val="00BD1E9A"/>
    <w:rsid w:val="00C36E63"/>
    <w:rsid w:val="00C74454"/>
    <w:rsid w:val="00C766C6"/>
    <w:rsid w:val="00CB0F3F"/>
    <w:rsid w:val="00CD3E27"/>
    <w:rsid w:val="00CD68EF"/>
    <w:rsid w:val="00CE475D"/>
    <w:rsid w:val="00CF45E9"/>
    <w:rsid w:val="00CF4E3E"/>
    <w:rsid w:val="00D1714C"/>
    <w:rsid w:val="00D208FB"/>
    <w:rsid w:val="00D2186D"/>
    <w:rsid w:val="00D220B8"/>
    <w:rsid w:val="00D2273B"/>
    <w:rsid w:val="00D241D2"/>
    <w:rsid w:val="00D26AF4"/>
    <w:rsid w:val="00D450C2"/>
    <w:rsid w:val="00D56BC6"/>
    <w:rsid w:val="00D664DA"/>
    <w:rsid w:val="00D84E8F"/>
    <w:rsid w:val="00E1665F"/>
    <w:rsid w:val="00E4134C"/>
    <w:rsid w:val="00E47D2D"/>
    <w:rsid w:val="00E5264A"/>
    <w:rsid w:val="00E743BE"/>
    <w:rsid w:val="00ED6994"/>
    <w:rsid w:val="00EF2040"/>
    <w:rsid w:val="00F27A52"/>
    <w:rsid w:val="00F62615"/>
    <w:rsid w:val="00F94232"/>
    <w:rsid w:val="00FB11F5"/>
    <w:rsid w:val="00FC2CB5"/>
    <w:rsid w:val="00FD3FDE"/>
    <w:rsid w:val="00FE6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8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78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E16"/>
    <w:pPr>
      <w:ind w:left="720"/>
      <w:contextualSpacing/>
    </w:pPr>
  </w:style>
  <w:style w:type="table" w:styleId="TableGrid">
    <w:name w:val="Table Grid"/>
    <w:basedOn w:val="TableNormal"/>
    <w:uiPriority w:val="39"/>
    <w:rsid w:val="00F27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7781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7781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7781D"/>
    <w:pPr>
      <w:outlineLvl w:val="9"/>
    </w:pPr>
  </w:style>
  <w:style w:type="paragraph" w:styleId="TOC1">
    <w:name w:val="toc 1"/>
    <w:basedOn w:val="Normal"/>
    <w:next w:val="Normal"/>
    <w:autoRedefine/>
    <w:uiPriority w:val="39"/>
    <w:unhideWhenUsed/>
    <w:rsid w:val="0077781D"/>
    <w:pPr>
      <w:spacing w:after="100"/>
    </w:pPr>
  </w:style>
  <w:style w:type="paragraph" w:styleId="TOC2">
    <w:name w:val="toc 2"/>
    <w:basedOn w:val="Normal"/>
    <w:next w:val="Normal"/>
    <w:autoRedefine/>
    <w:uiPriority w:val="39"/>
    <w:unhideWhenUsed/>
    <w:rsid w:val="0077781D"/>
    <w:pPr>
      <w:spacing w:after="100"/>
      <w:ind w:left="220"/>
    </w:pPr>
  </w:style>
  <w:style w:type="character" w:styleId="Hyperlink">
    <w:name w:val="Hyperlink"/>
    <w:basedOn w:val="DefaultParagraphFont"/>
    <w:uiPriority w:val="99"/>
    <w:unhideWhenUsed/>
    <w:rsid w:val="0077781D"/>
    <w:rPr>
      <w:color w:val="0563C1" w:themeColor="hyperlink"/>
      <w:u w:val="single"/>
    </w:rPr>
  </w:style>
  <w:style w:type="paragraph" w:styleId="Header">
    <w:name w:val="header"/>
    <w:basedOn w:val="Normal"/>
    <w:link w:val="HeaderChar"/>
    <w:uiPriority w:val="99"/>
    <w:unhideWhenUsed/>
    <w:rsid w:val="008622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22F"/>
  </w:style>
  <w:style w:type="paragraph" w:styleId="Footer">
    <w:name w:val="footer"/>
    <w:basedOn w:val="Normal"/>
    <w:link w:val="FooterChar"/>
    <w:uiPriority w:val="99"/>
    <w:unhideWhenUsed/>
    <w:rsid w:val="008622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standalone="yes" ?><Relationships xmlns="http://schemas.openxmlformats.org/package/2006/relationships"><Relationship Id="rId1" Target="../customXml/item1.xml" Type="http://schemas.openxmlformats.org/officeDocument/2006/relationships/customXml"></Relationship><Relationship Id="rId2" Target="charts/chart1.xml" Type="http://schemas.openxmlformats.org/officeDocument/2006/relationships/chart"></Relationship><Relationship Id="rId3" Target="charts/chart2.xml" Type="http://schemas.openxmlformats.org/officeDocument/2006/relationships/chart"></Relationship><Relationship Id="rId4" Target="charts/chart3.xml" Type="http://schemas.openxmlformats.org/officeDocument/2006/relationships/chart"></Relationship><Relationship Id="rId5" Target="charts/chart4.xml" Type="http://schemas.openxmlformats.org/officeDocument/2006/relationships/chart"></Relationship><Relationship Id="rId6" Target="media/image1.png" Type="http://schemas.openxmlformats.org/officeDocument/2006/relationships/image"></Relationship><Relationship Id="rId7" Target="header1.xml" Type="http://schemas.openxmlformats.org/officeDocument/2006/relationships/header"></Relationship><Relationship Id="rId8" Target="footnotes.xml" Type="http://schemas.openxmlformats.org/officeDocument/2006/relationships/footnotes"></Relationship><Relationship Id="rId9" Target="endnotes.xml" Type="http://schemas.openxmlformats.org/officeDocument/2006/relationships/endnotes"></Relationship><Relationship Id="rId10" Target="settings.xml" Type="http://schemas.openxmlformats.org/officeDocument/2006/relationships/settings"></Relationship><Relationship Id="rId11" Target="numbering.xml" Type="http://schemas.openxmlformats.org/officeDocument/2006/relationships/numbering"></Relationship><Relationship Id="rId12" Target="fontTable.xml" Type="http://schemas.openxmlformats.org/officeDocument/2006/relationships/fontTable"></Relationship><Relationship Id="rId13" Target="webSettings.xml" Type="http://schemas.openxmlformats.org/officeDocument/2006/relationships/webSettings"></Relationship><Relationship Id="rId14" Target="styles.xml" Type="http://schemas.openxmlformats.org/officeDocument/2006/relationships/styles"></Relationship><Relationship Id="rId15" Target="theme/theme1.xml" Type="http://schemas.openxmlformats.org/officeDocument/2006/relationships/theme"></Relationship></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One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677-41BD-B419-354B486C253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677-41BD-B419-354B486C253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0%</c:formatCode>
                <c:ptCount val="2"/>
                <c:pt idx="0">
                  <c:v>0.9</c:v>
                </c:pt>
                <c:pt idx="1">
                  <c:v>0.1</c:v>
                </c:pt>
              </c:numCache>
            </c:numRef>
          </c:val>
          <c:extLst>
            <c:ext xmlns:c16="http://schemas.microsoft.com/office/drawing/2014/chart" uri="{C3380CC4-5D6E-409C-BE32-E72D297353CC}">
              <c16:uniqueId val="{00000000-58B6-4CCA-AE17-0E73E8414CC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a:t>
            </a:r>
            <a:r>
              <a:rPr lang="en-US" baseline="0"/>
              <a:t> Two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Low</c:v>
                </c:pt>
              </c:strCache>
            </c:strRef>
          </c:tx>
          <c:spPr>
            <a:solidFill>
              <a:schemeClr val="accent1"/>
            </a:solidFill>
            <a:ln>
              <a:noFill/>
            </a:ln>
            <a:effectLst/>
          </c:spPr>
          <c:invertIfNegative val="0"/>
          <c:cat>
            <c:strRef>
              <c:f>Sheet1!$A$2</c:f>
              <c:strCache>
                <c:ptCount val="1"/>
                <c:pt idx="0">
                  <c:v>Question Two</c:v>
                </c:pt>
              </c:strCache>
            </c:strRef>
          </c:cat>
          <c:val>
            <c:numRef>
              <c:f>Sheet1!$B$2</c:f>
              <c:numCache>
                <c:formatCode>0%</c:formatCode>
                <c:ptCount val="1"/>
                <c:pt idx="0">
                  <c:v>0.1</c:v>
                </c:pt>
              </c:numCache>
            </c:numRef>
          </c:val>
          <c:extLst>
            <c:ext xmlns:c16="http://schemas.microsoft.com/office/drawing/2014/chart" uri="{C3380CC4-5D6E-409C-BE32-E72D297353CC}">
              <c16:uniqueId val="{00000000-C600-417A-84EE-87BCB9F1BA37}"/>
            </c:ext>
          </c:extLst>
        </c:ser>
        <c:ser>
          <c:idx val="1"/>
          <c:order val="1"/>
          <c:tx>
            <c:strRef>
              <c:f>Sheet1!$C$1</c:f>
              <c:strCache>
                <c:ptCount val="1"/>
                <c:pt idx="0">
                  <c:v>Medium</c:v>
                </c:pt>
              </c:strCache>
            </c:strRef>
          </c:tx>
          <c:spPr>
            <a:solidFill>
              <a:schemeClr val="accent2"/>
            </a:solidFill>
            <a:ln>
              <a:noFill/>
            </a:ln>
            <a:effectLst/>
          </c:spPr>
          <c:invertIfNegative val="0"/>
          <c:cat>
            <c:strRef>
              <c:f>Sheet1!$A$2</c:f>
              <c:strCache>
                <c:ptCount val="1"/>
                <c:pt idx="0">
                  <c:v>Question Two</c:v>
                </c:pt>
              </c:strCache>
            </c:strRef>
          </c:cat>
          <c:val>
            <c:numRef>
              <c:f>Sheet1!$C$2</c:f>
              <c:numCache>
                <c:formatCode>0%</c:formatCode>
                <c:ptCount val="1"/>
                <c:pt idx="0">
                  <c:v>0.4</c:v>
                </c:pt>
              </c:numCache>
            </c:numRef>
          </c:val>
          <c:extLst>
            <c:ext xmlns:c16="http://schemas.microsoft.com/office/drawing/2014/chart" uri="{C3380CC4-5D6E-409C-BE32-E72D297353CC}">
              <c16:uniqueId val="{00000001-C600-417A-84EE-87BCB9F1BA37}"/>
            </c:ext>
          </c:extLst>
        </c:ser>
        <c:ser>
          <c:idx val="2"/>
          <c:order val="2"/>
          <c:tx>
            <c:strRef>
              <c:f>Sheet1!$D$1</c:f>
              <c:strCache>
                <c:ptCount val="1"/>
                <c:pt idx="0">
                  <c:v>High</c:v>
                </c:pt>
              </c:strCache>
            </c:strRef>
          </c:tx>
          <c:spPr>
            <a:solidFill>
              <a:schemeClr val="accent3"/>
            </a:solidFill>
            <a:ln>
              <a:noFill/>
            </a:ln>
            <a:effectLst/>
          </c:spPr>
          <c:invertIfNegative val="0"/>
          <c:cat>
            <c:strRef>
              <c:f>Sheet1!$A$2</c:f>
              <c:strCache>
                <c:ptCount val="1"/>
                <c:pt idx="0">
                  <c:v>Question Two</c:v>
                </c:pt>
              </c:strCache>
            </c:strRef>
          </c:cat>
          <c:val>
            <c:numRef>
              <c:f>Sheet1!$D$2</c:f>
              <c:numCache>
                <c:formatCode>0%</c:formatCode>
                <c:ptCount val="1"/>
                <c:pt idx="0">
                  <c:v>0.5</c:v>
                </c:pt>
              </c:numCache>
            </c:numRef>
          </c:val>
          <c:extLst>
            <c:ext xmlns:c16="http://schemas.microsoft.com/office/drawing/2014/chart" uri="{C3380CC4-5D6E-409C-BE32-E72D297353CC}">
              <c16:uniqueId val="{00000002-C600-417A-84EE-87BCB9F1BA37}"/>
            </c:ext>
          </c:extLst>
        </c:ser>
        <c:dLbls>
          <c:showLegendKey val="0"/>
          <c:showVal val="0"/>
          <c:showCatName val="0"/>
          <c:showSerName val="0"/>
          <c:showPercent val="0"/>
          <c:showBubbleSize val="0"/>
        </c:dLbls>
        <c:gapWidth val="182"/>
        <c:axId val="1855716015"/>
        <c:axId val="1855708943"/>
      </c:barChart>
      <c:catAx>
        <c:axId val="1855716015"/>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5708943"/>
        <c:crosses val="autoZero"/>
        <c:auto val="1"/>
        <c:lblAlgn val="ctr"/>
        <c:lblOffset val="100"/>
        <c:noMultiLvlLbl val="0"/>
      </c:catAx>
      <c:valAx>
        <c:axId val="1855708943"/>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5716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Three</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CC19-415B-A501-CB4FB0C8DE1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C19-415B-A501-CB4FB0C8DE1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0%</c:formatCode>
                <c:ptCount val="2"/>
                <c:pt idx="0">
                  <c:v>0.7</c:v>
                </c:pt>
                <c:pt idx="1">
                  <c:v>0.3</c:v>
                </c:pt>
              </c:numCache>
            </c:numRef>
          </c:val>
          <c:extLst>
            <c:ext xmlns:c16="http://schemas.microsoft.com/office/drawing/2014/chart" uri="{C3380CC4-5D6E-409C-BE32-E72D297353CC}">
              <c16:uniqueId val="{00000000-B383-4E87-BC37-B3528EA974D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a:t>
            </a:r>
            <a:r>
              <a:rPr lang="en-US" baseline="0"/>
              <a:t> Four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Low</c:v>
                </c:pt>
              </c:strCache>
            </c:strRef>
          </c:tx>
          <c:spPr>
            <a:solidFill>
              <a:schemeClr val="accent1"/>
            </a:solidFill>
            <a:ln>
              <a:noFill/>
            </a:ln>
            <a:effectLst/>
          </c:spPr>
          <c:invertIfNegative val="0"/>
          <c:cat>
            <c:strRef>
              <c:f>Sheet1!$A$2</c:f>
              <c:strCache>
                <c:ptCount val="1"/>
                <c:pt idx="0">
                  <c:v>Question Four</c:v>
                </c:pt>
              </c:strCache>
            </c:strRef>
          </c:cat>
          <c:val>
            <c:numRef>
              <c:f>Sheet1!$B$2</c:f>
              <c:numCache>
                <c:formatCode>0%</c:formatCode>
                <c:ptCount val="1"/>
                <c:pt idx="0">
                  <c:v>0.2</c:v>
                </c:pt>
              </c:numCache>
            </c:numRef>
          </c:val>
          <c:extLst>
            <c:ext xmlns:c16="http://schemas.microsoft.com/office/drawing/2014/chart" uri="{C3380CC4-5D6E-409C-BE32-E72D297353CC}">
              <c16:uniqueId val="{00000000-2768-4D5A-A621-0E02F86B07BF}"/>
            </c:ext>
          </c:extLst>
        </c:ser>
        <c:ser>
          <c:idx val="1"/>
          <c:order val="1"/>
          <c:tx>
            <c:strRef>
              <c:f>Sheet1!$C$1</c:f>
              <c:strCache>
                <c:ptCount val="1"/>
                <c:pt idx="0">
                  <c:v>Medium</c:v>
                </c:pt>
              </c:strCache>
            </c:strRef>
          </c:tx>
          <c:spPr>
            <a:solidFill>
              <a:schemeClr val="accent2"/>
            </a:solidFill>
            <a:ln>
              <a:noFill/>
            </a:ln>
            <a:effectLst/>
          </c:spPr>
          <c:invertIfNegative val="0"/>
          <c:cat>
            <c:strRef>
              <c:f>Sheet1!$A$2</c:f>
              <c:strCache>
                <c:ptCount val="1"/>
                <c:pt idx="0">
                  <c:v>Question Four</c:v>
                </c:pt>
              </c:strCache>
            </c:strRef>
          </c:cat>
          <c:val>
            <c:numRef>
              <c:f>Sheet1!$C$2</c:f>
              <c:numCache>
                <c:formatCode>0%</c:formatCode>
                <c:ptCount val="1"/>
                <c:pt idx="0">
                  <c:v>0.3</c:v>
                </c:pt>
              </c:numCache>
            </c:numRef>
          </c:val>
          <c:extLst>
            <c:ext xmlns:c16="http://schemas.microsoft.com/office/drawing/2014/chart" uri="{C3380CC4-5D6E-409C-BE32-E72D297353CC}">
              <c16:uniqueId val="{00000001-2768-4D5A-A621-0E02F86B07BF}"/>
            </c:ext>
          </c:extLst>
        </c:ser>
        <c:ser>
          <c:idx val="2"/>
          <c:order val="2"/>
          <c:tx>
            <c:strRef>
              <c:f>Sheet1!$D$1</c:f>
              <c:strCache>
                <c:ptCount val="1"/>
                <c:pt idx="0">
                  <c:v>High</c:v>
                </c:pt>
              </c:strCache>
            </c:strRef>
          </c:tx>
          <c:spPr>
            <a:solidFill>
              <a:schemeClr val="accent3"/>
            </a:solidFill>
            <a:ln>
              <a:noFill/>
            </a:ln>
            <a:effectLst/>
          </c:spPr>
          <c:invertIfNegative val="0"/>
          <c:cat>
            <c:strRef>
              <c:f>Sheet1!$A$2</c:f>
              <c:strCache>
                <c:ptCount val="1"/>
                <c:pt idx="0">
                  <c:v>Question Four</c:v>
                </c:pt>
              </c:strCache>
            </c:strRef>
          </c:cat>
          <c:val>
            <c:numRef>
              <c:f>Sheet1!$D$2</c:f>
              <c:numCache>
                <c:formatCode>0%</c:formatCode>
                <c:ptCount val="1"/>
                <c:pt idx="0">
                  <c:v>0.5</c:v>
                </c:pt>
              </c:numCache>
            </c:numRef>
          </c:val>
          <c:extLst>
            <c:ext xmlns:c16="http://schemas.microsoft.com/office/drawing/2014/chart" uri="{C3380CC4-5D6E-409C-BE32-E72D297353CC}">
              <c16:uniqueId val="{00000002-2768-4D5A-A621-0E02F86B07BF}"/>
            </c:ext>
          </c:extLst>
        </c:ser>
        <c:dLbls>
          <c:showLegendKey val="0"/>
          <c:showVal val="0"/>
          <c:showCatName val="0"/>
          <c:showSerName val="0"/>
          <c:showPercent val="0"/>
          <c:showBubbleSize val="0"/>
        </c:dLbls>
        <c:gapWidth val="182"/>
        <c:axId val="7803919"/>
        <c:axId val="7800175"/>
      </c:barChart>
      <c:catAx>
        <c:axId val="7803919"/>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00175"/>
        <c:crosses val="autoZero"/>
        <c:auto val="1"/>
        <c:lblAlgn val="ctr"/>
        <c:lblOffset val="100"/>
        <c:noMultiLvlLbl val="0"/>
      </c:catAx>
      <c:valAx>
        <c:axId val="7800175"/>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03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F87D4-A4EF-4D55-92A8-5B06D7BA4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Company/>
  <Pages>16</Pages>
  <Words>2506</Words>
  <Characters>13367</Characters>
  <Lines>119</Lines>
  <Paragraphs>33</Paragraphs>
  <TotalTime>338</TotalTime>
  <ScaleCrop>0</ScaleCrop>
  <HeadingPairs>
    <vt:vector size="2" baseType="variant">
      <vt:variant>
        <vt:lpstr>Title</vt:lpstr>
      </vt:variant>
      <vt:variant>
        <vt:i4>1</vt:i4>
      </vt:variant>
    </vt:vector>
  </HeadingPairs>
  <TitlesOfParts>
    <vt:vector size="1" baseType="lpstr">
      <vt:lpstr/>
    </vt:vector>
  </TitlesOfParts>
  <LinksUpToDate>0</LinksUpToDate>
  <CharactersWithSpaces>15657</CharactersWithSpaces>
  <SharedDoc>0</SharedDoc>
  <HyperlinksChanged>0</HyperlinksChanged>
  <Application>Microsoft Office Word</Application>
  <AppVersion>16.0000</AppVers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120</cp:revision>
  <dcterms:created xsi:type="dcterms:W3CDTF">2020-01-05T05:20:00Z</dcterms:created>
  <dcterms:modified xsi:type="dcterms:W3CDTF">2020-01-06T16:30:00Z</dcterms:modified>
</cp:coreProperties>
</file>