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9F8DFF" w14:textId="77777777" w:rsidR="00AC7A6F" w:rsidRDefault="00D11D09" w:rsidP="00D11D09">
      <w:pPr>
        <w:jc w:val="center"/>
        <w:rPr>
          <w:sz w:val="24"/>
          <w:szCs w:val="24"/>
          <w:u w:val="single"/>
        </w:rPr>
      </w:pPr>
      <w:r>
        <w:rPr>
          <w:sz w:val="24"/>
          <w:szCs w:val="24"/>
          <w:u w:val="single"/>
        </w:rPr>
        <w:t>Discuss the impact of the 1867 Reform Act</w:t>
      </w:r>
    </w:p>
    <w:p w14:paraId="2C175A1D" w14:textId="77777777" w:rsidR="00D11D09" w:rsidRDefault="00D11D09" w:rsidP="00D11D09">
      <w:pPr>
        <w:jc w:val="center"/>
        <w:rPr>
          <w:sz w:val="24"/>
          <w:szCs w:val="24"/>
          <w:u w:val="single"/>
        </w:rPr>
      </w:pPr>
      <w:r>
        <w:rPr>
          <w:sz w:val="24"/>
          <w:szCs w:val="24"/>
          <w:u w:val="single"/>
        </w:rPr>
        <w:t>on the nature of politics in Britain.</w:t>
      </w:r>
    </w:p>
    <w:p w14:paraId="16E8C249" w14:textId="77777777" w:rsidR="00D11D09" w:rsidRDefault="00D11D09" w:rsidP="00D11D09">
      <w:pPr>
        <w:jc w:val="center"/>
        <w:rPr>
          <w:sz w:val="24"/>
          <w:szCs w:val="24"/>
          <w:u w:val="single"/>
        </w:rPr>
      </w:pPr>
      <w:r>
        <w:rPr>
          <w:sz w:val="24"/>
          <w:szCs w:val="24"/>
          <w:u w:val="single"/>
        </w:rPr>
        <w:t>Has its significance been overstated by historians?</w:t>
      </w:r>
    </w:p>
    <w:p w14:paraId="7A722363" w14:textId="43C891D9" w:rsidR="00D11D09" w:rsidRDefault="00D11D09" w:rsidP="00D11D09">
      <w:pPr>
        <w:jc w:val="center"/>
        <w:rPr>
          <w:sz w:val="24"/>
          <w:szCs w:val="24"/>
          <w:u w:val="single"/>
        </w:rPr>
      </w:pPr>
      <w:r>
        <w:rPr>
          <w:sz w:val="24"/>
          <w:szCs w:val="24"/>
          <w:u w:val="single"/>
        </w:rPr>
        <w:t>Rosanna Jevon</w:t>
      </w:r>
    </w:p>
    <w:p w14:paraId="009011AB" w14:textId="32028CD0" w:rsidR="00985F38" w:rsidRDefault="00985F38" w:rsidP="00D11D09">
      <w:pPr>
        <w:jc w:val="center"/>
        <w:rPr>
          <w:sz w:val="24"/>
          <w:szCs w:val="24"/>
          <w:u w:val="single"/>
        </w:rPr>
      </w:pPr>
    </w:p>
    <w:p w14:paraId="319423C7" w14:textId="1B483119" w:rsidR="00A406F7" w:rsidRPr="00985F38" w:rsidRDefault="00985F38" w:rsidP="00985F38">
      <w:pPr>
        <w:rPr>
          <w:sz w:val="24"/>
          <w:szCs w:val="24"/>
        </w:rPr>
      </w:pPr>
      <w:r>
        <w:rPr>
          <w:sz w:val="24"/>
          <w:szCs w:val="24"/>
        </w:rPr>
        <w:t>In 1867 the second reform act of the nineteenth century was passed, it has been largely considered by historians to be a turning point in the political practices of the British government. In this essay information will be presented for the purpose of determining the true impact of the 1867 reform act on the political landscape. With this information an answer to the question of its significance can be fairly answered.</w:t>
      </w:r>
    </w:p>
    <w:p w14:paraId="0A378F7B" w14:textId="463F4A78" w:rsidR="00BB7DA1" w:rsidRDefault="00A406F7" w:rsidP="00A406F7">
      <w:pPr>
        <w:rPr>
          <w:sz w:val="24"/>
          <w:szCs w:val="24"/>
        </w:rPr>
      </w:pPr>
      <w:r>
        <w:rPr>
          <w:sz w:val="24"/>
          <w:szCs w:val="24"/>
        </w:rPr>
        <w:t xml:space="preserve">To fully discuss any influence the reform act of 1867 </w:t>
      </w:r>
      <w:r w:rsidR="00017210">
        <w:rPr>
          <w:sz w:val="24"/>
          <w:szCs w:val="24"/>
        </w:rPr>
        <w:t>had on British politics it is important to establish the context in which the reform act was passed. However, this is not easily established due to the plethora of differing opinions on the subject, the largely disseminated version of events is that the death of Lord Palmerston opened the door for reform as he no longer stood as a barrier</w:t>
      </w:r>
      <w:r w:rsidR="00A92053">
        <w:rPr>
          <w:sz w:val="24"/>
          <w:szCs w:val="24"/>
        </w:rPr>
        <w:t xml:space="preserve"> to progress</w:t>
      </w:r>
      <w:r w:rsidR="00017210">
        <w:rPr>
          <w:sz w:val="24"/>
          <w:szCs w:val="24"/>
        </w:rPr>
        <w:t>.</w:t>
      </w:r>
      <w:r w:rsidR="00017210">
        <w:rPr>
          <w:rStyle w:val="FootnoteReference"/>
          <w:sz w:val="24"/>
          <w:szCs w:val="24"/>
        </w:rPr>
        <w:footnoteReference w:id="1"/>
      </w:r>
      <w:r w:rsidR="00017210">
        <w:rPr>
          <w:sz w:val="24"/>
          <w:szCs w:val="24"/>
        </w:rPr>
        <w:t xml:space="preserve"> </w:t>
      </w:r>
      <w:r w:rsidR="00A92053">
        <w:rPr>
          <w:sz w:val="24"/>
          <w:szCs w:val="24"/>
        </w:rPr>
        <w:t>Although Palmerston’s death did have a revitalising effect on the political landscape, it was only through the creation of a vacuum, as he had voted in favour of the unsuccessful 1860 reform act, it would be without merit to assume that he would have been a major obstacle to any further reforms.</w:t>
      </w:r>
      <w:r w:rsidR="00A92053">
        <w:rPr>
          <w:rStyle w:val="FootnoteReference"/>
          <w:sz w:val="24"/>
          <w:szCs w:val="24"/>
        </w:rPr>
        <w:footnoteReference w:id="2"/>
      </w:r>
      <w:r w:rsidR="00A92053">
        <w:rPr>
          <w:sz w:val="24"/>
          <w:szCs w:val="24"/>
        </w:rPr>
        <w:t xml:space="preserve"> </w:t>
      </w:r>
      <w:r w:rsidR="00AB41FB">
        <w:rPr>
          <w:sz w:val="24"/>
          <w:szCs w:val="24"/>
        </w:rPr>
        <w:t>Another reason suggested for reform is the success of the north in the American civil war, John Stuart Mill stated in his autobiography, ‘a confederate victory would be a victory of the powers of evil which would give courage to the enemies of progress and damp the spirit of its friends all over the civilised world….and, would give to all the privileged classes of Europe</w:t>
      </w:r>
      <w:r w:rsidR="00F12F01">
        <w:rPr>
          <w:sz w:val="24"/>
          <w:szCs w:val="24"/>
        </w:rPr>
        <w:t xml:space="preserve"> a false confidence, probably only to be extinguished in blood.’</w:t>
      </w:r>
      <w:r w:rsidR="00F12F01">
        <w:rPr>
          <w:rStyle w:val="FootnoteReference"/>
          <w:sz w:val="24"/>
          <w:szCs w:val="24"/>
        </w:rPr>
        <w:footnoteReference w:id="3"/>
      </w:r>
      <w:r w:rsidR="00A92053">
        <w:rPr>
          <w:sz w:val="24"/>
          <w:szCs w:val="24"/>
        </w:rPr>
        <w:t xml:space="preserve"> </w:t>
      </w:r>
      <w:r w:rsidR="00F12F01">
        <w:rPr>
          <w:sz w:val="24"/>
          <w:szCs w:val="24"/>
        </w:rPr>
        <w:t xml:space="preserve">Although dramatic in his wording, Mill’s opinion was that the </w:t>
      </w:r>
      <w:r w:rsidR="007F05E8">
        <w:rPr>
          <w:sz w:val="24"/>
          <w:szCs w:val="24"/>
        </w:rPr>
        <w:t>u</w:t>
      </w:r>
      <w:r w:rsidR="00F12F01">
        <w:rPr>
          <w:sz w:val="24"/>
          <w:szCs w:val="24"/>
        </w:rPr>
        <w:t>nionist victory opened the door for truly democratic ideas and reforms by displaying to the upper classes that their way of life could be fought against and defeated. The idea that the civil war had a direct impact on British reform is brought into question by Gladstone, as he was complaining</w:t>
      </w:r>
      <w:r w:rsidR="009241B9">
        <w:rPr>
          <w:sz w:val="24"/>
          <w:szCs w:val="24"/>
        </w:rPr>
        <w:t xml:space="preserve"> in parliament</w:t>
      </w:r>
      <w:r w:rsidR="00F12F01">
        <w:rPr>
          <w:sz w:val="24"/>
          <w:szCs w:val="24"/>
        </w:rPr>
        <w:t xml:space="preserve"> of the apathy shown by the British population towards the conflict</w:t>
      </w:r>
      <w:r w:rsidR="008C1E11">
        <w:rPr>
          <w:sz w:val="24"/>
          <w:szCs w:val="24"/>
        </w:rPr>
        <w:t>,</w:t>
      </w:r>
      <w:r w:rsidR="00F12F01">
        <w:rPr>
          <w:sz w:val="24"/>
          <w:szCs w:val="24"/>
        </w:rPr>
        <w:t xml:space="preserve"> it is highly unlikely that it would have had such a powerful influence</w:t>
      </w:r>
      <w:r w:rsidR="00761E66">
        <w:rPr>
          <w:sz w:val="24"/>
          <w:szCs w:val="24"/>
        </w:rPr>
        <w:t xml:space="preserve"> over any reforms</w:t>
      </w:r>
      <w:r w:rsidR="00F12F01">
        <w:rPr>
          <w:sz w:val="24"/>
          <w:szCs w:val="24"/>
        </w:rPr>
        <w:t>.</w:t>
      </w:r>
      <w:r w:rsidR="00F12F01">
        <w:rPr>
          <w:rStyle w:val="FootnoteReference"/>
          <w:sz w:val="24"/>
          <w:szCs w:val="24"/>
        </w:rPr>
        <w:footnoteReference w:id="4"/>
      </w:r>
      <w:r w:rsidR="00F12F01">
        <w:rPr>
          <w:sz w:val="24"/>
          <w:szCs w:val="24"/>
        </w:rPr>
        <w:t xml:space="preserve"> </w:t>
      </w:r>
      <w:r w:rsidR="007E1E34">
        <w:rPr>
          <w:sz w:val="24"/>
          <w:szCs w:val="24"/>
        </w:rPr>
        <w:t>The threat of rebellion and revolution</w:t>
      </w:r>
      <w:r w:rsidR="001B69CB">
        <w:rPr>
          <w:sz w:val="24"/>
          <w:szCs w:val="24"/>
        </w:rPr>
        <w:t xml:space="preserve"> is often cited as a potential reason for reform;</w:t>
      </w:r>
      <w:r w:rsidR="001B69CB">
        <w:rPr>
          <w:rStyle w:val="FootnoteReference"/>
          <w:sz w:val="24"/>
          <w:szCs w:val="24"/>
        </w:rPr>
        <w:footnoteReference w:id="5"/>
      </w:r>
      <w:r w:rsidR="001B69CB">
        <w:rPr>
          <w:sz w:val="24"/>
          <w:szCs w:val="24"/>
        </w:rPr>
        <w:t xml:space="preserve"> however, a letter written from Spencer Walpole to queen Victoria in the aftermath of the Hyde Park riots </w:t>
      </w:r>
      <w:r w:rsidR="008C1E11">
        <w:rPr>
          <w:sz w:val="24"/>
          <w:szCs w:val="24"/>
        </w:rPr>
        <w:t xml:space="preserve">suggests that he </w:t>
      </w:r>
      <w:r w:rsidR="001B69CB">
        <w:rPr>
          <w:sz w:val="24"/>
          <w:szCs w:val="24"/>
        </w:rPr>
        <w:t>seems to be more concerned with cut on his friends face and the destruction of a wall</w:t>
      </w:r>
      <w:r w:rsidR="008C1E11">
        <w:rPr>
          <w:sz w:val="24"/>
          <w:szCs w:val="24"/>
        </w:rPr>
        <w:t xml:space="preserve"> than potential revolution</w:t>
      </w:r>
      <w:r w:rsidR="001B69CB">
        <w:rPr>
          <w:sz w:val="24"/>
          <w:szCs w:val="24"/>
        </w:rPr>
        <w:t>. Walpole stated, ‘the mob in the streets were, generally speaking, good-</w:t>
      </w:r>
      <w:r w:rsidR="001B69CB">
        <w:rPr>
          <w:sz w:val="24"/>
          <w:szCs w:val="24"/>
        </w:rPr>
        <w:lastRenderedPageBreak/>
        <w:t>tempered, but the windows in some houses have been broken.’</w:t>
      </w:r>
      <w:r w:rsidR="001B69CB">
        <w:rPr>
          <w:rStyle w:val="FootnoteReference"/>
          <w:sz w:val="24"/>
          <w:szCs w:val="24"/>
        </w:rPr>
        <w:footnoteReference w:id="6"/>
      </w:r>
      <w:r w:rsidR="001B69CB">
        <w:rPr>
          <w:sz w:val="24"/>
          <w:szCs w:val="24"/>
        </w:rPr>
        <w:t xml:space="preserve"> </w:t>
      </w:r>
      <w:r w:rsidR="00B226AD">
        <w:rPr>
          <w:sz w:val="24"/>
          <w:szCs w:val="24"/>
        </w:rPr>
        <w:t>Further evidence suggests that, not only did the protests held prior to the reform act generally remain peaceful but that there was no indication at all that violence was going to break out.</w:t>
      </w:r>
      <w:r w:rsidR="00B226AD">
        <w:rPr>
          <w:rStyle w:val="FootnoteReference"/>
          <w:sz w:val="24"/>
          <w:szCs w:val="24"/>
        </w:rPr>
        <w:footnoteReference w:id="7"/>
      </w:r>
      <w:r w:rsidR="00B226AD">
        <w:rPr>
          <w:sz w:val="24"/>
          <w:szCs w:val="24"/>
        </w:rPr>
        <w:t xml:space="preserve"> </w:t>
      </w:r>
      <w:r w:rsidR="00473C1E">
        <w:rPr>
          <w:sz w:val="24"/>
          <w:szCs w:val="24"/>
        </w:rPr>
        <w:t>It is perhaps a combination of all these factors and more that contributed to the eventual passing of the reform act; however, the predominant reason for reform was the relationship between Gladstone and Disraeli and their attempts to outmanoeuvre and undermine each other.</w:t>
      </w:r>
      <w:r w:rsidR="00473C1E">
        <w:rPr>
          <w:rStyle w:val="FootnoteReference"/>
          <w:sz w:val="24"/>
          <w:szCs w:val="24"/>
        </w:rPr>
        <w:footnoteReference w:id="8"/>
      </w:r>
      <w:r w:rsidR="00473C1E">
        <w:rPr>
          <w:sz w:val="24"/>
          <w:szCs w:val="24"/>
        </w:rPr>
        <w:t xml:space="preserve"> Although this did, bizarrely, end with Disraeli passing through a much more radical reform bill than anyone had been expecting or had been put forward before.</w:t>
      </w:r>
      <w:r w:rsidR="00473C1E">
        <w:rPr>
          <w:rStyle w:val="FootnoteReference"/>
          <w:sz w:val="24"/>
          <w:szCs w:val="24"/>
        </w:rPr>
        <w:footnoteReference w:id="9"/>
      </w:r>
      <w:r w:rsidR="00BB7DA1">
        <w:rPr>
          <w:sz w:val="24"/>
          <w:szCs w:val="24"/>
        </w:rPr>
        <w:t xml:space="preserve"> This theory would account for the reform bill itself being rather haphazard and irrationally executed.</w:t>
      </w:r>
      <w:r w:rsidR="00BB7DA1">
        <w:rPr>
          <w:rStyle w:val="FootnoteReference"/>
          <w:sz w:val="24"/>
          <w:szCs w:val="24"/>
        </w:rPr>
        <w:footnoteReference w:id="10"/>
      </w:r>
      <w:r w:rsidR="00473C1E">
        <w:rPr>
          <w:sz w:val="24"/>
          <w:szCs w:val="24"/>
        </w:rPr>
        <w:t xml:space="preserve"> </w:t>
      </w:r>
      <w:r w:rsidR="00880535">
        <w:rPr>
          <w:sz w:val="24"/>
          <w:szCs w:val="24"/>
        </w:rPr>
        <w:t xml:space="preserve">General apathy towards reform was also a major factor in the passing of the </w:t>
      </w:r>
      <w:r w:rsidR="008C1E11">
        <w:rPr>
          <w:sz w:val="24"/>
          <w:szCs w:val="24"/>
        </w:rPr>
        <w:t>1867 act</w:t>
      </w:r>
      <w:r w:rsidR="00880535">
        <w:rPr>
          <w:sz w:val="24"/>
          <w:szCs w:val="24"/>
        </w:rPr>
        <w:t>, the gradual reform bills of 1859 and 1860 had not been passed due to sheer indifference</w:t>
      </w:r>
      <w:r w:rsidR="008C1E11">
        <w:rPr>
          <w:sz w:val="24"/>
          <w:szCs w:val="24"/>
        </w:rPr>
        <w:t xml:space="preserve"> shown by both the public and parliament</w:t>
      </w:r>
      <w:r w:rsidR="00880535">
        <w:rPr>
          <w:sz w:val="24"/>
          <w:szCs w:val="24"/>
        </w:rPr>
        <w:t>. Due to the disinterest in the earlier</w:t>
      </w:r>
      <w:r w:rsidR="008C1E11">
        <w:rPr>
          <w:sz w:val="24"/>
          <w:szCs w:val="24"/>
        </w:rPr>
        <w:t>,</w:t>
      </w:r>
      <w:r w:rsidR="00880535">
        <w:rPr>
          <w:sz w:val="24"/>
          <w:szCs w:val="24"/>
        </w:rPr>
        <w:t xml:space="preserve"> less extreme reform acts, the path to radical reform in 1867 was laid.</w:t>
      </w:r>
      <w:r w:rsidR="00D37BC7">
        <w:rPr>
          <w:rStyle w:val="FootnoteReference"/>
          <w:sz w:val="24"/>
          <w:szCs w:val="24"/>
        </w:rPr>
        <w:footnoteReference w:id="11"/>
      </w:r>
      <w:r w:rsidR="00473C1E">
        <w:rPr>
          <w:sz w:val="24"/>
          <w:szCs w:val="24"/>
        </w:rPr>
        <w:t xml:space="preserve"> </w:t>
      </w:r>
      <w:r w:rsidR="00CC3F3D">
        <w:rPr>
          <w:sz w:val="24"/>
          <w:szCs w:val="24"/>
        </w:rPr>
        <w:t xml:space="preserve">The efforts of individual politicians also need to be taken into account, the relationship between </w:t>
      </w:r>
      <w:r w:rsidR="00CC3F3D" w:rsidRPr="00CC3F3D">
        <w:rPr>
          <w:sz w:val="24"/>
          <w:szCs w:val="24"/>
        </w:rPr>
        <w:t>Richard Cobden, John Bright and Joseph Chamberlain</w:t>
      </w:r>
      <w:r w:rsidR="00CC3F3D">
        <w:rPr>
          <w:sz w:val="24"/>
          <w:szCs w:val="24"/>
        </w:rPr>
        <w:t xml:space="preserve"> as the three main advocates of reform in the nineteenth century provided a long-lasting momentum for the social and political upheavals</w:t>
      </w:r>
      <w:r w:rsidR="00761E66">
        <w:rPr>
          <w:sz w:val="24"/>
          <w:szCs w:val="24"/>
        </w:rPr>
        <w:t xml:space="preserve"> of the latter part of the nineteenth century</w:t>
      </w:r>
      <w:r w:rsidR="00CC3F3D">
        <w:rPr>
          <w:sz w:val="24"/>
          <w:szCs w:val="24"/>
        </w:rPr>
        <w:t>.</w:t>
      </w:r>
      <w:r w:rsidR="00CC3F3D">
        <w:rPr>
          <w:rStyle w:val="FootnoteReference"/>
          <w:sz w:val="24"/>
          <w:szCs w:val="24"/>
        </w:rPr>
        <w:footnoteReference w:id="12"/>
      </w:r>
      <w:r w:rsidR="00CC3F3D">
        <w:rPr>
          <w:sz w:val="24"/>
          <w:szCs w:val="24"/>
        </w:rPr>
        <w:t xml:space="preserve"> </w:t>
      </w:r>
    </w:p>
    <w:p w14:paraId="51EAFD2F" w14:textId="423614B3" w:rsidR="00BB7DA1" w:rsidRDefault="00BB7DA1" w:rsidP="00A406F7">
      <w:pPr>
        <w:rPr>
          <w:sz w:val="24"/>
          <w:szCs w:val="24"/>
        </w:rPr>
      </w:pPr>
      <w:r>
        <w:rPr>
          <w:sz w:val="24"/>
          <w:szCs w:val="24"/>
        </w:rPr>
        <w:t xml:space="preserve">Regarding the complexity of affairs prior to the passing of the reform act, it is also equally difficult to pin down what were the consequences of the passing of the act. One consequence which can certainly be attributed directly is the increase in the number of voters. There had been, approximately, one and a half million voters prior to the reform act, and that number increased by over a million subsequently. </w:t>
      </w:r>
      <w:r w:rsidR="00AC51C0">
        <w:rPr>
          <w:sz w:val="24"/>
          <w:szCs w:val="24"/>
        </w:rPr>
        <w:t>The new voters were; however, unevenly spread</w:t>
      </w:r>
      <w:r w:rsidR="000D2BF0">
        <w:rPr>
          <w:sz w:val="24"/>
          <w:szCs w:val="24"/>
        </w:rPr>
        <w:t>, in favour of urban areas,</w:t>
      </w:r>
      <w:r w:rsidR="00AC51C0">
        <w:rPr>
          <w:sz w:val="24"/>
          <w:szCs w:val="24"/>
        </w:rPr>
        <w:t xml:space="preserve"> an issue that would not be rectified until the reforms of the 1880’s.</w:t>
      </w:r>
      <w:r w:rsidR="00AC51C0">
        <w:rPr>
          <w:rStyle w:val="FootnoteReference"/>
          <w:sz w:val="24"/>
          <w:szCs w:val="24"/>
        </w:rPr>
        <w:footnoteReference w:id="13"/>
      </w:r>
      <w:r w:rsidR="00AE628A">
        <w:rPr>
          <w:sz w:val="24"/>
          <w:szCs w:val="24"/>
        </w:rPr>
        <w:t xml:space="preserve"> </w:t>
      </w:r>
      <w:r w:rsidR="00EC58C8">
        <w:rPr>
          <w:sz w:val="24"/>
          <w:szCs w:val="24"/>
        </w:rPr>
        <w:t>Although the reform act was passed with the intent of enfranchising the working classes, or at least some of them, the influence of the working classes was nominal and</w:t>
      </w:r>
      <w:r w:rsidR="00CA7CBD">
        <w:rPr>
          <w:sz w:val="24"/>
          <w:szCs w:val="24"/>
        </w:rPr>
        <w:t>,</w:t>
      </w:r>
      <w:r w:rsidR="00EC58C8">
        <w:rPr>
          <w:sz w:val="24"/>
          <w:szCs w:val="24"/>
        </w:rPr>
        <w:t xml:space="preserve"> only two working class MP’s were elected in the 1874 general election.</w:t>
      </w:r>
      <w:r w:rsidR="00EC58C8">
        <w:rPr>
          <w:rStyle w:val="FootnoteReference"/>
          <w:sz w:val="24"/>
          <w:szCs w:val="24"/>
        </w:rPr>
        <w:footnoteReference w:id="14"/>
      </w:r>
      <w:r w:rsidR="00EC58C8">
        <w:rPr>
          <w:sz w:val="24"/>
          <w:szCs w:val="24"/>
        </w:rPr>
        <w:t xml:space="preserve"> </w:t>
      </w:r>
      <w:r w:rsidR="007D3028">
        <w:rPr>
          <w:sz w:val="24"/>
          <w:szCs w:val="24"/>
        </w:rPr>
        <w:t>Despite this, there was greater competition between parties, fewer seats were left uncontested and lobbying by candidates increased. This was a direct influence of the reform act and demonstrated how politicians were now attempting to appeal to the working classes.</w:t>
      </w:r>
      <w:r w:rsidR="007D3028">
        <w:rPr>
          <w:rStyle w:val="FootnoteReference"/>
          <w:sz w:val="24"/>
          <w:szCs w:val="24"/>
        </w:rPr>
        <w:footnoteReference w:id="15"/>
      </w:r>
      <w:r>
        <w:rPr>
          <w:sz w:val="24"/>
          <w:szCs w:val="24"/>
        </w:rPr>
        <w:t xml:space="preserve"> </w:t>
      </w:r>
      <w:r w:rsidR="000D2BF0">
        <w:rPr>
          <w:sz w:val="24"/>
          <w:szCs w:val="24"/>
        </w:rPr>
        <w:t>Gladstone’s Midlothian campaign in 1880, saw him deliver hundreds of speeches which reached hundreds of thousands of voters either directly or through the press.</w:t>
      </w:r>
      <w:r w:rsidR="000D2BF0">
        <w:rPr>
          <w:rStyle w:val="FootnoteReference"/>
          <w:sz w:val="24"/>
          <w:szCs w:val="24"/>
        </w:rPr>
        <w:footnoteReference w:id="16"/>
      </w:r>
      <w:r>
        <w:rPr>
          <w:sz w:val="24"/>
          <w:szCs w:val="24"/>
        </w:rPr>
        <w:t xml:space="preserve"> </w:t>
      </w:r>
    </w:p>
    <w:p w14:paraId="3229B3AE" w14:textId="1D4F370D" w:rsidR="00D37BC7" w:rsidRDefault="00D37BC7" w:rsidP="00A406F7">
      <w:pPr>
        <w:rPr>
          <w:sz w:val="24"/>
          <w:szCs w:val="24"/>
        </w:rPr>
      </w:pPr>
      <w:r>
        <w:rPr>
          <w:sz w:val="24"/>
          <w:szCs w:val="24"/>
        </w:rPr>
        <w:lastRenderedPageBreak/>
        <w:t xml:space="preserve">The great fear held by property owners prior to the passing of the reform act was, that enfranchising those who owned no property would undermine their own interests. This fear was proven somewhat true, </w:t>
      </w:r>
      <w:r w:rsidR="006A3A16">
        <w:rPr>
          <w:sz w:val="24"/>
          <w:szCs w:val="24"/>
        </w:rPr>
        <w:t>as in 1871 and 1876 the first trade union acts were passed,</w:t>
      </w:r>
      <w:r w:rsidR="00C22A77">
        <w:rPr>
          <w:sz w:val="24"/>
          <w:szCs w:val="24"/>
        </w:rPr>
        <w:t xml:space="preserve"> these acts legalised the existence of trade unions and saw their members increase rapidly, between 1887 and 1892 membership increased by a million. The new trend for organised labour gave the government the new problem of organised strikes to contend with.</w:t>
      </w:r>
      <w:r w:rsidR="00C22A77">
        <w:rPr>
          <w:rStyle w:val="FootnoteReference"/>
          <w:sz w:val="24"/>
          <w:szCs w:val="24"/>
        </w:rPr>
        <w:footnoteReference w:id="17"/>
      </w:r>
      <w:r w:rsidR="006A3A16">
        <w:rPr>
          <w:sz w:val="24"/>
          <w:szCs w:val="24"/>
        </w:rPr>
        <w:t xml:space="preserve"> </w:t>
      </w:r>
      <w:r w:rsidR="001410C7">
        <w:rPr>
          <w:sz w:val="24"/>
          <w:szCs w:val="24"/>
        </w:rPr>
        <w:t>T</w:t>
      </w:r>
      <w:r w:rsidR="006A3A16">
        <w:rPr>
          <w:sz w:val="24"/>
          <w:szCs w:val="24"/>
        </w:rPr>
        <w:t>he combination act</w:t>
      </w:r>
      <w:r w:rsidR="001410C7">
        <w:rPr>
          <w:sz w:val="24"/>
          <w:szCs w:val="24"/>
        </w:rPr>
        <w:t>, which prohibited the conspiracy of two or more persons to intentionally extend a dispute between an employer and employee,</w:t>
      </w:r>
      <w:r w:rsidR="006A3A16">
        <w:rPr>
          <w:sz w:val="24"/>
          <w:szCs w:val="24"/>
        </w:rPr>
        <w:t xml:space="preserve"> was passed in 1875</w:t>
      </w:r>
      <w:r w:rsidR="0051510B">
        <w:rPr>
          <w:sz w:val="24"/>
          <w:szCs w:val="24"/>
        </w:rPr>
        <w:t>.</w:t>
      </w:r>
      <w:r w:rsidR="001410C7">
        <w:rPr>
          <w:rStyle w:val="FootnoteReference"/>
          <w:sz w:val="24"/>
          <w:szCs w:val="24"/>
        </w:rPr>
        <w:footnoteReference w:id="18"/>
      </w:r>
      <w:r w:rsidR="006A3A16">
        <w:rPr>
          <w:sz w:val="24"/>
          <w:szCs w:val="24"/>
        </w:rPr>
        <w:t xml:space="preserve"> </w:t>
      </w:r>
      <w:r w:rsidR="0051510B">
        <w:rPr>
          <w:sz w:val="24"/>
          <w:szCs w:val="24"/>
        </w:rPr>
        <w:t>T</w:t>
      </w:r>
      <w:r w:rsidR="006A3A16">
        <w:rPr>
          <w:sz w:val="24"/>
          <w:szCs w:val="24"/>
        </w:rPr>
        <w:t>he labour law</w:t>
      </w:r>
      <w:r w:rsidR="00653810">
        <w:rPr>
          <w:sz w:val="24"/>
          <w:szCs w:val="24"/>
        </w:rPr>
        <w:t>,</w:t>
      </w:r>
      <w:r w:rsidR="006A3A16">
        <w:rPr>
          <w:sz w:val="24"/>
          <w:szCs w:val="24"/>
        </w:rPr>
        <w:t xml:space="preserve"> </w:t>
      </w:r>
      <w:r w:rsidR="0051510B">
        <w:rPr>
          <w:sz w:val="24"/>
          <w:szCs w:val="24"/>
        </w:rPr>
        <w:t xml:space="preserve">also known as the factory act </w:t>
      </w:r>
      <w:r w:rsidR="00653810">
        <w:rPr>
          <w:sz w:val="24"/>
          <w:szCs w:val="24"/>
        </w:rPr>
        <w:t xml:space="preserve">was </w:t>
      </w:r>
      <w:r w:rsidR="0051510B">
        <w:rPr>
          <w:sz w:val="24"/>
          <w:szCs w:val="24"/>
        </w:rPr>
        <w:t xml:space="preserve">passed </w:t>
      </w:r>
      <w:r w:rsidR="006A3A16">
        <w:rPr>
          <w:sz w:val="24"/>
          <w:szCs w:val="24"/>
        </w:rPr>
        <w:t>in 1878</w:t>
      </w:r>
      <w:r w:rsidR="0051510B">
        <w:rPr>
          <w:sz w:val="24"/>
          <w:szCs w:val="24"/>
        </w:rPr>
        <w:t xml:space="preserve">, </w:t>
      </w:r>
      <w:r w:rsidR="00653810">
        <w:rPr>
          <w:sz w:val="24"/>
          <w:szCs w:val="24"/>
        </w:rPr>
        <w:t xml:space="preserve">this act </w:t>
      </w:r>
      <w:r w:rsidR="0051510B">
        <w:rPr>
          <w:sz w:val="24"/>
          <w:szCs w:val="24"/>
        </w:rPr>
        <w:t>consolidated confusing previous acts. The act outlawed the employment of children under ten, limited the working hours of women and children aged ten to fourteen and applied the factory code to all trades.</w:t>
      </w:r>
      <w:r w:rsidR="0051510B">
        <w:rPr>
          <w:rStyle w:val="FootnoteReference"/>
          <w:sz w:val="24"/>
          <w:szCs w:val="24"/>
        </w:rPr>
        <w:footnoteReference w:id="19"/>
      </w:r>
      <w:r w:rsidR="006A3A16">
        <w:rPr>
          <w:sz w:val="24"/>
          <w:szCs w:val="24"/>
        </w:rPr>
        <w:t xml:space="preserve"> </w:t>
      </w:r>
      <w:r w:rsidR="00164AD7">
        <w:rPr>
          <w:sz w:val="24"/>
          <w:szCs w:val="24"/>
        </w:rPr>
        <w:t>T</w:t>
      </w:r>
      <w:r w:rsidR="006A3A16">
        <w:rPr>
          <w:sz w:val="24"/>
          <w:szCs w:val="24"/>
        </w:rPr>
        <w:t>he employers liability act was passed in 1880</w:t>
      </w:r>
      <w:r w:rsidR="00164AD7">
        <w:rPr>
          <w:sz w:val="24"/>
          <w:szCs w:val="24"/>
        </w:rPr>
        <w:t>, prior to this act no compensation was paid either to a worker or to their family in the case of injury or death at their workplace, th</w:t>
      </w:r>
      <w:r w:rsidR="00CA7CBD">
        <w:rPr>
          <w:sz w:val="24"/>
          <w:szCs w:val="24"/>
        </w:rPr>
        <w:t>e institution of this</w:t>
      </w:r>
      <w:r w:rsidR="00164AD7">
        <w:rPr>
          <w:sz w:val="24"/>
          <w:szCs w:val="24"/>
        </w:rPr>
        <w:t xml:space="preserve"> act rectified the </w:t>
      </w:r>
      <w:r w:rsidR="00CA7CBD">
        <w:rPr>
          <w:sz w:val="24"/>
          <w:szCs w:val="24"/>
        </w:rPr>
        <w:t xml:space="preserve">obvious </w:t>
      </w:r>
      <w:r w:rsidR="00164AD7">
        <w:rPr>
          <w:sz w:val="24"/>
          <w:szCs w:val="24"/>
        </w:rPr>
        <w:t>i</w:t>
      </w:r>
      <w:r w:rsidR="00CA7CBD">
        <w:rPr>
          <w:sz w:val="24"/>
          <w:szCs w:val="24"/>
        </w:rPr>
        <w:t>njustice of the situation</w:t>
      </w:r>
      <w:r w:rsidR="006A3A16">
        <w:rPr>
          <w:sz w:val="24"/>
          <w:szCs w:val="24"/>
        </w:rPr>
        <w:t>.</w:t>
      </w:r>
      <w:r w:rsidR="00164AD7">
        <w:rPr>
          <w:rStyle w:val="FootnoteReference"/>
          <w:sz w:val="24"/>
          <w:szCs w:val="24"/>
        </w:rPr>
        <w:footnoteReference w:id="20"/>
      </w:r>
    </w:p>
    <w:p w14:paraId="6BACEEBF" w14:textId="30072911" w:rsidR="005B28EA" w:rsidRDefault="007A3FB6" w:rsidP="00A406F7">
      <w:pPr>
        <w:rPr>
          <w:sz w:val="24"/>
          <w:szCs w:val="24"/>
        </w:rPr>
      </w:pPr>
      <w:r>
        <w:rPr>
          <w:sz w:val="24"/>
          <w:szCs w:val="24"/>
        </w:rPr>
        <w:t>Although creating a democratic nation was not the intention of the MP’s in 1867, it is arguable that the reform act was the first step towards democracy in Britain. Lord Derby described the passing of the act as a, ‘leap in the dark’, which it was</w:t>
      </w:r>
      <w:r w:rsidR="00653810">
        <w:rPr>
          <w:sz w:val="24"/>
          <w:szCs w:val="24"/>
        </w:rPr>
        <w:t>.</w:t>
      </w:r>
      <w:r>
        <w:rPr>
          <w:sz w:val="24"/>
          <w:szCs w:val="24"/>
        </w:rPr>
        <w:t xml:space="preserve"> </w:t>
      </w:r>
      <w:r w:rsidR="00653810">
        <w:rPr>
          <w:sz w:val="24"/>
          <w:szCs w:val="24"/>
        </w:rPr>
        <w:t>T</w:t>
      </w:r>
      <w:r>
        <w:rPr>
          <w:sz w:val="24"/>
          <w:szCs w:val="24"/>
        </w:rPr>
        <w:t>here had never before been such large number of people a</w:t>
      </w:r>
      <w:r w:rsidR="005C6A09">
        <w:rPr>
          <w:sz w:val="24"/>
          <w:szCs w:val="24"/>
        </w:rPr>
        <w:t>ble</w:t>
      </w:r>
      <w:r>
        <w:rPr>
          <w:sz w:val="24"/>
          <w:szCs w:val="24"/>
        </w:rPr>
        <w:t xml:space="preserve"> to vote and never before had any of the working classes been in enfranchised.</w:t>
      </w:r>
      <w:r w:rsidRPr="007A3FB6">
        <w:rPr>
          <w:sz w:val="24"/>
          <w:szCs w:val="24"/>
          <w:vertAlign w:val="superscript"/>
        </w:rPr>
        <w:footnoteReference w:id="21"/>
      </w:r>
      <w:r>
        <w:rPr>
          <w:sz w:val="24"/>
          <w:szCs w:val="24"/>
        </w:rPr>
        <w:t xml:space="preserve"> </w:t>
      </w:r>
      <w:r w:rsidR="00653810">
        <w:rPr>
          <w:sz w:val="24"/>
          <w:szCs w:val="24"/>
        </w:rPr>
        <w:t xml:space="preserve">It would have been impossible for anyone at the time to accurately predict the consequences </w:t>
      </w:r>
      <w:r w:rsidR="0069161E">
        <w:rPr>
          <w:sz w:val="24"/>
          <w:szCs w:val="24"/>
        </w:rPr>
        <w:t>of such a radical step.</w:t>
      </w:r>
      <w:r w:rsidR="00653810">
        <w:rPr>
          <w:sz w:val="24"/>
          <w:szCs w:val="24"/>
        </w:rPr>
        <w:t xml:space="preserve"> </w:t>
      </w:r>
      <w:r w:rsidR="00091CD3">
        <w:rPr>
          <w:sz w:val="24"/>
          <w:szCs w:val="24"/>
        </w:rPr>
        <w:t xml:space="preserve">Another </w:t>
      </w:r>
      <w:r w:rsidR="005E2AEB">
        <w:rPr>
          <w:sz w:val="24"/>
          <w:szCs w:val="24"/>
        </w:rPr>
        <w:t>consequence directly attributable to the reform act was the removal of royal power from central politics, from 1867 onwards the focus was on the two rival parties, the liberals and the conservatives. Elections were the only influence on who lost or gained political power.</w:t>
      </w:r>
      <w:r w:rsidR="005E2AEB">
        <w:rPr>
          <w:rStyle w:val="FootnoteReference"/>
          <w:sz w:val="24"/>
          <w:szCs w:val="24"/>
        </w:rPr>
        <w:footnoteReference w:id="22"/>
      </w:r>
      <w:r w:rsidR="00994E60">
        <w:rPr>
          <w:sz w:val="24"/>
          <w:szCs w:val="24"/>
        </w:rPr>
        <w:t xml:space="preserve"> The </w:t>
      </w:r>
      <w:r w:rsidR="00EC25F3">
        <w:rPr>
          <w:sz w:val="24"/>
          <w:szCs w:val="24"/>
        </w:rPr>
        <w:t>reform movement of the 1860’s can also be held, at least partially, responsible for the creation of the labour party</w:t>
      </w:r>
      <w:r w:rsidR="00BE73D0">
        <w:rPr>
          <w:sz w:val="24"/>
          <w:szCs w:val="24"/>
        </w:rPr>
        <w:t>. Although the labour party was not officially founded for decades after the reform act, it was the beginning of the lib-lab alliance and,</w:t>
      </w:r>
      <w:r w:rsidR="00EC25F3">
        <w:rPr>
          <w:sz w:val="24"/>
          <w:szCs w:val="24"/>
        </w:rPr>
        <w:t xml:space="preserve"> after the end of the chartist movement, socialist politics needed revitalising and the reform act did just that.</w:t>
      </w:r>
      <w:r w:rsidR="00EC25F3">
        <w:rPr>
          <w:rStyle w:val="FootnoteReference"/>
          <w:sz w:val="24"/>
          <w:szCs w:val="24"/>
        </w:rPr>
        <w:footnoteReference w:id="23"/>
      </w:r>
    </w:p>
    <w:p w14:paraId="6B54E8F3" w14:textId="0FF6C6C5" w:rsidR="00831A40" w:rsidRDefault="005B28EA" w:rsidP="00A406F7">
      <w:pPr>
        <w:rPr>
          <w:sz w:val="24"/>
          <w:szCs w:val="24"/>
        </w:rPr>
      </w:pPr>
      <w:r>
        <w:rPr>
          <w:sz w:val="24"/>
          <w:szCs w:val="24"/>
        </w:rPr>
        <w:t xml:space="preserve">Despite all of the changes that followed 1867, some things remained </w:t>
      </w:r>
      <w:r w:rsidR="00CE53A7">
        <w:rPr>
          <w:sz w:val="24"/>
          <w:szCs w:val="24"/>
        </w:rPr>
        <w:t xml:space="preserve">unchanged. As mentioned above the new voters were unevenly distributed, this is due to the vote only being given to </w:t>
      </w:r>
      <w:r w:rsidR="00603F7B">
        <w:rPr>
          <w:sz w:val="24"/>
          <w:szCs w:val="24"/>
        </w:rPr>
        <w:t>twelve-pound</w:t>
      </w:r>
      <w:r w:rsidR="00CE53A7">
        <w:rPr>
          <w:sz w:val="24"/>
          <w:szCs w:val="24"/>
        </w:rPr>
        <w:t xml:space="preserve"> householders in rural areas, this was such a small number of people that the governmental system in the country</w:t>
      </w:r>
      <w:r w:rsidR="0069161E">
        <w:rPr>
          <w:sz w:val="24"/>
          <w:szCs w:val="24"/>
        </w:rPr>
        <w:t>side</w:t>
      </w:r>
      <w:r w:rsidR="00CE53A7">
        <w:rPr>
          <w:sz w:val="24"/>
          <w:szCs w:val="24"/>
        </w:rPr>
        <w:t xml:space="preserve"> remained almost completely unchanged. Redistribution from sparse to heavily populated areas was also not effectively accomplished, with over seventy boroughs with populations of less than ten thousand </w:t>
      </w:r>
      <w:r w:rsidR="00CE53A7">
        <w:rPr>
          <w:sz w:val="24"/>
          <w:szCs w:val="24"/>
        </w:rPr>
        <w:lastRenderedPageBreak/>
        <w:t>voters, and the large industrial cities with populations in the millions only being given one extra representative. This saw the pre-reform corruption being practised in much the same way after 1867.</w:t>
      </w:r>
      <w:r w:rsidR="00CE53A7">
        <w:rPr>
          <w:rStyle w:val="FootnoteReference"/>
          <w:sz w:val="24"/>
          <w:szCs w:val="24"/>
        </w:rPr>
        <w:footnoteReference w:id="24"/>
      </w:r>
      <w:r w:rsidR="00603F7B">
        <w:rPr>
          <w:sz w:val="24"/>
          <w:szCs w:val="24"/>
        </w:rPr>
        <w:t xml:space="preserve"> </w:t>
      </w:r>
      <w:r w:rsidR="00BE73D0">
        <w:rPr>
          <w:sz w:val="24"/>
          <w:szCs w:val="24"/>
        </w:rPr>
        <w:t>Although corruption remained an issue the reform act had served to rectify the problem of compounding, a corrupt practice in its own right. Disraeli’s acceptance and support of Hodgkinson’s amendment</w:t>
      </w:r>
      <w:r w:rsidR="00140310">
        <w:rPr>
          <w:sz w:val="24"/>
          <w:szCs w:val="24"/>
        </w:rPr>
        <w:t>,</w:t>
      </w:r>
      <w:r w:rsidR="00BE73D0">
        <w:rPr>
          <w:sz w:val="24"/>
          <w:szCs w:val="24"/>
        </w:rPr>
        <w:t xml:space="preserve"> </w:t>
      </w:r>
      <w:r w:rsidR="00140310">
        <w:rPr>
          <w:sz w:val="24"/>
          <w:szCs w:val="24"/>
        </w:rPr>
        <w:t xml:space="preserve">which outlawed the practice of tenants paying rates through their landlords, </w:t>
      </w:r>
      <w:r w:rsidR="00BE73D0">
        <w:rPr>
          <w:sz w:val="24"/>
          <w:szCs w:val="24"/>
        </w:rPr>
        <w:t>added almost half a million extra voters to the electoral rolls</w:t>
      </w:r>
      <w:r w:rsidR="00140310">
        <w:rPr>
          <w:sz w:val="24"/>
          <w:szCs w:val="24"/>
        </w:rPr>
        <w:t>.</w:t>
      </w:r>
      <w:r w:rsidR="0069161E">
        <w:rPr>
          <w:sz w:val="24"/>
          <w:szCs w:val="24"/>
        </w:rPr>
        <w:t xml:space="preserve"> Disraeli’s support for this amendment was the biggest shock of Gladstone’s career.</w:t>
      </w:r>
      <w:r w:rsidR="00D36B26">
        <w:rPr>
          <w:rStyle w:val="FootnoteReference"/>
          <w:sz w:val="24"/>
          <w:szCs w:val="24"/>
        </w:rPr>
        <w:footnoteReference w:id="25"/>
      </w:r>
    </w:p>
    <w:p w14:paraId="3C3BB271" w14:textId="275945F9" w:rsidR="00140310" w:rsidRDefault="0069161E" w:rsidP="00A406F7">
      <w:pPr>
        <w:rPr>
          <w:sz w:val="24"/>
          <w:szCs w:val="24"/>
        </w:rPr>
      </w:pPr>
      <w:r>
        <w:rPr>
          <w:sz w:val="24"/>
          <w:szCs w:val="24"/>
        </w:rPr>
        <w:t>It has been the purpose of this essay to fairly assess t</w:t>
      </w:r>
      <w:r w:rsidR="00140310">
        <w:rPr>
          <w:sz w:val="24"/>
          <w:szCs w:val="24"/>
        </w:rPr>
        <w:t>he question of whether the significance of the 1867 reform act has been overstated by historians</w:t>
      </w:r>
      <w:r>
        <w:rPr>
          <w:sz w:val="24"/>
          <w:szCs w:val="24"/>
        </w:rPr>
        <w:t>.</w:t>
      </w:r>
      <w:r w:rsidR="00D02862">
        <w:rPr>
          <w:sz w:val="24"/>
          <w:szCs w:val="24"/>
        </w:rPr>
        <w:t xml:space="preserve"> Although it could be argued that perhaps the changes in the political landscape of Britain may have happened even without the passing of the reform act, it would be pure speculation. The information presented by this essay shows that the reform act, at the very least, acted as a catalyst for further social and political changes in the subsequent decades. If the reform act of 1867 can be viewed as an attempt to rectify the problems of the 1832 reform act,</w:t>
      </w:r>
      <w:r w:rsidR="00D36B26">
        <w:rPr>
          <w:rStyle w:val="FootnoteReference"/>
          <w:sz w:val="24"/>
          <w:szCs w:val="24"/>
        </w:rPr>
        <w:footnoteReference w:id="26"/>
      </w:r>
      <w:r w:rsidR="00D02862">
        <w:rPr>
          <w:sz w:val="24"/>
          <w:szCs w:val="24"/>
        </w:rPr>
        <w:t xml:space="preserve"> then the reform acts of the 1880’s can be considered an attempt at correcting the problems with the 1867 act. In conclusion</w:t>
      </w:r>
      <w:r w:rsidR="00D06BA8">
        <w:rPr>
          <w:sz w:val="24"/>
          <w:szCs w:val="24"/>
        </w:rPr>
        <w:t>, this essay has presented evidence which illustrates that</w:t>
      </w:r>
      <w:r>
        <w:rPr>
          <w:sz w:val="24"/>
          <w:szCs w:val="24"/>
        </w:rPr>
        <w:t xml:space="preserve"> </w:t>
      </w:r>
      <w:r w:rsidR="00D06BA8">
        <w:rPr>
          <w:sz w:val="24"/>
          <w:szCs w:val="24"/>
        </w:rPr>
        <w:t>the reform act was a poorly executed, haphazard act passed as a result of the rivalry of two leading politicians.</w:t>
      </w:r>
      <w:r w:rsidR="00D36B26">
        <w:rPr>
          <w:rStyle w:val="FootnoteReference"/>
          <w:sz w:val="24"/>
          <w:szCs w:val="24"/>
        </w:rPr>
        <w:footnoteReference w:id="27"/>
      </w:r>
      <w:r w:rsidR="00D02862">
        <w:rPr>
          <w:sz w:val="24"/>
          <w:szCs w:val="24"/>
        </w:rPr>
        <w:t xml:space="preserve"> </w:t>
      </w:r>
      <w:r>
        <w:rPr>
          <w:sz w:val="24"/>
          <w:szCs w:val="24"/>
        </w:rPr>
        <w:t>and</w:t>
      </w:r>
      <w:r w:rsidR="00D06BA8">
        <w:rPr>
          <w:sz w:val="24"/>
          <w:szCs w:val="24"/>
        </w:rPr>
        <w:t xml:space="preserve"> also did not completely eradicate corruption or even attempt to accurately represent the population of Britain. However, it was the first step in the direction of a democratic system,</w:t>
      </w:r>
      <w:r w:rsidR="00722C3F">
        <w:rPr>
          <w:sz w:val="24"/>
          <w:szCs w:val="24"/>
        </w:rPr>
        <w:t xml:space="preserve"> with one vote per individual, which makes the reform act of 1867 one of the nineteenth centuries most important contributions to British society.</w:t>
      </w:r>
      <w:r w:rsidR="000748D5">
        <w:rPr>
          <w:sz w:val="24"/>
          <w:szCs w:val="24"/>
        </w:rPr>
        <w:t xml:space="preserve"> Therefore, its significance has not been overstated by historians.</w:t>
      </w:r>
      <w:r w:rsidR="00D06BA8">
        <w:rPr>
          <w:sz w:val="24"/>
          <w:szCs w:val="24"/>
        </w:rPr>
        <w:t xml:space="preserve">  </w:t>
      </w:r>
      <w:r w:rsidR="00D02862">
        <w:rPr>
          <w:sz w:val="24"/>
          <w:szCs w:val="24"/>
        </w:rPr>
        <w:t xml:space="preserve"> </w:t>
      </w:r>
    </w:p>
    <w:p w14:paraId="7F332A4D" w14:textId="77777777" w:rsidR="0069161E" w:rsidRDefault="0069161E" w:rsidP="00C04AF6">
      <w:pPr>
        <w:rPr>
          <w:sz w:val="24"/>
          <w:szCs w:val="24"/>
          <w:u w:val="single"/>
        </w:rPr>
      </w:pPr>
    </w:p>
    <w:p w14:paraId="11DE7526" w14:textId="77777777" w:rsidR="0069161E" w:rsidRDefault="0069161E" w:rsidP="00C04AF6">
      <w:pPr>
        <w:rPr>
          <w:sz w:val="24"/>
          <w:szCs w:val="24"/>
          <w:u w:val="single"/>
        </w:rPr>
      </w:pPr>
    </w:p>
    <w:p w14:paraId="3EC5DC2D" w14:textId="77777777" w:rsidR="0069161E" w:rsidRDefault="0069161E" w:rsidP="00C04AF6">
      <w:pPr>
        <w:rPr>
          <w:sz w:val="24"/>
          <w:szCs w:val="24"/>
          <w:u w:val="single"/>
        </w:rPr>
      </w:pPr>
    </w:p>
    <w:p w14:paraId="5AEC9295" w14:textId="77777777" w:rsidR="0069161E" w:rsidRDefault="0069161E" w:rsidP="00C04AF6">
      <w:pPr>
        <w:rPr>
          <w:sz w:val="24"/>
          <w:szCs w:val="24"/>
          <w:u w:val="single"/>
        </w:rPr>
      </w:pPr>
    </w:p>
    <w:p w14:paraId="2A8047A3" w14:textId="77777777" w:rsidR="0069161E" w:rsidRDefault="0069161E" w:rsidP="00C04AF6">
      <w:pPr>
        <w:rPr>
          <w:sz w:val="24"/>
          <w:szCs w:val="24"/>
          <w:u w:val="single"/>
        </w:rPr>
      </w:pPr>
    </w:p>
    <w:p w14:paraId="08F0BB2C" w14:textId="77777777" w:rsidR="0069161E" w:rsidRDefault="0069161E" w:rsidP="00C04AF6">
      <w:pPr>
        <w:rPr>
          <w:sz w:val="24"/>
          <w:szCs w:val="24"/>
          <w:u w:val="single"/>
        </w:rPr>
      </w:pPr>
    </w:p>
    <w:p w14:paraId="11B679A8" w14:textId="77777777" w:rsidR="0069161E" w:rsidRDefault="0069161E" w:rsidP="00C04AF6">
      <w:pPr>
        <w:rPr>
          <w:sz w:val="24"/>
          <w:szCs w:val="24"/>
          <w:u w:val="single"/>
        </w:rPr>
      </w:pPr>
    </w:p>
    <w:p w14:paraId="7D2454C0" w14:textId="77777777" w:rsidR="0069161E" w:rsidRDefault="0069161E" w:rsidP="00C04AF6">
      <w:pPr>
        <w:rPr>
          <w:sz w:val="24"/>
          <w:szCs w:val="24"/>
          <w:u w:val="single"/>
        </w:rPr>
      </w:pPr>
    </w:p>
    <w:p w14:paraId="6A515C64" w14:textId="77777777" w:rsidR="0069161E" w:rsidRDefault="0069161E" w:rsidP="00C04AF6">
      <w:pPr>
        <w:rPr>
          <w:sz w:val="24"/>
          <w:szCs w:val="24"/>
          <w:u w:val="single"/>
        </w:rPr>
      </w:pPr>
    </w:p>
    <w:p w14:paraId="47A11C2F" w14:textId="77777777" w:rsidR="0069161E" w:rsidRDefault="0069161E" w:rsidP="00C04AF6">
      <w:pPr>
        <w:rPr>
          <w:sz w:val="24"/>
          <w:szCs w:val="24"/>
          <w:u w:val="single"/>
        </w:rPr>
      </w:pPr>
    </w:p>
    <w:p w14:paraId="77A8C94E" w14:textId="77431BC6" w:rsidR="00A426DC" w:rsidRDefault="00AE0DC8" w:rsidP="00C04AF6">
      <w:pPr>
        <w:rPr>
          <w:sz w:val="24"/>
          <w:szCs w:val="24"/>
          <w:u w:val="single"/>
        </w:rPr>
      </w:pPr>
      <w:bookmarkStart w:id="13" w:name="_GoBack"/>
      <w:bookmarkEnd w:id="13"/>
      <w:r>
        <w:rPr>
          <w:sz w:val="24"/>
          <w:szCs w:val="24"/>
          <w:u w:val="single"/>
        </w:rPr>
        <w:lastRenderedPageBreak/>
        <w:t>Bibliography</w:t>
      </w:r>
    </w:p>
    <w:p w14:paraId="3C3E635E" w14:textId="77777777" w:rsidR="00AE0DC8" w:rsidRPr="00AE0DC8" w:rsidRDefault="00AE0DC8" w:rsidP="00AE0DC8">
      <w:pPr>
        <w:rPr>
          <w:sz w:val="24"/>
          <w:szCs w:val="24"/>
          <w:u w:val="single"/>
        </w:rPr>
      </w:pPr>
      <w:bookmarkStart w:id="14" w:name="_Hlk509599155"/>
      <w:r w:rsidRPr="00AE0DC8">
        <w:rPr>
          <w:sz w:val="24"/>
          <w:szCs w:val="24"/>
          <w:u w:val="single"/>
        </w:rPr>
        <w:t xml:space="preserve">Adelman, Paul, </w:t>
      </w:r>
      <w:r w:rsidRPr="00AE0DC8">
        <w:rPr>
          <w:i/>
          <w:iCs/>
          <w:sz w:val="24"/>
          <w:szCs w:val="24"/>
          <w:u w:val="single"/>
        </w:rPr>
        <w:t>Victorian Radicalism: The Middle-Class Experience 1830-1914</w:t>
      </w:r>
      <w:r w:rsidRPr="00AE0DC8">
        <w:rPr>
          <w:sz w:val="24"/>
          <w:szCs w:val="24"/>
          <w:u w:val="single"/>
        </w:rPr>
        <w:t xml:space="preserve"> (New York: Longman, 1984) </w:t>
      </w:r>
    </w:p>
    <w:p w14:paraId="4076DA40" w14:textId="77777777" w:rsidR="00AE0DC8" w:rsidRPr="00AE0DC8" w:rsidRDefault="00AE0DC8" w:rsidP="00AE0DC8">
      <w:pPr>
        <w:rPr>
          <w:sz w:val="24"/>
          <w:szCs w:val="24"/>
          <w:u w:val="single"/>
        </w:rPr>
      </w:pPr>
      <w:bookmarkStart w:id="15" w:name="_Hlk509393379"/>
      <w:r w:rsidRPr="00AE0DC8">
        <w:rPr>
          <w:sz w:val="24"/>
          <w:szCs w:val="24"/>
          <w:u w:val="single"/>
        </w:rPr>
        <w:t xml:space="preserve">Himmelfarb, Gertrude, 'The Politics of Democracy: The English Reform Act of 1867', </w:t>
      </w:r>
      <w:r w:rsidRPr="00AE0DC8">
        <w:rPr>
          <w:i/>
          <w:iCs/>
          <w:sz w:val="24"/>
          <w:szCs w:val="24"/>
          <w:u w:val="single"/>
        </w:rPr>
        <w:t xml:space="preserve">Journal of British Studies, </w:t>
      </w:r>
      <w:r w:rsidRPr="00AE0DC8">
        <w:rPr>
          <w:sz w:val="24"/>
          <w:szCs w:val="24"/>
          <w:u w:val="single"/>
        </w:rPr>
        <w:t>6 (1966), 97-138</w:t>
      </w:r>
      <w:r w:rsidRPr="00AE0DC8">
        <w:rPr>
          <w:i/>
          <w:iCs/>
          <w:sz w:val="24"/>
          <w:szCs w:val="24"/>
          <w:u w:val="single"/>
        </w:rPr>
        <w:t>, in JSTOR</w:t>
      </w:r>
      <w:r w:rsidRPr="00AE0DC8">
        <w:rPr>
          <w:sz w:val="24"/>
          <w:szCs w:val="24"/>
          <w:u w:val="single"/>
        </w:rPr>
        <w:t xml:space="preserve"> &lt;</w:t>
      </w:r>
      <w:hyperlink r:id="rId8" w:tgtFrame="_blank" w:history="1">
        <w:r w:rsidRPr="00AE0DC8">
          <w:rPr>
            <w:rStyle w:val="Hyperlink"/>
            <w:sz w:val="24"/>
            <w:szCs w:val="24"/>
          </w:rPr>
          <w:t>http://www.jstor.org.ezproxy.uwtsd.ac.uk/stable/175195</w:t>
        </w:r>
      </w:hyperlink>
      <w:r w:rsidRPr="00AE0DC8">
        <w:rPr>
          <w:sz w:val="24"/>
          <w:szCs w:val="24"/>
          <w:u w:val="single"/>
        </w:rPr>
        <w:t xml:space="preserve">&gt; </w:t>
      </w:r>
    </w:p>
    <w:bookmarkEnd w:id="15"/>
    <w:p w14:paraId="2A9F9F92" w14:textId="77777777" w:rsidR="00AE0DC8" w:rsidRPr="00AE0DC8" w:rsidRDefault="00AE0DC8" w:rsidP="00AE0DC8">
      <w:pPr>
        <w:rPr>
          <w:sz w:val="24"/>
          <w:szCs w:val="24"/>
          <w:u w:val="single"/>
        </w:rPr>
      </w:pPr>
      <w:r w:rsidRPr="00AE0DC8">
        <w:rPr>
          <w:sz w:val="24"/>
          <w:szCs w:val="24"/>
          <w:u w:val="single"/>
        </w:rPr>
        <w:fldChar w:fldCharType="begin"/>
      </w:r>
      <w:r w:rsidRPr="00AE0DC8">
        <w:rPr>
          <w:sz w:val="24"/>
          <w:szCs w:val="24"/>
          <w:u w:val="single"/>
        </w:rPr>
        <w:instrText xml:space="preserve"> HYPERLINK "http://www.legislation.gov.uk/ukpga/Vict/38-39/86/enacted" </w:instrText>
      </w:r>
      <w:r w:rsidRPr="00AE0DC8">
        <w:rPr>
          <w:sz w:val="24"/>
          <w:szCs w:val="24"/>
          <w:u w:val="single"/>
        </w:rPr>
        <w:fldChar w:fldCharType="separate"/>
      </w:r>
      <w:r w:rsidRPr="00AE0DC8">
        <w:rPr>
          <w:rStyle w:val="Hyperlink"/>
          <w:sz w:val="24"/>
          <w:szCs w:val="24"/>
        </w:rPr>
        <w:t>http://www.legislation.gov.uk/ukpga/Vict/38-39/86/enacted</w:t>
      </w:r>
      <w:r w:rsidRPr="00AE0DC8">
        <w:rPr>
          <w:sz w:val="24"/>
          <w:szCs w:val="24"/>
          <w:u w:val="single"/>
        </w:rPr>
        <w:fldChar w:fldCharType="end"/>
      </w:r>
    </w:p>
    <w:p w14:paraId="48B9611B" w14:textId="77777777" w:rsidR="00AE0DC8" w:rsidRPr="00AE0DC8" w:rsidRDefault="00AE0DC8" w:rsidP="00AE0DC8">
      <w:pPr>
        <w:rPr>
          <w:sz w:val="24"/>
          <w:szCs w:val="24"/>
          <w:u w:val="single"/>
        </w:rPr>
      </w:pPr>
      <w:bookmarkStart w:id="16" w:name="_Hlk509595394"/>
      <w:r w:rsidRPr="00AE0DC8">
        <w:rPr>
          <w:sz w:val="24"/>
          <w:szCs w:val="24"/>
          <w:u w:val="single"/>
        </w:rPr>
        <w:t xml:space="preserve">Jenkins, Roy, </w:t>
      </w:r>
      <w:r w:rsidRPr="00AE0DC8">
        <w:rPr>
          <w:i/>
          <w:iCs/>
          <w:sz w:val="24"/>
          <w:szCs w:val="24"/>
          <w:u w:val="single"/>
        </w:rPr>
        <w:t>Gladstone</w:t>
      </w:r>
      <w:r w:rsidRPr="00AE0DC8">
        <w:rPr>
          <w:sz w:val="24"/>
          <w:szCs w:val="24"/>
          <w:u w:val="single"/>
        </w:rPr>
        <w:t xml:space="preserve"> (Basingstoke: Macmillan, 1995) </w:t>
      </w:r>
    </w:p>
    <w:bookmarkEnd w:id="16"/>
    <w:p w14:paraId="0ACF2413" w14:textId="77777777" w:rsidR="00AE0DC8" w:rsidRPr="00AE0DC8" w:rsidRDefault="00AE0DC8" w:rsidP="00AE0DC8">
      <w:pPr>
        <w:rPr>
          <w:sz w:val="24"/>
          <w:szCs w:val="24"/>
          <w:u w:val="single"/>
        </w:rPr>
      </w:pPr>
      <w:r w:rsidRPr="00AE0DC8">
        <w:rPr>
          <w:sz w:val="24"/>
          <w:szCs w:val="24"/>
          <w:u w:val="single"/>
        </w:rPr>
        <w:t xml:space="preserve">Moore, Roger, </w:t>
      </w:r>
      <w:r w:rsidRPr="00AE0DC8">
        <w:rPr>
          <w:i/>
          <w:iCs/>
          <w:sz w:val="24"/>
          <w:szCs w:val="24"/>
          <w:u w:val="single"/>
        </w:rPr>
        <w:t>The Emergence of the Labour Party 1880-1924</w:t>
      </w:r>
      <w:r w:rsidRPr="00AE0DC8">
        <w:rPr>
          <w:sz w:val="24"/>
          <w:szCs w:val="24"/>
          <w:u w:val="single"/>
        </w:rPr>
        <w:t xml:space="preserve"> (London: Hodder and Stoughton, 1978) </w:t>
      </w:r>
    </w:p>
    <w:p w14:paraId="47A7A985" w14:textId="77777777" w:rsidR="00AE0DC8" w:rsidRPr="00AE0DC8" w:rsidRDefault="00AE0DC8" w:rsidP="00AE0DC8">
      <w:pPr>
        <w:rPr>
          <w:sz w:val="24"/>
          <w:szCs w:val="24"/>
          <w:u w:val="single"/>
        </w:rPr>
      </w:pPr>
      <w:r w:rsidRPr="00AE0DC8">
        <w:rPr>
          <w:sz w:val="24"/>
          <w:szCs w:val="24"/>
          <w:u w:val="single"/>
        </w:rPr>
        <w:t xml:space="preserve">Pugh, Martin, </w:t>
      </w:r>
      <w:r w:rsidRPr="00AE0DC8">
        <w:rPr>
          <w:i/>
          <w:iCs/>
          <w:sz w:val="24"/>
          <w:szCs w:val="24"/>
          <w:u w:val="single"/>
        </w:rPr>
        <w:t>The Making of Modern British Politics 1867-1939</w:t>
      </w:r>
      <w:r w:rsidRPr="00AE0DC8">
        <w:rPr>
          <w:sz w:val="24"/>
          <w:szCs w:val="24"/>
          <w:u w:val="single"/>
        </w:rPr>
        <w:t xml:space="preserve"> (Oxford: Basil Blackwell, 1982) </w:t>
      </w:r>
    </w:p>
    <w:p w14:paraId="061F2B23" w14:textId="77777777" w:rsidR="00AE0DC8" w:rsidRPr="00AE0DC8" w:rsidRDefault="00AE0DC8" w:rsidP="00AE0DC8">
      <w:pPr>
        <w:rPr>
          <w:sz w:val="24"/>
          <w:szCs w:val="24"/>
          <w:u w:val="single"/>
        </w:rPr>
      </w:pPr>
      <w:r w:rsidRPr="00AE0DC8">
        <w:rPr>
          <w:sz w:val="24"/>
          <w:szCs w:val="24"/>
          <w:u w:val="single"/>
        </w:rPr>
        <w:t xml:space="preserve">Quinault, Roland, 'John Bright and Joseph Chamberlain', </w:t>
      </w:r>
      <w:r w:rsidRPr="00AE0DC8">
        <w:rPr>
          <w:i/>
          <w:iCs/>
          <w:sz w:val="24"/>
          <w:szCs w:val="24"/>
          <w:u w:val="single"/>
        </w:rPr>
        <w:t xml:space="preserve">The Historical Journal, </w:t>
      </w:r>
      <w:r w:rsidRPr="00AE0DC8">
        <w:rPr>
          <w:sz w:val="24"/>
          <w:szCs w:val="24"/>
          <w:u w:val="single"/>
        </w:rPr>
        <w:t>28 (1985), p. 623</w:t>
      </w:r>
      <w:r w:rsidRPr="00AE0DC8">
        <w:rPr>
          <w:i/>
          <w:iCs/>
          <w:sz w:val="24"/>
          <w:szCs w:val="24"/>
          <w:u w:val="single"/>
        </w:rPr>
        <w:t>. in JSTOR</w:t>
      </w:r>
      <w:r w:rsidRPr="00AE0DC8">
        <w:rPr>
          <w:sz w:val="24"/>
          <w:szCs w:val="24"/>
          <w:u w:val="single"/>
        </w:rPr>
        <w:t xml:space="preserve"> &lt;</w:t>
      </w:r>
      <w:hyperlink r:id="rId9" w:tgtFrame="_blank" w:history="1">
        <w:r w:rsidRPr="00AE0DC8">
          <w:rPr>
            <w:rStyle w:val="Hyperlink"/>
            <w:sz w:val="24"/>
            <w:szCs w:val="24"/>
          </w:rPr>
          <w:t>http://www.jstor.org.ezproxy.uwtsd.ac.uk/stable/2639142</w:t>
        </w:r>
      </w:hyperlink>
      <w:r w:rsidRPr="00AE0DC8">
        <w:rPr>
          <w:sz w:val="24"/>
          <w:szCs w:val="24"/>
          <w:u w:val="single"/>
        </w:rPr>
        <w:t>&gt;</w:t>
      </w:r>
    </w:p>
    <w:p w14:paraId="74C68CB1" w14:textId="77777777" w:rsidR="00AE0DC8" w:rsidRPr="00AE0DC8" w:rsidRDefault="00AE0DC8" w:rsidP="00AE0DC8">
      <w:pPr>
        <w:rPr>
          <w:sz w:val="24"/>
          <w:szCs w:val="24"/>
          <w:u w:val="single"/>
        </w:rPr>
      </w:pPr>
      <w:proofErr w:type="spellStart"/>
      <w:r w:rsidRPr="00AE0DC8">
        <w:rPr>
          <w:sz w:val="24"/>
          <w:szCs w:val="24"/>
          <w:u w:val="single"/>
        </w:rPr>
        <w:t>Ruegg</w:t>
      </w:r>
      <w:proofErr w:type="spellEnd"/>
      <w:r w:rsidRPr="00AE0DC8">
        <w:rPr>
          <w:sz w:val="24"/>
          <w:szCs w:val="24"/>
          <w:u w:val="single"/>
        </w:rPr>
        <w:t xml:space="preserve">, Alfred H., </w:t>
      </w:r>
      <w:r w:rsidRPr="00AE0DC8">
        <w:rPr>
          <w:i/>
          <w:iCs/>
          <w:sz w:val="24"/>
          <w:szCs w:val="24"/>
          <w:u w:val="single"/>
        </w:rPr>
        <w:t>A Treatise upon the Employers Liability Act 1880</w:t>
      </w:r>
      <w:r w:rsidRPr="00AE0DC8">
        <w:rPr>
          <w:sz w:val="24"/>
          <w:szCs w:val="24"/>
          <w:u w:val="single"/>
        </w:rPr>
        <w:t xml:space="preserve"> (Oxford: Butterworths, 1882)</w:t>
      </w:r>
    </w:p>
    <w:p w14:paraId="00105E3D" w14:textId="77777777" w:rsidR="00AE0DC8" w:rsidRPr="00AE0DC8" w:rsidRDefault="00AE0DC8" w:rsidP="00AE0DC8">
      <w:pPr>
        <w:rPr>
          <w:sz w:val="24"/>
          <w:szCs w:val="24"/>
          <w:u w:val="single"/>
        </w:rPr>
      </w:pPr>
      <w:bookmarkStart w:id="17" w:name="_Hlk509394034"/>
      <w:r w:rsidRPr="00AE0DC8">
        <w:rPr>
          <w:sz w:val="24"/>
          <w:szCs w:val="24"/>
          <w:u w:val="single"/>
        </w:rPr>
        <w:t xml:space="preserve">Shannon, Richard, </w:t>
      </w:r>
      <w:r w:rsidRPr="00AE0DC8">
        <w:rPr>
          <w:i/>
          <w:iCs/>
          <w:sz w:val="24"/>
          <w:szCs w:val="24"/>
          <w:u w:val="single"/>
        </w:rPr>
        <w:t>The Crisis of Imperialism 1865-1915</w:t>
      </w:r>
      <w:r w:rsidRPr="00AE0DC8">
        <w:rPr>
          <w:sz w:val="24"/>
          <w:szCs w:val="24"/>
          <w:u w:val="single"/>
        </w:rPr>
        <w:t xml:space="preserve"> (London: Granada, 1974) </w:t>
      </w:r>
    </w:p>
    <w:bookmarkEnd w:id="17"/>
    <w:p w14:paraId="0EFBE80F" w14:textId="77777777" w:rsidR="00AE0DC8" w:rsidRPr="00AE0DC8" w:rsidRDefault="00AE0DC8" w:rsidP="00AE0DC8">
      <w:pPr>
        <w:rPr>
          <w:sz w:val="24"/>
          <w:szCs w:val="24"/>
          <w:u w:val="single"/>
        </w:rPr>
      </w:pPr>
      <w:r w:rsidRPr="00AE0DC8">
        <w:rPr>
          <w:sz w:val="24"/>
          <w:szCs w:val="24"/>
          <w:u w:val="single"/>
        </w:rPr>
        <w:t xml:space="preserve">'The Heyday of Victorianism', in </w:t>
      </w:r>
      <w:r w:rsidRPr="00AE0DC8">
        <w:rPr>
          <w:i/>
          <w:iCs/>
          <w:sz w:val="24"/>
          <w:szCs w:val="24"/>
          <w:u w:val="single"/>
        </w:rPr>
        <w:t>British Politics in the Nineteenth Century</w:t>
      </w:r>
      <w:r w:rsidRPr="00AE0DC8">
        <w:rPr>
          <w:sz w:val="24"/>
          <w:szCs w:val="24"/>
          <w:u w:val="single"/>
        </w:rPr>
        <w:t xml:space="preserve">, ed. by Eugene C. Black (London: Macmillan, 1970), pp. 168-277 </w:t>
      </w:r>
    </w:p>
    <w:p w14:paraId="71024D22" w14:textId="77777777" w:rsidR="00AE0DC8" w:rsidRPr="00AE0DC8" w:rsidRDefault="00AE0DC8" w:rsidP="00AE0DC8">
      <w:pPr>
        <w:rPr>
          <w:sz w:val="24"/>
          <w:szCs w:val="24"/>
          <w:u w:val="single"/>
        </w:rPr>
      </w:pPr>
      <w:r w:rsidRPr="00AE0DC8">
        <w:rPr>
          <w:sz w:val="24"/>
          <w:szCs w:val="24"/>
          <w:u w:val="single"/>
        </w:rPr>
        <w:t xml:space="preserve">'The New Factory Act', </w:t>
      </w:r>
      <w:r w:rsidRPr="00AE0DC8">
        <w:rPr>
          <w:i/>
          <w:iCs/>
          <w:sz w:val="24"/>
          <w:szCs w:val="24"/>
          <w:u w:val="single"/>
        </w:rPr>
        <w:t xml:space="preserve">The Economic Journal, </w:t>
      </w:r>
      <w:r w:rsidRPr="00AE0DC8">
        <w:rPr>
          <w:sz w:val="24"/>
          <w:szCs w:val="24"/>
          <w:u w:val="single"/>
        </w:rPr>
        <w:t>5 (1895), 471-473</w:t>
      </w:r>
      <w:r w:rsidRPr="00AE0DC8">
        <w:rPr>
          <w:i/>
          <w:iCs/>
          <w:sz w:val="24"/>
          <w:szCs w:val="24"/>
          <w:u w:val="single"/>
        </w:rPr>
        <w:t>, in JSTOR</w:t>
      </w:r>
      <w:r w:rsidRPr="00AE0DC8">
        <w:rPr>
          <w:sz w:val="24"/>
          <w:szCs w:val="24"/>
          <w:u w:val="single"/>
        </w:rPr>
        <w:t xml:space="preserve"> &lt;</w:t>
      </w:r>
      <w:hyperlink r:id="rId10" w:tgtFrame="_blank" w:history="1">
        <w:r w:rsidRPr="00AE0DC8">
          <w:rPr>
            <w:rStyle w:val="Hyperlink"/>
            <w:sz w:val="24"/>
            <w:szCs w:val="24"/>
          </w:rPr>
          <w:t>http://www.jstor.org.ezproxy.uwtsd.ac.uk/stable/2955645</w:t>
        </w:r>
      </w:hyperlink>
      <w:r w:rsidRPr="00AE0DC8">
        <w:rPr>
          <w:sz w:val="24"/>
          <w:szCs w:val="24"/>
          <w:u w:val="single"/>
        </w:rPr>
        <w:t>&gt;</w:t>
      </w:r>
    </w:p>
    <w:p w14:paraId="0055F601" w14:textId="77777777" w:rsidR="00AE0DC8" w:rsidRPr="00AE0DC8" w:rsidRDefault="00AE0DC8" w:rsidP="00AE0DC8">
      <w:pPr>
        <w:rPr>
          <w:sz w:val="24"/>
          <w:szCs w:val="24"/>
          <w:u w:val="single"/>
        </w:rPr>
      </w:pPr>
      <w:r w:rsidRPr="00AE0DC8">
        <w:rPr>
          <w:sz w:val="24"/>
          <w:szCs w:val="24"/>
          <w:u w:val="single"/>
        </w:rPr>
        <w:t xml:space="preserve">'The Rise of the Working Classes:; Trade Unions and Socialism, 1871–1914', in </w:t>
      </w:r>
      <w:r w:rsidRPr="00AE0DC8">
        <w:rPr>
          <w:i/>
          <w:iCs/>
          <w:sz w:val="24"/>
          <w:szCs w:val="24"/>
          <w:u w:val="single"/>
        </w:rPr>
        <w:t>A People's History of Modern Europe</w:t>
      </w:r>
      <w:r w:rsidRPr="00AE0DC8">
        <w:rPr>
          <w:sz w:val="24"/>
          <w:szCs w:val="24"/>
          <w:u w:val="single"/>
        </w:rPr>
        <w:t xml:space="preserve">, ed. by William A. </w:t>
      </w:r>
      <w:proofErr w:type="spellStart"/>
      <w:r w:rsidRPr="00AE0DC8">
        <w:rPr>
          <w:sz w:val="24"/>
          <w:szCs w:val="24"/>
          <w:u w:val="single"/>
        </w:rPr>
        <w:t>Pelz</w:t>
      </w:r>
      <w:proofErr w:type="spellEnd"/>
      <w:r w:rsidRPr="00AE0DC8">
        <w:rPr>
          <w:sz w:val="24"/>
          <w:szCs w:val="24"/>
          <w:u w:val="single"/>
        </w:rPr>
        <w:t>(Pluto Press, 2016), pp. 83-102</w:t>
      </w:r>
      <w:r w:rsidRPr="00AE0DC8">
        <w:rPr>
          <w:i/>
          <w:iCs/>
          <w:sz w:val="24"/>
          <w:szCs w:val="24"/>
          <w:u w:val="single"/>
        </w:rPr>
        <w:t>, in JSTOR</w:t>
      </w:r>
      <w:r w:rsidRPr="00AE0DC8">
        <w:rPr>
          <w:sz w:val="24"/>
          <w:szCs w:val="24"/>
          <w:u w:val="single"/>
        </w:rPr>
        <w:t xml:space="preserve"> &lt;</w:t>
      </w:r>
      <w:hyperlink r:id="rId11" w:tgtFrame="_blank" w:history="1">
        <w:r w:rsidRPr="00AE0DC8">
          <w:rPr>
            <w:rStyle w:val="Hyperlink"/>
            <w:sz w:val="24"/>
            <w:szCs w:val="24"/>
          </w:rPr>
          <w:t>http://www.jstor.org.ezproxy.uwtsd.ac.uk/stable/j.ctt1c2crfj.11</w:t>
        </w:r>
      </w:hyperlink>
      <w:r w:rsidRPr="00AE0DC8">
        <w:rPr>
          <w:sz w:val="24"/>
          <w:szCs w:val="24"/>
          <w:u w:val="single"/>
        </w:rPr>
        <w:t>&gt;</w:t>
      </w:r>
    </w:p>
    <w:p w14:paraId="7CCB2DF2" w14:textId="77777777" w:rsidR="00AE0DC8" w:rsidRPr="00AE0DC8" w:rsidRDefault="00AE0DC8" w:rsidP="00AE0DC8">
      <w:pPr>
        <w:rPr>
          <w:sz w:val="24"/>
          <w:szCs w:val="24"/>
          <w:u w:val="single"/>
        </w:rPr>
      </w:pPr>
      <w:bookmarkStart w:id="18" w:name="_Hlk509392825"/>
      <w:r w:rsidRPr="00AE0DC8">
        <w:rPr>
          <w:sz w:val="24"/>
          <w:szCs w:val="24"/>
          <w:u w:val="single"/>
        </w:rPr>
        <w:t xml:space="preserve">'The Second Reform Act of 1867', in </w:t>
      </w:r>
      <w:r w:rsidRPr="00AE0DC8">
        <w:rPr>
          <w:i/>
          <w:iCs/>
          <w:sz w:val="24"/>
          <w:szCs w:val="24"/>
          <w:u w:val="single"/>
        </w:rPr>
        <w:t>The Emergence of British Parliamentary Democracy in the Nineteenth Century</w:t>
      </w:r>
      <w:r w:rsidRPr="00AE0DC8">
        <w:rPr>
          <w:sz w:val="24"/>
          <w:szCs w:val="24"/>
          <w:u w:val="single"/>
        </w:rPr>
        <w:t xml:space="preserve">, ed. by James </w:t>
      </w:r>
      <w:proofErr w:type="spellStart"/>
      <w:r w:rsidRPr="00AE0DC8">
        <w:rPr>
          <w:sz w:val="24"/>
          <w:szCs w:val="24"/>
          <w:u w:val="single"/>
        </w:rPr>
        <w:t>Conacher</w:t>
      </w:r>
      <w:proofErr w:type="spellEnd"/>
      <w:r w:rsidRPr="00AE0DC8">
        <w:rPr>
          <w:sz w:val="24"/>
          <w:szCs w:val="24"/>
          <w:u w:val="single"/>
        </w:rPr>
        <w:t xml:space="preserve"> (London: John Wiley and Sons, 1971), pp. 67-121 </w:t>
      </w:r>
    </w:p>
    <w:p w14:paraId="19AE95DA" w14:textId="77777777" w:rsidR="00AE0DC8" w:rsidRPr="00AE0DC8" w:rsidRDefault="00AE0DC8" w:rsidP="00AE0DC8">
      <w:pPr>
        <w:rPr>
          <w:sz w:val="24"/>
          <w:szCs w:val="24"/>
          <w:u w:val="single"/>
        </w:rPr>
      </w:pPr>
      <w:bookmarkStart w:id="19" w:name="_Hlk509405946"/>
      <w:bookmarkEnd w:id="18"/>
      <w:r w:rsidRPr="00AE0DC8">
        <w:rPr>
          <w:sz w:val="24"/>
          <w:szCs w:val="24"/>
          <w:u w:val="single"/>
        </w:rPr>
        <w:t xml:space="preserve">Turner, John D. and </w:t>
      </w:r>
      <w:proofErr w:type="spellStart"/>
      <w:r w:rsidRPr="00AE0DC8">
        <w:rPr>
          <w:sz w:val="24"/>
          <w:szCs w:val="24"/>
          <w:u w:val="single"/>
        </w:rPr>
        <w:t>Wenwen</w:t>
      </w:r>
      <w:proofErr w:type="spellEnd"/>
      <w:r w:rsidRPr="00AE0DC8">
        <w:rPr>
          <w:sz w:val="24"/>
          <w:szCs w:val="24"/>
          <w:u w:val="single"/>
        </w:rPr>
        <w:t xml:space="preserve"> Zhan, 'Property Rights and Competing for the Affections of Demos: The Impact of the 1867 Reform Act on Stock Prices', </w:t>
      </w:r>
      <w:r w:rsidRPr="00AE0DC8">
        <w:rPr>
          <w:i/>
          <w:iCs/>
          <w:sz w:val="24"/>
          <w:szCs w:val="24"/>
          <w:u w:val="single"/>
        </w:rPr>
        <w:t xml:space="preserve">Public Choice, </w:t>
      </w:r>
      <w:r w:rsidRPr="00AE0DC8">
        <w:rPr>
          <w:sz w:val="24"/>
          <w:szCs w:val="24"/>
          <w:u w:val="single"/>
        </w:rPr>
        <w:t>150 (2012), 609-631</w:t>
      </w:r>
      <w:r w:rsidRPr="00AE0DC8">
        <w:rPr>
          <w:i/>
          <w:iCs/>
          <w:sz w:val="24"/>
          <w:szCs w:val="24"/>
          <w:u w:val="single"/>
        </w:rPr>
        <w:t>, in JSTOR</w:t>
      </w:r>
      <w:r w:rsidRPr="00AE0DC8">
        <w:rPr>
          <w:sz w:val="24"/>
          <w:szCs w:val="24"/>
          <w:u w:val="single"/>
        </w:rPr>
        <w:t xml:space="preserve"> &lt;</w:t>
      </w:r>
      <w:hyperlink r:id="rId12" w:tgtFrame="_blank" w:history="1">
        <w:r w:rsidRPr="00AE0DC8">
          <w:rPr>
            <w:rStyle w:val="Hyperlink"/>
            <w:sz w:val="24"/>
            <w:szCs w:val="24"/>
          </w:rPr>
          <w:t>http://www.jstor.org.ezproxy.uwtsd.ac.uk/stable/41406900</w:t>
        </w:r>
      </w:hyperlink>
      <w:r w:rsidRPr="00AE0DC8">
        <w:rPr>
          <w:sz w:val="24"/>
          <w:szCs w:val="24"/>
          <w:u w:val="single"/>
        </w:rPr>
        <w:t xml:space="preserve">&gt; </w:t>
      </w:r>
    </w:p>
    <w:bookmarkEnd w:id="19"/>
    <w:p w14:paraId="59B79480" w14:textId="77777777" w:rsidR="00AE0DC8" w:rsidRPr="00AE0DC8" w:rsidRDefault="00AE0DC8" w:rsidP="00AE0DC8">
      <w:pPr>
        <w:rPr>
          <w:sz w:val="24"/>
          <w:szCs w:val="24"/>
          <w:u w:val="single"/>
        </w:rPr>
      </w:pPr>
      <w:r w:rsidRPr="00AE0DC8">
        <w:rPr>
          <w:sz w:val="24"/>
          <w:szCs w:val="24"/>
          <w:u w:val="single"/>
        </w:rPr>
        <w:t xml:space="preserve">Walton, John K., </w:t>
      </w:r>
      <w:r w:rsidRPr="00AE0DC8">
        <w:rPr>
          <w:i/>
          <w:iCs/>
          <w:sz w:val="24"/>
          <w:szCs w:val="24"/>
          <w:u w:val="single"/>
        </w:rPr>
        <w:t>Disraeli</w:t>
      </w:r>
      <w:r w:rsidRPr="00AE0DC8">
        <w:rPr>
          <w:sz w:val="24"/>
          <w:szCs w:val="24"/>
          <w:u w:val="single"/>
        </w:rPr>
        <w:t xml:space="preserve"> (New York: Routledge, 1990) </w:t>
      </w:r>
    </w:p>
    <w:p w14:paraId="72C8D733" w14:textId="77777777" w:rsidR="00AE0DC8" w:rsidRPr="00AE0DC8" w:rsidRDefault="00AE0DC8" w:rsidP="00AE0DC8">
      <w:pPr>
        <w:rPr>
          <w:sz w:val="24"/>
          <w:szCs w:val="24"/>
          <w:u w:val="single"/>
        </w:rPr>
      </w:pPr>
      <w:r w:rsidRPr="00AE0DC8">
        <w:rPr>
          <w:sz w:val="24"/>
          <w:szCs w:val="24"/>
          <w:u w:val="single"/>
        </w:rPr>
        <w:t xml:space="preserve">Woodward, Llewellyn, </w:t>
      </w:r>
      <w:r w:rsidRPr="00AE0DC8">
        <w:rPr>
          <w:i/>
          <w:iCs/>
          <w:sz w:val="24"/>
          <w:szCs w:val="24"/>
          <w:u w:val="single"/>
        </w:rPr>
        <w:t>The Age of Reform 1815-1870</w:t>
      </w:r>
      <w:r w:rsidRPr="00AE0DC8">
        <w:rPr>
          <w:sz w:val="24"/>
          <w:szCs w:val="24"/>
          <w:u w:val="single"/>
        </w:rPr>
        <w:t xml:space="preserve"> (London: Oxford university press, 1962) </w:t>
      </w:r>
      <w:bookmarkEnd w:id="14"/>
    </w:p>
    <w:p w14:paraId="03CD833A" w14:textId="77777777" w:rsidR="00AE0DC8" w:rsidRPr="00AE0DC8" w:rsidRDefault="00AE0DC8" w:rsidP="00C04AF6">
      <w:pPr>
        <w:rPr>
          <w:sz w:val="24"/>
          <w:szCs w:val="24"/>
          <w:u w:val="single"/>
        </w:rPr>
      </w:pPr>
    </w:p>
    <w:sectPr w:rsidR="00AE0DC8" w:rsidRPr="00AE0D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AA13C4" w14:textId="77777777" w:rsidR="00C1667E" w:rsidRDefault="00C1667E" w:rsidP="00017210">
      <w:pPr>
        <w:spacing w:after="0" w:line="240" w:lineRule="auto"/>
      </w:pPr>
      <w:r>
        <w:separator/>
      </w:r>
    </w:p>
  </w:endnote>
  <w:endnote w:type="continuationSeparator" w:id="0">
    <w:p w14:paraId="781637A0" w14:textId="77777777" w:rsidR="00C1667E" w:rsidRDefault="00C1667E" w:rsidP="00017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FA6FF7" w14:textId="77777777" w:rsidR="00C1667E" w:rsidRDefault="00C1667E" w:rsidP="00017210">
      <w:pPr>
        <w:spacing w:after="0" w:line="240" w:lineRule="auto"/>
      </w:pPr>
      <w:r>
        <w:separator/>
      </w:r>
    </w:p>
  </w:footnote>
  <w:footnote w:type="continuationSeparator" w:id="0">
    <w:p w14:paraId="1A2993A8" w14:textId="77777777" w:rsidR="00C1667E" w:rsidRDefault="00C1667E" w:rsidP="00017210">
      <w:pPr>
        <w:spacing w:after="0" w:line="240" w:lineRule="auto"/>
      </w:pPr>
      <w:r>
        <w:continuationSeparator/>
      </w:r>
    </w:p>
  </w:footnote>
  <w:footnote w:id="1">
    <w:p w14:paraId="05B0B4DE" w14:textId="645D1AC7" w:rsidR="00017210" w:rsidRDefault="00017210">
      <w:pPr>
        <w:pStyle w:val="FootnoteText"/>
      </w:pPr>
      <w:r>
        <w:rPr>
          <w:rStyle w:val="FootnoteReference"/>
        </w:rPr>
        <w:footnoteRef/>
      </w:r>
      <w:r>
        <w:t xml:space="preserve"> </w:t>
      </w:r>
      <w:bookmarkStart w:id="0" w:name="_Hlk509396409"/>
      <w:r w:rsidR="00A92053" w:rsidRPr="00A92053">
        <w:t xml:space="preserve">'The Second Reform Act of 1867', in </w:t>
      </w:r>
      <w:r w:rsidR="00A92053" w:rsidRPr="00A92053">
        <w:rPr>
          <w:i/>
          <w:iCs/>
        </w:rPr>
        <w:t>The Emergence of British Parliamentary Democracy</w:t>
      </w:r>
      <w:bookmarkEnd w:id="0"/>
      <w:r w:rsidR="00A92053" w:rsidRPr="00A92053">
        <w:rPr>
          <w:i/>
          <w:iCs/>
        </w:rPr>
        <w:t xml:space="preserve"> in the Nineteenth Century</w:t>
      </w:r>
      <w:r w:rsidR="00A92053" w:rsidRPr="00A92053">
        <w:t xml:space="preserve">, ed. by James </w:t>
      </w:r>
      <w:proofErr w:type="spellStart"/>
      <w:r w:rsidR="00A92053" w:rsidRPr="00A92053">
        <w:t>Conacher</w:t>
      </w:r>
      <w:proofErr w:type="spellEnd"/>
      <w:r w:rsidR="00A92053" w:rsidRPr="00A92053">
        <w:t xml:space="preserve"> (London: John Wiley and Sons, 1971), p</w:t>
      </w:r>
      <w:r w:rsidR="00A92053">
        <w:t>. 68.</w:t>
      </w:r>
    </w:p>
  </w:footnote>
  <w:footnote w:id="2">
    <w:p w14:paraId="6DE7C0E8" w14:textId="3CDC3C0C" w:rsidR="00A92053" w:rsidRDefault="00A92053">
      <w:pPr>
        <w:pStyle w:val="FootnoteText"/>
      </w:pPr>
      <w:r>
        <w:rPr>
          <w:rStyle w:val="FootnoteReference"/>
        </w:rPr>
        <w:footnoteRef/>
      </w:r>
      <w:r>
        <w:t xml:space="preserve"> </w:t>
      </w:r>
      <w:r w:rsidR="00AB41FB">
        <w:t xml:space="preserve">Gertrude. </w:t>
      </w:r>
      <w:bookmarkStart w:id="1" w:name="_Hlk509394461"/>
      <w:r w:rsidR="00AB41FB" w:rsidRPr="00AB41FB">
        <w:t>Himmelfarb</w:t>
      </w:r>
      <w:r w:rsidR="00AB41FB">
        <w:t>.</w:t>
      </w:r>
      <w:r w:rsidR="00AB41FB" w:rsidRPr="00AB41FB">
        <w:t>, 'The Politics of Democracy</w:t>
      </w:r>
      <w:bookmarkEnd w:id="1"/>
      <w:r w:rsidR="00AB41FB" w:rsidRPr="00AB41FB">
        <w:t xml:space="preserve">: The English Reform Act of 1867', </w:t>
      </w:r>
      <w:r w:rsidR="00AB41FB" w:rsidRPr="00AB41FB">
        <w:rPr>
          <w:i/>
          <w:iCs/>
        </w:rPr>
        <w:t>Journal of British Studies,</w:t>
      </w:r>
      <w:r w:rsidR="00AB41FB" w:rsidRPr="00AB41FB">
        <w:t xml:space="preserve"> (1966), </w:t>
      </w:r>
      <w:r w:rsidR="00AB41FB">
        <w:t>p</w:t>
      </w:r>
      <w:r w:rsidR="00AB41FB">
        <w:rPr>
          <w:i/>
          <w:iCs/>
        </w:rPr>
        <w:t xml:space="preserve">. </w:t>
      </w:r>
      <w:r w:rsidR="00AB41FB">
        <w:rPr>
          <w:iCs/>
        </w:rPr>
        <w:t>101.</w:t>
      </w:r>
      <w:r w:rsidR="00AB41FB" w:rsidRPr="00AB41FB">
        <w:rPr>
          <w:i/>
          <w:iCs/>
        </w:rPr>
        <w:t xml:space="preserve"> in JSTOR</w:t>
      </w:r>
      <w:r w:rsidR="00AB41FB" w:rsidRPr="00AB41FB">
        <w:t xml:space="preserve"> &lt;</w:t>
      </w:r>
      <w:hyperlink r:id="rId1" w:tgtFrame="_blank" w:history="1">
        <w:r w:rsidR="00AB41FB" w:rsidRPr="00AB41FB">
          <w:rPr>
            <w:rStyle w:val="Hyperlink"/>
          </w:rPr>
          <w:t>http://www.jstor.org.ezproxy.uwtsd.ac.uk/stable/175195</w:t>
        </w:r>
      </w:hyperlink>
      <w:r w:rsidR="00AB41FB" w:rsidRPr="00AB41FB">
        <w:t xml:space="preserve">&gt; </w:t>
      </w:r>
    </w:p>
  </w:footnote>
  <w:footnote w:id="3">
    <w:p w14:paraId="3548DCE9" w14:textId="3F545CB8" w:rsidR="00F12F01" w:rsidRDefault="00F12F01">
      <w:pPr>
        <w:pStyle w:val="FootnoteText"/>
      </w:pPr>
      <w:r>
        <w:rPr>
          <w:rStyle w:val="FootnoteReference"/>
        </w:rPr>
        <w:footnoteRef/>
      </w:r>
      <w:r>
        <w:t xml:space="preserve"> </w:t>
      </w:r>
      <w:r w:rsidR="00473C1E">
        <w:t xml:space="preserve">Richard. </w:t>
      </w:r>
      <w:bookmarkStart w:id="2" w:name="_Hlk509397065"/>
      <w:r w:rsidRPr="00F12F01">
        <w:t xml:space="preserve">Shannon, </w:t>
      </w:r>
      <w:r w:rsidRPr="00F12F01">
        <w:rPr>
          <w:i/>
          <w:iCs/>
        </w:rPr>
        <w:t xml:space="preserve">The Crisis of Imperialism </w:t>
      </w:r>
      <w:bookmarkEnd w:id="2"/>
      <w:r w:rsidRPr="00F12F01">
        <w:rPr>
          <w:i/>
          <w:iCs/>
        </w:rPr>
        <w:t>1865-1915</w:t>
      </w:r>
      <w:r w:rsidRPr="00F12F01">
        <w:t xml:space="preserve"> (London: Granada, 1974)</w:t>
      </w:r>
      <w:r>
        <w:t>, p. 36.</w:t>
      </w:r>
      <w:r w:rsidRPr="00F12F01">
        <w:t xml:space="preserve"> </w:t>
      </w:r>
    </w:p>
  </w:footnote>
  <w:footnote w:id="4">
    <w:p w14:paraId="3A6919E5" w14:textId="59526E00" w:rsidR="00F12F01" w:rsidRDefault="00F12F01">
      <w:pPr>
        <w:pStyle w:val="FootnoteText"/>
      </w:pPr>
      <w:r>
        <w:rPr>
          <w:rStyle w:val="FootnoteReference"/>
        </w:rPr>
        <w:footnoteRef/>
      </w:r>
      <w:r>
        <w:t xml:space="preserve"> </w:t>
      </w:r>
      <w:bookmarkStart w:id="3" w:name="_Hlk509484693"/>
      <w:r w:rsidRPr="00F12F01">
        <w:t>Himmelfarb., 'The Politics of Democracy</w:t>
      </w:r>
      <w:r>
        <w:t xml:space="preserve">, p. </w:t>
      </w:r>
      <w:bookmarkEnd w:id="3"/>
      <w:r>
        <w:t>100.</w:t>
      </w:r>
    </w:p>
  </w:footnote>
  <w:footnote w:id="5">
    <w:p w14:paraId="0E886CE6" w14:textId="3D7152BE" w:rsidR="001B69CB" w:rsidRDefault="001B69CB">
      <w:pPr>
        <w:pStyle w:val="FootnoteText"/>
      </w:pPr>
      <w:bookmarkStart w:id="4" w:name="_Hlk509406057"/>
      <w:r>
        <w:rPr>
          <w:rStyle w:val="FootnoteReference"/>
        </w:rPr>
        <w:footnoteRef/>
      </w:r>
      <w:r>
        <w:t xml:space="preserve"> </w:t>
      </w:r>
      <w:r w:rsidR="00BE1B0B">
        <w:t>John</w:t>
      </w:r>
      <w:r w:rsidR="003A7126">
        <w:t>.</w:t>
      </w:r>
      <w:r w:rsidR="00BE1B0B">
        <w:t xml:space="preserve"> </w:t>
      </w:r>
      <w:r w:rsidR="00B226AD" w:rsidRPr="00B226AD">
        <w:t xml:space="preserve">Turner, and </w:t>
      </w:r>
      <w:proofErr w:type="spellStart"/>
      <w:r w:rsidR="00B226AD" w:rsidRPr="00B226AD">
        <w:t>Wenwen</w:t>
      </w:r>
      <w:proofErr w:type="spellEnd"/>
      <w:r w:rsidR="003A7126">
        <w:t>.</w:t>
      </w:r>
      <w:r w:rsidR="00B226AD" w:rsidRPr="00B226AD">
        <w:t xml:space="preserve"> Zhan</w:t>
      </w:r>
      <w:r w:rsidR="00BE1B0B">
        <w:t>.</w:t>
      </w:r>
      <w:r w:rsidR="00B226AD" w:rsidRPr="00B226AD">
        <w:t xml:space="preserve">, 'Property Rights and Competing for the Affections of Demos: The Impact of the 1867 Reform Act on Stock Prices', </w:t>
      </w:r>
      <w:r w:rsidR="00B226AD" w:rsidRPr="00B226AD">
        <w:rPr>
          <w:i/>
          <w:iCs/>
        </w:rPr>
        <w:t xml:space="preserve">Public Choice, </w:t>
      </w:r>
      <w:r w:rsidR="00B226AD" w:rsidRPr="00B226AD">
        <w:t xml:space="preserve">150 (2012), </w:t>
      </w:r>
      <w:r w:rsidR="00B226AD">
        <w:t xml:space="preserve">p. </w:t>
      </w:r>
      <w:r w:rsidR="00BE1B0B">
        <w:t>614</w:t>
      </w:r>
      <w:r w:rsidR="00BE1B0B">
        <w:rPr>
          <w:i/>
          <w:iCs/>
        </w:rPr>
        <w:t>.</w:t>
      </w:r>
      <w:r w:rsidR="00B226AD" w:rsidRPr="00B226AD">
        <w:rPr>
          <w:i/>
          <w:iCs/>
        </w:rPr>
        <w:t xml:space="preserve"> in JSTOR</w:t>
      </w:r>
      <w:r w:rsidR="00B226AD" w:rsidRPr="00B226AD">
        <w:t xml:space="preserve"> &lt;</w:t>
      </w:r>
      <w:hyperlink r:id="rId2" w:tgtFrame="_blank" w:history="1">
        <w:r w:rsidR="00B226AD" w:rsidRPr="00B226AD">
          <w:rPr>
            <w:rStyle w:val="Hyperlink"/>
          </w:rPr>
          <w:t>http://www.jstor.org.ezproxy.uwtsd.ac.uk/stable/41406900</w:t>
        </w:r>
      </w:hyperlink>
      <w:r w:rsidR="00B226AD" w:rsidRPr="00B226AD">
        <w:t xml:space="preserve">&gt; </w:t>
      </w:r>
      <w:bookmarkEnd w:id="4"/>
    </w:p>
  </w:footnote>
  <w:footnote w:id="6">
    <w:p w14:paraId="3E392275" w14:textId="14C373EE" w:rsidR="001B69CB" w:rsidRPr="001B69CB" w:rsidRDefault="001B69CB">
      <w:pPr>
        <w:pStyle w:val="FootnoteText"/>
      </w:pPr>
      <w:r>
        <w:rPr>
          <w:rStyle w:val="FootnoteReference"/>
        </w:rPr>
        <w:footnoteRef/>
      </w:r>
      <w:r>
        <w:t xml:space="preserve"> </w:t>
      </w:r>
      <w:bookmarkStart w:id="5" w:name="_Hlk509397512"/>
      <w:r w:rsidRPr="001B69CB">
        <w:t xml:space="preserve">'Second Reform Act 1867', </w:t>
      </w:r>
      <w:r w:rsidRPr="001B69CB">
        <w:rPr>
          <w:i/>
          <w:iCs/>
        </w:rPr>
        <w:t>The Emergence of British Parliamentary Democracy</w:t>
      </w:r>
      <w:bookmarkEnd w:id="5"/>
      <w:r>
        <w:rPr>
          <w:i/>
          <w:iCs/>
        </w:rPr>
        <w:t xml:space="preserve">, </w:t>
      </w:r>
      <w:r>
        <w:rPr>
          <w:iCs/>
        </w:rPr>
        <w:t>pp. 90-91.</w:t>
      </w:r>
    </w:p>
  </w:footnote>
  <w:footnote w:id="7">
    <w:p w14:paraId="77738156" w14:textId="25A2C32B" w:rsidR="00B226AD" w:rsidRDefault="00B226AD">
      <w:pPr>
        <w:pStyle w:val="FootnoteText"/>
      </w:pPr>
      <w:r>
        <w:rPr>
          <w:rStyle w:val="FootnoteReference"/>
        </w:rPr>
        <w:footnoteRef/>
      </w:r>
      <w:r>
        <w:t xml:space="preserve"> </w:t>
      </w:r>
      <w:bookmarkStart w:id="6" w:name="_Hlk509483422"/>
      <w:r w:rsidR="00BE1B0B" w:rsidRPr="00BE1B0B">
        <w:t>Turner</w:t>
      </w:r>
      <w:r w:rsidR="00BE1B0B">
        <w:t xml:space="preserve">; </w:t>
      </w:r>
      <w:r w:rsidR="00BE1B0B" w:rsidRPr="00BE1B0B">
        <w:t>Zhan, 'Property Rights and Competing for the Affections of Demos:</w:t>
      </w:r>
      <w:r w:rsidR="00BE1B0B">
        <w:t>’, p. 614.</w:t>
      </w:r>
      <w:r w:rsidR="00BE1B0B" w:rsidRPr="00BE1B0B">
        <w:t xml:space="preserve"> </w:t>
      </w:r>
      <w:r w:rsidR="00BE1B0B">
        <w:t xml:space="preserve"> </w:t>
      </w:r>
      <w:bookmarkEnd w:id="6"/>
    </w:p>
  </w:footnote>
  <w:footnote w:id="8">
    <w:p w14:paraId="087BFE66" w14:textId="4C66CA82" w:rsidR="00473C1E" w:rsidRPr="00473C1E" w:rsidRDefault="00473C1E">
      <w:pPr>
        <w:pStyle w:val="FootnoteText"/>
      </w:pPr>
      <w:r>
        <w:rPr>
          <w:rStyle w:val="FootnoteReference"/>
        </w:rPr>
        <w:footnoteRef/>
      </w:r>
      <w:r>
        <w:t xml:space="preserve"> </w:t>
      </w:r>
      <w:bookmarkStart w:id="7" w:name="_Hlk509598050"/>
      <w:r w:rsidRPr="00473C1E">
        <w:t>Shannon</w:t>
      </w:r>
      <w:r w:rsidR="003A7126">
        <w:t>.</w:t>
      </w:r>
      <w:r w:rsidRPr="00473C1E">
        <w:t xml:space="preserve">, </w:t>
      </w:r>
      <w:r w:rsidRPr="00473C1E">
        <w:rPr>
          <w:i/>
          <w:iCs/>
        </w:rPr>
        <w:t>The Crisis of Imperialism</w:t>
      </w:r>
      <w:r>
        <w:rPr>
          <w:i/>
          <w:iCs/>
        </w:rPr>
        <w:t xml:space="preserve">, </w:t>
      </w:r>
      <w:r>
        <w:rPr>
          <w:iCs/>
        </w:rPr>
        <w:t xml:space="preserve">p. </w:t>
      </w:r>
      <w:bookmarkEnd w:id="7"/>
      <w:r>
        <w:rPr>
          <w:iCs/>
        </w:rPr>
        <w:t>22.</w:t>
      </w:r>
    </w:p>
  </w:footnote>
  <w:footnote w:id="9">
    <w:p w14:paraId="60397B2F" w14:textId="2E173C08" w:rsidR="00473C1E" w:rsidRDefault="00473C1E">
      <w:pPr>
        <w:pStyle w:val="FootnoteText"/>
      </w:pPr>
      <w:r>
        <w:rPr>
          <w:rStyle w:val="FootnoteReference"/>
        </w:rPr>
        <w:footnoteRef/>
      </w:r>
      <w:r>
        <w:t xml:space="preserve"> </w:t>
      </w:r>
      <w:bookmarkStart w:id="8" w:name="_Hlk509597251"/>
      <w:r w:rsidR="00140310">
        <w:t>Roy</w:t>
      </w:r>
      <w:r w:rsidR="003A7126">
        <w:t>.</w:t>
      </w:r>
      <w:r w:rsidR="00140310">
        <w:t xml:space="preserve"> </w:t>
      </w:r>
      <w:r w:rsidR="00603F7B" w:rsidRPr="00603F7B">
        <w:t xml:space="preserve">Jenkins, </w:t>
      </w:r>
      <w:r w:rsidR="00603F7B" w:rsidRPr="00603F7B">
        <w:rPr>
          <w:i/>
          <w:iCs/>
        </w:rPr>
        <w:t>Gladstone</w:t>
      </w:r>
      <w:r w:rsidR="00603F7B" w:rsidRPr="00603F7B">
        <w:t xml:space="preserve"> (Basingstoke: Macmillan, 1995)</w:t>
      </w:r>
      <w:r w:rsidR="00603F7B">
        <w:t xml:space="preserve">, </w:t>
      </w:r>
      <w:bookmarkEnd w:id="8"/>
      <w:r w:rsidR="00603F7B">
        <w:t>p. 267.</w:t>
      </w:r>
      <w:r w:rsidR="00603F7B" w:rsidRPr="00603F7B">
        <w:t xml:space="preserve"> </w:t>
      </w:r>
    </w:p>
  </w:footnote>
  <w:footnote w:id="10">
    <w:p w14:paraId="0B8DC89B" w14:textId="05AA78AD" w:rsidR="00BB7DA1" w:rsidRPr="00BB7DA1" w:rsidRDefault="00BB7DA1">
      <w:pPr>
        <w:pStyle w:val="FootnoteText"/>
      </w:pPr>
      <w:r>
        <w:rPr>
          <w:rStyle w:val="FootnoteReference"/>
        </w:rPr>
        <w:footnoteRef/>
      </w:r>
      <w:r>
        <w:t xml:space="preserve"> </w:t>
      </w:r>
      <w:bookmarkStart w:id="9" w:name="_Hlk509398067"/>
      <w:bookmarkStart w:id="10" w:name="_Hlk509483787"/>
      <w:r w:rsidRPr="00BB7DA1">
        <w:t xml:space="preserve">'Second Reform Act 1867', </w:t>
      </w:r>
      <w:r w:rsidRPr="00BB7DA1">
        <w:rPr>
          <w:i/>
          <w:iCs/>
        </w:rPr>
        <w:t>The Emergence of British Parliamentary Democracy</w:t>
      </w:r>
      <w:r>
        <w:rPr>
          <w:i/>
          <w:iCs/>
        </w:rPr>
        <w:t xml:space="preserve">, </w:t>
      </w:r>
      <w:bookmarkEnd w:id="9"/>
      <w:r>
        <w:rPr>
          <w:iCs/>
        </w:rPr>
        <w:t>p</w:t>
      </w:r>
      <w:bookmarkEnd w:id="10"/>
      <w:r>
        <w:rPr>
          <w:iCs/>
        </w:rPr>
        <w:t>. 69.</w:t>
      </w:r>
    </w:p>
  </w:footnote>
  <w:footnote w:id="11">
    <w:p w14:paraId="4774C739" w14:textId="25C6297E" w:rsidR="00D37BC7" w:rsidRDefault="00D37BC7">
      <w:pPr>
        <w:pStyle w:val="FootnoteText"/>
      </w:pPr>
      <w:r>
        <w:rPr>
          <w:rStyle w:val="FootnoteReference"/>
        </w:rPr>
        <w:footnoteRef/>
      </w:r>
      <w:r>
        <w:t xml:space="preserve"> </w:t>
      </w:r>
      <w:r w:rsidRPr="00D37BC7">
        <w:t>Himmelfarb., 'The Politics of Democracy, p.</w:t>
      </w:r>
      <w:r>
        <w:t>p. 98-99.</w:t>
      </w:r>
    </w:p>
  </w:footnote>
  <w:footnote w:id="12">
    <w:p w14:paraId="6C97DC21" w14:textId="57DFFE93" w:rsidR="00CC3F3D" w:rsidRDefault="00CC3F3D">
      <w:pPr>
        <w:pStyle w:val="FootnoteText"/>
      </w:pPr>
      <w:r>
        <w:rPr>
          <w:rStyle w:val="FootnoteReference"/>
        </w:rPr>
        <w:footnoteRef/>
      </w:r>
      <w:r>
        <w:t xml:space="preserve"> </w:t>
      </w:r>
      <w:r w:rsidR="003A7126">
        <w:t xml:space="preserve">Roland. </w:t>
      </w:r>
      <w:r w:rsidRPr="00CC3F3D">
        <w:t>Quinault</w:t>
      </w:r>
      <w:r w:rsidR="003A7126">
        <w:t>.</w:t>
      </w:r>
      <w:r w:rsidRPr="00CC3F3D">
        <w:t xml:space="preserve">, 'John Bright and Joseph Chamberlain', </w:t>
      </w:r>
      <w:r w:rsidRPr="00CC3F3D">
        <w:rPr>
          <w:i/>
          <w:iCs/>
        </w:rPr>
        <w:t xml:space="preserve">The Historical Journal, </w:t>
      </w:r>
      <w:r w:rsidRPr="00CC3F3D">
        <w:t>28 (1985), 623-646</w:t>
      </w:r>
      <w:r w:rsidRPr="00CC3F3D">
        <w:rPr>
          <w:i/>
          <w:iCs/>
        </w:rPr>
        <w:t>, in JSTOR</w:t>
      </w:r>
      <w:r w:rsidRPr="00CC3F3D">
        <w:t xml:space="preserve"> &lt;</w:t>
      </w:r>
      <w:hyperlink r:id="rId3" w:tgtFrame="_blank" w:history="1">
        <w:r w:rsidRPr="00CC3F3D">
          <w:rPr>
            <w:rStyle w:val="Hyperlink"/>
          </w:rPr>
          <w:t>http://www.jstor.org.ezproxy.uwtsd.ac.uk/stable/2639142</w:t>
        </w:r>
      </w:hyperlink>
      <w:r w:rsidRPr="00CC3F3D">
        <w:t>&gt;</w:t>
      </w:r>
    </w:p>
  </w:footnote>
  <w:footnote w:id="13">
    <w:p w14:paraId="4ADBFDD3" w14:textId="1DEB5390" w:rsidR="00AC51C0" w:rsidRPr="00AC51C0" w:rsidRDefault="00AC51C0">
      <w:pPr>
        <w:pStyle w:val="FootnoteText"/>
      </w:pPr>
      <w:r>
        <w:rPr>
          <w:rStyle w:val="FootnoteReference"/>
        </w:rPr>
        <w:footnoteRef/>
      </w:r>
      <w:r>
        <w:t xml:space="preserve"> </w:t>
      </w:r>
      <w:bookmarkStart w:id="11" w:name="_Hlk509407038"/>
      <w:r w:rsidRPr="00AC51C0">
        <w:t xml:space="preserve">'Second Reform Act 1867', </w:t>
      </w:r>
      <w:r w:rsidRPr="00AC51C0">
        <w:rPr>
          <w:i/>
          <w:iCs/>
        </w:rPr>
        <w:t>The Emergence of British Parliamentary Democracy,</w:t>
      </w:r>
      <w:r>
        <w:rPr>
          <w:i/>
          <w:iCs/>
        </w:rPr>
        <w:t xml:space="preserve"> </w:t>
      </w:r>
      <w:r>
        <w:rPr>
          <w:iCs/>
        </w:rPr>
        <w:t xml:space="preserve">p. </w:t>
      </w:r>
      <w:bookmarkEnd w:id="11"/>
      <w:r>
        <w:rPr>
          <w:iCs/>
        </w:rPr>
        <w:t>73.</w:t>
      </w:r>
    </w:p>
  </w:footnote>
  <w:footnote w:id="14">
    <w:p w14:paraId="7BF3479D" w14:textId="72DE76CE" w:rsidR="00EC58C8" w:rsidRDefault="00EC58C8">
      <w:pPr>
        <w:pStyle w:val="FootnoteText"/>
      </w:pPr>
      <w:r>
        <w:rPr>
          <w:rStyle w:val="FootnoteReference"/>
        </w:rPr>
        <w:footnoteRef/>
      </w:r>
      <w:r>
        <w:t xml:space="preserve"> </w:t>
      </w:r>
      <w:r w:rsidRPr="00EC58C8">
        <w:t xml:space="preserve">'Second Reform Act 1867', </w:t>
      </w:r>
      <w:r w:rsidRPr="00EC58C8">
        <w:rPr>
          <w:i/>
          <w:iCs/>
        </w:rPr>
        <w:t xml:space="preserve">The Emergence of British Parliamentary Democracy, </w:t>
      </w:r>
      <w:r w:rsidRPr="00EC58C8">
        <w:rPr>
          <w:iCs/>
        </w:rPr>
        <w:t>p.</w:t>
      </w:r>
      <w:r>
        <w:rPr>
          <w:iCs/>
        </w:rPr>
        <w:t xml:space="preserve"> 125.</w:t>
      </w:r>
    </w:p>
  </w:footnote>
  <w:footnote w:id="15">
    <w:p w14:paraId="296812EC" w14:textId="540698DC" w:rsidR="007D3028" w:rsidRDefault="007D3028">
      <w:pPr>
        <w:pStyle w:val="FootnoteText"/>
      </w:pPr>
      <w:r>
        <w:rPr>
          <w:rStyle w:val="FootnoteReference"/>
        </w:rPr>
        <w:footnoteRef/>
      </w:r>
      <w:r>
        <w:t xml:space="preserve"> </w:t>
      </w:r>
      <w:bookmarkStart w:id="12" w:name="_Hlk509485468"/>
      <w:r w:rsidRPr="007D3028">
        <w:t>Turner; Zhan, 'Property Rights and Competing for the Affections of Demos:’, p</w:t>
      </w:r>
      <w:bookmarkEnd w:id="12"/>
      <w:r w:rsidRPr="007D3028">
        <w:t xml:space="preserve">. 614.  </w:t>
      </w:r>
    </w:p>
  </w:footnote>
  <w:footnote w:id="16">
    <w:p w14:paraId="356FCA56" w14:textId="318D4E42" w:rsidR="000D2BF0" w:rsidRDefault="000D2BF0">
      <w:pPr>
        <w:pStyle w:val="FootnoteText"/>
      </w:pPr>
      <w:r>
        <w:rPr>
          <w:rStyle w:val="FootnoteReference"/>
        </w:rPr>
        <w:footnoteRef/>
      </w:r>
      <w:r>
        <w:t xml:space="preserve"> </w:t>
      </w:r>
      <w:r w:rsidRPr="000D2BF0">
        <w:t xml:space="preserve">'Second Reform Act 1867', </w:t>
      </w:r>
      <w:r w:rsidRPr="000D2BF0">
        <w:rPr>
          <w:i/>
          <w:iCs/>
        </w:rPr>
        <w:t xml:space="preserve">The Emergence of British Parliamentary Democracy, </w:t>
      </w:r>
      <w:r w:rsidRPr="000D2BF0">
        <w:rPr>
          <w:iCs/>
        </w:rPr>
        <w:t>p</w:t>
      </w:r>
      <w:r>
        <w:rPr>
          <w:iCs/>
        </w:rPr>
        <w:t>. 75.</w:t>
      </w:r>
    </w:p>
  </w:footnote>
  <w:footnote w:id="17">
    <w:p w14:paraId="0B23807A" w14:textId="6E0702CA" w:rsidR="00C22A77" w:rsidRDefault="00C22A77">
      <w:pPr>
        <w:pStyle w:val="FootnoteText"/>
      </w:pPr>
      <w:r>
        <w:rPr>
          <w:rStyle w:val="FootnoteReference"/>
        </w:rPr>
        <w:footnoteRef/>
      </w:r>
      <w:r>
        <w:t xml:space="preserve"> </w:t>
      </w:r>
      <w:r w:rsidRPr="00C22A77">
        <w:t xml:space="preserve">'The Rise of the Working Classes:; Trade Unions and Socialism, 1871–1914', in </w:t>
      </w:r>
      <w:r w:rsidRPr="00C22A77">
        <w:rPr>
          <w:i/>
          <w:iCs/>
        </w:rPr>
        <w:t>A People's History of Modern Europe</w:t>
      </w:r>
      <w:r w:rsidRPr="00C22A77">
        <w:t xml:space="preserve">, ed. by William A. </w:t>
      </w:r>
      <w:proofErr w:type="spellStart"/>
      <w:r w:rsidRPr="00C22A77">
        <w:t>Pelz</w:t>
      </w:r>
      <w:proofErr w:type="spellEnd"/>
      <w:r>
        <w:t xml:space="preserve"> </w:t>
      </w:r>
      <w:r w:rsidRPr="00C22A77">
        <w:t xml:space="preserve">(Pluto Press, 2016), pp. </w:t>
      </w:r>
      <w:r>
        <w:t>85-86</w:t>
      </w:r>
      <w:r w:rsidRPr="00C22A77">
        <w:rPr>
          <w:i/>
          <w:iCs/>
        </w:rPr>
        <w:t xml:space="preserve"> in JSTOR</w:t>
      </w:r>
      <w:r w:rsidRPr="00C22A77">
        <w:t xml:space="preserve"> &lt;</w:t>
      </w:r>
      <w:hyperlink r:id="rId4" w:tgtFrame="_blank" w:history="1">
        <w:r w:rsidRPr="00C22A77">
          <w:rPr>
            <w:rStyle w:val="Hyperlink"/>
          </w:rPr>
          <w:t>http://www.jstor.org.ezproxy.uwtsd.ac.uk/stable/j.ctt1c2crfj.11</w:t>
        </w:r>
      </w:hyperlink>
      <w:r w:rsidRPr="00C22A77">
        <w:t>&gt;</w:t>
      </w:r>
    </w:p>
  </w:footnote>
  <w:footnote w:id="18">
    <w:p w14:paraId="3C87E0FD" w14:textId="57C328FF" w:rsidR="001410C7" w:rsidRDefault="001410C7">
      <w:pPr>
        <w:pStyle w:val="FootnoteText"/>
      </w:pPr>
      <w:r>
        <w:rPr>
          <w:rStyle w:val="FootnoteReference"/>
        </w:rPr>
        <w:footnoteRef/>
      </w:r>
      <w:r>
        <w:t xml:space="preserve"> </w:t>
      </w:r>
      <w:r w:rsidRPr="001410C7">
        <w:t>http://www.legislation.gov.uk/ukpga/Vict/38-39/86/enacted</w:t>
      </w:r>
    </w:p>
  </w:footnote>
  <w:footnote w:id="19">
    <w:p w14:paraId="4821B32C" w14:textId="564E58DD" w:rsidR="0051510B" w:rsidRDefault="0051510B">
      <w:pPr>
        <w:pStyle w:val="FootnoteText"/>
      </w:pPr>
      <w:r>
        <w:rPr>
          <w:rStyle w:val="FootnoteReference"/>
        </w:rPr>
        <w:footnoteRef/>
      </w:r>
      <w:r>
        <w:t xml:space="preserve"> </w:t>
      </w:r>
      <w:r w:rsidRPr="0051510B">
        <w:t xml:space="preserve">'The New Factory Act', </w:t>
      </w:r>
      <w:r w:rsidRPr="0051510B">
        <w:rPr>
          <w:i/>
          <w:iCs/>
        </w:rPr>
        <w:t xml:space="preserve">The Economic Journal, </w:t>
      </w:r>
      <w:r w:rsidRPr="0051510B">
        <w:t>5 (1895), 471-473</w:t>
      </w:r>
      <w:r w:rsidRPr="0051510B">
        <w:rPr>
          <w:i/>
          <w:iCs/>
        </w:rPr>
        <w:t>, in JSTOR</w:t>
      </w:r>
      <w:r w:rsidRPr="0051510B">
        <w:t xml:space="preserve"> &lt;</w:t>
      </w:r>
      <w:hyperlink r:id="rId5" w:tgtFrame="_blank" w:history="1">
        <w:r w:rsidRPr="0051510B">
          <w:rPr>
            <w:rStyle w:val="Hyperlink"/>
          </w:rPr>
          <w:t>http://www.jstor.org.ezproxy.uwtsd.ac.uk/stable/2955645</w:t>
        </w:r>
      </w:hyperlink>
      <w:r w:rsidRPr="0051510B">
        <w:t>&gt;</w:t>
      </w:r>
    </w:p>
  </w:footnote>
  <w:footnote w:id="20">
    <w:p w14:paraId="098069B1" w14:textId="7697BC1E" w:rsidR="00164AD7" w:rsidRDefault="00164AD7">
      <w:pPr>
        <w:pStyle w:val="FootnoteText"/>
      </w:pPr>
      <w:r>
        <w:rPr>
          <w:rStyle w:val="FootnoteReference"/>
        </w:rPr>
        <w:footnoteRef/>
      </w:r>
      <w:r>
        <w:t xml:space="preserve"> </w:t>
      </w:r>
      <w:r w:rsidR="003A7126">
        <w:t xml:space="preserve">Alfred. </w:t>
      </w:r>
      <w:proofErr w:type="spellStart"/>
      <w:r w:rsidRPr="00164AD7">
        <w:t>Ruegg</w:t>
      </w:r>
      <w:proofErr w:type="spellEnd"/>
      <w:r w:rsidRPr="00164AD7">
        <w:t xml:space="preserve">., </w:t>
      </w:r>
      <w:r w:rsidRPr="00164AD7">
        <w:rPr>
          <w:i/>
          <w:iCs/>
        </w:rPr>
        <w:t>A Treatise upon the Employers Liability Act 1880</w:t>
      </w:r>
      <w:r w:rsidRPr="00164AD7">
        <w:t xml:space="preserve"> (Oxford: Butterworths, 1882)</w:t>
      </w:r>
      <w:r>
        <w:t xml:space="preserve"> p.p. 16-18.</w:t>
      </w:r>
    </w:p>
  </w:footnote>
  <w:footnote w:id="21">
    <w:p w14:paraId="391B7F78" w14:textId="5DB2DA0F" w:rsidR="007A3FB6" w:rsidRDefault="007A3FB6" w:rsidP="007A3FB6">
      <w:pPr>
        <w:pStyle w:val="FootnoteText"/>
      </w:pPr>
      <w:r>
        <w:rPr>
          <w:rStyle w:val="FootnoteReference"/>
        </w:rPr>
        <w:footnoteRef/>
      </w:r>
      <w:r>
        <w:t xml:space="preserve"> </w:t>
      </w:r>
      <w:r w:rsidRPr="007A3FB6">
        <w:t xml:space="preserve">'Second Reform Act 1867', </w:t>
      </w:r>
      <w:r w:rsidRPr="007A3FB6">
        <w:rPr>
          <w:i/>
          <w:iCs/>
        </w:rPr>
        <w:t xml:space="preserve">The Emergence of British Parliamentary Democracy, </w:t>
      </w:r>
      <w:r w:rsidRPr="007A3FB6">
        <w:rPr>
          <w:iCs/>
        </w:rPr>
        <w:t>p</w:t>
      </w:r>
      <w:r>
        <w:rPr>
          <w:iCs/>
        </w:rPr>
        <w:t>.p. 74-75.</w:t>
      </w:r>
    </w:p>
  </w:footnote>
  <w:footnote w:id="22">
    <w:p w14:paraId="6EAA02E1" w14:textId="5B7F0D4C" w:rsidR="005E2AEB" w:rsidRDefault="005E2AEB">
      <w:pPr>
        <w:pStyle w:val="FootnoteText"/>
      </w:pPr>
      <w:r>
        <w:rPr>
          <w:rStyle w:val="FootnoteReference"/>
        </w:rPr>
        <w:footnoteRef/>
      </w:r>
      <w:r>
        <w:t xml:space="preserve"> </w:t>
      </w:r>
      <w:r w:rsidRPr="005E2AEB">
        <w:t xml:space="preserve">'The Heyday of Victorianism', in </w:t>
      </w:r>
      <w:r w:rsidRPr="005E2AEB">
        <w:rPr>
          <w:i/>
          <w:iCs/>
        </w:rPr>
        <w:t>British Politics in the Nineteenth Century</w:t>
      </w:r>
      <w:r w:rsidRPr="005E2AEB">
        <w:t>, ed. by Eugene C. Black (London: Macmillan, 1970), p</w:t>
      </w:r>
      <w:r>
        <w:t>.172.</w:t>
      </w:r>
      <w:r w:rsidRPr="005E2AEB">
        <w:t xml:space="preserve"> </w:t>
      </w:r>
    </w:p>
  </w:footnote>
  <w:footnote w:id="23">
    <w:p w14:paraId="3D97FD8D" w14:textId="727ED960" w:rsidR="00EC25F3" w:rsidRDefault="00EC25F3">
      <w:pPr>
        <w:pStyle w:val="FootnoteText"/>
      </w:pPr>
      <w:r>
        <w:rPr>
          <w:rStyle w:val="FootnoteReference"/>
        </w:rPr>
        <w:footnoteRef/>
      </w:r>
      <w:r>
        <w:t xml:space="preserve"> </w:t>
      </w:r>
      <w:r w:rsidR="003A7126">
        <w:t xml:space="preserve">Roger. </w:t>
      </w:r>
      <w:r w:rsidRPr="00EC25F3">
        <w:t>Moore</w:t>
      </w:r>
      <w:r w:rsidR="003A7126">
        <w:t>.</w:t>
      </w:r>
      <w:r w:rsidRPr="00EC25F3">
        <w:t xml:space="preserve">, </w:t>
      </w:r>
      <w:r w:rsidRPr="00EC25F3">
        <w:rPr>
          <w:i/>
          <w:iCs/>
        </w:rPr>
        <w:t>The Emergence of the Labour Party 1880-1924</w:t>
      </w:r>
      <w:r w:rsidRPr="00EC25F3">
        <w:t xml:space="preserve"> (London: Hodder and Stoughton, 1978) </w:t>
      </w:r>
      <w:r>
        <w:t>p.p. 18</w:t>
      </w:r>
    </w:p>
  </w:footnote>
  <w:footnote w:id="24">
    <w:p w14:paraId="2B14BF1C" w14:textId="1B9EAB6C" w:rsidR="0069161E" w:rsidRDefault="00CE53A7">
      <w:pPr>
        <w:pStyle w:val="FootnoteText"/>
      </w:pPr>
      <w:r>
        <w:rPr>
          <w:rStyle w:val="FootnoteReference"/>
        </w:rPr>
        <w:footnoteRef/>
      </w:r>
      <w:r>
        <w:t xml:space="preserve"> </w:t>
      </w:r>
      <w:r w:rsidR="003A7126">
        <w:t xml:space="preserve">Paul. </w:t>
      </w:r>
      <w:r w:rsidRPr="00CE53A7">
        <w:t>Adelman</w:t>
      </w:r>
      <w:r w:rsidR="003A7126">
        <w:t>.</w:t>
      </w:r>
      <w:r w:rsidRPr="00CE53A7">
        <w:t xml:space="preserve">, </w:t>
      </w:r>
      <w:r w:rsidRPr="00CE53A7">
        <w:rPr>
          <w:i/>
          <w:iCs/>
        </w:rPr>
        <w:t>Victorian Radicalism: The Middle-Class Experience 1830-1914</w:t>
      </w:r>
      <w:r w:rsidRPr="00CE53A7">
        <w:t xml:space="preserve"> (New York: Longman, 1984)</w:t>
      </w:r>
      <w:r>
        <w:t xml:space="preserve"> p.p. 46-47.</w:t>
      </w:r>
    </w:p>
  </w:footnote>
  <w:footnote w:id="25">
    <w:p w14:paraId="0934289F" w14:textId="0CF16B60" w:rsidR="00D36B26" w:rsidRDefault="00D36B26">
      <w:pPr>
        <w:pStyle w:val="FootnoteText"/>
      </w:pPr>
      <w:r>
        <w:rPr>
          <w:rStyle w:val="FootnoteReference"/>
        </w:rPr>
        <w:footnoteRef/>
      </w:r>
      <w:r>
        <w:t xml:space="preserve"> </w:t>
      </w:r>
      <w:r w:rsidRPr="00D36B26">
        <w:t xml:space="preserve">Jenkins, </w:t>
      </w:r>
      <w:r w:rsidRPr="00D36B26">
        <w:rPr>
          <w:i/>
          <w:iCs/>
        </w:rPr>
        <w:t>Gladstone</w:t>
      </w:r>
      <w:r w:rsidRPr="00D36B26">
        <w:t>., p.p. 272-273</w:t>
      </w:r>
    </w:p>
  </w:footnote>
  <w:footnote w:id="26">
    <w:p w14:paraId="19AF4681" w14:textId="6CAA20C8" w:rsidR="00D36B26" w:rsidRDefault="00D36B26">
      <w:pPr>
        <w:pStyle w:val="FootnoteText"/>
      </w:pPr>
      <w:r>
        <w:rPr>
          <w:rStyle w:val="FootnoteReference"/>
        </w:rPr>
        <w:footnoteRef/>
      </w:r>
      <w:r>
        <w:t xml:space="preserve"> </w:t>
      </w:r>
      <w:r w:rsidRPr="00D36B26">
        <w:t xml:space="preserve">Shannon, </w:t>
      </w:r>
      <w:r w:rsidRPr="00D36B26">
        <w:rPr>
          <w:i/>
          <w:iCs/>
        </w:rPr>
        <w:t xml:space="preserve">The Crisis of Imperialism, </w:t>
      </w:r>
      <w:r w:rsidRPr="00D36B26">
        <w:rPr>
          <w:iCs/>
        </w:rPr>
        <w:t>p. 59.</w:t>
      </w:r>
    </w:p>
  </w:footnote>
  <w:footnote w:id="27">
    <w:p w14:paraId="26DE2B57" w14:textId="32F146AD" w:rsidR="00D36B26" w:rsidRDefault="00D36B26">
      <w:pPr>
        <w:pStyle w:val="FootnoteText"/>
      </w:pPr>
      <w:r>
        <w:rPr>
          <w:rStyle w:val="FootnoteReference"/>
        </w:rPr>
        <w:footnoteRef/>
      </w:r>
      <w:r>
        <w:t xml:space="preserve"> </w:t>
      </w:r>
      <w:r w:rsidRPr="00D36B26">
        <w:t>Jenkins, Gladstone., p. 271.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1F3C24"/>
    <w:multiLevelType w:val="hybridMultilevel"/>
    <w:tmpl w:val="02EA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D09"/>
    <w:rsid w:val="00017210"/>
    <w:rsid w:val="00020580"/>
    <w:rsid w:val="00052ED1"/>
    <w:rsid w:val="00061B9C"/>
    <w:rsid w:val="000748D5"/>
    <w:rsid w:val="00080B06"/>
    <w:rsid w:val="00091CD3"/>
    <w:rsid w:val="000D2BF0"/>
    <w:rsid w:val="000E37FE"/>
    <w:rsid w:val="0010286B"/>
    <w:rsid w:val="00117B57"/>
    <w:rsid w:val="0012103C"/>
    <w:rsid w:val="00140310"/>
    <w:rsid w:val="001410C7"/>
    <w:rsid w:val="00150968"/>
    <w:rsid w:val="00164AD7"/>
    <w:rsid w:val="00171155"/>
    <w:rsid w:val="00180662"/>
    <w:rsid w:val="001B69CB"/>
    <w:rsid w:val="001E1A05"/>
    <w:rsid w:val="001E745F"/>
    <w:rsid w:val="00201620"/>
    <w:rsid w:val="002165DD"/>
    <w:rsid w:val="00265690"/>
    <w:rsid w:val="003563A1"/>
    <w:rsid w:val="003A7126"/>
    <w:rsid w:val="003B3BB0"/>
    <w:rsid w:val="003B707C"/>
    <w:rsid w:val="003E3AE5"/>
    <w:rsid w:val="00411618"/>
    <w:rsid w:val="00432BCA"/>
    <w:rsid w:val="00451BFF"/>
    <w:rsid w:val="00473C1E"/>
    <w:rsid w:val="004B24F3"/>
    <w:rsid w:val="0051510B"/>
    <w:rsid w:val="0057059E"/>
    <w:rsid w:val="0059218C"/>
    <w:rsid w:val="005B28EA"/>
    <w:rsid w:val="005B3050"/>
    <w:rsid w:val="005B3389"/>
    <w:rsid w:val="005B5016"/>
    <w:rsid w:val="005B61D7"/>
    <w:rsid w:val="005C0E6F"/>
    <w:rsid w:val="005C1377"/>
    <w:rsid w:val="005C6A09"/>
    <w:rsid w:val="005E2AEB"/>
    <w:rsid w:val="00601969"/>
    <w:rsid w:val="00603F7B"/>
    <w:rsid w:val="0065042E"/>
    <w:rsid w:val="00653810"/>
    <w:rsid w:val="0069161E"/>
    <w:rsid w:val="006968BD"/>
    <w:rsid w:val="006A3A16"/>
    <w:rsid w:val="006D6B43"/>
    <w:rsid w:val="00722C3F"/>
    <w:rsid w:val="00761E66"/>
    <w:rsid w:val="0076471F"/>
    <w:rsid w:val="007A3FB6"/>
    <w:rsid w:val="007A668A"/>
    <w:rsid w:val="007D3028"/>
    <w:rsid w:val="007E1E34"/>
    <w:rsid w:val="007E6082"/>
    <w:rsid w:val="007F05E8"/>
    <w:rsid w:val="00816AD6"/>
    <w:rsid w:val="00823230"/>
    <w:rsid w:val="00831A40"/>
    <w:rsid w:val="00880535"/>
    <w:rsid w:val="008933E5"/>
    <w:rsid w:val="008C1E11"/>
    <w:rsid w:val="008E10D8"/>
    <w:rsid w:val="008F14EA"/>
    <w:rsid w:val="00903C28"/>
    <w:rsid w:val="00906501"/>
    <w:rsid w:val="00920266"/>
    <w:rsid w:val="009241B9"/>
    <w:rsid w:val="009546BB"/>
    <w:rsid w:val="009822CE"/>
    <w:rsid w:val="00985F38"/>
    <w:rsid w:val="00994E60"/>
    <w:rsid w:val="009D0201"/>
    <w:rsid w:val="009F6F39"/>
    <w:rsid w:val="00A406F7"/>
    <w:rsid w:val="00A426DC"/>
    <w:rsid w:val="00A44E3D"/>
    <w:rsid w:val="00A51DA0"/>
    <w:rsid w:val="00A544D4"/>
    <w:rsid w:val="00A64673"/>
    <w:rsid w:val="00A92053"/>
    <w:rsid w:val="00A9493C"/>
    <w:rsid w:val="00AB41FB"/>
    <w:rsid w:val="00AC51C0"/>
    <w:rsid w:val="00AC692A"/>
    <w:rsid w:val="00AC7A6F"/>
    <w:rsid w:val="00AE0DC8"/>
    <w:rsid w:val="00AE628A"/>
    <w:rsid w:val="00B226AD"/>
    <w:rsid w:val="00B86814"/>
    <w:rsid w:val="00BB32F6"/>
    <w:rsid w:val="00BB7DA1"/>
    <w:rsid w:val="00BE1B0B"/>
    <w:rsid w:val="00BE73D0"/>
    <w:rsid w:val="00C008BB"/>
    <w:rsid w:val="00C04AF6"/>
    <w:rsid w:val="00C1667E"/>
    <w:rsid w:val="00C22A77"/>
    <w:rsid w:val="00C56137"/>
    <w:rsid w:val="00CA7CBD"/>
    <w:rsid w:val="00CB172F"/>
    <w:rsid w:val="00CC3F3D"/>
    <w:rsid w:val="00CE53A7"/>
    <w:rsid w:val="00D02862"/>
    <w:rsid w:val="00D06BA8"/>
    <w:rsid w:val="00D11D09"/>
    <w:rsid w:val="00D36B26"/>
    <w:rsid w:val="00D37BC7"/>
    <w:rsid w:val="00D72451"/>
    <w:rsid w:val="00DF0842"/>
    <w:rsid w:val="00E36081"/>
    <w:rsid w:val="00E60530"/>
    <w:rsid w:val="00E95CA5"/>
    <w:rsid w:val="00E96022"/>
    <w:rsid w:val="00E9780E"/>
    <w:rsid w:val="00EA3E22"/>
    <w:rsid w:val="00EC25F3"/>
    <w:rsid w:val="00EC58C8"/>
    <w:rsid w:val="00F12E28"/>
    <w:rsid w:val="00F12F01"/>
    <w:rsid w:val="00FA7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2255E"/>
  <w15:chartTrackingRefBased/>
  <w15:docId w15:val="{3096E800-E0BA-4AD4-B77E-872637CE1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07C"/>
    <w:pPr>
      <w:ind w:left="720"/>
      <w:contextualSpacing/>
    </w:pPr>
  </w:style>
  <w:style w:type="paragraph" w:styleId="FootnoteText">
    <w:name w:val="footnote text"/>
    <w:basedOn w:val="Normal"/>
    <w:link w:val="FootnoteTextChar"/>
    <w:uiPriority w:val="99"/>
    <w:semiHidden/>
    <w:unhideWhenUsed/>
    <w:rsid w:val="000172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7210"/>
    <w:rPr>
      <w:sz w:val="20"/>
      <w:szCs w:val="20"/>
    </w:rPr>
  </w:style>
  <w:style w:type="character" w:styleId="FootnoteReference">
    <w:name w:val="footnote reference"/>
    <w:basedOn w:val="DefaultParagraphFont"/>
    <w:uiPriority w:val="99"/>
    <w:semiHidden/>
    <w:unhideWhenUsed/>
    <w:rsid w:val="00017210"/>
    <w:rPr>
      <w:vertAlign w:val="superscript"/>
    </w:rPr>
  </w:style>
  <w:style w:type="character" w:styleId="Hyperlink">
    <w:name w:val="Hyperlink"/>
    <w:basedOn w:val="DefaultParagraphFont"/>
    <w:uiPriority w:val="99"/>
    <w:unhideWhenUsed/>
    <w:rsid w:val="00AB41FB"/>
    <w:rPr>
      <w:color w:val="0563C1" w:themeColor="hyperlink"/>
      <w:u w:val="single"/>
    </w:rPr>
  </w:style>
  <w:style w:type="character" w:styleId="UnresolvedMention">
    <w:name w:val="Unresolved Mention"/>
    <w:basedOn w:val="DefaultParagraphFont"/>
    <w:uiPriority w:val="99"/>
    <w:semiHidden/>
    <w:unhideWhenUsed/>
    <w:rsid w:val="00AB41F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76802">
      <w:bodyDiv w:val="1"/>
      <w:marLeft w:val="0"/>
      <w:marRight w:val="0"/>
      <w:marTop w:val="0"/>
      <w:marBottom w:val="0"/>
      <w:divBdr>
        <w:top w:val="none" w:sz="0" w:space="0" w:color="auto"/>
        <w:left w:val="none" w:sz="0" w:space="0" w:color="auto"/>
        <w:bottom w:val="none" w:sz="0" w:space="0" w:color="auto"/>
        <w:right w:val="none" w:sz="0" w:space="0" w:color="auto"/>
      </w:divBdr>
      <w:divsChild>
        <w:div w:id="1682127476">
          <w:marLeft w:val="0"/>
          <w:marRight w:val="0"/>
          <w:marTop w:val="0"/>
          <w:marBottom w:val="0"/>
          <w:divBdr>
            <w:top w:val="none" w:sz="0" w:space="0" w:color="auto"/>
            <w:left w:val="none" w:sz="0" w:space="0" w:color="auto"/>
            <w:bottom w:val="none" w:sz="0" w:space="0" w:color="auto"/>
            <w:right w:val="none" w:sz="0" w:space="0" w:color="auto"/>
          </w:divBdr>
        </w:div>
        <w:div w:id="2081100276">
          <w:marLeft w:val="0"/>
          <w:marRight w:val="0"/>
          <w:marTop w:val="0"/>
          <w:marBottom w:val="0"/>
          <w:divBdr>
            <w:top w:val="none" w:sz="0" w:space="0" w:color="auto"/>
            <w:left w:val="none" w:sz="0" w:space="0" w:color="auto"/>
            <w:bottom w:val="none" w:sz="0" w:space="0" w:color="auto"/>
            <w:right w:val="none" w:sz="0" w:space="0" w:color="auto"/>
          </w:divBdr>
        </w:div>
        <w:div w:id="1144814561">
          <w:marLeft w:val="0"/>
          <w:marRight w:val="0"/>
          <w:marTop w:val="0"/>
          <w:marBottom w:val="0"/>
          <w:divBdr>
            <w:top w:val="none" w:sz="0" w:space="0" w:color="auto"/>
            <w:left w:val="none" w:sz="0" w:space="0" w:color="auto"/>
            <w:bottom w:val="none" w:sz="0" w:space="0" w:color="auto"/>
            <w:right w:val="none" w:sz="0" w:space="0" w:color="auto"/>
          </w:divBdr>
        </w:div>
        <w:div w:id="213006186">
          <w:marLeft w:val="0"/>
          <w:marRight w:val="0"/>
          <w:marTop w:val="0"/>
          <w:marBottom w:val="0"/>
          <w:divBdr>
            <w:top w:val="none" w:sz="0" w:space="0" w:color="auto"/>
            <w:left w:val="none" w:sz="0" w:space="0" w:color="auto"/>
            <w:bottom w:val="none" w:sz="0" w:space="0" w:color="auto"/>
            <w:right w:val="none" w:sz="0" w:space="0" w:color="auto"/>
          </w:divBdr>
        </w:div>
        <w:div w:id="34670395">
          <w:marLeft w:val="0"/>
          <w:marRight w:val="0"/>
          <w:marTop w:val="0"/>
          <w:marBottom w:val="0"/>
          <w:divBdr>
            <w:top w:val="none" w:sz="0" w:space="0" w:color="auto"/>
            <w:left w:val="none" w:sz="0" w:space="0" w:color="auto"/>
            <w:bottom w:val="none" w:sz="0" w:space="0" w:color="auto"/>
            <w:right w:val="none" w:sz="0" w:space="0" w:color="auto"/>
          </w:divBdr>
        </w:div>
        <w:div w:id="1754813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17519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stor.org.ezproxy.uwtsd.ac.uk/stable/414069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stor.org.ezproxy.uwtsd.ac.uk/stable/j.ctt1c2crfj.11" TargetMode="External"/><Relationship Id="rId5" Type="http://schemas.openxmlformats.org/officeDocument/2006/relationships/webSettings" Target="webSettings.xml"/><Relationship Id="rId10" Type="http://schemas.openxmlformats.org/officeDocument/2006/relationships/hyperlink" Target="http://www.jstor.org.ezproxy.uwtsd.ac.uk/stable/2955645" TargetMode="External"/><Relationship Id="rId4" Type="http://schemas.openxmlformats.org/officeDocument/2006/relationships/settings" Target="settings.xml"/><Relationship Id="rId9" Type="http://schemas.openxmlformats.org/officeDocument/2006/relationships/hyperlink" Target="http://www.jstor.org.ezproxy.uwtsd.ac.uk/stable/2639142"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ezproxy.uwtsd.ac.uk/stable/2639142" TargetMode="External"/><Relationship Id="rId2" Type="http://schemas.openxmlformats.org/officeDocument/2006/relationships/hyperlink" Target="http://www.jstor.org.ezproxy.uwtsd.ac.uk/stable/41406900" TargetMode="External"/><Relationship Id="rId1" Type="http://schemas.openxmlformats.org/officeDocument/2006/relationships/hyperlink" Target="http://www.jstor.org.ezproxy.uwtsd.ac.uk/stable/175195" TargetMode="External"/><Relationship Id="rId5" Type="http://schemas.openxmlformats.org/officeDocument/2006/relationships/hyperlink" Target="http://www.jstor.org.ezproxy.uwtsd.ac.uk/stable/2955645" TargetMode="External"/><Relationship Id="rId4" Type="http://schemas.openxmlformats.org/officeDocument/2006/relationships/hyperlink" Target="http://www.jstor.org.ezproxy.uwtsd.ac.uk/stable/j.ctt1c2crfj.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E1727-6B32-48B0-B839-14A0EED5F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5</Pages>
  <Words>1900</Words>
  <Characters>10831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dc:creator>
  <cp:keywords/>
  <dc:description/>
  <cp:lastModifiedBy>Rosie</cp:lastModifiedBy>
  <cp:revision>31</cp:revision>
  <dcterms:created xsi:type="dcterms:W3CDTF">2018-02-15T12:27:00Z</dcterms:created>
  <dcterms:modified xsi:type="dcterms:W3CDTF">2018-03-23T21:04:00Z</dcterms:modified>
</cp:coreProperties>
</file>