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85492" w14:textId="578400E4" w:rsidR="00F02A03" w:rsidRDefault="00F02A03"/>
    <w:p w14:paraId="7E2304BD" w14:textId="5026A3B6" w:rsidR="003D2A5F" w:rsidRDefault="003D2A5F"/>
    <w:p w14:paraId="75635EBF" w14:textId="568A2BE2" w:rsidR="003D2A5F" w:rsidRDefault="003D2A5F"/>
    <w:p w14:paraId="4E6CB904" w14:textId="3C02AB37" w:rsidR="003D2A5F" w:rsidRDefault="003D2A5F"/>
    <w:p w14:paraId="4D6F4043" w14:textId="400117AB" w:rsidR="003D2A5F" w:rsidRDefault="003D2A5F"/>
    <w:p w14:paraId="48053BC8" w14:textId="77777777" w:rsidR="003D2A5F" w:rsidRDefault="003D2A5F" w:rsidP="003D2A5F">
      <w:pPr>
        <w:pStyle w:val="Titlu"/>
        <w:jc w:val="center"/>
      </w:pPr>
    </w:p>
    <w:p w14:paraId="04F5BFFC" w14:textId="0F40E7B1" w:rsidR="003D2A5F" w:rsidRDefault="003D2A5F" w:rsidP="003D2A5F">
      <w:pPr>
        <w:pStyle w:val="Titlu"/>
        <w:jc w:val="center"/>
      </w:pPr>
      <w:r>
        <w:t>Management Accounting: Assignment 2 Written Report</w:t>
      </w:r>
    </w:p>
    <w:p w14:paraId="7AA0E019" w14:textId="08C21B04" w:rsidR="003D2A5F" w:rsidRDefault="003D2A5F"/>
    <w:p w14:paraId="19932CB7" w14:textId="3E272E2A" w:rsidR="003D2A5F" w:rsidRDefault="003D2A5F"/>
    <w:p w14:paraId="0022D841" w14:textId="0BD33044" w:rsidR="003D2A5F" w:rsidRDefault="003D2A5F" w:rsidP="003D2A5F">
      <w:pPr>
        <w:pStyle w:val="Titlu"/>
      </w:pPr>
    </w:p>
    <w:p w14:paraId="3FEF548E" w14:textId="5B8B99BC" w:rsidR="003D2A5F" w:rsidRDefault="003D2A5F" w:rsidP="003D2A5F"/>
    <w:p w14:paraId="1595AC72" w14:textId="2A056184" w:rsidR="003D2A5F" w:rsidRDefault="003D2A5F" w:rsidP="003D2A5F"/>
    <w:p w14:paraId="2B7ABF19" w14:textId="1F01FA20" w:rsidR="003D2A5F" w:rsidRPr="003D2A5F" w:rsidRDefault="003D2A5F" w:rsidP="003D2A5F">
      <w:pPr>
        <w:rPr>
          <w:b/>
          <w:bCs/>
        </w:rPr>
      </w:pPr>
    </w:p>
    <w:p w14:paraId="29E56183" w14:textId="6B5C4CE8" w:rsidR="003D2A5F" w:rsidRPr="003D2A5F" w:rsidRDefault="003D2A5F" w:rsidP="003D2A5F">
      <w:pPr>
        <w:rPr>
          <w:b/>
          <w:bCs/>
        </w:rPr>
      </w:pPr>
      <w:r w:rsidRPr="003D2A5F">
        <w:rPr>
          <w:b/>
          <w:bCs/>
        </w:rPr>
        <w:t>Student Name:</w:t>
      </w:r>
      <w:r w:rsidR="00686D50">
        <w:rPr>
          <w:b/>
          <w:bCs/>
        </w:rPr>
        <w:t xml:space="preserve"> </w:t>
      </w:r>
      <w:r w:rsidR="00382C33">
        <w:rPr>
          <w:b/>
          <w:bCs/>
        </w:rPr>
        <w:t>Ana</w:t>
      </w:r>
      <w:r w:rsidR="009E2856">
        <w:rPr>
          <w:b/>
          <w:bCs/>
        </w:rPr>
        <w:t>-</w:t>
      </w:r>
      <w:r w:rsidR="00382C33">
        <w:rPr>
          <w:b/>
          <w:bCs/>
        </w:rPr>
        <w:t xml:space="preserve"> Maria Budau</w:t>
      </w:r>
    </w:p>
    <w:p w14:paraId="432750A9" w14:textId="7991D9C5" w:rsidR="003D2A5F" w:rsidRDefault="003D2A5F" w:rsidP="003D2A5F">
      <w:r w:rsidRPr="003D2A5F">
        <w:rPr>
          <w:b/>
          <w:bCs/>
        </w:rPr>
        <w:t>Student Id:</w:t>
      </w:r>
      <w:r w:rsidR="00276942">
        <w:rPr>
          <w:b/>
          <w:bCs/>
        </w:rPr>
        <w:t xml:space="preserve"> 2030</w:t>
      </w:r>
      <w:r w:rsidR="009E2856">
        <w:rPr>
          <w:b/>
          <w:bCs/>
        </w:rPr>
        <w:t>929</w:t>
      </w:r>
    </w:p>
    <w:p w14:paraId="10D82C42" w14:textId="653F34B9" w:rsidR="003D2A5F" w:rsidRDefault="003D2A5F">
      <w:pPr>
        <w:spacing w:before="0" w:after="160" w:line="259" w:lineRule="auto"/>
        <w:jc w:val="left"/>
        <w:rPr>
          <w:rFonts w:eastAsiaTheme="majorEastAsia" w:cstheme="majorBidi"/>
          <w:spacing w:val="-10"/>
          <w:kern w:val="28"/>
          <w:sz w:val="56"/>
          <w:szCs w:val="56"/>
        </w:rPr>
      </w:pPr>
      <w:r>
        <w:br w:type="page"/>
      </w:r>
    </w:p>
    <w:sdt>
      <w:sdtPr>
        <w:rPr>
          <w:rFonts w:ascii="Times New Roman" w:eastAsiaTheme="minorHAnsi" w:hAnsi="Times New Roman" w:cstheme="minorBidi"/>
          <w:color w:val="auto"/>
          <w:sz w:val="24"/>
          <w:szCs w:val="22"/>
          <w:lang w:val="en-IN"/>
        </w:rPr>
        <w:id w:val="1228810149"/>
        <w:docPartObj>
          <w:docPartGallery w:val="Table of Contents"/>
          <w:docPartUnique/>
        </w:docPartObj>
      </w:sdtPr>
      <w:sdtEndPr>
        <w:rPr>
          <w:b/>
          <w:bCs/>
          <w:noProof/>
        </w:rPr>
      </w:sdtEndPr>
      <w:sdtContent>
        <w:p w14:paraId="584E2F48" w14:textId="536E7829" w:rsidR="003D2A5F" w:rsidRDefault="003D2A5F">
          <w:pPr>
            <w:pStyle w:val="Titlucuprins"/>
          </w:pPr>
          <w:r>
            <w:t>Table of Contents</w:t>
          </w:r>
        </w:p>
        <w:p w14:paraId="7EBD202F" w14:textId="1DB3C759" w:rsidR="004C008A" w:rsidRDefault="003D2A5F">
          <w:pPr>
            <w:pStyle w:val="Cuprins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13532731" w:history="1">
            <w:r w:rsidR="004C008A" w:rsidRPr="00C37FB9">
              <w:rPr>
                <w:rStyle w:val="Hyperlink"/>
                <w:noProof/>
              </w:rPr>
              <w:t>Part A</w:t>
            </w:r>
            <w:r w:rsidR="004C008A">
              <w:rPr>
                <w:noProof/>
                <w:webHidden/>
              </w:rPr>
              <w:tab/>
            </w:r>
            <w:r w:rsidR="004C008A">
              <w:rPr>
                <w:noProof/>
                <w:webHidden/>
              </w:rPr>
              <w:fldChar w:fldCharType="begin"/>
            </w:r>
            <w:r w:rsidR="004C008A">
              <w:rPr>
                <w:noProof/>
                <w:webHidden/>
              </w:rPr>
              <w:instrText xml:space="preserve"> PAGEREF _Toc113532731 \h </w:instrText>
            </w:r>
            <w:r w:rsidR="004C008A">
              <w:rPr>
                <w:noProof/>
                <w:webHidden/>
              </w:rPr>
            </w:r>
            <w:r w:rsidR="004C008A">
              <w:rPr>
                <w:noProof/>
                <w:webHidden/>
              </w:rPr>
              <w:fldChar w:fldCharType="separate"/>
            </w:r>
            <w:r w:rsidR="004C008A">
              <w:rPr>
                <w:noProof/>
                <w:webHidden/>
              </w:rPr>
              <w:t>3</w:t>
            </w:r>
            <w:r w:rsidR="004C008A">
              <w:rPr>
                <w:noProof/>
                <w:webHidden/>
              </w:rPr>
              <w:fldChar w:fldCharType="end"/>
            </w:r>
          </w:hyperlink>
        </w:p>
        <w:p w14:paraId="3888A6DB" w14:textId="00DEEA5F" w:rsidR="004C008A" w:rsidRDefault="00B37EE7">
          <w:pPr>
            <w:pStyle w:val="Cuprins2"/>
            <w:tabs>
              <w:tab w:val="left" w:pos="660"/>
              <w:tab w:val="right" w:leader="dot" w:pos="9016"/>
            </w:tabs>
            <w:rPr>
              <w:rFonts w:asciiTheme="minorHAnsi" w:eastAsiaTheme="minorEastAsia" w:hAnsiTheme="minorHAnsi"/>
              <w:noProof/>
              <w:sz w:val="22"/>
              <w:lang w:eastAsia="en-IN"/>
            </w:rPr>
          </w:pPr>
          <w:hyperlink w:anchor="_Toc113532732" w:history="1">
            <w:r w:rsidR="004C008A" w:rsidRPr="00C37FB9">
              <w:rPr>
                <w:rStyle w:val="Hyperlink"/>
                <w:noProof/>
              </w:rPr>
              <w:t>a)</w:t>
            </w:r>
            <w:r w:rsidR="004C008A">
              <w:rPr>
                <w:rFonts w:asciiTheme="minorHAnsi" w:eastAsiaTheme="minorEastAsia" w:hAnsiTheme="minorHAnsi"/>
                <w:noProof/>
                <w:sz w:val="22"/>
                <w:lang w:eastAsia="en-IN"/>
              </w:rPr>
              <w:tab/>
            </w:r>
            <w:r w:rsidR="004C008A" w:rsidRPr="00C37FB9">
              <w:rPr>
                <w:rStyle w:val="Hyperlink"/>
                <w:noProof/>
              </w:rPr>
              <w:t>Monthly budget control report</w:t>
            </w:r>
            <w:r w:rsidR="004C008A">
              <w:rPr>
                <w:noProof/>
                <w:webHidden/>
              </w:rPr>
              <w:tab/>
            </w:r>
            <w:r w:rsidR="004C008A">
              <w:rPr>
                <w:noProof/>
                <w:webHidden/>
              </w:rPr>
              <w:fldChar w:fldCharType="begin"/>
            </w:r>
            <w:r w:rsidR="004C008A">
              <w:rPr>
                <w:noProof/>
                <w:webHidden/>
              </w:rPr>
              <w:instrText xml:space="preserve"> PAGEREF _Toc113532732 \h </w:instrText>
            </w:r>
            <w:r w:rsidR="004C008A">
              <w:rPr>
                <w:noProof/>
                <w:webHidden/>
              </w:rPr>
            </w:r>
            <w:r w:rsidR="004C008A">
              <w:rPr>
                <w:noProof/>
                <w:webHidden/>
              </w:rPr>
              <w:fldChar w:fldCharType="separate"/>
            </w:r>
            <w:r w:rsidR="004C008A">
              <w:rPr>
                <w:noProof/>
                <w:webHidden/>
              </w:rPr>
              <w:t>3</w:t>
            </w:r>
            <w:r w:rsidR="004C008A">
              <w:rPr>
                <w:noProof/>
                <w:webHidden/>
              </w:rPr>
              <w:fldChar w:fldCharType="end"/>
            </w:r>
          </w:hyperlink>
        </w:p>
        <w:p w14:paraId="6D75FC18" w14:textId="72C507A3" w:rsidR="004C008A" w:rsidRDefault="00B37EE7">
          <w:pPr>
            <w:pStyle w:val="Cuprins2"/>
            <w:tabs>
              <w:tab w:val="left" w:pos="880"/>
              <w:tab w:val="right" w:leader="dot" w:pos="9016"/>
            </w:tabs>
            <w:rPr>
              <w:rFonts w:asciiTheme="minorHAnsi" w:eastAsiaTheme="minorEastAsia" w:hAnsiTheme="minorHAnsi"/>
              <w:noProof/>
              <w:sz w:val="22"/>
              <w:lang w:eastAsia="en-IN"/>
            </w:rPr>
          </w:pPr>
          <w:hyperlink w:anchor="_Toc113532733" w:history="1">
            <w:r w:rsidR="004C008A" w:rsidRPr="00C37FB9">
              <w:rPr>
                <w:rStyle w:val="Hyperlink"/>
                <w:noProof/>
              </w:rPr>
              <w:t>b)</w:t>
            </w:r>
            <w:r w:rsidR="00B367DA">
              <w:rPr>
                <w:rFonts w:asciiTheme="minorHAnsi" w:eastAsiaTheme="minorEastAsia" w:hAnsiTheme="minorHAnsi"/>
                <w:noProof/>
                <w:sz w:val="22"/>
                <w:lang w:eastAsia="en-IN"/>
              </w:rPr>
              <w:t xml:space="preserve"> </w:t>
            </w:r>
            <w:r w:rsidR="004C008A" w:rsidRPr="00C37FB9">
              <w:rPr>
                <w:rStyle w:val="Hyperlink"/>
                <w:noProof/>
              </w:rPr>
              <w:t>Performance report</w:t>
            </w:r>
            <w:r w:rsidR="004C008A">
              <w:rPr>
                <w:noProof/>
                <w:webHidden/>
              </w:rPr>
              <w:tab/>
            </w:r>
            <w:r w:rsidR="004C008A">
              <w:rPr>
                <w:noProof/>
                <w:webHidden/>
              </w:rPr>
              <w:fldChar w:fldCharType="begin"/>
            </w:r>
            <w:r w:rsidR="004C008A">
              <w:rPr>
                <w:noProof/>
                <w:webHidden/>
              </w:rPr>
              <w:instrText xml:space="preserve"> PAGEREF _Toc113532733 \h </w:instrText>
            </w:r>
            <w:r w:rsidR="004C008A">
              <w:rPr>
                <w:noProof/>
                <w:webHidden/>
              </w:rPr>
            </w:r>
            <w:r w:rsidR="004C008A">
              <w:rPr>
                <w:noProof/>
                <w:webHidden/>
              </w:rPr>
              <w:fldChar w:fldCharType="separate"/>
            </w:r>
            <w:r w:rsidR="004C008A">
              <w:rPr>
                <w:noProof/>
                <w:webHidden/>
              </w:rPr>
              <w:t>4</w:t>
            </w:r>
            <w:r w:rsidR="004C008A">
              <w:rPr>
                <w:noProof/>
                <w:webHidden/>
              </w:rPr>
              <w:fldChar w:fldCharType="end"/>
            </w:r>
          </w:hyperlink>
        </w:p>
        <w:p w14:paraId="62550B12" w14:textId="5553FA7D" w:rsidR="004C008A" w:rsidRDefault="00B37EE7">
          <w:pPr>
            <w:pStyle w:val="Cuprins2"/>
            <w:tabs>
              <w:tab w:val="right" w:leader="dot" w:pos="9016"/>
            </w:tabs>
            <w:rPr>
              <w:rFonts w:asciiTheme="minorHAnsi" w:eastAsiaTheme="minorEastAsia" w:hAnsiTheme="minorHAnsi"/>
              <w:noProof/>
              <w:sz w:val="22"/>
              <w:lang w:eastAsia="en-IN"/>
            </w:rPr>
          </w:pPr>
          <w:hyperlink w:anchor="_Toc113532734" w:history="1">
            <w:r w:rsidR="004C008A" w:rsidRPr="00C37FB9">
              <w:rPr>
                <w:rStyle w:val="Hyperlink"/>
                <w:noProof/>
              </w:rPr>
              <w:t>C) Recommendation</w:t>
            </w:r>
            <w:r w:rsidR="004C008A">
              <w:rPr>
                <w:noProof/>
                <w:webHidden/>
              </w:rPr>
              <w:tab/>
            </w:r>
            <w:r w:rsidR="004C008A">
              <w:rPr>
                <w:noProof/>
                <w:webHidden/>
              </w:rPr>
              <w:fldChar w:fldCharType="begin"/>
            </w:r>
            <w:r w:rsidR="004C008A">
              <w:rPr>
                <w:noProof/>
                <w:webHidden/>
              </w:rPr>
              <w:instrText xml:space="preserve"> PAGEREF _Toc113532734 \h </w:instrText>
            </w:r>
            <w:r w:rsidR="004C008A">
              <w:rPr>
                <w:noProof/>
                <w:webHidden/>
              </w:rPr>
            </w:r>
            <w:r w:rsidR="004C008A">
              <w:rPr>
                <w:noProof/>
                <w:webHidden/>
              </w:rPr>
              <w:fldChar w:fldCharType="separate"/>
            </w:r>
            <w:r w:rsidR="004C008A">
              <w:rPr>
                <w:noProof/>
                <w:webHidden/>
              </w:rPr>
              <w:t>5</w:t>
            </w:r>
            <w:r w:rsidR="004C008A">
              <w:rPr>
                <w:noProof/>
                <w:webHidden/>
              </w:rPr>
              <w:fldChar w:fldCharType="end"/>
            </w:r>
          </w:hyperlink>
        </w:p>
        <w:p w14:paraId="7396902C" w14:textId="59D2BC27" w:rsidR="004C008A" w:rsidRDefault="00B37EE7">
          <w:pPr>
            <w:pStyle w:val="Cuprins1"/>
            <w:tabs>
              <w:tab w:val="right" w:leader="dot" w:pos="9016"/>
            </w:tabs>
            <w:rPr>
              <w:rFonts w:asciiTheme="minorHAnsi" w:eastAsiaTheme="minorEastAsia" w:hAnsiTheme="minorHAnsi"/>
              <w:noProof/>
              <w:sz w:val="22"/>
              <w:lang w:eastAsia="en-IN"/>
            </w:rPr>
          </w:pPr>
          <w:hyperlink w:anchor="_Toc113532735" w:history="1">
            <w:r w:rsidR="004C008A" w:rsidRPr="00C37FB9">
              <w:rPr>
                <w:rStyle w:val="Hyperlink"/>
                <w:noProof/>
              </w:rPr>
              <w:t>Part B</w:t>
            </w:r>
            <w:r w:rsidR="004C008A">
              <w:rPr>
                <w:noProof/>
                <w:webHidden/>
              </w:rPr>
              <w:tab/>
            </w:r>
            <w:r w:rsidR="004C008A">
              <w:rPr>
                <w:noProof/>
                <w:webHidden/>
              </w:rPr>
              <w:fldChar w:fldCharType="begin"/>
            </w:r>
            <w:r w:rsidR="004C008A">
              <w:rPr>
                <w:noProof/>
                <w:webHidden/>
              </w:rPr>
              <w:instrText xml:space="preserve"> PAGEREF _Toc113532735 \h </w:instrText>
            </w:r>
            <w:r w:rsidR="004C008A">
              <w:rPr>
                <w:noProof/>
                <w:webHidden/>
              </w:rPr>
            </w:r>
            <w:r w:rsidR="004C008A">
              <w:rPr>
                <w:noProof/>
                <w:webHidden/>
              </w:rPr>
              <w:fldChar w:fldCharType="separate"/>
            </w:r>
            <w:r w:rsidR="004C008A">
              <w:rPr>
                <w:noProof/>
                <w:webHidden/>
              </w:rPr>
              <w:t>7</w:t>
            </w:r>
            <w:r w:rsidR="004C008A">
              <w:rPr>
                <w:noProof/>
                <w:webHidden/>
              </w:rPr>
              <w:fldChar w:fldCharType="end"/>
            </w:r>
          </w:hyperlink>
        </w:p>
        <w:p w14:paraId="7225D1A1" w14:textId="52AD9104" w:rsidR="004C008A" w:rsidRDefault="00B37EE7">
          <w:pPr>
            <w:pStyle w:val="Cuprins2"/>
            <w:tabs>
              <w:tab w:val="right" w:leader="dot" w:pos="9016"/>
            </w:tabs>
            <w:rPr>
              <w:rFonts w:asciiTheme="minorHAnsi" w:eastAsiaTheme="minorEastAsia" w:hAnsiTheme="minorHAnsi"/>
              <w:noProof/>
              <w:sz w:val="22"/>
              <w:lang w:eastAsia="en-IN"/>
            </w:rPr>
          </w:pPr>
          <w:hyperlink w:anchor="_Toc113532736" w:history="1">
            <w:r w:rsidR="004C008A" w:rsidRPr="00C37FB9">
              <w:rPr>
                <w:rStyle w:val="Hyperlink"/>
                <w:noProof/>
              </w:rPr>
              <w:t>Decision on online retailing or selling on Amazon for Amana ltd</w:t>
            </w:r>
            <w:r w:rsidR="004C008A">
              <w:rPr>
                <w:noProof/>
                <w:webHidden/>
              </w:rPr>
              <w:tab/>
            </w:r>
            <w:r w:rsidR="004C008A">
              <w:rPr>
                <w:noProof/>
                <w:webHidden/>
              </w:rPr>
              <w:fldChar w:fldCharType="begin"/>
            </w:r>
            <w:r w:rsidR="004C008A">
              <w:rPr>
                <w:noProof/>
                <w:webHidden/>
              </w:rPr>
              <w:instrText xml:space="preserve"> PAGEREF _Toc113532736 \h </w:instrText>
            </w:r>
            <w:r w:rsidR="004C008A">
              <w:rPr>
                <w:noProof/>
                <w:webHidden/>
              </w:rPr>
            </w:r>
            <w:r w:rsidR="004C008A">
              <w:rPr>
                <w:noProof/>
                <w:webHidden/>
              </w:rPr>
              <w:fldChar w:fldCharType="separate"/>
            </w:r>
            <w:r w:rsidR="004C008A">
              <w:rPr>
                <w:noProof/>
                <w:webHidden/>
              </w:rPr>
              <w:t>7</w:t>
            </w:r>
            <w:r w:rsidR="004C008A">
              <w:rPr>
                <w:noProof/>
                <w:webHidden/>
              </w:rPr>
              <w:fldChar w:fldCharType="end"/>
            </w:r>
          </w:hyperlink>
        </w:p>
        <w:p w14:paraId="2FE81230" w14:textId="441EA057" w:rsidR="004C008A" w:rsidRDefault="00B37EE7">
          <w:pPr>
            <w:pStyle w:val="Cuprins1"/>
            <w:tabs>
              <w:tab w:val="right" w:leader="dot" w:pos="9016"/>
            </w:tabs>
            <w:rPr>
              <w:rFonts w:asciiTheme="minorHAnsi" w:eastAsiaTheme="minorEastAsia" w:hAnsiTheme="minorHAnsi"/>
              <w:noProof/>
              <w:sz w:val="22"/>
              <w:lang w:eastAsia="en-IN"/>
            </w:rPr>
          </w:pPr>
          <w:hyperlink w:anchor="_Toc113532737" w:history="1">
            <w:r w:rsidR="004C008A" w:rsidRPr="00C37FB9">
              <w:rPr>
                <w:rStyle w:val="Hyperlink"/>
                <w:noProof/>
              </w:rPr>
              <w:t>Reference</w:t>
            </w:r>
            <w:r w:rsidR="004C008A">
              <w:rPr>
                <w:noProof/>
                <w:webHidden/>
              </w:rPr>
              <w:tab/>
            </w:r>
            <w:r w:rsidR="004C008A">
              <w:rPr>
                <w:noProof/>
                <w:webHidden/>
              </w:rPr>
              <w:fldChar w:fldCharType="begin"/>
            </w:r>
            <w:r w:rsidR="004C008A">
              <w:rPr>
                <w:noProof/>
                <w:webHidden/>
              </w:rPr>
              <w:instrText xml:space="preserve"> PAGEREF _Toc113532737 \h </w:instrText>
            </w:r>
            <w:r w:rsidR="004C008A">
              <w:rPr>
                <w:noProof/>
                <w:webHidden/>
              </w:rPr>
            </w:r>
            <w:r w:rsidR="004C008A">
              <w:rPr>
                <w:noProof/>
                <w:webHidden/>
              </w:rPr>
              <w:fldChar w:fldCharType="separate"/>
            </w:r>
            <w:r w:rsidR="004C008A">
              <w:rPr>
                <w:noProof/>
                <w:webHidden/>
              </w:rPr>
              <w:t>10</w:t>
            </w:r>
            <w:r w:rsidR="004C008A">
              <w:rPr>
                <w:noProof/>
                <w:webHidden/>
              </w:rPr>
              <w:fldChar w:fldCharType="end"/>
            </w:r>
          </w:hyperlink>
        </w:p>
        <w:p w14:paraId="4A78BD10" w14:textId="750E8949" w:rsidR="003D2A5F" w:rsidRDefault="003D2A5F">
          <w:r>
            <w:rPr>
              <w:b/>
              <w:bCs/>
              <w:noProof/>
            </w:rPr>
            <w:fldChar w:fldCharType="end"/>
          </w:r>
        </w:p>
      </w:sdtContent>
    </w:sdt>
    <w:p w14:paraId="44D68176" w14:textId="0B4CA185" w:rsidR="003D2A5F" w:rsidRDefault="003D2A5F">
      <w:pPr>
        <w:spacing w:before="0" w:after="160" w:line="259" w:lineRule="auto"/>
        <w:jc w:val="left"/>
        <w:rPr>
          <w:rFonts w:eastAsiaTheme="majorEastAsia" w:cstheme="majorBidi"/>
          <w:spacing w:val="-10"/>
          <w:kern w:val="28"/>
          <w:sz w:val="56"/>
          <w:szCs w:val="56"/>
        </w:rPr>
      </w:pPr>
      <w:r>
        <w:br w:type="page"/>
      </w:r>
    </w:p>
    <w:p w14:paraId="15DD1069" w14:textId="4998C522" w:rsidR="003D2A5F" w:rsidRDefault="00EA4875" w:rsidP="00EA4875">
      <w:pPr>
        <w:pStyle w:val="Titlu1"/>
      </w:pPr>
      <w:bookmarkStart w:id="0" w:name="_Toc113532731"/>
      <w:r>
        <w:t>Part A</w:t>
      </w:r>
      <w:bookmarkEnd w:id="0"/>
    </w:p>
    <w:p w14:paraId="04CF849E" w14:textId="63DB5483" w:rsidR="00EA4875" w:rsidRDefault="009F1218" w:rsidP="009F1218">
      <w:pPr>
        <w:pStyle w:val="Titlu2"/>
        <w:numPr>
          <w:ilvl w:val="0"/>
          <w:numId w:val="1"/>
        </w:numPr>
      </w:pPr>
      <w:bookmarkStart w:id="1" w:name="_Toc113532732"/>
      <w:r>
        <w:t>Monthly budget control report</w:t>
      </w:r>
      <w:bookmarkEnd w:id="1"/>
      <w:r>
        <w:t xml:space="preserve"> </w:t>
      </w:r>
    </w:p>
    <w:p w14:paraId="530A9247" w14:textId="50C66F72" w:rsidR="00F749E8" w:rsidRPr="00F749E8" w:rsidRDefault="00F749E8" w:rsidP="00F749E8">
      <w:pPr>
        <w:pStyle w:val="Legend"/>
        <w:keepNext/>
        <w:jc w:val="left"/>
        <w:rPr>
          <w:sz w:val="24"/>
          <w:szCs w:val="24"/>
        </w:rPr>
      </w:pPr>
      <w:r w:rsidRPr="00F749E8">
        <w:rPr>
          <w:sz w:val="24"/>
          <w:szCs w:val="24"/>
        </w:rPr>
        <w:t xml:space="preserve">Table </w:t>
      </w:r>
      <w:r w:rsidRPr="00F749E8">
        <w:rPr>
          <w:sz w:val="24"/>
          <w:szCs w:val="24"/>
        </w:rPr>
        <w:fldChar w:fldCharType="begin"/>
      </w:r>
      <w:r w:rsidRPr="00F749E8">
        <w:rPr>
          <w:sz w:val="24"/>
          <w:szCs w:val="24"/>
        </w:rPr>
        <w:instrText xml:space="preserve"> SEQ Table \* ARABIC </w:instrText>
      </w:r>
      <w:r w:rsidRPr="00F749E8">
        <w:rPr>
          <w:sz w:val="24"/>
          <w:szCs w:val="24"/>
        </w:rPr>
        <w:fldChar w:fldCharType="separate"/>
      </w:r>
      <w:r w:rsidR="000C099F">
        <w:rPr>
          <w:noProof/>
          <w:sz w:val="24"/>
          <w:szCs w:val="24"/>
        </w:rPr>
        <w:t>1</w:t>
      </w:r>
      <w:r w:rsidRPr="00F749E8">
        <w:rPr>
          <w:sz w:val="24"/>
          <w:szCs w:val="24"/>
        </w:rPr>
        <w:fldChar w:fldCharType="end"/>
      </w:r>
      <w:r w:rsidRPr="00F749E8">
        <w:rPr>
          <w:sz w:val="24"/>
          <w:szCs w:val="24"/>
        </w:rPr>
        <w:t>: Monthly control report</w:t>
      </w:r>
    </w:p>
    <w:tbl>
      <w:tblPr>
        <w:tblW w:w="7560" w:type="dxa"/>
        <w:tblLook w:val="04A0" w:firstRow="1" w:lastRow="0" w:firstColumn="1" w:lastColumn="0" w:noHBand="0" w:noVBand="1"/>
      </w:tblPr>
      <w:tblGrid>
        <w:gridCol w:w="2140"/>
        <w:gridCol w:w="2080"/>
        <w:gridCol w:w="2100"/>
        <w:gridCol w:w="1240"/>
      </w:tblGrid>
      <w:tr w:rsidR="009F1218" w:rsidRPr="009F1218" w14:paraId="53B40623" w14:textId="77777777" w:rsidTr="009F1218">
        <w:trPr>
          <w:trHeight w:val="288"/>
        </w:trPr>
        <w:tc>
          <w:tcPr>
            <w:tcW w:w="21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828C7DB"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Particular</w:t>
            </w:r>
          </w:p>
        </w:tc>
        <w:tc>
          <w:tcPr>
            <w:tcW w:w="2080" w:type="dxa"/>
            <w:tcBorders>
              <w:top w:val="single" w:sz="8" w:space="0" w:color="auto"/>
              <w:left w:val="nil"/>
              <w:bottom w:val="single" w:sz="4" w:space="0" w:color="auto"/>
              <w:right w:val="single" w:sz="4" w:space="0" w:color="auto"/>
            </w:tcBorders>
            <w:shd w:val="clear" w:color="auto" w:fill="auto"/>
            <w:noWrap/>
            <w:vAlign w:val="bottom"/>
            <w:hideMark/>
          </w:tcPr>
          <w:p w14:paraId="0F87E29F"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Original (£)</w:t>
            </w:r>
          </w:p>
        </w:tc>
        <w:tc>
          <w:tcPr>
            <w:tcW w:w="2100" w:type="dxa"/>
            <w:tcBorders>
              <w:top w:val="single" w:sz="8" w:space="0" w:color="auto"/>
              <w:left w:val="nil"/>
              <w:bottom w:val="single" w:sz="4" w:space="0" w:color="auto"/>
              <w:right w:val="single" w:sz="4" w:space="0" w:color="auto"/>
            </w:tcBorders>
            <w:shd w:val="clear" w:color="auto" w:fill="auto"/>
            <w:noWrap/>
            <w:vAlign w:val="bottom"/>
            <w:hideMark/>
          </w:tcPr>
          <w:p w14:paraId="6B0D9ADE"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Variable Cost Per Unit</w:t>
            </w:r>
          </w:p>
        </w:tc>
        <w:tc>
          <w:tcPr>
            <w:tcW w:w="1240" w:type="dxa"/>
            <w:tcBorders>
              <w:top w:val="single" w:sz="8" w:space="0" w:color="auto"/>
              <w:left w:val="nil"/>
              <w:bottom w:val="single" w:sz="4" w:space="0" w:color="auto"/>
              <w:right w:val="single" w:sz="8" w:space="0" w:color="auto"/>
            </w:tcBorders>
            <w:shd w:val="clear" w:color="auto" w:fill="auto"/>
            <w:noWrap/>
            <w:vAlign w:val="bottom"/>
            <w:hideMark/>
          </w:tcPr>
          <w:p w14:paraId="03FB1DD4"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Flexible (£)</w:t>
            </w:r>
          </w:p>
        </w:tc>
      </w:tr>
      <w:tr w:rsidR="009F1218" w:rsidRPr="009F1218" w14:paraId="168212DB"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3C5C486D"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Production</w:t>
            </w:r>
          </w:p>
        </w:tc>
        <w:tc>
          <w:tcPr>
            <w:tcW w:w="2080" w:type="dxa"/>
            <w:tcBorders>
              <w:top w:val="nil"/>
              <w:left w:val="nil"/>
              <w:bottom w:val="single" w:sz="4" w:space="0" w:color="auto"/>
              <w:right w:val="single" w:sz="4" w:space="0" w:color="auto"/>
            </w:tcBorders>
            <w:shd w:val="clear" w:color="auto" w:fill="auto"/>
            <w:noWrap/>
            <w:vAlign w:val="bottom"/>
            <w:hideMark/>
          </w:tcPr>
          <w:p w14:paraId="3B536406"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100000</w:t>
            </w:r>
          </w:p>
        </w:tc>
        <w:tc>
          <w:tcPr>
            <w:tcW w:w="2100" w:type="dxa"/>
            <w:tcBorders>
              <w:top w:val="nil"/>
              <w:left w:val="nil"/>
              <w:bottom w:val="single" w:sz="4" w:space="0" w:color="auto"/>
              <w:right w:val="single" w:sz="4" w:space="0" w:color="auto"/>
            </w:tcBorders>
            <w:shd w:val="clear" w:color="auto" w:fill="auto"/>
            <w:noWrap/>
            <w:vAlign w:val="bottom"/>
            <w:hideMark/>
          </w:tcPr>
          <w:p w14:paraId="09311FA3"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3C976171"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80000</w:t>
            </w:r>
          </w:p>
        </w:tc>
      </w:tr>
      <w:tr w:rsidR="009F1218" w:rsidRPr="009F1218" w14:paraId="02220FE7"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171A1721"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2080" w:type="dxa"/>
            <w:tcBorders>
              <w:top w:val="nil"/>
              <w:left w:val="nil"/>
              <w:bottom w:val="single" w:sz="4" w:space="0" w:color="auto"/>
              <w:right w:val="single" w:sz="4" w:space="0" w:color="auto"/>
            </w:tcBorders>
            <w:shd w:val="clear" w:color="auto" w:fill="auto"/>
            <w:noWrap/>
            <w:vAlign w:val="bottom"/>
            <w:hideMark/>
          </w:tcPr>
          <w:p w14:paraId="5EF60FF9"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2100" w:type="dxa"/>
            <w:tcBorders>
              <w:top w:val="nil"/>
              <w:left w:val="nil"/>
              <w:bottom w:val="single" w:sz="4" w:space="0" w:color="auto"/>
              <w:right w:val="single" w:sz="4" w:space="0" w:color="auto"/>
            </w:tcBorders>
            <w:shd w:val="clear" w:color="auto" w:fill="auto"/>
            <w:noWrap/>
            <w:vAlign w:val="bottom"/>
            <w:hideMark/>
          </w:tcPr>
          <w:p w14:paraId="20CFAC22"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5A0B64AC"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9F1218" w:rsidRPr="009F1218" w14:paraId="3B135ADA"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6FC8B63B"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Variable Costs:</w:t>
            </w:r>
          </w:p>
        </w:tc>
        <w:tc>
          <w:tcPr>
            <w:tcW w:w="2080" w:type="dxa"/>
            <w:tcBorders>
              <w:top w:val="nil"/>
              <w:left w:val="nil"/>
              <w:bottom w:val="single" w:sz="4" w:space="0" w:color="auto"/>
              <w:right w:val="single" w:sz="4" w:space="0" w:color="auto"/>
            </w:tcBorders>
            <w:shd w:val="clear" w:color="auto" w:fill="auto"/>
            <w:noWrap/>
            <w:vAlign w:val="bottom"/>
            <w:hideMark/>
          </w:tcPr>
          <w:p w14:paraId="0203E0D0"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2100" w:type="dxa"/>
            <w:tcBorders>
              <w:top w:val="nil"/>
              <w:left w:val="nil"/>
              <w:bottom w:val="single" w:sz="4" w:space="0" w:color="auto"/>
              <w:right w:val="single" w:sz="4" w:space="0" w:color="auto"/>
            </w:tcBorders>
            <w:shd w:val="clear" w:color="auto" w:fill="auto"/>
            <w:noWrap/>
            <w:vAlign w:val="bottom"/>
            <w:hideMark/>
          </w:tcPr>
          <w:p w14:paraId="69D43AD7"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0DE23B8D"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9F1218" w:rsidRPr="009F1218" w14:paraId="6A8EAB97"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709133BC"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Material</w:t>
            </w:r>
          </w:p>
        </w:tc>
        <w:tc>
          <w:tcPr>
            <w:tcW w:w="2080" w:type="dxa"/>
            <w:tcBorders>
              <w:top w:val="nil"/>
              <w:left w:val="nil"/>
              <w:bottom w:val="single" w:sz="4" w:space="0" w:color="auto"/>
              <w:right w:val="single" w:sz="4" w:space="0" w:color="auto"/>
            </w:tcBorders>
            <w:shd w:val="clear" w:color="auto" w:fill="auto"/>
            <w:noWrap/>
            <w:vAlign w:val="bottom"/>
            <w:hideMark/>
          </w:tcPr>
          <w:p w14:paraId="0D7AABA3"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250000</w:t>
            </w:r>
          </w:p>
        </w:tc>
        <w:tc>
          <w:tcPr>
            <w:tcW w:w="2100" w:type="dxa"/>
            <w:tcBorders>
              <w:top w:val="nil"/>
              <w:left w:val="nil"/>
              <w:bottom w:val="single" w:sz="4" w:space="0" w:color="auto"/>
              <w:right w:val="single" w:sz="4" w:space="0" w:color="auto"/>
            </w:tcBorders>
            <w:shd w:val="clear" w:color="auto" w:fill="auto"/>
            <w:noWrap/>
            <w:vAlign w:val="bottom"/>
            <w:hideMark/>
          </w:tcPr>
          <w:p w14:paraId="361734E7"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2.5</w:t>
            </w:r>
          </w:p>
        </w:tc>
        <w:tc>
          <w:tcPr>
            <w:tcW w:w="1240" w:type="dxa"/>
            <w:tcBorders>
              <w:top w:val="nil"/>
              <w:left w:val="nil"/>
              <w:bottom w:val="single" w:sz="4" w:space="0" w:color="auto"/>
              <w:right w:val="single" w:sz="8" w:space="0" w:color="auto"/>
            </w:tcBorders>
            <w:shd w:val="clear" w:color="auto" w:fill="auto"/>
            <w:noWrap/>
            <w:vAlign w:val="bottom"/>
            <w:hideMark/>
          </w:tcPr>
          <w:p w14:paraId="33554D99"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200000</w:t>
            </w:r>
          </w:p>
        </w:tc>
      </w:tr>
      <w:tr w:rsidR="009F1218" w:rsidRPr="009F1218" w14:paraId="5D752AE3"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7E59A4DB"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Labour</w:t>
            </w:r>
          </w:p>
        </w:tc>
        <w:tc>
          <w:tcPr>
            <w:tcW w:w="2080" w:type="dxa"/>
            <w:tcBorders>
              <w:top w:val="nil"/>
              <w:left w:val="nil"/>
              <w:bottom w:val="single" w:sz="4" w:space="0" w:color="auto"/>
              <w:right w:val="single" w:sz="4" w:space="0" w:color="auto"/>
            </w:tcBorders>
            <w:shd w:val="clear" w:color="auto" w:fill="auto"/>
            <w:noWrap/>
            <w:vAlign w:val="bottom"/>
            <w:hideMark/>
          </w:tcPr>
          <w:p w14:paraId="50166011"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400000</w:t>
            </w:r>
          </w:p>
        </w:tc>
        <w:tc>
          <w:tcPr>
            <w:tcW w:w="2100" w:type="dxa"/>
            <w:tcBorders>
              <w:top w:val="nil"/>
              <w:left w:val="nil"/>
              <w:bottom w:val="single" w:sz="4" w:space="0" w:color="auto"/>
              <w:right w:val="single" w:sz="4" w:space="0" w:color="auto"/>
            </w:tcBorders>
            <w:shd w:val="clear" w:color="auto" w:fill="auto"/>
            <w:noWrap/>
            <w:vAlign w:val="bottom"/>
            <w:hideMark/>
          </w:tcPr>
          <w:p w14:paraId="0570456B"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4</w:t>
            </w:r>
          </w:p>
        </w:tc>
        <w:tc>
          <w:tcPr>
            <w:tcW w:w="1240" w:type="dxa"/>
            <w:tcBorders>
              <w:top w:val="nil"/>
              <w:left w:val="nil"/>
              <w:bottom w:val="single" w:sz="4" w:space="0" w:color="auto"/>
              <w:right w:val="single" w:sz="8" w:space="0" w:color="auto"/>
            </w:tcBorders>
            <w:shd w:val="clear" w:color="auto" w:fill="auto"/>
            <w:noWrap/>
            <w:vAlign w:val="bottom"/>
            <w:hideMark/>
          </w:tcPr>
          <w:p w14:paraId="3F23DA29"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320000</w:t>
            </w:r>
          </w:p>
        </w:tc>
      </w:tr>
      <w:tr w:rsidR="009F1218" w:rsidRPr="009F1218" w14:paraId="2D8A2A3E"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72FB380E"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Overhead</w:t>
            </w:r>
          </w:p>
        </w:tc>
        <w:tc>
          <w:tcPr>
            <w:tcW w:w="2080" w:type="dxa"/>
            <w:tcBorders>
              <w:top w:val="nil"/>
              <w:left w:val="nil"/>
              <w:bottom w:val="single" w:sz="4" w:space="0" w:color="auto"/>
              <w:right w:val="single" w:sz="4" w:space="0" w:color="auto"/>
            </w:tcBorders>
            <w:shd w:val="clear" w:color="auto" w:fill="auto"/>
            <w:noWrap/>
            <w:vAlign w:val="bottom"/>
            <w:hideMark/>
          </w:tcPr>
          <w:p w14:paraId="2AA25903"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150000</w:t>
            </w:r>
          </w:p>
        </w:tc>
        <w:tc>
          <w:tcPr>
            <w:tcW w:w="2100" w:type="dxa"/>
            <w:tcBorders>
              <w:top w:val="nil"/>
              <w:left w:val="nil"/>
              <w:bottom w:val="single" w:sz="4" w:space="0" w:color="auto"/>
              <w:right w:val="single" w:sz="4" w:space="0" w:color="auto"/>
            </w:tcBorders>
            <w:shd w:val="clear" w:color="auto" w:fill="auto"/>
            <w:noWrap/>
            <w:vAlign w:val="bottom"/>
            <w:hideMark/>
          </w:tcPr>
          <w:p w14:paraId="313D9F88"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1.5</w:t>
            </w:r>
          </w:p>
        </w:tc>
        <w:tc>
          <w:tcPr>
            <w:tcW w:w="1240" w:type="dxa"/>
            <w:tcBorders>
              <w:top w:val="nil"/>
              <w:left w:val="nil"/>
              <w:bottom w:val="single" w:sz="4" w:space="0" w:color="auto"/>
              <w:right w:val="single" w:sz="8" w:space="0" w:color="auto"/>
            </w:tcBorders>
            <w:shd w:val="clear" w:color="auto" w:fill="auto"/>
            <w:noWrap/>
            <w:vAlign w:val="bottom"/>
            <w:hideMark/>
          </w:tcPr>
          <w:p w14:paraId="241DFD46"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120000</w:t>
            </w:r>
          </w:p>
        </w:tc>
      </w:tr>
      <w:tr w:rsidR="009F1218" w:rsidRPr="009F1218" w14:paraId="1C014A64"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28834EC3"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Total Variable Cost (A)</w:t>
            </w:r>
          </w:p>
        </w:tc>
        <w:tc>
          <w:tcPr>
            <w:tcW w:w="2080" w:type="dxa"/>
            <w:tcBorders>
              <w:top w:val="nil"/>
              <w:left w:val="nil"/>
              <w:bottom w:val="single" w:sz="4" w:space="0" w:color="auto"/>
              <w:right w:val="single" w:sz="4" w:space="0" w:color="auto"/>
            </w:tcBorders>
            <w:shd w:val="clear" w:color="auto" w:fill="auto"/>
            <w:noWrap/>
            <w:vAlign w:val="bottom"/>
            <w:hideMark/>
          </w:tcPr>
          <w:p w14:paraId="50715832"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800000</w:t>
            </w:r>
          </w:p>
        </w:tc>
        <w:tc>
          <w:tcPr>
            <w:tcW w:w="2100" w:type="dxa"/>
            <w:tcBorders>
              <w:top w:val="nil"/>
              <w:left w:val="nil"/>
              <w:bottom w:val="single" w:sz="4" w:space="0" w:color="auto"/>
              <w:right w:val="single" w:sz="4" w:space="0" w:color="auto"/>
            </w:tcBorders>
            <w:shd w:val="clear" w:color="auto" w:fill="auto"/>
            <w:noWrap/>
            <w:vAlign w:val="bottom"/>
            <w:hideMark/>
          </w:tcPr>
          <w:p w14:paraId="27514956"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7477338B"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640000</w:t>
            </w:r>
          </w:p>
        </w:tc>
      </w:tr>
      <w:tr w:rsidR="009F1218" w:rsidRPr="009F1218" w14:paraId="18E5C244"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788FB192"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2080" w:type="dxa"/>
            <w:tcBorders>
              <w:top w:val="nil"/>
              <w:left w:val="nil"/>
              <w:bottom w:val="single" w:sz="4" w:space="0" w:color="auto"/>
              <w:right w:val="single" w:sz="4" w:space="0" w:color="auto"/>
            </w:tcBorders>
            <w:shd w:val="clear" w:color="auto" w:fill="auto"/>
            <w:noWrap/>
            <w:vAlign w:val="bottom"/>
            <w:hideMark/>
          </w:tcPr>
          <w:p w14:paraId="3B9C26AD"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2100" w:type="dxa"/>
            <w:tcBorders>
              <w:top w:val="nil"/>
              <w:left w:val="nil"/>
              <w:bottom w:val="single" w:sz="4" w:space="0" w:color="auto"/>
              <w:right w:val="single" w:sz="4" w:space="0" w:color="auto"/>
            </w:tcBorders>
            <w:shd w:val="clear" w:color="auto" w:fill="auto"/>
            <w:noWrap/>
            <w:vAlign w:val="bottom"/>
            <w:hideMark/>
          </w:tcPr>
          <w:p w14:paraId="70847F68"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26189A57"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9F1218" w:rsidRPr="009F1218" w14:paraId="521B5F7E"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415A6932" w14:textId="4792EC12"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 xml:space="preserve">Fixed </w:t>
            </w:r>
            <w:r w:rsidRPr="00F749E8">
              <w:rPr>
                <w:rFonts w:eastAsia="Times New Roman" w:cs="Times New Roman"/>
                <w:b/>
                <w:bCs/>
                <w:color w:val="000000"/>
                <w:sz w:val="22"/>
                <w:lang w:eastAsia="en-IN"/>
              </w:rPr>
              <w:t>Overheads</w:t>
            </w:r>
            <w:r w:rsidRPr="009F1218">
              <w:rPr>
                <w:rFonts w:eastAsia="Times New Roman" w:cs="Times New Roman"/>
                <w:b/>
                <w:bCs/>
                <w:color w:val="000000"/>
                <w:sz w:val="22"/>
                <w:lang w:eastAsia="en-IN"/>
              </w:rPr>
              <w:t>:</w:t>
            </w:r>
          </w:p>
        </w:tc>
        <w:tc>
          <w:tcPr>
            <w:tcW w:w="2080" w:type="dxa"/>
            <w:tcBorders>
              <w:top w:val="nil"/>
              <w:left w:val="nil"/>
              <w:bottom w:val="single" w:sz="4" w:space="0" w:color="auto"/>
              <w:right w:val="single" w:sz="4" w:space="0" w:color="auto"/>
            </w:tcBorders>
            <w:shd w:val="clear" w:color="auto" w:fill="auto"/>
            <w:noWrap/>
            <w:vAlign w:val="bottom"/>
            <w:hideMark/>
          </w:tcPr>
          <w:p w14:paraId="4482695F"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2100" w:type="dxa"/>
            <w:tcBorders>
              <w:top w:val="nil"/>
              <w:left w:val="nil"/>
              <w:bottom w:val="single" w:sz="4" w:space="0" w:color="auto"/>
              <w:right w:val="single" w:sz="4" w:space="0" w:color="auto"/>
            </w:tcBorders>
            <w:shd w:val="clear" w:color="auto" w:fill="auto"/>
            <w:noWrap/>
            <w:vAlign w:val="bottom"/>
            <w:hideMark/>
          </w:tcPr>
          <w:p w14:paraId="5A1142EB"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6341104E"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9F1218" w:rsidRPr="009F1218" w14:paraId="42DA0B06"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7F2B58D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Warehouse rental</w:t>
            </w:r>
          </w:p>
        </w:tc>
        <w:tc>
          <w:tcPr>
            <w:tcW w:w="2080" w:type="dxa"/>
            <w:tcBorders>
              <w:top w:val="nil"/>
              <w:left w:val="nil"/>
              <w:bottom w:val="single" w:sz="4" w:space="0" w:color="auto"/>
              <w:right w:val="single" w:sz="4" w:space="0" w:color="auto"/>
            </w:tcBorders>
            <w:shd w:val="clear" w:color="auto" w:fill="auto"/>
            <w:noWrap/>
            <w:vAlign w:val="bottom"/>
            <w:hideMark/>
          </w:tcPr>
          <w:p w14:paraId="3CFBF172"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200000</w:t>
            </w:r>
          </w:p>
        </w:tc>
        <w:tc>
          <w:tcPr>
            <w:tcW w:w="2100" w:type="dxa"/>
            <w:tcBorders>
              <w:top w:val="nil"/>
              <w:left w:val="nil"/>
              <w:bottom w:val="single" w:sz="4" w:space="0" w:color="auto"/>
              <w:right w:val="single" w:sz="4" w:space="0" w:color="auto"/>
            </w:tcBorders>
            <w:shd w:val="clear" w:color="auto" w:fill="auto"/>
            <w:noWrap/>
            <w:vAlign w:val="bottom"/>
            <w:hideMark/>
          </w:tcPr>
          <w:p w14:paraId="286A64E1"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14ACC3A3"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200000</w:t>
            </w:r>
          </w:p>
        </w:tc>
      </w:tr>
      <w:tr w:rsidR="009F1218" w:rsidRPr="009F1218" w14:paraId="1569ADBC"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41E5B19B"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Insurance</w:t>
            </w:r>
          </w:p>
        </w:tc>
        <w:tc>
          <w:tcPr>
            <w:tcW w:w="2080" w:type="dxa"/>
            <w:tcBorders>
              <w:top w:val="nil"/>
              <w:left w:val="nil"/>
              <w:bottom w:val="single" w:sz="4" w:space="0" w:color="auto"/>
              <w:right w:val="single" w:sz="4" w:space="0" w:color="auto"/>
            </w:tcBorders>
            <w:shd w:val="clear" w:color="auto" w:fill="auto"/>
            <w:noWrap/>
            <w:vAlign w:val="bottom"/>
            <w:hideMark/>
          </w:tcPr>
          <w:p w14:paraId="23DB6BA4"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100000</w:t>
            </w:r>
          </w:p>
        </w:tc>
        <w:tc>
          <w:tcPr>
            <w:tcW w:w="2100" w:type="dxa"/>
            <w:tcBorders>
              <w:top w:val="nil"/>
              <w:left w:val="nil"/>
              <w:bottom w:val="single" w:sz="4" w:space="0" w:color="auto"/>
              <w:right w:val="single" w:sz="4" w:space="0" w:color="auto"/>
            </w:tcBorders>
            <w:shd w:val="clear" w:color="auto" w:fill="auto"/>
            <w:noWrap/>
            <w:vAlign w:val="bottom"/>
            <w:hideMark/>
          </w:tcPr>
          <w:p w14:paraId="33BD2E5F"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7BA8CA66"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100000</w:t>
            </w:r>
          </w:p>
        </w:tc>
      </w:tr>
      <w:tr w:rsidR="009F1218" w:rsidRPr="009F1218" w14:paraId="480178F7"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123AB062"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Salary</w:t>
            </w:r>
          </w:p>
        </w:tc>
        <w:tc>
          <w:tcPr>
            <w:tcW w:w="2080" w:type="dxa"/>
            <w:tcBorders>
              <w:top w:val="nil"/>
              <w:left w:val="nil"/>
              <w:bottom w:val="single" w:sz="4" w:space="0" w:color="auto"/>
              <w:right w:val="single" w:sz="4" w:space="0" w:color="auto"/>
            </w:tcBorders>
            <w:shd w:val="clear" w:color="auto" w:fill="auto"/>
            <w:noWrap/>
            <w:vAlign w:val="bottom"/>
            <w:hideMark/>
          </w:tcPr>
          <w:p w14:paraId="708D6415"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50000</w:t>
            </w:r>
          </w:p>
        </w:tc>
        <w:tc>
          <w:tcPr>
            <w:tcW w:w="2100" w:type="dxa"/>
            <w:tcBorders>
              <w:top w:val="nil"/>
              <w:left w:val="nil"/>
              <w:bottom w:val="single" w:sz="4" w:space="0" w:color="auto"/>
              <w:right w:val="single" w:sz="4" w:space="0" w:color="auto"/>
            </w:tcBorders>
            <w:shd w:val="clear" w:color="auto" w:fill="auto"/>
            <w:noWrap/>
            <w:vAlign w:val="bottom"/>
            <w:hideMark/>
          </w:tcPr>
          <w:p w14:paraId="7B457A94"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337C70D5"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50000</w:t>
            </w:r>
          </w:p>
        </w:tc>
      </w:tr>
      <w:tr w:rsidR="009F1218" w:rsidRPr="009F1218" w14:paraId="0F1A1510"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7B8A708C"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Total Fixed Cost (B)</w:t>
            </w:r>
          </w:p>
        </w:tc>
        <w:tc>
          <w:tcPr>
            <w:tcW w:w="2080" w:type="dxa"/>
            <w:tcBorders>
              <w:top w:val="nil"/>
              <w:left w:val="nil"/>
              <w:bottom w:val="single" w:sz="4" w:space="0" w:color="auto"/>
              <w:right w:val="single" w:sz="4" w:space="0" w:color="auto"/>
            </w:tcBorders>
            <w:shd w:val="clear" w:color="auto" w:fill="auto"/>
            <w:noWrap/>
            <w:vAlign w:val="bottom"/>
            <w:hideMark/>
          </w:tcPr>
          <w:p w14:paraId="090C9C61"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350000</w:t>
            </w:r>
          </w:p>
        </w:tc>
        <w:tc>
          <w:tcPr>
            <w:tcW w:w="2100" w:type="dxa"/>
            <w:tcBorders>
              <w:top w:val="nil"/>
              <w:left w:val="nil"/>
              <w:bottom w:val="single" w:sz="4" w:space="0" w:color="auto"/>
              <w:right w:val="single" w:sz="4" w:space="0" w:color="auto"/>
            </w:tcBorders>
            <w:shd w:val="clear" w:color="auto" w:fill="auto"/>
            <w:noWrap/>
            <w:vAlign w:val="bottom"/>
            <w:hideMark/>
          </w:tcPr>
          <w:p w14:paraId="43D7EFE8"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4E1B79BD"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350000</w:t>
            </w:r>
          </w:p>
        </w:tc>
      </w:tr>
      <w:tr w:rsidR="009F1218" w:rsidRPr="009F1218" w14:paraId="4A20DFCC" w14:textId="77777777" w:rsidTr="009F1218">
        <w:trPr>
          <w:trHeight w:val="288"/>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76A6D2A3"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 </w:t>
            </w:r>
          </w:p>
        </w:tc>
        <w:tc>
          <w:tcPr>
            <w:tcW w:w="2080" w:type="dxa"/>
            <w:tcBorders>
              <w:top w:val="nil"/>
              <w:left w:val="nil"/>
              <w:bottom w:val="single" w:sz="4" w:space="0" w:color="auto"/>
              <w:right w:val="single" w:sz="4" w:space="0" w:color="auto"/>
            </w:tcBorders>
            <w:shd w:val="clear" w:color="auto" w:fill="auto"/>
            <w:noWrap/>
            <w:vAlign w:val="bottom"/>
            <w:hideMark/>
          </w:tcPr>
          <w:p w14:paraId="78EBB08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2100" w:type="dxa"/>
            <w:tcBorders>
              <w:top w:val="nil"/>
              <w:left w:val="nil"/>
              <w:bottom w:val="single" w:sz="4" w:space="0" w:color="auto"/>
              <w:right w:val="single" w:sz="4" w:space="0" w:color="auto"/>
            </w:tcBorders>
            <w:shd w:val="clear" w:color="auto" w:fill="auto"/>
            <w:noWrap/>
            <w:vAlign w:val="bottom"/>
            <w:hideMark/>
          </w:tcPr>
          <w:p w14:paraId="04DFE18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4" w:space="0" w:color="auto"/>
              <w:right w:val="single" w:sz="8" w:space="0" w:color="auto"/>
            </w:tcBorders>
            <w:shd w:val="clear" w:color="auto" w:fill="auto"/>
            <w:noWrap/>
            <w:vAlign w:val="bottom"/>
            <w:hideMark/>
          </w:tcPr>
          <w:p w14:paraId="1BDB60E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9F1218" w:rsidRPr="009F1218" w14:paraId="1B003E66" w14:textId="77777777" w:rsidTr="009F1218">
        <w:trPr>
          <w:trHeight w:val="300"/>
        </w:trPr>
        <w:tc>
          <w:tcPr>
            <w:tcW w:w="2140" w:type="dxa"/>
            <w:tcBorders>
              <w:top w:val="nil"/>
              <w:left w:val="single" w:sz="8" w:space="0" w:color="auto"/>
              <w:bottom w:val="single" w:sz="8" w:space="0" w:color="auto"/>
              <w:right w:val="single" w:sz="4" w:space="0" w:color="auto"/>
            </w:tcBorders>
            <w:shd w:val="clear" w:color="auto" w:fill="auto"/>
            <w:noWrap/>
            <w:vAlign w:val="bottom"/>
            <w:hideMark/>
          </w:tcPr>
          <w:p w14:paraId="6A366E32"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Total overhead (A+B)</w:t>
            </w:r>
          </w:p>
        </w:tc>
        <w:tc>
          <w:tcPr>
            <w:tcW w:w="2080" w:type="dxa"/>
            <w:tcBorders>
              <w:top w:val="nil"/>
              <w:left w:val="nil"/>
              <w:bottom w:val="single" w:sz="8" w:space="0" w:color="auto"/>
              <w:right w:val="single" w:sz="4" w:space="0" w:color="auto"/>
            </w:tcBorders>
            <w:shd w:val="clear" w:color="auto" w:fill="auto"/>
            <w:noWrap/>
            <w:vAlign w:val="bottom"/>
            <w:hideMark/>
          </w:tcPr>
          <w:p w14:paraId="452E733E"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1150000</w:t>
            </w:r>
          </w:p>
        </w:tc>
        <w:tc>
          <w:tcPr>
            <w:tcW w:w="2100" w:type="dxa"/>
            <w:tcBorders>
              <w:top w:val="nil"/>
              <w:left w:val="nil"/>
              <w:bottom w:val="single" w:sz="8" w:space="0" w:color="auto"/>
              <w:right w:val="single" w:sz="4" w:space="0" w:color="auto"/>
            </w:tcBorders>
            <w:shd w:val="clear" w:color="auto" w:fill="auto"/>
            <w:noWrap/>
            <w:vAlign w:val="bottom"/>
            <w:hideMark/>
          </w:tcPr>
          <w:p w14:paraId="2207EDC3"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40" w:type="dxa"/>
            <w:tcBorders>
              <w:top w:val="nil"/>
              <w:left w:val="nil"/>
              <w:bottom w:val="single" w:sz="8" w:space="0" w:color="auto"/>
              <w:right w:val="single" w:sz="8" w:space="0" w:color="auto"/>
            </w:tcBorders>
            <w:shd w:val="clear" w:color="auto" w:fill="auto"/>
            <w:noWrap/>
            <w:vAlign w:val="bottom"/>
            <w:hideMark/>
          </w:tcPr>
          <w:p w14:paraId="25391C52"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990000</w:t>
            </w:r>
          </w:p>
        </w:tc>
      </w:tr>
    </w:tbl>
    <w:p w14:paraId="2C6D7C09" w14:textId="6A773857" w:rsidR="009F1218" w:rsidRDefault="009F1218" w:rsidP="009F1218"/>
    <w:p w14:paraId="65165BCD" w14:textId="239A56EC" w:rsidR="00F749E8" w:rsidRPr="00F749E8" w:rsidRDefault="00F749E8" w:rsidP="00F749E8">
      <w:pPr>
        <w:pStyle w:val="Legend"/>
        <w:keepNext/>
        <w:rPr>
          <w:sz w:val="24"/>
          <w:szCs w:val="24"/>
        </w:rPr>
      </w:pPr>
      <w:r w:rsidRPr="00F749E8">
        <w:rPr>
          <w:sz w:val="24"/>
          <w:szCs w:val="24"/>
        </w:rPr>
        <w:t xml:space="preserve">Table </w:t>
      </w:r>
      <w:r w:rsidRPr="00F749E8">
        <w:rPr>
          <w:sz w:val="24"/>
          <w:szCs w:val="24"/>
        </w:rPr>
        <w:fldChar w:fldCharType="begin"/>
      </w:r>
      <w:r w:rsidRPr="00F749E8">
        <w:rPr>
          <w:sz w:val="24"/>
          <w:szCs w:val="24"/>
        </w:rPr>
        <w:instrText xml:space="preserve"> SEQ Table \* ARABIC </w:instrText>
      </w:r>
      <w:r w:rsidRPr="00F749E8">
        <w:rPr>
          <w:sz w:val="24"/>
          <w:szCs w:val="24"/>
        </w:rPr>
        <w:fldChar w:fldCharType="separate"/>
      </w:r>
      <w:r w:rsidR="000C099F">
        <w:rPr>
          <w:noProof/>
          <w:sz w:val="24"/>
          <w:szCs w:val="24"/>
        </w:rPr>
        <w:t>2</w:t>
      </w:r>
      <w:r w:rsidRPr="00F749E8">
        <w:rPr>
          <w:sz w:val="24"/>
          <w:szCs w:val="24"/>
        </w:rPr>
        <w:fldChar w:fldCharType="end"/>
      </w:r>
      <w:r w:rsidRPr="00F749E8">
        <w:rPr>
          <w:sz w:val="24"/>
          <w:szCs w:val="24"/>
        </w:rPr>
        <w:t>: Monthly budget control report</w:t>
      </w:r>
      <w:r w:rsidR="00A363B7">
        <w:rPr>
          <w:sz w:val="24"/>
          <w:szCs w:val="24"/>
        </w:rPr>
        <w:t xml:space="preserve"> </w:t>
      </w:r>
    </w:p>
    <w:tbl>
      <w:tblPr>
        <w:tblW w:w="8070" w:type="dxa"/>
        <w:tblLook w:val="04A0" w:firstRow="1" w:lastRow="0" w:firstColumn="1" w:lastColumn="0" w:noHBand="0" w:noVBand="1"/>
      </w:tblPr>
      <w:tblGrid>
        <w:gridCol w:w="2107"/>
        <w:gridCol w:w="2419"/>
        <w:gridCol w:w="993"/>
        <w:gridCol w:w="1275"/>
        <w:gridCol w:w="1276"/>
      </w:tblGrid>
      <w:tr w:rsidR="00AE4383" w:rsidRPr="009F1218" w14:paraId="51BB4FC7" w14:textId="77777777" w:rsidTr="00AE4383">
        <w:trPr>
          <w:trHeight w:val="220"/>
        </w:trPr>
        <w:tc>
          <w:tcPr>
            <w:tcW w:w="210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529A0DD"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Particular</w:t>
            </w:r>
          </w:p>
        </w:tc>
        <w:tc>
          <w:tcPr>
            <w:tcW w:w="2419" w:type="dxa"/>
            <w:tcBorders>
              <w:top w:val="single" w:sz="8" w:space="0" w:color="auto"/>
              <w:left w:val="nil"/>
              <w:bottom w:val="single" w:sz="4" w:space="0" w:color="auto"/>
              <w:right w:val="single" w:sz="4" w:space="0" w:color="auto"/>
            </w:tcBorders>
            <w:shd w:val="clear" w:color="auto" w:fill="auto"/>
            <w:noWrap/>
            <w:vAlign w:val="bottom"/>
            <w:hideMark/>
          </w:tcPr>
          <w:p w14:paraId="290CE21A"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Variable Cost Per Unit</w:t>
            </w:r>
          </w:p>
        </w:tc>
        <w:tc>
          <w:tcPr>
            <w:tcW w:w="993" w:type="dxa"/>
            <w:tcBorders>
              <w:top w:val="single" w:sz="8" w:space="0" w:color="auto"/>
              <w:left w:val="nil"/>
              <w:bottom w:val="single" w:sz="4" w:space="0" w:color="auto"/>
              <w:right w:val="single" w:sz="4" w:space="0" w:color="auto"/>
            </w:tcBorders>
            <w:shd w:val="clear" w:color="auto" w:fill="auto"/>
            <w:noWrap/>
            <w:vAlign w:val="bottom"/>
            <w:hideMark/>
          </w:tcPr>
          <w:p w14:paraId="6E4AD28A"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Flexible (£)</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14:paraId="477BE2D5"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Actual (£)</w:t>
            </w:r>
          </w:p>
        </w:tc>
        <w:tc>
          <w:tcPr>
            <w:tcW w:w="1276" w:type="dxa"/>
            <w:tcBorders>
              <w:top w:val="single" w:sz="8" w:space="0" w:color="auto"/>
              <w:left w:val="nil"/>
              <w:bottom w:val="single" w:sz="4" w:space="0" w:color="auto"/>
              <w:right w:val="single" w:sz="8" w:space="0" w:color="auto"/>
            </w:tcBorders>
            <w:shd w:val="clear" w:color="auto" w:fill="auto"/>
            <w:noWrap/>
            <w:vAlign w:val="bottom"/>
            <w:hideMark/>
          </w:tcPr>
          <w:p w14:paraId="76B9D207"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Variance</w:t>
            </w:r>
          </w:p>
        </w:tc>
      </w:tr>
      <w:tr w:rsidR="00AE4383" w:rsidRPr="009F1218" w14:paraId="7D17686B"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19F05B3D"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Production</w:t>
            </w:r>
          </w:p>
        </w:tc>
        <w:tc>
          <w:tcPr>
            <w:tcW w:w="2419" w:type="dxa"/>
            <w:tcBorders>
              <w:top w:val="nil"/>
              <w:left w:val="nil"/>
              <w:bottom w:val="single" w:sz="4" w:space="0" w:color="auto"/>
              <w:right w:val="single" w:sz="4" w:space="0" w:color="auto"/>
            </w:tcBorders>
            <w:shd w:val="clear" w:color="auto" w:fill="auto"/>
            <w:noWrap/>
            <w:vAlign w:val="bottom"/>
            <w:hideMark/>
          </w:tcPr>
          <w:p w14:paraId="34E8F3C0"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67DBD641"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80000</w:t>
            </w:r>
          </w:p>
        </w:tc>
        <w:tc>
          <w:tcPr>
            <w:tcW w:w="1275" w:type="dxa"/>
            <w:tcBorders>
              <w:top w:val="nil"/>
              <w:left w:val="nil"/>
              <w:bottom w:val="single" w:sz="4" w:space="0" w:color="auto"/>
              <w:right w:val="single" w:sz="4" w:space="0" w:color="auto"/>
            </w:tcBorders>
            <w:shd w:val="clear" w:color="auto" w:fill="auto"/>
            <w:noWrap/>
            <w:vAlign w:val="bottom"/>
            <w:hideMark/>
          </w:tcPr>
          <w:p w14:paraId="77B75CB8"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80000</w:t>
            </w:r>
          </w:p>
        </w:tc>
        <w:tc>
          <w:tcPr>
            <w:tcW w:w="1276" w:type="dxa"/>
            <w:tcBorders>
              <w:top w:val="nil"/>
              <w:left w:val="nil"/>
              <w:bottom w:val="single" w:sz="4" w:space="0" w:color="auto"/>
              <w:right w:val="single" w:sz="8" w:space="0" w:color="auto"/>
            </w:tcBorders>
            <w:shd w:val="clear" w:color="auto" w:fill="auto"/>
            <w:noWrap/>
            <w:vAlign w:val="bottom"/>
            <w:hideMark/>
          </w:tcPr>
          <w:p w14:paraId="506CE844"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AE4383" w:rsidRPr="009F1218" w14:paraId="6D4EE3A8"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060DCA69"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2419" w:type="dxa"/>
            <w:tcBorders>
              <w:top w:val="nil"/>
              <w:left w:val="nil"/>
              <w:bottom w:val="single" w:sz="4" w:space="0" w:color="auto"/>
              <w:right w:val="single" w:sz="4" w:space="0" w:color="auto"/>
            </w:tcBorders>
            <w:shd w:val="clear" w:color="auto" w:fill="auto"/>
            <w:noWrap/>
            <w:vAlign w:val="bottom"/>
            <w:hideMark/>
          </w:tcPr>
          <w:p w14:paraId="5A1AC33C"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4FC0AB43"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75" w:type="dxa"/>
            <w:tcBorders>
              <w:top w:val="nil"/>
              <w:left w:val="nil"/>
              <w:bottom w:val="single" w:sz="4" w:space="0" w:color="auto"/>
              <w:right w:val="single" w:sz="4" w:space="0" w:color="auto"/>
            </w:tcBorders>
            <w:shd w:val="clear" w:color="auto" w:fill="auto"/>
            <w:noWrap/>
            <w:vAlign w:val="bottom"/>
            <w:hideMark/>
          </w:tcPr>
          <w:p w14:paraId="2D771AB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76" w:type="dxa"/>
            <w:tcBorders>
              <w:top w:val="nil"/>
              <w:left w:val="nil"/>
              <w:bottom w:val="single" w:sz="4" w:space="0" w:color="auto"/>
              <w:right w:val="single" w:sz="8" w:space="0" w:color="auto"/>
            </w:tcBorders>
            <w:shd w:val="clear" w:color="auto" w:fill="auto"/>
            <w:noWrap/>
            <w:vAlign w:val="bottom"/>
            <w:hideMark/>
          </w:tcPr>
          <w:p w14:paraId="4D4864C6"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AE4383" w:rsidRPr="009F1218" w14:paraId="0CC6FF8F"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06809B2C"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Variable Costs:</w:t>
            </w:r>
          </w:p>
        </w:tc>
        <w:tc>
          <w:tcPr>
            <w:tcW w:w="2419" w:type="dxa"/>
            <w:tcBorders>
              <w:top w:val="nil"/>
              <w:left w:val="nil"/>
              <w:bottom w:val="single" w:sz="4" w:space="0" w:color="auto"/>
              <w:right w:val="single" w:sz="4" w:space="0" w:color="auto"/>
            </w:tcBorders>
            <w:shd w:val="clear" w:color="auto" w:fill="auto"/>
            <w:noWrap/>
            <w:vAlign w:val="bottom"/>
            <w:hideMark/>
          </w:tcPr>
          <w:p w14:paraId="0ECD934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7F977EF3"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75" w:type="dxa"/>
            <w:tcBorders>
              <w:top w:val="nil"/>
              <w:left w:val="nil"/>
              <w:bottom w:val="single" w:sz="4" w:space="0" w:color="auto"/>
              <w:right w:val="single" w:sz="4" w:space="0" w:color="auto"/>
            </w:tcBorders>
            <w:shd w:val="clear" w:color="auto" w:fill="auto"/>
            <w:noWrap/>
            <w:vAlign w:val="bottom"/>
            <w:hideMark/>
          </w:tcPr>
          <w:p w14:paraId="71EE3C04"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76" w:type="dxa"/>
            <w:tcBorders>
              <w:top w:val="nil"/>
              <w:left w:val="nil"/>
              <w:bottom w:val="single" w:sz="4" w:space="0" w:color="auto"/>
              <w:right w:val="single" w:sz="8" w:space="0" w:color="auto"/>
            </w:tcBorders>
            <w:shd w:val="clear" w:color="auto" w:fill="auto"/>
            <w:noWrap/>
            <w:vAlign w:val="bottom"/>
            <w:hideMark/>
          </w:tcPr>
          <w:p w14:paraId="5B815C83"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AE4383" w:rsidRPr="009F1218" w14:paraId="3B88B3B9"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4946CEFD"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Material</w:t>
            </w:r>
          </w:p>
        </w:tc>
        <w:tc>
          <w:tcPr>
            <w:tcW w:w="2419" w:type="dxa"/>
            <w:tcBorders>
              <w:top w:val="nil"/>
              <w:left w:val="nil"/>
              <w:bottom w:val="single" w:sz="4" w:space="0" w:color="auto"/>
              <w:right w:val="single" w:sz="4" w:space="0" w:color="auto"/>
            </w:tcBorders>
            <w:shd w:val="clear" w:color="auto" w:fill="auto"/>
            <w:noWrap/>
            <w:vAlign w:val="bottom"/>
            <w:hideMark/>
          </w:tcPr>
          <w:p w14:paraId="3C7FA909"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2.5</w:t>
            </w:r>
          </w:p>
        </w:tc>
        <w:tc>
          <w:tcPr>
            <w:tcW w:w="993" w:type="dxa"/>
            <w:tcBorders>
              <w:top w:val="nil"/>
              <w:left w:val="nil"/>
              <w:bottom w:val="single" w:sz="4" w:space="0" w:color="auto"/>
              <w:right w:val="single" w:sz="4" w:space="0" w:color="auto"/>
            </w:tcBorders>
            <w:shd w:val="clear" w:color="auto" w:fill="auto"/>
            <w:noWrap/>
            <w:vAlign w:val="bottom"/>
            <w:hideMark/>
          </w:tcPr>
          <w:p w14:paraId="0884920B"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200000</w:t>
            </w:r>
          </w:p>
        </w:tc>
        <w:tc>
          <w:tcPr>
            <w:tcW w:w="1275" w:type="dxa"/>
            <w:tcBorders>
              <w:top w:val="nil"/>
              <w:left w:val="nil"/>
              <w:bottom w:val="single" w:sz="4" w:space="0" w:color="auto"/>
              <w:right w:val="single" w:sz="4" w:space="0" w:color="auto"/>
            </w:tcBorders>
            <w:shd w:val="clear" w:color="auto" w:fill="auto"/>
            <w:noWrap/>
            <w:vAlign w:val="bottom"/>
            <w:hideMark/>
          </w:tcPr>
          <w:p w14:paraId="60E36651"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280000</w:t>
            </w:r>
          </w:p>
        </w:tc>
        <w:tc>
          <w:tcPr>
            <w:tcW w:w="1276" w:type="dxa"/>
            <w:tcBorders>
              <w:top w:val="nil"/>
              <w:left w:val="nil"/>
              <w:bottom w:val="single" w:sz="4" w:space="0" w:color="auto"/>
              <w:right w:val="single" w:sz="8" w:space="0" w:color="auto"/>
            </w:tcBorders>
            <w:shd w:val="clear" w:color="auto" w:fill="auto"/>
            <w:noWrap/>
            <w:vAlign w:val="bottom"/>
            <w:hideMark/>
          </w:tcPr>
          <w:p w14:paraId="0ED925B8"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-80000</w:t>
            </w:r>
          </w:p>
        </w:tc>
      </w:tr>
      <w:tr w:rsidR="00AE4383" w:rsidRPr="009F1218" w14:paraId="12D587D8"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06639CAC"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Labour</w:t>
            </w:r>
          </w:p>
        </w:tc>
        <w:tc>
          <w:tcPr>
            <w:tcW w:w="2419" w:type="dxa"/>
            <w:tcBorders>
              <w:top w:val="nil"/>
              <w:left w:val="nil"/>
              <w:bottom w:val="single" w:sz="4" w:space="0" w:color="auto"/>
              <w:right w:val="single" w:sz="4" w:space="0" w:color="auto"/>
            </w:tcBorders>
            <w:shd w:val="clear" w:color="auto" w:fill="auto"/>
            <w:noWrap/>
            <w:vAlign w:val="bottom"/>
            <w:hideMark/>
          </w:tcPr>
          <w:p w14:paraId="367E2B81"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4</w:t>
            </w:r>
          </w:p>
        </w:tc>
        <w:tc>
          <w:tcPr>
            <w:tcW w:w="993" w:type="dxa"/>
            <w:tcBorders>
              <w:top w:val="nil"/>
              <w:left w:val="nil"/>
              <w:bottom w:val="single" w:sz="4" w:space="0" w:color="auto"/>
              <w:right w:val="single" w:sz="4" w:space="0" w:color="auto"/>
            </w:tcBorders>
            <w:shd w:val="clear" w:color="auto" w:fill="auto"/>
            <w:noWrap/>
            <w:vAlign w:val="bottom"/>
            <w:hideMark/>
          </w:tcPr>
          <w:p w14:paraId="2157D679"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320000</w:t>
            </w:r>
          </w:p>
        </w:tc>
        <w:tc>
          <w:tcPr>
            <w:tcW w:w="1275" w:type="dxa"/>
            <w:tcBorders>
              <w:top w:val="nil"/>
              <w:left w:val="nil"/>
              <w:bottom w:val="single" w:sz="4" w:space="0" w:color="auto"/>
              <w:right w:val="single" w:sz="4" w:space="0" w:color="auto"/>
            </w:tcBorders>
            <w:shd w:val="clear" w:color="auto" w:fill="auto"/>
            <w:noWrap/>
            <w:vAlign w:val="bottom"/>
            <w:hideMark/>
          </w:tcPr>
          <w:p w14:paraId="41CB94EE"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440000</w:t>
            </w:r>
          </w:p>
        </w:tc>
        <w:tc>
          <w:tcPr>
            <w:tcW w:w="1276" w:type="dxa"/>
            <w:tcBorders>
              <w:top w:val="nil"/>
              <w:left w:val="nil"/>
              <w:bottom w:val="single" w:sz="4" w:space="0" w:color="auto"/>
              <w:right w:val="single" w:sz="8" w:space="0" w:color="auto"/>
            </w:tcBorders>
            <w:shd w:val="clear" w:color="auto" w:fill="auto"/>
            <w:noWrap/>
            <w:vAlign w:val="bottom"/>
            <w:hideMark/>
          </w:tcPr>
          <w:p w14:paraId="3A1D5869"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-120000</w:t>
            </w:r>
          </w:p>
        </w:tc>
      </w:tr>
      <w:tr w:rsidR="00AE4383" w:rsidRPr="009F1218" w14:paraId="2D511931"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24C918D3"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Overhead</w:t>
            </w:r>
          </w:p>
        </w:tc>
        <w:tc>
          <w:tcPr>
            <w:tcW w:w="2419" w:type="dxa"/>
            <w:tcBorders>
              <w:top w:val="nil"/>
              <w:left w:val="nil"/>
              <w:bottom w:val="single" w:sz="4" w:space="0" w:color="auto"/>
              <w:right w:val="single" w:sz="4" w:space="0" w:color="auto"/>
            </w:tcBorders>
            <w:shd w:val="clear" w:color="auto" w:fill="auto"/>
            <w:noWrap/>
            <w:vAlign w:val="bottom"/>
            <w:hideMark/>
          </w:tcPr>
          <w:p w14:paraId="51CA28B3"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1.5</w:t>
            </w:r>
          </w:p>
        </w:tc>
        <w:tc>
          <w:tcPr>
            <w:tcW w:w="993" w:type="dxa"/>
            <w:tcBorders>
              <w:top w:val="nil"/>
              <w:left w:val="nil"/>
              <w:bottom w:val="single" w:sz="4" w:space="0" w:color="auto"/>
              <w:right w:val="single" w:sz="4" w:space="0" w:color="auto"/>
            </w:tcBorders>
            <w:shd w:val="clear" w:color="auto" w:fill="auto"/>
            <w:noWrap/>
            <w:vAlign w:val="bottom"/>
            <w:hideMark/>
          </w:tcPr>
          <w:p w14:paraId="538830E5"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120000</w:t>
            </w:r>
          </w:p>
        </w:tc>
        <w:tc>
          <w:tcPr>
            <w:tcW w:w="1275" w:type="dxa"/>
            <w:tcBorders>
              <w:top w:val="nil"/>
              <w:left w:val="nil"/>
              <w:bottom w:val="single" w:sz="4" w:space="0" w:color="auto"/>
              <w:right w:val="single" w:sz="4" w:space="0" w:color="auto"/>
            </w:tcBorders>
            <w:shd w:val="clear" w:color="auto" w:fill="auto"/>
            <w:noWrap/>
            <w:vAlign w:val="bottom"/>
            <w:hideMark/>
          </w:tcPr>
          <w:p w14:paraId="2AC8A12D"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120000</w:t>
            </w:r>
          </w:p>
        </w:tc>
        <w:tc>
          <w:tcPr>
            <w:tcW w:w="1276" w:type="dxa"/>
            <w:tcBorders>
              <w:top w:val="nil"/>
              <w:left w:val="nil"/>
              <w:bottom w:val="single" w:sz="4" w:space="0" w:color="auto"/>
              <w:right w:val="single" w:sz="8" w:space="0" w:color="auto"/>
            </w:tcBorders>
            <w:shd w:val="clear" w:color="auto" w:fill="auto"/>
            <w:noWrap/>
            <w:vAlign w:val="bottom"/>
            <w:hideMark/>
          </w:tcPr>
          <w:p w14:paraId="6DDC08F9"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0</w:t>
            </w:r>
          </w:p>
        </w:tc>
      </w:tr>
      <w:tr w:rsidR="00AE4383" w:rsidRPr="009F1218" w14:paraId="0CF2E2CA"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1B403376"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Total Variable Cost (A)</w:t>
            </w:r>
          </w:p>
        </w:tc>
        <w:tc>
          <w:tcPr>
            <w:tcW w:w="2419" w:type="dxa"/>
            <w:tcBorders>
              <w:top w:val="nil"/>
              <w:left w:val="nil"/>
              <w:bottom w:val="single" w:sz="4" w:space="0" w:color="auto"/>
              <w:right w:val="single" w:sz="4" w:space="0" w:color="auto"/>
            </w:tcBorders>
            <w:shd w:val="clear" w:color="auto" w:fill="auto"/>
            <w:noWrap/>
            <w:vAlign w:val="bottom"/>
            <w:hideMark/>
          </w:tcPr>
          <w:p w14:paraId="0902F45C"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516533A1"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640000</w:t>
            </w:r>
          </w:p>
        </w:tc>
        <w:tc>
          <w:tcPr>
            <w:tcW w:w="1275" w:type="dxa"/>
            <w:tcBorders>
              <w:top w:val="nil"/>
              <w:left w:val="nil"/>
              <w:bottom w:val="single" w:sz="4" w:space="0" w:color="auto"/>
              <w:right w:val="single" w:sz="4" w:space="0" w:color="auto"/>
            </w:tcBorders>
            <w:shd w:val="clear" w:color="auto" w:fill="auto"/>
            <w:noWrap/>
            <w:vAlign w:val="bottom"/>
            <w:hideMark/>
          </w:tcPr>
          <w:p w14:paraId="327A88E5"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840000</w:t>
            </w:r>
          </w:p>
        </w:tc>
        <w:tc>
          <w:tcPr>
            <w:tcW w:w="1276" w:type="dxa"/>
            <w:tcBorders>
              <w:top w:val="nil"/>
              <w:left w:val="nil"/>
              <w:bottom w:val="single" w:sz="4" w:space="0" w:color="auto"/>
              <w:right w:val="single" w:sz="8" w:space="0" w:color="auto"/>
            </w:tcBorders>
            <w:shd w:val="clear" w:color="auto" w:fill="auto"/>
            <w:noWrap/>
            <w:vAlign w:val="bottom"/>
            <w:hideMark/>
          </w:tcPr>
          <w:p w14:paraId="21E29821"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-200000</w:t>
            </w:r>
          </w:p>
        </w:tc>
      </w:tr>
      <w:tr w:rsidR="00AE4383" w:rsidRPr="009F1218" w14:paraId="37560DBA"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5CF306B8"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2419" w:type="dxa"/>
            <w:tcBorders>
              <w:top w:val="nil"/>
              <w:left w:val="nil"/>
              <w:bottom w:val="single" w:sz="4" w:space="0" w:color="auto"/>
              <w:right w:val="single" w:sz="4" w:space="0" w:color="auto"/>
            </w:tcBorders>
            <w:shd w:val="clear" w:color="auto" w:fill="auto"/>
            <w:noWrap/>
            <w:vAlign w:val="bottom"/>
            <w:hideMark/>
          </w:tcPr>
          <w:p w14:paraId="7255A88B"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5B2FC552"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75" w:type="dxa"/>
            <w:tcBorders>
              <w:top w:val="nil"/>
              <w:left w:val="nil"/>
              <w:bottom w:val="single" w:sz="4" w:space="0" w:color="auto"/>
              <w:right w:val="single" w:sz="4" w:space="0" w:color="auto"/>
            </w:tcBorders>
            <w:shd w:val="clear" w:color="auto" w:fill="auto"/>
            <w:noWrap/>
            <w:vAlign w:val="bottom"/>
            <w:hideMark/>
          </w:tcPr>
          <w:p w14:paraId="52B1B91F"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76" w:type="dxa"/>
            <w:tcBorders>
              <w:top w:val="nil"/>
              <w:left w:val="nil"/>
              <w:bottom w:val="single" w:sz="4" w:space="0" w:color="auto"/>
              <w:right w:val="single" w:sz="8" w:space="0" w:color="auto"/>
            </w:tcBorders>
            <w:shd w:val="clear" w:color="auto" w:fill="auto"/>
            <w:noWrap/>
            <w:vAlign w:val="bottom"/>
            <w:hideMark/>
          </w:tcPr>
          <w:p w14:paraId="0717CE68"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AE4383" w:rsidRPr="009F1218" w14:paraId="644061C0"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7B5956E8"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Fixed Overheads:</w:t>
            </w:r>
          </w:p>
        </w:tc>
        <w:tc>
          <w:tcPr>
            <w:tcW w:w="2419" w:type="dxa"/>
            <w:tcBorders>
              <w:top w:val="nil"/>
              <w:left w:val="nil"/>
              <w:bottom w:val="single" w:sz="4" w:space="0" w:color="auto"/>
              <w:right w:val="single" w:sz="4" w:space="0" w:color="auto"/>
            </w:tcBorders>
            <w:shd w:val="clear" w:color="auto" w:fill="auto"/>
            <w:noWrap/>
            <w:vAlign w:val="bottom"/>
            <w:hideMark/>
          </w:tcPr>
          <w:p w14:paraId="2D680748"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0AEC188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75" w:type="dxa"/>
            <w:tcBorders>
              <w:top w:val="nil"/>
              <w:left w:val="nil"/>
              <w:bottom w:val="single" w:sz="4" w:space="0" w:color="auto"/>
              <w:right w:val="single" w:sz="4" w:space="0" w:color="auto"/>
            </w:tcBorders>
            <w:shd w:val="clear" w:color="auto" w:fill="auto"/>
            <w:noWrap/>
            <w:vAlign w:val="bottom"/>
            <w:hideMark/>
          </w:tcPr>
          <w:p w14:paraId="1E75651C"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76" w:type="dxa"/>
            <w:tcBorders>
              <w:top w:val="nil"/>
              <w:left w:val="nil"/>
              <w:bottom w:val="single" w:sz="4" w:space="0" w:color="auto"/>
              <w:right w:val="single" w:sz="8" w:space="0" w:color="auto"/>
            </w:tcBorders>
            <w:shd w:val="clear" w:color="auto" w:fill="auto"/>
            <w:noWrap/>
            <w:vAlign w:val="bottom"/>
            <w:hideMark/>
          </w:tcPr>
          <w:p w14:paraId="18B49EE4"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AE4383" w:rsidRPr="009F1218" w14:paraId="44FA1091"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14F2E330"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Warehouse rental</w:t>
            </w:r>
          </w:p>
        </w:tc>
        <w:tc>
          <w:tcPr>
            <w:tcW w:w="2419" w:type="dxa"/>
            <w:tcBorders>
              <w:top w:val="nil"/>
              <w:left w:val="nil"/>
              <w:bottom w:val="single" w:sz="4" w:space="0" w:color="auto"/>
              <w:right w:val="single" w:sz="4" w:space="0" w:color="auto"/>
            </w:tcBorders>
            <w:shd w:val="clear" w:color="auto" w:fill="auto"/>
            <w:noWrap/>
            <w:vAlign w:val="bottom"/>
            <w:hideMark/>
          </w:tcPr>
          <w:p w14:paraId="45025326"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053CA0D1"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200000</w:t>
            </w:r>
          </w:p>
        </w:tc>
        <w:tc>
          <w:tcPr>
            <w:tcW w:w="1275" w:type="dxa"/>
            <w:tcBorders>
              <w:top w:val="nil"/>
              <w:left w:val="nil"/>
              <w:bottom w:val="single" w:sz="4" w:space="0" w:color="auto"/>
              <w:right w:val="single" w:sz="4" w:space="0" w:color="auto"/>
            </w:tcBorders>
            <w:shd w:val="clear" w:color="auto" w:fill="auto"/>
            <w:noWrap/>
            <w:vAlign w:val="bottom"/>
            <w:hideMark/>
          </w:tcPr>
          <w:p w14:paraId="01F21466"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170000</w:t>
            </w:r>
          </w:p>
        </w:tc>
        <w:tc>
          <w:tcPr>
            <w:tcW w:w="1276" w:type="dxa"/>
            <w:tcBorders>
              <w:top w:val="nil"/>
              <w:left w:val="nil"/>
              <w:bottom w:val="single" w:sz="4" w:space="0" w:color="auto"/>
              <w:right w:val="single" w:sz="8" w:space="0" w:color="auto"/>
            </w:tcBorders>
            <w:shd w:val="clear" w:color="auto" w:fill="auto"/>
            <w:noWrap/>
            <w:vAlign w:val="bottom"/>
            <w:hideMark/>
          </w:tcPr>
          <w:p w14:paraId="3F052F72"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30000</w:t>
            </w:r>
          </w:p>
        </w:tc>
      </w:tr>
      <w:tr w:rsidR="00AE4383" w:rsidRPr="009F1218" w14:paraId="28F4AA60"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485A6796"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Insurance</w:t>
            </w:r>
          </w:p>
        </w:tc>
        <w:tc>
          <w:tcPr>
            <w:tcW w:w="2419" w:type="dxa"/>
            <w:tcBorders>
              <w:top w:val="nil"/>
              <w:left w:val="nil"/>
              <w:bottom w:val="single" w:sz="4" w:space="0" w:color="auto"/>
              <w:right w:val="single" w:sz="4" w:space="0" w:color="auto"/>
            </w:tcBorders>
            <w:shd w:val="clear" w:color="auto" w:fill="auto"/>
            <w:noWrap/>
            <w:vAlign w:val="bottom"/>
            <w:hideMark/>
          </w:tcPr>
          <w:p w14:paraId="4F44C852"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1CC5E209"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100000</w:t>
            </w:r>
          </w:p>
        </w:tc>
        <w:tc>
          <w:tcPr>
            <w:tcW w:w="1275" w:type="dxa"/>
            <w:tcBorders>
              <w:top w:val="nil"/>
              <w:left w:val="nil"/>
              <w:bottom w:val="single" w:sz="4" w:space="0" w:color="auto"/>
              <w:right w:val="single" w:sz="4" w:space="0" w:color="auto"/>
            </w:tcBorders>
            <w:shd w:val="clear" w:color="auto" w:fill="auto"/>
            <w:noWrap/>
            <w:vAlign w:val="bottom"/>
            <w:hideMark/>
          </w:tcPr>
          <w:p w14:paraId="6E7D2A7D"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100000</w:t>
            </w:r>
          </w:p>
        </w:tc>
        <w:tc>
          <w:tcPr>
            <w:tcW w:w="1276" w:type="dxa"/>
            <w:tcBorders>
              <w:top w:val="nil"/>
              <w:left w:val="nil"/>
              <w:bottom w:val="single" w:sz="4" w:space="0" w:color="auto"/>
              <w:right w:val="single" w:sz="8" w:space="0" w:color="auto"/>
            </w:tcBorders>
            <w:shd w:val="clear" w:color="auto" w:fill="auto"/>
            <w:noWrap/>
            <w:vAlign w:val="bottom"/>
            <w:hideMark/>
          </w:tcPr>
          <w:p w14:paraId="52D3F897"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0</w:t>
            </w:r>
          </w:p>
        </w:tc>
      </w:tr>
      <w:tr w:rsidR="00AE4383" w:rsidRPr="009F1218" w14:paraId="5EFD2C6F"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4D38DF78"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Salary</w:t>
            </w:r>
          </w:p>
        </w:tc>
        <w:tc>
          <w:tcPr>
            <w:tcW w:w="2419" w:type="dxa"/>
            <w:tcBorders>
              <w:top w:val="nil"/>
              <w:left w:val="nil"/>
              <w:bottom w:val="single" w:sz="4" w:space="0" w:color="auto"/>
              <w:right w:val="single" w:sz="4" w:space="0" w:color="auto"/>
            </w:tcBorders>
            <w:shd w:val="clear" w:color="auto" w:fill="auto"/>
            <w:noWrap/>
            <w:vAlign w:val="bottom"/>
            <w:hideMark/>
          </w:tcPr>
          <w:p w14:paraId="19E1DA1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08782928"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50000</w:t>
            </w:r>
          </w:p>
        </w:tc>
        <w:tc>
          <w:tcPr>
            <w:tcW w:w="1275" w:type="dxa"/>
            <w:tcBorders>
              <w:top w:val="nil"/>
              <w:left w:val="nil"/>
              <w:bottom w:val="single" w:sz="4" w:space="0" w:color="auto"/>
              <w:right w:val="single" w:sz="4" w:space="0" w:color="auto"/>
            </w:tcBorders>
            <w:shd w:val="clear" w:color="auto" w:fill="auto"/>
            <w:noWrap/>
            <w:vAlign w:val="bottom"/>
            <w:hideMark/>
          </w:tcPr>
          <w:p w14:paraId="04CF88A0"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35000</w:t>
            </w:r>
          </w:p>
        </w:tc>
        <w:tc>
          <w:tcPr>
            <w:tcW w:w="1276" w:type="dxa"/>
            <w:tcBorders>
              <w:top w:val="nil"/>
              <w:left w:val="nil"/>
              <w:bottom w:val="single" w:sz="4" w:space="0" w:color="auto"/>
              <w:right w:val="single" w:sz="8" w:space="0" w:color="auto"/>
            </w:tcBorders>
            <w:shd w:val="clear" w:color="auto" w:fill="auto"/>
            <w:noWrap/>
            <w:vAlign w:val="bottom"/>
            <w:hideMark/>
          </w:tcPr>
          <w:p w14:paraId="28B9123B" w14:textId="77777777" w:rsidR="009F1218" w:rsidRPr="009F1218" w:rsidRDefault="009F1218" w:rsidP="009F1218">
            <w:pPr>
              <w:spacing w:before="0" w:after="0" w:line="240" w:lineRule="auto"/>
              <w:jc w:val="right"/>
              <w:rPr>
                <w:rFonts w:eastAsia="Times New Roman" w:cs="Times New Roman"/>
                <w:color w:val="000000"/>
                <w:sz w:val="22"/>
                <w:lang w:eastAsia="en-IN"/>
              </w:rPr>
            </w:pPr>
            <w:r w:rsidRPr="009F1218">
              <w:rPr>
                <w:rFonts w:eastAsia="Times New Roman" w:cs="Times New Roman"/>
                <w:color w:val="000000"/>
                <w:sz w:val="22"/>
                <w:lang w:eastAsia="en-IN"/>
              </w:rPr>
              <w:t>15000</w:t>
            </w:r>
          </w:p>
        </w:tc>
      </w:tr>
      <w:tr w:rsidR="00AE4383" w:rsidRPr="009F1218" w14:paraId="14081381"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319E97B6"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Total Fixed Cost (B)</w:t>
            </w:r>
          </w:p>
        </w:tc>
        <w:tc>
          <w:tcPr>
            <w:tcW w:w="2419" w:type="dxa"/>
            <w:tcBorders>
              <w:top w:val="nil"/>
              <w:left w:val="nil"/>
              <w:bottom w:val="single" w:sz="4" w:space="0" w:color="auto"/>
              <w:right w:val="single" w:sz="4" w:space="0" w:color="auto"/>
            </w:tcBorders>
            <w:shd w:val="clear" w:color="auto" w:fill="auto"/>
            <w:noWrap/>
            <w:vAlign w:val="bottom"/>
            <w:hideMark/>
          </w:tcPr>
          <w:p w14:paraId="2C2EDE7C"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1D1A0BD2"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350000</w:t>
            </w:r>
          </w:p>
        </w:tc>
        <w:tc>
          <w:tcPr>
            <w:tcW w:w="1275" w:type="dxa"/>
            <w:tcBorders>
              <w:top w:val="nil"/>
              <w:left w:val="nil"/>
              <w:bottom w:val="single" w:sz="4" w:space="0" w:color="auto"/>
              <w:right w:val="single" w:sz="4" w:space="0" w:color="auto"/>
            </w:tcBorders>
            <w:shd w:val="clear" w:color="auto" w:fill="auto"/>
            <w:noWrap/>
            <w:vAlign w:val="bottom"/>
            <w:hideMark/>
          </w:tcPr>
          <w:p w14:paraId="0B4449CA"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305000</w:t>
            </w:r>
          </w:p>
        </w:tc>
        <w:tc>
          <w:tcPr>
            <w:tcW w:w="1276" w:type="dxa"/>
            <w:tcBorders>
              <w:top w:val="nil"/>
              <w:left w:val="nil"/>
              <w:bottom w:val="single" w:sz="4" w:space="0" w:color="auto"/>
              <w:right w:val="single" w:sz="8" w:space="0" w:color="auto"/>
            </w:tcBorders>
            <w:shd w:val="clear" w:color="auto" w:fill="auto"/>
            <w:noWrap/>
            <w:vAlign w:val="bottom"/>
            <w:hideMark/>
          </w:tcPr>
          <w:p w14:paraId="55CF7D55"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45000</w:t>
            </w:r>
          </w:p>
        </w:tc>
      </w:tr>
      <w:tr w:rsidR="00AE4383" w:rsidRPr="009F1218" w14:paraId="085EA9FF" w14:textId="77777777" w:rsidTr="00AE4383">
        <w:trPr>
          <w:trHeight w:val="220"/>
        </w:trPr>
        <w:tc>
          <w:tcPr>
            <w:tcW w:w="2107" w:type="dxa"/>
            <w:tcBorders>
              <w:top w:val="nil"/>
              <w:left w:val="single" w:sz="8" w:space="0" w:color="auto"/>
              <w:bottom w:val="single" w:sz="4" w:space="0" w:color="auto"/>
              <w:right w:val="single" w:sz="4" w:space="0" w:color="auto"/>
            </w:tcBorders>
            <w:shd w:val="clear" w:color="auto" w:fill="auto"/>
            <w:noWrap/>
            <w:vAlign w:val="bottom"/>
            <w:hideMark/>
          </w:tcPr>
          <w:p w14:paraId="14E0E560"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 </w:t>
            </w:r>
          </w:p>
        </w:tc>
        <w:tc>
          <w:tcPr>
            <w:tcW w:w="2419" w:type="dxa"/>
            <w:tcBorders>
              <w:top w:val="nil"/>
              <w:left w:val="nil"/>
              <w:bottom w:val="single" w:sz="4" w:space="0" w:color="auto"/>
              <w:right w:val="single" w:sz="4" w:space="0" w:color="auto"/>
            </w:tcBorders>
            <w:shd w:val="clear" w:color="auto" w:fill="auto"/>
            <w:noWrap/>
            <w:vAlign w:val="bottom"/>
            <w:hideMark/>
          </w:tcPr>
          <w:p w14:paraId="12CC5F7B"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4577AFB9"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1275" w:type="dxa"/>
            <w:tcBorders>
              <w:top w:val="nil"/>
              <w:left w:val="nil"/>
              <w:bottom w:val="single" w:sz="4" w:space="0" w:color="auto"/>
              <w:right w:val="single" w:sz="4" w:space="0" w:color="auto"/>
            </w:tcBorders>
            <w:shd w:val="clear" w:color="auto" w:fill="auto"/>
            <w:noWrap/>
            <w:vAlign w:val="bottom"/>
            <w:hideMark/>
          </w:tcPr>
          <w:p w14:paraId="1B9D3555"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 </w:t>
            </w:r>
          </w:p>
        </w:tc>
        <w:tc>
          <w:tcPr>
            <w:tcW w:w="1276" w:type="dxa"/>
            <w:tcBorders>
              <w:top w:val="nil"/>
              <w:left w:val="nil"/>
              <w:bottom w:val="single" w:sz="4" w:space="0" w:color="auto"/>
              <w:right w:val="single" w:sz="8" w:space="0" w:color="auto"/>
            </w:tcBorders>
            <w:shd w:val="clear" w:color="auto" w:fill="auto"/>
            <w:noWrap/>
            <w:vAlign w:val="bottom"/>
            <w:hideMark/>
          </w:tcPr>
          <w:p w14:paraId="7913D1A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r>
      <w:tr w:rsidR="00AE4383" w:rsidRPr="009F1218" w14:paraId="449333B6" w14:textId="77777777" w:rsidTr="00AE4383">
        <w:trPr>
          <w:trHeight w:val="229"/>
        </w:trPr>
        <w:tc>
          <w:tcPr>
            <w:tcW w:w="2107" w:type="dxa"/>
            <w:tcBorders>
              <w:top w:val="nil"/>
              <w:left w:val="single" w:sz="8" w:space="0" w:color="auto"/>
              <w:bottom w:val="single" w:sz="8" w:space="0" w:color="auto"/>
              <w:right w:val="single" w:sz="4" w:space="0" w:color="auto"/>
            </w:tcBorders>
            <w:shd w:val="clear" w:color="auto" w:fill="auto"/>
            <w:noWrap/>
            <w:vAlign w:val="bottom"/>
            <w:hideMark/>
          </w:tcPr>
          <w:p w14:paraId="32AC4346" w14:textId="77777777" w:rsidR="009F1218" w:rsidRPr="009F1218" w:rsidRDefault="009F1218" w:rsidP="009F1218">
            <w:pPr>
              <w:spacing w:before="0" w:after="0" w:line="240" w:lineRule="auto"/>
              <w:jc w:val="left"/>
              <w:rPr>
                <w:rFonts w:eastAsia="Times New Roman" w:cs="Times New Roman"/>
                <w:b/>
                <w:bCs/>
                <w:color w:val="000000"/>
                <w:sz w:val="22"/>
                <w:lang w:eastAsia="en-IN"/>
              </w:rPr>
            </w:pPr>
            <w:r w:rsidRPr="009F1218">
              <w:rPr>
                <w:rFonts w:eastAsia="Times New Roman" w:cs="Times New Roman"/>
                <w:b/>
                <w:bCs/>
                <w:color w:val="000000"/>
                <w:sz w:val="22"/>
                <w:lang w:eastAsia="en-IN"/>
              </w:rPr>
              <w:t>Total overhead (A+B)</w:t>
            </w:r>
          </w:p>
        </w:tc>
        <w:tc>
          <w:tcPr>
            <w:tcW w:w="2419" w:type="dxa"/>
            <w:tcBorders>
              <w:top w:val="nil"/>
              <w:left w:val="nil"/>
              <w:bottom w:val="single" w:sz="8" w:space="0" w:color="auto"/>
              <w:right w:val="single" w:sz="4" w:space="0" w:color="auto"/>
            </w:tcBorders>
            <w:shd w:val="clear" w:color="auto" w:fill="auto"/>
            <w:noWrap/>
            <w:vAlign w:val="bottom"/>
            <w:hideMark/>
          </w:tcPr>
          <w:p w14:paraId="159DB1A5" w14:textId="77777777" w:rsidR="009F1218" w:rsidRPr="009F1218" w:rsidRDefault="009F1218" w:rsidP="009F1218">
            <w:pPr>
              <w:spacing w:before="0" w:after="0" w:line="240" w:lineRule="auto"/>
              <w:jc w:val="left"/>
              <w:rPr>
                <w:rFonts w:eastAsia="Times New Roman" w:cs="Times New Roman"/>
                <w:color w:val="000000"/>
                <w:sz w:val="22"/>
                <w:lang w:eastAsia="en-IN"/>
              </w:rPr>
            </w:pPr>
            <w:r w:rsidRPr="009F1218">
              <w:rPr>
                <w:rFonts w:eastAsia="Times New Roman" w:cs="Times New Roman"/>
                <w:color w:val="000000"/>
                <w:sz w:val="22"/>
                <w:lang w:eastAsia="en-IN"/>
              </w:rPr>
              <w:t> </w:t>
            </w:r>
          </w:p>
        </w:tc>
        <w:tc>
          <w:tcPr>
            <w:tcW w:w="993" w:type="dxa"/>
            <w:tcBorders>
              <w:top w:val="nil"/>
              <w:left w:val="nil"/>
              <w:bottom w:val="single" w:sz="8" w:space="0" w:color="auto"/>
              <w:right w:val="single" w:sz="4" w:space="0" w:color="auto"/>
            </w:tcBorders>
            <w:shd w:val="clear" w:color="auto" w:fill="auto"/>
            <w:noWrap/>
            <w:vAlign w:val="bottom"/>
            <w:hideMark/>
          </w:tcPr>
          <w:p w14:paraId="5DB4B8EB"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990000</w:t>
            </w:r>
          </w:p>
        </w:tc>
        <w:tc>
          <w:tcPr>
            <w:tcW w:w="1275" w:type="dxa"/>
            <w:tcBorders>
              <w:top w:val="nil"/>
              <w:left w:val="nil"/>
              <w:bottom w:val="single" w:sz="8" w:space="0" w:color="auto"/>
              <w:right w:val="single" w:sz="4" w:space="0" w:color="auto"/>
            </w:tcBorders>
            <w:shd w:val="clear" w:color="auto" w:fill="auto"/>
            <w:noWrap/>
            <w:vAlign w:val="bottom"/>
            <w:hideMark/>
          </w:tcPr>
          <w:p w14:paraId="7926EF20"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1145000</w:t>
            </w:r>
          </w:p>
        </w:tc>
        <w:tc>
          <w:tcPr>
            <w:tcW w:w="1276" w:type="dxa"/>
            <w:tcBorders>
              <w:top w:val="nil"/>
              <w:left w:val="nil"/>
              <w:bottom w:val="single" w:sz="8" w:space="0" w:color="auto"/>
              <w:right w:val="single" w:sz="8" w:space="0" w:color="auto"/>
            </w:tcBorders>
            <w:shd w:val="clear" w:color="auto" w:fill="auto"/>
            <w:noWrap/>
            <w:vAlign w:val="bottom"/>
            <w:hideMark/>
          </w:tcPr>
          <w:p w14:paraId="65B0A412" w14:textId="77777777" w:rsidR="009F1218" w:rsidRPr="009F1218" w:rsidRDefault="009F1218" w:rsidP="009F1218">
            <w:pPr>
              <w:spacing w:before="0" w:after="0" w:line="240" w:lineRule="auto"/>
              <w:jc w:val="right"/>
              <w:rPr>
                <w:rFonts w:eastAsia="Times New Roman" w:cs="Times New Roman"/>
                <w:b/>
                <w:bCs/>
                <w:color w:val="000000"/>
                <w:sz w:val="22"/>
                <w:lang w:eastAsia="en-IN"/>
              </w:rPr>
            </w:pPr>
            <w:r w:rsidRPr="009F1218">
              <w:rPr>
                <w:rFonts w:eastAsia="Times New Roman" w:cs="Times New Roman"/>
                <w:b/>
                <w:bCs/>
                <w:color w:val="000000"/>
                <w:sz w:val="22"/>
                <w:lang w:eastAsia="en-IN"/>
              </w:rPr>
              <w:t>-155000</w:t>
            </w:r>
          </w:p>
        </w:tc>
      </w:tr>
    </w:tbl>
    <w:p w14:paraId="7AB95E95" w14:textId="0B80A16E" w:rsidR="009F1218" w:rsidRDefault="009F1218" w:rsidP="009F1218"/>
    <w:p w14:paraId="4E993708" w14:textId="77777777" w:rsidR="00B367DA" w:rsidRDefault="007C586D" w:rsidP="009F1218">
      <w:r>
        <w:t xml:space="preserve">The above report shows that </w:t>
      </w:r>
      <w:r w:rsidR="00C36EE5">
        <w:t>the actual variable cost increases to what was predicted</w:t>
      </w:r>
      <w:r w:rsidR="00A363B7">
        <w:t xml:space="preserve"> </w:t>
      </w:r>
      <w:r w:rsidR="00A363B7" w:rsidRPr="00A363B7">
        <w:t>(Budget, 2021, p.1)</w:t>
      </w:r>
      <w:r w:rsidR="00C36EE5">
        <w:t xml:space="preserve">. In variable cost material </w:t>
      </w:r>
      <w:r w:rsidR="00006D1F">
        <w:t>increases</w:t>
      </w:r>
      <w:r w:rsidR="00C36EE5">
        <w:t xml:space="preserve"> by 800</w:t>
      </w:r>
      <w:r w:rsidR="00006D1F">
        <w:t>0</w:t>
      </w:r>
      <w:r w:rsidR="00C36EE5">
        <w:t xml:space="preserve">00, labour costs </w:t>
      </w:r>
      <w:r w:rsidR="00006D1F">
        <w:t>rise</w:t>
      </w:r>
      <w:r w:rsidR="00C36EE5">
        <w:t xml:space="preserve"> by 120000</w:t>
      </w:r>
      <w:r w:rsidR="00006D1F">
        <w:t xml:space="preserve"> and there is no effect on the overhead of </w:t>
      </w:r>
      <w:r w:rsidR="00712A2F">
        <w:t>Amana Ltd</w:t>
      </w:r>
      <w:r w:rsidR="00006D1F">
        <w:t xml:space="preserve">. On the other hand, fixed income improves that is warehouse rental decreases by 30000, salary also diminishes by 15000 and insurance has no effect. The total variable cost increases by 200000 and the total fixed cost decreases by 45000 </w:t>
      </w:r>
      <w:r w:rsidR="00064960">
        <w:t xml:space="preserve">thereby the total overhead of </w:t>
      </w:r>
      <w:r w:rsidR="00712A2F">
        <w:t>Amana Ltd</w:t>
      </w:r>
      <w:r w:rsidR="00064960">
        <w:t xml:space="preserve"> increases by 155000. </w:t>
      </w:r>
      <w:r w:rsidR="00F749ED" w:rsidRPr="00370E38">
        <w:t xml:space="preserve">The term "Original Budget" refers to the consolidated budgets of the Guarantors and the Borrowers that include profit and loss statements, balance sheets, and cash flow statements, as well as stated assumptions, for the first </w:t>
      </w:r>
      <w:r w:rsidR="00F749ED">
        <w:t>twenty-four</w:t>
      </w:r>
      <w:r w:rsidR="00F749ED" w:rsidRPr="00370E38">
        <w:t xml:space="preserve"> months from the date of this Agreement</w:t>
      </w:r>
      <w:r w:rsidR="00A363B7">
        <w:t xml:space="preserve"> </w:t>
      </w:r>
      <w:r w:rsidR="00A363B7" w:rsidRPr="00A363B7">
        <w:t>(Guimaraes, 2022, p.50)</w:t>
      </w:r>
      <w:r w:rsidR="00F749ED" w:rsidRPr="00370E38">
        <w:t>.</w:t>
      </w:r>
      <w:r w:rsidR="00F749ED">
        <w:t xml:space="preserve"> </w:t>
      </w:r>
    </w:p>
    <w:p w14:paraId="428F9EA4" w14:textId="0BC2E35E" w:rsidR="00064960" w:rsidRDefault="00F749ED" w:rsidP="009F1218">
      <w:r w:rsidRPr="00F749ED">
        <w:t xml:space="preserve">A flexible budget </w:t>
      </w:r>
      <w:r>
        <w:t>can</w:t>
      </w:r>
      <w:r w:rsidRPr="00F749ED">
        <w:t xml:space="preserve"> be modified depending on the degree of activity or volume inside an organisation. A flexible budget "bends" with the changing expenses of running a firm, as opposed to a static budget, which remains unchanged from its original form. </w:t>
      </w:r>
      <w:r>
        <w:t>To</w:t>
      </w:r>
      <w:r w:rsidRPr="00F749ED">
        <w:t xml:space="preserve"> account for fluctuations in the company's financial requirements, this budgeting method often uses variable rates per unit rather than a set sum</w:t>
      </w:r>
      <w:r w:rsidR="00A363B7">
        <w:t xml:space="preserve"> </w:t>
      </w:r>
      <w:r w:rsidR="00A363B7" w:rsidRPr="00A363B7">
        <w:t>(Amirul and Mail, 2020, p.7)</w:t>
      </w:r>
      <w:r w:rsidRPr="00F749ED">
        <w:t>. Accounting inconsistencies are what budget variance investigates. As a rule, the phrase is used negatively. It happens, for instance, when a business overestimates its costs or underestimates its income, either for a specific project or for the quarter or year as a whole</w:t>
      </w:r>
      <w:r>
        <w:t>.</w:t>
      </w:r>
    </w:p>
    <w:p w14:paraId="16AB325F" w14:textId="39DF5AEE" w:rsidR="009F1218" w:rsidRDefault="00064960" w:rsidP="009F1218">
      <w:pPr>
        <w:pStyle w:val="Titlu2"/>
        <w:numPr>
          <w:ilvl w:val="0"/>
          <w:numId w:val="1"/>
        </w:numPr>
      </w:pPr>
      <w:bookmarkStart w:id="2" w:name="_Toc113532733"/>
      <w:r>
        <w:t>Performance report</w:t>
      </w:r>
      <w:bookmarkEnd w:id="2"/>
    </w:p>
    <w:p w14:paraId="3643AF91" w14:textId="08672E34" w:rsidR="00F749E8" w:rsidRPr="00F749E8" w:rsidRDefault="00F749E8" w:rsidP="00F749E8">
      <w:pPr>
        <w:pStyle w:val="Legend"/>
        <w:keepNext/>
        <w:rPr>
          <w:sz w:val="24"/>
          <w:szCs w:val="24"/>
        </w:rPr>
      </w:pPr>
      <w:r w:rsidRPr="00F749E8">
        <w:rPr>
          <w:sz w:val="24"/>
          <w:szCs w:val="24"/>
        </w:rPr>
        <w:t xml:space="preserve">Table </w:t>
      </w:r>
      <w:r w:rsidRPr="00F749E8">
        <w:rPr>
          <w:sz w:val="24"/>
          <w:szCs w:val="24"/>
        </w:rPr>
        <w:fldChar w:fldCharType="begin"/>
      </w:r>
      <w:r w:rsidRPr="00F749E8">
        <w:rPr>
          <w:sz w:val="24"/>
          <w:szCs w:val="24"/>
        </w:rPr>
        <w:instrText xml:space="preserve"> SEQ Table \* ARABIC </w:instrText>
      </w:r>
      <w:r w:rsidRPr="00F749E8">
        <w:rPr>
          <w:sz w:val="24"/>
          <w:szCs w:val="24"/>
        </w:rPr>
        <w:fldChar w:fldCharType="separate"/>
      </w:r>
      <w:r w:rsidR="000C099F">
        <w:rPr>
          <w:noProof/>
          <w:sz w:val="24"/>
          <w:szCs w:val="24"/>
        </w:rPr>
        <w:t>3</w:t>
      </w:r>
      <w:r w:rsidRPr="00F749E8">
        <w:rPr>
          <w:sz w:val="24"/>
          <w:szCs w:val="24"/>
        </w:rPr>
        <w:fldChar w:fldCharType="end"/>
      </w:r>
      <w:r w:rsidRPr="00F749E8">
        <w:rPr>
          <w:sz w:val="24"/>
          <w:szCs w:val="24"/>
        </w:rPr>
        <w:t>: Performance report</w:t>
      </w:r>
    </w:p>
    <w:tbl>
      <w:tblPr>
        <w:tblW w:w="5492" w:type="pct"/>
        <w:tblLook w:val="04A0" w:firstRow="1" w:lastRow="0" w:firstColumn="1" w:lastColumn="0" w:noHBand="0" w:noVBand="1"/>
      </w:tblPr>
      <w:tblGrid>
        <w:gridCol w:w="2288"/>
        <w:gridCol w:w="1323"/>
        <w:gridCol w:w="705"/>
        <w:gridCol w:w="1151"/>
        <w:gridCol w:w="705"/>
        <w:gridCol w:w="1072"/>
        <w:gridCol w:w="2649"/>
      </w:tblGrid>
      <w:tr w:rsidR="00064960" w:rsidRPr="00F749E8" w14:paraId="383C62DE" w14:textId="77777777" w:rsidTr="00F749E8">
        <w:trPr>
          <w:trHeight w:val="295"/>
        </w:trPr>
        <w:tc>
          <w:tcPr>
            <w:tcW w:w="1156"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4C1169C"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Particular</w:t>
            </w:r>
          </w:p>
        </w:tc>
        <w:tc>
          <w:tcPr>
            <w:tcW w:w="669" w:type="pct"/>
            <w:tcBorders>
              <w:top w:val="single" w:sz="8" w:space="0" w:color="auto"/>
              <w:left w:val="nil"/>
              <w:bottom w:val="single" w:sz="4" w:space="0" w:color="auto"/>
              <w:right w:val="single" w:sz="4" w:space="0" w:color="auto"/>
            </w:tcBorders>
            <w:shd w:val="clear" w:color="auto" w:fill="auto"/>
            <w:noWrap/>
            <w:vAlign w:val="bottom"/>
            <w:hideMark/>
          </w:tcPr>
          <w:p w14:paraId="5E8D4300"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Original (£)</w:t>
            </w:r>
          </w:p>
        </w:tc>
        <w:tc>
          <w:tcPr>
            <w:tcW w:w="356" w:type="pct"/>
            <w:tcBorders>
              <w:top w:val="single" w:sz="8" w:space="0" w:color="auto"/>
              <w:left w:val="nil"/>
              <w:bottom w:val="single" w:sz="4" w:space="0" w:color="auto"/>
              <w:right w:val="single" w:sz="4" w:space="0" w:color="auto"/>
            </w:tcBorders>
            <w:shd w:val="clear" w:color="auto" w:fill="auto"/>
            <w:noWrap/>
            <w:vAlign w:val="bottom"/>
            <w:hideMark/>
          </w:tcPr>
          <w:p w14:paraId="6C503927"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Price</w:t>
            </w:r>
          </w:p>
        </w:tc>
        <w:tc>
          <w:tcPr>
            <w:tcW w:w="582" w:type="pct"/>
            <w:tcBorders>
              <w:top w:val="single" w:sz="8" w:space="0" w:color="auto"/>
              <w:left w:val="nil"/>
              <w:bottom w:val="single" w:sz="4" w:space="0" w:color="auto"/>
              <w:right w:val="single" w:sz="4" w:space="0" w:color="auto"/>
            </w:tcBorders>
            <w:shd w:val="clear" w:color="auto" w:fill="auto"/>
            <w:noWrap/>
            <w:vAlign w:val="bottom"/>
            <w:hideMark/>
          </w:tcPr>
          <w:p w14:paraId="5CAD8B6C"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Actual (£)</w:t>
            </w:r>
          </w:p>
        </w:tc>
        <w:tc>
          <w:tcPr>
            <w:tcW w:w="356" w:type="pct"/>
            <w:tcBorders>
              <w:top w:val="single" w:sz="8" w:space="0" w:color="auto"/>
              <w:left w:val="nil"/>
              <w:bottom w:val="single" w:sz="4" w:space="0" w:color="auto"/>
              <w:right w:val="single" w:sz="4" w:space="0" w:color="auto"/>
            </w:tcBorders>
            <w:shd w:val="clear" w:color="auto" w:fill="auto"/>
            <w:noWrap/>
            <w:vAlign w:val="bottom"/>
            <w:hideMark/>
          </w:tcPr>
          <w:p w14:paraId="08CA8AA0"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Price</w:t>
            </w:r>
          </w:p>
        </w:tc>
        <w:tc>
          <w:tcPr>
            <w:tcW w:w="542" w:type="pct"/>
            <w:tcBorders>
              <w:top w:val="single" w:sz="8" w:space="0" w:color="auto"/>
              <w:left w:val="nil"/>
              <w:bottom w:val="single" w:sz="4" w:space="0" w:color="auto"/>
              <w:right w:val="single" w:sz="4" w:space="0" w:color="auto"/>
            </w:tcBorders>
            <w:shd w:val="clear" w:color="auto" w:fill="auto"/>
            <w:noWrap/>
            <w:vAlign w:val="bottom"/>
            <w:hideMark/>
          </w:tcPr>
          <w:p w14:paraId="5D34CE2D"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Variance</w:t>
            </w:r>
          </w:p>
        </w:tc>
        <w:tc>
          <w:tcPr>
            <w:tcW w:w="1339" w:type="pct"/>
            <w:tcBorders>
              <w:top w:val="single" w:sz="8" w:space="0" w:color="auto"/>
              <w:left w:val="nil"/>
              <w:bottom w:val="single" w:sz="4" w:space="0" w:color="auto"/>
              <w:right w:val="single" w:sz="8" w:space="0" w:color="auto"/>
            </w:tcBorders>
            <w:shd w:val="clear" w:color="auto" w:fill="auto"/>
            <w:noWrap/>
            <w:vAlign w:val="bottom"/>
            <w:hideMark/>
          </w:tcPr>
          <w:p w14:paraId="4DD67B13"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Favourable/Unfavourable</w:t>
            </w:r>
          </w:p>
        </w:tc>
      </w:tr>
      <w:tr w:rsidR="00064960" w:rsidRPr="00F749E8" w14:paraId="28FC03E3"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7FA9A5C0"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Production (Units)</w:t>
            </w:r>
          </w:p>
        </w:tc>
        <w:tc>
          <w:tcPr>
            <w:tcW w:w="669" w:type="pct"/>
            <w:tcBorders>
              <w:top w:val="nil"/>
              <w:left w:val="nil"/>
              <w:bottom w:val="single" w:sz="4" w:space="0" w:color="auto"/>
              <w:right w:val="single" w:sz="4" w:space="0" w:color="auto"/>
            </w:tcBorders>
            <w:shd w:val="clear" w:color="auto" w:fill="auto"/>
            <w:noWrap/>
            <w:vAlign w:val="bottom"/>
            <w:hideMark/>
          </w:tcPr>
          <w:p w14:paraId="2A48C56A"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100000</w:t>
            </w:r>
          </w:p>
        </w:tc>
        <w:tc>
          <w:tcPr>
            <w:tcW w:w="356" w:type="pct"/>
            <w:tcBorders>
              <w:top w:val="nil"/>
              <w:left w:val="nil"/>
              <w:bottom w:val="single" w:sz="4" w:space="0" w:color="auto"/>
              <w:right w:val="single" w:sz="4" w:space="0" w:color="auto"/>
            </w:tcBorders>
            <w:shd w:val="clear" w:color="auto" w:fill="auto"/>
            <w:noWrap/>
            <w:vAlign w:val="bottom"/>
            <w:hideMark/>
          </w:tcPr>
          <w:p w14:paraId="44CA475A"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1F202B5A"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80000</w:t>
            </w:r>
          </w:p>
        </w:tc>
        <w:tc>
          <w:tcPr>
            <w:tcW w:w="356" w:type="pct"/>
            <w:tcBorders>
              <w:top w:val="nil"/>
              <w:left w:val="nil"/>
              <w:bottom w:val="single" w:sz="4" w:space="0" w:color="auto"/>
              <w:right w:val="single" w:sz="4" w:space="0" w:color="auto"/>
            </w:tcBorders>
            <w:shd w:val="clear" w:color="auto" w:fill="auto"/>
            <w:noWrap/>
            <w:vAlign w:val="bottom"/>
            <w:hideMark/>
          </w:tcPr>
          <w:p w14:paraId="302BE580"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1F10361F"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-20000</w:t>
            </w:r>
          </w:p>
        </w:tc>
        <w:tc>
          <w:tcPr>
            <w:tcW w:w="1339" w:type="pct"/>
            <w:tcBorders>
              <w:top w:val="nil"/>
              <w:left w:val="nil"/>
              <w:bottom w:val="single" w:sz="4" w:space="0" w:color="auto"/>
              <w:right w:val="single" w:sz="8" w:space="0" w:color="auto"/>
            </w:tcBorders>
            <w:shd w:val="clear" w:color="auto" w:fill="auto"/>
            <w:noWrap/>
            <w:vAlign w:val="bottom"/>
            <w:hideMark/>
          </w:tcPr>
          <w:p w14:paraId="4BF8F5D7"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Unfavourable</w:t>
            </w:r>
          </w:p>
        </w:tc>
      </w:tr>
      <w:tr w:rsidR="00064960" w:rsidRPr="00F749E8" w14:paraId="2E5911AA"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672DD994"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xml:space="preserve">Sales Revenue </w:t>
            </w:r>
          </w:p>
        </w:tc>
        <w:tc>
          <w:tcPr>
            <w:tcW w:w="669" w:type="pct"/>
            <w:tcBorders>
              <w:top w:val="nil"/>
              <w:left w:val="nil"/>
              <w:bottom w:val="single" w:sz="4" w:space="0" w:color="auto"/>
              <w:right w:val="single" w:sz="4" w:space="0" w:color="auto"/>
            </w:tcBorders>
            <w:shd w:val="clear" w:color="auto" w:fill="auto"/>
            <w:noWrap/>
            <w:vAlign w:val="bottom"/>
            <w:hideMark/>
          </w:tcPr>
          <w:p w14:paraId="6500F2DB"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2500000</w:t>
            </w:r>
          </w:p>
        </w:tc>
        <w:tc>
          <w:tcPr>
            <w:tcW w:w="356" w:type="pct"/>
            <w:tcBorders>
              <w:top w:val="nil"/>
              <w:left w:val="nil"/>
              <w:bottom w:val="single" w:sz="4" w:space="0" w:color="auto"/>
              <w:right w:val="single" w:sz="4" w:space="0" w:color="auto"/>
            </w:tcBorders>
            <w:shd w:val="clear" w:color="auto" w:fill="auto"/>
            <w:noWrap/>
            <w:vAlign w:val="bottom"/>
            <w:hideMark/>
          </w:tcPr>
          <w:p w14:paraId="7071B191"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25</w:t>
            </w:r>
          </w:p>
        </w:tc>
        <w:tc>
          <w:tcPr>
            <w:tcW w:w="582" w:type="pct"/>
            <w:tcBorders>
              <w:top w:val="nil"/>
              <w:left w:val="nil"/>
              <w:bottom w:val="single" w:sz="4" w:space="0" w:color="auto"/>
              <w:right w:val="single" w:sz="4" w:space="0" w:color="auto"/>
            </w:tcBorders>
            <w:shd w:val="clear" w:color="auto" w:fill="auto"/>
            <w:noWrap/>
            <w:vAlign w:val="bottom"/>
            <w:hideMark/>
          </w:tcPr>
          <w:p w14:paraId="54B60B19"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1600000</w:t>
            </w:r>
          </w:p>
        </w:tc>
        <w:tc>
          <w:tcPr>
            <w:tcW w:w="356" w:type="pct"/>
            <w:tcBorders>
              <w:top w:val="nil"/>
              <w:left w:val="nil"/>
              <w:bottom w:val="single" w:sz="4" w:space="0" w:color="auto"/>
              <w:right w:val="single" w:sz="4" w:space="0" w:color="auto"/>
            </w:tcBorders>
            <w:shd w:val="clear" w:color="auto" w:fill="auto"/>
            <w:noWrap/>
            <w:vAlign w:val="bottom"/>
            <w:hideMark/>
          </w:tcPr>
          <w:p w14:paraId="66D4AEFF"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20</w:t>
            </w:r>
          </w:p>
        </w:tc>
        <w:tc>
          <w:tcPr>
            <w:tcW w:w="542" w:type="pct"/>
            <w:tcBorders>
              <w:top w:val="nil"/>
              <w:left w:val="nil"/>
              <w:bottom w:val="single" w:sz="4" w:space="0" w:color="auto"/>
              <w:right w:val="single" w:sz="4" w:space="0" w:color="auto"/>
            </w:tcBorders>
            <w:shd w:val="clear" w:color="auto" w:fill="auto"/>
            <w:noWrap/>
            <w:vAlign w:val="bottom"/>
            <w:hideMark/>
          </w:tcPr>
          <w:p w14:paraId="084A6294"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-900000</w:t>
            </w:r>
          </w:p>
        </w:tc>
        <w:tc>
          <w:tcPr>
            <w:tcW w:w="1339" w:type="pct"/>
            <w:tcBorders>
              <w:top w:val="nil"/>
              <w:left w:val="nil"/>
              <w:bottom w:val="single" w:sz="4" w:space="0" w:color="auto"/>
              <w:right w:val="single" w:sz="8" w:space="0" w:color="auto"/>
            </w:tcBorders>
            <w:shd w:val="clear" w:color="auto" w:fill="auto"/>
            <w:noWrap/>
            <w:vAlign w:val="bottom"/>
            <w:hideMark/>
          </w:tcPr>
          <w:p w14:paraId="28B4777F"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Unfavourable</w:t>
            </w:r>
          </w:p>
        </w:tc>
      </w:tr>
      <w:tr w:rsidR="00064960" w:rsidRPr="00F749E8" w14:paraId="4548398C"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2A076806"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Variable Costs:</w:t>
            </w:r>
          </w:p>
        </w:tc>
        <w:tc>
          <w:tcPr>
            <w:tcW w:w="669" w:type="pct"/>
            <w:tcBorders>
              <w:top w:val="nil"/>
              <w:left w:val="nil"/>
              <w:bottom w:val="single" w:sz="4" w:space="0" w:color="auto"/>
              <w:right w:val="single" w:sz="4" w:space="0" w:color="auto"/>
            </w:tcBorders>
            <w:shd w:val="clear" w:color="auto" w:fill="auto"/>
            <w:noWrap/>
            <w:vAlign w:val="bottom"/>
            <w:hideMark/>
          </w:tcPr>
          <w:p w14:paraId="792E69AB"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356" w:type="pct"/>
            <w:tcBorders>
              <w:top w:val="nil"/>
              <w:left w:val="nil"/>
              <w:bottom w:val="single" w:sz="4" w:space="0" w:color="auto"/>
              <w:right w:val="single" w:sz="4" w:space="0" w:color="auto"/>
            </w:tcBorders>
            <w:shd w:val="clear" w:color="auto" w:fill="auto"/>
            <w:noWrap/>
            <w:vAlign w:val="bottom"/>
            <w:hideMark/>
          </w:tcPr>
          <w:p w14:paraId="0498CDDF"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751E8427"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356" w:type="pct"/>
            <w:tcBorders>
              <w:top w:val="nil"/>
              <w:left w:val="nil"/>
              <w:bottom w:val="single" w:sz="4" w:space="0" w:color="auto"/>
              <w:right w:val="single" w:sz="4" w:space="0" w:color="auto"/>
            </w:tcBorders>
            <w:shd w:val="clear" w:color="auto" w:fill="auto"/>
            <w:noWrap/>
            <w:vAlign w:val="bottom"/>
            <w:hideMark/>
          </w:tcPr>
          <w:p w14:paraId="2EC0C973"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34FD0F3A"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1339" w:type="pct"/>
            <w:tcBorders>
              <w:top w:val="nil"/>
              <w:left w:val="nil"/>
              <w:bottom w:val="single" w:sz="4" w:space="0" w:color="auto"/>
              <w:right w:val="single" w:sz="8" w:space="0" w:color="auto"/>
            </w:tcBorders>
            <w:shd w:val="clear" w:color="auto" w:fill="auto"/>
            <w:noWrap/>
            <w:vAlign w:val="bottom"/>
            <w:hideMark/>
          </w:tcPr>
          <w:p w14:paraId="6B3E04BA"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r>
      <w:tr w:rsidR="00064960" w:rsidRPr="00F749E8" w14:paraId="23B2A40A"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7ED491F0"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Material</w:t>
            </w:r>
          </w:p>
        </w:tc>
        <w:tc>
          <w:tcPr>
            <w:tcW w:w="669" w:type="pct"/>
            <w:tcBorders>
              <w:top w:val="nil"/>
              <w:left w:val="nil"/>
              <w:bottom w:val="single" w:sz="4" w:space="0" w:color="auto"/>
              <w:right w:val="single" w:sz="4" w:space="0" w:color="auto"/>
            </w:tcBorders>
            <w:shd w:val="clear" w:color="auto" w:fill="auto"/>
            <w:noWrap/>
            <w:vAlign w:val="bottom"/>
            <w:hideMark/>
          </w:tcPr>
          <w:p w14:paraId="3BEF9B79"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250000</w:t>
            </w:r>
          </w:p>
        </w:tc>
        <w:tc>
          <w:tcPr>
            <w:tcW w:w="356" w:type="pct"/>
            <w:tcBorders>
              <w:top w:val="nil"/>
              <w:left w:val="nil"/>
              <w:bottom w:val="single" w:sz="4" w:space="0" w:color="auto"/>
              <w:right w:val="single" w:sz="4" w:space="0" w:color="auto"/>
            </w:tcBorders>
            <w:shd w:val="clear" w:color="auto" w:fill="auto"/>
            <w:noWrap/>
            <w:vAlign w:val="bottom"/>
            <w:hideMark/>
          </w:tcPr>
          <w:p w14:paraId="722C5163"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2.5</w:t>
            </w:r>
          </w:p>
        </w:tc>
        <w:tc>
          <w:tcPr>
            <w:tcW w:w="582" w:type="pct"/>
            <w:tcBorders>
              <w:top w:val="nil"/>
              <w:left w:val="nil"/>
              <w:bottom w:val="single" w:sz="4" w:space="0" w:color="auto"/>
              <w:right w:val="single" w:sz="4" w:space="0" w:color="auto"/>
            </w:tcBorders>
            <w:shd w:val="clear" w:color="auto" w:fill="auto"/>
            <w:noWrap/>
            <w:vAlign w:val="bottom"/>
            <w:hideMark/>
          </w:tcPr>
          <w:p w14:paraId="293B3A67"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280000</w:t>
            </w:r>
          </w:p>
        </w:tc>
        <w:tc>
          <w:tcPr>
            <w:tcW w:w="356" w:type="pct"/>
            <w:tcBorders>
              <w:top w:val="nil"/>
              <w:left w:val="nil"/>
              <w:bottom w:val="single" w:sz="4" w:space="0" w:color="auto"/>
              <w:right w:val="single" w:sz="4" w:space="0" w:color="auto"/>
            </w:tcBorders>
            <w:shd w:val="clear" w:color="auto" w:fill="auto"/>
            <w:noWrap/>
            <w:vAlign w:val="bottom"/>
            <w:hideMark/>
          </w:tcPr>
          <w:p w14:paraId="603C4993"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03DF632C"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30000</w:t>
            </w:r>
          </w:p>
        </w:tc>
        <w:tc>
          <w:tcPr>
            <w:tcW w:w="1339" w:type="pct"/>
            <w:tcBorders>
              <w:top w:val="nil"/>
              <w:left w:val="nil"/>
              <w:bottom w:val="single" w:sz="4" w:space="0" w:color="auto"/>
              <w:right w:val="single" w:sz="8" w:space="0" w:color="auto"/>
            </w:tcBorders>
            <w:shd w:val="clear" w:color="auto" w:fill="auto"/>
            <w:noWrap/>
            <w:vAlign w:val="bottom"/>
            <w:hideMark/>
          </w:tcPr>
          <w:p w14:paraId="2BEC4F80" w14:textId="0BFF5871" w:rsidR="00064960" w:rsidRPr="00064960" w:rsidRDefault="00EF37BE" w:rsidP="00064960">
            <w:pPr>
              <w:spacing w:before="0" w:after="0" w:line="240" w:lineRule="auto"/>
              <w:jc w:val="left"/>
              <w:rPr>
                <w:rFonts w:eastAsia="Times New Roman" w:cs="Times New Roman"/>
                <w:color w:val="000000"/>
                <w:sz w:val="22"/>
                <w:lang w:eastAsia="en-IN"/>
              </w:rPr>
            </w:pPr>
            <w:r>
              <w:rPr>
                <w:rFonts w:eastAsia="Times New Roman" w:cs="Times New Roman"/>
                <w:color w:val="000000"/>
                <w:sz w:val="22"/>
                <w:lang w:eastAsia="en-IN"/>
              </w:rPr>
              <w:t>Unf</w:t>
            </w:r>
            <w:r w:rsidR="00064960" w:rsidRPr="00064960">
              <w:rPr>
                <w:rFonts w:eastAsia="Times New Roman" w:cs="Times New Roman"/>
                <w:color w:val="000000"/>
                <w:sz w:val="22"/>
                <w:lang w:eastAsia="en-IN"/>
              </w:rPr>
              <w:t>avourable</w:t>
            </w:r>
          </w:p>
        </w:tc>
      </w:tr>
      <w:tr w:rsidR="00064960" w:rsidRPr="00F749E8" w14:paraId="40E7D304"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174BD280"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Labour</w:t>
            </w:r>
          </w:p>
        </w:tc>
        <w:tc>
          <w:tcPr>
            <w:tcW w:w="669" w:type="pct"/>
            <w:tcBorders>
              <w:top w:val="nil"/>
              <w:left w:val="nil"/>
              <w:bottom w:val="single" w:sz="4" w:space="0" w:color="auto"/>
              <w:right w:val="single" w:sz="4" w:space="0" w:color="auto"/>
            </w:tcBorders>
            <w:shd w:val="clear" w:color="auto" w:fill="auto"/>
            <w:noWrap/>
            <w:vAlign w:val="bottom"/>
            <w:hideMark/>
          </w:tcPr>
          <w:p w14:paraId="52D73B2F"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400000</w:t>
            </w:r>
          </w:p>
        </w:tc>
        <w:tc>
          <w:tcPr>
            <w:tcW w:w="356" w:type="pct"/>
            <w:tcBorders>
              <w:top w:val="nil"/>
              <w:left w:val="nil"/>
              <w:bottom w:val="single" w:sz="4" w:space="0" w:color="auto"/>
              <w:right w:val="single" w:sz="4" w:space="0" w:color="auto"/>
            </w:tcBorders>
            <w:shd w:val="clear" w:color="auto" w:fill="auto"/>
            <w:noWrap/>
            <w:vAlign w:val="bottom"/>
            <w:hideMark/>
          </w:tcPr>
          <w:p w14:paraId="26066D3E"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4</w:t>
            </w:r>
          </w:p>
        </w:tc>
        <w:tc>
          <w:tcPr>
            <w:tcW w:w="582" w:type="pct"/>
            <w:tcBorders>
              <w:top w:val="nil"/>
              <w:left w:val="nil"/>
              <w:bottom w:val="single" w:sz="4" w:space="0" w:color="auto"/>
              <w:right w:val="single" w:sz="4" w:space="0" w:color="auto"/>
            </w:tcBorders>
            <w:shd w:val="clear" w:color="auto" w:fill="auto"/>
            <w:noWrap/>
            <w:vAlign w:val="bottom"/>
            <w:hideMark/>
          </w:tcPr>
          <w:p w14:paraId="5F999DF7"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440000</w:t>
            </w:r>
          </w:p>
        </w:tc>
        <w:tc>
          <w:tcPr>
            <w:tcW w:w="356" w:type="pct"/>
            <w:tcBorders>
              <w:top w:val="nil"/>
              <w:left w:val="nil"/>
              <w:bottom w:val="single" w:sz="4" w:space="0" w:color="auto"/>
              <w:right w:val="single" w:sz="4" w:space="0" w:color="auto"/>
            </w:tcBorders>
            <w:shd w:val="clear" w:color="auto" w:fill="auto"/>
            <w:noWrap/>
            <w:vAlign w:val="bottom"/>
            <w:hideMark/>
          </w:tcPr>
          <w:p w14:paraId="234E00A6"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027B93B6"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40000</w:t>
            </w:r>
          </w:p>
        </w:tc>
        <w:tc>
          <w:tcPr>
            <w:tcW w:w="1339" w:type="pct"/>
            <w:tcBorders>
              <w:top w:val="nil"/>
              <w:left w:val="nil"/>
              <w:bottom w:val="single" w:sz="4" w:space="0" w:color="auto"/>
              <w:right w:val="single" w:sz="8" w:space="0" w:color="auto"/>
            </w:tcBorders>
            <w:shd w:val="clear" w:color="auto" w:fill="auto"/>
            <w:noWrap/>
            <w:vAlign w:val="bottom"/>
            <w:hideMark/>
          </w:tcPr>
          <w:p w14:paraId="59DE5175" w14:textId="127CCBC8" w:rsidR="00064960" w:rsidRPr="00064960" w:rsidRDefault="00EF37BE" w:rsidP="00064960">
            <w:pPr>
              <w:spacing w:before="0" w:after="0" w:line="240" w:lineRule="auto"/>
              <w:jc w:val="left"/>
              <w:rPr>
                <w:rFonts w:eastAsia="Times New Roman" w:cs="Times New Roman"/>
                <w:color w:val="000000"/>
                <w:sz w:val="22"/>
                <w:lang w:eastAsia="en-IN"/>
              </w:rPr>
            </w:pPr>
            <w:r>
              <w:rPr>
                <w:rFonts w:eastAsia="Times New Roman" w:cs="Times New Roman"/>
                <w:color w:val="000000"/>
                <w:sz w:val="22"/>
                <w:lang w:eastAsia="en-IN"/>
              </w:rPr>
              <w:t>Unf</w:t>
            </w:r>
            <w:r w:rsidR="00064960" w:rsidRPr="00064960">
              <w:rPr>
                <w:rFonts w:eastAsia="Times New Roman" w:cs="Times New Roman"/>
                <w:color w:val="000000"/>
                <w:sz w:val="22"/>
                <w:lang w:eastAsia="en-IN"/>
              </w:rPr>
              <w:t>avourable</w:t>
            </w:r>
          </w:p>
        </w:tc>
      </w:tr>
      <w:tr w:rsidR="00064960" w:rsidRPr="00F749E8" w14:paraId="1E7F9A0A"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1897254F"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Overhead</w:t>
            </w:r>
          </w:p>
        </w:tc>
        <w:tc>
          <w:tcPr>
            <w:tcW w:w="669" w:type="pct"/>
            <w:tcBorders>
              <w:top w:val="nil"/>
              <w:left w:val="nil"/>
              <w:bottom w:val="single" w:sz="4" w:space="0" w:color="auto"/>
              <w:right w:val="single" w:sz="4" w:space="0" w:color="auto"/>
            </w:tcBorders>
            <w:shd w:val="clear" w:color="auto" w:fill="auto"/>
            <w:noWrap/>
            <w:vAlign w:val="bottom"/>
            <w:hideMark/>
          </w:tcPr>
          <w:p w14:paraId="797F0DE7"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150000</w:t>
            </w:r>
          </w:p>
        </w:tc>
        <w:tc>
          <w:tcPr>
            <w:tcW w:w="356" w:type="pct"/>
            <w:tcBorders>
              <w:top w:val="nil"/>
              <w:left w:val="nil"/>
              <w:bottom w:val="single" w:sz="4" w:space="0" w:color="auto"/>
              <w:right w:val="single" w:sz="4" w:space="0" w:color="auto"/>
            </w:tcBorders>
            <w:shd w:val="clear" w:color="auto" w:fill="auto"/>
            <w:noWrap/>
            <w:vAlign w:val="bottom"/>
            <w:hideMark/>
          </w:tcPr>
          <w:p w14:paraId="1A455EB1"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1.5</w:t>
            </w:r>
          </w:p>
        </w:tc>
        <w:tc>
          <w:tcPr>
            <w:tcW w:w="582" w:type="pct"/>
            <w:tcBorders>
              <w:top w:val="nil"/>
              <w:left w:val="nil"/>
              <w:bottom w:val="single" w:sz="4" w:space="0" w:color="auto"/>
              <w:right w:val="single" w:sz="4" w:space="0" w:color="auto"/>
            </w:tcBorders>
            <w:shd w:val="clear" w:color="auto" w:fill="auto"/>
            <w:noWrap/>
            <w:vAlign w:val="bottom"/>
            <w:hideMark/>
          </w:tcPr>
          <w:p w14:paraId="724E64DE"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120000</w:t>
            </w:r>
          </w:p>
        </w:tc>
        <w:tc>
          <w:tcPr>
            <w:tcW w:w="356" w:type="pct"/>
            <w:tcBorders>
              <w:top w:val="nil"/>
              <w:left w:val="nil"/>
              <w:bottom w:val="single" w:sz="4" w:space="0" w:color="auto"/>
              <w:right w:val="single" w:sz="4" w:space="0" w:color="auto"/>
            </w:tcBorders>
            <w:shd w:val="clear" w:color="auto" w:fill="auto"/>
            <w:noWrap/>
            <w:vAlign w:val="bottom"/>
            <w:hideMark/>
          </w:tcPr>
          <w:p w14:paraId="44809E2C"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1540CBD6"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-30000</w:t>
            </w:r>
          </w:p>
        </w:tc>
        <w:tc>
          <w:tcPr>
            <w:tcW w:w="1339" w:type="pct"/>
            <w:tcBorders>
              <w:top w:val="nil"/>
              <w:left w:val="nil"/>
              <w:bottom w:val="single" w:sz="4" w:space="0" w:color="auto"/>
              <w:right w:val="single" w:sz="8" w:space="0" w:color="auto"/>
            </w:tcBorders>
            <w:shd w:val="clear" w:color="auto" w:fill="auto"/>
            <w:noWrap/>
            <w:vAlign w:val="bottom"/>
            <w:hideMark/>
          </w:tcPr>
          <w:p w14:paraId="71D8A003" w14:textId="73911D8B" w:rsidR="00064960" w:rsidRPr="00064960" w:rsidRDefault="009F51F6" w:rsidP="00064960">
            <w:pPr>
              <w:spacing w:before="0" w:after="0" w:line="240" w:lineRule="auto"/>
              <w:jc w:val="left"/>
              <w:rPr>
                <w:rFonts w:eastAsia="Times New Roman" w:cs="Times New Roman"/>
                <w:color w:val="000000"/>
                <w:sz w:val="22"/>
                <w:lang w:eastAsia="en-IN"/>
              </w:rPr>
            </w:pPr>
            <w:r>
              <w:rPr>
                <w:rFonts w:eastAsia="Times New Roman" w:cs="Times New Roman"/>
                <w:color w:val="000000"/>
                <w:sz w:val="22"/>
                <w:lang w:eastAsia="en-IN"/>
              </w:rPr>
              <w:t>Favourable</w:t>
            </w:r>
          </w:p>
        </w:tc>
      </w:tr>
      <w:tr w:rsidR="00064960" w:rsidRPr="00F749E8" w14:paraId="66592551"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20452A5B"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Total Variable Cost A</w:t>
            </w:r>
          </w:p>
        </w:tc>
        <w:tc>
          <w:tcPr>
            <w:tcW w:w="669" w:type="pct"/>
            <w:tcBorders>
              <w:top w:val="nil"/>
              <w:left w:val="nil"/>
              <w:bottom w:val="single" w:sz="4" w:space="0" w:color="auto"/>
              <w:right w:val="single" w:sz="4" w:space="0" w:color="auto"/>
            </w:tcBorders>
            <w:shd w:val="clear" w:color="auto" w:fill="auto"/>
            <w:noWrap/>
            <w:vAlign w:val="bottom"/>
            <w:hideMark/>
          </w:tcPr>
          <w:p w14:paraId="1876ABCB" w14:textId="77777777" w:rsidR="00064960" w:rsidRPr="00064960" w:rsidRDefault="00064960" w:rsidP="00064960">
            <w:pPr>
              <w:spacing w:before="0" w:after="0" w:line="240" w:lineRule="auto"/>
              <w:jc w:val="right"/>
              <w:rPr>
                <w:rFonts w:eastAsia="Times New Roman" w:cs="Times New Roman"/>
                <w:b/>
                <w:bCs/>
                <w:color w:val="000000"/>
                <w:sz w:val="22"/>
                <w:lang w:eastAsia="en-IN"/>
              </w:rPr>
            </w:pPr>
            <w:r w:rsidRPr="00064960">
              <w:rPr>
                <w:rFonts w:eastAsia="Times New Roman" w:cs="Times New Roman"/>
                <w:b/>
                <w:bCs/>
                <w:color w:val="000000"/>
                <w:sz w:val="22"/>
                <w:lang w:eastAsia="en-IN"/>
              </w:rPr>
              <w:t>800000</w:t>
            </w:r>
          </w:p>
        </w:tc>
        <w:tc>
          <w:tcPr>
            <w:tcW w:w="356" w:type="pct"/>
            <w:tcBorders>
              <w:top w:val="nil"/>
              <w:left w:val="nil"/>
              <w:bottom w:val="single" w:sz="4" w:space="0" w:color="auto"/>
              <w:right w:val="single" w:sz="4" w:space="0" w:color="auto"/>
            </w:tcBorders>
            <w:shd w:val="clear" w:color="auto" w:fill="auto"/>
            <w:noWrap/>
            <w:vAlign w:val="bottom"/>
            <w:hideMark/>
          </w:tcPr>
          <w:p w14:paraId="1BA95035"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4976C357" w14:textId="77777777" w:rsidR="00064960" w:rsidRPr="00064960" w:rsidRDefault="00064960" w:rsidP="00064960">
            <w:pPr>
              <w:spacing w:before="0" w:after="0" w:line="240" w:lineRule="auto"/>
              <w:jc w:val="right"/>
              <w:rPr>
                <w:rFonts w:eastAsia="Times New Roman" w:cs="Times New Roman"/>
                <w:b/>
                <w:bCs/>
                <w:color w:val="000000"/>
                <w:sz w:val="22"/>
                <w:lang w:eastAsia="en-IN"/>
              </w:rPr>
            </w:pPr>
            <w:r w:rsidRPr="00064960">
              <w:rPr>
                <w:rFonts w:eastAsia="Times New Roman" w:cs="Times New Roman"/>
                <w:b/>
                <w:bCs/>
                <w:color w:val="000000"/>
                <w:sz w:val="22"/>
                <w:lang w:eastAsia="en-IN"/>
              </w:rPr>
              <w:t>840000</w:t>
            </w:r>
          </w:p>
        </w:tc>
        <w:tc>
          <w:tcPr>
            <w:tcW w:w="356" w:type="pct"/>
            <w:tcBorders>
              <w:top w:val="nil"/>
              <w:left w:val="nil"/>
              <w:bottom w:val="single" w:sz="4" w:space="0" w:color="auto"/>
              <w:right w:val="single" w:sz="4" w:space="0" w:color="auto"/>
            </w:tcBorders>
            <w:shd w:val="clear" w:color="auto" w:fill="auto"/>
            <w:noWrap/>
            <w:vAlign w:val="bottom"/>
            <w:hideMark/>
          </w:tcPr>
          <w:p w14:paraId="6C30C262"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259E2B61" w14:textId="77777777" w:rsidR="00064960" w:rsidRPr="00064960" w:rsidRDefault="00064960" w:rsidP="00064960">
            <w:pPr>
              <w:spacing w:before="0" w:after="0" w:line="240" w:lineRule="auto"/>
              <w:jc w:val="right"/>
              <w:rPr>
                <w:rFonts w:eastAsia="Times New Roman" w:cs="Times New Roman"/>
                <w:b/>
                <w:bCs/>
                <w:color w:val="000000"/>
                <w:sz w:val="22"/>
                <w:lang w:eastAsia="en-IN"/>
              </w:rPr>
            </w:pPr>
            <w:r w:rsidRPr="00064960">
              <w:rPr>
                <w:rFonts w:eastAsia="Times New Roman" w:cs="Times New Roman"/>
                <w:b/>
                <w:bCs/>
                <w:color w:val="000000"/>
                <w:sz w:val="22"/>
                <w:lang w:eastAsia="en-IN"/>
              </w:rPr>
              <w:t>40000</w:t>
            </w:r>
          </w:p>
        </w:tc>
        <w:tc>
          <w:tcPr>
            <w:tcW w:w="1339" w:type="pct"/>
            <w:tcBorders>
              <w:top w:val="nil"/>
              <w:left w:val="nil"/>
              <w:bottom w:val="single" w:sz="4" w:space="0" w:color="auto"/>
              <w:right w:val="single" w:sz="8" w:space="0" w:color="auto"/>
            </w:tcBorders>
            <w:shd w:val="clear" w:color="auto" w:fill="auto"/>
            <w:noWrap/>
            <w:vAlign w:val="bottom"/>
            <w:hideMark/>
          </w:tcPr>
          <w:p w14:paraId="3FF2F2CB" w14:textId="6F00AEF7" w:rsidR="00064960" w:rsidRPr="00064960" w:rsidRDefault="00EF37BE" w:rsidP="00064960">
            <w:pPr>
              <w:spacing w:before="0" w:after="0" w:line="240" w:lineRule="auto"/>
              <w:jc w:val="left"/>
              <w:rPr>
                <w:rFonts w:eastAsia="Times New Roman" w:cs="Times New Roman"/>
                <w:color w:val="000000"/>
                <w:sz w:val="22"/>
                <w:lang w:eastAsia="en-IN"/>
              </w:rPr>
            </w:pPr>
            <w:r>
              <w:rPr>
                <w:rFonts w:eastAsia="Times New Roman" w:cs="Times New Roman"/>
                <w:color w:val="000000"/>
                <w:sz w:val="22"/>
                <w:lang w:eastAsia="en-IN"/>
              </w:rPr>
              <w:t>Unf</w:t>
            </w:r>
            <w:r w:rsidR="00064960" w:rsidRPr="00064960">
              <w:rPr>
                <w:rFonts w:eastAsia="Times New Roman" w:cs="Times New Roman"/>
                <w:color w:val="000000"/>
                <w:sz w:val="22"/>
                <w:lang w:eastAsia="en-IN"/>
              </w:rPr>
              <w:t>avourable</w:t>
            </w:r>
          </w:p>
        </w:tc>
      </w:tr>
      <w:tr w:rsidR="00064960" w:rsidRPr="00F749E8" w14:paraId="41A46F1B"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04F990E3"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Contribution B</w:t>
            </w:r>
          </w:p>
        </w:tc>
        <w:tc>
          <w:tcPr>
            <w:tcW w:w="669" w:type="pct"/>
            <w:tcBorders>
              <w:top w:val="nil"/>
              <w:left w:val="nil"/>
              <w:bottom w:val="single" w:sz="4" w:space="0" w:color="auto"/>
              <w:right w:val="single" w:sz="4" w:space="0" w:color="auto"/>
            </w:tcBorders>
            <w:shd w:val="clear" w:color="auto" w:fill="auto"/>
            <w:noWrap/>
            <w:vAlign w:val="bottom"/>
            <w:hideMark/>
          </w:tcPr>
          <w:p w14:paraId="7537FCA0"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1700000</w:t>
            </w:r>
          </w:p>
        </w:tc>
        <w:tc>
          <w:tcPr>
            <w:tcW w:w="356" w:type="pct"/>
            <w:tcBorders>
              <w:top w:val="nil"/>
              <w:left w:val="nil"/>
              <w:bottom w:val="single" w:sz="4" w:space="0" w:color="auto"/>
              <w:right w:val="single" w:sz="4" w:space="0" w:color="auto"/>
            </w:tcBorders>
            <w:shd w:val="clear" w:color="auto" w:fill="auto"/>
            <w:noWrap/>
            <w:vAlign w:val="bottom"/>
            <w:hideMark/>
          </w:tcPr>
          <w:p w14:paraId="7FE36DBF"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52F640AE"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760000</w:t>
            </w:r>
          </w:p>
        </w:tc>
        <w:tc>
          <w:tcPr>
            <w:tcW w:w="356" w:type="pct"/>
            <w:tcBorders>
              <w:top w:val="nil"/>
              <w:left w:val="nil"/>
              <w:bottom w:val="single" w:sz="4" w:space="0" w:color="auto"/>
              <w:right w:val="single" w:sz="4" w:space="0" w:color="auto"/>
            </w:tcBorders>
            <w:shd w:val="clear" w:color="auto" w:fill="auto"/>
            <w:noWrap/>
            <w:vAlign w:val="bottom"/>
            <w:hideMark/>
          </w:tcPr>
          <w:p w14:paraId="4C1C3CA2"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724F027E"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-940000</w:t>
            </w:r>
          </w:p>
        </w:tc>
        <w:tc>
          <w:tcPr>
            <w:tcW w:w="1339" w:type="pct"/>
            <w:tcBorders>
              <w:top w:val="nil"/>
              <w:left w:val="nil"/>
              <w:bottom w:val="single" w:sz="4" w:space="0" w:color="auto"/>
              <w:right w:val="single" w:sz="8" w:space="0" w:color="auto"/>
            </w:tcBorders>
            <w:shd w:val="clear" w:color="auto" w:fill="auto"/>
            <w:noWrap/>
            <w:vAlign w:val="bottom"/>
            <w:hideMark/>
          </w:tcPr>
          <w:p w14:paraId="5C1F8E56"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Unfavourable</w:t>
            </w:r>
          </w:p>
        </w:tc>
      </w:tr>
      <w:tr w:rsidR="00064960" w:rsidRPr="00F749E8" w14:paraId="61817504"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5C472DEE"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669" w:type="pct"/>
            <w:tcBorders>
              <w:top w:val="nil"/>
              <w:left w:val="nil"/>
              <w:bottom w:val="single" w:sz="4" w:space="0" w:color="auto"/>
              <w:right w:val="single" w:sz="4" w:space="0" w:color="auto"/>
            </w:tcBorders>
            <w:shd w:val="clear" w:color="auto" w:fill="auto"/>
            <w:noWrap/>
            <w:vAlign w:val="bottom"/>
            <w:hideMark/>
          </w:tcPr>
          <w:p w14:paraId="31B9FC79"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356" w:type="pct"/>
            <w:tcBorders>
              <w:top w:val="nil"/>
              <w:left w:val="nil"/>
              <w:bottom w:val="single" w:sz="4" w:space="0" w:color="auto"/>
              <w:right w:val="single" w:sz="4" w:space="0" w:color="auto"/>
            </w:tcBorders>
            <w:shd w:val="clear" w:color="auto" w:fill="auto"/>
            <w:noWrap/>
            <w:vAlign w:val="bottom"/>
            <w:hideMark/>
          </w:tcPr>
          <w:p w14:paraId="47176ED8"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690439D8"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356" w:type="pct"/>
            <w:tcBorders>
              <w:top w:val="nil"/>
              <w:left w:val="nil"/>
              <w:bottom w:val="single" w:sz="4" w:space="0" w:color="auto"/>
              <w:right w:val="single" w:sz="4" w:space="0" w:color="auto"/>
            </w:tcBorders>
            <w:shd w:val="clear" w:color="auto" w:fill="auto"/>
            <w:noWrap/>
            <w:vAlign w:val="bottom"/>
            <w:hideMark/>
          </w:tcPr>
          <w:p w14:paraId="622C0A74"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4E99EF10"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1339" w:type="pct"/>
            <w:tcBorders>
              <w:top w:val="nil"/>
              <w:left w:val="nil"/>
              <w:bottom w:val="single" w:sz="4" w:space="0" w:color="auto"/>
              <w:right w:val="single" w:sz="8" w:space="0" w:color="auto"/>
            </w:tcBorders>
            <w:shd w:val="clear" w:color="auto" w:fill="auto"/>
            <w:noWrap/>
            <w:vAlign w:val="bottom"/>
            <w:hideMark/>
          </w:tcPr>
          <w:p w14:paraId="02751A60"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r>
      <w:tr w:rsidR="00064960" w:rsidRPr="00F749E8" w14:paraId="651A4C9A"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3E7317BC"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Fixed Overheads:</w:t>
            </w:r>
          </w:p>
        </w:tc>
        <w:tc>
          <w:tcPr>
            <w:tcW w:w="669" w:type="pct"/>
            <w:tcBorders>
              <w:top w:val="nil"/>
              <w:left w:val="nil"/>
              <w:bottom w:val="single" w:sz="4" w:space="0" w:color="auto"/>
              <w:right w:val="single" w:sz="4" w:space="0" w:color="auto"/>
            </w:tcBorders>
            <w:shd w:val="clear" w:color="auto" w:fill="auto"/>
            <w:noWrap/>
            <w:vAlign w:val="bottom"/>
            <w:hideMark/>
          </w:tcPr>
          <w:p w14:paraId="60626CC0"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356" w:type="pct"/>
            <w:tcBorders>
              <w:top w:val="nil"/>
              <w:left w:val="nil"/>
              <w:bottom w:val="single" w:sz="4" w:space="0" w:color="auto"/>
              <w:right w:val="single" w:sz="4" w:space="0" w:color="auto"/>
            </w:tcBorders>
            <w:shd w:val="clear" w:color="auto" w:fill="auto"/>
            <w:noWrap/>
            <w:vAlign w:val="bottom"/>
            <w:hideMark/>
          </w:tcPr>
          <w:p w14:paraId="3AF2D958"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1188C569"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356" w:type="pct"/>
            <w:tcBorders>
              <w:top w:val="nil"/>
              <w:left w:val="nil"/>
              <w:bottom w:val="single" w:sz="4" w:space="0" w:color="auto"/>
              <w:right w:val="single" w:sz="4" w:space="0" w:color="auto"/>
            </w:tcBorders>
            <w:shd w:val="clear" w:color="auto" w:fill="auto"/>
            <w:noWrap/>
            <w:vAlign w:val="bottom"/>
            <w:hideMark/>
          </w:tcPr>
          <w:p w14:paraId="470A08B6"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66FD1777"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1339" w:type="pct"/>
            <w:tcBorders>
              <w:top w:val="nil"/>
              <w:left w:val="nil"/>
              <w:bottom w:val="single" w:sz="4" w:space="0" w:color="auto"/>
              <w:right w:val="single" w:sz="8" w:space="0" w:color="auto"/>
            </w:tcBorders>
            <w:shd w:val="clear" w:color="auto" w:fill="auto"/>
            <w:noWrap/>
            <w:vAlign w:val="bottom"/>
            <w:hideMark/>
          </w:tcPr>
          <w:p w14:paraId="167A18E8"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r>
      <w:tr w:rsidR="00064960" w:rsidRPr="00F749E8" w14:paraId="57F61598"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3CF9A55C"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Warehouse rental</w:t>
            </w:r>
          </w:p>
        </w:tc>
        <w:tc>
          <w:tcPr>
            <w:tcW w:w="669" w:type="pct"/>
            <w:tcBorders>
              <w:top w:val="nil"/>
              <w:left w:val="nil"/>
              <w:bottom w:val="single" w:sz="4" w:space="0" w:color="auto"/>
              <w:right w:val="single" w:sz="4" w:space="0" w:color="auto"/>
            </w:tcBorders>
            <w:shd w:val="clear" w:color="auto" w:fill="auto"/>
            <w:noWrap/>
            <w:vAlign w:val="bottom"/>
            <w:hideMark/>
          </w:tcPr>
          <w:p w14:paraId="50498619"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200000</w:t>
            </w:r>
          </w:p>
        </w:tc>
        <w:tc>
          <w:tcPr>
            <w:tcW w:w="356" w:type="pct"/>
            <w:tcBorders>
              <w:top w:val="nil"/>
              <w:left w:val="nil"/>
              <w:bottom w:val="single" w:sz="4" w:space="0" w:color="auto"/>
              <w:right w:val="single" w:sz="4" w:space="0" w:color="auto"/>
            </w:tcBorders>
            <w:shd w:val="clear" w:color="auto" w:fill="auto"/>
            <w:noWrap/>
            <w:vAlign w:val="bottom"/>
            <w:hideMark/>
          </w:tcPr>
          <w:p w14:paraId="2FAA5875"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35103F25"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170000</w:t>
            </w:r>
          </w:p>
        </w:tc>
        <w:tc>
          <w:tcPr>
            <w:tcW w:w="356" w:type="pct"/>
            <w:tcBorders>
              <w:top w:val="nil"/>
              <w:left w:val="nil"/>
              <w:bottom w:val="single" w:sz="4" w:space="0" w:color="auto"/>
              <w:right w:val="single" w:sz="4" w:space="0" w:color="auto"/>
            </w:tcBorders>
            <w:shd w:val="clear" w:color="auto" w:fill="auto"/>
            <w:noWrap/>
            <w:vAlign w:val="bottom"/>
            <w:hideMark/>
          </w:tcPr>
          <w:p w14:paraId="4B534296"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542E4DA8"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-30000</w:t>
            </w:r>
          </w:p>
        </w:tc>
        <w:tc>
          <w:tcPr>
            <w:tcW w:w="1339" w:type="pct"/>
            <w:tcBorders>
              <w:top w:val="nil"/>
              <w:left w:val="nil"/>
              <w:bottom w:val="single" w:sz="4" w:space="0" w:color="auto"/>
              <w:right w:val="single" w:sz="8" w:space="0" w:color="auto"/>
            </w:tcBorders>
            <w:shd w:val="clear" w:color="auto" w:fill="auto"/>
            <w:noWrap/>
            <w:vAlign w:val="bottom"/>
            <w:hideMark/>
          </w:tcPr>
          <w:p w14:paraId="0F6605B8" w14:textId="41DF8676" w:rsidR="00064960" w:rsidRPr="00064960" w:rsidRDefault="00EF37BE" w:rsidP="00064960">
            <w:pPr>
              <w:spacing w:before="0" w:after="0" w:line="240" w:lineRule="auto"/>
              <w:jc w:val="left"/>
              <w:rPr>
                <w:rFonts w:eastAsia="Times New Roman" w:cs="Times New Roman"/>
                <w:color w:val="000000"/>
                <w:sz w:val="22"/>
                <w:lang w:eastAsia="en-IN"/>
              </w:rPr>
            </w:pPr>
            <w:r>
              <w:rPr>
                <w:rFonts w:eastAsia="Times New Roman" w:cs="Times New Roman"/>
                <w:color w:val="000000"/>
                <w:sz w:val="22"/>
                <w:lang w:eastAsia="en-IN"/>
              </w:rPr>
              <w:t>F</w:t>
            </w:r>
            <w:r w:rsidR="00064960" w:rsidRPr="00064960">
              <w:rPr>
                <w:rFonts w:eastAsia="Times New Roman" w:cs="Times New Roman"/>
                <w:color w:val="000000"/>
                <w:sz w:val="22"/>
                <w:lang w:eastAsia="en-IN"/>
              </w:rPr>
              <w:t>avourable</w:t>
            </w:r>
          </w:p>
        </w:tc>
      </w:tr>
      <w:tr w:rsidR="00064960" w:rsidRPr="00F749E8" w14:paraId="3CA5F9A5"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16A75970"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Insurance</w:t>
            </w:r>
          </w:p>
        </w:tc>
        <w:tc>
          <w:tcPr>
            <w:tcW w:w="669" w:type="pct"/>
            <w:tcBorders>
              <w:top w:val="nil"/>
              <w:left w:val="nil"/>
              <w:bottom w:val="single" w:sz="4" w:space="0" w:color="auto"/>
              <w:right w:val="single" w:sz="4" w:space="0" w:color="auto"/>
            </w:tcBorders>
            <w:shd w:val="clear" w:color="auto" w:fill="auto"/>
            <w:noWrap/>
            <w:vAlign w:val="bottom"/>
            <w:hideMark/>
          </w:tcPr>
          <w:p w14:paraId="2D1EE2C6"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100000</w:t>
            </w:r>
          </w:p>
        </w:tc>
        <w:tc>
          <w:tcPr>
            <w:tcW w:w="356" w:type="pct"/>
            <w:tcBorders>
              <w:top w:val="nil"/>
              <w:left w:val="nil"/>
              <w:bottom w:val="single" w:sz="4" w:space="0" w:color="auto"/>
              <w:right w:val="single" w:sz="4" w:space="0" w:color="auto"/>
            </w:tcBorders>
            <w:shd w:val="clear" w:color="auto" w:fill="auto"/>
            <w:noWrap/>
            <w:vAlign w:val="bottom"/>
            <w:hideMark/>
          </w:tcPr>
          <w:p w14:paraId="14EE8B8B"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1E6BFD29"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100000</w:t>
            </w:r>
          </w:p>
        </w:tc>
        <w:tc>
          <w:tcPr>
            <w:tcW w:w="356" w:type="pct"/>
            <w:tcBorders>
              <w:top w:val="nil"/>
              <w:left w:val="nil"/>
              <w:bottom w:val="single" w:sz="4" w:space="0" w:color="auto"/>
              <w:right w:val="single" w:sz="4" w:space="0" w:color="auto"/>
            </w:tcBorders>
            <w:shd w:val="clear" w:color="auto" w:fill="auto"/>
            <w:noWrap/>
            <w:vAlign w:val="bottom"/>
            <w:hideMark/>
          </w:tcPr>
          <w:p w14:paraId="2FDBC112"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1C8AABB4"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0</w:t>
            </w:r>
          </w:p>
        </w:tc>
        <w:tc>
          <w:tcPr>
            <w:tcW w:w="1339" w:type="pct"/>
            <w:tcBorders>
              <w:top w:val="nil"/>
              <w:left w:val="nil"/>
              <w:bottom w:val="single" w:sz="4" w:space="0" w:color="auto"/>
              <w:right w:val="single" w:sz="8" w:space="0" w:color="auto"/>
            </w:tcBorders>
            <w:shd w:val="clear" w:color="auto" w:fill="auto"/>
            <w:noWrap/>
            <w:vAlign w:val="bottom"/>
            <w:hideMark/>
          </w:tcPr>
          <w:p w14:paraId="0EE9DBE8" w14:textId="492AA0A8"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r w:rsidR="00EF37BE">
              <w:rPr>
                <w:rFonts w:eastAsia="Times New Roman" w:cs="Times New Roman"/>
                <w:color w:val="000000"/>
                <w:sz w:val="22"/>
                <w:lang w:eastAsia="en-IN"/>
              </w:rPr>
              <w:t>No effect</w:t>
            </w:r>
          </w:p>
        </w:tc>
      </w:tr>
      <w:tr w:rsidR="00064960" w:rsidRPr="00F749E8" w14:paraId="5EBA752E"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466708C8"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Salary</w:t>
            </w:r>
          </w:p>
        </w:tc>
        <w:tc>
          <w:tcPr>
            <w:tcW w:w="669" w:type="pct"/>
            <w:tcBorders>
              <w:top w:val="nil"/>
              <w:left w:val="nil"/>
              <w:bottom w:val="single" w:sz="4" w:space="0" w:color="auto"/>
              <w:right w:val="single" w:sz="4" w:space="0" w:color="auto"/>
            </w:tcBorders>
            <w:shd w:val="clear" w:color="auto" w:fill="auto"/>
            <w:noWrap/>
            <w:vAlign w:val="bottom"/>
            <w:hideMark/>
          </w:tcPr>
          <w:p w14:paraId="79C8B253"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50000</w:t>
            </w:r>
          </w:p>
        </w:tc>
        <w:tc>
          <w:tcPr>
            <w:tcW w:w="356" w:type="pct"/>
            <w:tcBorders>
              <w:top w:val="nil"/>
              <w:left w:val="nil"/>
              <w:bottom w:val="single" w:sz="4" w:space="0" w:color="auto"/>
              <w:right w:val="single" w:sz="4" w:space="0" w:color="auto"/>
            </w:tcBorders>
            <w:shd w:val="clear" w:color="auto" w:fill="auto"/>
            <w:noWrap/>
            <w:vAlign w:val="bottom"/>
            <w:hideMark/>
          </w:tcPr>
          <w:p w14:paraId="236E19E8"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51E4A795"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35000</w:t>
            </w:r>
          </w:p>
        </w:tc>
        <w:tc>
          <w:tcPr>
            <w:tcW w:w="356" w:type="pct"/>
            <w:tcBorders>
              <w:top w:val="nil"/>
              <w:left w:val="nil"/>
              <w:bottom w:val="single" w:sz="4" w:space="0" w:color="auto"/>
              <w:right w:val="single" w:sz="4" w:space="0" w:color="auto"/>
            </w:tcBorders>
            <w:shd w:val="clear" w:color="auto" w:fill="auto"/>
            <w:noWrap/>
            <w:vAlign w:val="bottom"/>
            <w:hideMark/>
          </w:tcPr>
          <w:p w14:paraId="4BFDD1D9"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6368600D" w14:textId="77777777" w:rsidR="00064960" w:rsidRPr="00064960" w:rsidRDefault="00064960" w:rsidP="00064960">
            <w:pPr>
              <w:spacing w:before="0" w:after="0" w:line="240" w:lineRule="auto"/>
              <w:jc w:val="right"/>
              <w:rPr>
                <w:rFonts w:eastAsia="Times New Roman" w:cs="Times New Roman"/>
                <w:color w:val="000000"/>
                <w:sz w:val="22"/>
                <w:lang w:eastAsia="en-IN"/>
              </w:rPr>
            </w:pPr>
            <w:r w:rsidRPr="00064960">
              <w:rPr>
                <w:rFonts w:eastAsia="Times New Roman" w:cs="Times New Roman"/>
                <w:color w:val="000000"/>
                <w:sz w:val="22"/>
                <w:lang w:eastAsia="en-IN"/>
              </w:rPr>
              <w:t>-15000</w:t>
            </w:r>
          </w:p>
        </w:tc>
        <w:tc>
          <w:tcPr>
            <w:tcW w:w="1339" w:type="pct"/>
            <w:tcBorders>
              <w:top w:val="nil"/>
              <w:left w:val="nil"/>
              <w:bottom w:val="single" w:sz="4" w:space="0" w:color="auto"/>
              <w:right w:val="single" w:sz="8" w:space="0" w:color="auto"/>
            </w:tcBorders>
            <w:shd w:val="clear" w:color="auto" w:fill="auto"/>
            <w:noWrap/>
            <w:vAlign w:val="bottom"/>
            <w:hideMark/>
          </w:tcPr>
          <w:p w14:paraId="3639B3FB" w14:textId="7EADE42A" w:rsidR="00064960" w:rsidRPr="00064960" w:rsidRDefault="00EF37BE" w:rsidP="00064960">
            <w:pPr>
              <w:spacing w:before="0" w:after="0" w:line="240" w:lineRule="auto"/>
              <w:jc w:val="left"/>
              <w:rPr>
                <w:rFonts w:eastAsia="Times New Roman" w:cs="Times New Roman"/>
                <w:color w:val="000000"/>
                <w:sz w:val="22"/>
                <w:lang w:eastAsia="en-IN"/>
              </w:rPr>
            </w:pPr>
            <w:r>
              <w:rPr>
                <w:rFonts w:eastAsia="Times New Roman" w:cs="Times New Roman"/>
                <w:color w:val="000000"/>
                <w:sz w:val="22"/>
                <w:lang w:eastAsia="en-IN"/>
              </w:rPr>
              <w:t>F</w:t>
            </w:r>
            <w:r w:rsidR="00064960" w:rsidRPr="00064960">
              <w:rPr>
                <w:rFonts w:eastAsia="Times New Roman" w:cs="Times New Roman"/>
                <w:color w:val="000000"/>
                <w:sz w:val="22"/>
                <w:lang w:eastAsia="en-IN"/>
              </w:rPr>
              <w:t>avourable</w:t>
            </w:r>
          </w:p>
        </w:tc>
      </w:tr>
      <w:tr w:rsidR="00064960" w:rsidRPr="00F749E8" w14:paraId="2AED2A35" w14:textId="77777777" w:rsidTr="00F749E8">
        <w:trPr>
          <w:trHeight w:val="295"/>
        </w:trPr>
        <w:tc>
          <w:tcPr>
            <w:tcW w:w="1156" w:type="pct"/>
            <w:tcBorders>
              <w:top w:val="nil"/>
              <w:left w:val="single" w:sz="8" w:space="0" w:color="auto"/>
              <w:bottom w:val="single" w:sz="4" w:space="0" w:color="auto"/>
              <w:right w:val="single" w:sz="4" w:space="0" w:color="auto"/>
            </w:tcBorders>
            <w:shd w:val="clear" w:color="auto" w:fill="auto"/>
            <w:noWrap/>
            <w:vAlign w:val="bottom"/>
            <w:hideMark/>
          </w:tcPr>
          <w:p w14:paraId="322E4D1D" w14:textId="77777777" w:rsidR="00064960" w:rsidRPr="00064960" w:rsidRDefault="00064960" w:rsidP="00064960">
            <w:pPr>
              <w:spacing w:before="0" w:after="0" w:line="240" w:lineRule="auto"/>
              <w:jc w:val="left"/>
              <w:rPr>
                <w:rFonts w:eastAsia="Times New Roman" w:cs="Times New Roman"/>
                <w:b/>
                <w:bCs/>
                <w:color w:val="000000"/>
                <w:sz w:val="22"/>
                <w:lang w:eastAsia="en-IN"/>
              </w:rPr>
            </w:pPr>
            <w:r w:rsidRPr="00064960">
              <w:rPr>
                <w:rFonts w:eastAsia="Times New Roman" w:cs="Times New Roman"/>
                <w:b/>
                <w:bCs/>
                <w:color w:val="000000"/>
                <w:sz w:val="22"/>
                <w:lang w:eastAsia="en-IN"/>
              </w:rPr>
              <w:t>Total Fixed Cost C</w:t>
            </w:r>
          </w:p>
        </w:tc>
        <w:tc>
          <w:tcPr>
            <w:tcW w:w="669" w:type="pct"/>
            <w:tcBorders>
              <w:top w:val="nil"/>
              <w:left w:val="nil"/>
              <w:bottom w:val="single" w:sz="4" w:space="0" w:color="auto"/>
              <w:right w:val="single" w:sz="4" w:space="0" w:color="auto"/>
            </w:tcBorders>
            <w:shd w:val="clear" w:color="auto" w:fill="auto"/>
            <w:noWrap/>
            <w:vAlign w:val="bottom"/>
            <w:hideMark/>
          </w:tcPr>
          <w:p w14:paraId="35511E7D" w14:textId="77777777" w:rsidR="00064960" w:rsidRPr="00064960" w:rsidRDefault="00064960" w:rsidP="00064960">
            <w:pPr>
              <w:spacing w:before="0" w:after="0" w:line="240" w:lineRule="auto"/>
              <w:jc w:val="right"/>
              <w:rPr>
                <w:rFonts w:eastAsia="Times New Roman" w:cs="Times New Roman"/>
                <w:b/>
                <w:bCs/>
                <w:color w:val="000000"/>
                <w:sz w:val="22"/>
                <w:lang w:eastAsia="en-IN"/>
              </w:rPr>
            </w:pPr>
            <w:r w:rsidRPr="00064960">
              <w:rPr>
                <w:rFonts w:eastAsia="Times New Roman" w:cs="Times New Roman"/>
                <w:b/>
                <w:bCs/>
                <w:color w:val="000000"/>
                <w:sz w:val="22"/>
                <w:lang w:eastAsia="en-IN"/>
              </w:rPr>
              <w:t>350000</w:t>
            </w:r>
          </w:p>
        </w:tc>
        <w:tc>
          <w:tcPr>
            <w:tcW w:w="356" w:type="pct"/>
            <w:tcBorders>
              <w:top w:val="nil"/>
              <w:left w:val="nil"/>
              <w:bottom w:val="single" w:sz="4" w:space="0" w:color="auto"/>
              <w:right w:val="single" w:sz="4" w:space="0" w:color="auto"/>
            </w:tcBorders>
            <w:shd w:val="clear" w:color="auto" w:fill="auto"/>
            <w:noWrap/>
            <w:vAlign w:val="bottom"/>
            <w:hideMark/>
          </w:tcPr>
          <w:p w14:paraId="040B69CB"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4" w:space="0" w:color="auto"/>
              <w:right w:val="single" w:sz="4" w:space="0" w:color="auto"/>
            </w:tcBorders>
            <w:shd w:val="clear" w:color="auto" w:fill="auto"/>
            <w:noWrap/>
            <w:vAlign w:val="bottom"/>
            <w:hideMark/>
          </w:tcPr>
          <w:p w14:paraId="44E6560E" w14:textId="77777777" w:rsidR="00064960" w:rsidRPr="00064960" w:rsidRDefault="00064960" w:rsidP="00064960">
            <w:pPr>
              <w:spacing w:before="0" w:after="0" w:line="240" w:lineRule="auto"/>
              <w:jc w:val="right"/>
              <w:rPr>
                <w:rFonts w:eastAsia="Times New Roman" w:cs="Times New Roman"/>
                <w:b/>
                <w:bCs/>
                <w:color w:val="000000"/>
                <w:sz w:val="22"/>
                <w:lang w:eastAsia="en-IN"/>
              </w:rPr>
            </w:pPr>
            <w:r w:rsidRPr="00064960">
              <w:rPr>
                <w:rFonts w:eastAsia="Times New Roman" w:cs="Times New Roman"/>
                <w:b/>
                <w:bCs/>
                <w:color w:val="000000"/>
                <w:sz w:val="22"/>
                <w:lang w:eastAsia="en-IN"/>
              </w:rPr>
              <w:t>305000</w:t>
            </w:r>
          </w:p>
        </w:tc>
        <w:tc>
          <w:tcPr>
            <w:tcW w:w="356" w:type="pct"/>
            <w:tcBorders>
              <w:top w:val="nil"/>
              <w:left w:val="nil"/>
              <w:bottom w:val="single" w:sz="4" w:space="0" w:color="auto"/>
              <w:right w:val="single" w:sz="4" w:space="0" w:color="auto"/>
            </w:tcBorders>
            <w:shd w:val="clear" w:color="auto" w:fill="auto"/>
            <w:noWrap/>
            <w:vAlign w:val="bottom"/>
            <w:hideMark/>
          </w:tcPr>
          <w:p w14:paraId="53803199"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4" w:space="0" w:color="auto"/>
              <w:right w:val="single" w:sz="4" w:space="0" w:color="auto"/>
            </w:tcBorders>
            <w:shd w:val="clear" w:color="auto" w:fill="auto"/>
            <w:noWrap/>
            <w:vAlign w:val="bottom"/>
            <w:hideMark/>
          </w:tcPr>
          <w:p w14:paraId="77FBA49A" w14:textId="77777777" w:rsidR="00064960" w:rsidRPr="00064960" w:rsidRDefault="00064960" w:rsidP="00064960">
            <w:pPr>
              <w:spacing w:before="0" w:after="0" w:line="240" w:lineRule="auto"/>
              <w:jc w:val="right"/>
              <w:rPr>
                <w:rFonts w:eastAsia="Times New Roman" w:cs="Times New Roman"/>
                <w:b/>
                <w:bCs/>
                <w:color w:val="000000"/>
                <w:sz w:val="22"/>
                <w:lang w:eastAsia="en-IN"/>
              </w:rPr>
            </w:pPr>
            <w:r w:rsidRPr="00064960">
              <w:rPr>
                <w:rFonts w:eastAsia="Times New Roman" w:cs="Times New Roman"/>
                <w:b/>
                <w:bCs/>
                <w:color w:val="000000"/>
                <w:sz w:val="22"/>
                <w:lang w:eastAsia="en-IN"/>
              </w:rPr>
              <w:t>-45000</w:t>
            </w:r>
          </w:p>
        </w:tc>
        <w:tc>
          <w:tcPr>
            <w:tcW w:w="1339" w:type="pct"/>
            <w:tcBorders>
              <w:top w:val="nil"/>
              <w:left w:val="nil"/>
              <w:bottom w:val="single" w:sz="4" w:space="0" w:color="auto"/>
              <w:right w:val="single" w:sz="8" w:space="0" w:color="auto"/>
            </w:tcBorders>
            <w:shd w:val="clear" w:color="auto" w:fill="auto"/>
            <w:noWrap/>
            <w:vAlign w:val="bottom"/>
            <w:hideMark/>
          </w:tcPr>
          <w:p w14:paraId="0BE6A8FA" w14:textId="7A2128CD" w:rsidR="00064960" w:rsidRPr="00064960" w:rsidRDefault="007C229C" w:rsidP="00064960">
            <w:pPr>
              <w:spacing w:before="0" w:after="0" w:line="240" w:lineRule="auto"/>
              <w:jc w:val="left"/>
              <w:rPr>
                <w:rFonts w:eastAsia="Times New Roman" w:cs="Times New Roman"/>
                <w:color w:val="000000"/>
                <w:sz w:val="22"/>
                <w:lang w:eastAsia="en-IN"/>
              </w:rPr>
            </w:pPr>
            <w:r>
              <w:rPr>
                <w:rFonts w:eastAsia="Times New Roman" w:cs="Times New Roman"/>
                <w:color w:val="000000"/>
                <w:sz w:val="22"/>
                <w:lang w:eastAsia="en-IN"/>
              </w:rPr>
              <w:t>F</w:t>
            </w:r>
            <w:r w:rsidR="00064960" w:rsidRPr="00064960">
              <w:rPr>
                <w:rFonts w:eastAsia="Times New Roman" w:cs="Times New Roman"/>
                <w:color w:val="000000"/>
                <w:sz w:val="22"/>
                <w:lang w:eastAsia="en-IN"/>
              </w:rPr>
              <w:t>avourable</w:t>
            </w:r>
          </w:p>
        </w:tc>
      </w:tr>
      <w:tr w:rsidR="00064960" w:rsidRPr="00F749E8" w14:paraId="78E2940D" w14:textId="77777777" w:rsidTr="00F749E8">
        <w:trPr>
          <w:trHeight w:val="307"/>
        </w:trPr>
        <w:tc>
          <w:tcPr>
            <w:tcW w:w="1156" w:type="pct"/>
            <w:tcBorders>
              <w:top w:val="nil"/>
              <w:left w:val="single" w:sz="8" w:space="0" w:color="auto"/>
              <w:bottom w:val="single" w:sz="8" w:space="0" w:color="auto"/>
              <w:right w:val="single" w:sz="4" w:space="0" w:color="auto"/>
            </w:tcBorders>
            <w:shd w:val="clear" w:color="auto" w:fill="auto"/>
            <w:noWrap/>
            <w:vAlign w:val="bottom"/>
            <w:hideMark/>
          </w:tcPr>
          <w:p w14:paraId="6778ED3F"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Operating Income B-C</w:t>
            </w:r>
          </w:p>
        </w:tc>
        <w:tc>
          <w:tcPr>
            <w:tcW w:w="669" w:type="pct"/>
            <w:tcBorders>
              <w:top w:val="nil"/>
              <w:left w:val="nil"/>
              <w:bottom w:val="single" w:sz="8" w:space="0" w:color="auto"/>
              <w:right w:val="single" w:sz="4" w:space="0" w:color="auto"/>
            </w:tcBorders>
            <w:shd w:val="clear" w:color="auto" w:fill="auto"/>
            <w:noWrap/>
            <w:vAlign w:val="bottom"/>
            <w:hideMark/>
          </w:tcPr>
          <w:p w14:paraId="25327A5B" w14:textId="77777777" w:rsidR="00064960" w:rsidRPr="00064960" w:rsidRDefault="00064960" w:rsidP="00064960">
            <w:pPr>
              <w:spacing w:before="0" w:after="0" w:line="240" w:lineRule="auto"/>
              <w:jc w:val="right"/>
              <w:rPr>
                <w:rFonts w:eastAsia="Times New Roman" w:cs="Times New Roman"/>
                <w:b/>
                <w:bCs/>
                <w:color w:val="000000"/>
                <w:sz w:val="22"/>
                <w:lang w:eastAsia="en-IN"/>
              </w:rPr>
            </w:pPr>
            <w:r w:rsidRPr="00064960">
              <w:rPr>
                <w:rFonts w:eastAsia="Times New Roman" w:cs="Times New Roman"/>
                <w:b/>
                <w:bCs/>
                <w:color w:val="000000"/>
                <w:sz w:val="22"/>
                <w:lang w:eastAsia="en-IN"/>
              </w:rPr>
              <w:t>1350000</w:t>
            </w:r>
          </w:p>
        </w:tc>
        <w:tc>
          <w:tcPr>
            <w:tcW w:w="356" w:type="pct"/>
            <w:tcBorders>
              <w:top w:val="nil"/>
              <w:left w:val="nil"/>
              <w:bottom w:val="single" w:sz="8" w:space="0" w:color="auto"/>
              <w:right w:val="single" w:sz="4" w:space="0" w:color="auto"/>
            </w:tcBorders>
            <w:shd w:val="clear" w:color="auto" w:fill="auto"/>
            <w:noWrap/>
            <w:vAlign w:val="bottom"/>
            <w:hideMark/>
          </w:tcPr>
          <w:p w14:paraId="1C8CC130"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82" w:type="pct"/>
            <w:tcBorders>
              <w:top w:val="nil"/>
              <w:left w:val="nil"/>
              <w:bottom w:val="single" w:sz="8" w:space="0" w:color="auto"/>
              <w:right w:val="single" w:sz="4" w:space="0" w:color="auto"/>
            </w:tcBorders>
            <w:shd w:val="clear" w:color="auto" w:fill="auto"/>
            <w:noWrap/>
            <w:vAlign w:val="bottom"/>
            <w:hideMark/>
          </w:tcPr>
          <w:p w14:paraId="5EDC16E4" w14:textId="77777777" w:rsidR="00064960" w:rsidRPr="00064960" w:rsidRDefault="00064960" w:rsidP="00064960">
            <w:pPr>
              <w:spacing w:before="0" w:after="0" w:line="240" w:lineRule="auto"/>
              <w:jc w:val="right"/>
              <w:rPr>
                <w:rFonts w:eastAsia="Times New Roman" w:cs="Times New Roman"/>
                <w:b/>
                <w:bCs/>
                <w:color w:val="000000"/>
                <w:sz w:val="22"/>
                <w:lang w:eastAsia="en-IN"/>
              </w:rPr>
            </w:pPr>
            <w:r w:rsidRPr="00064960">
              <w:rPr>
                <w:rFonts w:eastAsia="Times New Roman" w:cs="Times New Roman"/>
                <w:b/>
                <w:bCs/>
                <w:color w:val="000000"/>
                <w:sz w:val="22"/>
                <w:lang w:eastAsia="en-IN"/>
              </w:rPr>
              <w:t>455000</w:t>
            </w:r>
          </w:p>
        </w:tc>
        <w:tc>
          <w:tcPr>
            <w:tcW w:w="356" w:type="pct"/>
            <w:tcBorders>
              <w:top w:val="nil"/>
              <w:left w:val="nil"/>
              <w:bottom w:val="single" w:sz="8" w:space="0" w:color="auto"/>
              <w:right w:val="single" w:sz="4" w:space="0" w:color="auto"/>
            </w:tcBorders>
            <w:shd w:val="clear" w:color="auto" w:fill="auto"/>
            <w:noWrap/>
            <w:vAlign w:val="bottom"/>
            <w:hideMark/>
          </w:tcPr>
          <w:p w14:paraId="3C671B78"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 </w:t>
            </w:r>
          </w:p>
        </w:tc>
        <w:tc>
          <w:tcPr>
            <w:tcW w:w="542" w:type="pct"/>
            <w:tcBorders>
              <w:top w:val="nil"/>
              <w:left w:val="nil"/>
              <w:bottom w:val="single" w:sz="8" w:space="0" w:color="auto"/>
              <w:right w:val="single" w:sz="4" w:space="0" w:color="auto"/>
            </w:tcBorders>
            <w:shd w:val="clear" w:color="auto" w:fill="auto"/>
            <w:noWrap/>
            <w:vAlign w:val="bottom"/>
            <w:hideMark/>
          </w:tcPr>
          <w:p w14:paraId="5A95A0FC" w14:textId="77777777" w:rsidR="00064960" w:rsidRPr="00064960" w:rsidRDefault="00064960" w:rsidP="00064960">
            <w:pPr>
              <w:spacing w:before="0" w:after="0" w:line="240" w:lineRule="auto"/>
              <w:jc w:val="right"/>
              <w:rPr>
                <w:rFonts w:eastAsia="Times New Roman" w:cs="Times New Roman"/>
                <w:b/>
                <w:bCs/>
                <w:color w:val="000000"/>
                <w:sz w:val="22"/>
                <w:lang w:eastAsia="en-IN"/>
              </w:rPr>
            </w:pPr>
            <w:r w:rsidRPr="00064960">
              <w:rPr>
                <w:rFonts w:eastAsia="Times New Roman" w:cs="Times New Roman"/>
                <w:b/>
                <w:bCs/>
                <w:color w:val="000000"/>
                <w:sz w:val="22"/>
                <w:lang w:eastAsia="en-IN"/>
              </w:rPr>
              <w:t>-895000</w:t>
            </w:r>
          </w:p>
        </w:tc>
        <w:tc>
          <w:tcPr>
            <w:tcW w:w="1339" w:type="pct"/>
            <w:tcBorders>
              <w:top w:val="nil"/>
              <w:left w:val="nil"/>
              <w:bottom w:val="single" w:sz="8" w:space="0" w:color="auto"/>
              <w:right w:val="single" w:sz="8" w:space="0" w:color="auto"/>
            </w:tcBorders>
            <w:shd w:val="clear" w:color="auto" w:fill="auto"/>
            <w:noWrap/>
            <w:vAlign w:val="bottom"/>
            <w:hideMark/>
          </w:tcPr>
          <w:p w14:paraId="394DCDF2" w14:textId="77777777" w:rsidR="00064960" w:rsidRPr="00064960" w:rsidRDefault="00064960" w:rsidP="00064960">
            <w:pPr>
              <w:spacing w:before="0" w:after="0" w:line="240" w:lineRule="auto"/>
              <w:jc w:val="left"/>
              <w:rPr>
                <w:rFonts w:eastAsia="Times New Roman" w:cs="Times New Roman"/>
                <w:color w:val="000000"/>
                <w:sz w:val="22"/>
                <w:lang w:eastAsia="en-IN"/>
              </w:rPr>
            </w:pPr>
            <w:r w:rsidRPr="00064960">
              <w:rPr>
                <w:rFonts w:eastAsia="Times New Roman" w:cs="Times New Roman"/>
                <w:color w:val="000000"/>
                <w:sz w:val="22"/>
                <w:lang w:eastAsia="en-IN"/>
              </w:rPr>
              <w:t>Unfavourable</w:t>
            </w:r>
          </w:p>
        </w:tc>
      </w:tr>
    </w:tbl>
    <w:p w14:paraId="35F06D5B" w14:textId="6C882DAA" w:rsidR="009F1218" w:rsidRDefault="009F1218">
      <w:pPr>
        <w:spacing w:before="0" w:after="160" w:line="259" w:lineRule="auto"/>
        <w:jc w:val="left"/>
      </w:pPr>
    </w:p>
    <w:p w14:paraId="6B6B3493" w14:textId="77777777" w:rsidR="00B367DA" w:rsidRDefault="002456DD" w:rsidP="002456DD">
      <w:pPr>
        <w:spacing w:before="0" w:after="160"/>
      </w:pPr>
      <w:r>
        <w:t>Managers may use a budget performance report to see how sales volume-based projections compare to actual sales and expenses. In other words, it's a document detailing the deviation between planned vs actual firm performance. After an accounting or budgeting period has ended, management compiles this report to assess whether or not there were any significant discrepancies between the initial estimates and the final tally. Management may utilise this to determine which areas are succeeding in terms of fulfilling their budgetary targets, and which parts, if any, need to be reworked</w:t>
      </w:r>
      <w:r w:rsidR="00A363B7">
        <w:t xml:space="preserve"> </w:t>
      </w:r>
      <w:r w:rsidR="00A363B7" w:rsidRPr="00A363B7">
        <w:t>(Network, 2021 p.36)</w:t>
      </w:r>
      <w:r>
        <w:t xml:space="preserve">. </w:t>
      </w:r>
      <w:r w:rsidR="00F749E8">
        <w:t xml:space="preserve">The following table shows the actual performance against the predicted by </w:t>
      </w:r>
      <w:r w:rsidR="00712A2F">
        <w:t>Amana Ltd</w:t>
      </w:r>
      <w:r w:rsidR="00485CA8">
        <w:t xml:space="preserve"> from the original and actual. </w:t>
      </w:r>
      <w:r w:rsidR="00772DD0">
        <w:t xml:space="preserve">The event suggested that the actual production of </w:t>
      </w:r>
      <w:r w:rsidR="00712A2F">
        <w:t>Amana Ltd</w:t>
      </w:r>
      <w:r w:rsidR="00772DD0">
        <w:t xml:space="preserve"> decreases by 20000 units and the actual revenue also decreases as the selling price </w:t>
      </w:r>
      <w:r w:rsidR="00D75657">
        <w:t>reduced</w:t>
      </w:r>
      <w:r w:rsidR="00772DD0">
        <w:t xml:space="preserve"> with the selling units. </w:t>
      </w:r>
      <w:r w:rsidR="00AE4383">
        <w:t xml:space="preserve">The specific event related to the outcome is predicted and described that the production unit is unfavourable for </w:t>
      </w:r>
      <w:r w:rsidR="00712A2F">
        <w:t>Amana Ltd</w:t>
      </w:r>
      <w:r w:rsidR="00AE4383">
        <w:t xml:space="preserve"> as the selling units decrease. </w:t>
      </w:r>
    </w:p>
    <w:p w14:paraId="3F4CBE0F" w14:textId="66E11C59" w:rsidR="00F749E8" w:rsidRDefault="00AE4383" w:rsidP="002456DD">
      <w:pPr>
        <w:spacing w:before="0" w:after="160"/>
      </w:pPr>
      <w:r>
        <w:t xml:space="preserve">The revenue of the company also decreases as the selling price decreases and the selling quantity diminishes this particular event is also unfavourable to </w:t>
      </w:r>
      <w:r w:rsidR="00712A2F">
        <w:t>Amana Ltd</w:t>
      </w:r>
      <w:r>
        <w:t xml:space="preserve"> as the revenue decreases. In variable costs also the actual material costs of </w:t>
      </w:r>
      <w:r w:rsidR="00712A2F">
        <w:t>Amana Ltd</w:t>
      </w:r>
      <w:r>
        <w:t xml:space="preserve"> are increased by 30000 which is also a very unfavourable event for any enterprise. </w:t>
      </w:r>
      <w:r w:rsidR="00460D06">
        <w:t xml:space="preserve">Labour cost also increases in the actual figure by 40000 which is also unfavourable as the cost of </w:t>
      </w:r>
      <w:r w:rsidR="00712A2F">
        <w:t>Amana Ltd</w:t>
      </w:r>
      <w:r w:rsidR="00460D06">
        <w:t xml:space="preserve"> increases. </w:t>
      </w:r>
      <w:r w:rsidR="009F51F6">
        <w:t>Favourable event</w:t>
      </w:r>
      <w:r w:rsidR="00460D06">
        <w:t xml:space="preserve"> on the overhead cost of </w:t>
      </w:r>
      <w:r w:rsidR="00712A2F">
        <w:t>Amana Ltd</w:t>
      </w:r>
      <w:r w:rsidR="00460D06">
        <w:t xml:space="preserve">. The total variable cost of </w:t>
      </w:r>
      <w:r w:rsidR="00712A2F">
        <w:t>Amana Ltd</w:t>
      </w:r>
      <w:r w:rsidR="00460D06">
        <w:t xml:space="preserve"> </w:t>
      </w:r>
      <w:r w:rsidR="009F51F6">
        <w:t>is also increased</w:t>
      </w:r>
      <w:r w:rsidR="00460D06">
        <w:t xml:space="preserve"> by 40000 is also </w:t>
      </w:r>
      <w:r w:rsidR="009F51F6">
        <w:t xml:space="preserve">an unfavourable event for </w:t>
      </w:r>
      <w:r w:rsidR="00712A2F">
        <w:t>Amana Ltd</w:t>
      </w:r>
      <w:r w:rsidR="009F51F6">
        <w:t xml:space="preserve"> as the actual variable cost increases. The fixed costs of </w:t>
      </w:r>
      <w:r w:rsidR="00712A2F">
        <w:t>Amana Ltd</w:t>
      </w:r>
      <w:r w:rsidR="009F51F6">
        <w:t xml:space="preserve"> are measured in the report. The actual rental income of the warehouse for </w:t>
      </w:r>
      <w:r w:rsidR="00712A2F">
        <w:t>Amana Ltd</w:t>
      </w:r>
      <w:r w:rsidR="009F51F6">
        <w:t xml:space="preserve"> is reduced by 30000 this is </w:t>
      </w:r>
      <w:r w:rsidR="00817084">
        <w:t xml:space="preserve">a </w:t>
      </w:r>
      <w:r w:rsidR="009F51F6">
        <w:t xml:space="preserve">favourable event as the </w:t>
      </w:r>
      <w:r w:rsidR="00817084">
        <w:t>rent decreases</w:t>
      </w:r>
      <w:r w:rsidR="00A363B7">
        <w:t xml:space="preserve"> </w:t>
      </w:r>
      <w:r w:rsidR="00A363B7" w:rsidRPr="00A363B7">
        <w:t>(Bui, Le and Nguyen, 2020, p.60)</w:t>
      </w:r>
      <w:r w:rsidR="00817084">
        <w:t xml:space="preserve">. The insurance also does not affect </w:t>
      </w:r>
      <w:r w:rsidR="00712A2F">
        <w:t>Amana Ltd</w:t>
      </w:r>
      <w:r w:rsidR="00817084">
        <w:t xml:space="preserve"> not rising and reducing. The salary cost of </w:t>
      </w:r>
      <w:r w:rsidR="00712A2F">
        <w:t>Amana Ltd</w:t>
      </w:r>
      <w:r w:rsidR="00817084">
        <w:t xml:space="preserve"> is also reduced in the actual cost by 15000 this is also </w:t>
      </w:r>
      <w:r w:rsidR="007C229C">
        <w:t xml:space="preserve">a </w:t>
      </w:r>
      <w:r w:rsidR="00817084">
        <w:t xml:space="preserve">favourable event </w:t>
      </w:r>
      <w:r w:rsidR="007C229C">
        <w:t>for</w:t>
      </w:r>
      <w:r w:rsidR="00817084">
        <w:t xml:space="preserve"> </w:t>
      </w:r>
      <w:r w:rsidR="00712A2F">
        <w:t>Amana Ltd</w:t>
      </w:r>
      <w:r w:rsidR="00817084">
        <w:t xml:space="preserve">. </w:t>
      </w:r>
      <w:r w:rsidR="007C229C">
        <w:t>The total</w:t>
      </w:r>
      <w:r w:rsidR="00817084">
        <w:t xml:space="preserve"> fixed cost of </w:t>
      </w:r>
      <w:r w:rsidR="00712A2F">
        <w:t>Amana Ltd</w:t>
      </w:r>
      <w:r w:rsidR="00817084">
        <w:t xml:space="preserve"> is reduced </w:t>
      </w:r>
      <w:r w:rsidR="007C229C">
        <w:t xml:space="preserve">by 45000 which is a favourable event for </w:t>
      </w:r>
      <w:r w:rsidR="00712A2F">
        <w:t>Amana Ltd</w:t>
      </w:r>
      <w:r w:rsidR="007C229C">
        <w:t xml:space="preserve">. The report suggested that the variable cost of </w:t>
      </w:r>
      <w:r w:rsidR="00712A2F">
        <w:t>Amana Ltd</w:t>
      </w:r>
      <w:r w:rsidR="007C229C">
        <w:t xml:space="preserve"> rises and fixed cost decreases for the </w:t>
      </w:r>
      <w:r w:rsidR="00712A2F">
        <w:t>entity</w:t>
      </w:r>
      <w:r w:rsidR="007C229C">
        <w:t xml:space="preserve">. The operating income of </w:t>
      </w:r>
      <w:r w:rsidR="00712A2F">
        <w:t>Amana Ltd</w:t>
      </w:r>
      <w:r w:rsidR="007C229C">
        <w:t xml:space="preserve"> is also reduced by 895000 which is reduced significantly and by a huge amount. </w:t>
      </w:r>
    </w:p>
    <w:p w14:paraId="6509787E" w14:textId="376064C6" w:rsidR="00B367DA" w:rsidRDefault="00B367DA">
      <w:pPr>
        <w:spacing w:before="0" w:after="160" w:line="259" w:lineRule="auto"/>
        <w:jc w:val="left"/>
      </w:pPr>
      <w:r>
        <w:br w:type="page"/>
      </w:r>
    </w:p>
    <w:p w14:paraId="0806C218" w14:textId="77777777" w:rsidR="00B367DA" w:rsidRDefault="00B367DA" w:rsidP="002456DD">
      <w:pPr>
        <w:spacing w:before="0" w:after="160"/>
      </w:pPr>
    </w:p>
    <w:p w14:paraId="58E39D14" w14:textId="365EC309" w:rsidR="007C229C" w:rsidRDefault="007C229C" w:rsidP="007C229C">
      <w:pPr>
        <w:pStyle w:val="Titlu2"/>
      </w:pPr>
      <w:bookmarkStart w:id="3" w:name="_Toc113532734"/>
      <w:r>
        <w:t>C) Recommendation</w:t>
      </w:r>
      <w:bookmarkEnd w:id="3"/>
    </w:p>
    <w:p w14:paraId="1B01FE9A" w14:textId="24C1CF25" w:rsidR="00712A2F" w:rsidRDefault="00712A2F" w:rsidP="007C229C">
      <w:r w:rsidRPr="00712A2F">
        <w:t xml:space="preserve">Management may make better decisions by reviewing budget performance reports, which compare actual sales volume-based income and expenses for a given time to their respective projected counterparts. Simply said, it's a document detailing the deviation between actual and anticipated results for a certain </w:t>
      </w:r>
      <w:r w:rsidR="00D75657">
        <w:t>period</w:t>
      </w:r>
      <w:r w:rsidRPr="00712A2F">
        <w:t>.</w:t>
      </w:r>
      <w:r w:rsidR="00D75657">
        <w:t xml:space="preserve"> </w:t>
      </w:r>
      <w:r w:rsidRPr="00712A2F">
        <w:t>At the end of each accounting/budgeting period, management compiles this report to assess whether or not the actual results deviated significantly from the initial estimates. This is a vital resource since it enables top management to assess which parts of the company are succeeding in terms of budgetary allocation, and which parts still require work.</w:t>
      </w:r>
      <w:r w:rsidR="00585543">
        <w:t xml:space="preserve"> Budgets are a popular method of managing a company's finances, and performance reports usually include an evaluation of one or a few processes in the smaller, medium as well as large businesses. Budgets for a company's finances are often produced by accountants and financiers. In certain cases, the company owner or entrepreneur will need to take on this responsibility themselves. Most budgets contain specific pound amounts for allowable expenditures on each business function. When it comes to managing a company's finances, a performance report is often a discrete component. Commonly, these papers include the causes, effects, and other relevant details of budgetary discrepancies</w:t>
      </w:r>
      <w:r w:rsidR="00A363B7">
        <w:t xml:space="preserve"> </w:t>
      </w:r>
      <w:r w:rsidR="00A363B7" w:rsidRPr="00A363B7">
        <w:t>(Bui, Le and Nguyen, 2020, p.60)</w:t>
      </w:r>
      <w:r w:rsidR="00585543">
        <w:t>.</w:t>
      </w:r>
    </w:p>
    <w:p w14:paraId="5E382F80" w14:textId="305184A0" w:rsidR="00D75657" w:rsidRDefault="00D75657" w:rsidP="007C229C">
      <w:r>
        <w:t xml:space="preserve">There are various aspects of areas in which Amana Ltd need to improve for </w:t>
      </w:r>
      <w:r w:rsidR="00585543">
        <w:t xml:space="preserve">reducing costs. The variable cost of Amana Ltd increases thereby it must be looking for a possible way to reduce its cost. The cost of the material and labour increases significantly in the following year. The entity must ensure the </w:t>
      </w:r>
      <w:r w:rsidR="00706D1C">
        <w:t>best-selling</w:t>
      </w:r>
      <w:r w:rsidR="00585543">
        <w:t xml:space="preserve"> price for </w:t>
      </w:r>
      <w:r w:rsidR="00706D1C">
        <w:t>its</w:t>
      </w:r>
      <w:r w:rsidR="00585543">
        <w:t xml:space="preserve"> products as the revenue of Amana Ltd decreases after it reduces the </w:t>
      </w:r>
      <w:r w:rsidR="00706D1C">
        <w:t xml:space="preserve">selling price. If the revenue increases the overall income of the business also rises which is very essential for the entity to improve its income. The goal of any entity is that it operates with fewer costs and generates huge revenue to remain profitable. The marketing techniques need to improve for selling the target units decided by the entity. </w:t>
      </w:r>
      <w:r w:rsidR="00370E38">
        <w:t>The warehouse rental cost of Amana ltd was reduced which is favourable for the organisation and the management must ensure that they manage this cost-effective to operate with less fixed income. The actual salary cost given to the employee of Amana ltd is also decreases compared to the original. The entity manages its resources effectively</w:t>
      </w:r>
      <w:r w:rsidR="00A363B7">
        <w:t xml:space="preserve"> </w:t>
      </w:r>
      <w:r w:rsidR="00A363B7" w:rsidRPr="00A363B7">
        <w:t>(Blay, 2020, p.33)</w:t>
      </w:r>
      <w:r w:rsidR="00370E38">
        <w:t xml:space="preserve">. </w:t>
      </w:r>
    </w:p>
    <w:p w14:paraId="75F014B2" w14:textId="72B3547F" w:rsidR="00F749ED" w:rsidRPr="00963757" w:rsidRDefault="008C1820" w:rsidP="007C229C">
      <w:pPr>
        <w:rPr>
          <w:shd w:val="clear" w:color="auto" w:fill="FFFFFF"/>
        </w:rPr>
      </w:pPr>
      <w:r>
        <w:t>Automation</w:t>
      </w:r>
      <w:r w:rsidR="00706D1C">
        <w:t xml:space="preserve"> can be used by the company to reduce the dependency on labour which helps to reduce the </w:t>
      </w:r>
      <w:r>
        <w:t xml:space="preserve">labour variable cost of Amana Ltd. The material cost needs to be met effectively so and use optimally there by the efficient use of the resource reduces the overall cost. Amana Ltd must ensure that they work efficiently and uses their resource optimally to better and effectively use the company resources. The fixed cost of Amana ltd was reduced compared to the original. </w:t>
      </w:r>
      <w:r w:rsidR="00F749ED">
        <w:t>Overall Amana ltd must need to ensure that they do not operate with high costs to achieve the overall target of profit-making</w:t>
      </w:r>
      <w:r w:rsidR="00963757">
        <w:t xml:space="preserve"> </w:t>
      </w:r>
      <w:r w:rsidR="00963757">
        <w:rPr>
          <w:shd w:val="clear" w:color="auto" w:fill="FFFFFF"/>
        </w:rPr>
        <w:t>(Tomic, 2018, p.828)</w:t>
      </w:r>
      <w:r w:rsidR="00F749ED">
        <w:t xml:space="preserve">. </w:t>
      </w:r>
    </w:p>
    <w:p w14:paraId="4DB29A69" w14:textId="77777777" w:rsidR="00F749ED" w:rsidRDefault="00F749ED">
      <w:pPr>
        <w:spacing w:before="0" w:after="160" w:line="259" w:lineRule="auto"/>
        <w:jc w:val="left"/>
      </w:pPr>
      <w:r>
        <w:br w:type="page"/>
      </w:r>
    </w:p>
    <w:p w14:paraId="41E6BE8B" w14:textId="6C8EBD38" w:rsidR="00F749ED" w:rsidRDefault="00F749ED" w:rsidP="001B59E4">
      <w:pPr>
        <w:pStyle w:val="Titlu1"/>
      </w:pPr>
      <w:bookmarkStart w:id="4" w:name="_Toc113532735"/>
      <w:r w:rsidRPr="00F749ED">
        <w:t>Part B</w:t>
      </w:r>
      <w:bookmarkEnd w:id="4"/>
    </w:p>
    <w:p w14:paraId="3AFE11AB" w14:textId="1C212605" w:rsidR="002456DD" w:rsidRDefault="00E275A0" w:rsidP="001B59E4">
      <w:pPr>
        <w:pStyle w:val="Titlu2"/>
      </w:pPr>
      <w:bookmarkStart w:id="5" w:name="_Toc113532736"/>
      <w:r>
        <w:t>Decision on online retailing or selling on Amazon for Amana ltd</w:t>
      </w:r>
      <w:bookmarkEnd w:id="5"/>
    </w:p>
    <w:tbl>
      <w:tblPr>
        <w:tblW w:w="9346" w:type="dxa"/>
        <w:tblLook w:val="04A0" w:firstRow="1" w:lastRow="0" w:firstColumn="1" w:lastColumn="0" w:noHBand="0" w:noVBand="1"/>
      </w:tblPr>
      <w:tblGrid>
        <w:gridCol w:w="4526"/>
        <w:gridCol w:w="1276"/>
        <w:gridCol w:w="1134"/>
        <w:gridCol w:w="2410"/>
      </w:tblGrid>
      <w:tr w:rsidR="006B1ECF" w:rsidRPr="006B1ECF" w14:paraId="72734F97" w14:textId="77777777" w:rsidTr="006B1ECF">
        <w:trPr>
          <w:trHeight w:val="288"/>
        </w:trPr>
        <w:tc>
          <w:tcPr>
            <w:tcW w:w="9346"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941F57A" w14:textId="4A760DF9" w:rsidR="006B1ECF" w:rsidRPr="006B1ECF" w:rsidRDefault="006B1ECF" w:rsidP="006B1ECF">
            <w:pPr>
              <w:spacing w:before="0" w:after="0" w:line="240" w:lineRule="auto"/>
              <w:jc w:val="center"/>
              <w:rPr>
                <w:rFonts w:eastAsia="Times New Roman" w:cs="Times New Roman"/>
                <w:b/>
                <w:bCs/>
                <w:color w:val="000000"/>
                <w:sz w:val="22"/>
                <w:lang w:eastAsia="en-IN"/>
              </w:rPr>
            </w:pPr>
            <w:r w:rsidRPr="006B1ECF">
              <w:rPr>
                <w:rFonts w:eastAsia="Times New Roman" w:cs="Times New Roman"/>
                <w:b/>
                <w:bCs/>
                <w:color w:val="000000"/>
                <w:sz w:val="22"/>
                <w:lang w:eastAsia="en-IN"/>
              </w:rPr>
              <w:t xml:space="preserve">Determination of relevant and irrelevant </w:t>
            </w:r>
            <w:r w:rsidRPr="000C099F">
              <w:rPr>
                <w:rFonts w:eastAsia="Times New Roman" w:cs="Times New Roman"/>
                <w:b/>
                <w:bCs/>
                <w:color w:val="000000"/>
                <w:sz w:val="22"/>
                <w:lang w:eastAsia="en-IN"/>
              </w:rPr>
              <w:t>costs</w:t>
            </w:r>
            <w:r w:rsidRPr="006B1ECF">
              <w:rPr>
                <w:rFonts w:eastAsia="Times New Roman" w:cs="Times New Roman"/>
                <w:b/>
                <w:bCs/>
                <w:color w:val="000000"/>
                <w:sz w:val="22"/>
                <w:lang w:eastAsia="en-IN"/>
              </w:rPr>
              <w:t xml:space="preserve"> for Amana ltd to operate </w:t>
            </w:r>
            <w:r w:rsidRPr="000C099F">
              <w:rPr>
                <w:rFonts w:eastAsia="Times New Roman" w:cs="Times New Roman"/>
                <w:b/>
                <w:bCs/>
                <w:color w:val="000000"/>
                <w:sz w:val="22"/>
                <w:lang w:eastAsia="en-IN"/>
              </w:rPr>
              <w:t xml:space="preserve">an </w:t>
            </w:r>
            <w:r w:rsidRPr="006B1ECF">
              <w:rPr>
                <w:rFonts w:eastAsia="Times New Roman" w:cs="Times New Roman"/>
                <w:b/>
                <w:bCs/>
                <w:color w:val="000000"/>
                <w:sz w:val="22"/>
                <w:lang w:eastAsia="en-IN"/>
              </w:rPr>
              <w:t>online platform</w:t>
            </w:r>
          </w:p>
        </w:tc>
      </w:tr>
      <w:tr w:rsidR="006B1ECF" w:rsidRPr="000C099F" w14:paraId="66D0E9AF" w14:textId="77777777" w:rsidTr="006B1ECF">
        <w:trPr>
          <w:trHeight w:val="288"/>
        </w:trPr>
        <w:tc>
          <w:tcPr>
            <w:tcW w:w="4526" w:type="dxa"/>
            <w:tcBorders>
              <w:top w:val="nil"/>
              <w:left w:val="single" w:sz="8" w:space="0" w:color="auto"/>
              <w:bottom w:val="single" w:sz="4" w:space="0" w:color="auto"/>
              <w:right w:val="single" w:sz="4" w:space="0" w:color="auto"/>
            </w:tcBorders>
            <w:shd w:val="clear" w:color="auto" w:fill="auto"/>
            <w:noWrap/>
            <w:vAlign w:val="bottom"/>
            <w:hideMark/>
          </w:tcPr>
          <w:p w14:paraId="4CC140E0" w14:textId="77777777" w:rsidR="006B1ECF" w:rsidRPr="006B1ECF" w:rsidRDefault="006B1ECF" w:rsidP="006B1ECF">
            <w:pPr>
              <w:spacing w:before="0" w:after="0" w:line="240" w:lineRule="auto"/>
              <w:jc w:val="left"/>
              <w:rPr>
                <w:rFonts w:eastAsia="Times New Roman" w:cs="Times New Roman"/>
                <w:b/>
                <w:bCs/>
                <w:color w:val="000000"/>
                <w:sz w:val="22"/>
                <w:lang w:eastAsia="en-IN"/>
              </w:rPr>
            </w:pPr>
            <w:r w:rsidRPr="006B1ECF">
              <w:rPr>
                <w:rFonts w:eastAsia="Times New Roman" w:cs="Times New Roman"/>
                <w:b/>
                <w:bCs/>
                <w:color w:val="000000"/>
                <w:sz w:val="22"/>
                <w:lang w:eastAsia="en-IN"/>
              </w:rPr>
              <w:t>Expenses</w:t>
            </w:r>
          </w:p>
        </w:tc>
        <w:tc>
          <w:tcPr>
            <w:tcW w:w="1276" w:type="dxa"/>
            <w:tcBorders>
              <w:top w:val="nil"/>
              <w:left w:val="nil"/>
              <w:bottom w:val="single" w:sz="4" w:space="0" w:color="auto"/>
              <w:right w:val="single" w:sz="4" w:space="0" w:color="auto"/>
            </w:tcBorders>
            <w:shd w:val="clear" w:color="auto" w:fill="auto"/>
            <w:noWrap/>
            <w:vAlign w:val="bottom"/>
            <w:hideMark/>
          </w:tcPr>
          <w:p w14:paraId="2CE2B64E" w14:textId="77777777" w:rsidR="006B1ECF" w:rsidRPr="006B1ECF" w:rsidRDefault="006B1ECF" w:rsidP="006B1ECF">
            <w:pPr>
              <w:spacing w:before="0" w:after="0" w:line="240" w:lineRule="auto"/>
              <w:jc w:val="left"/>
              <w:rPr>
                <w:rFonts w:eastAsia="Times New Roman" w:cs="Times New Roman"/>
                <w:b/>
                <w:bCs/>
                <w:color w:val="000000"/>
                <w:sz w:val="22"/>
                <w:lang w:eastAsia="en-IN"/>
              </w:rPr>
            </w:pPr>
            <w:r w:rsidRPr="006B1ECF">
              <w:rPr>
                <w:rFonts w:eastAsia="Times New Roman" w:cs="Times New Roman"/>
                <w:b/>
                <w:bCs/>
                <w:color w:val="000000"/>
                <w:sz w:val="22"/>
                <w:lang w:eastAsia="en-IN"/>
              </w:rPr>
              <w:t>Amount (£)</w:t>
            </w:r>
          </w:p>
        </w:tc>
        <w:tc>
          <w:tcPr>
            <w:tcW w:w="1134" w:type="dxa"/>
            <w:tcBorders>
              <w:top w:val="nil"/>
              <w:left w:val="nil"/>
              <w:bottom w:val="single" w:sz="4" w:space="0" w:color="auto"/>
              <w:right w:val="single" w:sz="4" w:space="0" w:color="auto"/>
            </w:tcBorders>
            <w:shd w:val="clear" w:color="auto" w:fill="auto"/>
            <w:noWrap/>
            <w:vAlign w:val="bottom"/>
            <w:hideMark/>
          </w:tcPr>
          <w:p w14:paraId="10789B84" w14:textId="77777777" w:rsidR="006B1ECF" w:rsidRPr="006B1ECF" w:rsidRDefault="006B1ECF" w:rsidP="006B1ECF">
            <w:pPr>
              <w:spacing w:before="0" w:after="0" w:line="240" w:lineRule="auto"/>
              <w:jc w:val="left"/>
              <w:rPr>
                <w:rFonts w:eastAsia="Times New Roman" w:cs="Times New Roman"/>
                <w:b/>
                <w:bCs/>
                <w:color w:val="000000"/>
                <w:sz w:val="22"/>
                <w:lang w:eastAsia="en-IN"/>
              </w:rPr>
            </w:pPr>
            <w:r w:rsidRPr="006B1ECF">
              <w:rPr>
                <w:rFonts w:eastAsia="Times New Roman" w:cs="Times New Roman"/>
                <w:b/>
                <w:bCs/>
                <w:color w:val="000000"/>
                <w:sz w:val="22"/>
                <w:lang w:eastAsia="en-IN"/>
              </w:rPr>
              <w:t>Relevant</w:t>
            </w:r>
          </w:p>
        </w:tc>
        <w:tc>
          <w:tcPr>
            <w:tcW w:w="2410" w:type="dxa"/>
            <w:tcBorders>
              <w:top w:val="nil"/>
              <w:left w:val="nil"/>
              <w:bottom w:val="single" w:sz="4" w:space="0" w:color="auto"/>
              <w:right w:val="single" w:sz="8" w:space="0" w:color="auto"/>
            </w:tcBorders>
            <w:shd w:val="clear" w:color="auto" w:fill="auto"/>
            <w:noWrap/>
            <w:vAlign w:val="bottom"/>
            <w:hideMark/>
          </w:tcPr>
          <w:p w14:paraId="7DF2CDDF" w14:textId="77777777" w:rsidR="006B1ECF" w:rsidRPr="006B1ECF" w:rsidRDefault="006B1ECF" w:rsidP="006B1ECF">
            <w:pPr>
              <w:spacing w:before="0" w:after="0" w:line="240" w:lineRule="auto"/>
              <w:jc w:val="left"/>
              <w:rPr>
                <w:rFonts w:eastAsia="Times New Roman" w:cs="Times New Roman"/>
                <w:b/>
                <w:bCs/>
                <w:color w:val="000000"/>
                <w:sz w:val="22"/>
                <w:lang w:eastAsia="en-IN"/>
              </w:rPr>
            </w:pPr>
            <w:r w:rsidRPr="006B1ECF">
              <w:rPr>
                <w:rFonts w:eastAsia="Times New Roman" w:cs="Times New Roman"/>
                <w:b/>
                <w:bCs/>
                <w:color w:val="000000"/>
                <w:sz w:val="22"/>
                <w:lang w:eastAsia="en-IN"/>
              </w:rPr>
              <w:t>Reason</w:t>
            </w:r>
          </w:p>
        </w:tc>
      </w:tr>
      <w:tr w:rsidR="006B1ECF" w:rsidRPr="000C099F" w14:paraId="0A6F87E1" w14:textId="77777777" w:rsidTr="006B1ECF">
        <w:trPr>
          <w:trHeight w:val="864"/>
        </w:trPr>
        <w:tc>
          <w:tcPr>
            <w:tcW w:w="4526" w:type="dxa"/>
            <w:tcBorders>
              <w:top w:val="nil"/>
              <w:left w:val="single" w:sz="8" w:space="0" w:color="auto"/>
              <w:bottom w:val="single" w:sz="4" w:space="0" w:color="auto"/>
              <w:right w:val="single" w:sz="4" w:space="0" w:color="auto"/>
            </w:tcBorders>
            <w:shd w:val="clear" w:color="auto" w:fill="auto"/>
            <w:noWrap/>
            <w:vAlign w:val="bottom"/>
            <w:hideMark/>
          </w:tcPr>
          <w:p w14:paraId="77A1BA35" w14:textId="17561DC0" w:rsidR="006B1ECF" w:rsidRPr="006B1ECF" w:rsidRDefault="006B1ECF" w:rsidP="006B1EC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The expense</w:t>
            </w:r>
            <w:r w:rsidRPr="006B1ECF">
              <w:rPr>
                <w:rFonts w:eastAsia="Times New Roman" w:cs="Times New Roman"/>
                <w:color w:val="000000"/>
                <w:sz w:val="22"/>
                <w:lang w:eastAsia="en-IN"/>
              </w:rPr>
              <w:t xml:space="preserve"> of </w:t>
            </w:r>
            <w:r w:rsidRPr="000C099F">
              <w:rPr>
                <w:rFonts w:eastAsia="Times New Roman" w:cs="Times New Roman"/>
                <w:color w:val="000000"/>
                <w:sz w:val="22"/>
                <w:lang w:eastAsia="en-IN"/>
              </w:rPr>
              <w:t xml:space="preserve">the </w:t>
            </w:r>
            <w:r w:rsidRPr="006B1ECF">
              <w:rPr>
                <w:rFonts w:eastAsia="Times New Roman" w:cs="Times New Roman"/>
                <w:color w:val="000000"/>
                <w:sz w:val="22"/>
                <w:lang w:eastAsia="en-IN"/>
              </w:rPr>
              <w:t>delivery network system</w:t>
            </w:r>
          </w:p>
        </w:tc>
        <w:tc>
          <w:tcPr>
            <w:tcW w:w="1276" w:type="dxa"/>
            <w:tcBorders>
              <w:top w:val="nil"/>
              <w:left w:val="nil"/>
              <w:bottom w:val="single" w:sz="4" w:space="0" w:color="auto"/>
              <w:right w:val="single" w:sz="4" w:space="0" w:color="auto"/>
            </w:tcBorders>
            <w:shd w:val="clear" w:color="auto" w:fill="auto"/>
            <w:noWrap/>
            <w:vAlign w:val="bottom"/>
            <w:hideMark/>
          </w:tcPr>
          <w:p w14:paraId="12718914" w14:textId="77777777" w:rsidR="006B1ECF" w:rsidRPr="006B1ECF" w:rsidRDefault="006B1ECF" w:rsidP="006B1ECF">
            <w:pPr>
              <w:spacing w:before="0" w:after="0" w:line="240" w:lineRule="auto"/>
              <w:jc w:val="right"/>
              <w:rPr>
                <w:rFonts w:eastAsia="Times New Roman" w:cs="Times New Roman"/>
                <w:color w:val="000000"/>
                <w:sz w:val="22"/>
                <w:lang w:eastAsia="en-IN"/>
              </w:rPr>
            </w:pPr>
            <w:r w:rsidRPr="006B1ECF">
              <w:rPr>
                <w:rFonts w:eastAsia="Times New Roman" w:cs="Times New Roman"/>
                <w:color w:val="000000"/>
                <w:sz w:val="22"/>
                <w:lang w:eastAsia="en-IN"/>
              </w:rPr>
              <w:t>150000</w:t>
            </w:r>
          </w:p>
        </w:tc>
        <w:tc>
          <w:tcPr>
            <w:tcW w:w="1134" w:type="dxa"/>
            <w:tcBorders>
              <w:top w:val="nil"/>
              <w:left w:val="nil"/>
              <w:bottom w:val="single" w:sz="4" w:space="0" w:color="auto"/>
              <w:right w:val="single" w:sz="4" w:space="0" w:color="auto"/>
            </w:tcBorders>
            <w:shd w:val="clear" w:color="auto" w:fill="auto"/>
            <w:noWrap/>
            <w:vAlign w:val="bottom"/>
            <w:hideMark/>
          </w:tcPr>
          <w:p w14:paraId="28A487A1" w14:textId="77777777" w:rsidR="006B1ECF" w:rsidRPr="006B1ECF" w:rsidRDefault="006B1ECF" w:rsidP="006B1ECF">
            <w:pPr>
              <w:spacing w:before="0" w:after="0" w:line="240" w:lineRule="auto"/>
              <w:jc w:val="left"/>
              <w:rPr>
                <w:rFonts w:eastAsia="Times New Roman" w:cs="Times New Roman"/>
                <w:color w:val="000000"/>
                <w:sz w:val="22"/>
                <w:lang w:eastAsia="en-IN"/>
              </w:rPr>
            </w:pPr>
            <w:r w:rsidRPr="006B1ECF">
              <w:rPr>
                <w:rFonts w:eastAsia="Times New Roman" w:cs="Times New Roman"/>
                <w:color w:val="000000"/>
                <w:sz w:val="22"/>
                <w:lang w:eastAsia="en-IN"/>
              </w:rPr>
              <w:t>Yes</w:t>
            </w:r>
          </w:p>
        </w:tc>
        <w:tc>
          <w:tcPr>
            <w:tcW w:w="2410" w:type="dxa"/>
            <w:tcBorders>
              <w:top w:val="nil"/>
              <w:left w:val="nil"/>
              <w:bottom w:val="single" w:sz="4" w:space="0" w:color="auto"/>
              <w:right w:val="single" w:sz="8" w:space="0" w:color="auto"/>
            </w:tcBorders>
            <w:shd w:val="clear" w:color="auto" w:fill="auto"/>
            <w:vAlign w:val="bottom"/>
            <w:hideMark/>
          </w:tcPr>
          <w:p w14:paraId="4AF3EA47" w14:textId="3E064DF3" w:rsidR="006B1ECF" w:rsidRPr="006B1ECF" w:rsidRDefault="006B1ECF" w:rsidP="006B1ECF">
            <w:pPr>
              <w:spacing w:before="0" w:after="0" w:line="240" w:lineRule="auto"/>
              <w:jc w:val="left"/>
              <w:rPr>
                <w:rFonts w:eastAsia="Times New Roman" w:cs="Times New Roman"/>
                <w:color w:val="000000"/>
                <w:sz w:val="22"/>
                <w:lang w:eastAsia="en-IN"/>
              </w:rPr>
            </w:pPr>
            <w:r w:rsidRPr="006B1ECF">
              <w:rPr>
                <w:rFonts w:eastAsia="Times New Roman" w:cs="Times New Roman"/>
                <w:color w:val="000000"/>
                <w:sz w:val="22"/>
                <w:lang w:eastAsia="en-IN"/>
              </w:rPr>
              <w:t xml:space="preserve">This is </w:t>
            </w:r>
            <w:r w:rsidRPr="000C099F">
              <w:rPr>
                <w:rFonts w:eastAsia="Times New Roman" w:cs="Times New Roman"/>
                <w:color w:val="000000"/>
                <w:sz w:val="22"/>
                <w:lang w:eastAsia="en-IN"/>
              </w:rPr>
              <w:t xml:space="preserve">an </w:t>
            </w:r>
            <w:r w:rsidRPr="006B1ECF">
              <w:rPr>
                <w:rFonts w:eastAsia="Times New Roman" w:cs="Times New Roman"/>
                <w:color w:val="000000"/>
                <w:sz w:val="22"/>
                <w:lang w:eastAsia="en-IN"/>
              </w:rPr>
              <w:t xml:space="preserve">avoidable cost as the company </w:t>
            </w:r>
            <w:r w:rsidRPr="000C099F">
              <w:rPr>
                <w:rFonts w:eastAsia="Times New Roman" w:cs="Times New Roman"/>
                <w:color w:val="000000"/>
                <w:sz w:val="22"/>
                <w:lang w:eastAsia="en-IN"/>
              </w:rPr>
              <w:t>operates</w:t>
            </w:r>
            <w:r w:rsidRPr="006B1ECF">
              <w:rPr>
                <w:rFonts w:eastAsia="Times New Roman" w:cs="Times New Roman"/>
                <w:color w:val="000000"/>
                <w:sz w:val="22"/>
                <w:lang w:eastAsia="en-IN"/>
              </w:rPr>
              <w:t xml:space="preserve"> with </w:t>
            </w:r>
            <w:r w:rsidRPr="000C099F">
              <w:rPr>
                <w:rFonts w:eastAsia="Times New Roman" w:cs="Times New Roman"/>
                <w:color w:val="000000"/>
                <w:sz w:val="22"/>
                <w:lang w:eastAsia="en-IN"/>
              </w:rPr>
              <w:t>an</w:t>
            </w:r>
            <w:r w:rsidRPr="006B1ECF">
              <w:rPr>
                <w:rFonts w:eastAsia="Times New Roman" w:cs="Times New Roman"/>
                <w:color w:val="000000"/>
                <w:sz w:val="22"/>
                <w:lang w:eastAsia="en-IN"/>
              </w:rPr>
              <w:t xml:space="preserve"> online platform </w:t>
            </w:r>
            <w:r w:rsidRPr="000C099F">
              <w:rPr>
                <w:rFonts w:eastAsia="Times New Roman" w:cs="Times New Roman"/>
                <w:color w:val="000000"/>
                <w:sz w:val="22"/>
                <w:lang w:eastAsia="en-IN"/>
              </w:rPr>
              <w:t xml:space="preserve">and </w:t>
            </w:r>
            <w:r w:rsidRPr="006B1ECF">
              <w:rPr>
                <w:rFonts w:eastAsia="Times New Roman" w:cs="Times New Roman"/>
                <w:color w:val="000000"/>
                <w:sz w:val="22"/>
                <w:lang w:eastAsia="en-IN"/>
              </w:rPr>
              <w:t xml:space="preserve">has </w:t>
            </w:r>
            <w:r w:rsidRPr="000C099F">
              <w:rPr>
                <w:rFonts w:eastAsia="Times New Roman" w:cs="Times New Roman"/>
                <w:color w:val="000000"/>
                <w:sz w:val="22"/>
                <w:lang w:eastAsia="en-IN"/>
              </w:rPr>
              <w:t xml:space="preserve">a </w:t>
            </w:r>
            <w:r w:rsidRPr="006B1ECF">
              <w:rPr>
                <w:rFonts w:eastAsia="Times New Roman" w:cs="Times New Roman"/>
                <w:color w:val="000000"/>
                <w:sz w:val="22"/>
                <w:lang w:eastAsia="en-IN"/>
              </w:rPr>
              <w:t>high expense.</w:t>
            </w:r>
          </w:p>
        </w:tc>
      </w:tr>
      <w:tr w:rsidR="006B1ECF" w:rsidRPr="000C099F" w14:paraId="54A33F94" w14:textId="77777777" w:rsidTr="006B1ECF">
        <w:trPr>
          <w:trHeight w:val="864"/>
        </w:trPr>
        <w:tc>
          <w:tcPr>
            <w:tcW w:w="4526" w:type="dxa"/>
            <w:tcBorders>
              <w:top w:val="nil"/>
              <w:left w:val="single" w:sz="8" w:space="0" w:color="auto"/>
              <w:bottom w:val="single" w:sz="4" w:space="0" w:color="auto"/>
              <w:right w:val="single" w:sz="4" w:space="0" w:color="auto"/>
            </w:tcBorders>
            <w:shd w:val="clear" w:color="auto" w:fill="auto"/>
            <w:vAlign w:val="bottom"/>
            <w:hideMark/>
          </w:tcPr>
          <w:p w14:paraId="73BC6D4B" w14:textId="00C34DF0" w:rsidR="006B1ECF" w:rsidRPr="006B1ECF" w:rsidRDefault="006B1ECF" w:rsidP="006B1EC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The expense</w:t>
            </w:r>
            <w:r w:rsidRPr="006B1ECF">
              <w:rPr>
                <w:rFonts w:eastAsia="Times New Roman" w:cs="Times New Roman"/>
                <w:color w:val="000000"/>
                <w:sz w:val="22"/>
                <w:lang w:eastAsia="en-IN"/>
              </w:rPr>
              <w:t xml:space="preserve"> of developing </w:t>
            </w:r>
            <w:r w:rsidRPr="000C099F">
              <w:rPr>
                <w:rFonts w:eastAsia="Times New Roman" w:cs="Times New Roman"/>
                <w:color w:val="000000"/>
                <w:sz w:val="22"/>
                <w:lang w:eastAsia="en-IN"/>
              </w:rPr>
              <w:t xml:space="preserve">a </w:t>
            </w:r>
            <w:r w:rsidRPr="006B1ECF">
              <w:rPr>
                <w:rFonts w:eastAsia="Times New Roman" w:cs="Times New Roman"/>
                <w:color w:val="000000"/>
                <w:sz w:val="22"/>
                <w:lang w:eastAsia="en-IN"/>
              </w:rPr>
              <w:t xml:space="preserve">current portal to meet </w:t>
            </w:r>
            <w:r w:rsidRPr="000C099F">
              <w:rPr>
                <w:rFonts w:eastAsia="Times New Roman" w:cs="Times New Roman"/>
                <w:color w:val="000000"/>
                <w:sz w:val="22"/>
                <w:lang w:eastAsia="en-IN"/>
              </w:rPr>
              <w:t>the increased</w:t>
            </w:r>
            <w:r w:rsidRPr="006B1ECF">
              <w:rPr>
                <w:rFonts w:eastAsia="Times New Roman" w:cs="Times New Roman"/>
                <w:color w:val="000000"/>
                <w:sz w:val="22"/>
                <w:lang w:eastAsia="en-IN"/>
              </w:rPr>
              <w:t xml:space="preserve"> volume of revenue</w:t>
            </w:r>
          </w:p>
        </w:tc>
        <w:tc>
          <w:tcPr>
            <w:tcW w:w="1276" w:type="dxa"/>
            <w:tcBorders>
              <w:top w:val="nil"/>
              <w:left w:val="nil"/>
              <w:bottom w:val="single" w:sz="4" w:space="0" w:color="auto"/>
              <w:right w:val="single" w:sz="4" w:space="0" w:color="auto"/>
            </w:tcBorders>
            <w:shd w:val="clear" w:color="auto" w:fill="auto"/>
            <w:noWrap/>
            <w:vAlign w:val="bottom"/>
            <w:hideMark/>
          </w:tcPr>
          <w:p w14:paraId="1EB9DD0B" w14:textId="77777777" w:rsidR="006B1ECF" w:rsidRPr="006B1ECF" w:rsidRDefault="006B1ECF" w:rsidP="006B1ECF">
            <w:pPr>
              <w:spacing w:before="0" w:after="0" w:line="240" w:lineRule="auto"/>
              <w:jc w:val="right"/>
              <w:rPr>
                <w:rFonts w:eastAsia="Times New Roman" w:cs="Times New Roman"/>
                <w:color w:val="000000"/>
                <w:sz w:val="22"/>
                <w:lang w:eastAsia="en-IN"/>
              </w:rPr>
            </w:pPr>
            <w:r w:rsidRPr="006B1ECF">
              <w:rPr>
                <w:rFonts w:eastAsia="Times New Roman" w:cs="Times New Roman"/>
                <w:color w:val="000000"/>
                <w:sz w:val="22"/>
                <w:lang w:eastAsia="en-IN"/>
              </w:rPr>
              <w:t>50000</w:t>
            </w:r>
          </w:p>
        </w:tc>
        <w:tc>
          <w:tcPr>
            <w:tcW w:w="1134" w:type="dxa"/>
            <w:tcBorders>
              <w:top w:val="nil"/>
              <w:left w:val="nil"/>
              <w:bottom w:val="single" w:sz="4" w:space="0" w:color="auto"/>
              <w:right w:val="single" w:sz="4" w:space="0" w:color="auto"/>
            </w:tcBorders>
            <w:shd w:val="clear" w:color="auto" w:fill="auto"/>
            <w:noWrap/>
            <w:vAlign w:val="bottom"/>
            <w:hideMark/>
          </w:tcPr>
          <w:p w14:paraId="5B61C024" w14:textId="77777777" w:rsidR="006B1ECF" w:rsidRPr="006B1ECF" w:rsidRDefault="006B1ECF" w:rsidP="006B1ECF">
            <w:pPr>
              <w:spacing w:before="0" w:after="0" w:line="240" w:lineRule="auto"/>
              <w:jc w:val="left"/>
              <w:rPr>
                <w:rFonts w:eastAsia="Times New Roman" w:cs="Times New Roman"/>
                <w:color w:val="000000"/>
                <w:sz w:val="22"/>
                <w:lang w:eastAsia="en-IN"/>
              </w:rPr>
            </w:pPr>
            <w:r w:rsidRPr="006B1ECF">
              <w:rPr>
                <w:rFonts w:eastAsia="Times New Roman" w:cs="Times New Roman"/>
                <w:color w:val="000000"/>
                <w:sz w:val="22"/>
                <w:lang w:eastAsia="en-IN"/>
              </w:rPr>
              <w:t>Yes</w:t>
            </w:r>
          </w:p>
        </w:tc>
        <w:tc>
          <w:tcPr>
            <w:tcW w:w="2410" w:type="dxa"/>
            <w:tcBorders>
              <w:top w:val="nil"/>
              <w:left w:val="nil"/>
              <w:bottom w:val="single" w:sz="4" w:space="0" w:color="auto"/>
              <w:right w:val="single" w:sz="8" w:space="0" w:color="auto"/>
            </w:tcBorders>
            <w:shd w:val="clear" w:color="auto" w:fill="auto"/>
            <w:vAlign w:val="bottom"/>
            <w:hideMark/>
          </w:tcPr>
          <w:p w14:paraId="50151A6A" w14:textId="0A9E8FB9" w:rsidR="006B1ECF" w:rsidRPr="006B1ECF" w:rsidRDefault="006B1ECF" w:rsidP="006B1ECF">
            <w:pPr>
              <w:spacing w:before="0" w:after="0" w:line="240" w:lineRule="auto"/>
              <w:jc w:val="left"/>
              <w:rPr>
                <w:rFonts w:eastAsia="Times New Roman" w:cs="Times New Roman"/>
                <w:color w:val="000000"/>
                <w:sz w:val="22"/>
                <w:lang w:eastAsia="en-IN"/>
              </w:rPr>
            </w:pPr>
            <w:r w:rsidRPr="006B1ECF">
              <w:rPr>
                <w:rFonts w:eastAsia="Times New Roman" w:cs="Times New Roman"/>
                <w:color w:val="000000"/>
                <w:sz w:val="22"/>
                <w:lang w:eastAsia="en-IN"/>
              </w:rPr>
              <w:t xml:space="preserve">It's a differential cost and avoidable cost as the entity </w:t>
            </w:r>
            <w:r w:rsidRPr="000C099F">
              <w:rPr>
                <w:rFonts w:eastAsia="Times New Roman" w:cs="Times New Roman"/>
                <w:color w:val="000000"/>
                <w:sz w:val="22"/>
                <w:lang w:eastAsia="en-IN"/>
              </w:rPr>
              <w:t>needs</w:t>
            </w:r>
            <w:r w:rsidRPr="006B1ECF">
              <w:rPr>
                <w:rFonts w:eastAsia="Times New Roman" w:cs="Times New Roman"/>
                <w:color w:val="000000"/>
                <w:sz w:val="22"/>
                <w:lang w:eastAsia="en-IN"/>
              </w:rPr>
              <w:t xml:space="preserve"> to expense for upgrading their website </w:t>
            </w:r>
          </w:p>
        </w:tc>
      </w:tr>
      <w:tr w:rsidR="006B1ECF" w:rsidRPr="000C099F" w14:paraId="33D555E2" w14:textId="77777777" w:rsidTr="006B1ECF">
        <w:trPr>
          <w:trHeight w:val="1152"/>
        </w:trPr>
        <w:tc>
          <w:tcPr>
            <w:tcW w:w="4526" w:type="dxa"/>
            <w:tcBorders>
              <w:top w:val="nil"/>
              <w:left w:val="single" w:sz="8" w:space="0" w:color="auto"/>
              <w:bottom w:val="single" w:sz="4" w:space="0" w:color="auto"/>
              <w:right w:val="single" w:sz="4" w:space="0" w:color="auto"/>
            </w:tcBorders>
            <w:shd w:val="clear" w:color="auto" w:fill="auto"/>
            <w:noWrap/>
            <w:vAlign w:val="bottom"/>
            <w:hideMark/>
          </w:tcPr>
          <w:p w14:paraId="15CB0043" w14:textId="01E4DC9E" w:rsidR="006B1ECF" w:rsidRPr="006B1ECF" w:rsidRDefault="006B1ECF" w:rsidP="006B1EC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Remuneration</w:t>
            </w:r>
            <w:r w:rsidRPr="006B1ECF">
              <w:rPr>
                <w:rFonts w:eastAsia="Times New Roman" w:cs="Times New Roman"/>
                <w:color w:val="000000"/>
                <w:sz w:val="22"/>
                <w:lang w:eastAsia="en-IN"/>
              </w:rPr>
              <w:t xml:space="preserve"> of IT programmer full time</w:t>
            </w:r>
          </w:p>
        </w:tc>
        <w:tc>
          <w:tcPr>
            <w:tcW w:w="1276" w:type="dxa"/>
            <w:tcBorders>
              <w:top w:val="nil"/>
              <w:left w:val="nil"/>
              <w:bottom w:val="single" w:sz="4" w:space="0" w:color="auto"/>
              <w:right w:val="single" w:sz="4" w:space="0" w:color="auto"/>
            </w:tcBorders>
            <w:shd w:val="clear" w:color="auto" w:fill="auto"/>
            <w:noWrap/>
            <w:vAlign w:val="bottom"/>
            <w:hideMark/>
          </w:tcPr>
          <w:p w14:paraId="27D5C89B" w14:textId="77777777" w:rsidR="006B1ECF" w:rsidRPr="006B1ECF" w:rsidRDefault="006B1ECF" w:rsidP="006B1ECF">
            <w:pPr>
              <w:spacing w:before="0" w:after="0" w:line="240" w:lineRule="auto"/>
              <w:jc w:val="right"/>
              <w:rPr>
                <w:rFonts w:eastAsia="Times New Roman" w:cs="Times New Roman"/>
                <w:color w:val="000000"/>
                <w:sz w:val="22"/>
                <w:lang w:eastAsia="en-IN"/>
              </w:rPr>
            </w:pPr>
            <w:r w:rsidRPr="006B1ECF">
              <w:rPr>
                <w:rFonts w:eastAsia="Times New Roman" w:cs="Times New Roman"/>
                <w:color w:val="000000"/>
                <w:sz w:val="22"/>
                <w:lang w:eastAsia="en-IN"/>
              </w:rPr>
              <w:t>35000</w:t>
            </w:r>
          </w:p>
        </w:tc>
        <w:tc>
          <w:tcPr>
            <w:tcW w:w="1134" w:type="dxa"/>
            <w:tcBorders>
              <w:top w:val="nil"/>
              <w:left w:val="nil"/>
              <w:bottom w:val="single" w:sz="4" w:space="0" w:color="auto"/>
              <w:right w:val="single" w:sz="4" w:space="0" w:color="auto"/>
            </w:tcBorders>
            <w:shd w:val="clear" w:color="auto" w:fill="auto"/>
            <w:noWrap/>
            <w:vAlign w:val="bottom"/>
            <w:hideMark/>
          </w:tcPr>
          <w:p w14:paraId="4F7DB9F9" w14:textId="77777777" w:rsidR="006B1ECF" w:rsidRPr="006B1ECF" w:rsidRDefault="006B1ECF" w:rsidP="006B1ECF">
            <w:pPr>
              <w:spacing w:before="0" w:after="0" w:line="240" w:lineRule="auto"/>
              <w:jc w:val="left"/>
              <w:rPr>
                <w:rFonts w:eastAsia="Times New Roman" w:cs="Times New Roman"/>
                <w:color w:val="000000"/>
                <w:sz w:val="22"/>
                <w:lang w:eastAsia="en-IN"/>
              </w:rPr>
            </w:pPr>
            <w:r w:rsidRPr="006B1ECF">
              <w:rPr>
                <w:rFonts w:eastAsia="Times New Roman" w:cs="Times New Roman"/>
                <w:color w:val="000000"/>
                <w:sz w:val="22"/>
                <w:lang w:eastAsia="en-IN"/>
              </w:rPr>
              <w:t>Yes</w:t>
            </w:r>
          </w:p>
        </w:tc>
        <w:tc>
          <w:tcPr>
            <w:tcW w:w="2410" w:type="dxa"/>
            <w:tcBorders>
              <w:top w:val="nil"/>
              <w:left w:val="nil"/>
              <w:bottom w:val="single" w:sz="4" w:space="0" w:color="auto"/>
              <w:right w:val="single" w:sz="8" w:space="0" w:color="auto"/>
            </w:tcBorders>
            <w:shd w:val="clear" w:color="auto" w:fill="auto"/>
            <w:vAlign w:val="bottom"/>
            <w:hideMark/>
          </w:tcPr>
          <w:p w14:paraId="2554733B" w14:textId="66C3288B" w:rsidR="006B1ECF" w:rsidRPr="006B1ECF" w:rsidRDefault="006B1ECF" w:rsidP="006B1ECF">
            <w:pPr>
              <w:spacing w:before="0" w:after="0" w:line="240" w:lineRule="auto"/>
              <w:jc w:val="left"/>
              <w:rPr>
                <w:rFonts w:eastAsia="Times New Roman" w:cs="Times New Roman"/>
                <w:color w:val="000000"/>
                <w:sz w:val="22"/>
                <w:lang w:eastAsia="en-IN"/>
              </w:rPr>
            </w:pPr>
            <w:r w:rsidRPr="006B1ECF">
              <w:rPr>
                <w:rFonts w:eastAsia="Times New Roman" w:cs="Times New Roman"/>
                <w:color w:val="000000"/>
                <w:sz w:val="22"/>
                <w:lang w:eastAsia="en-IN"/>
              </w:rPr>
              <w:t xml:space="preserve">Avoidable </w:t>
            </w:r>
            <w:r w:rsidRPr="000C099F">
              <w:rPr>
                <w:rFonts w:eastAsia="Times New Roman" w:cs="Times New Roman"/>
                <w:color w:val="000000"/>
                <w:sz w:val="22"/>
                <w:lang w:eastAsia="en-IN"/>
              </w:rPr>
              <w:t>costs</w:t>
            </w:r>
            <w:r w:rsidRPr="006B1ECF">
              <w:rPr>
                <w:rFonts w:eastAsia="Times New Roman" w:cs="Times New Roman"/>
                <w:color w:val="000000"/>
                <w:sz w:val="22"/>
                <w:lang w:eastAsia="en-IN"/>
              </w:rPr>
              <w:t xml:space="preserve"> </w:t>
            </w:r>
            <w:r w:rsidRPr="000C099F">
              <w:rPr>
                <w:rFonts w:eastAsia="Times New Roman" w:cs="Times New Roman"/>
                <w:color w:val="000000"/>
                <w:sz w:val="22"/>
                <w:lang w:eastAsia="en-IN"/>
              </w:rPr>
              <w:t xml:space="preserve">such </w:t>
            </w:r>
            <w:r w:rsidRPr="006B1ECF">
              <w:rPr>
                <w:rFonts w:eastAsia="Times New Roman" w:cs="Times New Roman"/>
                <w:color w:val="000000"/>
                <w:sz w:val="22"/>
                <w:lang w:eastAsia="en-IN"/>
              </w:rPr>
              <w:t xml:space="preserve">as the salary needed to pay to the employee for handling the online site and timely </w:t>
            </w:r>
            <w:r w:rsidRPr="000C099F">
              <w:rPr>
                <w:rFonts w:eastAsia="Times New Roman" w:cs="Times New Roman"/>
                <w:color w:val="000000"/>
                <w:sz w:val="22"/>
                <w:lang w:eastAsia="en-IN"/>
              </w:rPr>
              <w:t>solving</w:t>
            </w:r>
            <w:r w:rsidRPr="006B1ECF">
              <w:rPr>
                <w:rFonts w:eastAsia="Times New Roman" w:cs="Times New Roman"/>
                <w:color w:val="000000"/>
                <w:sz w:val="22"/>
                <w:lang w:eastAsia="en-IN"/>
              </w:rPr>
              <w:t xml:space="preserve"> errors if any </w:t>
            </w:r>
            <w:r w:rsidRPr="000C099F">
              <w:rPr>
                <w:rFonts w:eastAsia="Times New Roman" w:cs="Times New Roman"/>
                <w:color w:val="000000"/>
                <w:sz w:val="22"/>
                <w:lang w:eastAsia="en-IN"/>
              </w:rPr>
              <w:t>occur</w:t>
            </w:r>
            <w:r w:rsidRPr="006B1ECF">
              <w:rPr>
                <w:rFonts w:eastAsia="Times New Roman" w:cs="Times New Roman"/>
                <w:color w:val="000000"/>
                <w:sz w:val="22"/>
                <w:lang w:eastAsia="en-IN"/>
              </w:rPr>
              <w:t>.</w:t>
            </w:r>
          </w:p>
        </w:tc>
      </w:tr>
      <w:tr w:rsidR="006B1ECF" w:rsidRPr="000C099F" w14:paraId="5489BFC1" w14:textId="77777777" w:rsidTr="006B1ECF">
        <w:trPr>
          <w:trHeight w:val="588"/>
        </w:trPr>
        <w:tc>
          <w:tcPr>
            <w:tcW w:w="4526" w:type="dxa"/>
            <w:tcBorders>
              <w:top w:val="nil"/>
              <w:left w:val="single" w:sz="8" w:space="0" w:color="auto"/>
              <w:bottom w:val="single" w:sz="8" w:space="0" w:color="auto"/>
              <w:right w:val="single" w:sz="4" w:space="0" w:color="auto"/>
            </w:tcBorders>
            <w:shd w:val="clear" w:color="auto" w:fill="auto"/>
            <w:noWrap/>
            <w:vAlign w:val="bottom"/>
            <w:hideMark/>
          </w:tcPr>
          <w:p w14:paraId="1A4C8277" w14:textId="725ADAB9" w:rsidR="006B1ECF" w:rsidRPr="006B1ECF" w:rsidRDefault="006B1ECF" w:rsidP="006B1ECF">
            <w:pPr>
              <w:spacing w:before="0" w:after="0" w:line="240" w:lineRule="auto"/>
              <w:jc w:val="left"/>
              <w:rPr>
                <w:rFonts w:eastAsia="Times New Roman" w:cs="Times New Roman"/>
                <w:color w:val="000000"/>
                <w:sz w:val="22"/>
                <w:lang w:eastAsia="en-IN"/>
              </w:rPr>
            </w:pPr>
            <w:r w:rsidRPr="006B1ECF">
              <w:rPr>
                <w:rFonts w:eastAsia="Times New Roman" w:cs="Times New Roman"/>
                <w:color w:val="000000"/>
                <w:sz w:val="22"/>
                <w:lang w:eastAsia="en-IN"/>
              </w:rPr>
              <w:t xml:space="preserve">Amazon </w:t>
            </w:r>
            <w:r w:rsidRPr="000C099F">
              <w:rPr>
                <w:rFonts w:eastAsia="Times New Roman" w:cs="Times New Roman"/>
                <w:color w:val="000000"/>
                <w:sz w:val="22"/>
                <w:lang w:eastAsia="en-IN"/>
              </w:rPr>
              <w:t>fulfilment</w:t>
            </w:r>
            <w:r w:rsidRPr="006B1ECF">
              <w:rPr>
                <w:rFonts w:eastAsia="Times New Roman" w:cs="Times New Roman"/>
                <w:color w:val="000000"/>
                <w:sz w:val="22"/>
                <w:lang w:eastAsia="en-IN"/>
              </w:rPr>
              <w:t xml:space="preserve"> expense</w:t>
            </w:r>
          </w:p>
        </w:tc>
        <w:tc>
          <w:tcPr>
            <w:tcW w:w="1276" w:type="dxa"/>
            <w:tcBorders>
              <w:top w:val="nil"/>
              <w:left w:val="nil"/>
              <w:bottom w:val="single" w:sz="8" w:space="0" w:color="auto"/>
              <w:right w:val="single" w:sz="4" w:space="0" w:color="auto"/>
            </w:tcBorders>
            <w:shd w:val="clear" w:color="auto" w:fill="auto"/>
            <w:noWrap/>
            <w:vAlign w:val="bottom"/>
            <w:hideMark/>
          </w:tcPr>
          <w:p w14:paraId="0435CE06" w14:textId="77777777" w:rsidR="006B1ECF" w:rsidRPr="006B1ECF" w:rsidRDefault="006B1ECF" w:rsidP="006B1ECF">
            <w:pPr>
              <w:spacing w:before="0" w:after="0" w:line="240" w:lineRule="auto"/>
              <w:jc w:val="right"/>
              <w:rPr>
                <w:rFonts w:eastAsia="Times New Roman" w:cs="Times New Roman"/>
                <w:color w:val="000000"/>
                <w:sz w:val="22"/>
                <w:lang w:eastAsia="en-IN"/>
              </w:rPr>
            </w:pPr>
            <w:r w:rsidRPr="006B1ECF">
              <w:rPr>
                <w:rFonts w:eastAsia="Times New Roman" w:cs="Times New Roman"/>
                <w:color w:val="000000"/>
                <w:sz w:val="22"/>
                <w:lang w:eastAsia="en-IN"/>
              </w:rPr>
              <w:t>50000</w:t>
            </w:r>
          </w:p>
        </w:tc>
        <w:tc>
          <w:tcPr>
            <w:tcW w:w="1134" w:type="dxa"/>
            <w:tcBorders>
              <w:top w:val="nil"/>
              <w:left w:val="nil"/>
              <w:bottom w:val="single" w:sz="8" w:space="0" w:color="auto"/>
              <w:right w:val="single" w:sz="4" w:space="0" w:color="auto"/>
            </w:tcBorders>
            <w:shd w:val="clear" w:color="auto" w:fill="auto"/>
            <w:noWrap/>
            <w:vAlign w:val="bottom"/>
            <w:hideMark/>
          </w:tcPr>
          <w:p w14:paraId="1F2D77E6" w14:textId="77777777" w:rsidR="006B1ECF" w:rsidRPr="006B1ECF" w:rsidRDefault="006B1ECF" w:rsidP="006B1ECF">
            <w:pPr>
              <w:spacing w:before="0" w:after="0" w:line="240" w:lineRule="auto"/>
              <w:jc w:val="left"/>
              <w:rPr>
                <w:rFonts w:eastAsia="Times New Roman" w:cs="Times New Roman"/>
                <w:color w:val="000000"/>
                <w:sz w:val="22"/>
                <w:lang w:eastAsia="en-IN"/>
              </w:rPr>
            </w:pPr>
            <w:r w:rsidRPr="006B1ECF">
              <w:rPr>
                <w:rFonts w:eastAsia="Times New Roman" w:cs="Times New Roman"/>
                <w:color w:val="000000"/>
                <w:sz w:val="22"/>
                <w:lang w:eastAsia="en-IN"/>
              </w:rPr>
              <w:t>Yes</w:t>
            </w:r>
          </w:p>
        </w:tc>
        <w:tc>
          <w:tcPr>
            <w:tcW w:w="2410" w:type="dxa"/>
            <w:tcBorders>
              <w:top w:val="nil"/>
              <w:left w:val="nil"/>
              <w:bottom w:val="single" w:sz="8" w:space="0" w:color="auto"/>
              <w:right w:val="single" w:sz="8" w:space="0" w:color="auto"/>
            </w:tcBorders>
            <w:shd w:val="clear" w:color="auto" w:fill="auto"/>
            <w:vAlign w:val="bottom"/>
            <w:hideMark/>
          </w:tcPr>
          <w:p w14:paraId="2E5D837B" w14:textId="70764477" w:rsidR="006B1ECF" w:rsidRPr="006B1ECF" w:rsidRDefault="006B1ECF" w:rsidP="006B1ECF">
            <w:pPr>
              <w:spacing w:before="0" w:after="0" w:line="240" w:lineRule="auto"/>
              <w:jc w:val="left"/>
              <w:rPr>
                <w:rFonts w:eastAsia="Times New Roman" w:cs="Times New Roman"/>
                <w:color w:val="000000"/>
                <w:sz w:val="22"/>
                <w:lang w:eastAsia="en-IN"/>
              </w:rPr>
            </w:pPr>
            <w:r w:rsidRPr="006B1ECF">
              <w:rPr>
                <w:rFonts w:eastAsia="Times New Roman" w:cs="Times New Roman"/>
                <w:color w:val="000000"/>
                <w:sz w:val="22"/>
                <w:lang w:eastAsia="en-IN"/>
              </w:rPr>
              <w:t xml:space="preserve">All costs with operating with amazon </w:t>
            </w:r>
            <w:r w:rsidRPr="000C099F">
              <w:rPr>
                <w:rFonts w:eastAsia="Times New Roman" w:cs="Times New Roman"/>
                <w:color w:val="000000"/>
                <w:sz w:val="22"/>
                <w:lang w:eastAsia="en-IN"/>
              </w:rPr>
              <w:t xml:space="preserve">are </w:t>
            </w:r>
            <w:r w:rsidRPr="006B1ECF">
              <w:rPr>
                <w:rFonts w:eastAsia="Times New Roman" w:cs="Times New Roman"/>
                <w:color w:val="000000"/>
                <w:sz w:val="22"/>
                <w:lang w:eastAsia="en-IN"/>
              </w:rPr>
              <w:t xml:space="preserve">only limited to this amount. </w:t>
            </w:r>
          </w:p>
        </w:tc>
      </w:tr>
    </w:tbl>
    <w:p w14:paraId="5966A1C2" w14:textId="72AE12DF" w:rsidR="00AF09B8" w:rsidRDefault="00AF09B8" w:rsidP="007C229C"/>
    <w:p w14:paraId="1DDB6133" w14:textId="5ECF0115" w:rsidR="008C13A1" w:rsidRDefault="008C13A1" w:rsidP="007C229C">
      <w:r>
        <w:t xml:space="preserve">Amana Ltd has various positive sides for retailing on online platforms through which it can </w:t>
      </w:r>
      <w:r w:rsidR="00CE5EE5">
        <w:t xml:space="preserve">cover a wider range of markets and customers. The </w:t>
      </w:r>
      <w:r w:rsidR="00E3171D">
        <w:t xml:space="preserve">company overheads are reduced when the company operates online the better reach to the customer from their home and they can see wide products image so can purchase at any time they want to shop. It can be very helpful in providing the growth potential for Amana ltd. If the company is set up on a known platform such as Amazon helps them to attract customers as </w:t>
      </w:r>
      <w:r w:rsidR="005F51FF">
        <w:t xml:space="preserve">Amazon is the biggest platform which has a huge number of customers that buy regularly therefore a high amount of traffic on the platform. There is no need to pay warehouse </w:t>
      </w:r>
      <w:r w:rsidR="00AF54A0">
        <w:t>costs</w:t>
      </w:r>
      <w:r w:rsidR="005F51FF">
        <w:t xml:space="preserve"> for the organisation as it already </w:t>
      </w:r>
      <w:r w:rsidR="00AF54A0">
        <w:t>operated with stores also</w:t>
      </w:r>
      <w:r w:rsidR="00963757">
        <w:t xml:space="preserve"> </w:t>
      </w:r>
      <w:r w:rsidR="00963757">
        <w:rPr>
          <w:shd w:val="clear" w:color="auto" w:fill="FFFFFF"/>
        </w:rPr>
        <w:t>(Bargavi, et.al., 2022 p.2)</w:t>
      </w:r>
      <w:r w:rsidR="00AF54A0">
        <w:t xml:space="preserve">. </w:t>
      </w:r>
    </w:p>
    <w:p w14:paraId="095BD33C" w14:textId="5D9608F6" w:rsidR="005F51FF" w:rsidRDefault="005F51FF" w:rsidP="007C229C">
      <w:r>
        <w:t xml:space="preserve">There are several negative impacts on the organisation when they looking to operate through online sites that as the cost of managing and creating the portals for selling the product as well as the cost of securing the site. Security is very important for saving customers as well as themselves from fraud as online fraud is increasing day by day. </w:t>
      </w:r>
      <w:r w:rsidR="00AF54A0">
        <w:t xml:space="preserve">The expenses related to the salary of the technician as the error and bugs arise with the site and portal and need to deploy particular employees to handle online complaints and support of the customers. The organisation faces difficulty to meet customer trust as usually the consumers not much </w:t>
      </w:r>
      <w:r w:rsidR="004C008A">
        <w:t>trust</w:t>
      </w:r>
      <w:r w:rsidR="00AF54A0">
        <w:t xml:space="preserve"> these platforms as the criminal activity is rising and frauds as well</w:t>
      </w:r>
      <w:r w:rsidR="00963757">
        <w:t xml:space="preserve"> </w:t>
      </w:r>
      <w:r w:rsidR="00963757" w:rsidRPr="00963757">
        <w:t>(Javed and Wu, 2020, p.448)</w:t>
      </w:r>
      <w:r w:rsidR="00AF54A0">
        <w:t xml:space="preserve">. </w:t>
      </w:r>
    </w:p>
    <w:p w14:paraId="435D11CD" w14:textId="705AF04B" w:rsidR="00F774D4" w:rsidRDefault="00C663B1" w:rsidP="007C229C">
      <w:r>
        <w:t xml:space="preserve">There are many competitive benefits to Amana ltd operating with Amazon. The business regularly founds success by operating with Amazon. Access to the best delivery system in the world has a wider reach for customers of different geographical locations. The supply chain of Amazon is very vast and able to provide better services to the customer on time. </w:t>
      </w:r>
      <w:r w:rsidR="00F774D4">
        <w:t xml:space="preserve">It is an easy and simple way for Amana ltd to operate with a system which has a wider reach. There is no need to recruit or handles various associated cost related to the delivery, recruiting employee and technical requirement etc. Amazon easily manages all the tasks by itself and no further need to engage with another system. Despite the advantage, there </w:t>
      </w:r>
      <w:r w:rsidR="007E0102">
        <w:t>is</w:t>
      </w:r>
      <w:r w:rsidR="00F774D4">
        <w:t xml:space="preserve"> various disadvantage for the business as operating with amazon there are other sellers also who </w:t>
      </w:r>
      <w:r w:rsidR="007E0102">
        <w:t>operate</w:t>
      </w:r>
      <w:r w:rsidR="00F774D4">
        <w:t xml:space="preserve"> with them so competition is high. The return of the products is also very high and needs to manage appropriately. Both the </w:t>
      </w:r>
      <w:r w:rsidR="007E0102">
        <w:t>delivery portal has their benefits and limitation compared with the cost. The decision must be taken to the appropriate system with the entity’s portal or Amazon</w:t>
      </w:r>
      <w:r w:rsidR="00963757">
        <w:t xml:space="preserve"> (Johansson, 2021, p.6)</w:t>
      </w:r>
      <w:r w:rsidR="007E0102">
        <w:t xml:space="preserve">. </w:t>
      </w:r>
    </w:p>
    <w:p w14:paraId="4545EBDF" w14:textId="43797EB8" w:rsidR="000C099F" w:rsidRPr="000C099F" w:rsidRDefault="000C099F" w:rsidP="000C099F">
      <w:pPr>
        <w:pStyle w:val="Legend"/>
        <w:keepNext/>
        <w:rPr>
          <w:sz w:val="24"/>
          <w:szCs w:val="24"/>
        </w:rPr>
      </w:pPr>
      <w:r w:rsidRPr="000C099F">
        <w:rPr>
          <w:sz w:val="24"/>
          <w:szCs w:val="24"/>
        </w:rPr>
        <w:t xml:space="preserve">Table </w:t>
      </w:r>
      <w:r w:rsidRPr="000C099F">
        <w:rPr>
          <w:sz w:val="24"/>
          <w:szCs w:val="24"/>
        </w:rPr>
        <w:fldChar w:fldCharType="begin"/>
      </w:r>
      <w:r w:rsidRPr="000C099F">
        <w:rPr>
          <w:sz w:val="24"/>
          <w:szCs w:val="24"/>
        </w:rPr>
        <w:instrText xml:space="preserve"> SEQ Table \* ARABIC </w:instrText>
      </w:r>
      <w:r w:rsidRPr="000C099F">
        <w:rPr>
          <w:sz w:val="24"/>
          <w:szCs w:val="24"/>
        </w:rPr>
        <w:fldChar w:fldCharType="separate"/>
      </w:r>
      <w:r>
        <w:rPr>
          <w:noProof/>
          <w:sz w:val="24"/>
          <w:szCs w:val="24"/>
        </w:rPr>
        <w:t>4</w:t>
      </w:r>
      <w:r w:rsidRPr="000C099F">
        <w:rPr>
          <w:sz w:val="24"/>
          <w:szCs w:val="24"/>
        </w:rPr>
        <w:fldChar w:fldCharType="end"/>
      </w:r>
      <w:r w:rsidRPr="000C099F">
        <w:rPr>
          <w:sz w:val="24"/>
          <w:szCs w:val="24"/>
        </w:rPr>
        <w:t xml:space="preserve">: Decision for selling through </w:t>
      </w:r>
      <w:r>
        <w:rPr>
          <w:sz w:val="24"/>
          <w:szCs w:val="24"/>
        </w:rPr>
        <w:t xml:space="preserve">the </w:t>
      </w:r>
      <w:r w:rsidRPr="000C099F">
        <w:rPr>
          <w:sz w:val="24"/>
          <w:szCs w:val="24"/>
        </w:rPr>
        <w:t>company website</w:t>
      </w:r>
    </w:p>
    <w:tbl>
      <w:tblPr>
        <w:tblW w:w="7864" w:type="dxa"/>
        <w:tblLook w:val="04A0" w:firstRow="1" w:lastRow="0" w:firstColumn="1" w:lastColumn="0" w:noHBand="0" w:noVBand="1"/>
      </w:tblPr>
      <w:tblGrid>
        <w:gridCol w:w="6624"/>
        <w:gridCol w:w="1240"/>
      </w:tblGrid>
      <w:tr w:rsidR="000C099F" w:rsidRPr="000C099F" w14:paraId="3CAEDE1F" w14:textId="77777777" w:rsidTr="000C099F">
        <w:trPr>
          <w:trHeight w:val="288"/>
        </w:trPr>
        <w:tc>
          <w:tcPr>
            <w:tcW w:w="662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6349966" w14:textId="77777777" w:rsidR="000C099F" w:rsidRPr="000C099F" w:rsidRDefault="000C099F" w:rsidP="000C099F">
            <w:pPr>
              <w:spacing w:before="0" w:after="0" w:line="240" w:lineRule="auto"/>
              <w:jc w:val="left"/>
              <w:rPr>
                <w:rFonts w:eastAsia="Times New Roman" w:cs="Times New Roman"/>
                <w:b/>
                <w:bCs/>
                <w:color w:val="000000"/>
                <w:sz w:val="22"/>
                <w:lang w:eastAsia="en-IN"/>
              </w:rPr>
            </w:pPr>
            <w:r w:rsidRPr="000C099F">
              <w:rPr>
                <w:rFonts w:eastAsia="Times New Roman" w:cs="Times New Roman"/>
                <w:b/>
                <w:bCs/>
                <w:color w:val="000000"/>
                <w:sz w:val="22"/>
                <w:lang w:eastAsia="en-IN"/>
              </w:rPr>
              <w:t>Relevant cost of option 1</w:t>
            </w:r>
          </w:p>
        </w:tc>
        <w:tc>
          <w:tcPr>
            <w:tcW w:w="1240" w:type="dxa"/>
            <w:tcBorders>
              <w:top w:val="single" w:sz="8" w:space="0" w:color="auto"/>
              <w:left w:val="nil"/>
              <w:bottom w:val="single" w:sz="4" w:space="0" w:color="auto"/>
              <w:right w:val="single" w:sz="8" w:space="0" w:color="auto"/>
            </w:tcBorders>
            <w:shd w:val="clear" w:color="auto" w:fill="auto"/>
            <w:noWrap/>
            <w:vAlign w:val="bottom"/>
            <w:hideMark/>
          </w:tcPr>
          <w:p w14:paraId="6AEDB7BE" w14:textId="77777777"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w:t>
            </w:r>
          </w:p>
        </w:tc>
      </w:tr>
      <w:tr w:rsidR="000C099F" w:rsidRPr="000C099F" w14:paraId="6B42E4EA" w14:textId="77777777" w:rsidTr="000C099F">
        <w:trPr>
          <w:trHeight w:val="288"/>
        </w:trPr>
        <w:tc>
          <w:tcPr>
            <w:tcW w:w="6624" w:type="dxa"/>
            <w:tcBorders>
              <w:top w:val="nil"/>
              <w:left w:val="single" w:sz="8" w:space="0" w:color="auto"/>
              <w:bottom w:val="single" w:sz="4" w:space="0" w:color="auto"/>
              <w:right w:val="single" w:sz="4" w:space="0" w:color="auto"/>
            </w:tcBorders>
            <w:shd w:val="clear" w:color="auto" w:fill="auto"/>
            <w:noWrap/>
            <w:vAlign w:val="bottom"/>
            <w:hideMark/>
          </w:tcPr>
          <w:p w14:paraId="1B8C2CE5" w14:textId="3454FD2B"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 xml:space="preserve">The expense of </w:t>
            </w:r>
            <w:r>
              <w:rPr>
                <w:rFonts w:eastAsia="Times New Roman" w:cs="Times New Roman"/>
                <w:color w:val="000000"/>
                <w:sz w:val="22"/>
                <w:lang w:eastAsia="en-IN"/>
              </w:rPr>
              <w:t xml:space="preserve">the </w:t>
            </w:r>
            <w:r w:rsidRPr="000C099F">
              <w:rPr>
                <w:rFonts w:eastAsia="Times New Roman" w:cs="Times New Roman"/>
                <w:color w:val="000000"/>
                <w:sz w:val="22"/>
                <w:lang w:eastAsia="en-IN"/>
              </w:rPr>
              <w:t>delivery network system</w:t>
            </w:r>
          </w:p>
        </w:tc>
        <w:tc>
          <w:tcPr>
            <w:tcW w:w="1240" w:type="dxa"/>
            <w:tcBorders>
              <w:top w:val="nil"/>
              <w:left w:val="nil"/>
              <w:bottom w:val="single" w:sz="4" w:space="0" w:color="auto"/>
              <w:right w:val="single" w:sz="8" w:space="0" w:color="auto"/>
            </w:tcBorders>
            <w:shd w:val="clear" w:color="auto" w:fill="auto"/>
            <w:noWrap/>
            <w:vAlign w:val="bottom"/>
            <w:hideMark/>
          </w:tcPr>
          <w:p w14:paraId="6BA31AAA"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150000</w:t>
            </w:r>
          </w:p>
        </w:tc>
      </w:tr>
      <w:tr w:rsidR="000C099F" w:rsidRPr="000C099F" w14:paraId="72D9DE1B" w14:textId="77777777" w:rsidTr="000C099F">
        <w:trPr>
          <w:trHeight w:val="288"/>
        </w:trPr>
        <w:tc>
          <w:tcPr>
            <w:tcW w:w="6624" w:type="dxa"/>
            <w:tcBorders>
              <w:top w:val="nil"/>
              <w:left w:val="single" w:sz="8" w:space="0" w:color="auto"/>
              <w:bottom w:val="single" w:sz="4" w:space="0" w:color="auto"/>
              <w:right w:val="single" w:sz="4" w:space="0" w:color="auto"/>
            </w:tcBorders>
            <w:shd w:val="clear" w:color="auto" w:fill="auto"/>
            <w:noWrap/>
            <w:vAlign w:val="bottom"/>
            <w:hideMark/>
          </w:tcPr>
          <w:p w14:paraId="0054DA46" w14:textId="293E1C97"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 xml:space="preserve">The expense of developing a current portal to meet </w:t>
            </w:r>
            <w:r>
              <w:rPr>
                <w:rFonts w:eastAsia="Times New Roman" w:cs="Times New Roman"/>
                <w:color w:val="000000"/>
                <w:sz w:val="22"/>
                <w:lang w:eastAsia="en-IN"/>
              </w:rPr>
              <w:t>the increased</w:t>
            </w:r>
            <w:r w:rsidRPr="000C099F">
              <w:rPr>
                <w:rFonts w:eastAsia="Times New Roman" w:cs="Times New Roman"/>
                <w:color w:val="000000"/>
                <w:sz w:val="22"/>
                <w:lang w:eastAsia="en-IN"/>
              </w:rPr>
              <w:t xml:space="preserve"> volume of revenue</w:t>
            </w:r>
          </w:p>
        </w:tc>
        <w:tc>
          <w:tcPr>
            <w:tcW w:w="1240" w:type="dxa"/>
            <w:tcBorders>
              <w:top w:val="nil"/>
              <w:left w:val="nil"/>
              <w:bottom w:val="single" w:sz="4" w:space="0" w:color="auto"/>
              <w:right w:val="single" w:sz="8" w:space="0" w:color="auto"/>
            </w:tcBorders>
            <w:shd w:val="clear" w:color="auto" w:fill="auto"/>
            <w:noWrap/>
            <w:vAlign w:val="bottom"/>
            <w:hideMark/>
          </w:tcPr>
          <w:p w14:paraId="52466D3F"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50000</w:t>
            </w:r>
          </w:p>
        </w:tc>
      </w:tr>
      <w:tr w:rsidR="000C099F" w:rsidRPr="000C099F" w14:paraId="761CC9E7" w14:textId="77777777" w:rsidTr="000C099F">
        <w:trPr>
          <w:trHeight w:val="288"/>
        </w:trPr>
        <w:tc>
          <w:tcPr>
            <w:tcW w:w="6624" w:type="dxa"/>
            <w:tcBorders>
              <w:top w:val="nil"/>
              <w:left w:val="single" w:sz="8" w:space="0" w:color="auto"/>
              <w:bottom w:val="single" w:sz="4" w:space="0" w:color="auto"/>
              <w:right w:val="single" w:sz="4" w:space="0" w:color="auto"/>
            </w:tcBorders>
            <w:shd w:val="clear" w:color="auto" w:fill="auto"/>
            <w:noWrap/>
            <w:vAlign w:val="bottom"/>
            <w:hideMark/>
          </w:tcPr>
          <w:p w14:paraId="2B2AA054" w14:textId="3FAF46D9"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Remuneration of IT programmer full time</w:t>
            </w:r>
          </w:p>
        </w:tc>
        <w:tc>
          <w:tcPr>
            <w:tcW w:w="1240" w:type="dxa"/>
            <w:tcBorders>
              <w:top w:val="nil"/>
              <w:left w:val="nil"/>
              <w:bottom w:val="single" w:sz="4" w:space="0" w:color="auto"/>
              <w:right w:val="single" w:sz="8" w:space="0" w:color="auto"/>
            </w:tcBorders>
            <w:shd w:val="clear" w:color="auto" w:fill="auto"/>
            <w:noWrap/>
            <w:vAlign w:val="bottom"/>
            <w:hideMark/>
          </w:tcPr>
          <w:p w14:paraId="1D558D5C"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35000</w:t>
            </w:r>
          </w:p>
        </w:tc>
      </w:tr>
      <w:tr w:rsidR="000C099F" w:rsidRPr="000C099F" w14:paraId="3804FF1A" w14:textId="77777777" w:rsidTr="000C099F">
        <w:trPr>
          <w:trHeight w:val="288"/>
        </w:trPr>
        <w:tc>
          <w:tcPr>
            <w:tcW w:w="6624" w:type="dxa"/>
            <w:tcBorders>
              <w:top w:val="nil"/>
              <w:left w:val="single" w:sz="8" w:space="0" w:color="auto"/>
              <w:bottom w:val="single" w:sz="4" w:space="0" w:color="auto"/>
              <w:right w:val="single" w:sz="4" w:space="0" w:color="auto"/>
            </w:tcBorders>
            <w:shd w:val="clear" w:color="auto" w:fill="auto"/>
            <w:noWrap/>
            <w:vAlign w:val="bottom"/>
            <w:hideMark/>
          </w:tcPr>
          <w:p w14:paraId="497A87B2" w14:textId="77777777"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Total relevant cost</w:t>
            </w:r>
          </w:p>
        </w:tc>
        <w:tc>
          <w:tcPr>
            <w:tcW w:w="1240" w:type="dxa"/>
            <w:tcBorders>
              <w:top w:val="nil"/>
              <w:left w:val="nil"/>
              <w:bottom w:val="single" w:sz="4" w:space="0" w:color="auto"/>
              <w:right w:val="single" w:sz="8" w:space="0" w:color="auto"/>
            </w:tcBorders>
            <w:shd w:val="clear" w:color="auto" w:fill="auto"/>
            <w:noWrap/>
            <w:vAlign w:val="bottom"/>
            <w:hideMark/>
          </w:tcPr>
          <w:p w14:paraId="7CB49D57"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235000</w:t>
            </w:r>
          </w:p>
        </w:tc>
      </w:tr>
      <w:tr w:rsidR="000C099F" w:rsidRPr="000C099F" w14:paraId="362EEC51" w14:textId="77777777" w:rsidTr="000C099F">
        <w:trPr>
          <w:trHeight w:val="288"/>
        </w:trPr>
        <w:tc>
          <w:tcPr>
            <w:tcW w:w="6624" w:type="dxa"/>
            <w:tcBorders>
              <w:top w:val="nil"/>
              <w:left w:val="single" w:sz="8" w:space="0" w:color="auto"/>
              <w:bottom w:val="single" w:sz="4" w:space="0" w:color="auto"/>
              <w:right w:val="single" w:sz="4" w:space="0" w:color="auto"/>
            </w:tcBorders>
            <w:shd w:val="clear" w:color="auto" w:fill="auto"/>
            <w:noWrap/>
            <w:vAlign w:val="bottom"/>
            <w:hideMark/>
          </w:tcPr>
          <w:p w14:paraId="32BB62E3" w14:textId="77777777"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Sales unit</w:t>
            </w:r>
          </w:p>
        </w:tc>
        <w:tc>
          <w:tcPr>
            <w:tcW w:w="1240" w:type="dxa"/>
            <w:tcBorders>
              <w:top w:val="nil"/>
              <w:left w:val="nil"/>
              <w:bottom w:val="single" w:sz="4" w:space="0" w:color="auto"/>
              <w:right w:val="single" w:sz="8" w:space="0" w:color="auto"/>
            </w:tcBorders>
            <w:shd w:val="clear" w:color="auto" w:fill="auto"/>
            <w:noWrap/>
            <w:vAlign w:val="bottom"/>
            <w:hideMark/>
          </w:tcPr>
          <w:p w14:paraId="59CD5B28"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100000</w:t>
            </w:r>
          </w:p>
        </w:tc>
      </w:tr>
      <w:tr w:rsidR="000C099F" w:rsidRPr="000C099F" w14:paraId="0AD3A5D7" w14:textId="77777777" w:rsidTr="000C099F">
        <w:trPr>
          <w:trHeight w:val="300"/>
        </w:trPr>
        <w:tc>
          <w:tcPr>
            <w:tcW w:w="6624" w:type="dxa"/>
            <w:tcBorders>
              <w:top w:val="nil"/>
              <w:left w:val="single" w:sz="8" w:space="0" w:color="auto"/>
              <w:bottom w:val="single" w:sz="8" w:space="0" w:color="auto"/>
              <w:right w:val="single" w:sz="4" w:space="0" w:color="auto"/>
            </w:tcBorders>
            <w:shd w:val="clear" w:color="auto" w:fill="auto"/>
            <w:noWrap/>
            <w:vAlign w:val="bottom"/>
            <w:hideMark/>
          </w:tcPr>
          <w:p w14:paraId="412CB0A6" w14:textId="77777777"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Cost per unit</w:t>
            </w:r>
          </w:p>
        </w:tc>
        <w:tc>
          <w:tcPr>
            <w:tcW w:w="1240" w:type="dxa"/>
            <w:tcBorders>
              <w:top w:val="nil"/>
              <w:left w:val="nil"/>
              <w:bottom w:val="single" w:sz="8" w:space="0" w:color="auto"/>
              <w:right w:val="single" w:sz="8" w:space="0" w:color="auto"/>
            </w:tcBorders>
            <w:shd w:val="clear" w:color="auto" w:fill="auto"/>
            <w:noWrap/>
            <w:vAlign w:val="bottom"/>
            <w:hideMark/>
          </w:tcPr>
          <w:p w14:paraId="6A81A63F"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2.35</w:t>
            </w:r>
          </w:p>
        </w:tc>
      </w:tr>
    </w:tbl>
    <w:p w14:paraId="4D696335" w14:textId="22DD1EB2" w:rsidR="00AF54A0" w:rsidRPr="006B1ECF" w:rsidRDefault="000C099F" w:rsidP="000C099F">
      <w:pPr>
        <w:tabs>
          <w:tab w:val="left" w:pos="924"/>
        </w:tabs>
      </w:pPr>
      <w:r>
        <w:tab/>
      </w:r>
    </w:p>
    <w:p w14:paraId="2B96999D" w14:textId="02C025DC" w:rsidR="000C099F" w:rsidRPr="000C099F" w:rsidRDefault="000C099F" w:rsidP="000C099F">
      <w:pPr>
        <w:pStyle w:val="Legend"/>
        <w:keepNext/>
        <w:rPr>
          <w:sz w:val="24"/>
          <w:szCs w:val="24"/>
        </w:rPr>
      </w:pPr>
      <w:r w:rsidRPr="000C099F">
        <w:rPr>
          <w:sz w:val="24"/>
          <w:szCs w:val="24"/>
        </w:rPr>
        <w:t xml:space="preserve">Table </w:t>
      </w:r>
      <w:r w:rsidRPr="000C099F">
        <w:rPr>
          <w:sz w:val="24"/>
          <w:szCs w:val="24"/>
        </w:rPr>
        <w:fldChar w:fldCharType="begin"/>
      </w:r>
      <w:r w:rsidRPr="000C099F">
        <w:rPr>
          <w:sz w:val="24"/>
          <w:szCs w:val="24"/>
        </w:rPr>
        <w:instrText xml:space="preserve"> SEQ Table \* ARABIC </w:instrText>
      </w:r>
      <w:r w:rsidRPr="000C099F">
        <w:rPr>
          <w:sz w:val="24"/>
          <w:szCs w:val="24"/>
        </w:rPr>
        <w:fldChar w:fldCharType="separate"/>
      </w:r>
      <w:r w:rsidRPr="000C099F">
        <w:rPr>
          <w:noProof/>
          <w:sz w:val="24"/>
          <w:szCs w:val="24"/>
        </w:rPr>
        <w:t>5</w:t>
      </w:r>
      <w:r w:rsidRPr="000C099F">
        <w:rPr>
          <w:sz w:val="24"/>
          <w:szCs w:val="24"/>
        </w:rPr>
        <w:fldChar w:fldCharType="end"/>
      </w:r>
      <w:r w:rsidRPr="000C099F">
        <w:rPr>
          <w:sz w:val="24"/>
          <w:szCs w:val="24"/>
        </w:rPr>
        <w:t>: Selling through Amazon</w:t>
      </w:r>
    </w:p>
    <w:tbl>
      <w:tblPr>
        <w:tblW w:w="5720" w:type="dxa"/>
        <w:tblLook w:val="04A0" w:firstRow="1" w:lastRow="0" w:firstColumn="1" w:lastColumn="0" w:noHBand="0" w:noVBand="1"/>
      </w:tblPr>
      <w:tblGrid>
        <w:gridCol w:w="4480"/>
        <w:gridCol w:w="1240"/>
      </w:tblGrid>
      <w:tr w:rsidR="000C099F" w:rsidRPr="000C099F" w14:paraId="351EBCBF" w14:textId="77777777" w:rsidTr="000C099F">
        <w:trPr>
          <w:trHeight w:val="288"/>
        </w:trPr>
        <w:tc>
          <w:tcPr>
            <w:tcW w:w="44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749D57E" w14:textId="77777777" w:rsidR="000C099F" w:rsidRPr="000C099F" w:rsidRDefault="000C099F" w:rsidP="000C099F">
            <w:pPr>
              <w:spacing w:before="0" w:after="0" w:line="240" w:lineRule="auto"/>
              <w:jc w:val="left"/>
              <w:rPr>
                <w:rFonts w:eastAsia="Times New Roman" w:cs="Times New Roman"/>
                <w:b/>
                <w:bCs/>
                <w:color w:val="000000"/>
                <w:sz w:val="22"/>
                <w:lang w:eastAsia="en-IN"/>
              </w:rPr>
            </w:pPr>
            <w:r w:rsidRPr="000C099F">
              <w:rPr>
                <w:rFonts w:eastAsia="Times New Roman" w:cs="Times New Roman"/>
                <w:b/>
                <w:bCs/>
                <w:color w:val="000000"/>
                <w:sz w:val="22"/>
                <w:lang w:eastAsia="en-IN"/>
              </w:rPr>
              <w:t>Relevant cost of option 2</w:t>
            </w:r>
          </w:p>
        </w:tc>
        <w:tc>
          <w:tcPr>
            <w:tcW w:w="1240" w:type="dxa"/>
            <w:tcBorders>
              <w:top w:val="single" w:sz="8" w:space="0" w:color="auto"/>
              <w:left w:val="nil"/>
              <w:bottom w:val="single" w:sz="4" w:space="0" w:color="auto"/>
              <w:right w:val="single" w:sz="8" w:space="0" w:color="auto"/>
            </w:tcBorders>
            <w:shd w:val="clear" w:color="auto" w:fill="auto"/>
            <w:noWrap/>
            <w:vAlign w:val="bottom"/>
            <w:hideMark/>
          </w:tcPr>
          <w:p w14:paraId="169033C5" w14:textId="77777777"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 </w:t>
            </w:r>
          </w:p>
        </w:tc>
      </w:tr>
      <w:tr w:rsidR="000C099F" w:rsidRPr="000C099F" w14:paraId="21C2CAF8" w14:textId="77777777" w:rsidTr="000C099F">
        <w:trPr>
          <w:trHeight w:val="288"/>
        </w:trPr>
        <w:tc>
          <w:tcPr>
            <w:tcW w:w="4480" w:type="dxa"/>
            <w:tcBorders>
              <w:top w:val="nil"/>
              <w:left w:val="single" w:sz="8" w:space="0" w:color="auto"/>
              <w:bottom w:val="single" w:sz="4" w:space="0" w:color="auto"/>
              <w:right w:val="single" w:sz="4" w:space="0" w:color="auto"/>
            </w:tcBorders>
            <w:shd w:val="clear" w:color="auto" w:fill="auto"/>
            <w:noWrap/>
            <w:vAlign w:val="bottom"/>
            <w:hideMark/>
          </w:tcPr>
          <w:p w14:paraId="773BBD5B" w14:textId="0E5B2E76"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Amazon fulfilment expense</w:t>
            </w:r>
          </w:p>
        </w:tc>
        <w:tc>
          <w:tcPr>
            <w:tcW w:w="1240" w:type="dxa"/>
            <w:tcBorders>
              <w:top w:val="nil"/>
              <w:left w:val="nil"/>
              <w:bottom w:val="single" w:sz="4" w:space="0" w:color="auto"/>
              <w:right w:val="single" w:sz="8" w:space="0" w:color="auto"/>
            </w:tcBorders>
            <w:shd w:val="clear" w:color="auto" w:fill="auto"/>
            <w:noWrap/>
            <w:vAlign w:val="bottom"/>
            <w:hideMark/>
          </w:tcPr>
          <w:p w14:paraId="49DC4152"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50000</w:t>
            </w:r>
          </w:p>
        </w:tc>
      </w:tr>
      <w:tr w:rsidR="000C099F" w:rsidRPr="000C099F" w14:paraId="3D4F02BA" w14:textId="77777777" w:rsidTr="000C099F">
        <w:trPr>
          <w:trHeight w:val="288"/>
        </w:trPr>
        <w:tc>
          <w:tcPr>
            <w:tcW w:w="4480" w:type="dxa"/>
            <w:tcBorders>
              <w:top w:val="nil"/>
              <w:left w:val="single" w:sz="8" w:space="0" w:color="auto"/>
              <w:bottom w:val="single" w:sz="4" w:space="0" w:color="auto"/>
              <w:right w:val="single" w:sz="4" w:space="0" w:color="auto"/>
            </w:tcBorders>
            <w:shd w:val="clear" w:color="auto" w:fill="auto"/>
            <w:noWrap/>
            <w:vAlign w:val="bottom"/>
            <w:hideMark/>
          </w:tcPr>
          <w:p w14:paraId="48F16050" w14:textId="77777777"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Total relevant cost</w:t>
            </w:r>
          </w:p>
        </w:tc>
        <w:tc>
          <w:tcPr>
            <w:tcW w:w="1240" w:type="dxa"/>
            <w:tcBorders>
              <w:top w:val="nil"/>
              <w:left w:val="nil"/>
              <w:bottom w:val="single" w:sz="4" w:space="0" w:color="auto"/>
              <w:right w:val="single" w:sz="8" w:space="0" w:color="auto"/>
            </w:tcBorders>
            <w:shd w:val="clear" w:color="auto" w:fill="auto"/>
            <w:noWrap/>
            <w:vAlign w:val="bottom"/>
            <w:hideMark/>
          </w:tcPr>
          <w:p w14:paraId="6F08BD31"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50000</w:t>
            </w:r>
          </w:p>
        </w:tc>
      </w:tr>
      <w:tr w:rsidR="000C099F" w:rsidRPr="000C099F" w14:paraId="49BC1110" w14:textId="77777777" w:rsidTr="000C099F">
        <w:trPr>
          <w:trHeight w:val="288"/>
        </w:trPr>
        <w:tc>
          <w:tcPr>
            <w:tcW w:w="4480" w:type="dxa"/>
            <w:tcBorders>
              <w:top w:val="nil"/>
              <w:left w:val="single" w:sz="8" w:space="0" w:color="auto"/>
              <w:bottom w:val="single" w:sz="4" w:space="0" w:color="auto"/>
              <w:right w:val="single" w:sz="4" w:space="0" w:color="auto"/>
            </w:tcBorders>
            <w:shd w:val="clear" w:color="auto" w:fill="auto"/>
            <w:noWrap/>
            <w:vAlign w:val="bottom"/>
            <w:hideMark/>
          </w:tcPr>
          <w:p w14:paraId="1B287237" w14:textId="77777777"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Sales unit</w:t>
            </w:r>
          </w:p>
        </w:tc>
        <w:tc>
          <w:tcPr>
            <w:tcW w:w="1240" w:type="dxa"/>
            <w:tcBorders>
              <w:top w:val="nil"/>
              <w:left w:val="nil"/>
              <w:bottom w:val="single" w:sz="4" w:space="0" w:color="auto"/>
              <w:right w:val="single" w:sz="8" w:space="0" w:color="auto"/>
            </w:tcBorders>
            <w:shd w:val="clear" w:color="auto" w:fill="auto"/>
            <w:noWrap/>
            <w:vAlign w:val="bottom"/>
            <w:hideMark/>
          </w:tcPr>
          <w:p w14:paraId="79B256E2"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65000</w:t>
            </w:r>
          </w:p>
        </w:tc>
      </w:tr>
      <w:tr w:rsidR="000C099F" w:rsidRPr="000C099F" w14:paraId="38D0249A" w14:textId="77777777" w:rsidTr="000C099F">
        <w:trPr>
          <w:trHeight w:val="300"/>
        </w:trPr>
        <w:tc>
          <w:tcPr>
            <w:tcW w:w="4480" w:type="dxa"/>
            <w:tcBorders>
              <w:top w:val="nil"/>
              <w:left w:val="single" w:sz="8" w:space="0" w:color="auto"/>
              <w:bottom w:val="single" w:sz="8" w:space="0" w:color="auto"/>
              <w:right w:val="single" w:sz="4" w:space="0" w:color="auto"/>
            </w:tcBorders>
            <w:shd w:val="clear" w:color="auto" w:fill="auto"/>
            <w:noWrap/>
            <w:vAlign w:val="bottom"/>
            <w:hideMark/>
          </w:tcPr>
          <w:p w14:paraId="4EE7817B" w14:textId="77777777" w:rsidR="000C099F" w:rsidRPr="000C099F" w:rsidRDefault="000C099F" w:rsidP="000C099F">
            <w:pPr>
              <w:spacing w:before="0" w:after="0" w:line="240" w:lineRule="auto"/>
              <w:jc w:val="left"/>
              <w:rPr>
                <w:rFonts w:eastAsia="Times New Roman" w:cs="Times New Roman"/>
                <w:color w:val="000000"/>
                <w:sz w:val="22"/>
                <w:lang w:eastAsia="en-IN"/>
              </w:rPr>
            </w:pPr>
            <w:r w:rsidRPr="000C099F">
              <w:rPr>
                <w:rFonts w:eastAsia="Times New Roman" w:cs="Times New Roman"/>
                <w:color w:val="000000"/>
                <w:sz w:val="22"/>
                <w:lang w:eastAsia="en-IN"/>
              </w:rPr>
              <w:t>Cost per unit</w:t>
            </w:r>
          </w:p>
        </w:tc>
        <w:tc>
          <w:tcPr>
            <w:tcW w:w="1240" w:type="dxa"/>
            <w:tcBorders>
              <w:top w:val="nil"/>
              <w:left w:val="nil"/>
              <w:bottom w:val="single" w:sz="8" w:space="0" w:color="auto"/>
              <w:right w:val="single" w:sz="8" w:space="0" w:color="auto"/>
            </w:tcBorders>
            <w:shd w:val="clear" w:color="auto" w:fill="auto"/>
            <w:noWrap/>
            <w:vAlign w:val="bottom"/>
            <w:hideMark/>
          </w:tcPr>
          <w:p w14:paraId="225F3064" w14:textId="77777777" w:rsidR="000C099F" w:rsidRPr="000C099F" w:rsidRDefault="000C099F" w:rsidP="000C099F">
            <w:pPr>
              <w:spacing w:before="0" w:after="0" w:line="240" w:lineRule="auto"/>
              <w:jc w:val="right"/>
              <w:rPr>
                <w:rFonts w:eastAsia="Times New Roman" w:cs="Times New Roman"/>
                <w:color w:val="000000"/>
                <w:sz w:val="22"/>
                <w:lang w:eastAsia="en-IN"/>
              </w:rPr>
            </w:pPr>
            <w:r w:rsidRPr="000C099F">
              <w:rPr>
                <w:rFonts w:eastAsia="Times New Roman" w:cs="Times New Roman"/>
                <w:color w:val="000000"/>
                <w:sz w:val="22"/>
                <w:lang w:eastAsia="en-IN"/>
              </w:rPr>
              <w:t>0.77</w:t>
            </w:r>
          </w:p>
        </w:tc>
      </w:tr>
    </w:tbl>
    <w:p w14:paraId="5A045E71" w14:textId="68C1ECD0" w:rsidR="000C099F" w:rsidRDefault="000C099F" w:rsidP="009F1218">
      <w:r>
        <w:t xml:space="preserve">The above tables 4 and 5 suggested that Amana ltd cost of selling through making their website portal as well as with Amazon. To operate with the company portal </w:t>
      </w:r>
      <w:r w:rsidR="00D16EBB">
        <w:t xml:space="preserve">Amana ltd has </w:t>
      </w:r>
      <w:r w:rsidR="001B59E4">
        <w:t xml:space="preserve">a </w:t>
      </w:r>
      <w:r w:rsidR="00D16EBB">
        <w:t xml:space="preserve">variety </w:t>
      </w:r>
      <w:r w:rsidR="001B59E4">
        <w:t>of</w:t>
      </w:r>
      <w:r w:rsidR="00D16EBB">
        <w:t xml:space="preserve"> </w:t>
      </w:r>
      <w:r w:rsidR="001B59E4">
        <w:t>costs</w:t>
      </w:r>
      <w:r w:rsidR="00D16EBB">
        <w:t xml:space="preserve"> </w:t>
      </w:r>
      <w:r w:rsidR="001B59E4">
        <w:t xml:space="preserve">that </w:t>
      </w:r>
      <w:r w:rsidR="00D16EBB">
        <w:t xml:space="preserve">must need to </w:t>
      </w:r>
      <w:r w:rsidR="001B59E4">
        <w:t>handled</w:t>
      </w:r>
      <w:r w:rsidR="00D16EBB">
        <w:t xml:space="preserve"> and the costs </w:t>
      </w:r>
      <w:r w:rsidR="001B59E4">
        <w:t>are</w:t>
      </w:r>
      <w:r w:rsidR="00D16EBB">
        <w:t xml:space="preserve"> also unavoidable. The company needs to build their network delivery process </w:t>
      </w:r>
      <w:r w:rsidR="001B59E4">
        <w:t>which</w:t>
      </w:r>
      <w:r w:rsidR="00D16EBB">
        <w:t xml:space="preserve"> requires the cost of 150000 which is very considerable and can affect the running of the organisation. The regular upgrades needed for the site increases the sales of the organisation more effectively and efficiently. </w:t>
      </w:r>
      <w:r w:rsidR="008B2CF8">
        <w:t xml:space="preserve">The cost for regular upgrading </w:t>
      </w:r>
      <w:r w:rsidR="001B59E4">
        <w:t xml:space="preserve">of </w:t>
      </w:r>
      <w:r w:rsidR="008B2CF8">
        <w:t xml:space="preserve">the portal is 50000 </w:t>
      </w:r>
      <w:r w:rsidR="001B59E4">
        <w:t>which</w:t>
      </w:r>
      <w:r w:rsidR="008B2CF8">
        <w:t xml:space="preserve"> is also </w:t>
      </w:r>
      <w:r w:rsidR="001B59E4">
        <w:t xml:space="preserve">a </w:t>
      </w:r>
      <w:r w:rsidR="008B2CF8">
        <w:t xml:space="preserve">relevant and avoidable cost for Amana ltd. The particular technician and </w:t>
      </w:r>
      <w:r w:rsidR="001B59E4">
        <w:t>full-time</w:t>
      </w:r>
      <w:r w:rsidR="008B2CF8">
        <w:t xml:space="preserve"> employee </w:t>
      </w:r>
      <w:r w:rsidR="001B59E4">
        <w:t>are</w:t>
      </w:r>
      <w:r w:rsidR="008B2CF8">
        <w:t xml:space="preserve"> required to manage any bugs and errors </w:t>
      </w:r>
      <w:r w:rsidR="001B59E4">
        <w:t>in</w:t>
      </w:r>
      <w:r w:rsidR="008B2CF8">
        <w:t xml:space="preserve"> the portal this is </w:t>
      </w:r>
      <w:r w:rsidR="001B59E4">
        <w:t xml:space="preserve">a </w:t>
      </w:r>
      <w:r w:rsidR="008B2CF8">
        <w:t xml:space="preserve">very necessary cost for an entity to cover. The salary given to the employee to manage the portal optimally is 35000 </w:t>
      </w:r>
      <w:r w:rsidR="001B59E4">
        <w:t>which</w:t>
      </w:r>
      <w:r w:rsidR="008B2CF8">
        <w:t xml:space="preserve"> is also required for managing the site. The total cost for </w:t>
      </w:r>
      <w:r w:rsidR="00C245DD">
        <w:t xml:space="preserve">Amana ltd for operating its website will be 235000. This is very expensive for </w:t>
      </w:r>
      <w:r w:rsidR="001B59E4">
        <w:t xml:space="preserve">Amana ltd. </w:t>
      </w:r>
    </w:p>
    <w:p w14:paraId="72A6C5BF" w14:textId="48F389A9" w:rsidR="00D707E1" w:rsidRDefault="00D707E1" w:rsidP="009F1218">
      <w:r>
        <w:t xml:space="preserve">The Amana ltd total price with operating through </w:t>
      </w:r>
      <w:r w:rsidR="00BD6421">
        <w:t>A</w:t>
      </w:r>
      <w:r>
        <w:t xml:space="preserve">mazon is 50000 which is fixed for </w:t>
      </w:r>
      <w:r w:rsidR="00E73C1C">
        <w:t xml:space="preserve">the particular expenses </w:t>
      </w:r>
      <w:r w:rsidR="00BD6421">
        <w:t xml:space="preserve">that </w:t>
      </w:r>
      <w:r w:rsidR="00E73C1C">
        <w:t xml:space="preserve">occurred shall be </w:t>
      </w:r>
      <w:r w:rsidR="00BD6421">
        <w:t>met</w:t>
      </w:r>
      <w:r w:rsidR="00E73C1C">
        <w:t xml:space="preserve"> by the</w:t>
      </w:r>
      <w:r w:rsidR="00BD6421">
        <w:t xml:space="preserve">m. The total expenses to Amana Ltd operated with amazon </w:t>
      </w:r>
      <w:r w:rsidR="006B3DD4">
        <w:t>are</w:t>
      </w:r>
      <w:r w:rsidR="00BD6421">
        <w:t xml:space="preserve"> 50000 which is very less compared </w:t>
      </w:r>
      <w:r w:rsidR="006B3DD4">
        <w:t xml:space="preserve">to the business operating through its portal. The expenses of the entity are limited and there is no requirement to recruit a technical employee for managing the operation. The security is also provided with Amazon which is also very helpful for the business operating online. The upgradation of the website and managing the bugs and errors handled by amazon only is also very essential for </w:t>
      </w:r>
      <w:r w:rsidR="00EC5410">
        <w:t xml:space="preserve">Amana ltd to handle all the necessary functions with the online site only. </w:t>
      </w:r>
    </w:p>
    <w:p w14:paraId="584A2E40" w14:textId="22C17750" w:rsidR="00AF09B8" w:rsidRDefault="00EC5410" w:rsidP="009F1218">
      <w:r>
        <w:t xml:space="preserve">If the cost compared for a company operates through its portal which is 235000 and Amazon with 50000. The cost for Amana ltd is less if it is operated with the Amazon as cost per unit is only 0.77 and </w:t>
      </w:r>
      <w:r w:rsidR="000811DB">
        <w:t>through its portal, it is 2.35 per unit. If the company hires an employee for handling the business such as delivery and return of the products the cost operates with Amazon is less for the company as there is a very wider gap in the cost with Amazon and Amana portal</w:t>
      </w:r>
      <w:r w:rsidR="00963757">
        <w:t xml:space="preserve"> </w:t>
      </w:r>
      <w:r w:rsidR="00963757" w:rsidRPr="00963757">
        <w:t>(Gracia, 2021, p.30)</w:t>
      </w:r>
      <w:r w:rsidR="000811DB">
        <w:t>.</w:t>
      </w:r>
    </w:p>
    <w:p w14:paraId="3319C206" w14:textId="77777777" w:rsidR="00AF09B8" w:rsidRDefault="00AF09B8">
      <w:pPr>
        <w:spacing w:before="0" w:after="160" w:line="259" w:lineRule="auto"/>
        <w:jc w:val="left"/>
      </w:pPr>
      <w:r>
        <w:br w:type="page"/>
      </w:r>
    </w:p>
    <w:p w14:paraId="41F4FD2C" w14:textId="5A1D12AB" w:rsidR="00EC5410" w:rsidRDefault="00AF09B8" w:rsidP="00AF09B8">
      <w:pPr>
        <w:pStyle w:val="Titlu1"/>
      </w:pPr>
      <w:bookmarkStart w:id="6" w:name="_Toc113532737"/>
      <w:r w:rsidRPr="00AF09B8">
        <w:t>Reference</w:t>
      </w:r>
      <w:bookmarkEnd w:id="6"/>
      <w:r w:rsidR="000811DB" w:rsidRPr="00AF09B8">
        <w:t xml:space="preserve"> </w:t>
      </w:r>
    </w:p>
    <w:p w14:paraId="54C71783" w14:textId="77777777" w:rsidR="004C008A" w:rsidRDefault="004C008A" w:rsidP="00A363B7">
      <w:r>
        <w:rPr>
          <w:shd w:val="clear" w:color="auto" w:fill="FFFFFF"/>
        </w:rPr>
        <w:t xml:space="preserve">Amirul, S. and Mail, R. (2020) ‘Strategic Flexible Working Arrangement: The Realignment between Human Resource and Management Accounting’, </w:t>
      </w:r>
      <w:r w:rsidRPr="00C7020D">
        <w:rPr>
          <w:i/>
          <w:iCs/>
          <w:shd w:val="clear" w:color="auto" w:fill="FFFFFF"/>
        </w:rPr>
        <w:t>SSRN</w:t>
      </w:r>
      <w:r>
        <w:rPr>
          <w:i/>
          <w:iCs/>
          <w:shd w:val="clear" w:color="auto" w:fill="FFFFFF"/>
        </w:rPr>
        <w:t>.</w:t>
      </w:r>
      <w:r>
        <w:rPr>
          <w:shd w:val="clear" w:color="auto" w:fill="FFFFFF"/>
        </w:rPr>
        <w:t xml:space="preserve"> pp.1-14.  </w:t>
      </w:r>
      <w:hyperlink r:id="rId8" w:history="1">
        <w:r w:rsidRPr="00823E8E">
          <w:rPr>
            <w:rStyle w:val="Hyperlink"/>
          </w:rPr>
          <w:t>https://doi.org/10.18510/hssr.2020.84118</w:t>
        </w:r>
      </w:hyperlink>
    </w:p>
    <w:p w14:paraId="74DDEABB" w14:textId="77777777" w:rsidR="004C008A" w:rsidRDefault="004C008A" w:rsidP="00A363B7">
      <w:pPr>
        <w:rPr>
          <w:shd w:val="clear" w:color="auto" w:fill="FFFFFF"/>
        </w:rPr>
      </w:pPr>
      <w:r>
        <w:rPr>
          <w:shd w:val="clear" w:color="auto" w:fill="FFFFFF"/>
        </w:rPr>
        <w:t>Bargavi, N., MONIR, M.M.S., Das, S. and Rizal, S. (2022) CONSUMER’S SHIFT TOWARDS E-COMMERCE AND M-COMMERCE: AN EMPIRICAL INVESTIGATION’,  </w:t>
      </w:r>
      <w:r>
        <w:rPr>
          <w:i/>
          <w:iCs/>
          <w:shd w:val="clear" w:color="auto" w:fill="FFFFFF"/>
        </w:rPr>
        <w:t>Journal of Positive School Psychology</w:t>
      </w:r>
      <w:r>
        <w:rPr>
          <w:shd w:val="clear" w:color="auto" w:fill="FFFFFF"/>
        </w:rPr>
        <w:t>, </w:t>
      </w:r>
      <w:r>
        <w:rPr>
          <w:i/>
          <w:iCs/>
          <w:shd w:val="clear" w:color="auto" w:fill="FFFFFF"/>
        </w:rPr>
        <w:t>6</w:t>
      </w:r>
      <w:r>
        <w:rPr>
          <w:shd w:val="clear" w:color="auto" w:fill="FFFFFF"/>
        </w:rPr>
        <w:t xml:space="preserve">(2), pp.703-710. </w:t>
      </w:r>
      <w:hyperlink r:id="rId9" w:history="1">
        <w:r w:rsidRPr="00823E8E">
          <w:rPr>
            <w:rStyle w:val="Hyperlink"/>
            <w:rFonts w:ascii="Arial" w:hAnsi="Arial" w:cs="Arial"/>
            <w:sz w:val="20"/>
            <w:szCs w:val="20"/>
            <w:shd w:val="clear" w:color="auto" w:fill="FFFFFF"/>
          </w:rPr>
          <w:t>https://www.journalppw.com/index.php/jpsp/article/view/1561/837</w:t>
        </w:r>
      </w:hyperlink>
      <w:r>
        <w:rPr>
          <w:shd w:val="clear" w:color="auto" w:fill="FFFFFF"/>
        </w:rPr>
        <w:t xml:space="preserve"> </w:t>
      </w:r>
    </w:p>
    <w:p w14:paraId="00830897" w14:textId="77777777" w:rsidR="004C008A" w:rsidRDefault="004C008A" w:rsidP="00A363B7">
      <w:r w:rsidRPr="002B3841">
        <w:rPr>
          <w:color w:val="222222"/>
          <w:shd w:val="clear" w:color="auto" w:fill="FFFFFF"/>
        </w:rPr>
        <w:t xml:space="preserve">BLAY, E. </w:t>
      </w:r>
      <w:r>
        <w:rPr>
          <w:color w:val="222222"/>
          <w:shd w:val="clear" w:color="auto" w:fill="FFFFFF"/>
        </w:rPr>
        <w:t>(</w:t>
      </w:r>
      <w:r w:rsidRPr="002B3841">
        <w:rPr>
          <w:color w:val="222222"/>
          <w:shd w:val="clear" w:color="auto" w:fill="FFFFFF"/>
        </w:rPr>
        <w:t>2020</w:t>
      </w:r>
      <w:r>
        <w:rPr>
          <w:color w:val="222222"/>
          <w:shd w:val="clear" w:color="auto" w:fill="FFFFFF"/>
        </w:rPr>
        <w:t>)</w:t>
      </w:r>
      <w:r w:rsidRPr="002B3841">
        <w:rPr>
          <w:color w:val="222222"/>
          <w:shd w:val="clear" w:color="auto" w:fill="FFFFFF"/>
        </w:rPr>
        <w:t xml:space="preserve"> </w:t>
      </w:r>
      <w:r>
        <w:rPr>
          <w:color w:val="222222"/>
          <w:shd w:val="clear" w:color="auto" w:fill="FFFFFF"/>
        </w:rPr>
        <w:t>‘</w:t>
      </w:r>
      <w:r w:rsidRPr="002B3841">
        <w:rPr>
          <w:color w:val="222222"/>
          <w:shd w:val="clear" w:color="auto" w:fill="FFFFFF"/>
        </w:rPr>
        <w:t>THE ROLE OF BUDGETING IN THE MANAGEMENT OF PUBLIC FUNDS IN TERTIARY INSTITUTIONS: A CASE STUDY OF THE UNIVERSITY OF ENERGY AND NATURAL RESOURCES</w:t>
      </w:r>
      <w:r>
        <w:rPr>
          <w:color w:val="222222"/>
          <w:shd w:val="clear" w:color="auto" w:fill="FFFFFF"/>
        </w:rPr>
        <w:t>’</w:t>
      </w:r>
      <w:r w:rsidRPr="002B3841">
        <w:rPr>
          <w:color w:val="222222"/>
          <w:shd w:val="clear" w:color="auto" w:fill="FFFFFF"/>
        </w:rPr>
        <w:t xml:space="preserve">, </w:t>
      </w:r>
      <w:r w:rsidRPr="005561A0">
        <w:rPr>
          <w:i/>
          <w:iCs/>
          <w:color w:val="222222"/>
          <w:shd w:val="clear" w:color="auto" w:fill="FFFFFF"/>
        </w:rPr>
        <w:t>SUNYANI</w:t>
      </w:r>
      <w:r w:rsidRPr="002B3841">
        <w:rPr>
          <w:color w:val="222222"/>
          <w:shd w:val="clear" w:color="auto" w:fill="FFFFFF"/>
        </w:rPr>
        <w:t xml:space="preserve">. pp.1-107. </w:t>
      </w:r>
      <w:hyperlink r:id="rId10" w:history="1">
        <w:r w:rsidRPr="002B3841">
          <w:rPr>
            <w:rStyle w:val="Hyperlink"/>
            <w:rFonts w:cs="Times New Roman"/>
            <w:szCs w:val="24"/>
          </w:rPr>
          <w:t>https://originaljournals.com/get-publish-file/219-EMMANUEL%20BLAY%20-%20DONE-1627760456.pdf</w:t>
        </w:r>
      </w:hyperlink>
      <w:r w:rsidRPr="002B3841">
        <w:t xml:space="preserve"> </w:t>
      </w:r>
    </w:p>
    <w:p w14:paraId="3DED37B0" w14:textId="77777777" w:rsidR="004C008A" w:rsidRDefault="004C008A" w:rsidP="00A363B7">
      <w:r w:rsidRPr="002B3841">
        <w:rPr>
          <w:color w:val="242424"/>
          <w:shd w:val="clear" w:color="auto" w:fill="FFFFFF"/>
        </w:rPr>
        <w:t xml:space="preserve">Budget, C.B.A.B.A. </w:t>
      </w:r>
      <w:r>
        <w:rPr>
          <w:color w:val="242424"/>
          <w:shd w:val="clear" w:color="auto" w:fill="FFFFFF"/>
        </w:rPr>
        <w:t>(</w:t>
      </w:r>
      <w:r w:rsidRPr="002B3841">
        <w:rPr>
          <w:color w:val="242424"/>
          <w:shd w:val="clear" w:color="auto" w:fill="FFFFFF"/>
        </w:rPr>
        <w:t>2021</w:t>
      </w:r>
      <w:r>
        <w:rPr>
          <w:color w:val="242424"/>
          <w:shd w:val="clear" w:color="auto" w:fill="FFFFFF"/>
        </w:rPr>
        <w:t>)</w:t>
      </w:r>
      <w:r w:rsidRPr="002B3841">
        <w:rPr>
          <w:color w:val="242424"/>
          <w:shd w:val="clear" w:color="auto" w:fill="FFFFFF"/>
        </w:rPr>
        <w:t xml:space="preserve"> </w:t>
      </w:r>
      <w:r>
        <w:rPr>
          <w:color w:val="242424"/>
          <w:shd w:val="clear" w:color="auto" w:fill="FFFFFF"/>
        </w:rPr>
        <w:t>‘</w:t>
      </w:r>
      <w:r w:rsidRPr="002B3841">
        <w:rPr>
          <w:color w:val="242424"/>
          <w:shd w:val="clear" w:color="auto" w:fill="FFFFFF"/>
        </w:rPr>
        <w:t>BUDGET 2021-22-APPROVED 11 JANUARY 2021</w:t>
      </w:r>
      <w:r>
        <w:rPr>
          <w:color w:val="242424"/>
          <w:shd w:val="clear" w:color="auto" w:fill="FFFFFF"/>
        </w:rPr>
        <w:t>’,</w:t>
      </w:r>
      <w:r w:rsidRPr="002B3841">
        <w:rPr>
          <w:color w:val="242424"/>
          <w:shd w:val="clear" w:color="auto" w:fill="FFFFFF"/>
        </w:rPr>
        <w:t> </w:t>
      </w:r>
      <w:r w:rsidRPr="002B3841">
        <w:rPr>
          <w:i/>
          <w:iCs/>
          <w:color w:val="242424"/>
          <w:shd w:val="clear" w:color="auto" w:fill="FFFFFF"/>
        </w:rPr>
        <w:t>Sage</w:t>
      </w:r>
      <w:r w:rsidRPr="002B3841">
        <w:rPr>
          <w:color w:val="242424"/>
          <w:shd w:val="clear" w:color="auto" w:fill="FFFFFF"/>
        </w:rPr>
        <w:t>, p</w:t>
      </w:r>
      <w:r>
        <w:rPr>
          <w:color w:val="242424"/>
          <w:shd w:val="clear" w:color="auto" w:fill="FFFFFF"/>
        </w:rPr>
        <w:t>p</w:t>
      </w:r>
      <w:r w:rsidRPr="002B3841">
        <w:rPr>
          <w:color w:val="242424"/>
          <w:shd w:val="clear" w:color="auto" w:fill="FFFFFF"/>
        </w:rPr>
        <w:t>.</w:t>
      </w:r>
      <w:r>
        <w:rPr>
          <w:color w:val="242424"/>
          <w:shd w:val="clear" w:color="auto" w:fill="FFFFFF"/>
        </w:rPr>
        <w:t xml:space="preserve">1-11. </w:t>
      </w:r>
      <w:hyperlink r:id="rId11" w:history="1">
        <w:r w:rsidRPr="00823E8E">
          <w:rPr>
            <w:rStyle w:val="Hyperlink"/>
            <w:rFonts w:cs="Times New Roman"/>
            <w:szCs w:val="24"/>
            <w:shd w:val="clear" w:color="auto" w:fill="FFFFFF"/>
          </w:rPr>
          <w:t>https://www.grangeoversandstowncouncil.gov.uk/uploads/1/2/2/5/122588176/210111_grange_town_council_budget_2021-22_final_approved_january_2021.pdf</w:t>
        </w:r>
      </w:hyperlink>
    </w:p>
    <w:p w14:paraId="507E2292" w14:textId="77777777" w:rsidR="004C008A" w:rsidRDefault="004C008A" w:rsidP="00A363B7">
      <w:pPr>
        <w:rPr>
          <w:color w:val="222222"/>
          <w:shd w:val="clear" w:color="auto" w:fill="FFFFFF"/>
        </w:rPr>
      </w:pPr>
      <w:r w:rsidRPr="002B3841">
        <w:rPr>
          <w:color w:val="222222"/>
          <w:shd w:val="clear" w:color="auto" w:fill="FFFFFF"/>
        </w:rPr>
        <w:t xml:space="preserve">Bui, N.T., Le, O.T.T. and Nguyen, P.T.T. </w:t>
      </w:r>
      <w:r>
        <w:rPr>
          <w:color w:val="222222"/>
          <w:shd w:val="clear" w:color="auto" w:fill="FFFFFF"/>
        </w:rPr>
        <w:t>(</w:t>
      </w:r>
      <w:r w:rsidRPr="002B3841">
        <w:rPr>
          <w:color w:val="222222"/>
          <w:shd w:val="clear" w:color="auto" w:fill="FFFFFF"/>
        </w:rPr>
        <w:t>2020</w:t>
      </w:r>
      <w:r>
        <w:rPr>
          <w:color w:val="222222"/>
          <w:shd w:val="clear" w:color="auto" w:fill="FFFFFF"/>
        </w:rPr>
        <w:t>)</w:t>
      </w:r>
      <w:r w:rsidRPr="002B3841">
        <w:rPr>
          <w:color w:val="222222"/>
          <w:shd w:val="clear" w:color="auto" w:fill="FFFFFF"/>
        </w:rPr>
        <w:t xml:space="preserve"> </w:t>
      </w:r>
      <w:r>
        <w:rPr>
          <w:color w:val="222222"/>
          <w:shd w:val="clear" w:color="auto" w:fill="FFFFFF"/>
        </w:rPr>
        <w:t>‘</w:t>
      </w:r>
      <w:r w:rsidRPr="002B3841">
        <w:rPr>
          <w:color w:val="222222"/>
          <w:shd w:val="clear" w:color="auto" w:fill="FFFFFF"/>
        </w:rPr>
        <w:t>Management accounting practices among vietnamese small and medium enterprises</w:t>
      </w:r>
      <w:r>
        <w:rPr>
          <w:color w:val="222222"/>
          <w:shd w:val="clear" w:color="auto" w:fill="FFFFFF"/>
        </w:rPr>
        <w:t xml:space="preserve">’, </w:t>
      </w:r>
      <w:r w:rsidRPr="002B3841">
        <w:rPr>
          <w:i/>
          <w:iCs/>
          <w:color w:val="222222"/>
          <w:shd w:val="clear" w:color="auto" w:fill="FFFFFF"/>
        </w:rPr>
        <w:t>Asian Economic and Financial Review</w:t>
      </w:r>
      <w:r w:rsidRPr="002B3841">
        <w:rPr>
          <w:color w:val="222222"/>
          <w:shd w:val="clear" w:color="auto" w:fill="FFFFFF"/>
        </w:rPr>
        <w:t>, </w:t>
      </w:r>
      <w:r w:rsidRPr="0043263C">
        <w:rPr>
          <w:color w:val="222222"/>
          <w:shd w:val="clear" w:color="auto" w:fill="FFFFFF"/>
        </w:rPr>
        <w:t>10</w:t>
      </w:r>
      <w:r w:rsidRPr="002B3841">
        <w:rPr>
          <w:color w:val="222222"/>
          <w:shd w:val="clear" w:color="auto" w:fill="FFFFFF"/>
        </w:rPr>
        <w:t>(1), pp.</w:t>
      </w:r>
      <w:r>
        <w:rPr>
          <w:color w:val="222222"/>
          <w:shd w:val="clear" w:color="auto" w:fill="FFFFFF"/>
        </w:rPr>
        <w:t xml:space="preserve"> </w:t>
      </w:r>
      <w:r w:rsidRPr="002B3841">
        <w:rPr>
          <w:color w:val="222222"/>
          <w:shd w:val="clear" w:color="auto" w:fill="FFFFFF"/>
        </w:rPr>
        <w:t>1-159.</w:t>
      </w:r>
    </w:p>
    <w:p w14:paraId="120112DC" w14:textId="77777777" w:rsidR="004C008A" w:rsidRPr="009B47EF" w:rsidRDefault="004C008A" w:rsidP="00A363B7">
      <w:r w:rsidRPr="002B3841">
        <w:rPr>
          <w:color w:val="222222"/>
          <w:shd w:val="clear" w:color="auto" w:fill="FFFFFF"/>
        </w:rPr>
        <w:t xml:space="preserve">Garcia, V. </w:t>
      </w:r>
      <w:r>
        <w:rPr>
          <w:color w:val="222222"/>
          <w:shd w:val="clear" w:color="auto" w:fill="FFFFFF"/>
        </w:rPr>
        <w:t>(</w:t>
      </w:r>
      <w:r w:rsidRPr="002B3841">
        <w:rPr>
          <w:color w:val="222222"/>
          <w:shd w:val="clear" w:color="auto" w:fill="FFFFFF"/>
        </w:rPr>
        <w:t>2021</w:t>
      </w:r>
      <w:r>
        <w:rPr>
          <w:color w:val="222222"/>
          <w:shd w:val="clear" w:color="auto" w:fill="FFFFFF"/>
        </w:rPr>
        <w:t>)</w:t>
      </w:r>
      <w:r w:rsidRPr="002B3841">
        <w:rPr>
          <w:color w:val="222222"/>
          <w:shd w:val="clear" w:color="auto" w:fill="FFFFFF"/>
        </w:rPr>
        <w:t xml:space="preserve"> </w:t>
      </w:r>
      <w:r>
        <w:rPr>
          <w:color w:val="222222"/>
          <w:shd w:val="clear" w:color="auto" w:fill="FFFFFF"/>
        </w:rPr>
        <w:t>‘</w:t>
      </w:r>
      <w:r w:rsidRPr="002B3841">
        <w:rPr>
          <w:color w:val="222222"/>
          <w:shd w:val="clear" w:color="auto" w:fill="FFFFFF"/>
        </w:rPr>
        <w:t>Examining the Impact of Selling on Amazon on the Revenue growth of MSEs in the US</w:t>
      </w:r>
      <w:r>
        <w:rPr>
          <w:color w:val="222222"/>
          <w:shd w:val="clear" w:color="auto" w:fill="FFFFFF"/>
        </w:rPr>
        <w:t>’,</w:t>
      </w:r>
      <w:r w:rsidRPr="002B3841">
        <w:rPr>
          <w:color w:val="222222"/>
          <w:shd w:val="clear" w:color="auto" w:fill="FFFFFF"/>
        </w:rPr>
        <w:t> </w:t>
      </w:r>
      <w:r w:rsidRPr="002B3841">
        <w:rPr>
          <w:i/>
          <w:iCs/>
          <w:color w:val="222222"/>
          <w:shd w:val="clear" w:color="auto" w:fill="FFFFFF"/>
        </w:rPr>
        <w:t>International Journal of Contemporary Financial Issues</w:t>
      </w:r>
      <w:r w:rsidRPr="002B3841">
        <w:rPr>
          <w:color w:val="222222"/>
          <w:shd w:val="clear" w:color="auto" w:fill="FFFFFF"/>
        </w:rPr>
        <w:t>, </w:t>
      </w:r>
      <w:r w:rsidRPr="00AB2035">
        <w:rPr>
          <w:color w:val="222222"/>
          <w:shd w:val="clear" w:color="auto" w:fill="FFFFFF"/>
        </w:rPr>
        <w:t>1</w:t>
      </w:r>
      <w:r w:rsidRPr="002B3841">
        <w:rPr>
          <w:color w:val="222222"/>
          <w:shd w:val="clear" w:color="auto" w:fill="FFFFFF"/>
        </w:rPr>
        <w:t xml:space="preserve">(1), pp.28-38. </w:t>
      </w:r>
      <w:hyperlink r:id="rId12" w:history="1">
        <w:r w:rsidRPr="002B3841">
          <w:rPr>
            <w:rStyle w:val="Hyperlink"/>
            <w:rFonts w:cs="Times New Roman"/>
            <w:color w:val="006CCC"/>
            <w:szCs w:val="24"/>
            <w:bdr w:val="none" w:sz="0" w:space="0" w:color="auto" w:frame="1"/>
            <w:shd w:val="clear" w:color="auto" w:fill="FFFFFF"/>
          </w:rPr>
          <w:t>http://dx.doi.org/10.17613/75cc-7022</w:t>
        </w:r>
      </w:hyperlink>
    </w:p>
    <w:p w14:paraId="4E3D30E7" w14:textId="77777777" w:rsidR="004C008A" w:rsidRDefault="004C008A" w:rsidP="00A363B7">
      <w:r w:rsidRPr="002B3841">
        <w:t xml:space="preserve">Guimarães, L.S.A. </w:t>
      </w:r>
      <w:r>
        <w:t>(</w:t>
      </w:r>
      <w:r w:rsidRPr="002B3841">
        <w:t>2022</w:t>
      </w:r>
      <w:r>
        <w:t>)</w:t>
      </w:r>
      <w:r w:rsidRPr="002B3841">
        <w:t> </w:t>
      </w:r>
      <w:r w:rsidRPr="00CD4653">
        <w:t>‘Testing the performance of the risk budgeting asset allocation strategy in the Brazilian market context’,  </w:t>
      </w:r>
      <w:r w:rsidRPr="00CD4653">
        <w:rPr>
          <w:i/>
          <w:iCs/>
        </w:rPr>
        <w:t>Doctoral dissertation</w:t>
      </w:r>
      <w:r w:rsidRPr="002B3841">
        <w:t>.</w:t>
      </w:r>
      <w:r>
        <w:t xml:space="preserve"> pp.1-52. </w:t>
      </w:r>
      <w:hyperlink r:id="rId13" w:history="1">
        <w:r w:rsidRPr="00823E8E">
          <w:rPr>
            <w:rStyle w:val="Hyperlink"/>
            <w:rFonts w:cs="Times New Roman"/>
            <w:szCs w:val="24"/>
          </w:rPr>
          <w:t>https://run.unl.pt/bitstream/10362/140496/1/2021-22_fall_44431_lucas-guimaraes.pdf</w:t>
        </w:r>
      </w:hyperlink>
    </w:p>
    <w:p w14:paraId="1C89E37D" w14:textId="77777777" w:rsidR="004C008A" w:rsidRDefault="004C008A" w:rsidP="00A363B7">
      <w:pPr>
        <w:rPr>
          <w:color w:val="2F5496" w:themeColor="accent1" w:themeShade="BF"/>
        </w:rPr>
      </w:pPr>
      <w:r>
        <w:rPr>
          <w:shd w:val="clear" w:color="auto" w:fill="FFFFFF"/>
        </w:rPr>
        <w:t>Javed, M.K. and Wu, M. (2020) ‘Effects of online retailer after delivery services on repurchase intention: An empirical analysis of customers’ past experience and future confidence with the retailer’, </w:t>
      </w:r>
      <w:r>
        <w:rPr>
          <w:i/>
          <w:iCs/>
          <w:shd w:val="clear" w:color="auto" w:fill="FFFFFF"/>
        </w:rPr>
        <w:t>Journal of Retailing and Consumer Services</w:t>
      </w:r>
      <w:r>
        <w:rPr>
          <w:shd w:val="clear" w:color="auto" w:fill="FFFFFF"/>
        </w:rPr>
        <w:t>, </w:t>
      </w:r>
      <w:r w:rsidRPr="00AB2035">
        <w:rPr>
          <w:shd w:val="clear" w:color="auto" w:fill="FFFFFF"/>
        </w:rPr>
        <w:t>54,</w:t>
      </w:r>
      <w:r>
        <w:rPr>
          <w:shd w:val="clear" w:color="auto" w:fill="FFFFFF"/>
        </w:rPr>
        <w:t xml:space="preserve"> pp.448-453.</w:t>
      </w:r>
      <w:r w:rsidRPr="00AB2035">
        <w:rPr>
          <w:color w:val="2F5496" w:themeColor="accent1" w:themeShade="BF"/>
        </w:rPr>
        <w:t xml:space="preserve"> </w:t>
      </w:r>
      <w:hyperlink r:id="rId14" w:history="1">
        <w:r w:rsidRPr="00AB2035">
          <w:rPr>
            <w:rStyle w:val="Hyperlink"/>
            <w:rFonts w:ascii="Open Sans" w:hAnsi="Open Sans" w:cs="Open Sans"/>
            <w:color w:val="2F5496" w:themeColor="accent1" w:themeShade="BF"/>
            <w:sz w:val="23"/>
            <w:szCs w:val="23"/>
          </w:rPr>
          <w:t>https://doi.org/10.31933/dijemss.v1i4.211</w:t>
        </w:r>
      </w:hyperlink>
    </w:p>
    <w:p w14:paraId="70E8F684" w14:textId="77777777" w:rsidR="004C008A" w:rsidRDefault="004C008A" w:rsidP="00A363B7">
      <w:r w:rsidRPr="002B3841">
        <w:rPr>
          <w:color w:val="222222"/>
          <w:shd w:val="clear" w:color="auto" w:fill="FFFFFF"/>
        </w:rPr>
        <w:t xml:space="preserve">Johansson, J. </w:t>
      </w:r>
      <w:r>
        <w:rPr>
          <w:color w:val="222222"/>
          <w:shd w:val="clear" w:color="auto" w:fill="FFFFFF"/>
        </w:rPr>
        <w:t>(</w:t>
      </w:r>
      <w:r w:rsidRPr="002B3841">
        <w:rPr>
          <w:color w:val="222222"/>
          <w:shd w:val="clear" w:color="auto" w:fill="FFFFFF"/>
        </w:rPr>
        <w:t>2021</w:t>
      </w:r>
      <w:r>
        <w:rPr>
          <w:color w:val="222222"/>
          <w:shd w:val="clear" w:color="auto" w:fill="FFFFFF"/>
        </w:rPr>
        <w:t>)</w:t>
      </w:r>
      <w:r w:rsidRPr="002B3841">
        <w:rPr>
          <w:color w:val="222222"/>
          <w:shd w:val="clear" w:color="auto" w:fill="FFFFFF"/>
        </w:rPr>
        <w:t xml:space="preserve"> </w:t>
      </w:r>
      <w:r>
        <w:rPr>
          <w:color w:val="222222"/>
          <w:shd w:val="clear" w:color="auto" w:fill="FFFFFF"/>
        </w:rPr>
        <w:t>‘</w:t>
      </w:r>
      <w:r w:rsidRPr="002B3841">
        <w:rPr>
          <w:color w:val="222222"/>
          <w:shd w:val="clear" w:color="auto" w:fill="FFFFFF"/>
        </w:rPr>
        <w:t>Launching a Product to Amazon Marketplace: Selling at Amazon. Com</w:t>
      </w:r>
      <w:r>
        <w:rPr>
          <w:color w:val="222222"/>
          <w:shd w:val="clear" w:color="auto" w:fill="FFFFFF"/>
        </w:rPr>
        <w:t>’</w:t>
      </w:r>
      <w:r w:rsidRPr="002B3841">
        <w:rPr>
          <w:color w:val="222222"/>
          <w:shd w:val="clear" w:color="auto" w:fill="FFFFFF"/>
        </w:rPr>
        <w:t xml:space="preserve">. pp.1-49 </w:t>
      </w:r>
      <w:hyperlink r:id="rId15" w:history="1">
        <w:r w:rsidRPr="002B3841">
          <w:rPr>
            <w:rStyle w:val="Hyperlink"/>
            <w:rFonts w:cs="Times New Roman"/>
            <w:szCs w:val="24"/>
          </w:rPr>
          <w:t>https://www.theseus.fi/handle/10024/359856</w:t>
        </w:r>
      </w:hyperlink>
    </w:p>
    <w:p w14:paraId="34462A6D" w14:textId="77777777" w:rsidR="004C008A" w:rsidRDefault="004C008A" w:rsidP="00A363B7">
      <w:r w:rsidRPr="002B3841">
        <w:rPr>
          <w:color w:val="242424"/>
          <w:shd w:val="clear" w:color="auto" w:fill="FFFFFF"/>
        </w:rPr>
        <w:t xml:space="preserve">Network, T.E. </w:t>
      </w:r>
      <w:r>
        <w:rPr>
          <w:color w:val="242424"/>
          <w:shd w:val="clear" w:color="auto" w:fill="FFFFFF"/>
        </w:rPr>
        <w:t>(</w:t>
      </w:r>
      <w:r w:rsidRPr="002B3841">
        <w:rPr>
          <w:color w:val="242424"/>
          <w:shd w:val="clear" w:color="auto" w:fill="FFFFFF"/>
        </w:rPr>
        <w:t>2021</w:t>
      </w:r>
      <w:r>
        <w:rPr>
          <w:color w:val="242424"/>
          <w:shd w:val="clear" w:color="auto" w:fill="FFFFFF"/>
        </w:rPr>
        <w:t>)</w:t>
      </w:r>
      <w:r w:rsidRPr="002B3841">
        <w:rPr>
          <w:color w:val="242424"/>
          <w:shd w:val="clear" w:color="auto" w:fill="FFFFFF"/>
        </w:rPr>
        <w:t xml:space="preserve"> </w:t>
      </w:r>
      <w:r>
        <w:rPr>
          <w:color w:val="242424"/>
          <w:shd w:val="clear" w:color="auto" w:fill="FFFFFF"/>
        </w:rPr>
        <w:t>‘</w:t>
      </w:r>
      <w:r w:rsidRPr="002B3841">
        <w:rPr>
          <w:color w:val="242424"/>
          <w:shd w:val="clear" w:color="auto" w:fill="FFFFFF"/>
        </w:rPr>
        <w:t>Report On Education Budget Analysis in Tanzania</w:t>
      </w:r>
      <w:r>
        <w:rPr>
          <w:color w:val="242424"/>
          <w:shd w:val="clear" w:color="auto" w:fill="FFFFFF"/>
        </w:rPr>
        <w:t xml:space="preserve">’. pp. 1-52. </w:t>
      </w:r>
      <w:hyperlink r:id="rId16" w:history="1">
        <w:r w:rsidRPr="00823E8E">
          <w:rPr>
            <w:rStyle w:val="Hyperlink"/>
            <w:rFonts w:cs="Times New Roman"/>
            <w:szCs w:val="24"/>
            <w:shd w:val="clear" w:color="auto" w:fill="FFFFFF"/>
          </w:rPr>
          <w:t>http://178.79.131.236/bitstream/handle/hesa/40/Education%20Budget%20Analysis%20%20Report-Tanzania.pdf?sequence=1&amp;isAllowed=y</w:t>
        </w:r>
      </w:hyperlink>
    </w:p>
    <w:p w14:paraId="02D676D6" w14:textId="77777777" w:rsidR="004C008A" w:rsidRDefault="004C008A" w:rsidP="00963757">
      <w:pPr>
        <w:rPr>
          <w:shd w:val="clear" w:color="auto" w:fill="FFFFFF"/>
        </w:rPr>
      </w:pPr>
      <w:r>
        <w:rPr>
          <w:shd w:val="clear" w:color="auto" w:fill="FFFFFF"/>
        </w:rPr>
        <w:t>Tomic, I., Tesic, Z., Kuzmanovic, B. and Tomic, M. (2018) ‘An empirical study of employee loyalty, service quality, cost reduction and company performance’, </w:t>
      </w:r>
      <w:r>
        <w:rPr>
          <w:i/>
          <w:iCs/>
          <w:shd w:val="clear" w:color="auto" w:fill="FFFFFF"/>
        </w:rPr>
        <w:t>Economic research-Ekonomska istraživanja</w:t>
      </w:r>
      <w:r>
        <w:rPr>
          <w:shd w:val="clear" w:color="auto" w:fill="FFFFFF"/>
        </w:rPr>
        <w:t>, </w:t>
      </w:r>
      <w:r>
        <w:rPr>
          <w:i/>
          <w:iCs/>
          <w:shd w:val="clear" w:color="auto" w:fill="FFFFFF"/>
        </w:rPr>
        <w:t>31</w:t>
      </w:r>
      <w:r>
        <w:rPr>
          <w:shd w:val="clear" w:color="auto" w:fill="FFFFFF"/>
        </w:rPr>
        <w:t>(1), pp.827-846.</w:t>
      </w:r>
    </w:p>
    <w:sectPr w:rsidR="004C008A" w:rsidSect="003D2A5F">
      <w:headerReference w:type="default" r:id="rId17"/>
      <w:footerReference w:type="default" r:id="rId18"/>
      <w:pgSz w:w="11906" w:h="16838"/>
      <w:pgMar w:top="1440" w:right="1440" w:bottom="1440" w:left="144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F71E2" w14:textId="77777777" w:rsidR="00DB6429" w:rsidRDefault="00DB6429" w:rsidP="003D2A5F">
      <w:pPr>
        <w:spacing w:before="0" w:after="0" w:line="240" w:lineRule="auto"/>
      </w:pPr>
      <w:r>
        <w:separator/>
      </w:r>
    </w:p>
  </w:endnote>
  <w:endnote w:type="continuationSeparator" w:id="0">
    <w:p w14:paraId="59D5A8CC" w14:textId="77777777" w:rsidR="00DB6429" w:rsidRDefault="00DB6429" w:rsidP="003D2A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278811"/>
      <w:docPartObj>
        <w:docPartGallery w:val="Page Numbers (Bottom of Page)"/>
        <w:docPartUnique/>
      </w:docPartObj>
    </w:sdtPr>
    <w:sdtEndPr>
      <w:rPr>
        <w:noProof/>
      </w:rPr>
    </w:sdtEndPr>
    <w:sdtContent>
      <w:p w14:paraId="77397A8B" w14:textId="0B70261F" w:rsidR="003D2A5F" w:rsidRDefault="003D2A5F">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32281A19" w14:textId="77777777" w:rsidR="003D2A5F" w:rsidRDefault="003D2A5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DD184" w14:textId="77777777" w:rsidR="00DB6429" w:rsidRDefault="00DB6429" w:rsidP="003D2A5F">
      <w:pPr>
        <w:spacing w:before="0" w:after="0" w:line="240" w:lineRule="auto"/>
      </w:pPr>
      <w:r>
        <w:separator/>
      </w:r>
    </w:p>
  </w:footnote>
  <w:footnote w:type="continuationSeparator" w:id="0">
    <w:p w14:paraId="0837720E" w14:textId="77777777" w:rsidR="00DB6429" w:rsidRDefault="00DB6429" w:rsidP="003D2A5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A0FE6" w14:textId="022EA5DC" w:rsidR="003D2A5F" w:rsidRDefault="003D2A5F" w:rsidP="003D2A5F">
    <w:pPr>
      <w:pStyle w:val="Antet"/>
      <w:jc w:val="center"/>
    </w:pPr>
    <w:r w:rsidRPr="003D2A5F">
      <w:rPr>
        <w:noProof/>
      </w:rPr>
      <w:drawing>
        <wp:inline distT="0" distB="0" distL="0" distR="0" wp14:anchorId="529DAA7C" wp14:editId="05A22E6B">
          <wp:extent cx="1457528" cy="533474"/>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57528" cy="5334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0124A"/>
    <w:multiLevelType w:val="hybridMultilevel"/>
    <w:tmpl w:val="99A84B7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51980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A5F"/>
    <w:rsid w:val="00006D1F"/>
    <w:rsid w:val="000401BA"/>
    <w:rsid w:val="00064960"/>
    <w:rsid w:val="000811DB"/>
    <w:rsid w:val="000C099F"/>
    <w:rsid w:val="000D4B96"/>
    <w:rsid w:val="0016369E"/>
    <w:rsid w:val="00173C27"/>
    <w:rsid w:val="001B59E4"/>
    <w:rsid w:val="002456DD"/>
    <w:rsid w:val="00256E29"/>
    <w:rsid w:val="00264DB6"/>
    <w:rsid w:val="00276942"/>
    <w:rsid w:val="002864EC"/>
    <w:rsid w:val="002972C1"/>
    <w:rsid w:val="002B2D67"/>
    <w:rsid w:val="002B3841"/>
    <w:rsid w:val="003121E2"/>
    <w:rsid w:val="00370E38"/>
    <w:rsid w:val="00382C33"/>
    <w:rsid w:val="003D2A5F"/>
    <w:rsid w:val="0043263C"/>
    <w:rsid w:val="00452637"/>
    <w:rsid w:val="00460D06"/>
    <w:rsid w:val="00482C9E"/>
    <w:rsid w:val="00485CA8"/>
    <w:rsid w:val="004C008A"/>
    <w:rsid w:val="00551B59"/>
    <w:rsid w:val="005561A0"/>
    <w:rsid w:val="00585543"/>
    <w:rsid w:val="005E5E03"/>
    <w:rsid w:val="005F51FF"/>
    <w:rsid w:val="00686D50"/>
    <w:rsid w:val="006B1ECF"/>
    <w:rsid w:val="006B3DD4"/>
    <w:rsid w:val="00706D1C"/>
    <w:rsid w:val="00712A2F"/>
    <w:rsid w:val="0077005A"/>
    <w:rsid w:val="00772DD0"/>
    <w:rsid w:val="007C229C"/>
    <w:rsid w:val="007C586D"/>
    <w:rsid w:val="007E0102"/>
    <w:rsid w:val="00817084"/>
    <w:rsid w:val="008B0BDD"/>
    <w:rsid w:val="008B2CF8"/>
    <w:rsid w:val="008C13A1"/>
    <w:rsid w:val="008C1820"/>
    <w:rsid w:val="00944D6D"/>
    <w:rsid w:val="00963757"/>
    <w:rsid w:val="009B18FB"/>
    <w:rsid w:val="009B47EF"/>
    <w:rsid w:val="009E2856"/>
    <w:rsid w:val="009F1218"/>
    <w:rsid w:val="009F51F6"/>
    <w:rsid w:val="00A363B7"/>
    <w:rsid w:val="00A53D87"/>
    <w:rsid w:val="00AB2035"/>
    <w:rsid w:val="00AE4383"/>
    <w:rsid w:val="00AF09B8"/>
    <w:rsid w:val="00AF54A0"/>
    <w:rsid w:val="00B367DA"/>
    <w:rsid w:val="00B717B5"/>
    <w:rsid w:val="00BD6421"/>
    <w:rsid w:val="00BE1B4A"/>
    <w:rsid w:val="00C245DD"/>
    <w:rsid w:val="00C36EE5"/>
    <w:rsid w:val="00C663B1"/>
    <w:rsid w:val="00C7020D"/>
    <w:rsid w:val="00CD4653"/>
    <w:rsid w:val="00CE5EE5"/>
    <w:rsid w:val="00CE6E40"/>
    <w:rsid w:val="00D1481F"/>
    <w:rsid w:val="00D16EBB"/>
    <w:rsid w:val="00D707E1"/>
    <w:rsid w:val="00D75657"/>
    <w:rsid w:val="00DB6429"/>
    <w:rsid w:val="00E275A0"/>
    <w:rsid w:val="00E3171D"/>
    <w:rsid w:val="00E73C1C"/>
    <w:rsid w:val="00E8287A"/>
    <w:rsid w:val="00EA4875"/>
    <w:rsid w:val="00EC5410"/>
    <w:rsid w:val="00EE5A7A"/>
    <w:rsid w:val="00EF37BE"/>
    <w:rsid w:val="00F02A03"/>
    <w:rsid w:val="00F749E8"/>
    <w:rsid w:val="00F749ED"/>
    <w:rsid w:val="00F774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DDBA0"/>
  <w15:chartTrackingRefBased/>
  <w15:docId w15:val="{705A0320-E337-4F13-830B-B6393E3F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DD0"/>
    <w:pPr>
      <w:spacing w:before="120" w:after="280"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256E29"/>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256E29"/>
    <w:pPr>
      <w:keepNext/>
      <w:keepLines/>
      <w:spacing w:before="40" w:after="0"/>
      <w:outlineLvl w:val="1"/>
    </w:pPr>
    <w:rPr>
      <w:rFonts w:eastAsiaTheme="majorEastAsia" w:cstheme="majorBidi"/>
      <w:b/>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56E29"/>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256E29"/>
    <w:rPr>
      <w:rFonts w:ascii="Times New Roman" w:eastAsiaTheme="majorEastAsia" w:hAnsi="Times New Roman" w:cstheme="majorBidi"/>
      <w:b/>
      <w:sz w:val="28"/>
      <w:szCs w:val="26"/>
    </w:rPr>
  </w:style>
  <w:style w:type="paragraph" w:styleId="Titlu">
    <w:name w:val="Title"/>
    <w:basedOn w:val="Normal"/>
    <w:next w:val="Normal"/>
    <w:link w:val="TitluCaracter"/>
    <w:uiPriority w:val="10"/>
    <w:qFormat/>
    <w:rsid w:val="00256E29"/>
    <w:pPr>
      <w:spacing w:before="0" w:after="0" w:line="240" w:lineRule="auto"/>
      <w:contextualSpacing/>
    </w:pPr>
    <w:rPr>
      <w:rFonts w:eastAsiaTheme="majorEastAsia" w:cstheme="majorBidi"/>
      <w:spacing w:val="-10"/>
      <w:kern w:val="28"/>
      <w:sz w:val="56"/>
      <w:szCs w:val="56"/>
    </w:rPr>
  </w:style>
  <w:style w:type="character" w:customStyle="1" w:styleId="TitluCaracter">
    <w:name w:val="Titlu Caracter"/>
    <w:basedOn w:val="Fontdeparagrafimplicit"/>
    <w:link w:val="Titlu"/>
    <w:uiPriority w:val="10"/>
    <w:rsid w:val="00256E29"/>
    <w:rPr>
      <w:rFonts w:ascii="Times New Roman" w:eastAsiaTheme="majorEastAsia" w:hAnsi="Times New Roman" w:cstheme="majorBidi"/>
      <w:spacing w:val="-10"/>
      <w:kern w:val="28"/>
      <w:sz w:val="56"/>
      <w:szCs w:val="56"/>
    </w:rPr>
  </w:style>
  <w:style w:type="paragraph" w:styleId="Antet">
    <w:name w:val="header"/>
    <w:basedOn w:val="Normal"/>
    <w:link w:val="AntetCaracter"/>
    <w:uiPriority w:val="99"/>
    <w:unhideWhenUsed/>
    <w:rsid w:val="003D2A5F"/>
    <w:pPr>
      <w:tabs>
        <w:tab w:val="center" w:pos="4513"/>
        <w:tab w:val="right" w:pos="9026"/>
      </w:tabs>
      <w:spacing w:before="0" w:after="0" w:line="240" w:lineRule="auto"/>
    </w:pPr>
  </w:style>
  <w:style w:type="character" w:customStyle="1" w:styleId="AntetCaracter">
    <w:name w:val="Antet Caracter"/>
    <w:basedOn w:val="Fontdeparagrafimplicit"/>
    <w:link w:val="Antet"/>
    <w:uiPriority w:val="99"/>
    <w:rsid w:val="003D2A5F"/>
    <w:rPr>
      <w:rFonts w:ascii="Times New Roman" w:hAnsi="Times New Roman"/>
      <w:sz w:val="24"/>
    </w:rPr>
  </w:style>
  <w:style w:type="paragraph" w:styleId="Subsol">
    <w:name w:val="footer"/>
    <w:basedOn w:val="Normal"/>
    <w:link w:val="SubsolCaracter"/>
    <w:uiPriority w:val="99"/>
    <w:unhideWhenUsed/>
    <w:rsid w:val="003D2A5F"/>
    <w:pPr>
      <w:tabs>
        <w:tab w:val="center" w:pos="4513"/>
        <w:tab w:val="right" w:pos="9026"/>
      </w:tabs>
      <w:spacing w:before="0" w:after="0" w:line="240" w:lineRule="auto"/>
    </w:pPr>
  </w:style>
  <w:style w:type="character" w:customStyle="1" w:styleId="SubsolCaracter">
    <w:name w:val="Subsol Caracter"/>
    <w:basedOn w:val="Fontdeparagrafimplicit"/>
    <w:link w:val="Subsol"/>
    <w:uiPriority w:val="99"/>
    <w:rsid w:val="003D2A5F"/>
    <w:rPr>
      <w:rFonts w:ascii="Times New Roman" w:hAnsi="Times New Roman"/>
      <w:sz w:val="24"/>
    </w:rPr>
  </w:style>
  <w:style w:type="paragraph" w:styleId="Titlucuprins">
    <w:name w:val="TOC Heading"/>
    <w:basedOn w:val="Titlu1"/>
    <w:next w:val="Normal"/>
    <w:uiPriority w:val="39"/>
    <w:unhideWhenUsed/>
    <w:qFormat/>
    <w:rsid w:val="003D2A5F"/>
    <w:pPr>
      <w:spacing w:line="259" w:lineRule="auto"/>
      <w:jc w:val="left"/>
      <w:outlineLvl w:val="9"/>
    </w:pPr>
    <w:rPr>
      <w:rFonts w:asciiTheme="majorHAnsi" w:hAnsiTheme="majorHAnsi"/>
      <w:b w:val="0"/>
      <w:color w:val="2F5496" w:themeColor="accent1" w:themeShade="BF"/>
      <w:lang w:val="en-US"/>
    </w:rPr>
  </w:style>
  <w:style w:type="paragraph" w:styleId="Listparagraf">
    <w:name w:val="List Paragraph"/>
    <w:basedOn w:val="Normal"/>
    <w:uiPriority w:val="34"/>
    <w:qFormat/>
    <w:rsid w:val="009F1218"/>
    <w:pPr>
      <w:ind w:left="720"/>
      <w:contextualSpacing/>
    </w:pPr>
  </w:style>
  <w:style w:type="paragraph" w:styleId="Cuprins1">
    <w:name w:val="toc 1"/>
    <w:basedOn w:val="Normal"/>
    <w:next w:val="Normal"/>
    <w:autoRedefine/>
    <w:uiPriority w:val="39"/>
    <w:unhideWhenUsed/>
    <w:rsid w:val="00C36EE5"/>
    <w:pPr>
      <w:spacing w:after="100"/>
    </w:pPr>
  </w:style>
  <w:style w:type="paragraph" w:styleId="Cuprins2">
    <w:name w:val="toc 2"/>
    <w:basedOn w:val="Normal"/>
    <w:next w:val="Normal"/>
    <w:autoRedefine/>
    <w:uiPriority w:val="39"/>
    <w:unhideWhenUsed/>
    <w:rsid w:val="00C36EE5"/>
    <w:pPr>
      <w:spacing w:after="100"/>
      <w:ind w:left="240"/>
    </w:pPr>
  </w:style>
  <w:style w:type="character" w:styleId="Hyperlink">
    <w:name w:val="Hyperlink"/>
    <w:basedOn w:val="Fontdeparagrafimplicit"/>
    <w:uiPriority w:val="99"/>
    <w:unhideWhenUsed/>
    <w:rsid w:val="00C36EE5"/>
    <w:rPr>
      <w:color w:val="0563C1" w:themeColor="hyperlink"/>
      <w:u w:val="single"/>
    </w:rPr>
  </w:style>
  <w:style w:type="paragraph" w:styleId="Legend">
    <w:name w:val="caption"/>
    <w:basedOn w:val="Normal"/>
    <w:next w:val="Normal"/>
    <w:uiPriority w:val="35"/>
    <w:unhideWhenUsed/>
    <w:qFormat/>
    <w:rsid w:val="00551B59"/>
    <w:pPr>
      <w:spacing w:before="0" w:after="200" w:line="240" w:lineRule="auto"/>
    </w:pPr>
    <w:rPr>
      <w:i/>
      <w:iCs/>
      <w:color w:val="44546A" w:themeColor="text2"/>
      <w:sz w:val="18"/>
      <w:szCs w:val="18"/>
    </w:rPr>
  </w:style>
  <w:style w:type="paragraph" w:styleId="NormalWeb">
    <w:name w:val="Normal (Web)"/>
    <w:basedOn w:val="Normal"/>
    <w:uiPriority w:val="99"/>
    <w:semiHidden/>
    <w:unhideWhenUsed/>
    <w:rsid w:val="0016369E"/>
    <w:pPr>
      <w:spacing w:before="100" w:beforeAutospacing="1" w:after="100" w:afterAutospacing="1" w:line="240" w:lineRule="auto"/>
      <w:jc w:val="left"/>
    </w:pPr>
    <w:rPr>
      <w:rFonts w:eastAsia="Times New Roman" w:cs="Times New Roman"/>
      <w:szCs w:val="24"/>
      <w:lang w:eastAsia="en-IN"/>
    </w:rPr>
  </w:style>
  <w:style w:type="character" w:styleId="MeniuneNerezolvat">
    <w:name w:val="Unresolved Mention"/>
    <w:basedOn w:val="Fontdeparagrafimplicit"/>
    <w:uiPriority w:val="99"/>
    <w:semiHidden/>
    <w:unhideWhenUsed/>
    <w:rsid w:val="0016369E"/>
    <w:rPr>
      <w:color w:val="605E5C"/>
      <w:shd w:val="clear" w:color="auto" w:fill="E1DFDD"/>
    </w:rPr>
  </w:style>
  <w:style w:type="character" w:styleId="HyperlinkParcurs">
    <w:name w:val="FollowedHyperlink"/>
    <w:basedOn w:val="Fontdeparagrafimplicit"/>
    <w:uiPriority w:val="99"/>
    <w:semiHidden/>
    <w:unhideWhenUsed/>
    <w:rsid w:val="002B38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504969">
      <w:bodyDiv w:val="1"/>
      <w:marLeft w:val="0"/>
      <w:marRight w:val="0"/>
      <w:marTop w:val="0"/>
      <w:marBottom w:val="0"/>
      <w:divBdr>
        <w:top w:val="none" w:sz="0" w:space="0" w:color="auto"/>
        <w:left w:val="none" w:sz="0" w:space="0" w:color="auto"/>
        <w:bottom w:val="none" w:sz="0" w:space="0" w:color="auto"/>
        <w:right w:val="none" w:sz="0" w:space="0" w:color="auto"/>
      </w:divBdr>
    </w:div>
    <w:div w:id="470832536">
      <w:bodyDiv w:val="1"/>
      <w:marLeft w:val="0"/>
      <w:marRight w:val="0"/>
      <w:marTop w:val="0"/>
      <w:marBottom w:val="0"/>
      <w:divBdr>
        <w:top w:val="none" w:sz="0" w:space="0" w:color="auto"/>
        <w:left w:val="none" w:sz="0" w:space="0" w:color="auto"/>
        <w:bottom w:val="none" w:sz="0" w:space="0" w:color="auto"/>
        <w:right w:val="none" w:sz="0" w:space="0" w:color="auto"/>
      </w:divBdr>
    </w:div>
    <w:div w:id="506486460">
      <w:bodyDiv w:val="1"/>
      <w:marLeft w:val="0"/>
      <w:marRight w:val="0"/>
      <w:marTop w:val="0"/>
      <w:marBottom w:val="0"/>
      <w:divBdr>
        <w:top w:val="none" w:sz="0" w:space="0" w:color="auto"/>
        <w:left w:val="none" w:sz="0" w:space="0" w:color="auto"/>
        <w:bottom w:val="none" w:sz="0" w:space="0" w:color="auto"/>
        <w:right w:val="none" w:sz="0" w:space="0" w:color="auto"/>
      </w:divBdr>
    </w:div>
    <w:div w:id="658194323">
      <w:bodyDiv w:val="1"/>
      <w:marLeft w:val="0"/>
      <w:marRight w:val="0"/>
      <w:marTop w:val="0"/>
      <w:marBottom w:val="0"/>
      <w:divBdr>
        <w:top w:val="none" w:sz="0" w:space="0" w:color="auto"/>
        <w:left w:val="none" w:sz="0" w:space="0" w:color="auto"/>
        <w:bottom w:val="none" w:sz="0" w:space="0" w:color="auto"/>
        <w:right w:val="none" w:sz="0" w:space="0" w:color="auto"/>
      </w:divBdr>
    </w:div>
    <w:div w:id="768549730">
      <w:bodyDiv w:val="1"/>
      <w:marLeft w:val="0"/>
      <w:marRight w:val="0"/>
      <w:marTop w:val="0"/>
      <w:marBottom w:val="0"/>
      <w:divBdr>
        <w:top w:val="none" w:sz="0" w:space="0" w:color="auto"/>
        <w:left w:val="none" w:sz="0" w:space="0" w:color="auto"/>
        <w:bottom w:val="none" w:sz="0" w:space="0" w:color="auto"/>
        <w:right w:val="none" w:sz="0" w:space="0" w:color="auto"/>
      </w:divBdr>
    </w:div>
    <w:div w:id="1011568845">
      <w:bodyDiv w:val="1"/>
      <w:marLeft w:val="0"/>
      <w:marRight w:val="0"/>
      <w:marTop w:val="0"/>
      <w:marBottom w:val="0"/>
      <w:divBdr>
        <w:top w:val="none" w:sz="0" w:space="0" w:color="auto"/>
        <w:left w:val="none" w:sz="0" w:space="0" w:color="auto"/>
        <w:bottom w:val="none" w:sz="0" w:space="0" w:color="auto"/>
        <w:right w:val="none" w:sz="0" w:space="0" w:color="auto"/>
      </w:divBdr>
    </w:div>
    <w:div w:id="1120302209">
      <w:bodyDiv w:val="1"/>
      <w:marLeft w:val="0"/>
      <w:marRight w:val="0"/>
      <w:marTop w:val="0"/>
      <w:marBottom w:val="0"/>
      <w:divBdr>
        <w:top w:val="none" w:sz="0" w:space="0" w:color="auto"/>
        <w:left w:val="none" w:sz="0" w:space="0" w:color="auto"/>
        <w:bottom w:val="none" w:sz="0" w:space="0" w:color="auto"/>
        <w:right w:val="none" w:sz="0" w:space="0" w:color="auto"/>
      </w:divBdr>
    </w:div>
    <w:div w:id="1526477333">
      <w:bodyDiv w:val="1"/>
      <w:marLeft w:val="0"/>
      <w:marRight w:val="0"/>
      <w:marTop w:val="0"/>
      <w:marBottom w:val="0"/>
      <w:divBdr>
        <w:top w:val="none" w:sz="0" w:space="0" w:color="auto"/>
        <w:left w:val="none" w:sz="0" w:space="0" w:color="auto"/>
        <w:bottom w:val="none" w:sz="0" w:space="0" w:color="auto"/>
        <w:right w:val="none" w:sz="0" w:space="0" w:color="auto"/>
      </w:divBdr>
    </w:div>
    <w:div w:id="197710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8510/hssr.2020.84118" TargetMode="External" /><Relationship Id="rId13" Type="http://schemas.openxmlformats.org/officeDocument/2006/relationships/hyperlink" Target="https://run.unl.pt/bitstream/10362/140496/1/2021-22_fall_44431_lucas-guimaraes.pdf" TargetMode="Externa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hcommons.org/deposits/item/hc:43239" TargetMode="Externa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178.79.131.236/bitstream/handle/hesa/40/Education%20Budget%20Analysis%20%20Report-Tanzania.pdf?sequence=1&amp;isAllowed=y"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grangeoversandstowncouncil.gov.uk/uploads/1/2/2/5/122588176/210111_grange_town_council_budget_2021-22_final_approved_january_2021.pdf" TargetMode="External" /><Relationship Id="rId5" Type="http://schemas.openxmlformats.org/officeDocument/2006/relationships/webSettings" Target="webSettings.xml" /><Relationship Id="rId15" Type="http://schemas.openxmlformats.org/officeDocument/2006/relationships/hyperlink" Target="https://www.theseus.fi/handle/10024/359856" TargetMode="External" /><Relationship Id="rId10" Type="http://schemas.openxmlformats.org/officeDocument/2006/relationships/hyperlink" Target="https://originaljournals.com/get-publish-file/219-EMMANUEL%20BLAY%20-%20DONE-1627760456.pdf"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journalppw.com/index.php/jpsp/article/view/1561/837" TargetMode="External" /><Relationship Id="rId14" Type="http://schemas.openxmlformats.org/officeDocument/2006/relationships/hyperlink" Target="https://doi.org/10.31933/dijemss.v1i4.211"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0D1A0-F02B-4B1B-86BC-9DD8839020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2863</Words>
  <Characters>16606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Gascu Lavinia</cp:lastModifiedBy>
  <cp:revision>2</cp:revision>
  <dcterms:created xsi:type="dcterms:W3CDTF">2022-09-12T13:48:00Z</dcterms:created>
  <dcterms:modified xsi:type="dcterms:W3CDTF">2022-09-12T13:48:00Z</dcterms:modified>
</cp:coreProperties>
</file>