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7556" w:rsidRDefault="00B74D9B">
      <w:pPr>
        <w:jc w:val="center"/>
        <w:rPr>
          <w:b/>
          <w:bCs/>
          <w:sz w:val="32"/>
          <w:szCs w:val="32"/>
        </w:rPr>
      </w:pPr>
      <w:r>
        <w:rPr>
          <w:b/>
          <w:bCs/>
          <w:noProof/>
          <w:sz w:val="32"/>
          <w:szCs w:val="32"/>
          <w:lang w:val="en-GB" w:eastAsia="en-GB"/>
        </w:rPr>
        <w:drawing>
          <wp:inline distT="114300" distB="114300" distL="114300" distR="114300">
            <wp:extent cx="3252470" cy="113474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7" cstate="print"/>
                    <a:srcRect/>
                    <a:stretch>
                      <a:fillRect/>
                    </a:stretch>
                  </pic:blipFill>
                  <pic:spPr>
                    <a:xfrm>
                      <a:off x="0" y="0"/>
                      <a:ext cx="3252788" cy="1135255"/>
                    </a:xfrm>
                    <a:prstGeom prst="rect">
                      <a:avLst/>
                    </a:prstGeom>
                  </pic:spPr>
                </pic:pic>
              </a:graphicData>
            </a:graphic>
          </wp:inline>
        </w:drawing>
      </w:r>
    </w:p>
    <w:p w:rsidR="008B7556" w:rsidRDefault="00B74D9B">
      <w:pPr>
        <w:jc w:val="center"/>
        <w:rPr>
          <w:b/>
          <w:bCs/>
          <w:sz w:val="32"/>
          <w:szCs w:val="32"/>
        </w:rPr>
      </w:pPr>
      <w:r>
        <w:rPr>
          <w:b/>
          <w:bCs/>
          <w:sz w:val="32"/>
          <w:szCs w:val="32"/>
        </w:rPr>
        <w:t>MASTER OF BUSINESS ADMINISTRATION</w:t>
      </w:r>
    </w:p>
    <w:p w:rsidR="008B7556" w:rsidRDefault="008B7556">
      <w:pPr>
        <w:jc w:val="center"/>
        <w:rPr>
          <w:b/>
          <w:bCs/>
          <w:sz w:val="32"/>
          <w:szCs w:val="32"/>
        </w:rPr>
      </w:pPr>
    </w:p>
    <w:p w:rsidR="008B7556" w:rsidRDefault="00B74D9B">
      <w:pPr>
        <w:jc w:val="center"/>
        <w:rPr>
          <w:b/>
          <w:bCs/>
          <w:sz w:val="32"/>
          <w:szCs w:val="32"/>
        </w:rPr>
      </w:pPr>
      <w:r>
        <w:rPr>
          <w:b/>
          <w:bCs/>
          <w:sz w:val="32"/>
          <w:szCs w:val="32"/>
        </w:rPr>
        <w:t>MODULE NAME AND CODE: FINANCIAL MANAGEMENT AND LCMB7002</w:t>
      </w:r>
    </w:p>
    <w:p w:rsidR="008B7556" w:rsidRDefault="00B74D9B">
      <w:pPr>
        <w:jc w:val="center"/>
        <w:rPr>
          <w:b/>
          <w:bCs/>
          <w:sz w:val="32"/>
          <w:szCs w:val="32"/>
        </w:rPr>
      </w:pPr>
      <w:r>
        <w:rPr>
          <w:b/>
          <w:bCs/>
          <w:sz w:val="32"/>
          <w:szCs w:val="32"/>
        </w:rPr>
        <w:t>ASSESSMENT COMPONENT: FINANCIAL PERFORMANCE AND MANAGEMENT</w:t>
      </w:r>
    </w:p>
    <w:p w:rsidR="008B7556" w:rsidRDefault="00B74D9B">
      <w:pPr>
        <w:jc w:val="center"/>
        <w:rPr>
          <w:b/>
          <w:bCs/>
          <w:sz w:val="32"/>
          <w:szCs w:val="32"/>
        </w:rPr>
      </w:pPr>
      <w:r>
        <w:rPr>
          <w:b/>
          <w:bCs/>
          <w:sz w:val="32"/>
          <w:szCs w:val="32"/>
        </w:rPr>
        <w:t>LECTURER’S NAME:</w:t>
      </w:r>
      <w:r w:rsidR="0049096C">
        <w:rPr>
          <w:b/>
          <w:bCs/>
          <w:sz w:val="32"/>
          <w:szCs w:val="32"/>
        </w:rPr>
        <w:t xml:space="preserve"> ISAIAH OINO</w:t>
      </w:r>
    </w:p>
    <w:p w:rsidR="008B7556" w:rsidRDefault="00B74D9B">
      <w:pPr>
        <w:jc w:val="center"/>
        <w:rPr>
          <w:b/>
          <w:bCs/>
          <w:sz w:val="32"/>
          <w:szCs w:val="32"/>
        </w:rPr>
      </w:pPr>
      <w:r>
        <w:rPr>
          <w:b/>
          <w:bCs/>
          <w:sz w:val="32"/>
          <w:szCs w:val="32"/>
        </w:rPr>
        <w:t xml:space="preserve">STUDENT NAME: </w:t>
      </w:r>
      <w:r w:rsidR="0049096C">
        <w:rPr>
          <w:b/>
          <w:bCs/>
          <w:sz w:val="32"/>
          <w:szCs w:val="32"/>
        </w:rPr>
        <w:t>VRUSHABH RAKESHBHAI PATEL</w:t>
      </w:r>
    </w:p>
    <w:p w:rsidR="008B7556" w:rsidRDefault="00B74D9B">
      <w:pPr>
        <w:jc w:val="center"/>
        <w:rPr>
          <w:b/>
          <w:bCs/>
          <w:sz w:val="32"/>
          <w:szCs w:val="32"/>
        </w:rPr>
      </w:pPr>
      <w:r>
        <w:rPr>
          <w:b/>
          <w:bCs/>
          <w:sz w:val="32"/>
          <w:szCs w:val="32"/>
        </w:rPr>
        <w:t>STUDENT ID:</w:t>
      </w:r>
      <w:r w:rsidR="0049096C">
        <w:rPr>
          <w:b/>
          <w:bCs/>
          <w:sz w:val="32"/>
          <w:szCs w:val="32"/>
        </w:rPr>
        <w:t xml:space="preserve"> 2528085</w:t>
      </w:r>
    </w:p>
    <w:p w:rsidR="008B7556" w:rsidRDefault="00B74D9B">
      <w:pPr>
        <w:jc w:val="center"/>
        <w:rPr>
          <w:b/>
          <w:bCs/>
          <w:sz w:val="32"/>
          <w:szCs w:val="32"/>
          <w:lang w:val="en-US"/>
        </w:rPr>
      </w:pPr>
      <w:r>
        <w:rPr>
          <w:b/>
          <w:bCs/>
          <w:sz w:val="32"/>
          <w:szCs w:val="32"/>
        </w:rPr>
        <w:t xml:space="preserve">WORD COUNT: </w:t>
      </w:r>
      <w:r>
        <w:rPr>
          <w:b/>
          <w:bCs/>
          <w:sz w:val="32"/>
          <w:szCs w:val="32"/>
          <w:lang w:val="en-US"/>
        </w:rPr>
        <w:t>5300</w:t>
      </w:r>
    </w:p>
    <w:p w:rsidR="008B7556" w:rsidRDefault="00B74D9B">
      <w:pPr>
        <w:jc w:val="center"/>
        <w:rPr>
          <w:b/>
          <w:bCs/>
          <w:sz w:val="32"/>
          <w:szCs w:val="32"/>
        </w:rPr>
      </w:pPr>
      <w:r>
        <w:rPr>
          <w:b/>
          <w:bCs/>
          <w:sz w:val="32"/>
          <w:szCs w:val="32"/>
        </w:rPr>
        <w:t xml:space="preserve">SUBMISSION DATE: </w:t>
      </w:r>
      <w:r w:rsidR="0049096C">
        <w:rPr>
          <w:b/>
          <w:bCs/>
          <w:sz w:val="32"/>
          <w:szCs w:val="32"/>
        </w:rPr>
        <w:t>24/04/2026</w:t>
      </w:r>
    </w:p>
    <w:p w:rsidR="008B7556" w:rsidRDefault="008B7556"/>
    <w:p w:rsidR="008B7556" w:rsidRDefault="00B74D9B">
      <w:pPr>
        <w:pStyle w:val="Heading1"/>
        <w:keepNext w:val="0"/>
        <w:keepLines w:val="0"/>
      </w:pPr>
      <w:bookmarkStart w:id="0" w:name="_ex9arzpulvzm"/>
      <w:bookmarkEnd w:id="0"/>
      <w:r>
        <w:br w:type="page"/>
      </w:r>
    </w:p>
    <w:p w:rsidR="008B7556" w:rsidRDefault="00B74D9B">
      <w:pPr>
        <w:jc w:val="center"/>
        <w:rPr>
          <w:b/>
          <w:bCs/>
        </w:rPr>
      </w:pPr>
      <w:r>
        <w:rPr>
          <w:b/>
          <w:bCs/>
        </w:rPr>
        <w:lastRenderedPageBreak/>
        <w:t>Table of Contents</w:t>
      </w:r>
    </w:p>
    <w:sdt>
      <w:sdtPr>
        <w:id w:val="1325553995"/>
        <w:docPartObj>
          <w:docPartGallery w:val="Table of Contents"/>
          <w:docPartUnique/>
        </w:docPartObj>
      </w:sdtPr>
      <w:sdtContent>
        <w:p w:rsidR="008B7556" w:rsidRDefault="00FC1FE6">
          <w:pPr>
            <w:pStyle w:val="TOC1"/>
            <w:tabs>
              <w:tab w:val="right" w:leader="dot" w:pos="9360"/>
            </w:tabs>
            <w:rPr>
              <w:rStyle w:val="Hyperlink"/>
            </w:rPr>
          </w:pPr>
          <w:r>
            <w:fldChar w:fldCharType="begin"/>
          </w:r>
          <w:r w:rsidR="00B74D9B">
            <w:instrText>TOC</w:instrText>
          </w:r>
          <w:r w:rsidR="00B74D9B">
            <w:instrText xml:space="preserve"> \o "1-9" \z \u \h</w:instrText>
          </w:r>
          <w:r>
            <w:fldChar w:fldCharType="separate"/>
          </w:r>
          <w:hyperlink w:anchor="_Toc1246513831">
            <w:r w:rsidR="008B7556">
              <w:rPr>
                <w:rStyle w:val="Hyperlink"/>
              </w:rPr>
              <w:t>1. Introduction</w:t>
            </w:r>
            <w:r w:rsidR="008B7556">
              <w:tab/>
            </w:r>
            <w:r>
              <w:fldChar w:fldCharType="begin"/>
            </w:r>
            <w:r w:rsidR="008B7556">
              <w:instrText>PAGEREF _Toc1246513831 \h</w:instrText>
            </w:r>
            <w:r>
              <w:fldChar w:fldCharType="separate"/>
            </w:r>
            <w:r w:rsidR="008B7556">
              <w:rPr>
                <w:rStyle w:val="Hyperlink"/>
              </w:rPr>
              <w:t>2</w:t>
            </w:r>
            <w:r>
              <w:fldChar w:fldCharType="end"/>
            </w:r>
          </w:hyperlink>
        </w:p>
        <w:p w:rsidR="008B7556" w:rsidRDefault="00FC1FE6">
          <w:pPr>
            <w:pStyle w:val="TOC1"/>
            <w:tabs>
              <w:tab w:val="right" w:leader="dot" w:pos="9360"/>
            </w:tabs>
            <w:rPr>
              <w:rStyle w:val="Hyperlink"/>
            </w:rPr>
          </w:pPr>
          <w:hyperlink w:anchor="_Toc923336644">
            <w:r w:rsidR="008B7556">
              <w:rPr>
                <w:rStyle w:val="Hyperlink"/>
              </w:rPr>
              <w:t>2. Financial Health Check</w:t>
            </w:r>
            <w:r w:rsidR="008B7556">
              <w:tab/>
            </w:r>
            <w:r>
              <w:fldChar w:fldCharType="begin"/>
            </w:r>
            <w:r w:rsidR="008B7556">
              <w:instrText>PAGEREF _Toc923336644 \h</w:instrText>
            </w:r>
            <w:r>
              <w:fldChar w:fldCharType="separate"/>
            </w:r>
            <w:r w:rsidR="008B7556">
              <w:rPr>
                <w:rStyle w:val="Hyperlink"/>
              </w:rPr>
              <w:t>5</w:t>
            </w:r>
            <w:r>
              <w:fldChar w:fldCharType="end"/>
            </w:r>
          </w:hyperlink>
        </w:p>
        <w:p w:rsidR="008B7556" w:rsidRDefault="00FC1FE6">
          <w:pPr>
            <w:pStyle w:val="TOC2"/>
            <w:tabs>
              <w:tab w:val="right" w:leader="dot" w:pos="9360"/>
            </w:tabs>
            <w:rPr>
              <w:rStyle w:val="Hyperlink"/>
            </w:rPr>
          </w:pPr>
          <w:hyperlink w:anchor="_Toc751825404">
            <w:r w:rsidR="008B7556">
              <w:rPr>
                <w:rStyle w:val="Hyperlink"/>
              </w:rPr>
              <w:t>2.1 Financial Statement Overview</w:t>
            </w:r>
            <w:r w:rsidR="008B7556">
              <w:tab/>
            </w:r>
            <w:r>
              <w:fldChar w:fldCharType="begin"/>
            </w:r>
            <w:r w:rsidR="008B7556">
              <w:instrText>PAGEREF _Toc751825404 \h</w:instrText>
            </w:r>
            <w:r>
              <w:fldChar w:fldCharType="separate"/>
            </w:r>
            <w:r w:rsidR="008B7556">
              <w:rPr>
                <w:rStyle w:val="Hyperlink"/>
              </w:rPr>
              <w:t>6</w:t>
            </w:r>
            <w:r>
              <w:fldChar w:fldCharType="end"/>
            </w:r>
          </w:hyperlink>
        </w:p>
        <w:p w:rsidR="008B7556" w:rsidRDefault="00FC1FE6">
          <w:pPr>
            <w:pStyle w:val="TOC2"/>
            <w:tabs>
              <w:tab w:val="right" w:leader="dot" w:pos="9360"/>
            </w:tabs>
            <w:rPr>
              <w:rStyle w:val="Hyperlink"/>
            </w:rPr>
          </w:pPr>
          <w:hyperlink w:anchor="_Toc2115761724">
            <w:r w:rsidR="008B7556">
              <w:rPr>
                <w:rStyle w:val="Hyperlink"/>
              </w:rPr>
              <w:t>2.2 Ratio Analysis</w:t>
            </w:r>
            <w:r w:rsidR="008B7556">
              <w:tab/>
            </w:r>
            <w:r>
              <w:fldChar w:fldCharType="begin"/>
            </w:r>
            <w:r w:rsidR="008B7556">
              <w:instrText>PAGEREF _Toc2115761724 \h</w:instrText>
            </w:r>
            <w:r>
              <w:fldChar w:fldCharType="separate"/>
            </w:r>
            <w:r w:rsidR="008B7556">
              <w:rPr>
                <w:rStyle w:val="Hyperlink"/>
              </w:rPr>
              <w:t>6</w:t>
            </w:r>
            <w:r>
              <w:fldChar w:fldCharType="end"/>
            </w:r>
          </w:hyperlink>
        </w:p>
        <w:p w:rsidR="008B7556" w:rsidRDefault="00FC1FE6">
          <w:pPr>
            <w:pStyle w:val="TOC2"/>
            <w:tabs>
              <w:tab w:val="right" w:leader="dot" w:pos="9360"/>
            </w:tabs>
            <w:rPr>
              <w:rStyle w:val="Hyperlink"/>
            </w:rPr>
          </w:pPr>
          <w:hyperlink w:anchor="_Toc375740584">
            <w:r w:rsidR="008B7556">
              <w:rPr>
                <w:rStyle w:val="Hyperlink"/>
              </w:rPr>
              <w:t>2.3 Cash Flow Analysis</w:t>
            </w:r>
            <w:r w:rsidR="008B7556">
              <w:tab/>
            </w:r>
            <w:r>
              <w:fldChar w:fldCharType="begin"/>
            </w:r>
            <w:r w:rsidR="008B7556">
              <w:instrText>PAGEREF _Toc375740584 \h</w:instrText>
            </w:r>
            <w:r>
              <w:fldChar w:fldCharType="separate"/>
            </w:r>
            <w:r w:rsidR="008B7556">
              <w:rPr>
                <w:rStyle w:val="Hyperlink"/>
              </w:rPr>
              <w:t>15</w:t>
            </w:r>
            <w:r>
              <w:fldChar w:fldCharType="end"/>
            </w:r>
          </w:hyperlink>
        </w:p>
        <w:p w:rsidR="008B7556" w:rsidRDefault="00FC1FE6">
          <w:pPr>
            <w:pStyle w:val="TOC2"/>
            <w:tabs>
              <w:tab w:val="right" w:leader="dot" w:pos="9360"/>
            </w:tabs>
            <w:rPr>
              <w:rStyle w:val="Hyperlink"/>
            </w:rPr>
          </w:pPr>
          <w:hyperlink w:anchor="_Toc128345860">
            <w:r w:rsidR="008B7556">
              <w:rPr>
                <w:rStyle w:val="Hyperlink"/>
              </w:rPr>
              <w:t>2.4 Overall Financial Performance Summary</w:t>
            </w:r>
            <w:r w:rsidR="008B7556">
              <w:tab/>
            </w:r>
            <w:r>
              <w:fldChar w:fldCharType="begin"/>
            </w:r>
            <w:r w:rsidR="008B7556">
              <w:instrText>PAGEREF _Toc128345860 \h</w:instrText>
            </w:r>
            <w:r>
              <w:fldChar w:fldCharType="separate"/>
            </w:r>
            <w:r w:rsidR="008B7556">
              <w:rPr>
                <w:rStyle w:val="Hyperlink"/>
              </w:rPr>
              <w:t>16</w:t>
            </w:r>
            <w:r>
              <w:fldChar w:fldCharType="end"/>
            </w:r>
          </w:hyperlink>
        </w:p>
        <w:p w:rsidR="008B7556" w:rsidRDefault="00FC1FE6">
          <w:pPr>
            <w:pStyle w:val="TOC1"/>
            <w:tabs>
              <w:tab w:val="right" w:leader="dot" w:pos="9360"/>
            </w:tabs>
            <w:rPr>
              <w:rStyle w:val="Hyperlink"/>
            </w:rPr>
          </w:pPr>
          <w:hyperlink w:anchor="_Toc1769690322">
            <w:r w:rsidR="008B7556">
              <w:rPr>
                <w:rStyle w:val="Hyperlink"/>
              </w:rPr>
              <w:t>3. Working Capital Management Analysis</w:t>
            </w:r>
            <w:r w:rsidR="008B7556">
              <w:tab/>
            </w:r>
            <w:r>
              <w:fldChar w:fldCharType="begin"/>
            </w:r>
            <w:r w:rsidR="008B7556">
              <w:instrText>PAGEREF _Toc1769690322 \h</w:instrText>
            </w:r>
            <w:r>
              <w:fldChar w:fldCharType="separate"/>
            </w:r>
            <w:r w:rsidR="008B7556">
              <w:rPr>
                <w:rStyle w:val="Hyperlink"/>
              </w:rPr>
              <w:t>17</w:t>
            </w:r>
            <w:r>
              <w:fldChar w:fldCharType="end"/>
            </w:r>
          </w:hyperlink>
        </w:p>
        <w:p w:rsidR="008B7556" w:rsidRDefault="00FC1FE6">
          <w:pPr>
            <w:pStyle w:val="TOC2"/>
            <w:tabs>
              <w:tab w:val="right" w:leader="dot" w:pos="9360"/>
            </w:tabs>
            <w:rPr>
              <w:rStyle w:val="Hyperlink"/>
            </w:rPr>
          </w:pPr>
          <w:hyperlink w:anchor="_Toc1921740932">
            <w:r w:rsidR="008B7556">
              <w:rPr>
                <w:rStyle w:val="Hyperlink"/>
              </w:rPr>
              <w:t>3.1 Introduction to Working Capital Management</w:t>
            </w:r>
            <w:r w:rsidR="008B7556">
              <w:tab/>
            </w:r>
            <w:r>
              <w:fldChar w:fldCharType="begin"/>
            </w:r>
            <w:r w:rsidR="008B7556">
              <w:instrText>PAGEREF _Toc1921740932 \h</w:instrText>
            </w:r>
            <w:r>
              <w:fldChar w:fldCharType="separate"/>
            </w:r>
            <w:r w:rsidR="008B7556">
              <w:rPr>
                <w:rStyle w:val="Hyperlink"/>
              </w:rPr>
              <w:t>17</w:t>
            </w:r>
            <w:r>
              <w:fldChar w:fldCharType="end"/>
            </w:r>
          </w:hyperlink>
        </w:p>
        <w:p w:rsidR="008B7556" w:rsidRDefault="00FC1FE6">
          <w:pPr>
            <w:pStyle w:val="TOC2"/>
            <w:tabs>
              <w:tab w:val="right" w:leader="dot" w:pos="9360"/>
            </w:tabs>
            <w:rPr>
              <w:rStyle w:val="Hyperlink"/>
            </w:rPr>
          </w:pPr>
          <w:hyperlink w:anchor="_Toc1528180495">
            <w:r w:rsidR="008B7556">
              <w:rPr>
                <w:rStyle w:val="Hyperlink"/>
              </w:rPr>
              <w:t>3.2 Cash Operating Cycle (Cash Conversion Cycle) Analysis</w:t>
            </w:r>
            <w:r w:rsidR="008B7556">
              <w:tab/>
            </w:r>
            <w:r>
              <w:fldChar w:fldCharType="begin"/>
            </w:r>
            <w:r w:rsidR="008B7556">
              <w:instrText>PAGEREF _Toc1528180495 \h</w:instrText>
            </w:r>
            <w:r>
              <w:fldChar w:fldCharType="separate"/>
            </w:r>
            <w:r w:rsidR="008B7556">
              <w:rPr>
                <w:rStyle w:val="Hyperlink"/>
              </w:rPr>
              <w:t>17</w:t>
            </w:r>
            <w:r>
              <w:fldChar w:fldCharType="end"/>
            </w:r>
          </w:hyperlink>
        </w:p>
        <w:p w:rsidR="008B7556" w:rsidRDefault="00FC1FE6">
          <w:pPr>
            <w:pStyle w:val="TOC2"/>
            <w:tabs>
              <w:tab w:val="right" w:leader="dot" w:pos="9360"/>
            </w:tabs>
            <w:rPr>
              <w:rStyle w:val="Hyperlink"/>
            </w:rPr>
          </w:pPr>
          <w:hyperlink w:anchor="_Toc141094112">
            <w:r w:rsidR="008B7556">
              <w:rPr>
                <w:rStyle w:val="Hyperlink"/>
              </w:rPr>
              <w:t>3.3 Components of Working Capital</w:t>
            </w:r>
            <w:r w:rsidR="008B7556">
              <w:tab/>
            </w:r>
            <w:r>
              <w:fldChar w:fldCharType="begin"/>
            </w:r>
            <w:r w:rsidR="008B7556">
              <w:instrText>PAGEREF _Toc141094112 \h</w:instrText>
            </w:r>
            <w:r>
              <w:fldChar w:fldCharType="separate"/>
            </w:r>
            <w:r w:rsidR="008B7556">
              <w:rPr>
                <w:rStyle w:val="Hyperlink"/>
              </w:rPr>
              <w:t>18</w:t>
            </w:r>
            <w:r>
              <w:fldChar w:fldCharType="end"/>
            </w:r>
          </w:hyperlink>
        </w:p>
        <w:p w:rsidR="008B7556" w:rsidRDefault="00FC1FE6">
          <w:pPr>
            <w:pStyle w:val="TOC2"/>
            <w:tabs>
              <w:tab w:val="right" w:leader="dot" w:pos="9360"/>
            </w:tabs>
            <w:rPr>
              <w:rStyle w:val="Hyperlink"/>
            </w:rPr>
          </w:pPr>
          <w:hyperlink w:anchor="_Toc1258469404">
            <w:r w:rsidR="008B7556">
              <w:rPr>
                <w:rStyle w:val="Hyperlink"/>
              </w:rPr>
              <w:t>3.4 Working Capital Issues Identified</w:t>
            </w:r>
            <w:r w:rsidR="008B7556">
              <w:tab/>
            </w:r>
            <w:r>
              <w:fldChar w:fldCharType="begin"/>
            </w:r>
            <w:r w:rsidR="008B7556">
              <w:instrText>PAGEREF _Toc1258469404 \h</w:instrText>
            </w:r>
            <w:r>
              <w:fldChar w:fldCharType="separate"/>
            </w:r>
            <w:r w:rsidR="008B7556">
              <w:rPr>
                <w:rStyle w:val="Hyperlink"/>
              </w:rPr>
              <w:t>19</w:t>
            </w:r>
            <w:r>
              <w:fldChar w:fldCharType="end"/>
            </w:r>
          </w:hyperlink>
        </w:p>
        <w:p w:rsidR="008B7556" w:rsidRDefault="00FC1FE6">
          <w:pPr>
            <w:pStyle w:val="TOC2"/>
            <w:tabs>
              <w:tab w:val="right" w:leader="dot" w:pos="9360"/>
            </w:tabs>
            <w:rPr>
              <w:rStyle w:val="Hyperlink"/>
            </w:rPr>
          </w:pPr>
          <w:hyperlink w:anchor="_Toc531096600">
            <w:r w:rsidR="008B7556">
              <w:rPr>
                <w:rStyle w:val="Hyperlink"/>
              </w:rPr>
              <w:t>3.5 Recommendations for Improvement</w:t>
            </w:r>
            <w:r w:rsidR="008B7556">
              <w:tab/>
            </w:r>
            <w:r>
              <w:fldChar w:fldCharType="begin"/>
            </w:r>
            <w:r w:rsidR="008B7556">
              <w:instrText>PAGEREF _Toc531096600 \h</w:instrText>
            </w:r>
            <w:r>
              <w:fldChar w:fldCharType="separate"/>
            </w:r>
            <w:r w:rsidR="008B7556">
              <w:rPr>
                <w:rStyle w:val="Hyperlink"/>
              </w:rPr>
              <w:t>20</w:t>
            </w:r>
            <w:r>
              <w:fldChar w:fldCharType="end"/>
            </w:r>
          </w:hyperlink>
        </w:p>
        <w:p w:rsidR="008B7556" w:rsidRDefault="00FC1FE6">
          <w:pPr>
            <w:pStyle w:val="TOC2"/>
            <w:tabs>
              <w:tab w:val="right" w:leader="dot" w:pos="9360"/>
            </w:tabs>
            <w:rPr>
              <w:rStyle w:val="Hyperlink"/>
            </w:rPr>
          </w:pPr>
          <w:hyperlink w:anchor="_Toc961400607">
            <w:r w:rsidR="008B7556">
              <w:rPr>
                <w:rStyle w:val="Hyperlink"/>
              </w:rPr>
              <w:t>3.6 Financing Options</w:t>
            </w:r>
            <w:r w:rsidR="008B7556">
              <w:tab/>
            </w:r>
            <w:r>
              <w:fldChar w:fldCharType="begin"/>
            </w:r>
            <w:r w:rsidR="008B7556">
              <w:instrText>PAGEREF _Toc961400607 \h</w:instrText>
            </w:r>
            <w:r>
              <w:fldChar w:fldCharType="separate"/>
            </w:r>
            <w:r w:rsidR="008B7556">
              <w:rPr>
                <w:rStyle w:val="Hyperlink"/>
              </w:rPr>
              <w:t>21</w:t>
            </w:r>
            <w:r>
              <w:fldChar w:fldCharType="end"/>
            </w:r>
          </w:hyperlink>
        </w:p>
        <w:p w:rsidR="008B7556" w:rsidRDefault="00FC1FE6">
          <w:pPr>
            <w:pStyle w:val="TOC1"/>
            <w:tabs>
              <w:tab w:val="right" w:leader="dot" w:pos="9360"/>
            </w:tabs>
            <w:rPr>
              <w:rStyle w:val="Hyperlink"/>
            </w:rPr>
          </w:pPr>
          <w:hyperlink w:anchor="_Toc1158848255">
            <w:r w:rsidR="008B7556">
              <w:rPr>
                <w:rStyle w:val="Hyperlink"/>
              </w:rPr>
              <w:t>4. Strategic Financial Restructuring Plan</w:t>
            </w:r>
            <w:r w:rsidR="008B7556">
              <w:tab/>
            </w:r>
            <w:r>
              <w:fldChar w:fldCharType="begin"/>
            </w:r>
            <w:r w:rsidR="008B7556">
              <w:instrText>PAGEREF _Toc1158848255 \h</w:instrText>
            </w:r>
            <w:r>
              <w:fldChar w:fldCharType="separate"/>
            </w:r>
            <w:r w:rsidR="008B7556">
              <w:rPr>
                <w:rStyle w:val="Hyperlink"/>
              </w:rPr>
              <w:t>22</w:t>
            </w:r>
            <w:r>
              <w:fldChar w:fldCharType="end"/>
            </w:r>
          </w:hyperlink>
        </w:p>
        <w:p w:rsidR="008B7556" w:rsidRDefault="00FC1FE6">
          <w:pPr>
            <w:pStyle w:val="TOC2"/>
            <w:tabs>
              <w:tab w:val="right" w:leader="dot" w:pos="9360"/>
            </w:tabs>
            <w:rPr>
              <w:rStyle w:val="Hyperlink"/>
            </w:rPr>
          </w:pPr>
          <w:hyperlink w:anchor="_Toc898731311">
            <w:r w:rsidR="008B7556">
              <w:rPr>
                <w:rStyle w:val="Hyperlink"/>
              </w:rPr>
              <w:t>4.1 Introduction to Financial Restructuring</w:t>
            </w:r>
            <w:r w:rsidR="008B7556">
              <w:tab/>
            </w:r>
            <w:r>
              <w:fldChar w:fldCharType="begin"/>
            </w:r>
            <w:r w:rsidR="008B7556">
              <w:instrText>PAGEREF _Toc898731311 \h</w:instrText>
            </w:r>
            <w:r>
              <w:fldChar w:fldCharType="separate"/>
            </w:r>
            <w:r w:rsidR="008B7556">
              <w:rPr>
                <w:rStyle w:val="Hyperlink"/>
              </w:rPr>
              <w:t>22</w:t>
            </w:r>
            <w:r>
              <w:fldChar w:fldCharType="end"/>
            </w:r>
          </w:hyperlink>
        </w:p>
        <w:p w:rsidR="008B7556" w:rsidRDefault="00FC1FE6">
          <w:pPr>
            <w:pStyle w:val="TOC2"/>
            <w:tabs>
              <w:tab w:val="right" w:leader="dot" w:pos="9360"/>
            </w:tabs>
            <w:rPr>
              <w:rStyle w:val="Hyperlink"/>
            </w:rPr>
          </w:pPr>
          <w:hyperlink w:anchor="_Toc670186631">
            <w:r w:rsidR="008B7556">
              <w:rPr>
                <w:rStyle w:val="Hyperlink"/>
              </w:rPr>
              <w:t>4.2 Key Financial Problems Identified</w:t>
            </w:r>
            <w:r w:rsidR="008B7556">
              <w:tab/>
            </w:r>
            <w:r>
              <w:fldChar w:fldCharType="begin"/>
            </w:r>
            <w:r w:rsidR="008B7556">
              <w:instrText>PAGEREF _Toc670186631 \h</w:instrText>
            </w:r>
            <w:r>
              <w:fldChar w:fldCharType="separate"/>
            </w:r>
            <w:r w:rsidR="008B7556">
              <w:rPr>
                <w:rStyle w:val="Hyperlink"/>
              </w:rPr>
              <w:t>22</w:t>
            </w:r>
            <w:r>
              <w:fldChar w:fldCharType="end"/>
            </w:r>
          </w:hyperlink>
        </w:p>
        <w:p w:rsidR="008B7556" w:rsidRDefault="00FC1FE6">
          <w:pPr>
            <w:pStyle w:val="TOC2"/>
            <w:tabs>
              <w:tab w:val="right" w:leader="dot" w:pos="9360"/>
            </w:tabs>
            <w:rPr>
              <w:rStyle w:val="Hyperlink"/>
            </w:rPr>
          </w:pPr>
          <w:hyperlink w:anchor="_Toc627026956">
            <w:r w:rsidR="008B7556">
              <w:rPr>
                <w:rStyle w:val="Hyperlink"/>
              </w:rPr>
              <w:t>4.3 Financial Restructuring Options</w:t>
            </w:r>
            <w:r w:rsidR="008B7556">
              <w:tab/>
            </w:r>
            <w:r>
              <w:fldChar w:fldCharType="begin"/>
            </w:r>
            <w:r w:rsidR="008B7556">
              <w:instrText>PAGEREF _Toc627026956 \h</w:instrText>
            </w:r>
            <w:r>
              <w:fldChar w:fldCharType="separate"/>
            </w:r>
            <w:r w:rsidR="008B7556">
              <w:rPr>
                <w:rStyle w:val="Hyperlink"/>
              </w:rPr>
              <w:t>24</w:t>
            </w:r>
            <w:r>
              <w:fldChar w:fldCharType="end"/>
            </w:r>
          </w:hyperlink>
        </w:p>
        <w:p w:rsidR="008B7556" w:rsidRDefault="00FC1FE6">
          <w:pPr>
            <w:pStyle w:val="TOC2"/>
            <w:tabs>
              <w:tab w:val="right" w:leader="dot" w:pos="9360"/>
            </w:tabs>
            <w:rPr>
              <w:rStyle w:val="Hyperlink"/>
            </w:rPr>
          </w:pPr>
          <w:hyperlink w:anchor="_Toc1262047968">
            <w:r w:rsidR="008B7556">
              <w:rPr>
                <w:rStyle w:val="Hyperlink"/>
              </w:rPr>
              <w:t>4.4 Impact Evaluation</w:t>
            </w:r>
            <w:r w:rsidR="008B7556">
              <w:tab/>
            </w:r>
            <w:r>
              <w:fldChar w:fldCharType="begin"/>
            </w:r>
            <w:r w:rsidR="008B7556">
              <w:instrText>PAGEREF _Toc1262047968 \h</w:instrText>
            </w:r>
            <w:r>
              <w:fldChar w:fldCharType="separate"/>
            </w:r>
            <w:r w:rsidR="008B7556">
              <w:rPr>
                <w:rStyle w:val="Hyperlink"/>
              </w:rPr>
              <w:t>26</w:t>
            </w:r>
            <w:r>
              <w:fldChar w:fldCharType="end"/>
            </w:r>
          </w:hyperlink>
        </w:p>
        <w:p w:rsidR="008B7556" w:rsidRDefault="00FC1FE6">
          <w:pPr>
            <w:pStyle w:val="TOC2"/>
            <w:tabs>
              <w:tab w:val="right" w:leader="dot" w:pos="9360"/>
            </w:tabs>
            <w:rPr>
              <w:rStyle w:val="Hyperlink"/>
            </w:rPr>
          </w:pPr>
          <w:hyperlink w:anchor="_Toc1498943837">
            <w:r w:rsidR="008B7556">
              <w:rPr>
                <w:rStyle w:val="Hyperlink"/>
              </w:rPr>
              <w:t>4.5 International Considerations</w:t>
            </w:r>
            <w:r w:rsidR="008B7556">
              <w:tab/>
            </w:r>
            <w:r>
              <w:fldChar w:fldCharType="begin"/>
            </w:r>
            <w:r w:rsidR="008B7556">
              <w:instrText>PAGEREF _Toc1498943837 \h</w:instrText>
            </w:r>
            <w:r>
              <w:fldChar w:fldCharType="separate"/>
            </w:r>
            <w:r w:rsidR="008B7556">
              <w:rPr>
                <w:rStyle w:val="Hyperlink"/>
              </w:rPr>
              <w:t>26</w:t>
            </w:r>
            <w:r>
              <w:fldChar w:fldCharType="end"/>
            </w:r>
          </w:hyperlink>
        </w:p>
        <w:p w:rsidR="008B7556" w:rsidRDefault="00FC1FE6">
          <w:pPr>
            <w:pStyle w:val="TOC2"/>
            <w:tabs>
              <w:tab w:val="right" w:leader="dot" w:pos="9360"/>
            </w:tabs>
            <w:rPr>
              <w:rStyle w:val="Hyperlink"/>
            </w:rPr>
          </w:pPr>
          <w:hyperlink w:anchor="_Toc1770114250">
            <w:r w:rsidR="008B7556">
              <w:rPr>
                <w:rStyle w:val="Hyperlink"/>
              </w:rPr>
              <w:t>4.6 Ethical Considerations</w:t>
            </w:r>
            <w:r w:rsidR="008B7556">
              <w:tab/>
            </w:r>
            <w:r>
              <w:fldChar w:fldCharType="begin"/>
            </w:r>
            <w:r w:rsidR="008B7556">
              <w:instrText>PAGEREF _Toc1770114250 \h</w:instrText>
            </w:r>
            <w:r>
              <w:fldChar w:fldCharType="separate"/>
            </w:r>
            <w:r w:rsidR="008B7556">
              <w:rPr>
                <w:rStyle w:val="Hyperlink"/>
              </w:rPr>
              <w:t>27</w:t>
            </w:r>
            <w:r>
              <w:fldChar w:fldCharType="end"/>
            </w:r>
          </w:hyperlink>
        </w:p>
        <w:p w:rsidR="008B7556" w:rsidRDefault="00FC1FE6">
          <w:pPr>
            <w:pStyle w:val="TOC1"/>
            <w:tabs>
              <w:tab w:val="right" w:leader="dot" w:pos="9360"/>
            </w:tabs>
            <w:rPr>
              <w:rStyle w:val="Hyperlink"/>
            </w:rPr>
          </w:pPr>
          <w:hyperlink w:anchor="_Toc1283567301">
            <w:r w:rsidR="008B7556">
              <w:rPr>
                <w:rStyle w:val="Hyperlink"/>
              </w:rPr>
              <w:t>5. Investment Appraisal And Capital Budgeting</w:t>
            </w:r>
            <w:r w:rsidR="008B7556">
              <w:tab/>
            </w:r>
            <w:r>
              <w:fldChar w:fldCharType="begin"/>
            </w:r>
            <w:r w:rsidR="008B7556">
              <w:instrText>PAGEREF _Toc1283567301 \h</w:instrText>
            </w:r>
            <w:r>
              <w:fldChar w:fldCharType="separate"/>
            </w:r>
            <w:r w:rsidR="008B7556">
              <w:rPr>
                <w:rStyle w:val="Hyperlink"/>
              </w:rPr>
              <w:t>28</w:t>
            </w:r>
            <w:r>
              <w:fldChar w:fldCharType="end"/>
            </w:r>
          </w:hyperlink>
        </w:p>
        <w:p w:rsidR="008B7556" w:rsidRDefault="00FC1FE6">
          <w:pPr>
            <w:pStyle w:val="TOC2"/>
            <w:tabs>
              <w:tab w:val="right" w:leader="dot" w:pos="9360"/>
            </w:tabs>
            <w:rPr>
              <w:rStyle w:val="Hyperlink"/>
            </w:rPr>
          </w:pPr>
          <w:hyperlink w:anchor="_Toc547358078">
            <w:r w:rsidR="008B7556">
              <w:rPr>
                <w:rStyle w:val="Hyperlink"/>
              </w:rPr>
              <w:t>5.1 Introduction to Investment Appraisal</w:t>
            </w:r>
            <w:r w:rsidR="008B7556">
              <w:tab/>
            </w:r>
            <w:r>
              <w:fldChar w:fldCharType="begin"/>
            </w:r>
            <w:r w:rsidR="008B7556">
              <w:instrText>PAGEREF _Toc547358078 \h</w:instrText>
            </w:r>
            <w:r>
              <w:fldChar w:fldCharType="separate"/>
            </w:r>
            <w:r w:rsidR="008B7556">
              <w:rPr>
                <w:rStyle w:val="Hyperlink"/>
              </w:rPr>
              <w:t>28</w:t>
            </w:r>
            <w:r>
              <w:fldChar w:fldCharType="end"/>
            </w:r>
          </w:hyperlink>
        </w:p>
        <w:p w:rsidR="008B7556" w:rsidRDefault="00FC1FE6">
          <w:pPr>
            <w:pStyle w:val="TOC2"/>
            <w:tabs>
              <w:tab w:val="right" w:leader="dot" w:pos="9360"/>
            </w:tabs>
            <w:rPr>
              <w:rStyle w:val="Hyperlink"/>
            </w:rPr>
          </w:pPr>
          <w:hyperlink w:anchor="_Toc1674903255">
            <w:r w:rsidR="008B7556">
              <w:rPr>
                <w:rStyle w:val="Hyperlink"/>
              </w:rPr>
              <w:t>5.2 Project Overview</w:t>
            </w:r>
            <w:r w:rsidR="008B7556">
              <w:tab/>
            </w:r>
            <w:r>
              <w:fldChar w:fldCharType="begin"/>
            </w:r>
            <w:r w:rsidR="008B7556">
              <w:instrText>PAGEREF _Toc1674903255 \h</w:instrText>
            </w:r>
            <w:r>
              <w:fldChar w:fldCharType="separate"/>
            </w:r>
            <w:r w:rsidR="008B7556">
              <w:rPr>
                <w:rStyle w:val="Hyperlink"/>
              </w:rPr>
              <w:t>28</w:t>
            </w:r>
            <w:r>
              <w:fldChar w:fldCharType="end"/>
            </w:r>
          </w:hyperlink>
        </w:p>
        <w:p w:rsidR="008B7556" w:rsidRDefault="00FC1FE6">
          <w:pPr>
            <w:pStyle w:val="TOC2"/>
            <w:tabs>
              <w:tab w:val="right" w:leader="dot" w:pos="9360"/>
            </w:tabs>
            <w:rPr>
              <w:rStyle w:val="Hyperlink"/>
            </w:rPr>
          </w:pPr>
          <w:hyperlink w:anchor="_Toc1933145964">
            <w:r w:rsidR="008B7556">
              <w:rPr>
                <w:rStyle w:val="Hyperlink"/>
              </w:rPr>
              <w:t>5.3 Investment Appraisal Techniques</w:t>
            </w:r>
            <w:r w:rsidR="008B7556">
              <w:tab/>
            </w:r>
            <w:r>
              <w:fldChar w:fldCharType="begin"/>
            </w:r>
            <w:r w:rsidR="008B7556">
              <w:instrText>PAGEREF _Toc1933145964 \h</w:instrText>
            </w:r>
            <w:r>
              <w:fldChar w:fldCharType="separate"/>
            </w:r>
            <w:r w:rsidR="008B7556">
              <w:rPr>
                <w:rStyle w:val="Hyperlink"/>
              </w:rPr>
              <w:t>29</w:t>
            </w:r>
            <w:r>
              <w:fldChar w:fldCharType="end"/>
            </w:r>
          </w:hyperlink>
        </w:p>
        <w:p w:rsidR="008B7556" w:rsidRDefault="00FC1FE6">
          <w:pPr>
            <w:pStyle w:val="TOC2"/>
            <w:tabs>
              <w:tab w:val="right" w:leader="dot" w:pos="9360"/>
            </w:tabs>
            <w:rPr>
              <w:rStyle w:val="Hyperlink"/>
            </w:rPr>
          </w:pPr>
          <w:hyperlink w:anchor="_Toc2133593198">
            <w:r w:rsidR="008B7556">
              <w:rPr>
                <w:rStyle w:val="Hyperlink"/>
              </w:rPr>
              <w:t>5.4 Results Summary</w:t>
            </w:r>
            <w:r w:rsidR="008B7556">
              <w:tab/>
            </w:r>
            <w:r>
              <w:fldChar w:fldCharType="begin"/>
            </w:r>
            <w:r w:rsidR="008B7556">
              <w:instrText>PAGEREF _Toc2133593198 \h</w:instrText>
            </w:r>
            <w:r>
              <w:fldChar w:fldCharType="separate"/>
            </w:r>
            <w:r w:rsidR="008B7556">
              <w:rPr>
                <w:rStyle w:val="Hyperlink"/>
              </w:rPr>
              <w:t>30</w:t>
            </w:r>
            <w:r>
              <w:fldChar w:fldCharType="end"/>
            </w:r>
          </w:hyperlink>
        </w:p>
        <w:p w:rsidR="008B7556" w:rsidRDefault="00FC1FE6">
          <w:pPr>
            <w:pStyle w:val="TOC2"/>
            <w:tabs>
              <w:tab w:val="right" w:leader="dot" w:pos="9360"/>
            </w:tabs>
            <w:rPr>
              <w:rStyle w:val="Hyperlink"/>
            </w:rPr>
          </w:pPr>
          <w:hyperlink w:anchor="_Toc1470453587">
            <w:r w:rsidR="008B7556">
              <w:rPr>
                <w:rStyle w:val="Hyperlink"/>
              </w:rPr>
              <w:t>5.5 Project Evaluation and Comparison</w:t>
            </w:r>
            <w:r w:rsidR="008B7556">
              <w:tab/>
            </w:r>
            <w:r>
              <w:fldChar w:fldCharType="begin"/>
            </w:r>
            <w:r w:rsidR="008B7556">
              <w:instrText>PAGEREF _Toc1470453587 \h</w:instrText>
            </w:r>
            <w:r>
              <w:fldChar w:fldCharType="separate"/>
            </w:r>
            <w:r w:rsidR="008B7556">
              <w:rPr>
                <w:rStyle w:val="Hyperlink"/>
              </w:rPr>
              <w:t>31</w:t>
            </w:r>
            <w:r>
              <w:fldChar w:fldCharType="end"/>
            </w:r>
          </w:hyperlink>
        </w:p>
        <w:p w:rsidR="008B7556" w:rsidRDefault="00FC1FE6">
          <w:pPr>
            <w:pStyle w:val="TOC2"/>
            <w:tabs>
              <w:tab w:val="right" w:leader="dot" w:pos="9360"/>
            </w:tabs>
            <w:rPr>
              <w:rStyle w:val="Hyperlink"/>
            </w:rPr>
          </w:pPr>
          <w:hyperlink w:anchor="_Toc1001531064">
            <w:r w:rsidR="008B7556">
              <w:rPr>
                <w:rStyle w:val="Hyperlink"/>
              </w:rPr>
              <w:t>5.6 Final Investment Decision</w:t>
            </w:r>
            <w:r w:rsidR="008B7556">
              <w:tab/>
            </w:r>
            <w:r>
              <w:fldChar w:fldCharType="begin"/>
            </w:r>
            <w:r w:rsidR="008B7556">
              <w:instrText>PAGEREF _Toc1001531064 \h</w:instrText>
            </w:r>
            <w:r>
              <w:fldChar w:fldCharType="separate"/>
            </w:r>
            <w:r w:rsidR="008B7556">
              <w:rPr>
                <w:rStyle w:val="Hyperlink"/>
              </w:rPr>
              <w:t>32</w:t>
            </w:r>
            <w:r>
              <w:fldChar w:fldCharType="end"/>
            </w:r>
          </w:hyperlink>
        </w:p>
        <w:p w:rsidR="008B7556" w:rsidRDefault="00FC1FE6">
          <w:pPr>
            <w:pStyle w:val="TOC2"/>
            <w:tabs>
              <w:tab w:val="right" w:leader="dot" w:pos="9360"/>
            </w:tabs>
            <w:rPr>
              <w:rStyle w:val="Hyperlink"/>
            </w:rPr>
          </w:pPr>
          <w:hyperlink w:anchor="_Toc1847186287">
            <w:r w:rsidR="008B7556">
              <w:rPr>
                <w:rStyle w:val="Hyperlink"/>
              </w:rPr>
              <w:t>5.7 Capital Rationing Analysis</w:t>
            </w:r>
            <w:r w:rsidR="008B7556">
              <w:tab/>
            </w:r>
            <w:r>
              <w:fldChar w:fldCharType="begin"/>
            </w:r>
            <w:r w:rsidR="008B7556">
              <w:instrText>PAGEREF _Toc1847186287 \h</w:instrText>
            </w:r>
            <w:r>
              <w:fldChar w:fldCharType="separate"/>
            </w:r>
            <w:r w:rsidR="008B7556">
              <w:rPr>
                <w:rStyle w:val="Hyperlink"/>
              </w:rPr>
              <w:t>32</w:t>
            </w:r>
            <w:r>
              <w:fldChar w:fldCharType="end"/>
            </w:r>
          </w:hyperlink>
        </w:p>
        <w:p w:rsidR="008B7556" w:rsidRDefault="00FC1FE6">
          <w:pPr>
            <w:pStyle w:val="TOC1"/>
            <w:tabs>
              <w:tab w:val="right" w:leader="dot" w:pos="9360"/>
            </w:tabs>
            <w:rPr>
              <w:rStyle w:val="Hyperlink"/>
            </w:rPr>
          </w:pPr>
          <w:hyperlink w:anchor="_Toc2065781339">
            <w:r w:rsidR="008B7556">
              <w:rPr>
                <w:rStyle w:val="Hyperlink"/>
              </w:rPr>
              <w:t>6. Conclusion</w:t>
            </w:r>
            <w:r w:rsidR="008B7556">
              <w:tab/>
            </w:r>
            <w:r>
              <w:fldChar w:fldCharType="begin"/>
            </w:r>
            <w:r w:rsidR="008B7556">
              <w:instrText>PAGEREF _Toc2065781339 \h</w:instrText>
            </w:r>
            <w:r>
              <w:fldChar w:fldCharType="separate"/>
            </w:r>
            <w:r w:rsidR="008B7556">
              <w:rPr>
                <w:rStyle w:val="Hyperlink"/>
              </w:rPr>
              <w:t>34</w:t>
            </w:r>
            <w:r>
              <w:fldChar w:fldCharType="end"/>
            </w:r>
          </w:hyperlink>
        </w:p>
        <w:p w:rsidR="008B7556" w:rsidRDefault="00FC1FE6">
          <w:pPr>
            <w:pStyle w:val="TOC1"/>
            <w:tabs>
              <w:tab w:val="right" w:leader="dot" w:pos="9360"/>
            </w:tabs>
            <w:rPr>
              <w:rStyle w:val="Hyperlink"/>
            </w:rPr>
          </w:pPr>
          <w:hyperlink w:anchor="_Toc1594966962">
            <w:r w:rsidR="008B7556">
              <w:rPr>
                <w:rStyle w:val="Hyperlink"/>
              </w:rPr>
              <w:t>References</w:t>
            </w:r>
            <w:r w:rsidR="008B7556">
              <w:tab/>
            </w:r>
            <w:r>
              <w:fldChar w:fldCharType="begin"/>
            </w:r>
            <w:r w:rsidR="008B7556">
              <w:instrText>PAGEREF _Toc1594966962 \h</w:instrText>
            </w:r>
            <w:r>
              <w:fldChar w:fldCharType="separate"/>
            </w:r>
            <w:r w:rsidR="008B7556">
              <w:rPr>
                <w:rStyle w:val="Hyperlink"/>
              </w:rPr>
              <w:t>34</w:t>
            </w:r>
            <w:r>
              <w:fldChar w:fldCharType="end"/>
            </w:r>
          </w:hyperlink>
        </w:p>
        <w:p w:rsidR="008B7556" w:rsidRDefault="00FC1FE6">
          <w:pPr>
            <w:pStyle w:val="TOC1"/>
            <w:tabs>
              <w:tab w:val="right" w:leader="dot" w:pos="9360"/>
            </w:tabs>
            <w:rPr>
              <w:rStyle w:val="Hyperlink"/>
            </w:rPr>
          </w:pPr>
          <w:hyperlink w:anchor="_Toc495073986">
            <w:r w:rsidR="008B7556">
              <w:rPr>
                <w:rStyle w:val="Hyperlink"/>
              </w:rPr>
              <w:t>Appendix</w:t>
            </w:r>
            <w:r w:rsidR="008B7556">
              <w:tab/>
            </w:r>
            <w:r>
              <w:fldChar w:fldCharType="begin"/>
            </w:r>
            <w:r w:rsidR="008B7556">
              <w:instrText>PAGEREF _Toc495073986 \h</w:instrText>
            </w:r>
            <w:r>
              <w:fldChar w:fldCharType="separate"/>
            </w:r>
            <w:r w:rsidR="008B7556">
              <w:rPr>
                <w:rStyle w:val="Hyperlink"/>
              </w:rPr>
              <w:t>40</w:t>
            </w:r>
            <w:r>
              <w:fldChar w:fldCharType="end"/>
            </w:r>
          </w:hyperlink>
          <w:r>
            <w:fldChar w:fldCharType="end"/>
          </w:r>
        </w:p>
      </w:sdtContent>
    </w:sdt>
    <w:p w:rsidR="008B7556" w:rsidRDefault="008B7556"/>
    <w:p w:rsidR="008B7556" w:rsidRDefault="00B74D9B">
      <w:r>
        <w:br w:type="page"/>
      </w:r>
    </w:p>
    <w:p w:rsidR="008B7556" w:rsidRDefault="00B74D9B">
      <w:pPr>
        <w:pStyle w:val="Heading1"/>
        <w:keepNext w:val="0"/>
        <w:keepLines w:val="0"/>
        <w:jc w:val="center"/>
      </w:pPr>
      <w:r>
        <w:lastRenderedPageBreak/>
        <w:t>List of Figures</w:t>
      </w:r>
    </w:p>
    <w:p w:rsidR="008B7556" w:rsidRDefault="00FC1FE6">
      <w:pPr>
        <w:pStyle w:val="TableofFigures"/>
        <w:tabs>
          <w:tab w:val="right" w:leader="dot" w:pos="9360"/>
        </w:tabs>
        <w:ind w:left="960" w:hanging="480"/>
      </w:pPr>
      <w:r>
        <w:fldChar w:fldCharType="begin"/>
      </w:r>
      <w:r w:rsidR="00B74D9B">
        <w:instrText>TOC \t "Heading 4" \h \c</w:instrText>
      </w:r>
      <w:r>
        <w:fldChar w:fldCharType="separate"/>
      </w:r>
      <w:hyperlink w:anchor="_Toc1362616000" w:history="1">
        <w:r w:rsidR="008B7556">
          <w:rPr>
            <w:bCs/>
          </w:rPr>
          <w:t>Figure 1: Tesla Inc</w:t>
        </w:r>
        <w:r w:rsidR="008B7556">
          <w:tab/>
        </w:r>
        <w:r>
          <w:fldChar w:fldCharType="begin"/>
        </w:r>
        <w:r w:rsidR="008B7556">
          <w:instrText xml:space="preserve"> PAGEREF _Toc1362616000 \h </w:instrText>
        </w:r>
        <w:r>
          <w:fldChar w:fldCharType="separate"/>
        </w:r>
        <w:r w:rsidR="008B7556">
          <w:t>5</w:t>
        </w:r>
        <w:r>
          <w:fldChar w:fldCharType="end"/>
        </w:r>
      </w:hyperlink>
    </w:p>
    <w:p w:rsidR="008B7556" w:rsidRDefault="00FC1FE6">
      <w:pPr>
        <w:pStyle w:val="TableofFigures"/>
        <w:tabs>
          <w:tab w:val="right" w:leader="dot" w:pos="9360"/>
        </w:tabs>
        <w:ind w:left="960" w:hanging="480"/>
      </w:pPr>
      <w:hyperlink w:anchor="_Toc721500392" w:history="1">
        <w:r w:rsidR="008B7556">
          <w:t>Figure 2: Financial Data of Tesla</w:t>
        </w:r>
        <w:r w:rsidR="008B7556">
          <w:tab/>
        </w:r>
        <w:r>
          <w:fldChar w:fldCharType="begin"/>
        </w:r>
        <w:r w:rsidR="008B7556">
          <w:instrText xml:space="preserve"> PAGEREF _Toc721500392 \h </w:instrText>
        </w:r>
        <w:r>
          <w:fldChar w:fldCharType="separate"/>
        </w:r>
        <w:r w:rsidR="008B7556">
          <w:t>7</w:t>
        </w:r>
        <w:r>
          <w:fldChar w:fldCharType="end"/>
        </w:r>
      </w:hyperlink>
    </w:p>
    <w:p w:rsidR="008B7556" w:rsidRDefault="00FC1FE6">
      <w:pPr>
        <w:pStyle w:val="TableofFigures"/>
        <w:tabs>
          <w:tab w:val="right" w:leader="dot" w:pos="9360"/>
        </w:tabs>
        <w:ind w:left="960" w:hanging="480"/>
      </w:pPr>
      <w:hyperlink w:anchor="_Toc1564417382" w:history="1">
        <w:r w:rsidR="008B7556">
          <w:t>Figure 3: Profitability Ratio</w:t>
        </w:r>
        <w:r w:rsidR="008B7556">
          <w:tab/>
        </w:r>
        <w:r>
          <w:fldChar w:fldCharType="begin"/>
        </w:r>
        <w:r w:rsidR="008B7556">
          <w:instrText xml:space="preserve"> PAGEREF _Toc1564417382 \h </w:instrText>
        </w:r>
        <w:r>
          <w:fldChar w:fldCharType="separate"/>
        </w:r>
        <w:r w:rsidR="008B7556">
          <w:t>8</w:t>
        </w:r>
        <w:r>
          <w:fldChar w:fldCharType="end"/>
        </w:r>
      </w:hyperlink>
    </w:p>
    <w:p w:rsidR="008B7556" w:rsidRDefault="00FC1FE6">
      <w:pPr>
        <w:pStyle w:val="TableofFigures"/>
        <w:tabs>
          <w:tab w:val="right" w:leader="dot" w:pos="9360"/>
        </w:tabs>
        <w:ind w:left="960" w:hanging="480"/>
      </w:pPr>
      <w:hyperlink w:anchor="_Toc1520649053" w:history="1">
        <w:r w:rsidR="008B7556">
          <w:t>Figure 4: Liquidity Ratio</w:t>
        </w:r>
        <w:r w:rsidR="008B7556">
          <w:tab/>
        </w:r>
        <w:r>
          <w:fldChar w:fldCharType="begin"/>
        </w:r>
        <w:r w:rsidR="008B7556">
          <w:instrText xml:space="preserve"> PAGEREF _Toc1520649053 \h </w:instrText>
        </w:r>
        <w:r>
          <w:fldChar w:fldCharType="separate"/>
        </w:r>
        <w:r w:rsidR="008B7556">
          <w:t>9</w:t>
        </w:r>
        <w:r>
          <w:fldChar w:fldCharType="end"/>
        </w:r>
      </w:hyperlink>
    </w:p>
    <w:p w:rsidR="008B7556" w:rsidRDefault="00FC1FE6">
      <w:pPr>
        <w:pStyle w:val="TableofFigures"/>
        <w:tabs>
          <w:tab w:val="right" w:leader="dot" w:pos="9360"/>
        </w:tabs>
        <w:ind w:left="960" w:hanging="480"/>
      </w:pPr>
      <w:hyperlink w:anchor="_Toc345750824" w:history="1">
        <w:r w:rsidR="008B7556">
          <w:t>Figure 5: Efficiency Ratio</w:t>
        </w:r>
        <w:r w:rsidR="008B7556">
          <w:tab/>
        </w:r>
        <w:r>
          <w:fldChar w:fldCharType="begin"/>
        </w:r>
        <w:r w:rsidR="008B7556">
          <w:instrText xml:space="preserve"> PAGEREF _Toc345750824 \h </w:instrText>
        </w:r>
        <w:r>
          <w:fldChar w:fldCharType="separate"/>
        </w:r>
        <w:r w:rsidR="008B7556">
          <w:t>11</w:t>
        </w:r>
        <w:r>
          <w:fldChar w:fldCharType="end"/>
        </w:r>
      </w:hyperlink>
    </w:p>
    <w:p w:rsidR="008B7556" w:rsidRDefault="00FC1FE6">
      <w:pPr>
        <w:pStyle w:val="TableofFigures"/>
        <w:tabs>
          <w:tab w:val="right" w:leader="dot" w:pos="9360"/>
        </w:tabs>
        <w:ind w:left="960" w:hanging="480"/>
      </w:pPr>
      <w:hyperlink w:anchor="_Toc2090833833" w:history="1">
        <w:r w:rsidR="008B7556">
          <w:t>Figure 6: Inventory Days</w:t>
        </w:r>
        <w:r w:rsidR="008B7556">
          <w:tab/>
        </w:r>
        <w:r>
          <w:fldChar w:fldCharType="begin"/>
        </w:r>
        <w:r w:rsidR="008B7556">
          <w:instrText xml:space="preserve"> PAGEREF _Toc2090833833 \h </w:instrText>
        </w:r>
        <w:r>
          <w:fldChar w:fldCharType="separate"/>
        </w:r>
        <w:r w:rsidR="008B7556">
          <w:t>12</w:t>
        </w:r>
        <w:r>
          <w:fldChar w:fldCharType="end"/>
        </w:r>
      </w:hyperlink>
    </w:p>
    <w:p w:rsidR="008B7556" w:rsidRDefault="00FC1FE6">
      <w:pPr>
        <w:pStyle w:val="TableofFigures"/>
        <w:tabs>
          <w:tab w:val="right" w:leader="dot" w:pos="9360"/>
        </w:tabs>
        <w:ind w:left="960" w:hanging="480"/>
      </w:pPr>
      <w:hyperlink w:anchor="_Toc1369315370" w:history="1">
        <w:r w:rsidR="008B7556">
          <w:t>Figure 7: Gearing Ratio</w:t>
        </w:r>
        <w:r w:rsidR="008B7556">
          <w:tab/>
        </w:r>
        <w:r>
          <w:fldChar w:fldCharType="begin"/>
        </w:r>
        <w:r w:rsidR="008B7556">
          <w:instrText xml:space="preserve"> PAGEREF _Toc1369315370 \h </w:instrText>
        </w:r>
        <w:r>
          <w:fldChar w:fldCharType="separate"/>
        </w:r>
        <w:r w:rsidR="008B7556">
          <w:t>13</w:t>
        </w:r>
        <w:r>
          <w:fldChar w:fldCharType="end"/>
        </w:r>
      </w:hyperlink>
    </w:p>
    <w:p w:rsidR="008B7556" w:rsidRDefault="00FC1FE6">
      <w:pPr>
        <w:pStyle w:val="TableofFigures"/>
        <w:tabs>
          <w:tab w:val="right" w:leader="dot" w:pos="9360"/>
        </w:tabs>
        <w:ind w:left="960" w:hanging="480"/>
      </w:pPr>
      <w:hyperlink w:anchor="_Toc1648662338" w:history="1">
        <w:r w:rsidR="008B7556">
          <w:t>Figure 9: Cash Flow Analysis</w:t>
        </w:r>
        <w:r w:rsidR="008B7556">
          <w:tab/>
        </w:r>
        <w:r>
          <w:fldChar w:fldCharType="begin"/>
        </w:r>
        <w:r w:rsidR="008B7556">
          <w:instrText xml:space="preserve"> PAGEREF _Toc1648662338 \h </w:instrText>
        </w:r>
        <w:r>
          <w:fldChar w:fldCharType="separate"/>
        </w:r>
        <w:r w:rsidR="008B7556">
          <w:t>17</w:t>
        </w:r>
        <w:r>
          <w:fldChar w:fldCharType="end"/>
        </w:r>
      </w:hyperlink>
    </w:p>
    <w:p w:rsidR="008B7556" w:rsidRDefault="00FC1FE6">
      <w:pPr>
        <w:pStyle w:val="TableofFigures"/>
        <w:tabs>
          <w:tab w:val="right" w:leader="dot" w:pos="9360"/>
        </w:tabs>
        <w:ind w:left="960" w:hanging="480"/>
      </w:pPr>
      <w:hyperlink w:anchor="_Toc86417525" w:history="1">
        <w:r w:rsidR="008B7556">
          <w:t>Figure 10: Cash Operating Cycle</w:t>
        </w:r>
        <w:r w:rsidR="008B7556">
          <w:tab/>
        </w:r>
        <w:r>
          <w:fldChar w:fldCharType="begin"/>
        </w:r>
        <w:r w:rsidR="008B7556">
          <w:instrText xml:space="preserve"> PAGEREF _Toc86417525 \h </w:instrText>
        </w:r>
        <w:r>
          <w:fldChar w:fldCharType="separate"/>
        </w:r>
        <w:r w:rsidR="008B7556">
          <w:t>18</w:t>
        </w:r>
        <w:r>
          <w:fldChar w:fldCharType="end"/>
        </w:r>
      </w:hyperlink>
    </w:p>
    <w:p w:rsidR="008B7556" w:rsidRDefault="00FC1FE6">
      <w:pPr>
        <w:pStyle w:val="TableofFigures"/>
        <w:tabs>
          <w:tab w:val="right" w:leader="dot" w:pos="9360"/>
        </w:tabs>
        <w:ind w:left="960" w:hanging="480"/>
      </w:pPr>
      <w:hyperlink w:anchor="_Toc720397303" w:history="1">
        <w:r w:rsidR="008B7556">
          <w:t>Figure 11: Investment Data</w:t>
        </w:r>
        <w:r w:rsidR="008B7556">
          <w:tab/>
        </w:r>
        <w:r>
          <w:fldChar w:fldCharType="begin"/>
        </w:r>
        <w:r w:rsidR="008B7556">
          <w:instrText xml:space="preserve"> PAGEREF _Toc720397303 \h </w:instrText>
        </w:r>
        <w:r>
          <w:fldChar w:fldCharType="separate"/>
        </w:r>
        <w:r w:rsidR="008B7556">
          <w:t>30</w:t>
        </w:r>
        <w:r>
          <w:fldChar w:fldCharType="end"/>
        </w:r>
      </w:hyperlink>
    </w:p>
    <w:p w:rsidR="008B7556" w:rsidRDefault="00FC1FE6">
      <w:pPr>
        <w:pStyle w:val="TableofFigures"/>
        <w:tabs>
          <w:tab w:val="right" w:leader="dot" w:pos="9360"/>
        </w:tabs>
        <w:ind w:left="960" w:hanging="480"/>
      </w:pPr>
      <w:hyperlink w:anchor="_Toc204669735" w:history="1">
        <w:r w:rsidR="008B7556">
          <w:t>Figure 12: Investment appraisal result</w:t>
        </w:r>
        <w:r w:rsidR="008B7556">
          <w:tab/>
        </w:r>
        <w:r>
          <w:fldChar w:fldCharType="begin"/>
        </w:r>
        <w:r w:rsidR="008B7556">
          <w:instrText xml:space="preserve"> PAGEREF _Toc204669735 \h </w:instrText>
        </w:r>
        <w:r>
          <w:fldChar w:fldCharType="separate"/>
        </w:r>
        <w:r w:rsidR="008B7556">
          <w:t>31</w:t>
        </w:r>
        <w:r>
          <w:fldChar w:fldCharType="end"/>
        </w:r>
      </w:hyperlink>
    </w:p>
    <w:p w:rsidR="008B7556" w:rsidRDefault="00FC1FE6">
      <w:pPr>
        <w:pStyle w:val="TableofFigures"/>
        <w:tabs>
          <w:tab w:val="right" w:leader="dot" w:pos="9360"/>
        </w:tabs>
        <w:ind w:left="960" w:hanging="480"/>
      </w:pPr>
      <w:hyperlink w:anchor="_Toc1762917298" w:history="1">
        <w:r w:rsidR="008B7556">
          <w:t>Figure 13: Capital Rationing Analysis</w:t>
        </w:r>
        <w:r w:rsidR="008B7556">
          <w:tab/>
        </w:r>
        <w:r>
          <w:fldChar w:fldCharType="begin"/>
        </w:r>
        <w:r w:rsidR="008B7556">
          <w:instrText xml:space="preserve"> PAGEREF _Toc1762917298 \h </w:instrText>
        </w:r>
        <w:r>
          <w:fldChar w:fldCharType="separate"/>
        </w:r>
        <w:r w:rsidR="008B7556">
          <w:t>34</w:t>
        </w:r>
        <w:r>
          <w:fldChar w:fldCharType="end"/>
        </w:r>
      </w:hyperlink>
    </w:p>
    <w:p w:rsidR="008B7556" w:rsidRDefault="00FC1FE6">
      <w:r>
        <w:fldChar w:fldCharType="end"/>
      </w:r>
    </w:p>
    <w:p w:rsidR="008B7556" w:rsidRDefault="00B74D9B">
      <w:r>
        <w:br w:type="page"/>
      </w:r>
    </w:p>
    <w:p w:rsidR="008B7556" w:rsidRDefault="00B74D9B">
      <w:pPr>
        <w:pStyle w:val="Heading1"/>
        <w:keepNext w:val="0"/>
        <w:keepLines w:val="0"/>
      </w:pPr>
      <w:bookmarkStart w:id="1" w:name="_x61rgpru0e1f"/>
      <w:bookmarkStart w:id="2" w:name="_Toc1246513831"/>
      <w:bookmarkEnd w:id="1"/>
      <w:r>
        <w:lastRenderedPageBreak/>
        <w:t>1. Introduction</w:t>
      </w:r>
      <w:bookmarkEnd w:id="2"/>
    </w:p>
    <w:p w:rsidR="008B7556" w:rsidRDefault="00B74D9B">
      <w:pPr>
        <w:spacing w:after="80"/>
        <w:rPr>
          <w:b/>
          <w:bCs/>
        </w:rPr>
      </w:pPr>
      <w:r>
        <w:rPr>
          <w:b/>
          <w:bCs/>
        </w:rPr>
        <w:t>1.1 Company Overview</w:t>
      </w:r>
    </w:p>
    <w:p w:rsidR="008B7556" w:rsidRDefault="00B74D9B">
      <w:r>
        <w:rPr>
          <w:lang w:val="en-US"/>
        </w:rPr>
        <w:t>Tesla Inc. is a leading global electric vehicle (EV) and clean energy company headquartered in the United Sta</w:t>
      </w:r>
      <w:r>
        <w:rPr>
          <w:lang w:val="en-US"/>
        </w:rPr>
        <w:t>tes. Tesla is a leading company in the EV sector with its emphasis on innovation, sustainability, and new technologies that have helped it become a dominant force in the market since 2003. The corporation produces, engineers, and markets electric cars, bat</w:t>
      </w:r>
      <w:r>
        <w:rPr>
          <w:lang w:val="en-US"/>
        </w:rPr>
        <w:t xml:space="preserve">tery energy storage, and solar energy products (Hopkins and Lazonick, 2024). </w:t>
      </w:r>
    </w:p>
    <w:p w:rsidR="008B7556" w:rsidRDefault="00B74D9B">
      <w:pPr>
        <w:jc w:val="center"/>
      </w:pPr>
      <w:r>
        <w:rPr>
          <w:noProof/>
          <w:lang w:val="en-GB" w:eastAsia="en-GB"/>
        </w:rPr>
        <w:drawing>
          <wp:inline distT="114300" distB="114300" distL="114300" distR="114300">
            <wp:extent cx="2466975" cy="1847850"/>
            <wp:effectExtent l="0" t="0" r="0" b="0"/>
            <wp:docPr id="16" name="image14.png"/>
            <wp:cNvGraphicFramePr/>
            <a:graphic xmlns:a="http://schemas.openxmlformats.org/drawingml/2006/main">
              <a:graphicData uri="http://schemas.openxmlformats.org/drawingml/2006/picture">
                <pic:pic xmlns:pic="http://schemas.openxmlformats.org/drawingml/2006/picture">
                  <pic:nvPicPr>
                    <pic:cNvPr id="16" name="image14.png"/>
                    <pic:cNvPicPr preferRelativeResize="0"/>
                  </pic:nvPicPr>
                  <pic:blipFill>
                    <a:blip r:embed="rId8" cstate="print"/>
                    <a:srcRect/>
                    <a:stretch>
                      <a:fillRect/>
                    </a:stretch>
                  </pic:blipFill>
                  <pic:spPr>
                    <a:xfrm>
                      <a:off x="0" y="0"/>
                      <a:ext cx="2466975" cy="1847850"/>
                    </a:xfrm>
                    <a:prstGeom prst="rect">
                      <a:avLst/>
                    </a:prstGeom>
                  </pic:spPr>
                </pic:pic>
              </a:graphicData>
            </a:graphic>
          </wp:inline>
        </w:drawing>
      </w:r>
    </w:p>
    <w:p w:rsidR="008B7556" w:rsidRDefault="00B74D9B">
      <w:pPr>
        <w:pStyle w:val="Heading4"/>
      </w:pPr>
      <w:bookmarkStart w:id="3" w:name="_Toc1362616000"/>
      <w:r>
        <w:t>Figure 1: Tesla Inc</w:t>
      </w:r>
      <w:bookmarkEnd w:id="3"/>
      <w:r>
        <w:t xml:space="preserve"> </w:t>
      </w:r>
    </w:p>
    <w:p w:rsidR="008B7556" w:rsidRDefault="00B74D9B">
      <w:pPr>
        <w:jc w:val="center"/>
      </w:pPr>
      <w:r>
        <w:t>(Source: Tesla, 2026)</w:t>
      </w:r>
    </w:p>
    <w:p w:rsidR="008B7556" w:rsidRPr="00BF7E50" w:rsidRDefault="00B74D9B">
      <w:r>
        <w:rPr>
          <w:lang w:val="en-US"/>
        </w:rPr>
        <w:t xml:space="preserve">There has been a tremendous growth realized by Tesla between the last five years and revenues are projected to be approximately in </w:t>
      </w:r>
      <w:r>
        <w:rPr>
          <w:lang w:val="en-US"/>
        </w:rPr>
        <w:t>2021 with revenues of about $53.8 billion and revenue of about 94.8 billion in 2025. Nevertheless, as this has expanded, the current financial reports show that the profitability level is decreasing and that the operations are causing more pressure. To ill</w:t>
      </w:r>
      <w:r>
        <w:rPr>
          <w:lang w:val="en-US"/>
        </w:rPr>
        <w:t>ustrate, in 2023, the net profit margin stood at more than 15 percent but fell to about 4 percent in 2025, which indicates an increase in costs and market competition. All these trends indicate the necessity of a thorough financial review (Cui and Zhao, 20</w:t>
      </w:r>
      <w:r>
        <w:rPr>
          <w:lang w:val="en-US"/>
        </w:rPr>
        <w:t>24).</w:t>
      </w:r>
    </w:p>
    <w:p w:rsidR="008B7556" w:rsidRDefault="00B74D9B">
      <w:pPr>
        <w:rPr>
          <w:b/>
          <w:bCs/>
        </w:rPr>
      </w:pPr>
      <w:r>
        <w:rPr>
          <w:b/>
          <w:bCs/>
        </w:rPr>
        <w:lastRenderedPageBreak/>
        <w:t>1.2 Role of the CFO</w:t>
      </w:r>
    </w:p>
    <w:p w:rsidR="008B7556" w:rsidRDefault="00B74D9B">
      <w:r>
        <w:rPr>
          <w:lang w:val="en-US"/>
        </w:rPr>
        <w:t>Being the new Chief Financial Officer (CFO), the key task is to critically review the financial performance of Tesla and make sure that the value creation is sustainable. This entails using past historical financial records, perfor</w:t>
      </w:r>
      <w:r>
        <w:rPr>
          <w:lang w:val="en-US"/>
        </w:rPr>
        <w:t>ming financial risk identification, and providing strategic suggestions to improve profitability, liquidity, and operational effectiveness. The CFO should also make sure that the financial business decisions made conformed to the long-term business purpose</w:t>
      </w:r>
      <w:r>
        <w:rPr>
          <w:lang w:val="en-US"/>
        </w:rPr>
        <w:t xml:space="preserve"> and expectations of the shareholders, and yet maintain financial stability.</w:t>
      </w:r>
    </w:p>
    <w:p w:rsidR="008B7556" w:rsidRDefault="00B74D9B">
      <w:pPr>
        <w:spacing w:after="80"/>
        <w:rPr>
          <w:b/>
          <w:bCs/>
        </w:rPr>
      </w:pPr>
      <w:r>
        <w:rPr>
          <w:b/>
          <w:bCs/>
        </w:rPr>
        <w:t>1.3 Purpose of the Report</w:t>
      </w:r>
    </w:p>
    <w:p w:rsidR="008B7556" w:rsidRDefault="00B74D9B">
      <w:r>
        <w:rPr>
          <w:lang w:val="en-US"/>
        </w:rPr>
        <w:t xml:space="preserve">This report is aimed at analyzing Tesla financially over the last five years. It will be used to review the financial health of the company by analyzing </w:t>
      </w:r>
      <w:r>
        <w:rPr>
          <w:lang w:val="en-US"/>
        </w:rPr>
        <w:t xml:space="preserve">its key financial ratios, its efficiency with working capital, and its financial inherent challenges (Hong, 2024). The report also suggests the strategy restructuring of the financial aspect and analyzes the possibility of investment opportunities through </w:t>
      </w:r>
      <w:r>
        <w:rPr>
          <w:lang w:val="en-US"/>
        </w:rPr>
        <w:t>capital budgeting.</w:t>
      </w:r>
    </w:p>
    <w:p w:rsidR="008B7556" w:rsidRDefault="00B74D9B">
      <w:pPr>
        <w:rPr>
          <w:b/>
          <w:bCs/>
        </w:rPr>
      </w:pPr>
      <w:r>
        <w:rPr>
          <w:b/>
          <w:bCs/>
        </w:rPr>
        <w:t>1.4 Structure of the Report</w:t>
      </w:r>
    </w:p>
    <w:p w:rsidR="008B7556" w:rsidRDefault="00B74D9B">
      <w:r>
        <w:rPr>
          <w:lang w:val="en-US"/>
        </w:rPr>
        <w:t xml:space="preserve">This report is divided into four key parts. The financial health check is done by first undertaking a ratio analysis to determine the performance trend. Second, working capital management is also evaluated to </w:t>
      </w:r>
      <w:r>
        <w:rPr>
          <w:lang w:val="en-US"/>
        </w:rPr>
        <w:t>determine the liquidity and the efficiency of operations. Third, a strategic financial restructuring plan is suggested to handle the noted issues. Lastly, selection and validation of the project, the most viable project under capital constraints, is done u</w:t>
      </w:r>
      <w:r>
        <w:rPr>
          <w:lang w:val="en-US"/>
        </w:rPr>
        <w:t>sing investment appraisal techniques.</w:t>
      </w:r>
    </w:p>
    <w:p w:rsidR="008B7556" w:rsidRDefault="00B74D9B">
      <w:pPr>
        <w:pStyle w:val="Heading1"/>
      </w:pPr>
      <w:bookmarkStart w:id="4" w:name="_by4v6nz6bddz"/>
      <w:bookmarkStart w:id="5" w:name="_Toc923336644"/>
      <w:bookmarkEnd w:id="4"/>
      <w:r>
        <w:lastRenderedPageBreak/>
        <w:t>2. Financial Health Check</w:t>
      </w:r>
      <w:bookmarkEnd w:id="5"/>
    </w:p>
    <w:p w:rsidR="008B7556" w:rsidRDefault="00B74D9B">
      <w:pPr>
        <w:pStyle w:val="Heading2"/>
        <w:jc w:val="left"/>
      </w:pPr>
      <w:bookmarkStart w:id="6" w:name="_a0qwlf2uuioh"/>
      <w:bookmarkStart w:id="7" w:name="_Toc751825404"/>
      <w:bookmarkEnd w:id="6"/>
      <w:r>
        <w:t>2.1 Financial Statement Overview</w:t>
      </w:r>
      <w:bookmarkEnd w:id="7"/>
      <w:r>
        <w:t xml:space="preserve"> </w:t>
      </w:r>
    </w:p>
    <w:p w:rsidR="008B7556" w:rsidRDefault="00B74D9B">
      <w:r>
        <w:rPr>
          <w:noProof/>
          <w:lang w:val="en-GB" w:eastAsia="en-GB"/>
        </w:rPr>
        <w:drawing>
          <wp:inline distT="114300" distB="114300" distL="114300" distR="114300">
            <wp:extent cx="5943600" cy="6731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13" name="image8.png"/>
                    <pic:cNvPicPr preferRelativeResize="0"/>
                  </pic:nvPicPr>
                  <pic:blipFill>
                    <a:blip r:embed="rId9" cstate="print"/>
                    <a:srcRect/>
                    <a:stretch>
                      <a:fillRect/>
                    </a:stretch>
                  </pic:blipFill>
                  <pic:spPr>
                    <a:xfrm>
                      <a:off x="0" y="0"/>
                      <a:ext cx="5943600" cy="673100"/>
                    </a:xfrm>
                    <a:prstGeom prst="rect">
                      <a:avLst/>
                    </a:prstGeom>
                  </pic:spPr>
                </pic:pic>
              </a:graphicData>
            </a:graphic>
          </wp:inline>
        </w:drawing>
      </w:r>
    </w:p>
    <w:p w:rsidR="008B7556" w:rsidRDefault="00B74D9B">
      <w:pPr>
        <w:pStyle w:val="Heading4"/>
        <w:rPr>
          <w:color w:val="000000"/>
        </w:rPr>
      </w:pPr>
      <w:bookmarkStart w:id="8" w:name="_ym6nzije0wft"/>
      <w:bookmarkStart w:id="9" w:name="_Toc1352604363"/>
      <w:bookmarkStart w:id="10" w:name="_Toc1541333661"/>
      <w:bookmarkStart w:id="11" w:name="_Toc721500392"/>
      <w:bookmarkEnd w:id="8"/>
      <w:r>
        <w:t>Figure 2: Financial Data of Tesla</w:t>
      </w:r>
      <w:bookmarkEnd w:id="9"/>
      <w:bookmarkEnd w:id="10"/>
      <w:bookmarkEnd w:id="11"/>
    </w:p>
    <w:p w:rsidR="008B7556" w:rsidRDefault="00B74D9B">
      <w:pPr>
        <w:jc w:val="center"/>
        <w:rPr>
          <w:b/>
          <w:bCs/>
        </w:rPr>
      </w:pPr>
      <w:r>
        <w:t>(Source: Tesla Annual Report)</w:t>
      </w:r>
    </w:p>
    <w:p w:rsidR="008B7556" w:rsidRDefault="00B74D9B">
      <w:r>
        <w:rPr>
          <w:lang w:val="en-US"/>
        </w:rPr>
        <w:t>Figure 2 shows Tesla Inc.'s financial statements analysis of 2021 through 2025, which reveals that the company has experienced excellent growth in revenues but diminishing profitability. Revenue rose in 2021 to $53.8 billion and in 2024 to $97.7 billion, a</w:t>
      </w:r>
      <w:r>
        <w:rPr>
          <w:lang w:val="en-US"/>
        </w:rPr>
        <w:t>nd in 2025 to $94.8 billion, showing a decrease in growth. But the gross, operating, and net profits have decreased considerably because of increased costs. Total assets have risen to mark growth in production capacity, increasing to $137.8 billion, but de</w:t>
      </w:r>
      <w:r>
        <w:rPr>
          <w:lang w:val="en-US"/>
        </w:rPr>
        <w:t xml:space="preserve">bt is not very high (Aithal </w:t>
      </w:r>
      <w:r>
        <w:rPr>
          <w:i/>
          <w:iCs/>
          <w:lang w:val="en-US"/>
        </w:rPr>
        <w:t xml:space="preserve">et al., </w:t>
      </w:r>
      <w:r>
        <w:rPr>
          <w:lang w:val="en-US"/>
        </w:rPr>
        <w:t>2024). Cash flow operations were maintained constant, yet significant capital spending implies ongoing investment, which puts a strain on the free cash flow and profitability.</w:t>
      </w:r>
    </w:p>
    <w:p w:rsidR="008B7556" w:rsidRDefault="00B74D9B">
      <w:pPr>
        <w:pStyle w:val="Heading2"/>
      </w:pPr>
      <w:bookmarkStart w:id="12" w:name="_9t1giwum81j2"/>
      <w:bookmarkStart w:id="13" w:name="_Toc2115761724"/>
      <w:bookmarkEnd w:id="12"/>
      <w:r>
        <w:t>2.2 Ratio Analysis</w:t>
      </w:r>
      <w:bookmarkEnd w:id="13"/>
    </w:p>
    <w:p w:rsidR="008B7556" w:rsidRDefault="00B74D9B">
      <w:pPr>
        <w:rPr>
          <w:b/>
          <w:bCs/>
        </w:rPr>
      </w:pPr>
      <w:r>
        <w:rPr>
          <w:b/>
          <w:bCs/>
        </w:rPr>
        <w:t>Profitability Analysis</w:t>
      </w:r>
    </w:p>
    <w:p w:rsidR="008B7556" w:rsidRDefault="00B74D9B">
      <w:pPr>
        <w:jc w:val="center"/>
      </w:pPr>
      <w:r>
        <w:rPr>
          <w:noProof/>
          <w:lang w:val="en-GB" w:eastAsia="en-GB"/>
        </w:rPr>
        <w:drawing>
          <wp:inline distT="114300" distB="114300" distL="114300" distR="114300">
            <wp:extent cx="4404995" cy="1580515"/>
            <wp:effectExtent l="0" t="0" r="0" b="0"/>
            <wp:docPr id="19" name="image15.png"/>
            <wp:cNvGraphicFramePr/>
            <a:graphic xmlns:a="http://schemas.openxmlformats.org/drawingml/2006/main">
              <a:graphicData uri="http://schemas.openxmlformats.org/drawingml/2006/picture">
                <pic:pic xmlns:pic="http://schemas.openxmlformats.org/drawingml/2006/picture">
                  <pic:nvPicPr>
                    <pic:cNvPr id="19" name="image15.png"/>
                    <pic:cNvPicPr preferRelativeResize="0"/>
                  </pic:nvPicPr>
                  <pic:blipFill>
                    <a:blip r:embed="rId10" cstate="print"/>
                    <a:srcRect/>
                    <a:stretch>
                      <a:fillRect/>
                    </a:stretch>
                  </pic:blipFill>
                  <pic:spPr>
                    <a:xfrm>
                      <a:off x="0" y="0"/>
                      <a:ext cx="4405313" cy="1581001"/>
                    </a:xfrm>
                    <a:prstGeom prst="rect">
                      <a:avLst/>
                    </a:prstGeom>
                  </pic:spPr>
                </pic:pic>
              </a:graphicData>
            </a:graphic>
          </wp:inline>
        </w:drawing>
      </w:r>
    </w:p>
    <w:p w:rsidR="008B7556" w:rsidRDefault="00B74D9B">
      <w:pPr>
        <w:jc w:val="center"/>
      </w:pPr>
      <w:r>
        <w:rPr>
          <w:noProof/>
          <w:lang w:val="en-GB" w:eastAsia="en-GB"/>
        </w:rPr>
        <w:lastRenderedPageBreak/>
        <w:drawing>
          <wp:inline distT="114300" distB="114300" distL="114300" distR="114300">
            <wp:extent cx="4481195" cy="178054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referRelativeResize="0"/>
                  </pic:nvPicPr>
                  <pic:blipFill>
                    <a:blip r:embed="rId11" cstate="print"/>
                    <a:srcRect/>
                    <a:stretch>
                      <a:fillRect/>
                    </a:stretch>
                  </pic:blipFill>
                  <pic:spPr>
                    <a:xfrm>
                      <a:off x="0" y="0"/>
                      <a:ext cx="4481513" cy="1781114"/>
                    </a:xfrm>
                    <a:prstGeom prst="rect">
                      <a:avLst/>
                    </a:prstGeom>
                  </pic:spPr>
                </pic:pic>
              </a:graphicData>
            </a:graphic>
          </wp:inline>
        </w:drawing>
      </w:r>
    </w:p>
    <w:p w:rsidR="008B7556" w:rsidRDefault="00B74D9B">
      <w:pPr>
        <w:pStyle w:val="Heading4"/>
      </w:pPr>
      <w:bookmarkStart w:id="14" w:name="_yihoxia12lvs"/>
      <w:bookmarkStart w:id="15" w:name="_Toc1513209445"/>
      <w:bookmarkStart w:id="16" w:name="_Toc99606666"/>
      <w:bookmarkStart w:id="17" w:name="_Toc1564417382"/>
      <w:bookmarkEnd w:id="14"/>
      <w:r>
        <w:t>Figure 3: Profitability Ratio</w:t>
      </w:r>
      <w:bookmarkEnd w:id="15"/>
      <w:bookmarkEnd w:id="16"/>
      <w:bookmarkEnd w:id="17"/>
    </w:p>
    <w:p w:rsidR="008B7556" w:rsidRDefault="00B74D9B">
      <w:pPr>
        <w:jc w:val="center"/>
      </w:pPr>
      <w:r>
        <w:t>(Source: Excel)</w:t>
      </w:r>
    </w:p>
    <w:p w:rsidR="008B7556" w:rsidRDefault="00B74D9B">
      <w:r>
        <w:rPr>
          <w:lang w:val="en-US"/>
        </w:rPr>
        <w:t>Tesla has had a decreasing trend in its profitability ratios over the past five years, as shown by Figure 3. Gross margin was relatively constant at 25% in 2021-2022 but declined to around 18% beginning in 20</w:t>
      </w:r>
      <w:r>
        <w:rPr>
          <w:lang w:val="en-US"/>
        </w:rPr>
        <w:t>23. Similarly, operating margin decreased significantly from 16.81% in 2022 to 4.59% in 2025, while net profit margin fell from a peak of 15.50% in 2023 to 4.00% in 2025. This means that despite the solid revenues, there was a decline in profitability sinc</w:t>
      </w:r>
      <w:r>
        <w:rPr>
          <w:lang w:val="en-US"/>
        </w:rPr>
        <w:t>e there were increased costs and low pricing power. The lost margins imply rising cost of sales and high operation costs, especially in expansion and innovation initiatives (</w:t>
      </w:r>
      <w:proofErr w:type="spellStart"/>
      <w:r>
        <w:rPr>
          <w:lang w:val="en-US"/>
        </w:rPr>
        <w:t>Babazhanov</w:t>
      </w:r>
      <w:proofErr w:type="spellEnd"/>
      <w:r>
        <w:rPr>
          <w:lang w:val="en-US"/>
        </w:rPr>
        <w:t xml:space="preserve"> </w:t>
      </w:r>
      <w:r>
        <w:rPr>
          <w:i/>
          <w:iCs/>
          <w:lang w:val="en-US"/>
        </w:rPr>
        <w:t xml:space="preserve">et al., </w:t>
      </w:r>
      <w:r>
        <w:rPr>
          <w:lang w:val="en-US"/>
        </w:rPr>
        <w:t xml:space="preserve">2023). Also, Tesla could have introduced competitive prices as </w:t>
      </w:r>
      <w:r>
        <w:rPr>
          <w:lang w:val="en-US"/>
        </w:rPr>
        <w:t>a strategy to maintain market share amid an increasing EV market. Though rapid growth of revenue is a major asset, the substantial decline in margins as a significant financial factor shows cost inefficiencies and increasing competitive pressure as a finan</w:t>
      </w:r>
      <w:r>
        <w:rPr>
          <w:lang w:val="en-US"/>
        </w:rPr>
        <w:t>cial issue.</w:t>
      </w:r>
    </w:p>
    <w:p w:rsidR="008B7556" w:rsidRDefault="00B74D9B">
      <w:pPr>
        <w:spacing w:before="480"/>
        <w:rPr>
          <w:b/>
          <w:bCs/>
        </w:rPr>
      </w:pPr>
      <w:r>
        <w:rPr>
          <w:b/>
          <w:bCs/>
        </w:rPr>
        <w:t xml:space="preserve">Liquidity Analysis </w:t>
      </w:r>
    </w:p>
    <w:p w:rsidR="008B7556" w:rsidRDefault="00B74D9B">
      <w:pPr>
        <w:jc w:val="center"/>
      </w:pPr>
      <w:r>
        <w:rPr>
          <w:noProof/>
          <w:lang w:val="en-GB" w:eastAsia="en-GB"/>
        </w:rPr>
        <w:lastRenderedPageBreak/>
        <w:drawing>
          <wp:inline distT="114300" distB="114300" distL="114300" distR="114300">
            <wp:extent cx="4395470" cy="1831340"/>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referRelativeResize="0"/>
                  </pic:nvPicPr>
                  <pic:blipFill>
                    <a:blip r:embed="rId12" cstate="print"/>
                    <a:srcRect/>
                    <a:stretch>
                      <a:fillRect/>
                    </a:stretch>
                  </pic:blipFill>
                  <pic:spPr>
                    <a:xfrm>
                      <a:off x="0" y="0"/>
                      <a:ext cx="4395788" cy="1831578"/>
                    </a:xfrm>
                    <a:prstGeom prst="rect">
                      <a:avLst/>
                    </a:prstGeom>
                  </pic:spPr>
                </pic:pic>
              </a:graphicData>
            </a:graphic>
          </wp:inline>
        </w:drawing>
      </w:r>
    </w:p>
    <w:p w:rsidR="008B7556" w:rsidRDefault="00B74D9B">
      <w:pPr>
        <w:jc w:val="center"/>
      </w:pPr>
      <w:r>
        <w:rPr>
          <w:noProof/>
          <w:lang w:val="en-GB" w:eastAsia="en-GB"/>
        </w:rPr>
        <w:drawing>
          <wp:inline distT="114300" distB="114300" distL="114300" distR="114300">
            <wp:extent cx="5943600" cy="21082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referRelativeResize="0"/>
                  </pic:nvPicPr>
                  <pic:blipFill>
                    <a:blip r:embed="rId13" cstate="print"/>
                    <a:srcRect/>
                    <a:stretch>
                      <a:fillRect/>
                    </a:stretch>
                  </pic:blipFill>
                  <pic:spPr>
                    <a:xfrm>
                      <a:off x="0" y="0"/>
                      <a:ext cx="5943600" cy="2108200"/>
                    </a:xfrm>
                    <a:prstGeom prst="rect">
                      <a:avLst/>
                    </a:prstGeom>
                  </pic:spPr>
                </pic:pic>
              </a:graphicData>
            </a:graphic>
          </wp:inline>
        </w:drawing>
      </w:r>
    </w:p>
    <w:p w:rsidR="008B7556" w:rsidRDefault="00B74D9B">
      <w:pPr>
        <w:pStyle w:val="Heading4"/>
      </w:pPr>
      <w:bookmarkStart w:id="18" w:name="_wfpf2lafupek"/>
      <w:bookmarkStart w:id="19" w:name="_Toc549724842"/>
      <w:bookmarkStart w:id="20" w:name="_Toc1199474449"/>
      <w:bookmarkStart w:id="21" w:name="_Toc1520649053"/>
      <w:bookmarkEnd w:id="18"/>
      <w:r>
        <w:t>Figure 4: Liquidity Ratio</w:t>
      </w:r>
      <w:bookmarkEnd w:id="19"/>
      <w:bookmarkEnd w:id="20"/>
      <w:bookmarkEnd w:id="21"/>
    </w:p>
    <w:p w:rsidR="008B7556" w:rsidRDefault="00B74D9B">
      <w:pPr>
        <w:jc w:val="center"/>
      </w:pPr>
      <w:r>
        <w:t>(Source: Excel)</w:t>
      </w:r>
    </w:p>
    <w:p w:rsidR="008B7556" w:rsidRDefault="00B74D9B">
      <w:pPr>
        <w:rPr>
          <w:b/>
          <w:bCs/>
        </w:rPr>
      </w:pPr>
      <w:r>
        <w:rPr>
          <w:lang w:val="en-US"/>
        </w:rPr>
        <w:t>Figure 4 shows the liquidity position of Tesla, which displays a steadily improving liquidity situation over five years. The current ratio went up to 2.16 in 2025 compared to 1.3</w:t>
      </w:r>
      <w:r>
        <w:rPr>
          <w:lang w:val="en-US"/>
        </w:rPr>
        <w:t xml:space="preserve">8 in 2021, and the quick ratio also improved as it went up to 1.77 in 2025 compared to 1.08. This shows an increase in the capacity to cover the short-term liabilities as the company has enough current assets compared to the current liabilities. The trend </w:t>
      </w:r>
      <w:r>
        <w:rPr>
          <w:lang w:val="en-US"/>
        </w:rPr>
        <w:t>in terms of increasing the quick ratio without taking into consideration the inventory also indicates better availability of highly liquid assets like cash and receivables. This is a better increase in cash position and management of working capital. Nonet</w:t>
      </w:r>
      <w:r>
        <w:rPr>
          <w:lang w:val="en-US"/>
        </w:rPr>
        <w:t xml:space="preserve">heless, high liquidity can be an indicator of asset </w:t>
      </w:r>
      <w:proofErr w:type="spellStart"/>
      <w:r>
        <w:rPr>
          <w:lang w:val="en-US"/>
        </w:rPr>
        <w:t>underutilisation</w:t>
      </w:r>
      <w:proofErr w:type="spellEnd"/>
      <w:r>
        <w:rPr>
          <w:lang w:val="en-US"/>
        </w:rPr>
        <w:t xml:space="preserve"> as well. On one hand, Tesla may </w:t>
      </w:r>
      <w:r>
        <w:rPr>
          <w:lang w:val="en-US"/>
        </w:rPr>
        <w:lastRenderedPageBreak/>
        <w:t>be characterized as having a lower level of short-term financial risk, yet it is necessary to have an optimal balance between liquidity and operational eff</w:t>
      </w:r>
      <w:r>
        <w:rPr>
          <w:lang w:val="en-US"/>
        </w:rPr>
        <w:t>iciency.</w:t>
      </w:r>
    </w:p>
    <w:p w:rsidR="008B7556" w:rsidRDefault="00B74D9B">
      <w:pPr>
        <w:spacing w:before="480"/>
        <w:rPr>
          <w:b/>
          <w:bCs/>
          <w:color w:val="000000"/>
          <w:sz w:val="26"/>
          <w:szCs w:val="26"/>
        </w:rPr>
      </w:pPr>
      <w:r>
        <w:rPr>
          <w:b/>
          <w:bCs/>
        </w:rPr>
        <w:t>Efficiency Analysis</w:t>
      </w:r>
    </w:p>
    <w:p w:rsidR="008B7556" w:rsidRDefault="00B74D9B">
      <w:pPr>
        <w:pStyle w:val="Heading3"/>
        <w:keepNext w:val="0"/>
        <w:keepLines w:val="0"/>
        <w:spacing w:before="280"/>
        <w:jc w:val="center"/>
        <w:rPr>
          <w:b/>
          <w:bCs/>
          <w:color w:val="000000"/>
          <w:sz w:val="26"/>
          <w:szCs w:val="26"/>
        </w:rPr>
      </w:pPr>
      <w:bookmarkStart w:id="22" w:name="_s9eitjct1kdi" w:colFirst="0" w:colLast="0"/>
      <w:bookmarkEnd w:id="22"/>
      <w:r>
        <w:rPr>
          <w:b/>
          <w:bCs/>
          <w:noProof/>
          <w:color w:val="000000"/>
          <w:sz w:val="26"/>
          <w:szCs w:val="26"/>
          <w:lang w:val="en-GB" w:eastAsia="en-GB"/>
        </w:rPr>
        <w:drawing>
          <wp:inline distT="114300" distB="114300" distL="114300" distR="114300">
            <wp:extent cx="3795395" cy="2268855"/>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8" name="image13.png"/>
                    <pic:cNvPicPr preferRelativeResize="0"/>
                  </pic:nvPicPr>
                  <pic:blipFill>
                    <a:blip r:embed="rId14" cstate="print"/>
                    <a:srcRect/>
                    <a:stretch>
                      <a:fillRect/>
                    </a:stretch>
                  </pic:blipFill>
                  <pic:spPr>
                    <a:xfrm>
                      <a:off x="0" y="0"/>
                      <a:ext cx="3795713" cy="2268911"/>
                    </a:xfrm>
                    <a:prstGeom prst="rect">
                      <a:avLst/>
                    </a:prstGeom>
                  </pic:spPr>
                </pic:pic>
              </a:graphicData>
            </a:graphic>
          </wp:inline>
        </w:drawing>
      </w:r>
    </w:p>
    <w:p w:rsidR="008B7556" w:rsidRDefault="00B74D9B">
      <w:pPr>
        <w:jc w:val="center"/>
      </w:pPr>
      <w:r>
        <w:rPr>
          <w:noProof/>
          <w:lang w:val="en-GB" w:eastAsia="en-GB"/>
        </w:rPr>
        <w:drawing>
          <wp:inline distT="114300" distB="114300" distL="114300" distR="114300">
            <wp:extent cx="3709670" cy="1967865"/>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referRelativeResize="0"/>
                  </pic:nvPicPr>
                  <pic:blipFill>
                    <a:blip r:embed="rId15" cstate="print"/>
                    <a:srcRect/>
                    <a:stretch>
                      <a:fillRect/>
                    </a:stretch>
                  </pic:blipFill>
                  <pic:spPr>
                    <a:xfrm>
                      <a:off x="0" y="0"/>
                      <a:ext cx="3709988" cy="1967958"/>
                    </a:xfrm>
                    <a:prstGeom prst="rect">
                      <a:avLst/>
                    </a:prstGeom>
                  </pic:spPr>
                </pic:pic>
              </a:graphicData>
            </a:graphic>
          </wp:inline>
        </w:drawing>
      </w:r>
    </w:p>
    <w:p w:rsidR="008B7556" w:rsidRDefault="00B74D9B">
      <w:pPr>
        <w:pStyle w:val="Heading4"/>
      </w:pPr>
      <w:bookmarkStart w:id="23" w:name="_gab5ffvyv2wv"/>
      <w:bookmarkStart w:id="24" w:name="_Toc1242955484"/>
      <w:bookmarkStart w:id="25" w:name="_Toc1138069954"/>
      <w:bookmarkStart w:id="26" w:name="_Toc345750824"/>
      <w:bookmarkEnd w:id="23"/>
      <w:r>
        <w:t>Figure 5: Efficiency Ratio</w:t>
      </w:r>
      <w:bookmarkEnd w:id="24"/>
      <w:bookmarkEnd w:id="25"/>
      <w:bookmarkEnd w:id="26"/>
    </w:p>
    <w:p w:rsidR="008B7556" w:rsidRDefault="00B74D9B">
      <w:pPr>
        <w:jc w:val="center"/>
      </w:pPr>
      <w:r>
        <w:t>(Source: Excel)</w:t>
      </w:r>
    </w:p>
    <w:p w:rsidR="008B7556" w:rsidRDefault="00B74D9B">
      <w:r>
        <w:rPr>
          <w:lang w:val="en-US"/>
        </w:rPr>
        <w:t>Graph 5 shows that efficiency ratios suggest that the effectiveness of Tesla Inc. in its operations has declined over the period. The asset turnover decreased and stood at 0.69 in 2025 as compared to 0.99 in 2022, indicating that Tesla is raising less reve</w:t>
      </w:r>
      <w:r>
        <w:rPr>
          <w:lang w:val="en-US"/>
        </w:rPr>
        <w:t xml:space="preserve">nue per dollar of assets. This is an indicator of high investment in property, plant, and </w:t>
      </w:r>
      <w:r>
        <w:rPr>
          <w:lang w:val="en-US"/>
        </w:rPr>
        <w:lastRenderedPageBreak/>
        <w:t xml:space="preserve">equipment, which has not yet resulted in beneficial outcomes in terms of sales relative to the level of investment, indicating less </w:t>
      </w:r>
      <w:proofErr w:type="spellStart"/>
      <w:r>
        <w:rPr>
          <w:lang w:val="en-US"/>
        </w:rPr>
        <w:t>utilisation</w:t>
      </w:r>
      <w:proofErr w:type="spellEnd"/>
      <w:r>
        <w:rPr>
          <w:lang w:val="en-US"/>
        </w:rPr>
        <w:t xml:space="preserve"> of recently increased </w:t>
      </w:r>
      <w:r>
        <w:rPr>
          <w:lang w:val="en-US"/>
        </w:rPr>
        <w:t>production capacities (Huang, 2023).</w:t>
      </w:r>
    </w:p>
    <w:p w:rsidR="008B7556" w:rsidRDefault="00B74D9B">
      <w:pPr>
        <w:jc w:val="center"/>
      </w:pPr>
      <w:r>
        <w:rPr>
          <w:noProof/>
          <w:lang w:val="en-GB" w:eastAsia="en-GB"/>
        </w:rPr>
        <w:drawing>
          <wp:inline distT="114300" distB="114300" distL="114300" distR="114300">
            <wp:extent cx="4128770" cy="224282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referRelativeResize="0"/>
                  </pic:nvPicPr>
                  <pic:blipFill>
                    <a:blip r:embed="rId16" cstate="print"/>
                    <a:srcRect/>
                    <a:stretch>
                      <a:fillRect/>
                    </a:stretch>
                  </pic:blipFill>
                  <pic:spPr>
                    <a:xfrm>
                      <a:off x="0" y="0"/>
                      <a:ext cx="4129088" cy="2243206"/>
                    </a:xfrm>
                    <a:prstGeom prst="rect">
                      <a:avLst/>
                    </a:prstGeom>
                  </pic:spPr>
                </pic:pic>
              </a:graphicData>
            </a:graphic>
          </wp:inline>
        </w:drawing>
      </w:r>
    </w:p>
    <w:p w:rsidR="008B7556" w:rsidRDefault="00B74D9B">
      <w:pPr>
        <w:pStyle w:val="Heading4"/>
      </w:pPr>
      <w:bookmarkStart w:id="27" w:name="_2z4w87wxbm3h"/>
      <w:bookmarkStart w:id="28" w:name="_Toc1393374960"/>
      <w:bookmarkStart w:id="29" w:name="_Toc2052356696"/>
      <w:bookmarkStart w:id="30" w:name="_Toc2090833833"/>
      <w:bookmarkEnd w:id="27"/>
      <w:r>
        <w:t>Figure 6: Inventory Days</w:t>
      </w:r>
      <w:bookmarkEnd w:id="28"/>
      <w:bookmarkEnd w:id="29"/>
      <w:bookmarkEnd w:id="30"/>
    </w:p>
    <w:p w:rsidR="008B7556" w:rsidRDefault="00B74D9B">
      <w:pPr>
        <w:jc w:val="center"/>
      </w:pPr>
      <w:r>
        <w:t>(Source: Excel)</w:t>
      </w:r>
    </w:p>
    <w:p w:rsidR="008B7556" w:rsidRDefault="00B74D9B">
      <w:r>
        <w:rPr>
          <w:lang w:val="en-US"/>
        </w:rPr>
        <w:t>The number of inventory days showed an increase of 52 days in 2021 to 77 days in 2022, which remained steady at 58 days in 2025, as visible in graph 6. The first spike shows the slower inventory flow, which is probably caused by changes in the supply chain</w:t>
      </w:r>
      <w:r>
        <w:rPr>
          <w:lang w:val="en-US"/>
        </w:rPr>
        <w:t xml:space="preserve">s or demand changes, whereas the later </w:t>
      </w:r>
      <w:proofErr w:type="spellStart"/>
      <w:r>
        <w:rPr>
          <w:lang w:val="en-US"/>
        </w:rPr>
        <w:t>stabilisation</w:t>
      </w:r>
      <w:proofErr w:type="spellEnd"/>
      <w:r>
        <w:rPr>
          <w:lang w:val="en-US"/>
        </w:rPr>
        <w:t xml:space="preserve"> shows that some operations are improved partially.</w:t>
      </w:r>
    </w:p>
    <w:p w:rsidR="008B7556" w:rsidRDefault="00B74D9B">
      <w:r>
        <w:rPr>
          <w:lang w:val="en-US"/>
        </w:rPr>
        <w:t>The overall trend would suggest that Tesla has engaged in aggressive growth, which has led to short-term inefficiencies, with the amount of assets incre</w:t>
      </w:r>
      <w:r>
        <w:rPr>
          <w:lang w:val="en-US"/>
        </w:rPr>
        <w:t xml:space="preserve">asing faster than the revenue. It prompts issues regarding the capacity </w:t>
      </w:r>
      <w:proofErr w:type="spellStart"/>
      <w:r>
        <w:rPr>
          <w:lang w:val="en-US"/>
        </w:rPr>
        <w:t>utilisation</w:t>
      </w:r>
      <w:proofErr w:type="spellEnd"/>
      <w:r>
        <w:rPr>
          <w:lang w:val="en-US"/>
        </w:rPr>
        <w:t xml:space="preserve"> and working capital that is tied to inventory, which may affect the overall efficiency of operations.</w:t>
      </w:r>
    </w:p>
    <w:p w:rsidR="008B7556" w:rsidRDefault="00B74D9B">
      <w:pPr>
        <w:spacing w:before="480"/>
        <w:rPr>
          <w:b/>
          <w:bCs/>
        </w:rPr>
      </w:pPr>
      <w:r>
        <w:rPr>
          <w:b/>
          <w:bCs/>
        </w:rPr>
        <w:t>Gearing (Leverage) Analysis</w:t>
      </w:r>
    </w:p>
    <w:p w:rsidR="008B7556" w:rsidRDefault="00B74D9B">
      <w:pPr>
        <w:jc w:val="center"/>
      </w:pPr>
      <w:r>
        <w:rPr>
          <w:noProof/>
          <w:lang w:val="en-GB" w:eastAsia="en-GB"/>
        </w:rPr>
        <w:lastRenderedPageBreak/>
        <w:drawing>
          <wp:inline distT="114300" distB="114300" distL="114300" distR="114300">
            <wp:extent cx="4052570" cy="1473835"/>
            <wp:effectExtent l="0" t="0" r="0" b="0"/>
            <wp:docPr id="2" name="image19.png"/>
            <wp:cNvGraphicFramePr/>
            <a:graphic xmlns:a="http://schemas.openxmlformats.org/drawingml/2006/main">
              <a:graphicData uri="http://schemas.openxmlformats.org/drawingml/2006/picture">
                <pic:pic xmlns:pic="http://schemas.openxmlformats.org/drawingml/2006/picture">
                  <pic:nvPicPr>
                    <pic:cNvPr id="2" name="image19.png"/>
                    <pic:cNvPicPr preferRelativeResize="0"/>
                  </pic:nvPicPr>
                  <pic:blipFill>
                    <a:blip r:embed="rId17" cstate="print"/>
                    <a:srcRect/>
                    <a:stretch>
                      <a:fillRect/>
                    </a:stretch>
                  </pic:blipFill>
                  <pic:spPr>
                    <a:xfrm>
                      <a:off x="0" y="0"/>
                      <a:ext cx="4052888" cy="1474368"/>
                    </a:xfrm>
                    <a:prstGeom prst="rect">
                      <a:avLst/>
                    </a:prstGeom>
                  </pic:spPr>
                </pic:pic>
              </a:graphicData>
            </a:graphic>
          </wp:inline>
        </w:drawing>
      </w:r>
    </w:p>
    <w:p w:rsidR="008B7556" w:rsidRDefault="00B74D9B">
      <w:pPr>
        <w:jc w:val="center"/>
      </w:pPr>
      <w:r>
        <w:rPr>
          <w:noProof/>
          <w:lang w:val="en-GB" w:eastAsia="en-GB"/>
        </w:rPr>
        <w:drawing>
          <wp:inline distT="114300" distB="114300" distL="114300" distR="114300">
            <wp:extent cx="4938395" cy="269430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referRelativeResize="0"/>
                  </pic:nvPicPr>
                  <pic:blipFill>
                    <a:blip r:embed="rId18" cstate="print"/>
                    <a:srcRect/>
                    <a:stretch>
                      <a:fillRect/>
                    </a:stretch>
                  </pic:blipFill>
                  <pic:spPr>
                    <a:xfrm>
                      <a:off x="0" y="0"/>
                      <a:ext cx="4938713" cy="2694662"/>
                    </a:xfrm>
                    <a:prstGeom prst="rect">
                      <a:avLst/>
                    </a:prstGeom>
                  </pic:spPr>
                </pic:pic>
              </a:graphicData>
            </a:graphic>
          </wp:inline>
        </w:drawing>
      </w:r>
    </w:p>
    <w:p w:rsidR="008B7556" w:rsidRDefault="00B74D9B">
      <w:pPr>
        <w:pStyle w:val="Heading4"/>
      </w:pPr>
      <w:bookmarkStart w:id="31" w:name="_hz2p2yx21nuj"/>
      <w:bookmarkStart w:id="32" w:name="_Toc923755308"/>
      <w:bookmarkStart w:id="33" w:name="_Toc1076651558"/>
      <w:bookmarkStart w:id="34" w:name="_Toc1369315370"/>
      <w:bookmarkEnd w:id="31"/>
      <w:r>
        <w:t>Figure 7: Gearing Ratio</w:t>
      </w:r>
      <w:bookmarkEnd w:id="32"/>
      <w:bookmarkEnd w:id="33"/>
      <w:bookmarkEnd w:id="34"/>
    </w:p>
    <w:p w:rsidR="008B7556" w:rsidRDefault="00B74D9B">
      <w:pPr>
        <w:jc w:val="center"/>
      </w:pPr>
      <w:r>
        <w:t>(Source: Excel</w:t>
      </w:r>
      <w:r>
        <w:t>)</w:t>
      </w:r>
    </w:p>
    <w:p w:rsidR="008B7556" w:rsidRPr="00796883" w:rsidRDefault="00B74D9B">
      <w:pPr>
        <w:rPr>
          <w:color w:val="000000" w:themeColor="text1"/>
        </w:rPr>
      </w:pPr>
      <w:r>
        <w:rPr>
          <w:lang w:val="en-US"/>
        </w:rPr>
        <w:t>Figure 7 displays the gearing ratios that indicate a fairly conservative capital structure of Tesla Inc., with new risks emerging. The debt-to-equity ratio has decreased substantially between 0.28 in 2021 and 0.</w:t>
      </w:r>
      <w:r w:rsidRPr="00796883">
        <w:rPr>
          <w:color w:val="000000" w:themeColor="text1"/>
          <w:lang w:val="en-US"/>
        </w:rPr>
        <w:t xml:space="preserve">13 in 2022, indicating a lesser dependence </w:t>
      </w:r>
      <w:r w:rsidRPr="00796883">
        <w:rPr>
          <w:color w:val="000000" w:themeColor="text1"/>
          <w:lang w:val="en-US"/>
        </w:rPr>
        <w:t>on debt financing, followed by a steady value of 0.18 in 2025.</w:t>
      </w:r>
    </w:p>
    <w:p w:rsidR="008B7556" w:rsidRPr="00796883" w:rsidRDefault="00B53C1E">
      <w:pPr>
        <w:rPr>
          <w:b/>
          <w:bCs/>
          <w:color w:val="000000" w:themeColor="text1"/>
        </w:rPr>
      </w:pPr>
      <w:bookmarkStart w:id="35" w:name="_Hlk226974236"/>
      <w:r w:rsidRPr="00796883">
        <w:rPr>
          <w:color w:val="000000" w:themeColor="text1"/>
          <w:lang w:val="en-US"/>
        </w:rPr>
        <w:t xml:space="preserve">Interest coverage ratio is, however, on a concerning downward trend. It peaked at 71.69 in 2022, but declined to 12.88 in 2025, indicating a reduced capability of covering interest payments, using operating profits. This deterioration is mainly caused by the fact that the EBIT is declining, but the debt is not growing (Li, 2025). The deviation </w:t>
      </w:r>
      <w:r w:rsidRPr="00796883">
        <w:rPr>
          <w:color w:val="000000" w:themeColor="text1"/>
          <w:lang w:val="en-US"/>
        </w:rPr>
        <w:lastRenderedPageBreak/>
        <w:t>shows that even though the capital structure of Tesla is not volatile, it has deteriorated in terms of debt service capacity. Declining interest coverage is an indication of an increasing financial risk, particularly in the case of a further decline in profitability, which restricts the capacity to continue to borrow</w:t>
      </w:r>
      <w:bookmarkEnd w:id="35"/>
      <w:r w:rsidRPr="00796883">
        <w:rPr>
          <w:color w:val="000000" w:themeColor="text1"/>
          <w:lang w:val="en-US"/>
        </w:rPr>
        <w:t>.</w:t>
      </w:r>
    </w:p>
    <w:p w:rsidR="008B7556" w:rsidRDefault="00B74D9B">
      <w:pPr>
        <w:spacing w:before="480"/>
        <w:rPr>
          <w:b/>
          <w:bCs/>
        </w:rPr>
      </w:pPr>
      <w:r>
        <w:rPr>
          <w:b/>
          <w:bCs/>
        </w:rPr>
        <w:t>Investment Analysis</w:t>
      </w:r>
    </w:p>
    <w:p w:rsidR="008B7556" w:rsidRDefault="00B74D9B">
      <w:pPr>
        <w:spacing w:before="480"/>
        <w:jc w:val="center"/>
        <w:rPr>
          <w:b/>
          <w:bCs/>
        </w:rPr>
      </w:pPr>
      <w:r>
        <w:rPr>
          <w:b/>
          <w:bCs/>
          <w:noProof/>
          <w:lang w:val="en-GB" w:eastAsia="en-GB"/>
        </w:rPr>
        <w:drawing>
          <wp:inline distT="114300" distB="114300" distL="114300" distR="114300">
            <wp:extent cx="2628900" cy="1589405"/>
            <wp:effectExtent l="0" t="0" r="0" b="0"/>
            <wp:docPr id="18" name="image10.png"/>
            <wp:cNvGraphicFramePr/>
            <a:graphic xmlns:a="http://schemas.openxmlformats.org/drawingml/2006/main">
              <a:graphicData uri="http://schemas.openxmlformats.org/drawingml/2006/picture">
                <pic:pic xmlns:pic="http://schemas.openxmlformats.org/drawingml/2006/picture">
                  <pic:nvPicPr>
                    <pic:cNvPr id="18" name="image10.png"/>
                    <pic:cNvPicPr preferRelativeResize="0"/>
                  </pic:nvPicPr>
                  <pic:blipFill>
                    <a:blip r:embed="rId19" cstate="print"/>
                    <a:srcRect/>
                    <a:stretch>
                      <a:fillRect/>
                    </a:stretch>
                  </pic:blipFill>
                  <pic:spPr>
                    <a:xfrm>
                      <a:off x="0" y="0"/>
                      <a:ext cx="2628900" cy="1589567"/>
                    </a:xfrm>
                    <a:prstGeom prst="rect">
                      <a:avLst/>
                    </a:prstGeom>
                  </pic:spPr>
                </pic:pic>
              </a:graphicData>
            </a:graphic>
          </wp:inline>
        </w:drawing>
      </w:r>
    </w:p>
    <w:p w:rsidR="008B7556" w:rsidRDefault="00B74D9B">
      <w:pPr>
        <w:spacing w:before="480"/>
        <w:jc w:val="center"/>
        <w:rPr>
          <w:b/>
          <w:bCs/>
        </w:rPr>
      </w:pPr>
      <w:r>
        <w:rPr>
          <w:b/>
          <w:bCs/>
          <w:noProof/>
          <w:lang w:val="en-GB" w:eastAsia="en-GB"/>
        </w:rPr>
        <w:drawing>
          <wp:inline distT="114300" distB="114300" distL="114300" distR="114300">
            <wp:extent cx="4585970" cy="2527935"/>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20" name="image1.png"/>
                    <pic:cNvPicPr preferRelativeResize="0"/>
                  </pic:nvPicPr>
                  <pic:blipFill>
                    <a:blip r:embed="rId20" cstate="print"/>
                    <a:srcRect/>
                    <a:stretch>
                      <a:fillRect/>
                    </a:stretch>
                  </pic:blipFill>
                  <pic:spPr>
                    <a:xfrm>
                      <a:off x="0" y="0"/>
                      <a:ext cx="4586288" cy="2528338"/>
                    </a:xfrm>
                    <a:prstGeom prst="rect">
                      <a:avLst/>
                    </a:prstGeom>
                  </pic:spPr>
                </pic:pic>
              </a:graphicData>
            </a:graphic>
          </wp:inline>
        </w:drawing>
      </w:r>
    </w:p>
    <w:p w:rsidR="008B7556" w:rsidRDefault="00B74D9B">
      <w:pPr>
        <w:jc w:val="center"/>
        <w:rPr>
          <w:b/>
          <w:bCs/>
        </w:rPr>
      </w:pPr>
      <w:r>
        <w:rPr>
          <w:b/>
          <w:bCs/>
        </w:rPr>
        <w:t>Figure 8: Tesla</w:t>
      </w:r>
      <w:r>
        <w:rPr>
          <w:b/>
          <w:bCs/>
        </w:rPr>
        <w:t xml:space="preserve"> EPS Trend</w:t>
      </w:r>
    </w:p>
    <w:p w:rsidR="008B7556" w:rsidRDefault="00B74D9B">
      <w:pPr>
        <w:jc w:val="center"/>
        <w:rPr>
          <w:b/>
          <w:bCs/>
        </w:rPr>
      </w:pPr>
      <w:r>
        <w:t>(Source: Excel)</w:t>
      </w:r>
    </w:p>
    <w:p w:rsidR="008B7556" w:rsidRDefault="00B74D9B">
      <w:r>
        <w:rPr>
          <w:lang w:val="en-US"/>
        </w:rPr>
        <w:lastRenderedPageBreak/>
        <w:t>Investment ratios reveal an extremely low shareholder return of Tesla Inc. on a five-year basis, as shown in Figure 8. Earnings per share (EPS) rose dramatically to a high of 4.73 in 2023 after starting with 1.87 in 2021, indicat</w:t>
      </w:r>
      <w:r>
        <w:rPr>
          <w:lang w:val="en-US"/>
        </w:rPr>
        <w:t>ing good profitability and value addition by the investors. This trend, however, changed drastically as EPS declined to $2.23 in the year 2024 and even to 1.18 in 2025.</w:t>
      </w:r>
    </w:p>
    <w:p w:rsidR="008B7556" w:rsidRDefault="00B74D9B">
      <w:r>
        <w:rPr>
          <w:lang w:val="en-US"/>
        </w:rPr>
        <w:t>Such a high drop shows that net income has deteriorated significantly, even though reve</w:t>
      </w:r>
      <w:r>
        <w:rPr>
          <w:lang w:val="en-US"/>
        </w:rPr>
        <w:t>nues are comparatively stable, thus lowering the returns that shareholders get. The decline in EPS corresponds to the decreasing profit margin and rising operating costs, which might indicate that the issues of profitability of Tesla are directly influenci</w:t>
      </w:r>
      <w:r>
        <w:rPr>
          <w:lang w:val="en-US"/>
        </w:rPr>
        <w:t xml:space="preserve">ng investor value (Gerus </w:t>
      </w:r>
      <w:r>
        <w:rPr>
          <w:i/>
          <w:iCs/>
          <w:lang w:val="en-US"/>
        </w:rPr>
        <w:t xml:space="preserve">et al., </w:t>
      </w:r>
      <w:r>
        <w:rPr>
          <w:lang w:val="en-US"/>
        </w:rPr>
        <w:t>2022). The trend has concern over investor confidence in the future since a falling EPS would result in a lower market value and unhappy shareholders. Despite the better performance recorded in the previous growth period, the recent drop indicates the dwin</w:t>
      </w:r>
      <w:r>
        <w:rPr>
          <w:lang w:val="en-US"/>
        </w:rPr>
        <w:t xml:space="preserve">dling financial performance and the need to regain </w:t>
      </w:r>
      <w:r w:rsidR="003E09C5">
        <w:rPr>
          <w:lang w:val="en-US"/>
        </w:rPr>
        <w:t>it</w:t>
      </w:r>
      <w:r>
        <w:rPr>
          <w:lang w:val="en-US"/>
        </w:rPr>
        <w:t>.</w:t>
      </w:r>
    </w:p>
    <w:p w:rsidR="008B7556" w:rsidRDefault="00B74D9B">
      <w:pPr>
        <w:pStyle w:val="Heading2"/>
        <w:keepNext w:val="0"/>
        <w:keepLines w:val="0"/>
        <w:spacing w:before="480"/>
      </w:pPr>
      <w:bookmarkStart w:id="36" w:name="_y907oonpw53v"/>
      <w:bookmarkStart w:id="37" w:name="_Toc375740584"/>
      <w:bookmarkEnd w:id="36"/>
      <w:r>
        <w:t>2.3 Cash Flow Analysis</w:t>
      </w:r>
      <w:bookmarkEnd w:id="37"/>
    </w:p>
    <w:p w:rsidR="008B7556" w:rsidRDefault="00B74D9B">
      <w:pPr>
        <w:jc w:val="center"/>
      </w:pPr>
      <w:r>
        <w:rPr>
          <w:noProof/>
          <w:lang w:val="en-GB" w:eastAsia="en-GB"/>
        </w:rPr>
        <w:drawing>
          <wp:inline distT="114300" distB="114300" distL="114300" distR="114300">
            <wp:extent cx="4290695" cy="1395730"/>
            <wp:effectExtent l="0" t="0" r="0" b="0"/>
            <wp:docPr id="1" name="image20.png"/>
            <wp:cNvGraphicFramePr/>
            <a:graphic xmlns:a="http://schemas.openxmlformats.org/drawingml/2006/main">
              <a:graphicData uri="http://schemas.openxmlformats.org/drawingml/2006/picture">
                <pic:pic xmlns:pic="http://schemas.openxmlformats.org/drawingml/2006/picture">
                  <pic:nvPicPr>
                    <pic:cNvPr id="1" name="image20.png"/>
                    <pic:cNvPicPr preferRelativeResize="0"/>
                  </pic:nvPicPr>
                  <pic:blipFill>
                    <a:blip r:embed="rId21" cstate="print"/>
                    <a:srcRect/>
                    <a:stretch>
                      <a:fillRect/>
                    </a:stretch>
                  </pic:blipFill>
                  <pic:spPr>
                    <a:xfrm>
                      <a:off x="0" y="0"/>
                      <a:ext cx="4291013" cy="1395954"/>
                    </a:xfrm>
                    <a:prstGeom prst="rect">
                      <a:avLst/>
                    </a:prstGeom>
                  </pic:spPr>
                </pic:pic>
              </a:graphicData>
            </a:graphic>
          </wp:inline>
        </w:drawing>
      </w:r>
    </w:p>
    <w:p w:rsidR="008B7556" w:rsidRDefault="00B74D9B">
      <w:pPr>
        <w:jc w:val="center"/>
      </w:pPr>
      <w:r>
        <w:rPr>
          <w:noProof/>
          <w:lang w:val="en-GB" w:eastAsia="en-GB"/>
        </w:rPr>
        <w:lastRenderedPageBreak/>
        <w:drawing>
          <wp:inline distT="114300" distB="114300" distL="114300" distR="114300">
            <wp:extent cx="4528820" cy="226441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referRelativeResize="0"/>
                  </pic:nvPicPr>
                  <pic:blipFill>
                    <a:blip r:embed="rId22" cstate="print"/>
                    <a:srcRect/>
                    <a:stretch>
                      <a:fillRect/>
                    </a:stretch>
                  </pic:blipFill>
                  <pic:spPr>
                    <a:xfrm>
                      <a:off x="0" y="0"/>
                      <a:ext cx="4529138" cy="2264569"/>
                    </a:xfrm>
                    <a:prstGeom prst="rect">
                      <a:avLst/>
                    </a:prstGeom>
                  </pic:spPr>
                </pic:pic>
              </a:graphicData>
            </a:graphic>
          </wp:inline>
        </w:drawing>
      </w:r>
    </w:p>
    <w:p w:rsidR="008B7556" w:rsidRDefault="00B74D9B">
      <w:pPr>
        <w:pStyle w:val="Heading4"/>
      </w:pPr>
      <w:bookmarkStart w:id="38" w:name="_fkarq4eee10a"/>
      <w:bookmarkStart w:id="39" w:name="_Toc53147666"/>
      <w:bookmarkStart w:id="40" w:name="_Toc585525684"/>
      <w:bookmarkStart w:id="41" w:name="_Toc1648662338"/>
      <w:bookmarkEnd w:id="38"/>
      <w:r>
        <w:t>Figure 9: Cash Flow Analysis</w:t>
      </w:r>
      <w:bookmarkEnd w:id="39"/>
      <w:bookmarkEnd w:id="40"/>
      <w:bookmarkEnd w:id="41"/>
    </w:p>
    <w:p w:rsidR="008B7556" w:rsidRDefault="00B74D9B">
      <w:pPr>
        <w:jc w:val="center"/>
      </w:pPr>
      <w:r>
        <w:t>(Source: Excel)</w:t>
      </w:r>
    </w:p>
    <w:p w:rsidR="008B7556" w:rsidRDefault="00B74D9B">
      <w:r>
        <w:rPr>
          <w:lang w:val="en-US"/>
        </w:rPr>
        <w:t>Figure 9 shows that there is no major change in operating cash flow, with an average operating cash flow of approximately $14 bil</w:t>
      </w:r>
      <w:r>
        <w:rPr>
          <w:lang w:val="en-US"/>
        </w:rPr>
        <w:t>lion, which is good evidence of steady internal cash in Tesla Inc. Nevertheless, the free cash flow is highly volatile, and it decreases while 2021, when it was recorded at $6.2 billion, then it reaches negative value in 2024, and then increased in 2025. T</w:t>
      </w:r>
      <w:r>
        <w:rPr>
          <w:lang w:val="en-US"/>
        </w:rPr>
        <w:t>his is an indication of substantial capital spending, implying that cash is being reinvested in growth as opposed to being held in cash, resulting in a temporary cash crunch despite good operating results.</w:t>
      </w:r>
    </w:p>
    <w:p w:rsidR="008B7556" w:rsidRDefault="00B74D9B">
      <w:pPr>
        <w:pStyle w:val="Heading2"/>
        <w:keepNext w:val="0"/>
        <w:keepLines w:val="0"/>
        <w:spacing w:before="480"/>
      </w:pPr>
      <w:bookmarkStart w:id="42" w:name="_iqpdx8qwdo6k"/>
      <w:bookmarkStart w:id="43" w:name="_Toc128345860"/>
      <w:bookmarkEnd w:id="42"/>
      <w:r>
        <w:t>2.4 Overall Financial Performance Summary</w:t>
      </w:r>
      <w:bookmarkEnd w:id="43"/>
    </w:p>
    <w:p w:rsidR="008B7556" w:rsidRDefault="00B74D9B">
      <w:pPr>
        <w:spacing w:before="480"/>
        <w:rPr>
          <w:b/>
          <w:bCs/>
        </w:rPr>
      </w:pPr>
      <w:r>
        <w:rPr>
          <w:b/>
          <w:bCs/>
        </w:rPr>
        <w:t>Trends</w:t>
      </w:r>
    </w:p>
    <w:p w:rsidR="008B7556" w:rsidRDefault="00B74D9B">
      <w:r>
        <w:t>O</w:t>
      </w:r>
      <w:r>
        <w:t>ver the past five years, Tesla Inc. has had a two-sided financial history. The revenues grew very well until 2024, and there was a minor decrease in 2025, which suggests the deceleration of the increase. Since 2022, the profitability margins have been decr</w:t>
      </w:r>
      <w:r>
        <w:t>easing, indicating the increasing costs and pricing pressure (</w:t>
      </w:r>
      <w:proofErr w:type="spellStart"/>
      <w:r>
        <w:t>Alsharari</w:t>
      </w:r>
      <w:proofErr w:type="spellEnd"/>
      <w:r>
        <w:t xml:space="preserve">, 2022). Liquidity has been continuously progressing, whereas efficiency deteriorates because of the decreasing </w:t>
      </w:r>
      <w:r>
        <w:lastRenderedPageBreak/>
        <w:t>turnover of assets. Strong cash flows characterize its operations, but vo</w:t>
      </w:r>
      <w:r>
        <w:t>latile as a free cash flow with the level of investments.</w:t>
      </w:r>
    </w:p>
    <w:p w:rsidR="008B7556" w:rsidRDefault="00B74D9B">
      <w:pPr>
        <w:spacing w:before="280"/>
        <w:rPr>
          <w:b/>
          <w:bCs/>
        </w:rPr>
      </w:pPr>
      <w:r>
        <w:rPr>
          <w:b/>
          <w:bCs/>
        </w:rPr>
        <w:t>Strengths</w:t>
      </w:r>
    </w:p>
    <w:p w:rsidR="008B7556" w:rsidRDefault="00B74D9B">
      <w:r>
        <w:t xml:space="preserve">Tesla shows its accelerated growth of revenues and fleet operating cash flows, which are high, which means that the demand is high and Tesla can generate cash. The gearing level is also </w:t>
      </w:r>
      <w:r>
        <w:t>relatively low, something beneficial to the company in terms of its financial reliability (Fang, 2022).</w:t>
      </w:r>
    </w:p>
    <w:p w:rsidR="008B7556" w:rsidRDefault="00B74D9B">
      <w:pPr>
        <w:spacing w:before="280"/>
        <w:rPr>
          <w:b/>
          <w:bCs/>
        </w:rPr>
      </w:pPr>
      <w:r>
        <w:rPr>
          <w:b/>
          <w:bCs/>
        </w:rPr>
        <w:t>Weaknesses</w:t>
      </w:r>
    </w:p>
    <w:p w:rsidR="008B7556" w:rsidRDefault="00B74D9B">
      <w:r>
        <w:t>Fading profitability rates, increasing operating expenses, and diminished efficiency of assets illustrate declining financial performance. An</w:t>
      </w:r>
      <w:r>
        <w:t xml:space="preserve"> augmentation of working capital requirements also denotes an operational strain.</w:t>
      </w:r>
    </w:p>
    <w:p w:rsidR="008B7556" w:rsidRDefault="00B74D9B">
      <w:pPr>
        <w:pStyle w:val="Heading1"/>
      </w:pPr>
      <w:bookmarkStart w:id="44" w:name="_ez93rnd9t4l2"/>
      <w:bookmarkStart w:id="45" w:name="_Toc1769690322"/>
      <w:bookmarkEnd w:id="44"/>
      <w:r>
        <w:t>3. Working Capital Management Analysis</w:t>
      </w:r>
      <w:bookmarkEnd w:id="45"/>
    </w:p>
    <w:p w:rsidR="008B7556" w:rsidRDefault="00B74D9B">
      <w:pPr>
        <w:pStyle w:val="Heading2"/>
      </w:pPr>
      <w:bookmarkStart w:id="46" w:name="_p1gh49rqn79"/>
      <w:bookmarkStart w:id="47" w:name="_Toc1921740932"/>
      <w:bookmarkEnd w:id="46"/>
      <w:r>
        <w:t>3.1 Introduction to Working Capital Management</w:t>
      </w:r>
      <w:bookmarkEnd w:id="47"/>
    </w:p>
    <w:p w:rsidR="008B7556" w:rsidRDefault="00B74D9B">
      <w:r>
        <w:t>Working capital is the difference between current assets and current liabilities and ind</w:t>
      </w:r>
      <w:r>
        <w:t>icates the capability of a firm to pay short-term debts. In the case of Tesla Inc., receivables, inventory, and payables are key areas that need to be managed well to sustain liquidity, operations, and financial stability.</w:t>
      </w:r>
    </w:p>
    <w:p w:rsidR="008B7556" w:rsidRDefault="00B74D9B">
      <w:pPr>
        <w:pStyle w:val="Heading2"/>
        <w:keepNext w:val="0"/>
        <w:keepLines w:val="0"/>
        <w:spacing w:before="480"/>
      </w:pPr>
      <w:bookmarkStart w:id="48" w:name="_9oqx4s45wcrp"/>
      <w:bookmarkStart w:id="49" w:name="_Toc1528180495"/>
      <w:bookmarkEnd w:id="48"/>
      <w:r>
        <w:t>3.2 Cash Operating Cycle (Cash Co</w:t>
      </w:r>
      <w:r>
        <w:t>nversion Cycle) Analysis</w:t>
      </w:r>
      <w:bookmarkEnd w:id="49"/>
      <w:r>
        <w:t xml:space="preserve"> </w:t>
      </w:r>
    </w:p>
    <w:p w:rsidR="008B7556" w:rsidRDefault="00B74D9B">
      <w:pPr>
        <w:spacing w:after="80"/>
        <w:rPr>
          <w:b/>
          <w:bCs/>
        </w:rPr>
      </w:pPr>
      <w:r>
        <w:rPr>
          <w:b/>
          <w:bCs/>
        </w:rPr>
        <w:t>Trend Analysis (2021–2025)</w:t>
      </w:r>
    </w:p>
    <w:p w:rsidR="008B7556" w:rsidRDefault="00B74D9B">
      <w:pPr>
        <w:jc w:val="center"/>
      </w:pPr>
      <w:r>
        <w:rPr>
          <w:noProof/>
          <w:lang w:val="en-GB" w:eastAsia="en-GB"/>
        </w:rPr>
        <w:lastRenderedPageBreak/>
        <w:drawing>
          <wp:inline distT="114300" distB="114300" distL="114300" distR="114300">
            <wp:extent cx="4781550" cy="1769745"/>
            <wp:effectExtent l="0" t="0" r="0" b="0"/>
            <wp:docPr id="12" name="image18.png"/>
            <wp:cNvGraphicFramePr/>
            <a:graphic xmlns:a="http://schemas.openxmlformats.org/drawingml/2006/main">
              <a:graphicData uri="http://schemas.openxmlformats.org/drawingml/2006/picture">
                <pic:pic xmlns:pic="http://schemas.openxmlformats.org/drawingml/2006/picture">
                  <pic:nvPicPr>
                    <pic:cNvPr id="12" name="image18.png"/>
                    <pic:cNvPicPr preferRelativeResize="0"/>
                  </pic:nvPicPr>
                  <pic:blipFill>
                    <a:blip r:embed="rId23" cstate="print"/>
                    <a:srcRect/>
                    <a:stretch>
                      <a:fillRect/>
                    </a:stretch>
                  </pic:blipFill>
                  <pic:spPr>
                    <a:xfrm>
                      <a:off x="0" y="0"/>
                      <a:ext cx="4781970" cy="1770249"/>
                    </a:xfrm>
                    <a:prstGeom prst="rect">
                      <a:avLst/>
                    </a:prstGeom>
                  </pic:spPr>
                </pic:pic>
              </a:graphicData>
            </a:graphic>
          </wp:inline>
        </w:drawing>
      </w:r>
    </w:p>
    <w:p w:rsidR="008B7556" w:rsidRDefault="00B74D9B">
      <w:pPr>
        <w:pStyle w:val="Heading4"/>
      </w:pPr>
      <w:bookmarkStart w:id="50" w:name="_6ld3806cnn8n"/>
      <w:bookmarkStart w:id="51" w:name="_Toc2089381685"/>
      <w:bookmarkStart w:id="52" w:name="_Toc1160100434"/>
      <w:bookmarkStart w:id="53" w:name="_Toc86417525"/>
      <w:bookmarkEnd w:id="50"/>
      <w:r>
        <w:t>Figure 10: Cash Operating Cycle</w:t>
      </w:r>
      <w:bookmarkEnd w:id="51"/>
      <w:bookmarkEnd w:id="52"/>
      <w:bookmarkEnd w:id="53"/>
    </w:p>
    <w:p w:rsidR="008B7556" w:rsidRDefault="00B74D9B">
      <w:pPr>
        <w:jc w:val="center"/>
      </w:pPr>
      <w:r>
        <w:t>(Source: Excel)</w:t>
      </w:r>
    </w:p>
    <w:p w:rsidR="008B7556" w:rsidRDefault="00B74D9B">
      <w:r>
        <w:rPr>
          <w:lang w:val="en-US"/>
        </w:rPr>
        <w:t>Figure 10 reveals the CCC of Tesla that exhibits an important change between the periods. In 2021, the CCC was at -25 days, which showed that the company</w:t>
      </w:r>
      <w:r>
        <w:rPr>
          <w:lang w:val="en-US"/>
        </w:rPr>
        <w:t xml:space="preserve"> was having a very efficient cycle in which cash was given to the customer by the company, and cash was given to the supplier. Nevertheless, this benefit decreased fast, to -1 day in 2022 and became positive at 10 days a year later in 2023. In 2024, the cy</w:t>
      </w:r>
      <w:r>
        <w:rPr>
          <w:lang w:val="en-US"/>
        </w:rPr>
        <w:t>cle increased even more to 15 days, and in 2025, a bit to 14 days.</w:t>
      </w:r>
    </w:p>
    <w:p w:rsidR="008B7556" w:rsidRDefault="00B74D9B">
      <w:pPr>
        <w:spacing w:before="280"/>
        <w:rPr>
          <w:b/>
          <w:bCs/>
          <w:i/>
          <w:iCs/>
        </w:rPr>
      </w:pPr>
      <w:r>
        <w:rPr>
          <w:b/>
          <w:bCs/>
          <w:i/>
          <w:iCs/>
        </w:rPr>
        <w:t>Interpretation</w:t>
      </w:r>
    </w:p>
    <w:p w:rsidR="008B7556" w:rsidRDefault="00B74D9B">
      <w:r>
        <w:rPr>
          <w:lang w:val="en-US"/>
        </w:rPr>
        <w:t>As its negative CCC changes to a positive CCC, it means that with each conversion, Tesla is committing a larger investment into its operations. An increased number of receiva</w:t>
      </w:r>
      <w:r>
        <w:rPr>
          <w:lang w:val="en-US"/>
        </w:rPr>
        <w:t>ble and inventory days and decreased payable days indicate less efficiency in working capital (Fang, 2024). The growing pressure has been observed in the trend of liquidity, where the firm will now take more time to realize the cash, which will adversely a</w:t>
      </w:r>
      <w:r>
        <w:rPr>
          <w:lang w:val="en-US"/>
        </w:rPr>
        <w:t>ffect financial freedom in the short term.</w:t>
      </w:r>
    </w:p>
    <w:p w:rsidR="008B7556" w:rsidRDefault="00B74D9B">
      <w:pPr>
        <w:pStyle w:val="Heading2"/>
        <w:keepNext w:val="0"/>
        <w:keepLines w:val="0"/>
        <w:spacing w:before="480"/>
      </w:pPr>
      <w:bookmarkStart w:id="54" w:name="_ith7c1ipmbqb"/>
      <w:bookmarkStart w:id="55" w:name="_Toc141094112"/>
      <w:bookmarkEnd w:id="54"/>
      <w:r>
        <w:t>3.3 Components of Working Capital</w:t>
      </w:r>
      <w:bookmarkEnd w:id="55"/>
    </w:p>
    <w:p w:rsidR="008B7556" w:rsidRDefault="00B74D9B">
      <w:pPr>
        <w:rPr>
          <w:rFonts w:ascii="Arial Bold" w:hAnsi="Arial Bold" w:cs="Arial Bold"/>
          <w:b/>
          <w:bCs/>
        </w:rPr>
      </w:pPr>
      <w:bookmarkStart w:id="56" w:name="_vh84vlygeg4l"/>
      <w:bookmarkStart w:id="57" w:name="_Toc1320909686"/>
      <w:bookmarkEnd w:id="56"/>
      <w:r>
        <w:rPr>
          <w:rFonts w:ascii="Arial Bold" w:hAnsi="Arial Bold" w:cs="Arial Bold"/>
          <w:b/>
          <w:bCs/>
        </w:rPr>
        <w:t>Receivables Management</w:t>
      </w:r>
      <w:bookmarkEnd w:id="57"/>
    </w:p>
    <w:p w:rsidR="008B7556" w:rsidRPr="00796883" w:rsidRDefault="00414CA4" w:rsidP="00414CA4">
      <w:pPr>
        <w:rPr>
          <w:color w:val="000000" w:themeColor="text1"/>
        </w:rPr>
      </w:pPr>
      <w:bookmarkStart w:id="58" w:name="_Hlk226974272"/>
      <w:r w:rsidRPr="00796883">
        <w:rPr>
          <w:color w:val="000000" w:themeColor="text1"/>
          <w:lang w:val="en-US"/>
        </w:rPr>
        <w:lastRenderedPageBreak/>
        <w:t xml:space="preserve">Tesla Inc. experienced a slow cash collection as the number of receivable days rose to 18 days in 2025, as compared to 13 days in 2021. Even though the increase is slow, it indicates the loss of control over credit and the potential transition to more lenient conditions of payment to customers </w:t>
      </w:r>
      <w:bookmarkEnd w:id="58"/>
      <w:r w:rsidRPr="00796883">
        <w:rPr>
          <w:color w:val="000000" w:themeColor="text1"/>
          <w:lang w:val="en-US"/>
        </w:rPr>
        <w:t xml:space="preserve">(Liu </w:t>
      </w:r>
      <w:r w:rsidRPr="00796883">
        <w:rPr>
          <w:i/>
          <w:iCs/>
          <w:color w:val="000000" w:themeColor="text1"/>
          <w:lang w:val="en-US"/>
        </w:rPr>
        <w:t>et al.,</w:t>
      </w:r>
      <w:r w:rsidRPr="00796883">
        <w:rPr>
          <w:color w:val="000000" w:themeColor="text1"/>
          <w:lang w:val="en-US"/>
        </w:rPr>
        <w:t xml:space="preserve"> 2022). This reduces cash inflow efficiency and increases reliance on internal financing.</w:t>
      </w:r>
    </w:p>
    <w:p w:rsidR="008B7556" w:rsidRDefault="00B74D9B">
      <w:pPr>
        <w:rPr>
          <w:rFonts w:ascii="Arial Bold" w:hAnsi="Arial Bold" w:cs="Arial Bold"/>
          <w:b/>
          <w:bCs/>
        </w:rPr>
      </w:pPr>
      <w:bookmarkStart w:id="59" w:name="_ddfdmh2wmugh"/>
      <w:bookmarkStart w:id="60" w:name="_Toc1944607886"/>
      <w:bookmarkEnd w:id="59"/>
      <w:r>
        <w:rPr>
          <w:rFonts w:ascii="Arial Bold" w:hAnsi="Arial Bold" w:cs="Arial Bold"/>
          <w:b/>
          <w:bCs/>
        </w:rPr>
        <w:t xml:space="preserve">Inventory </w:t>
      </w:r>
      <w:r>
        <w:rPr>
          <w:rFonts w:ascii="Arial Bold" w:hAnsi="Arial Bold" w:cs="Arial Bold"/>
          <w:b/>
          <w:bCs/>
        </w:rPr>
        <w:t>Management</w:t>
      </w:r>
      <w:bookmarkEnd w:id="60"/>
    </w:p>
    <w:p w:rsidR="008B7556" w:rsidRDefault="00B74D9B">
      <w:r>
        <w:rPr>
          <w:lang w:val="en-US"/>
        </w:rPr>
        <w:t>The days of inventory have grown significantly to 77 days in 2022 against 52 days in 2021, followed by an unchanged 58 days in 2025. The spike is an indication of excessive production or a change in demand, which causes stock to be held up. Alth</w:t>
      </w:r>
      <w:r>
        <w:rPr>
          <w:lang w:val="en-US"/>
        </w:rPr>
        <w:t xml:space="preserve">ough improvement has been made, the level of inventory is still quite high, and capital is still in the form of inefficient ties; it demonstrates the inappropriateness of production growth and sales needs (Lin </w:t>
      </w:r>
      <w:r>
        <w:rPr>
          <w:i/>
          <w:iCs/>
          <w:lang w:val="en-US"/>
        </w:rPr>
        <w:t xml:space="preserve">et al., </w:t>
      </w:r>
      <w:r>
        <w:rPr>
          <w:lang w:val="en-US"/>
        </w:rPr>
        <w:t>2022).</w:t>
      </w:r>
    </w:p>
    <w:p w:rsidR="008B7556" w:rsidRDefault="00B74D9B">
      <w:pPr>
        <w:rPr>
          <w:rFonts w:ascii="Arial Bold" w:hAnsi="Arial Bold" w:cs="Arial Bold"/>
          <w:b/>
          <w:bCs/>
        </w:rPr>
      </w:pPr>
      <w:bookmarkStart w:id="61" w:name="_2b0mecfd7rfz"/>
      <w:bookmarkStart w:id="62" w:name="_Toc34644124"/>
      <w:bookmarkEnd w:id="61"/>
      <w:r>
        <w:rPr>
          <w:rFonts w:ascii="Arial Bold" w:hAnsi="Arial Bold" w:cs="Arial Bold"/>
          <w:b/>
          <w:bCs/>
        </w:rPr>
        <w:t>Payables Management</w:t>
      </w:r>
      <w:bookmarkEnd w:id="62"/>
    </w:p>
    <w:p w:rsidR="008B7556" w:rsidRDefault="00B74D9B">
      <w:r>
        <w:rPr>
          <w:lang w:val="en-US"/>
        </w:rPr>
        <w:t>Supplier cr</w:t>
      </w:r>
      <w:r>
        <w:rPr>
          <w:lang w:val="en-US"/>
        </w:rPr>
        <w:t>edit was reduced to 63 days in 2025 as compared to 91 days in 2021. This hastens cash flows and restricts the capacity of Tesla to fund its operations using trade credit, thus escalating short-term liquidity.</w:t>
      </w:r>
      <w:bookmarkStart w:id="63" w:name="_wgsluu82y8yf" w:colFirst="0" w:colLast="0"/>
      <w:bookmarkEnd w:id="63"/>
    </w:p>
    <w:p w:rsidR="008B7556" w:rsidRDefault="00B74D9B">
      <w:pPr>
        <w:pStyle w:val="Heading2"/>
        <w:keepNext w:val="0"/>
        <w:keepLines w:val="0"/>
        <w:spacing w:before="480"/>
      </w:pPr>
      <w:bookmarkStart w:id="64" w:name="_qd2ubzk4f1h4"/>
      <w:bookmarkStart w:id="65" w:name="_Toc1258469404"/>
      <w:bookmarkEnd w:id="64"/>
      <w:r>
        <w:t>3.4 Working Capital Issues Identified</w:t>
      </w:r>
      <w:bookmarkEnd w:id="65"/>
    </w:p>
    <w:p w:rsidR="008B7556" w:rsidRDefault="00B74D9B">
      <w:r>
        <w:rPr>
          <w:lang w:val="en-US"/>
        </w:rPr>
        <w:t>Tesla Inc</w:t>
      </w:r>
      <w:r>
        <w:rPr>
          <w:lang w:val="en-US"/>
        </w:rPr>
        <w:t>. has a number of working capital issues that reflect the decreasing operational efficiency. The cash conversion cycle is no longer a negative value, -25 days in 2021, as this already indicates a positive improvement of cash being used up in operations. In</w:t>
      </w:r>
      <w:r>
        <w:rPr>
          <w:lang w:val="en-US"/>
        </w:rPr>
        <w:t>creasing inventory days indicate that it is holding stock in large quantities, hence restricting cash. Simultaneously, the rising receivable days indicate slower customer payments, which slow down cash inflows even more (</w:t>
      </w:r>
      <w:proofErr w:type="spellStart"/>
      <w:r>
        <w:rPr>
          <w:lang w:val="en-US"/>
        </w:rPr>
        <w:t>Sudacevschi</w:t>
      </w:r>
      <w:proofErr w:type="spellEnd"/>
      <w:r>
        <w:rPr>
          <w:lang w:val="en-US"/>
        </w:rPr>
        <w:t xml:space="preserve"> and Stefan </w:t>
      </w:r>
      <w:proofErr w:type="spellStart"/>
      <w:r>
        <w:rPr>
          <w:lang w:val="en-US"/>
        </w:rPr>
        <w:t>Duicu</w:t>
      </w:r>
      <w:proofErr w:type="spellEnd"/>
      <w:r>
        <w:rPr>
          <w:lang w:val="en-US"/>
        </w:rPr>
        <w:t>, 2024)</w:t>
      </w:r>
      <w:r>
        <w:rPr>
          <w:lang w:val="en-US"/>
        </w:rPr>
        <w:t xml:space="preserve">. Moreover, the payable days are on the decline, which means that Tesla loses </w:t>
      </w:r>
      <w:r>
        <w:rPr>
          <w:lang w:val="en-US"/>
        </w:rPr>
        <w:lastRenderedPageBreak/>
        <w:t>the supplier credit advantage. All these issues provide liquidity pressure and point out shortcomings in short-term asset and liability management.</w:t>
      </w:r>
    </w:p>
    <w:p w:rsidR="008B7556" w:rsidRDefault="00B74D9B">
      <w:pPr>
        <w:pStyle w:val="Heading2"/>
        <w:keepNext w:val="0"/>
        <w:keepLines w:val="0"/>
        <w:spacing w:before="480"/>
        <w:rPr>
          <w:sz w:val="34"/>
          <w:szCs w:val="34"/>
        </w:rPr>
      </w:pPr>
      <w:bookmarkStart w:id="66" w:name="_4lejch2b5ix0"/>
      <w:bookmarkStart w:id="67" w:name="_Toc531096600"/>
      <w:bookmarkEnd w:id="66"/>
      <w:r>
        <w:t>3.5 Recommendations for Improv</w:t>
      </w:r>
      <w:r>
        <w:t>ement</w:t>
      </w:r>
      <w:bookmarkEnd w:id="67"/>
      <w:r>
        <w:t xml:space="preserve"> </w:t>
      </w:r>
    </w:p>
    <w:p w:rsidR="008B7556" w:rsidRDefault="00B74D9B">
      <w:pPr>
        <w:spacing w:before="480"/>
      </w:pPr>
      <w:r>
        <w:rPr>
          <w:b/>
          <w:bCs/>
          <w:lang w:val="en-US"/>
        </w:rPr>
        <w:t xml:space="preserve">Receivables Improvement: </w:t>
      </w:r>
      <w:r>
        <w:rPr>
          <w:lang w:val="en-US"/>
        </w:rPr>
        <w:t>Tesla Inc. is to tighten its credit policy by decreasing the credit periods and improving credit evaluation processes. The adoption of automated billing and online payment would speed up the collection process and decrease t</w:t>
      </w:r>
      <w:r>
        <w:rPr>
          <w:lang w:val="en-US"/>
        </w:rPr>
        <w:t>he receivable days, hence better cash inflows and liquidity.</w:t>
      </w:r>
    </w:p>
    <w:p w:rsidR="008B7556" w:rsidRDefault="00B74D9B">
      <w:pPr>
        <w:spacing w:before="280"/>
      </w:pPr>
      <w:r>
        <w:rPr>
          <w:b/>
          <w:bCs/>
          <w:color w:val="000000" w:themeColor="text1"/>
          <w:sz w:val="26"/>
          <w:szCs w:val="26"/>
          <w:lang w:val="en-US"/>
        </w:rPr>
        <w:t xml:space="preserve">Inventory </w:t>
      </w:r>
      <w:proofErr w:type="spellStart"/>
      <w:r>
        <w:rPr>
          <w:b/>
          <w:bCs/>
          <w:color w:val="000000" w:themeColor="text1"/>
          <w:sz w:val="26"/>
          <w:szCs w:val="26"/>
          <w:lang w:val="en-US"/>
        </w:rPr>
        <w:t>Optimisation</w:t>
      </w:r>
      <w:proofErr w:type="spellEnd"/>
      <w:r>
        <w:rPr>
          <w:b/>
          <w:bCs/>
          <w:color w:val="000000" w:themeColor="text1"/>
          <w:sz w:val="26"/>
          <w:szCs w:val="26"/>
          <w:lang w:val="en-US"/>
        </w:rPr>
        <w:t xml:space="preserve">: </w:t>
      </w:r>
      <w:r>
        <w:rPr>
          <w:lang w:val="en-US"/>
        </w:rPr>
        <w:t xml:space="preserve">Inventory level would be decreased by the implementation of a just-in-time (JIT) inventory system with the help of advanced demand prediction. Bringing production nearer </w:t>
      </w:r>
      <w:r>
        <w:rPr>
          <w:lang w:val="en-US"/>
        </w:rPr>
        <w:t>to real-time demand can reduce the cost of holding inventories and initiate cash tied up in unsold inventory (</w:t>
      </w:r>
      <w:proofErr w:type="spellStart"/>
      <w:r>
        <w:rPr>
          <w:lang w:val="en-US"/>
        </w:rPr>
        <w:t>Nuridah</w:t>
      </w:r>
      <w:proofErr w:type="spellEnd"/>
      <w:r>
        <w:rPr>
          <w:lang w:val="en-US"/>
        </w:rPr>
        <w:t xml:space="preserve"> </w:t>
      </w:r>
      <w:r>
        <w:rPr>
          <w:i/>
          <w:iCs/>
          <w:lang w:val="en-US"/>
        </w:rPr>
        <w:t>et al.,</w:t>
      </w:r>
      <w:r>
        <w:rPr>
          <w:lang w:val="en-US"/>
        </w:rPr>
        <w:t xml:space="preserve"> 2022).</w:t>
      </w:r>
    </w:p>
    <w:p w:rsidR="008B7556" w:rsidRDefault="00B74D9B">
      <w:pPr>
        <w:spacing w:before="280"/>
      </w:pPr>
      <w:r>
        <w:rPr>
          <w:b/>
          <w:bCs/>
          <w:color w:val="000000" w:themeColor="text1"/>
          <w:sz w:val="26"/>
          <w:szCs w:val="26"/>
          <w:lang w:val="en-US"/>
        </w:rPr>
        <w:t xml:space="preserve">Payables Strategy: </w:t>
      </w:r>
      <w:r>
        <w:rPr>
          <w:lang w:val="en-US"/>
        </w:rPr>
        <w:t>Tesla ought to renegotiate with its suppliers to have them extend the payment terms without straining it</w:t>
      </w:r>
      <w:r>
        <w:rPr>
          <w:lang w:val="en-US"/>
        </w:rPr>
        <w:t>s relations. By making good use of its market status, trade credit terms will probably be better, and the company will be able to keep the cash longer and increase liquidity.</w:t>
      </w:r>
    </w:p>
    <w:p w:rsidR="008B7556" w:rsidRDefault="00B74D9B">
      <w:pPr>
        <w:spacing w:before="280"/>
      </w:pPr>
      <w:r>
        <w:rPr>
          <w:b/>
          <w:bCs/>
          <w:color w:val="000000" w:themeColor="text1"/>
          <w:sz w:val="26"/>
          <w:szCs w:val="26"/>
          <w:lang w:val="en-US"/>
        </w:rPr>
        <w:t xml:space="preserve">Cash Management: </w:t>
      </w:r>
      <w:r>
        <w:rPr>
          <w:lang w:val="en-US"/>
        </w:rPr>
        <w:t xml:space="preserve">To </w:t>
      </w:r>
      <w:proofErr w:type="spellStart"/>
      <w:r>
        <w:rPr>
          <w:lang w:val="en-US"/>
        </w:rPr>
        <w:t>maximise</w:t>
      </w:r>
      <w:proofErr w:type="spellEnd"/>
      <w:r>
        <w:rPr>
          <w:lang w:val="en-US"/>
        </w:rPr>
        <w:t xml:space="preserve"> liquidity management, more effective cash flow forec</w:t>
      </w:r>
      <w:r>
        <w:rPr>
          <w:lang w:val="en-US"/>
        </w:rPr>
        <w:t>asting and less idle cash balances should be used. It is possible to have a more elaborate treasury process to have an efficient distribution of funds, balancing both the needs of operation and investment, thus enhancing its overall efficiency of working c</w:t>
      </w:r>
      <w:r>
        <w:rPr>
          <w:lang w:val="en-US"/>
        </w:rPr>
        <w:t>apital (</w:t>
      </w:r>
      <w:proofErr w:type="spellStart"/>
      <w:r>
        <w:rPr>
          <w:lang w:val="en-US"/>
        </w:rPr>
        <w:t>Kalbuana</w:t>
      </w:r>
      <w:proofErr w:type="spellEnd"/>
      <w:r>
        <w:rPr>
          <w:lang w:val="en-US"/>
        </w:rPr>
        <w:t xml:space="preserve"> </w:t>
      </w:r>
      <w:r>
        <w:rPr>
          <w:i/>
          <w:iCs/>
          <w:lang w:val="en-US"/>
        </w:rPr>
        <w:t xml:space="preserve">et al., </w:t>
      </w:r>
      <w:r>
        <w:rPr>
          <w:lang w:val="en-US"/>
        </w:rPr>
        <w:t>2022).</w:t>
      </w:r>
    </w:p>
    <w:p w:rsidR="008B7556" w:rsidRDefault="00B74D9B">
      <w:pPr>
        <w:pStyle w:val="Heading2"/>
        <w:keepNext w:val="0"/>
        <w:keepLines w:val="0"/>
        <w:spacing w:before="480"/>
      </w:pPr>
      <w:bookmarkStart w:id="68" w:name="_sm1epsa8lqe6"/>
      <w:bookmarkStart w:id="69" w:name="_Toc961400607"/>
      <w:bookmarkEnd w:id="68"/>
      <w:r>
        <w:t>3.6 Financing Options</w:t>
      </w:r>
      <w:bookmarkEnd w:id="69"/>
      <w:r>
        <w:t xml:space="preserve"> </w:t>
      </w:r>
    </w:p>
    <w:p w:rsidR="008B7556" w:rsidRDefault="00B74D9B">
      <w:pPr>
        <w:spacing w:before="280"/>
        <w:rPr>
          <w:b/>
          <w:bCs/>
        </w:rPr>
      </w:pPr>
      <w:r>
        <w:rPr>
          <w:b/>
          <w:bCs/>
        </w:rPr>
        <w:t>Short-Term Financing</w:t>
      </w:r>
    </w:p>
    <w:p w:rsidR="008B7556" w:rsidRDefault="00B74D9B">
      <w:r>
        <w:rPr>
          <w:lang w:val="en-US"/>
        </w:rPr>
        <w:lastRenderedPageBreak/>
        <w:t xml:space="preserve">Bank </w:t>
      </w:r>
      <w:proofErr w:type="spellStart"/>
      <w:r>
        <w:rPr>
          <w:lang w:val="en-US"/>
        </w:rPr>
        <w:t>overdrafting</w:t>
      </w:r>
      <w:proofErr w:type="spellEnd"/>
      <w:r>
        <w:rPr>
          <w:lang w:val="en-US"/>
        </w:rPr>
        <w:t xml:space="preserve"> and trade credit are applicable as short-term sources of financing for Tesla Inc. and are used to meet liquidity requirements in the short-term (Tiffany and </w:t>
      </w:r>
      <w:proofErr w:type="spellStart"/>
      <w:r>
        <w:rPr>
          <w:lang w:val="en-US"/>
        </w:rPr>
        <w:t>Sufiy</w:t>
      </w:r>
      <w:r>
        <w:rPr>
          <w:lang w:val="en-US"/>
        </w:rPr>
        <w:t>ati</w:t>
      </w:r>
      <w:proofErr w:type="spellEnd"/>
      <w:r>
        <w:rPr>
          <w:lang w:val="en-US"/>
        </w:rPr>
        <w:t>, 2023).</w:t>
      </w:r>
    </w:p>
    <w:p w:rsidR="008B7556" w:rsidRDefault="00B74D9B">
      <w:pPr>
        <w:rPr>
          <w:b/>
          <w:bCs/>
          <w:i/>
          <w:iCs/>
        </w:rPr>
      </w:pPr>
      <w:r>
        <w:rPr>
          <w:b/>
          <w:bCs/>
          <w:i/>
          <w:iCs/>
        </w:rPr>
        <w:t>Pros:</w:t>
      </w:r>
    </w:p>
    <w:p w:rsidR="008B7556" w:rsidRDefault="00B74D9B">
      <w:pPr>
        <w:numPr>
          <w:ilvl w:val="0"/>
          <w:numId w:val="1"/>
        </w:numPr>
        <w:spacing w:after="0"/>
        <w:jc w:val="left"/>
      </w:pPr>
      <w:r>
        <w:t>Flexible and easy to access.</w:t>
      </w:r>
    </w:p>
    <w:p w:rsidR="008B7556" w:rsidRDefault="00B74D9B">
      <w:pPr>
        <w:numPr>
          <w:ilvl w:val="0"/>
          <w:numId w:val="1"/>
        </w:numPr>
        <w:spacing w:before="0" w:after="0"/>
        <w:jc w:val="left"/>
      </w:pPr>
      <w:r>
        <w:t>Suitable for day-to-day operational funding.</w:t>
      </w:r>
    </w:p>
    <w:p w:rsidR="008B7556" w:rsidRDefault="00B74D9B">
      <w:pPr>
        <w:numPr>
          <w:ilvl w:val="0"/>
          <w:numId w:val="1"/>
        </w:numPr>
        <w:spacing w:before="0"/>
        <w:jc w:val="left"/>
      </w:pPr>
      <w:r>
        <w:rPr>
          <w:lang w:val="en-US"/>
        </w:rPr>
        <w:t xml:space="preserve">Trade credit reduces immediate cash outflows (Blessing and </w:t>
      </w:r>
      <w:proofErr w:type="spellStart"/>
      <w:r>
        <w:rPr>
          <w:lang w:val="en-US"/>
        </w:rPr>
        <w:t>Sakouvogui</w:t>
      </w:r>
      <w:proofErr w:type="spellEnd"/>
      <w:r>
        <w:rPr>
          <w:lang w:val="en-US"/>
        </w:rPr>
        <w:t>, 2023).</w:t>
      </w:r>
    </w:p>
    <w:p w:rsidR="008B7556" w:rsidRDefault="00B74D9B">
      <w:pPr>
        <w:rPr>
          <w:b/>
          <w:bCs/>
          <w:i/>
          <w:iCs/>
        </w:rPr>
      </w:pPr>
      <w:r>
        <w:rPr>
          <w:b/>
          <w:bCs/>
          <w:i/>
          <w:iCs/>
        </w:rPr>
        <w:t>Cons:</w:t>
      </w:r>
    </w:p>
    <w:p w:rsidR="008B7556" w:rsidRDefault="00B74D9B">
      <w:pPr>
        <w:numPr>
          <w:ilvl w:val="0"/>
          <w:numId w:val="2"/>
        </w:numPr>
        <w:spacing w:after="0"/>
        <w:jc w:val="left"/>
      </w:pPr>
      <w:r>
        <w:t>Higher financial risk due to short repayment periods.</w:t>
      </w:r>
    </w:p>
    <w:p w:rsidR="008B7556" w:rsidRDefault="00B74D9B">
      <w:pPr>
        <w:numPr>
          <w:ilvl w:val="0"/>
          <w:numId w:val="2"/>
        </w:numPr>
        <w:spacing w:before="0" w:after="0"/>
        <w:jc w:val="left"/>
      </w:pPr>
      <w:r>
        <w:t xml:space="preserve">Interest costs can </w:t>
      </w:r>
      <w:r>
        <w:t>increase the financing burden.</w:t>
      </w:r>
    </w:p>
    <w:p w:rsidR="008B7556" w:rsidRDefault="00B74D9B">
      <w:pPr>
        <w:numPr>
          <w:ilvl w:val="0"/>
          <w:numId w:val="2"/>
        </w:numPr>
        <w:spacing w:before="0"/>
        <w:jc w:val="left"/>
      </w:pPr>
      <w:r>
        <w:t>Exposure to refinancing risk if cash flows weaken.</w:t>
      </w:r>
    </w:p>
    <w:p w:rsidR="008B7556" w:rsidRDefault="00B74D9B">
      <w:pPr>
        <w:spacing w:before="280"/>
        <w:rPr>
          <w:b/>
          <w:bCs/>
        </w:rPr>
      </w:pPr>
      <w:r>
        <w:rPr>
          <w:b/>
          <w:bCs/>
        </w:rPr>
        <w:t>Long-Term Financing</w:t>
      </w:r>
    </w:p>
    <w:p w:rsidR="008B7556" w:rsidRDefault="00B74D9B">
      <w:r>
        <w:t>Equity and long-term debt are part of long-term financing and enhance strategic investments and financial stability (Majka, 2024).</w:t>
      </w:r>
    </w:p>
    <w:p w:rsidR="008B7556" w:rsidRDefault="00B74D9B">
      <w:pPr>
        <w:rPr>
          <w:b/>
          <w:bCs/>
          <w:i/>
          <w:iCs/>
        </w:rPr>
      </w:pPr>
      <w:r>
        <w:rPr>
          <w:b/>
          <w:bCs/>
          <w:i/>
          <w:iCs/>
        </w:rPr>
        <w:t>Pros:</w:t>
      </w:r>
    </w:p>
    <w:p w:rsidR="008B7556" w:rsidRDefault="00B74D9B">
      <w:pPr>
        <w:numPr>
          <w:ilvl w:val="0"/>
          <w:numId w:val="3"/>
        </w:numPr>
        <w:spacing w:after="0"/>
        <w:jc w:val="left"/>
      </w:pPr>
      <w:r>
        <w:t>Provides long-ter</w:t>
      </w:r>
      <w:r>
        <w:t>m financial stability.</w:t>
      </w:r>
    </w:p>
    <w:p w:rsidR="008B7556" w:rsidRDefault="00B74D9B">
      <w:pPr>
        <w:numPr>
          <w:ilvl w:val="0"/>
          <w:numId w:val="3"/>
        </w:numPr>
        <w:spacing w:before="0" w:after="0"/>
        <w:jc w:val="left"/>
      </w:pPr>
      <w:r>
        <w:t>Reduces refinancing pressure.</w:t>
      </w:r>
    </w:p>
    <w:p w:rsidR="008B7556" w:rsidRDefault="00B74D9B">
      <w:pPr>
        <w:numPr>
          <w:ilvl w:val="0"/>
          <w:numId w:val="3"/>
        </w:numPr>
        <w:spacing w:before="0"/>
        <w:jc w:val="left"/>
      </w:pPr>
      <w:r>
        <w:t>Supports large-scale expansion.</w:t>
      </w:r>
    </w:p>
    <w:p w:rsidR="008B7556" w:rsidRDefault="00B74D9B">
      <w:pPr>
        <w:rPr>
          <w:b/>
          <w:bCs/>
          <w:i/>
          <w:iCs/>
        </w:rPr>
      </w:pPr>
      <w:r>
        <w:rPr>
          <w:b/>
          <w:bCs/>
          <w:i/>
          <w:iCs/>
        </w:rPr>
        <w:t>Cons:</w:t>
      </w:r>
    </w:p>
    <w:p w:rsidR="008B7556" w:rsidRDefault="00B74D9B">
      <w:pPr>
        <w:numPr>
          <w:ilvl w:val="0"/>
          <w:numId w:val="4"/>
        </w:numPr>
        <w:spacing w:after="0"/>
        <w:jc w:val="left"/>
      </w:pPr>
      <w:r>
        <w:t>Higher overall cost of capital.</w:t>
      </w:r>
    </w:p>
    <w:p w:rsidR="008B7556" w:rsidRDefault="00B74D9B">
      <w:pPr>
        <w:numPr>
          <w:ilvl w:val="0"/>
          <w:numId w:val="4"/>
        </w:numPr>
        <w:spacing w:before="0" w:after="0"/>
        <w:jc w:val="left"/>
      </w:pPr>
      <w:r>
        <w:rPr>
          <w:lang w:val="en-US"/>
        </w:rPr>
        <w:t>Debt increases fixed obligations (Addin Al-Mawsheki, 2022).</w:t>
      </w:r>
    </w:p>
    <w:p w:rsidR="008B7556" w:rsidRDefault="00B74D9B">
      <w:pPr>
        <w:numPr>
          <w:ilvl w:val="0"/>
          <w:numId w:val="4"/>
        </w:numPr>
        <w:spacing w:before="0"/>
        <w:jc w:val="left"/>
      </w:pPr>
      <w:r>
        <w:t>Equity leads to dilution of ownership.</w:t>
      </w:r>
    </w:p>
    <w:p w:rsidR="008B7556" w:rsidRDefault="00B74D9B">
      <w:pPr>
        <w:spacing w:before="280"/>
        <w:rPr>
          <w:b/>
          <w:bCs/>
        </w:rPr>
      </w:pPr>
      <w:r>
        <w:rPr>
          <w:b/>
          <w:bCs/>
        </w:rPr>
        <w:t>Recommendation</w:t>
      </w:r>
    </w:p>
    <w:p w:rsidR="008B7556" w:rsidRDefault="00B74D9B">
      <w:r>
        <w:lastRenderedPageBreak/>
        <w:t xml:space="preserve">A balanced method </w:t>
      </w:r>
      <w:r>
        <w:t>of short-term and long-term finances is suggested to guarantee liquidity flexibility and financial stability.</w:t>
      </w:r>
    </w:p>
    <w:p w:rsidR="008B7556" w:rsidRDefault="00B74D9B">
      <w:pPr>
        <w:pStyle w:val="Heading1"/>
      </w:pPr>
      <w:bookmarkStart w:id="70" w:name="_mn69damusozz"/>
      <w:bookmarkStart w:id="71" w:name="_Toc1158848255"/>
      <w:bookmarkEnd w:id="70"/>
      <w:r>
        <w:t>4. Strategic Financial Restructuring Plan</w:t>
      </w:r>
      <w:bookmarkEnd w:id="71"/>
      <w:r>
        <w:t xml:space="preserve"> </w:t>
      </w:r>
    </w:p>
    <w:p w:rsidR="008B7556" w:rsidRDefault="00B74D9B">
      <w:pPr>
        <w:pStyle w:val="Heading2"/>
      </w:pPr>
      <w:bookmarkStart w:id="72" w:name="_s0jbwadp8tyw"/>
      <w:bookmarkStart w:id="73" w:name="_Toc898731311"/>
      <w:bookmarkEnd w:id="72"/>
      <w:r>
        <w:t>4.1 Introduction to Financial Restructuring</w:t>
      </w:r>
      <w:bookmarkEnd w:id="73"/>
      <w:r>
        <w:t xml:space="preserve"> </w:t>
      </w:r>
    </w:p>
    <w:p w:rsidR="008B7556" w:rsidRDefault="00B74D9B">
      <w:r>
        <w:rPr>
          <w:lang w:val="en-US"/>
        </w:rPr>
        <w:t>Financial restructuring is the restructuring of a firm's f</w:t>
      </w:r>
      <w:r>
        <w:rPr>
          <w:lang w:val="en-US"/>
        </w:rPr>
        <w:t xml:space="preserve">inancial structure of a firm in order to enhance a firm's performance, </w:t>
      </w:r>
      <w:proofErr w:type="spellStart"/>
      <w:r>
        <w:rPr>
          <w:lang w:val="en-US"/>
        </w:rPr>
        <w:t>minimise</w:t>
      </w:r>
      <w:proofErr w:type="spellEnd"/>
      <w:r>
        <w:rPr>
          <w:lang w:val="en-US"/>
        </w:rPr>
        <w:t xml:space="preserve"> risk, and enhance shareholders' value. In the case of Tesla Inc., it needs a restructuring because of the dropping profitability, escalating costs, mounting working capital str</w:t>
      </w:r>
      <w:r>
        <w:rPr>
          <w:lang w:val="en-US"/>
        </w:rPr>
        <w:t xml:space="preserve">ain, and crumbling earnings (Diaz and Xavi, 2023). This is with the view of </w:t>
      </w:r>
      <w:proofErr w:type="spellStart"/>
      <w:r>
        <w:rPr>
          <w:lang w:val="en-US"/>
        </w:rPr>
        <w:t>maximising</w:t>
      </w:r>
      <w:proofErr w:type="spellEnd"/>
      <w:r>
        <w:rPr>
          <w:lang w:val="en-US"/>
        </w:rPr>
        <w:t xml:space="preserve"> the use of capital, to enhance liquidity, and to reinstate financial stability.</w:t>
      </w:r>
    </w:p>
    <w:p w:rsidR="008B7556" w:rsidRDefault="00B74D9B">
      <w:pPr>
        <w:pStyle w:val="Heading2"/>
        <w:keepNext w:val="0"/>
        <w:keepLines w:val="0"/>
        <w:spacing w:before="480"/>
      </w:pPr>
      <w:bookmarkStart w:id="74" w:name="_ac4hiapk8b2w"/>
      <w:bookmarkStart w:id="75" w:name="_Toc670186631"/>
      <w:bookmarkEnd w:id="74"/>
      <w:r>
        <w:t>4.2 Key Financial Problems Identified</w:t>
      </w:r>
      <w:bookmarkEnd w:id="75"/>
    </w:p>
    <w:p w:rsidR="008B7556" w:rsidRDefault="00B74D9B">
      <w:pPr>
        <w:spacing w:before="280"/>
        <w:rPr>
          <w:b/>
          <w:bCs/>
        </w:rPr>
      </w:pPr>
      <w:r>
        <w:rPr>
          <w:b/>
          <w:bCs/>
        </w:rPr>
        <w:t>Profitability Pressure</w:t>
      </w:r>
    </w:p>
    <w:p w:rsidR="008B7556" w:rsidRDefault="00B74D9B">
      <w:pPr>
        <w:rPr>
          <w:b/>
          <w:bCs/>
        </w:rPr>
      </w:pPr>
      <w:r>
        <w:rPr>
          <w:lang w:val="en-US"/>
        </w:rPr>
        <w:t>Tesla has suffered a substan</w:t>
      </w:r>
      <w:r>
        <w:rPr>
          <w:lang w:val="en-US"/>
        </w:rPr>
        <w:t>tial decrease in profitability, as the operating margins dropped to 4.59% in 2025, compared to 16.81% in 2022. This weak trend can mainly be attributed to the higher cost of revenue and the increasing operating costs, especially in the areas of research an</w:t>
      </w:r>
      <w:r>
        <w:rPr>
          <w:lang w:val="en-US"/>
        </w:rPr>
        <w:t>d development and administration (Sui, 2025). Although the revenues are relatively stable, the lack of cost control has led to a decrease in the profit margins, suggesting the lack of control over the cost management and pricing policy.</w:t>
      </w:r>
    </w:p>
    <w:p w:rsidR="008B7556" w:rsidRDefault="00B74D9B">
      <w:pPr>
        <w:spacing w:before="280"/>
        <w:rPr>
          <w:b/>
          <w:bCs/>
        </w:rPr>
      </w:pPr>
      <w:r>
        <w:rPr>
          <w:b/>
          <w:bCs/>
        </w:rPr>
        <w:t>Working Capital Ine</w:t>
      </w:r>
      <w:r>
        <w:rPr>
          <w:b/>
          <w:bCs/>
        </w:rPr>
        <w:t>fficiency</w:t>
      </w:r>
    </w:p>
    <w:p w:rsidR="008B7556" w:rsidRDefault="00B74D9B">
      <w:r>
        <w:t>The efficiency of working capital is much lower, which is evident in the change of the cash conversion cycle by -25 days in 2021, but with positive values in the years that followed. The rise in inventory days and receivable days suggests that th</w:t>
      </w:r>
      <w:r>
        <w:t xml:space="preserve">e cash is getting bound up in the longer term, and the decrease in payable days diminishes the </w:t>
      </w:r>
      <w:r>
        <w:lastRenderedPageBreak/>
        <w:t>advantage of supplier financing. The combination of those strains limits liquidity and restricts the ability to flex operations (</w:t>
      </w:r>
      <w:proofErr w:type="spellStart"/>
      <w:r>
        <w:t>Ozili</w:t>
      </w:r>
      <w:proofErr w:type="spellEnd"/>
      <w:r>
        <w:t>, 2022).</w:t>
      </w:r>
    </w:p>
    <w:p w:rsidR="008B7556" w:rsidRDefault="00B74D9B">
      <w:pPr>
        <w:spacing w:before="280"/>
        <w:rPr>
          <w:b/>
          <w:bCs/>
        </w:rPr>
      </w:pPr>
      <w:r>
        <w:rPr>
          <w:b/>
          <w:bCs/>
        </w:rPr>
        <w:t>Declining Earnings</w:t>
      </w:r>
      <w:r>
        <w:rPr>
          <w:b/>
          <w:bCs/>
        </w:rPr>
        <w:t xml:space="preserve"> Quality</w:t>
      </w:r>
    </w:p>
    <w:p w:rsidR="008B7556" w:rsidRDefault="00796883">
      <w:bookmarkStart w:id="76" w:name="_Hlk226974419"/>
      <w:r w:rsidRPr="00796883">
        <w:rPr>
          <w:color w:val="000000" w:themeColor="text1"/>
        </w:rPr>
        <w:t xml:space="preserve">Earnings per share (EPS) dropped to </w:t>
      </w:r>
      <w:bookmarkStart w:id="77" w:name="_Hlk226974441"/>
      <w:r w:rsidRPr="00796883">
        <w:rPr>
          <w:color w:val="000000" w:themeColor="text1"/>
        </w:rPr>
        <w:t>$</w:t>
      </w:r>
      <w:bookmarkEnd w:id="77"/>
      <w:r w:rsidRPr="00796883">
        <w:rPr>
          <w:color w:val="000000" w:themeColor="text1"/>
        </w:rPr>
        <w:t>1.18 in 2025, which compared to the 2023 level of $4.73, signified a steep fall in shareholder returns. This loss is a symbol of the net income reduction and inefficiency of profitability</w:t>
      </w:r>
      <w:bookmarkEnd w:id="76"/>
      <w:r w:rsidRPr="005B4375">
        <w:rPr>
          <w:color w:val="000000" w:themeColor="text1"/>
        </w:rPr>
        <w:t xml:space="preserve">. The quality of the earnings could be low, and may adversely affect investor confidence </w:t>
      </w:r>
      <w:r>
        <w:t>and market valuation, which supports the importance of strategic financial restructuring to regain the performance level and shareholder value.</w:t>
      </w:r>
    </w:p>
    <w:p w:rsidR="008B7556" w:rsidRDefault="00B74D9B">
      <w:pPr>
        <w:pStyle w:val="Heading2"/>
        <w:keepNext w:val="0"/>
        <w:keepLines w:val="0"/>
        <w:spacing w:before="480"/>
      </w:pPr>
      <w:bookmarkStart w:id="78" w:name="_8e55uqacenpk"/>
      <w:bookmarkStart w:id="79" w:name="_Toc627026956"/>
      <w:bookmarkEnd w:id="78"/>
      <w:r>
        <w:t>4.3 Financial Restructuring Options</w:t>
      </w:r>
      <w:bookmarkEnd w:id="79"/>
      <w:r>
        <w:t xml:space="preserve"> </w:t>
      </w:r>
    </w:p>
    <w:p w:rsidR="008B7556" w:rsidRDefault="00B74D9B">
      <w:pPr>
        <w:spacing w:before="280"/>
        <w:rPr>
          <w:b/>
          <w:bCs/>
        </w:rPr>
      </w:pPr>
      <w:r>
        <w:rPr>
          <w:b/>
          <w:bCs/>
        </w:rPr>
        <w:t>Divestitu</w:t>
      </w:r>
      <w:r>
        <w:rPr>
          <w:b/>
          <w:bCs/>
        </w:rPr>
        <w:t>re Strategy</w:t>
      </w:r>
    </w:p>
    <w:p w:rsidR="008B7556" w:rsidRDefault="00B74D9B">
      <w:r>
        <w:t>Divestiture entails the sale of non-core units or underperforming units of a business with the aim of enhancing financial efficiency.</w:t>
      </w:r>
    </w:p>
    <w:p w:rsidR="008B7556" w:rsidRDefault="00B74D9B">
      <w:r>
        <w:rPr>
          <w:b/>
          <w:bCs/>
          <w:i/>
          <w:iCs/>
        </w:rPr>
        <w:t>Benefits:</w:t>
      </w:r>
      <w:r>
        <w:t xml:space="preserve"> In the case of Tesla Inc., selling off less profitable divisions can create short-term cash flows, which enhance liquidity and alleviate the working capital strain. It can enable the company to concentrate on its core EV business, where the company is ope</w:t>
      </w:r>
      <w:r>
        <w:t>rating at higher margins and at a competitive edge, thereby boosting operational efficiency and asset returns (</w:t>
      </w:r>
      <w:proofErr w:type="spellStart"/>
      <w:r>
        <w:t>Schoenmaker</w:t>
      </w:r>
      <w:proofErr w:type="spellEnd"/>
      <w:r>
        <w:t xml:space="preserve"> and </w:t>
      </w:r>
      <w:proofErr w:type="spellStart"/>
      <w:r>
        <w:t>Schramade</w:t>
      </w:r>
      <w:proofErr w:type="spellEnd"/>
      <w:r>
        <w:t>, 2023).</w:t>
      </w:r>
    </w:p>
    <w:p w:rsidR="008B7556" w:rsidRDefault="00B74D9B">
      <w:r>
        <w:rPr>
          <w:b/>
          <w:bCs/>
          <w:i/>
          <w:iCs/>
          <w:lang w:val="en-US"/>
        </w:rPr>
        <w:t>Risks:</w:t>
      </w:r>
      <w:r>
        <w:rPr>
          <w:lang w:val="en-US"/>
        </w:rPr>
        <w:t xml:space="preserve"> Diversification could be lessened by the sale of business units, and the growth in the future could be r</w:t>
      </w:r>
      <w:r>
        <w:rPr>
          <w:lang w:val="en-US"/>
        </w:rPr>
        <w:t>estricted. In case the divested assets turn profitable in the future, Tesla could miss the prospective long-term value.</w:t>
      </w:r>
    </w:p>
    <w:p w:rsidR="008B7556" w:rsidRDefault="00B74D9B">
      <w:pPr>
        <w:spacing w:before="280"/>
        <w:rPr>
          <w:b/>
          <w:bCs/>
        </w:rPr>
      </w:pPr>
      <w:r>
        <w:rPr>
          <w:b/>
          <w:bCs/>
        </w:rPr>
        <w:t>Equity Injection</w:t>
      </w:r>
    </w:p>
    <w:p w:rsidR="008B7556" w:rsidRDefault="00B74D9B">
      <w:r>
        <w:rPr>
          <w:lang w:val="en-US"/>
        </w:rPr>
        <w:t>Equity injection involves raising capital through issuing new shares (</w:t>
      </w:r>
      <w:proofErr w:type="spellStart"/>
      <w:r>
        <w:rPr>
          <w:lang w:val="en-US"/>
        </w:rPr>
        <w:t>Zaramella</w:t>
      </w:r>
      <w:proofErr w:type="spellEnd"/>
      <w:r>
        <w:rPr>
          <w:lang w:val="en-US"/>
        </w:rPr>
        <w:t>, 2023).</w:t>
      </w:r>
    </w:p>
    <w:p w:rsidR="008B7556" w:rsidRDefault="00B74D9B">
      <w:r>
        <w:rPr>
          <w:b/>
          <w:bCs/>
          <w:i/>
          <w:iCs/>
          <w:lang w:val="en-US"/>
        </w:rPr>
        <w:lastRenderedPageBreak/>
        <w:t xml:space="preserve">Benefits: </w:t>
      </w:r>
      <w:r>
        <w:rPr>
          <w:lang w:val="en-US"/>
        </w:rPr>
        <w:t xml:space="preserve">This puts Tesla in a </w:t>
      </w:r>
      <w:r>
        <w:rPr>
          <w:lang w:val="en-US"/>
        </w:rPr>
        <w:t>stronger position as it enhances equity and reduces dependency on debt. It offers long-run and consistent investment to grow and innovate, and does not add to the financial responsibility, enhancing liquidity and financial stability (Xiang, 2024).</w:t>
      </w:r>
    </w:p>
    <w:p w:rsidR="008B7556" w:rsidRDefault="00B74D9B">
      <w:r>
        <w:rPr>
          <w:b/>
          <w:bCs/>
          <w:i/>
          <w:iCs/>
          <w:lang w:val="en-US"/>
        </w:rPr>
        <w:t xml:space="preserve">Risks: </w:t>
      </w:r>
      <w:r>
        <w:rPr>
          <w:lang w:val="en-US"/>
        </w:rPr>
        <w:t>E</w:t>
      </w:r>
      <w:r>
        <w:rPr>
          <w:lang w:val="en-US"/>
        </w:rPr>
        <w:t>quity financing causes dilution of shareholders and lowers per-share earnings. It may also harm investor perception due to bad financial performance.</w:t>
      </w:r>
    </w:p>
    <w:p w:rsidR="008B7556" w:rsidRDefault="00B74D9B">
      <w:pPr>
        <w:spacing w:before="280"/>
        <w:rPr>
          <w:b/>
          <w:bCs/>
        </w:rPr>
      </w:pPr>
      <w:r>
        <w:rPr>
          <w:b/>
          <w:bCs/>
        </w:rPr>
        <w:t>Debt Restructuring</w:t>
      </w:r>
    </w:p>
    <w:p w:rsidR="008B7556" w:rsidRPr="00796883" w:rsidRDefault="00B74D9B">
      <w:pPr>
        <w:rPr>
          <w:color w:val="000000" w:themeColor="text1"/>
        </w:rPr>
      </w:pPr>
      <w:r>
        <w:rPr>
          <w:lang w:val="en-US"/>
        </w:rPr>
        <w:t xml:space="preserve">Debt restructuring can be understood as a refinancing or a rearrangement of the current terms of debts </w:t>
      </w:r>
      <w:r w:rsidRPr="00796883">
        <w:rPr>
          <w:color w:val="000000" w:themeColor="text1"/>
          <w:lang w:val="en-US"/>
        </w:rPr>
        <w:t>(</w:t>
      </w:r>
      <w:proofErr w:type="spellStart"/>
      <w:r w:rsidRPr="00796883">
        <w:rPr>
          <w:color w:val="000000" w:themeColor="text1"/>
          <w:lang w:val="en-US"/>
        </w:rPr>
        <w:t>Oyeyipo</w:t>
      </w:r>
      <w:proofErr w:type="spellEnd"/>
      <w:r w:rsidRPr="00796883">
        <w:rPr>
          <w:color w:val="000000" w:themeColor="text1"/>
          <w:lang w:val="en-US"/>
        </w:rPr>
        <w:t xml:space="preserve"> </w:t>
      </w:r>
      <w:r w:rsidRPr="00796883">
        <w:rPr>
          <w:i/>
          <w:iCs/>
          <w:color w:val="000000" w:themeColor="text1"/>
          <w:lang w:val="en-US"/>
        </w:rPr>
        <w:t xml:space="preserve">et al., </w:t>
      </w:r>
      <w:r w:rsidRPr="00796883">
        <w:rPr>
          <w:color w:val="000000" w:themeColor="text1"/>
          <w:lang w:val="en-US"/>
        </w:rPr>
        <w:t>2023).</w:t>
      </w:r>
    </w:p>
    <w:p w:rsidR="008B7556" w:rsidRPr="00796883" w:rsidRDefault="00B74D9B">
      <w:pPr>
        <w:rPr>
          <w:color w:val="000000" w:themeColor="text1"/>
        </w:rPr>
      </w:pPr>
      <w:r w:rsidRPr="00796883">
        <w:rPr>
          <w:b/>
          <w:bCs/>
          <w:i/>
          <w:iCs/>
          <w:color w:val="000000" w:themeColor="text1"/>
        </w:rPr>
        <w:t xml:space="preserve">Benefits: </w:t>
      </w:r>
      <w:bookmarkStart w:id="80" w:name="_Hlk226974460"/>
      <w:r w:rsidR="00233E34" w:rsidRPr="00796883">
        <w:rPr>
          <w:color w:val="000000" w:themeColor="text1"/>
        </w:rPr>
        <w:t>Financing and repayment periods are extended, which reduces financial strains and increases the stability of cash flows. This can increase the ability of Tesla to accommodate the declining profitability, and the interest coverage ratio will also improve</w:t>
      </w:r>
      <w:bookmarkEnd w:id="80"/>
      <w:r w:rsidRPr="00796883">
        <w:rPr>
          <w:color w:val="000000" w:themeColor="text1"/>
        </w:rPr>
        <w:t>.</w:t>
      </w:r>
    </w:p>
    <w:p w:rsidR="008B7556" w:rsidRPr="00796883" w:rsidRDefault="00B74D9B">
      <w:pPr>
        <w:rPr>
          <w:color w:val="000000" w:themeColor="text1"/>
        </w:rPr>
      </w:pPr>
      <w:r w:rsidRPr="00796883">
        <w:rPr>
          <w:b/>
          <w:bCs/>
          <w:i/>
          <w:iCs/>
          <w:color w:val="000000" w:themeColor="text1"/>
          <w:lang w:val="en-US"/>
        </w:rPr>
        <w:t xml:space="preserve">Risks: </w:t>
      </w:r>
      <w:bookmarkStart w:id="81" w:name="_Hlk226974472"/>
      <w:r w:rsidR="001535EC" w:rsidRPr="00796883">
        <w:rPr>
          <w:color w:val="000000" w:themeColor="text1"/>
          <w:lang w:val="en-US"/>
        </w:rPr>
        <w:t xml:space="preserve">It may cause the overall interest costs to increase over time, as well as show signs of financial weakness to the investors, which can affect credit ratings and lending capacity </w:t>
      </w:r>
      <w:bookmarkEnd w:id="81"/>
      <w:r w:rsidRPr="00796883">
        <w:rPr>
          <w:color w:val="000000" w:themeColor="text1"/>
          <w:lang w:val="en-US"/>
        </w:rPr>
        <w:t>(</w:t>
      </w:r>
      <w:proofErr w:type="spellStart"/>
      <w:r w:rsidRPr="00796883">
        <w:rPr>
          <w:color w:val="000000" w:themeColor="text1"/>
          <w:lang w:val="en-US"/>
        </w:rPr>
        <w:t>Garrón</w:t>
      </w:r>
      <w:proofErr w:type="spellEnd"/>
      <w:r w:rsidRPr="00796883">
        <w:rPr>
          <w:color w:val="000000" w:themeColor="text1"/>
          <w:lang w:val="en-US"/>
        </w:rPr>
        <w:t xml:space="preserve"> </w:t>
      </w:r>
      <w:r w:rsidRPr="00796883">
        <w:rPr>
          <w:i/>
          <w:iCs/>
          <w:color w:val="000000" w:themeColor="text1"/>
          <w:lang w:val="en-US"/>
        </w:rPr>
        <w:t xml:space="preserve">et al., </w:t>
      </w:r>
      <w:r w:rsidRPr="00796883">
        <w:rPr>
          <w:color w:val="000000" w:themeColor="text1"/>
          <w:lang w:val="en-US"/>
        </w:rPr>
        <w:t>2024).</w:t>
      </w:r>
    </w:p>
    <w:p w:rsidR="008B7556" w:rsidRPr="00796883" w:rsidRDefault="00B74D9B">
      <w:pPr>
        <w:spacing w:before="280"/>
        <w:rPr>
          <w:b/>
          <w:bCs/>
          <w:color w:val="000000" w:themeColor="text1"/>
        </w:rPr>
      </w:pPr>
      <w:r w:rsidRPr="00796883">
        <w:rPr>
          <w:b/>
          <w:bCs/>
          <w:color w:val="000000" w:themeColor="text1"/>
        </w:rPr>
        <w:t>Strategic Partnerships / Mergers</w:t>
      </w:r>
    </w:p>
    <w:p w:rsidR="008B7556" w:rsidRPr="00796883" w:rsidRDefault="001535EC">
      <w:pPr>
        <w:rPr>
          <w:color w:val="000000" w:themeColor="text1"/>
        </w:rPr>
      </w:pPr>
      <w:bookmarkStart w:id="82" w:name="_Hlk226974482"/>
      <w:r w:rsidRPr="00796883">
        <w:rPr>
          <w:color w:val="000000" w:themeColor="text1"/>
        </w:rPr>
        <w:t>This is through alliances or joint ventures with other companies.</w:t>
      </w:r>
    </w:p>
    <w:bookmarkEnd w:id="82"/>
    <w:p w:rsidR="008B7556" w:rsidRPr="00796883" w:rsidRDefault="00B74D9B">
      <w:pPr>
        <w:rPr>
          <w:color w:val="000000" w:themeColor="text1"/>
        </w:rPr>
      </w:pPr>
      <w:r w:rsidRPr="00796883">
        <w:rPr>
          <w:b/>
          <w:bCs/>
          <w:i/>
          <w:iCs/>
          <w:color w:val="000000" w:themeColor="text1"/>
        </w:rPr>
        <w:t xml:space="preserve">Benefits: </w:t>
      </w:r>
      <w:bookmarkStart w:id="83" w:name="_Hlk226974493"/>
      <w:r w:rsidR="001535EC" w:rsidRPr="00796883">
        <w:rPr>
          <w:color w:val="000000" w:themeColor="text1"/>
        </w:rPr>
        <w:t xml:space="preserve">The alliance would enable Tesla to venture </w:t>
      </w:r>
      <w:r w:rsidR="00796883" w:rsidRPr="00796883">
        <w:rPr>
          <w:color w:val="000000" w:themeColor="text1"/>
        </w:rPr>
        <w:t>into</w:t>
      </w:r>
      <w:r w:rsidR="001535EC" w:rsidRPr="00796883">
        <w:rPr>
          <w:color w:val="000000" w:themeColor="text1"/>
        </w:rPr>
        <w:t xml:space="preserve"> new markets</w:t>
      </w:r>
      <w:r w:rsidR="00796883" w:rsidRPr="00796883">
        <w:rPr>
          <w:color w:val="000000" w:themeColor="text1"/>
        </w:rPr>
        <w:t>,</w:t>
      </w:r>
      <w:r w:rsidR="001535EC" w:rsidRPr="00796883">
        <w:rPr>
          <w:color w:val="000000" w:themeColor="text1"/>
        </w:rPr>
        <w:t xml:space="preserve"> and the costs and risks of investment would be shared. They are a source of access to the latest technologies and local knowledge, minimizing capital outlay and enhancing operational agility </w:t>
      </w:r>
      <w:bookmarkEnd w:id="83"/>
      <w:r w:rsidRPr="00796883">
        <w:rPr>
          <w:color w:val="000000" w:themeColor="text1"/>
        </w:rPr>
        <w:t xml:space="preserve">(David </w:t>
      </w:r>
      <w:r w:rsidRPr="00796883">
        <w:rPr>
          <w:i/>
          <w:iCs/>
          <w:color w:val="000000" w:themeColor="text1"/>
        </w:rPr>
        <w:t>et al.,</w:t>
      </w:r>
      <w:r w:rsidRPr="00796883">
        <w:rPr>
          <w:color w:val="000000" w:themeColor="text1"/>
        </w:rPr>
        <w:t xml:space="preserve"> 2024).</w:t>
      </w:r>
    </w:p>
    <w:p w:rsidR="008B7556" w:rsidRDefault="00B74D9B">
      <w:r w:rsidRPr="00796883">
        <w:rPr>
          <w:b/>
          <w:bCs/>
          <w:i/>
          <w:iCs/>
          <w:color w:val="000000" w:themeColor="text1"/>
          <w:lang w:val="en-US"/>
        </w:rPr>
        <w:t>Risks:</w:t>
      </w:r>
      <w:r w:rsidRPr="00796883">
        <w:rPr>
          <w:color w:val="000000" w:themeColor="text1"/>
          <w:lang w:val="en-US"/>
        </w:rPr>
        <w:t xml:space="preserve"> These processes can decrease manag</w:t>
      </w:r>
      <w:r w:rsidRPr="00796883">
        <w:rPr>
          <w:color w:val="000000" w:themeColor="text1"/>
          <w:lang w:val="en-US"/>
        </w:rPr>
        <w:t xml:space="preserve">erial control and pose a conflict in the decision-making process. Cultural differences </w:t>
      </w:r>
      <w:r>
        <w:rPr>
          <w:lang w:val="en-US"/>
        </w:rPr>
        <w:t>and obstacles to integration can also act as barriers to anticipated benefits.</w:t>
      </w:r>
    </w:p>
    <w:p w:rsidR="008B7556" w:rsidRDefault="00B74D9B">
      <w:pPr>
        <w:pStyle w:val="Heading2"/>
        <w:keepNext w:val="0"/>
        <w:keepLines w:val="0"/>
        <w:spacing w:before="480"/>
      </w:pPr>
      <w:bookmarkStart w:id="84" w:name="_i4hmoly89gye"/>
      <w:bookmarkStart w:id="85" w:name="_Toc1262047968"/>
      <w:bookmarkEnd w:id="84"/>
      <w:r>
        <w:lastRenderedPageBreak/>
        <w:t>4.4 Impact Evaluation</w:t>
      </w:r>
      <w:bookmarkEnd w:id="85"/>
    </w:p>
    <w:p w:rsidR="008B7556" w:rsidRDefault="00B74D9B">
      <w:pPr>
        <w:spacing w:before="280"/>
        <w:rPr>
          <w:b/>
          <w:bCs/>
        </w:rPr>
      </w:pPr>
      <w:r>
        <w:rPr>
          <w:b/>
          <w:bCs/>
        </w:rPr>
        <w:t>Impact on Shareholder Value</w:t>
      </w:r>
    </w:p>
    <w:p w:rsidR="008B7556" w:rsidRDefault="00B74D9B">
      <w:r>
        <w:rPr>
          <w:lang w:val="en-US"/>
        </w:rPr>
        <w:t xml:space="preserve">Restructuring policies have the potential of enhancing profitability and </w:t>
      </w:r>
      <w:proofErr w:type="spellStart"/>
      <w:r>
        <w:rPr>
          <w:lang w:val="en-US"/>
        </w:rPr>
        <w:t>stabilising</w:t>
      </w:r>
      <w:proofErr w:type="spellEnd"/>
      <w:r>
        <w:rPr>
          <w:lang w:val="en-US"/>
        </w:rPr>
        <w:t xml:space="preserve"> the earnings, resulting in an increment of EPS as well as the level of investor confidence in Tesla Inc. But, the equity financing can address the dilution of ownership an</w:t>
      </w:r>
      <w:r>
        <w:rPr>
          <w:lang w:val="en-US"/>
        </w:rPr>
        <w:t>d lower the short-term returns (Fatima and Elbanna, 2023).</w:t>
      </w:r>
    </w:p>
    <w:p w:rsidR="008B7556" w:rsidRDefault="00B74D9B">
      <w:pPr>
        <w:spacing w:before="280"/>
        <w:rPr>
          <w:b/>
          <w:bCs/>
        </w:rPr>
      </w:pPr>
      <w:r>
        <w:rPr>
          <w:b/>
          <w:bCs/>
        </w:rPr>
        <w:t>Impact on Debt Structure</w:t>
      </w:r>
    </w:p>
    <w:p w:rsidR="008B7556" w:rsidRDefault="00B74D9B">
      <w:r>
        <w:rPr>
          <w:lang w:val="en-US"/>
        </w:rPr>
        <w:t>Debt restructuring improves the interest cover and reduces the financial risk, increasing borrowing capacity. Nevertheless, overdependence on equity can raise the cost of c</w:t>
      </w:r>
      <w:r>
        <w:rPr>
          <w:lang w:val="en-US"/>
        </w:rPr>
        <w:t>apital, whereas long-term obligations are raised by long-term debt.</w:t>
      </w:r>
    </w:p>
    <w:p w:rsidR="008B7556" w:rsidRDefault="00B74D9B">
      <w:pPr>
        <w:spacing w:before="280"/>
        <w:rPr>
          <w:b/>
          <w:bCs/>
        </w:rPr>
      </w:pPr>
      <w:r>
        <w:rPr>
          <w:b/>
          <w:bCs/>
        </w:rPr>
        <w:t>Impact on Operational Flexibility</w:t>
      </w:r>
    </w:p>
    <w:p w:rsidR="008B7556" w:rsidRDefault="00B74D9B">
      <w:pPr>
        <w:rPr>
          <w:lang w:val="en-US"/>
        </w:rPr>
      </w:pPr>
      <w:r>
        <w:rPr>
          <w:lang w:val="en-US"/>
        </w:rPr>
        <w:t>Better liquidity increases the allocation of resources and working capital efficiency (</w:t>
      </w:r>
      <w:proofErr w:type="spellStart"/>
      <w:r>
        <w:rPr>
          <w:lang w:val="en-US"/>
        </w:rPr>
        <w:t>Sudacevschi</w:t>
      </w:r>
      <w:proofErr w:type="spellEnd"/>
      <w:r>
        <w:rPr>
          <w:lang w:val="en-US"/>
        </w:rPr>
        <w:t xml:space="preserve"> and Stefan </w:t>
      </w:r>
      <w:proofErr w:type="spellStart"/>
      <w:r>
        <w:rPr>
          <w:lang w:val="en-US"/>
        </w:rPr>
        <w:t>Duicu</w:t>
      </w:r>
      <w:proofErr w:type="spellEnd"/>
      <w:r>
        <w:rPr>
          <w:lang w:val="en-US"/>
        </w:rPr>
        <w:t xml:space="preserve">, 2024). Nonetheless, divestitures and </w:t>
      </w:r>
      <w:r>
        <w:rPr>
          <w:lang w:val="en-US"/>
        </w:rPr>
        <w:t>partnerships can decrease operational control and decrease strategic flexibility.</w:t>
      </w:r>
    </w:p>
    <w:p w:rsidR="008B7556" w:rsidRDefault="00B74D9B">
      <w:pPr>
        <w:pStyle w:val="Heading2"/>
        <w:keepNext w:val="0"/>
        <w:keepLines w:val="0"/>
        <w:spacing w:before="480"/>
      </w:pPr>
      <w:bookmarkStart w:id="86" w:name="_5iftn8r0meoz"/>
      <w:bookmarkStart w:id="87" w:name="_Toc1498943837"/>
      <w:bookmarkEnd w:id="86"/>
      <w:r>
        <w:t>4.5 International Considerations</w:t>
      </w:r>
      <w:bookmarkEnd w:id="87"/>
      <w:r>
        <w:t xml:space="preserve"> </w:t>
      </w:r>
    </w:p>
    <w:p w:rsidR="008B7556" w:rsidRDefault="00B74D9B">
      <w:pPr>
        <w:spacing w:before="280"/>
        <w:rPr>
          <w:b/>
          <w:bCs/>
        </w:rPr>
      </w:pPr>
      <w:r>
        <w:rPr>
          <w:b/>
          <w:bCs/>
        </w:rPr>
        <w:t>Currency Risk</w:t>
      </w:r>
    </w:p>
    <w:p w:rsidR="008B7556" w:rsidRDefault="00B74D9B">
      <w:r>
        <w:rPr>
          <w:lang w:val="en-US"/>
        </w:rPr>
        <w:t>The international markets like China and Europe, bring a considerable amount of revenue to Tesla Inc. The exchange rates may v</w:t>
      </w:r>
      <w:r>
        <w:rPr>
          <w:lang w:val="en-US"/>
        </w:rPr>
        <w:t xml:space="preserve">ary, and an appreciating US dollar may diminish the value of the foreign revenues translated into dollars (Blessing and </w:t>
      </w:r>
      <w:proofErr w:type="spellStart"/>
      <w:r>
        <w:rPr>
          <w:lang w:val="en-US"/>
        </w:rPr>
        <w:t>Sakouvogui</w:t>
      </w:r>
      <w:proofErr w:type="spellEnd"/>
      <w:r>
        <w:rPr>
          <w:lang w:val="en-US"/>
        </w:rPr>
        <w:t>, 2023). Taking the example, a fall in the value of the euro or the yuan would automatically reduce the sales and the profit m</w:t>
      </w:r>
      <w:r>
        <w:rPr>
          <w:lang w:val="en-US"/>
        </w:rPr>
        <w:t>argin as reported. Also, currency fluctuations may present additional expense of imported parts, and place further strain on already dwindling margins.</w:t>
      </w:r>
    </w:p>
    <w:p w:rsidR="008B7556" w:rsidRDefault="00B74D9B">
      <w:pPr>
        <w:spacing w:before="280"/>
        <w:rPr>
          <w:b/>
          <w:bCs/>
        </w:rPr>
      </w:pPr>
      <w:r>
        <w:rPr>
          <w:b/>
          <w:bCs/>
        </w:rPr>
        <w:lastRenderedPageBreak/>
        <w:t>Inflation</w:t>
      </w:r>
    </w:p>
    <w:p w:rsidR="008B7556" w:rsidRDefault="00B74D9B">
      <w:r>
        <w:rPr>
          <w:lang w:val="en-US"/>
        </w:rPr>
        <w:t>Inflation in the world has made other important inputs like lithium, batteries, and manufactur</w:t>
      </w:r>
      <w:r>
        <w:rPr>
          <w:lang w:val="en-US"/>
        </w:rPr>
        <w:t>ing parts more expensive (</w:t>
      </w:r>
      <w:proofErr w:type="spellStart"/>
      <w:r>
        <w:rPr>
          <w:lang w:val="en-US"/>
        </w:rPr>
        <w:t>Sudacevschi</w:t>
      </w:r>
      <w:proofErr w:type="spellEnd"/>
      <w:r>
        <w:rPr>
          <w:lang w:val="en-US"/>
        </w:rPr>
        <w:t xml:space="preserve"> and Stefan </w:t>
      </w:r>
      <w:proofErr w:type="spellStart"/>
      <w:r>
        <w:rPr>
          <w:lang w:val="en-US"/>
        </w:rPr>
        <w:t>Duicu</w:t>
      </w:r>
      <w:proofErr w:type="spellEnd"/>
      <w:r>
        <w:rPr>
          <w:lang w:val="en-US"/>
        </w:rPr>
        <w:t>, 2024). In the case of Tesla, this has helped increase the cost of revenue and decrease gross margins, which were above 25 percent to approximately 18 percent. Inflation restricts profitability directl</w:t>
      </w:r>
      <w:r>
        <w:rPr>
          <w:lang w:val="en-US"/>
        </w:rPr>
        <w:t>y, with more compressed margins, because competitive pricing constrains the tendency to transfer these costs to consumers.</w:t>
      </w:r>
    </w:p>
    <w:p w:rsidR="008B7556" w:rsidRDefault="00B74D9B">
      <w:pPr>
        <w:spacing w:before="280"/>
        <w:rPr>
          <w:b/>
          <w:bCs/>
        </w:rPr>
      </w:pPr>
      <w:r>
        <w:rPr>
          <w:b/>
          <w:bCs/>
        </w:rPr>
        <w:t>Taxation</w:t>
      </w:r>
    </w:p>
    <w:p w:rsidR="008B7556" w:rsidRDefault="00B74D9B">
      <w:r>
        <w:rPr>
          <w:lang w:val="en-US"/>
        </w:rPr>
        <w:t>Different rates of corporate taxes and regulatory frameworks in the US, China, and Europe are exposed to Tesla operations (B</w:t>
      </w:r>
      <w:r>
        <w:rPr>
          <w:lang w:val="en-US"/>
        </w:rPr>
        <w:t xml:space="preserve">lessing and </w:t>
      </w:r>
      <w:proofErr w:type="spellStart"/>
      <w:r>
        <w:rPr>
          <w:lang w:val="en-US"/>
        </w:rPr>
        <w:t>Sakouvogui</w:t>
      </w:r>
      <w:proofErr w:type="spellEnd"/>
      <w:r>
        <w:rPr>
          <w:lang w:val="en-US"/>
        </w:rPr>
        <w:t>, 2023). Although strategic tax planning is a technique that can maximize profits, the growing level of tax transparency regulations curbs aggressive tax avoidance. It can result in increased effective tax rates, decreased net income,</w:t>
      </w:r>
      <w:r>
        <w:rPr>
          <w:lang w:val="en-US"/>
        </w:rPr>
        <w:t xml:space="preserve"> and total shareholder returns.</w:t>
      </w:r>
    </w:p>
    <w:p w:rsidR="008B7556" w:rsidRDefault="00B74D9B">
      <w:pPr>
        <w:pStyle w:val="Heading2"/>
        <w:keepNext w:val="0"/>
        <w:keepLines w:val="0"/>
        <w:spacing w:before="480"/>
      </w:pPr>
      <w:bookmarkStart w:id="88" w:name="_x9th2bh3y6oe"/>
      <w:bookmarkStart w:id="89" w:name="_Toc1770114250"/>
      <w:bookmarkEnd w:id="88"/>
      <w:r>
        <w:t>4.6 Ethical Considerations</w:t>
      </w:r>
      <w:bookmarkEnd w:id="89"/>
    </w:p>
    <w:p w:rsidR="008B7556" w:rsidRDefault="00B74D9B">
      <w:pPr>
        <w:rPr>
          <w:b/>
          <w:bCs/>
        </w:rPr>
      </w:pPr>
      <w:r>
        <w:rPr>
          <w:b/>
          <w:bCs/>
        </w:rPr>
        <w:t>Corporate Social Responsibility (CSR)</w:t>
      </w:r>
    </w:p>
    <w:p w:rsidR="008B7556" w:rsidRDefault="00B74D9B">
      <w:r>
        <w:rPr>
          <w:lang w:val="en-US"/>
        </w:rPr>
        <w:t>Tesla Inc. is presented as a company based on sustainability, but its growth rate poses a risk on an ecological level and the use of resources. There are social and environmental consequences of mining raw materials like lithium to make batteries. Thus, in</w:t>
      </w:r>
      <w:r>
        <w:rPr>
          <w:lang w:val="en-US"/>
        </w:rPr>
        <w:t xml:space="preserve"> the quest to ensure its CSR promises, it is critical to ensure that it maintains responsible sourcing and minimizes carbon emissions in its supply chain (Blessing and </w:t>
      </w:r>
      <w:proofErr w:type="spellStart"/>
      <w:r>
        <w:rPr>
          <w:lang w:val="en-US"/>
        </w:rPr>
        <w:t>Sakouvogui</w:t>
      </w:r>
      <w:proofErr w:type="spellEnd"/>
      <w:r>
        <w:rPr>
          <w:lang w:val="en-US"/>
        </w:rPr>
        <w:t>, 2023).</w:t>
      </w:r>
    </w:p>
    <w:p w:rsidR="008B7556" w:rsidRDefault="00B74D9B">
      <w:pPr>
        <w:rPr>
          <w:b/>
          <w:bCs/>
        </w:rPr>
      </w:pPr>
      <w:r>
        <w:rPr>
          <w:b/>
          <w:bCs/>
        </w:rPr>
        <w:t>Ethical Financing Decisions</w:t>
      </w:r>
    </w:p>
    <w:p w:rsidR="008B7556" w:rsidRDefault="00B74D9B">
      <w:r>
        <w:rPr>
          <w:lang w:val="en-US"/>
        </w:rPr>
        <w:t>Tesla should make sure its financial poli</w:t>
      </w:r>
      <w:r>
        <w:rPr>
          <w:lang w:val="en-US"/>
        </w:rPr>
        <w:t xml:space="preserve">cies, such as the issuance of equity or restructuring of the cost should be done transparently and fairly. It is essential to </w:t>
      </w:r>
      <w:r>
        <w:rPr>
          <w:lang w:val="en-US"/>
        </w:rPr>
        <w:lastRenderedPageBreak/>
        <w:t>safeguard shareholder interest and not over-dilute. Moreover, suppliers and employees should be fairly treated in the process of c</w:t>
      </w:r>
      <w:r>
        <w:rPr>
          <w:lang w:val="en-US"/>
        </w:rPr>
        <w:t>ost-cutting to uphold ethical practices and long-term relationships (Sui, 2025).</w:t>
      </w:r>
    </w:p>
    <w:p w:rsidR="008B7556" w:rsidRDefault="00B74D9B">
      <w:pPr>
        <w:rPr>
          <w:b/>
          <w:bCs/>
        </w:rPr>
      </w:pPr>
      <w:r>
        <w:rPr>
          <w:b/>
          <w:bCs/>
        </w:rPr>
        <w:t>Governance</w:t>
      </w:r>
    </w:p>
    <w:p w:rsidR="008B7556" w:rsidRDefault="00B74D9B">
      <w:r>
        <w:rPr>
          <w:lang w:val="en-US"/>
        </w:rPr>
        <w:t>Corporate governance is required to be strong so that it keeps accountable and ethical decision-making. Open disclosure, accountable leadership, and compliance with</w:t>
      </w:r>
      <w:r>
        <w:rPr>
          <w:lang w:val="en-US"/>
        </w:rPr>
        <w:t xml:space="preserve"> regulatory requirements are essential for investor confidence and long-term sustainable growth.</w:t>
      </w:r>
    </w:p>
    <w:p w:rsidR="008B7556" w:rsidRDefault="00B74D9B">
      <w:pPr>
        <w:pStyle w:val="Heading1"/>
        <w:rPr>
          <w:lang w:val="en-US"/>
        </w:rPr>
      </w:pPr>
      <w:bookmarkStart w:id="90" w:name="_x4e065savp41"/>
      <w:bookmarkStart w:id="91" w:name="_Toc1283567301"/>
      <w:bookmarkEnd w:id="90"/>
      <w:r>
        <w:rPr>
          <w:lang w:val="en-US"/>
        </w:rPr>
        <w:t xml:space="preserve">5. Investment Appraisal </w:t>
      </w:r>
      <w:proofErr w:type="gramStart"/>
      <w:r>
        <w:rPr>
          <w:lang w:val="en-US"/>
        </w:rPr>
        <w:t>And</w:t>
      </w:r>
      <w:proofErr w:type="gramEnd"/>
      <w:r>
        <w:rPr>
          <w:lang w:val="en-US"/>
        </w:rPr>
        <w:t xml:space="preserve"> Capital Budgeting</w:t>
      </w:r>
      <w:bookmarkEnd w:id="91"/>
    </w:p>
    <w:p w:rsidR="008B7556" w:rsidRDefault="00B74D9B">
      <w:pPr>
        <w:pStyle w:val="Heading2"/>
      </w:pPr>
      <w:bookmarkStart w:id="92" w:name="_np1g6cgk0v5t"/>
      <w:bookmarkStart w:id="93" w:name="_Toc547358078"/>
      <w:bookmarkEnd w:id="92"/>
      <w:r>
        <w:t>5.1 Introduction to Investment Appraisal</w:t>
      </w:r>
      <w:bookmarkEnd w:id="93"/>
    </w:p>
    <w:p w:rsidR="008B7556" w:rsidRDefault="00B74D9B">
      <w:r>
        <w:rPr>
          <w:lang w:val="en-US"/>
        </w:rPr>
        <w:t>Investment appraisal is a method used in assessing the financial feasibi</w:t>
      </w:r>
      <w:r>
        <w:rPr>
          <w:lang w:val="en-US"/>
        </w:rPr>
        <w:t>lity of long-term investment projects in order to aid in making capital budget decisions. In the case of Tesla Inc., it becomes necessary because of the decreasing profitability and increasing capital requirements. PBP, ARR, NPV, IRR, and PI are used in th</w:t>
      </w:r>
      <w:r>
        <w:rPr>
          <w:lang w:val="en-US"/>
        </w:rPr>
        <w:t>is analysis under the conditions of 10% discount rate and an investment of £50 million (</w:t>
      </w:r>
      <w:proofErr w:type="spellStart"/>
      <w:r>
        <w:rPr>
          <w:lang w:val="en-US"/>
        </w:rPr>
        <w:t>Sudacevschi</w:t>
      </w:r>
      <w:proofErr w:type="spellEnd"/>
      <w:r>
        <w:rPr>
          <w:lang w:val="en-US"/>
        </w:rPr>
        <w:t xml:space="preserve"> and Stefan </w:t>
      </w:r>
      <w:proofErr w:type="spellStart"/>
      <w:r>
        <w:rPr>
          <w:lang w:val="en-US"/>
        </w:rPr>
        <w:t>Duicu</w:t>
      </w:r>
      <w:proofErr w:type="spellEnd"/>
      <w:r>
        <w:rPr>
          <w:lang w:val="en-US"/>
        </w:rPr>
        <w:t>, 2024).</w:t>
      </w:r>
    </w:p>
    <w:p w:rsidR="008B7556" w:rsidRDefault="00B74D9B">
      <w:pPr>
        <w:pStyle w:val="Heading2"/>
        <w:keepNext w:val="0"/>
        <w:keepLines w:val="0"/>
        <w:spacing w:before="480"/>
        <w:jc w:val="left"/>
      </w:pPr>
      <w:bookmarkStart w:id="94" w:name="_anbvxofbp7k6"/>
      <w:bookmarkStart w:id="95" w:name="_Toc1674903255"/>
      <w:bookmarkEnd w:id="94"/>
      <w:r>
        <w:t>5.2 Project Overview</w:t>
      </w:r>
      <w:bookmarkEnd w:id="95"/>
    </w:p>
    <w:p w:rsidR="008B7556" w:rsidRDefault="00B74D9B">
      <w:pPr>
        <w:jc w:val="center"/>
      </w:pPr>
      <w:r>
        <w:rPr>
          <w:noProof/>
          <w:lang w:val="en-GB" w:eastAsia="en-GB"/>
        </w:rPr>
        <w:drawing>
          <wp:inline distT="114300" distB="114300" distL="114300" distR="114300">
            <wp:extent cx="5033645" cy="1024255"/>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17" name="image12.png"/>
                    <pic:cNvPicPr preferRelativeResize="0"/>
                  </pic:nvPicPr>
                  <pic:blipFill>
                    <a:blip r:embed="rId24" cstate="print"/>
                    <a:srcRect/>
                    <a:stretch>
                      <a:fillRect/>
                    </a:stretch>
                  </pic:blipFill>
                  <pic:spPr>
                    <a:xfrm>
                      <a:off x="0" y="0"/>
                      <a:ext cx="5033963" cy="1024540"/>
                    </a:xfrm>
                    <a:prstGeom prst="rect">
                      <a:avLst/>
                    </a:prstGeom>
                  </pic:spPr>
                </pic:pic>
              </a:graphicData>
            </a:graphic>
          </wp:inline>
        </w:drawing>
      </w:r>
    </w:p>
    <w:p w:rsidR="008B7556" w:rsidRDefault="00B74D9B">
      <w:pPr>
        <w:pStyle w:val="Heading4"/>
      </w:pPr>
      <w:bookmarkStart w:id="96" w:name="_o7l23hvstu4"/>
      <w:bookmarkStart w:id="97" w:name="_Toc1137567578"/>
      <w:bookmarkStart w:id="98" w:name="_Toc803963125"/>
      <w:bookmarkStart w:id="99" w:name="_Toc720397303"/>
      <w:bookmarkEnd w:id="96"/>
      <w:r>
        <w:t>Figure 11: Investment Data</w:t>
      </w:r>
      <w:bookmarkEnd w:id="97"/>
      <w:bookmarkEnd w:id="98"/>
      <w:bookmarkEnd w:id="99"/>
    </w:p>
    <w:p w:rsidR="008B7556" w:rsidRDefault="00B74D9B">
      <w:pPr>
        <w:jc w:val="center"/>
      </w:pPr>
      <w:r>
        <w:t>(Source: Excel)</w:t>
      </w:r>
    </w:p>
    <w:p w:rsidR="008B7556" w:rsidRDefault="00B74D9B">
      <w:r>
        <w:rPr>
          <w:lang w:val="en-US"/>
        </w:rPr>
        <w:lastRenderedPageBreak/>
        <w:t>Figure 11 shows that the cash flow of the three investment projec</w:t>
      </w:r>
      <w:r>
        <w:rPr>
          <w:lang w:val="en-US"/>
        </w:rPr>
        <w:t>ts proposed is drastically different, including their risk profile. Project A yields fair and slowly growing cash inflows, growing between £10 million and $14 million and decreasing, which means that there is a moderate growth potential with a limitation (</w:t>
      </w:r>
      <w:proofErr w:type="spellStart"/>
      <w:r>
        <w:rPr>
          <w:lang w:val="en-US"/>
        </w:rPr>
        <w:t>Addin</w:t>
      </w:r>
      <w:proofErr w:type="spellEnd"/>
      <w:r>
        <w:rPr>
          <w:lang w:val="en-US"/>
        </w:rPr>
        <w:t xml:space="preserve"> Al-</w:t>
      </w:r>
      <w:proofErr w:type="spellStart"/>
      <w:r>
        <w:rPr>
          <w:lang w:val="en-US"/>
        </w:rPr>
        <w:t>Mawsheki</w:t>
      </w:r>
      <w:proofErr w:type="spellEnd"/>
      <w:r>
        <w:rPr>
          <w:lang w:val="en-US"/>
        </w:rPr>
        <w:t xml:space="preserve">, 2022). Project B offers </w:t>
      </w:r>
      <w:proofErr w:type="gramStart"/>
      <w:r>
        <w:rPr>
          <w:lang w:val="en-US"/>
        </w:rPr>
        <w:t>a steady</w:t>
      </w:r>
      <w:proofErr w:type="gramEnd"/>
      <w:r>
        <w:rPr>
          <w:lang w:val="en-US"/>
        </w:rPr>
        <w:t xml:space="preserve"> cash inflow of the amount of $11 million pounds yearly within a time period of five years and is a predictable annuity with less risk involved. Project C, conversely, has lumpy cash flows with an initiall</w:t>
      </w:r>
      <w:r>
        <w:rPr>
          <w:lang w:val="en-US"/>
        </w:rPr>
        <w:t>y weak but rapidly growing to £25 million in Year 4, which is more likely to show higher returns but with higher variation. On the whole, Project A will provide average growth, Project B will provide stability, and Project C will provide greater but more u</w:t>
      </w:r>
      <w:r>
        <w:rPr>
          <w:lang w:val="en-US"/>
        </w:rPr>
        <w:t>npredictable returns.</w:t>
      </w:r>
    </w:p>
    <w:p w:rsidR="008B7556" w:rsidRDefault="00B74D9B">
      <w:pPr>
        <w:pStyle w:val="Heading2"/>
        <w:keepNext w:val="0"/>
        <w:keepLines w:val="0"/>
        <w:spacing w:before="480"/>
        <w:jc w:val="left"/>
      </w:pPr>
      <w:bookmarkStart w:id="100" w:name="_8h93aofurp6m"/>
      <w:bookmarkStart w:id="101" w:name="_Toc1933145964"/>
      <w:bookmarkEnd w:id="100"/>
      <w:r>
        <w:t>5.3 Investment Appraisal Techniques</w:t>
      </w:r>
      <w:bookmarkEnd w:id="101"/>
    </w:p>
    <w:p w:rsidR="008B7556" w:rsidRDefault="00B74D9B">
      <w:pPr>
        <w:spacing w:before="280"/>
        <w:jc w:val="left"/>
        <w:rPr>
          <w:b/>
          <w:bCs/>
        </w:rPr>
      </w:pPr>
      <w:r>
        <w:rPr>
          <w:b/>
          <w:bCs/>
        </w:rPr>
        <w:t>Payback Period (PBP)</w:t>
      </w:r>
    </w:p>
    <w:p w:rsidR="008B7556" w:rsidRDefault="00B74D9B">
      <w:r>
        <w:rPr>
          <w:lang w:val="en-US"/>
        </w:rPr>
        <w:t xml:space="preserve">Payback Period (PBP) quantifies how long it takes to pay back, and is specifically liquidity, which is crucial since Tesla Inc. is faced with working capital pressure, but does </w:t>
      </w:r>
      <w:r>
        <w:rPr>
          <w:lang w:val="en-US"/>
        </w:rPr>
        <w:t xml:space="preserve">not take into account time value or subsequent cash flows (Blessing and </w:t>
      </w:r>
      <w:proofErr w:type="spellStart"/>
      <w:r>
        <w:rPr>
          <w:lang w:val="en-US"/>
        </w:rPr>
        <w:t>Sakouvogui</w:t>
      </w:r>
      <w:proofErr w:type="spellEnd"/>
      <w:r>
        <w:rPr>
          <w:lang w:val="en-US"/>
        </w:rPr>
        <w:t>, 2023).</w:t>
      </w:r>
    </w:p>
    <w:p w:rsidR="008B7556" w:rsidRDefault="00B74D9B">
      <w:pPr>
        <w:spacing w:before="280"/>
        <w:jc w:val="left"/>
        <w:rPr>
          <w:b/>
          <w:bCs/>
        </w:rPr>
      </w:pPr>
      <w:r>
        <w:rPr>
          <w:b/>
          <w:bCs/>
        </w:rPr>
        <w:t>Accounting Rate of Return (ARR)</w:t>
      </w:r>
    </w:p>
    <w:p w:rsidR="008B7556" w:rsidRDefault="00B74D9B">
      <w:r>
        <w:rPr>
          <w:lang w:val="en-US"/>
        </w:rPr>
        <w:t>ARR looks at profitability using accounting returns, which is not reliable, considering that it does not take into account the timing</w:t>
      </w:r>
      <w:r>
        <w:rPr>
          <w:lang w:val="en-US"/>
        </w:rPr>
        <w:t xml:space="preserve"> of cash flows.</w:t>
      </w:r>
    </w:p>
    <w:p w:rsidR="008B7556" w:rsidRDefault="00B74D9B">
      <w:pPr>
        <w:spacing w:before="280"/>
        <w:jc w:val="left"/>
        <w:rPr>
          <w:b/>
          <w:bCs/>
        </w:rPr>
      </w:pPr>
      <w:r>
        <w:rPr>
          <w:b/>
          <w:bCs/>
        </w:rPr>
        <w:t>Net Present Value (NPV)</w:t>
      </w:r>
    </w:p>
    <w:p w:rsidR="008B7556" w:rsidRDefault="00B74D9B">
      <w:r>
        <w:rPr>
          <w:lang w:val="en-US"/>
        </w:rPr>
        <w:t>NPV involves discounted cash flows applied at a discount rate of 10% and, as such, offers the best account of value creation, though again, this is primarily based on the discount rate choice (Addin Al-Mawsheki, 2022</w:t>
      </w:r>
      <w:r>
        <w:rPr>
          <w:lang w:val="en-US"/>
        </w:rPr>
        <w:t>).</w:t>
      </w:r>
    </w:p>
    <w:p w:rsidR="008B7556" w:rsidRDefault="00B74D9B">
      <w:pPr>
        <w:spacing w:before="280"/>
        <w:rPr>
          <w:b/>
          <w:bCs/>
        </w:rPr>
      </w:pPr>
      <w:r>
        <w:rPr>
          <w:b/>
          <w:bCs/>
        </w:rPr>
        <w:t>Internal Rate of Return (IRR)</w:t>
      </w:r>
    </w:p>
    <w:p w:rsidR="008B7556" w:rsidRDefault="00B74D9B">
      <w:r>
        <w:rPr>
          <w:lang w:val="en-US"/>
        </w:rPr>
        <w:lastRenderedPageBreak/>
        <w:t>IRR determines the rate of NPV at which there is a project return. It can be used to compare projects, but it can give false results when the cash flows are not regular (</w:t>
      </w:r>
      <w:proofErr w:type="spellStart"/>
      <w:r>
        <w:rPr>
          <w:lang w:val="en-US"/>
        </w:rPr>
        <w:t>Sudacevschi</w:t>
      </w:r>
      <w:proofErr w:type="spellEnd"/>
      <w:r>
        <w:rPr>
          <w:lang w:val="en-US"/>
        </w:rPr>
        <w:t xml:space="preserve"> and Stefan </w:t>
      </w:r>
      <w:proofErr w:type="spellStart"/>
      <w:r>
        <w:rPr>
          <w:lang w:val="en-US"/>
        </w:rPr>
        <w:t>Duicu</w:t>
      </w:r>
      <w:proofErr w:type="spellEnd"/>
      <w:r>
        <w:rPr>
          <w:lang w:val="en-US"/>
        </w:rPr>
        <w:t>, 2024).</w:t>
      </w:r>
    </w:p>
    <w:p w:rsidR="008B7556" w:rsidRDefault="00B74D9B">
      <w:pPr>
        <w:spacing w:before="280"/>
        <w:rPr>
          <w:b/>
          <w:bCs/>
        </w:rPr>
      </w:pPr>
      <w:r>
        <w:rPr>
          <w:b/>
          <w:bCs/>
        </w:rPr>
        <w:t xml:space="preserve">Profitability </w:t>
      </w:r>
      <w:r>
        <w:rPr>
          <w:b/>
          <w:bCs/>
        </w:rPr>
        <w:t>Index (PI)</w:t>
      </w:r>
    </w:p>
    <w:p w:rsidR="008B7556" w:rsidRDefault="00B74D9B">
      <w:r>
        <w:rPr>
          <w:lang w:val="en-US"/>
        </w:rPr>
        <w:t>PI is a measure of value generated per unit of investment, which supports decisions that are made under capital limitations. The same can be said, though, as with NPV, it requires a correct estimation of cash flow (</w:t>
      </w:r>
      <w:proofErr w:type="spellStart"/>
      <w:r>
        <w:rPr>
          <w:lang w:val="en-US"/>
        </w:rPr>
        <w:t>Ozili</w:t>
      </w:r>
      <w:proofErr w:type="spellEnd"/>
      <w:r>
        <w:rPr>
          <w:lang w:val="en-US"/>
        </w:rPr>
        <w:t>, 2022).</w:t>
      </w:r>
    </w:p>
    <w:p w:rsidR="008B7556" w:rsidRDefault="00B74D9B">
      <w:pPr>
        <w:pStyle w:val="Heading2"/>
        <w:keepNext w:val="0"/>
        <w:keepLines w:val="0"/>
        <w:spacing w:before="480"/>
        <w:jc w:val="left"/>
      </w:pPr>
      <w:bookmarkStart w:id="102" w:name="_fo4ygxt5yf2"/>
      <w:bookmarkStart w:id="103" w:name="_Toc2133593198"/>
      <w:bookmarkEnd w:id="102"/>
      <w:r>
        <w:t>5.4 Results Summ</w:t>
      </w:r>
      <w:r>
        <w:t>ary</w:t>
      </w:r>
      <w:bookmarkEnd w:id="103"/>
    </w:p>
    <w:p w:rsidR="008B7556" w:rsidRDefault="00B74D9B">
      <w:pPr>
        <w:pStyle w:val="Heading2"/>
        <w:keepNext w:val="0"/>
        <w:keepLines w:val="0"/>
        <w:spacing w:before="240" w:after="240"/>
        <w:jc w:val="left"/>
      </w:pPr>
      <w:bookmarkStart w:id="104" w:name="_lk01a8u69cn6" w:colFirst="0" w:colLast="0"/>
      <w:bookmarkEnd w:id="104"/>
      <w:r>
        <w:rPr>
          <w:noProof/>
          <w:lang w:val="en-GB" w:eastAsia="en-GB"/>
        </w:rPr>
        <w:drawing>
          <wp:inline distT="114300" distB="114300" distL="114300" distR="114300">
            <wp:extent cx="5943600" cy="990600"/>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14" name="image16.png"/>
                    <pic:cNvPicPr preferRelativeResize="0"/>
                  </pic:nvPicPr>
                  <pic:blipFill>
                    <a:blip r:embed="rId25" cstate="print"/>
                    <a:srcRect/>
                    <a:stretch>
                      <a:fillRect/>
                    </a:stretch>
                  </pic:blipFill>
                  <pic:spPr>
                    <a:xfrm>
                      <a:off x="0" y="0"/>
                      <a:ext cx="5943600" cy="990600"/>
                    </a:xfrm>
                    <a:prstGeom prst="rect">
                      <a:avLst/>
                    </a:prstGeom>
                  </pic:spPr>
                </pic:pic>
              </a:graphicData>
            </a:graphic>
          </wp:inline>
        </w:drawing>
      </w:r>
    </w:p>
    <w:p w:rsidR="008B7556" w:rsidRDefault="00B74D9B">
      <w:pPr>
        <w:pStyle w:val="Heading4"/>
      </w:pPr>
      <w:bookmarkStart w:id="105" w:name="_t06gpp2x3e8l"/>
      <w:bookmarkStart w:id="106" w:name="_Toc2086093198"/>
      <w:bookmarkStart w:id="107" w:name="_Toc241134951"/>
      <w:bookmarkStart w:id="108" w:name="_Toc204669735"/>
      <w:bookmarkEnd w:id="105"/>
      <w:r>
        <w:t>Figure 12: Investment appraisal result</w:t>
      </w:r>
      <w:bookmarkEnd w:id="106"/>
      <w:bookmarkEnd w:id="107"/>
      <w:bookmarkEnd w:id="108"/>
    </w:p>
    <w:p w:rsidR="008B7556" w:rsidRDefault="00B74D9B">
      <w:pPr>
        <w:jc w:val="center"/>
      </w:pPr>
      <w:r>
        <w:t>(Source: Excel)</w:t>
      </w:r>
    </w:p>
    <w:p w:rsidR="008B7556" w:rsidRDefault="00B74D9B">
      <w:r>
        <w:rPr>
          <w:lang w:val="en-US"/>
        </w:rPr>
        <w:t xml:space="preserve">Figure 12 displays the findings of investment appraisal, reveals that there are distinct variations in the performance of projects. Project C is the most successful in terms of total performance </w:t>
      </w:r>
      <w:r>
        <w:rPr>
          <w:lang w:val="en-US"/>
        </w:rPr>
        <w:t>and has the least payback (3.6 years), highest ARR (26%), and IRR (8.59%), and has the highest profitability index (0.96). According to all the projects creating negative NPVs at a 10% discount rate, Project C has the lowest negative figure (-1.98), indica</w:t>
      </w:r>
      <w:r>
        <w:rPr>
          <w:lang w:val="en-US"/>
        </w:rPr>
        <w:t>ting a better value retention (</w:t>
      </w:r>
      <w:proofErr w:type="spellStart"/>
      <w:r>
        <w:rPr>
          <w:lang w:val="en-US"/>
        </w:rPr>
        <w:t>Usodan</w:t>
      </w:r>
      <w:proofErr w:type="spellEnd"/>
      <w:r>
        <w:rPr>
          <w:lang w:val="en-US"/>
        </w:rPr>
        <w:t xml:space="preserve"> </w:t>
      </w:r>
      <w:r>
        <w:rPr>
          <w:i/>
          <w:iCs/>
          <w:lang w:val="en-US"/>
        </w:rPr>
        <w:t xml:space="preserve">et al., </w:t>
      </w:r>
      <w:r>
        <w:rPr>
          <w:lang w:val="en-US"/>
        </w:rPr>
        <w:t>2025). Project B has stable and moderately high returns, whereas Project A does the worst in the majority of indicators (Addin Al-Mawsheki, 2022). Generally, the findings have shown that Project C is the most f</w:t>
      </w:r>
      <w:r>
        <w:rPr>
          <w:lang w:val="en-US"/>
        </w:rPr>
        <w:t>inancially appealing alternative among the three.</w:t>
      </w:r>
    </w:p>
    <w:p w:rsidR="008B7556" w:rsidRDefault="00B74D9B">
      <w:pPr>
        <w:pStyle w:val="Heading2"/>
        <w:keepNext w:val="0"/>
        <w:keepLines w:val="0"/>
        <w:spacing w:before="480"/>
        <w:jc w:val="left"/>
      </w:pPr>
      <w:bookmarkStart w:id="109" w:name="_rt5xz59vkqym"/>
      <w:bookmarkStart w:id="110" w:name="_Toc1470453587"/>
      <w:bookmarkEnd w:id="109"/>
      <w:r>
        <w:lastRenderedPageBreak/>
        <w:t>5.5 Project Evaluation and Comparison</w:t>
      </w:r>
      <w:bookmarkEnd w:id="110"/>
    </w:p>
    <w:p w:rsidR="008B7556" w:rsidRDefault="00B74D9B">
      <w:r>
        <w:rPr>
          <w:b/>
          <w:bCs/>
        </w:rPr>
        <w:t xml:space="preserve">Payback Analysis: </w:t>
      </w:r>
      <w:r>
        <w:t>The payback period reflects that Project C pays back in 3.6 years' time, as compared to Project A and Project B of 4.5 and 4.55 years, respectively. T</w:t>
      </w:r>
      <w:r>
        <w:t xml:space="preserve">his reduction in the period of recovery is especially salient in the case of Tesla Inc., which is faced with growing working capital-constraining reasons and requires greater liquidity (Sinaga </w:t>
      </w:r>
      <w:r>
        <w:rPr>
          <w:i/>
          <w:iCs/>
        </w:rPr>
        <w:t>et al.,</w:t>
      </w:r>
      <w:r>
        <w:t xml:space="preserve"> 2023). Project C is thus able to recover cash more quic</w:t>
      </w:r>
      <w:r>
        <w:t>kly and have less long-term exposure.</w:t>
      </w:r>
    </w:p>
    <w:p w:rsidR="008B7556" w:rsidRDefault="00B74D9B">
      <w:r>
        <w:rPr>
          <w:b/>
          <w:bCs/>
          <w:lang w:val="en-US"/>
        </w:rPr>
        <w:t>Profitability (ARR):</w:t>
      </w:r>
      <w:r>
        <w:rPr>
          <w:lang w:val="en-US"/>
        </w:rPr>
        <w:t xml:space="preserve"> Project C achieves the highest ARR at 26%, compared to 22% for Project B and 21.6% for Project A. This is a signal of better accounting profitability and better gains capacity concerning generation</w:t>
      </w:r>
      <w:r>
        <w:rPr>
          <w:lang w:val="en-US"/>
        </w:rPr>
        <w:t xml:space="preserve"> of returns compared to the initial investment. Conversely, Projects A and B are not as profitable, thus not appealing in terms of returns (Li </w:t>
      </w:r>
      <w:r>
        <w:rPr>
          <w:i/>
          <w:iCs/>
          <w:lang w:val="en-US"/>
        </w:rPr>
        <w:t xml:space="preserve">et al., </w:t>
      </w:r>
      <w:r>
        <w:rPr>
          <w:lang w:val="en-US"/>
        </w:rPr>
        <w:t>2023).</w:t>
      </w:r>
    </w:p>
    <w:p w:rsidR="008B7556" w:rsidRDefault="00B74D9B">
      <w:r>
        <w:rPr>
          <w:b/>
          <w:bCs/>
          <w:lang w:val="en-US"/>
        </w:rPr>
        <w:t xml:space="preserve">Value Creation (NPV &amp; PI): </w:t>
      </w:r>
      <w:r>
        <w:rPr>
          <w:lang w:val="en-US"/>
        </w:rPr>
        <w:t xml:space="preserve">The three projects all develop negative NPVs at the 10% discount rate, </w:t>
      </w:r>
      <w:r>
        <w:rPr>
          <w:lang w:val="en-US"/>
        </w:rPr>
        <w:t>indicating that none of the projects sustain the required return level completely. Nonetheless, Project C has the smallest negative NPV (-0.98), as opposed to -8.68 in Project A and -8.30 in Project B. On the same note, Project C is the most effective in t</w:t>
      </w:r>
      <w:r>
        <w:rPr>
          <w:lang w:val="en-US"/>
        </w:rPr>
        <w:t>erms of profitability index (0.96), which is an indication that capital invested is used effectively. This implies that project C loses less value; however, value is not totally developed (Vickerman, 2024).</w:t>
      </w:r>
    </w:p>
    <w:p w:rsidR="008B7556" w:rsidRDefault="00B74D9B">
      <w:r>
        <w:rPr>
          <w:b/>
          <w:bCs/>
          <w:lang w:val="en-US"/>
        </w:rPr>
        <w:t xml:space="preserve">Return Analysis (IRR): </w:t>
      </w:r>
      <w:r>
        <w:rPr>
          <w:lang w:val="en-US"/>
        </w:rPr>
        <w:t xml:space="preserve">Project C has the highest </w:t>
      </w:r>
      <w:r>
        <w:rPr>
          <w:lang w:val="en-US"/>
        </w:rPr>
        <w:t>IRR of 8.59 %, which is substantially higher than Project B (3.26%) and Project A (2.72%). Whereas the IRRs are all below 10% required rate of return, Project C offers the greatest relative return as well as reveals greater investment possibilities.</w:t>
      </w:r>
    </w:p>
    <w:p w:rsidR="008B7556" w:rsidRDefault="00B74D9B">
      <w:pPr>
        <w:pStyle w:val="Heading2"/>
      </w:pPr>
      <w:bookmarkStart w:id="111" w:name="_x6709w1flruv"/>
      <w:bookmarkStart w:id="112" w:name="_Toc1001531064"/>
      <w:bookmarkEnd w:id="111"/>
      <w:r>
        <w:t>5.6 Fi</w:t>
      </w:r>
      <w:r>
        <w:t>nal Investment Decision</w:t>
      </w:r>
      <w:bookmarkEnd w:id="112"/>
      <w:r>
        <w:t xml:space="preserve"> </w:t>
      </w:r>
    </w:p>
    <w:p w:rsidR="008B7556" w:rsidRDefault="00B74D9B">
      <w:r>
        <w:t xml:space="preserve">As presented in the investment appraisal analysis, Project C would be the best choice that comp suits Tesla Inc. with (Xiang, 2024). This choice can be justified by the fact </w:t>
      </w:r>
      <w:r>
        <w:lastRenderedPageBreak/>
        <w:t>that it has the best performance based on the main metric</w:t>
      </w:r>
      <w:r>
        <w:t>s, such as the shortest payback period, the largest ARR, the largest IRR, and the minimum negative NPV.</w:t>
      </w:r>
    </w:p>
    <w:p w:rsidR="008B7556" w:rsidRDefault="00B74D9B">
      <w:pPr>
        <w:pStyle w:val="Heading3"/>
        <w:keepNext w:val="0"/>
        <w:keepLines w:val="0"/>
        <w:spacing w:before="280"/>
        <w:rPr>
          <w:b/>
          <w:bCs/>
          <w:i/>
          <w:iCs/>
          <w:color w:val="000000"/>
          <w:sz w:val="26"/>
          <w:szCs w:val="26"/>
        </w:rPr>
      </w:pPr>
      <w:bookmarkStart w:id="113" w:name="_pmded6lltk9s"/>
      <w:bookmarkStart w:id="114" w:name="_Toc851219355"/>
      <w:bookmarkEnd w:id="113"/>
      <w:r>
        <w:rPr>
          <w:b/>
          <w:bCs/>
          <w:i/>
          <w:iCs/>
          <w:color w:val="000000" w:themeColor="text1"/>
          <w:sz w:val="26"/>
          <w:szCs w:val="26"/>
        </w:rPr>
        <w:t>Justification</w:t>
      </w:r>
      <w:bookmarkEnd w:id="114"/>
    </w:p>
    <w:p w:rsidR="008B7556" w:rsidRDefault="00B74D9B">
      <w:r>
        <w:rPr>
          <w:lang w:val="en-US"/>
        </w:rPr>
        <w:t xml:space="preserve">The dwindling profitability margins and increasing operations expense at Tesla requires high yield projects to be invested in to turn the </w:t>
      </w:r>
      <w:r>
        <w:rPr>
          <w:lang w:val="en-US"/>
        </w:rPr>
        <w:t>company around financially. Project C has the best payoff potential, thus it is more appropriate for solving the approach of compression of the margin. Moreover, the rising cash conversion cycle of the company indicates that there is an increment in liquid</w:t>
      </w:r>
      <w:r>
        <w:rPr>
          <w:lang w:val="en-US"/>
        </w:rPr>
        <w:t xml:space="preserve">ity pressure, and Project C will recover capital invested in a shorter period of time. Regarding cash flow, Tesla has unpredictable free cash flows, which need projects with higher and quicker returns, which will be offered by Project C (Fallah Shayan </w:t>
      </w:r>
      <w:r>
        <w:rPr>
          <w:i/>
          <w:iCs/>
          <w:lang w:val="en-US"/>
        </w:rPr>
        <w:t>et a</w:t>
      </w:r>
      <w:r>
        <w:rPr>
          <w:i/>
          <w:iCs/>
          <w:lang w:val="en-US"/>
        </w:rPr>
        <w:t xml:space="preserve">l., </w:t>
      </w:r>
      <w:r>
        <w:rPr>
          <w:lang w:val="en-US"/>
        </w:rPr>
        <w:t>2022).</w:t>
      </w:r>
    </w:p>
    <w:p w:rsidR="008B7556" w:rsidRDefault="00B74D9B">
      <w:pPr>
        <w:rPr>
          <w:lang w:val="en-US"/>
        </w:rPr>
      </w:pPr>
      <w:r>
        <w:rPr>
          <w:lang w:val="en-US"/>
        </w:rPr>
        <w:t>Non-financially, the risks associated with Project C include uncertainty of demand and high competition in the market, which, notwithstanding, the strategy of Project C promotes growth and innovation, which is within the strategy of Tesla. These</w:t>
      </w:r>
      <w:r>
        <w:rPr>
          <w:lang w:val="en-US"/>
        </w:rPr>
        <w:t xml:space="preserve"> risks are outweighed by its greater potential to give higher returns, making it the most suitable choice of investment.</w:t>
      </w:r>
    </w:p>
    <w:p w:rsidR="008B7556" w:rsidRDefault="00B74D9B">
      <w:pPr>
        <w:pStyle w:val="Heading2"/>
        <w:keepNext w:val="0"/>
        <w:keepLines w:val="0"/>
        <w:spacing w:before="480"/>
        <w:jc w:val="left"/>
      </w:pPr>
      <w:bookmarkStart w:id="115" w:name="_1ngvjjdbdhu6"/>
      <w:bookmarkStart w:id="116" w:name="_Toc1847186287"/>
      <w:bookmarkEnd w:id="115"/>
      <w:r>
        <w:t>5.7 Capital Rationing Analysis</w:t>
      </w:r>
      <w:bookmarkEnd w:id="116"/>
      <w:r>
        <w:t xml:space="preserve"> </w:t>
      </w:r>
    </w:p>
    <w:p w:rsidR="008B7556" w:rsidRDefault="00B74D9B">
      <w:pPr>
        <w:rPr>
          <w:b/>
          <w:bCs/>
        </w:rPr>
      </w:pPr>
      <w:r>
        <w:rPr>
          <w:b/>
          <w:bCs/>
        </w:rPr>
        <w:t>Constraint</w:t>
      </w:r>
    </w:p>
    <w:p w:rsidR="008B7556" w:rsidRDefault="00B74D9B">
      <w:r>
        <w:rPr>
          <w:lang w:val="en-US"/>
        </w:rPr>
        <w:t>Under the capital rationing scenario, Tesla Inc. is limited to a maximum investment budget o</w:t>
      </w:r>
      <w:r>
        <w:rPr>
          <w:lang w:val="en-US"/>
        </w:rPr>
        <w:t xml:space="preserve">f £100 million. As each project requires an initial investment of £50 million, the firm can only undertake two projects (Sui, 2025). This limitation requires picking the best combination that ensures </w:t>
      </w:r>
      <w:proofErr w:type="spellStart"/>
      <w:r>
        <w:rPr>
          <w:lang w:val="en-US"/>
        </w:rPr>
        <w:t>maximisation</w:t>
      </w:r>
      <w:proofErr w:type="spellEnd"/>
      <w:r>
        <w:rPr>
          <w:lang w:val="en-US"/>
        </w:rPr>
        <w:t xml:space="preserve"> of the overall value.</w:t>
      </w:r>
    </w:p>
    <w:p w:rsidR="008B7556" w:rsidRDefault="00B74D9B">
      <w:pPr>
        <w:rPr>
          <w:b/>
          <w:bCs/>
        </w:rPr>
      </w:pPr>
      <w:r>
        <w:rPr>
          <w:b/>
          <w:bCs/>
        </w:rPr>
        <w:t>Combinations</w:t>
      </w:r>
    </w:p>
    <w:p w:rsidR="008B7556" w:rsidRDefault="00B74D9B">
      <w:pPr>
        <w:rPr>
          <w:b/>
          <w:bCs/>
        </w:rPr>
      </w:pPr>
      <w:r>
        <w:rPr>
          <w:b/>
          <w:bCs/>
          <w:noProof/>
          <w:lang w:val="en-GB" w:eastAsia="en-GB"/>
        </w:rPr>
        <w:lastRenderedPageBreak/>
        <w:drawing>
          <wp:inline distT="114300" distB="114300" distL="114300" distR="114300">
            <wp:extent cx="5943600" cy="1143000"/>
            <wp:effectExtent l="0" t="0" r="0" b="0"/>
            <wp:docPr id="15" name="image17.png"/>
            <wp:cNvGraphicFramePr/>
            <a:graphic xmlns:a="http://schemas.openxmlformats.org/drawingml/2006/main">
              <a:graphicData uri="http://schemas.openxmlformats.org/drawingml/2006/picture">
                <pic:pic xmlns:pic="http://schemas.openxmlformats.org/drawingml/2006/picture">
                  <pic:nvPicPr>
                    <pic:cNvPr id="15" name="image17.png"/>
                    <pic:cNvPicPr preferRelativeResize="0"/>
                  </pic:nvPicPr>
                  <pic:blipFill>
                    <a:blip r:embed="rId26" cstate="print"/>
                    <a:srcRect/>
                    <a:stretch>
                      <a:fillRect/>
                    </a:stretch>
                  </pic:blipFill>
                  <pic:spPr>
                    <a:xfrm>
                      <a:off x="0" y="0"/>
                      <a:ext cx="5943600" cy="1143000"/>
                    </a:xfrm>
                    <a:prstGeom prst="rect">
                      <a:avLst/>
                    </a:prstGeom>
                  </pic:spPr>
                </pic:pic>
              </a:graphicData>
            </a:graphic>
          </wp:inline>
        </w:drawing>
      </w:r>
    </w:p>
    <w:p w:rsidR="008B7556" w:rsidRDefault="00B74D9B">
      <w:pPr>
        <w:pStyle w:val="Heading4"/>
      </w:pPr>
      <w:bookmarkStart w:id="117" w:name="_vl62oes3hqa3"/>
      <w:bookmarkStart w:id="118" w:name="_Toc1133626083"/>
      <w:bookmarkStart w:id="119" w:name="_Toc453479568"/>
      <w:bookmarkStart w:id="120" w:name="_Toc1762917298"/>
      <w:bookmarkEnd w:id="117"/>
      <w:r>
        <w:t>Figure</w:t>
      </w:r>
      <w:r>
        <w:t xml:space="preserve"> 13: Capital Rationing Analysis</w:t>
      </w:r>
      <w:bookmarkEnd w:id="118"/>
      <w:bookmarkEnd w:id="119"/>
      <w:bookmarkEnd w:id="120"/>
    </w:p>
    <w:p w:rsidR="008B7556" w:rsidRDefault="00B74D9B">
      <w:pPr>
        <w:jc w:val="center"/>
        <w:rPr>
          <w:b/>
          <w:bCs/>
        </w:rPr>
      </w:pPr>
      <w:r>
        <w:t>(Source: Excel)</w:t>
      </w:r>
    </w:p>
    <w:p w:rsidR="008B7556" w:rsidRDefault="00B74D9B">
      <w:r>
        <w:rPr>
          <w:lang w:val="en-US"/>
        </w:rPr>
        <w:t xml:space="preserve">Figure 13 shows three combinations of the projects that might occur, which are A + B, A + C, and B + C. The total NPVs for these combinations are -£16.98 million, -£10.66 million, and -£10.29 million, </w:t>
      </w:r>
      <w:r>
        <w:rPr>
          <w:lang w:val="en-US"/>
        </w:rPr>
        <w:t>respectively (</w:t>
      </w:r>
      <w:proofErr w:type="spellStart"/>
      <w:r>
        <w:rPr>
          <w:lang w:val="en-US"/>
        </w:rPr>
        <w:t>Usodan</w:t>
      </w:r>
      <w:proofErr w:type="spellEnd"/>
      <w:r>
        <w:rPr>
          <w:lang w:val="en-US"/>
        </w:rPr>
        <w:t xml:space="preserve"> </w:t>
      </w:r>
      <w:r>
        <w:rPr>
          <w:i/>
          <w:iCs/>
          <w:lang w:val="en-US"/>
        </w:rPr>
        <w:t>et al.,</w:t>
      </w:r>
      <w:r>
        <w:rPr>
          <w:lang w:val="en-US"/>
        </w:rPr>
        <w:t xml:space="preserve"> 2025). Although all of the combinations lead to negative NPVs, it is evident that the loss of values differs in degree. B + C gives a negative NPV, which is the least negative NPV, which means that the financial performance is </w:t>
      </w:r>
      <w:r>
        <w:rPr>
          <w:lang w:val="en-US"/>
        </w:rPr>
        <w:t>relatively better.</w:t>
      </w:r>
    </w:p>
    <w:p w:rsidR="008B7556" w:rsidRDefault="00B74D9B">
      <w:pPr>
        <w:rPr>
          <w:b/>
          <w:bCs/>
        </w:rPr>
      </w:pPr>
      <w:r>
        <w:rPr>
          <w:b/>
          <w:bCs/>
        </w:rPr>
        <w:t>Decision and Justification</w:t>
      </w:r>
    </w:p>
    <w:p w:rsidR="008B7556" w:rsidRDefault="00B74D9B">
      <w:r>
        <w:rPr>
          <w:lang w:val="en-US"/>
        </w:rPr>
        <w:t xml:space="preserve">A combination of Projects B and C is the best. This is the combination that results in maximum combined NPV and thus is the most efficient utilization of scarce capital. Project C has a greater payoff, whereas </w:t>
      </w:r>
      <w:r>
        <w:rPr>
          <w:lang w:val="en-US"/>
        </w:rPr>
        <w:t>Project B gives steady cash flows, and the result is a balanced portfolio (Wirba, 2024). This option has the least financial loss, even though it has a negative NPV, although it is also appropriate considering the optimization of returns that Tesla had und</w:t>
      </w:r>
      <w:r>
        <w:rPr>
          <w:lang w:val="en-US"/>
        </w:rPr>
        <w:t>er capital constraints.</w:t>
      </w:r>
    </w:p>
    <w:p w:rsidR="008B7556" w:rsidRDefault="00B74D9B">
      <w:pPr>
        <w:pStyle w:val="Heading1"/>
      </w:pPr>
      <w:bookmarkStart w:id="121" w:name="_j4ehhgm38woc"/>
      <w:bookmarkStart w:id="122" w:name="_Toc2065781339"/>
      <w:bookmarkEnd w:id="121"/>
      <w:r>
        <w:t>6. Conclusion</w:t>
      </w:r>
      <w:bookmarkEnd w:id="122"/>
    </w:p>
    <w:p w:rsidR="008B7556" w:rsidRDefault="00B74D9B">
      <w:r>
        <w:rPr>
          <w:lang w:val="en-US"/>
        </w:rPr>
        <w:t>The present report has critically assessed the financial performance of Tesla Inc. during the years 2021-2025 and identified the change in the trend of increasing revenues into decreasing profitability and growing fina</w:t>
      </w:r>
      <w:r>
        <w:rPr>
          <w:lang w:val="en-US"/>
        </w:rPr>
        <w:t xml:space="preserve">ncial strain. As liquidity is steady and operating cash flows are robust, costs are increasing, margins are declining, and working capital efficiency is declining, all pointing to declining financial health. The working capital </w:t>
      </w:r>
      <w:r>
        <w:rPr>
          <w:lang w:val="en-US"/>
        </w:rPr>
        <w:lastRenderedPageBreak/>
        <w:t xml:space="preserve">analysis showed that it had </w:t>
      </w:r>
      <w:r>
        <w:rPr>
          <w:lang w:val="en-US"/>
        </w:rPr>
        <w:t xml:space="preserve">a growing cash conversion cycle, which implied a rising liquidity pressure and an operating set of inefficiencies. To revive financial stability, strategic financial restructuring such as cost control, </w:t>
      </w:r>
      <w:proofErr w:type="spellStart"/>
      <w:r>
        <w:rPr>
          <w:lang w:val="en-US"/>
        </w:rPr>
        <w:t>optimisation</w:t>
      </w:r>
      <w:proofErr w:type="spellEnd"/>
      <w:r>
        <w:rPr>
          <w:lang w:val="en-US"/>
        </w:rPr>
        <w:t xml:space="preserve"> of debts, and selective investment is thu</w:t>
      </w:r>
      <w:r>
        <w:rPr>
          <w:lang w:val="en-US"/>
        </w:rPr>
        <w:t>s required. Investment appraisal revealed Project C to be the best option since it returns better and has a short payback, and capital rationing is the best way to choose Projects B and C to allocate resources optimally.</w:t>
      </w:r>
    </w:p>
    <w:p w:rsidR="008B7556" w:rsidRDefault="00B74D9B">
      <w:r>
        <w:br w:type="page"/>
      </w:r>
    </w:p>
    <w:p w:rsidR="008B7556" w:rsidRDefault="00B74D9B">
      <w:pPr>
        <w:pStyle w:val="Heading1"/>
      </w:pPr>
      <w:bookmarkStart w:id="123" w:name="_mobv3qnzego"/>
      <w:bookmarkStart w:id="124" w:name="_Toc1594966962"/>
      <w:bookmarkEnd w:id="123"/>
      <w:r>
        <w:lastRenderedPageBreak/>
        <w:t>References</w:t>
      </w:r>
      <w:bookmarkEnd w:id="124"/>
    </w:p>
    <w:p w:rsidR="008B7556" w:rsidRDefault="00B74D9B">
      <w:pPr>
        <w:spacing w:before="0" w:after="0" w:line="276" w:lineRule="auto"/>
        <w:rPr>
          <w:color w:val="1155CC"/>
          <w:u w:val="single"/>
          <w:lang w:val="en-US"/>
        </w:rPr>
      </w:pPr>
      <w:r>
        <w:rPr>
          <w:lang w:val="en-US"/>
        </w:rPr>
        <w:t xml:space="preserve">Addin Al-Mawsheki, R.M.S., 2022. Effect of working capital policies on firms’ financial performance. </w:t>
      </w:r>
      <w:r>
        <w:rPr>
          <w:i/>
          <w:iCs/>
          <w:lang w:val="en-US"/>
        </w:rPr>
        <w:t>Cogent Economics &amp; Finance</w:t>
      </w:r>
      <w:r>
        <w:rPr>
          <w:lang w:val="en-US"/>
        </w:rPr>
        <w:t xml:space="preserve">, </w:t>
      </w:r>
      <w:r>
        <w:rPr>
          <w:i/>
          <w:iCs/>
          <w:lang w:val="en-US"/>
        </w:rPr>
        <w:t>10</w:t>
      </w:r>
      <w:r>
        <w:rPr>
          <w:lang w:val="en-US"/>
        </w:rPr>
        <w:t>(1), p.2087289.</w:t>
      </w:r>
      <w:hyperlink r:id="rId27">
        <w:r w:rsidR="008B7556">
          <w:rPr>
            <w:lang w:val="en-US"/>
          </w:rPr>
          <w:t xml:space="preserve"> </w:t>
        </w:r>
      </w:hyperlink>
      <w:hyperlink r:id="rId28">
        <w:r w:rsidR="008B7556">
          <w:rPr>
            <w:color w:val="1155CC"/>
            <w:u w:val="single"/>
            <w:lang w:val="en-US"/>
          </w:rPr>
          <w:t>https://www.tandfonline.com/doi/abs/10.1080/23322039.2022.2087289</w:t>
        </w:r>
      </w:hyperlink>
    </w:p>
    <w:p w:rsidR="008B7556" w:rsidRDefault="00B74D9B">
      <w:pPr>
        <w:spacing w:before="0" w:after="0" w:line="276" w:lineRule="auto"/>
        <w:rPr>
          <w:color w:val="1155CC"/>
          <w:u w:val="single"/>
          <w:lang w:val="en-US"/>
        </w:rPr>
      </w:pPr>
      <w:r>
        <w:rPr>
          <w:lang w:val="en-US"/>
        </w:rPr>
        <w:t xml:space="preserve">Aithal, P.S., Bhandarkar, S.M. and Shetty, V., 2024. A Systematic CEO Analysis for Elon Musk of Tesla Inc. EV Company. </w:t>
      </w:r>
      <w:proofErr w:type="spellStart"/>
      <w:r>
        <w:rPr>
          <w:i/>
          <w:iCs/>
          <w:lang w:val="en-US"/>
        </w:rPr>
        <w:t>Poornaprajna</w:t>
      </w:r>
      <w:proofErr w:type="spellEnd"/>
      <w:r>
        <w:rPr>
          <w:i/>
          <w:iCs/>
          <w:lang w:val="en-US"/>
        </w:rPr>
        <w:t xml:space="preserve"> I</w:t>
      </w:r>
      <w:r>
        <w:rPr>
          <w:i/>
          <w:iCs/>
          <w:lang w:val="en-US"/>
        </w:rPr>
        <w:t>nternational Journal of Teaching &amp; Research Case Studies (PIJTRCS)</w:t>
      </w:r>
      <w:r>
        <w:rPr>
          <w:lang w:val="en-US"/>
        </w:rPr>
        <w:t xml:space="preserve">, </w:t>
      </w:r>
      <w:r>
        <w:rPr>
          <w:i/>
          <w:iCs/>
          <w:lang w:val="en-US"/>
        </w:rPr>
        <w:t>1</w:t>
      </w:r>
      <w:r>
        <w:rPr>
          <w:lang w:val="en-US"/>
        </w:rPr>
        <w:t>(1), pp.126-162.</w:t>
      </w:r>
      <w:hyperlink r:id="rId29">
        <w:r w:rsidR="008B7556">
          <w:rPr>
            <w:lang w:val="en-US"/>
          </w:rPr>
          <w:t xml:space="preserve"> </w:t>
        </w:r>
      </w:hyperlink>
      <w:hyperlink r:id="rId30">
        <w:r w:rsidR="008B7556">
          <w:rPr>
            <w:color w:val="1155CC"/>
            <w:u w:val="single"/>
            <w:lang w:val="en-US"/>
          </w:rPr>
          <w:t>http://poornaprajnapublication.com/index.php/pijtrcs/article/view/35</w:t>
        </w:r>
      </w:hyperlink>
    </w:p>
    <w:p w:rsidR="008B7556" w:rsidRDefault="00B74D9B">
      <w:pPr>
        <w:spacing w:before="0" w:after="0" w:line="276" w:lineRule="auto"/>
        <w:rPr>
          <w:color w:val="1155CC"/>
          <w:u w:val="single"/>
          <w:lang w:val="en-US"/>
        </w:rPr>
      </w:pPr>
      <w:proofErr w:type="spellStart"/>
      <w:r>
        <w:rPr>
          <w:lang w:val="en-US"/>
        </w:rPr>
        <w:t>Alsharari</w:t>
      </w:r>
      <w:proofErr w:type="spellEnd"/>
      <w:r>
        <w:rPr>
          <w:lang w:val="en-US"/>
        </w:rPr>
        <w:t xml:space="preserve">, N.M., 2022. Financial Reporting and Analysis of Tesla Green Technology in the. </w:t>
      </w:r>
      <w:r>
        <w:rPr>
          <w:i/>
          <w:iCs/>
          <w:lang w:val="en-US"/>
        </w:rPr>
        <w:t>Banking and Accounting Issues</w:t>
      </w:r>
      <w:r>
        <w:rPr>
          <w:lang w:val="en-US"/>
        </w:rPr>
        <w:t>, p.3.</w:t>
      </w:r>
      <w:hyperlink r:id="rId31">
        <w:r w:rsidR="008B7556">
          <w:rPr>
            <w:lang w:val="en-US"/>
          </w:rPr>
          <w:t xml:space="preserve"> </w:t>
        </w:r>
      </w:hyperlink>
      <w:hyperlink r:id="rId32">
        <w:r w:rsidR="008B7556">
          <w:rPr>
            <w:color w:val="1155CC"/>
            <w:u w:val="single"/>
            <w:lang w:val="en-US"/>
          </w:rPr>
          <w:t>https://books.google.com/books?hl=en&amp;lr=&amp;id=YimIEAAAQBAJ&amp;oi=fnd&amp;pg=PA3&amp;dq=tesla+financial+ratio&amp;ots=7wn_CYwFDa&amp;sig=F-WCiQGKBD1fPp2heUD2v7E3Ue0</w:t>
        </w:r>
      </w:hyperlink>
    </w:p>
    <w:p w:rsidR="008B7556" w:rsidRDefault="00B74D9B">
      <w:pPr>
        <w:spacing w:before="0" w:after="0" w:line="276" w:lineRule="auto"/>
        <w:rPr>
          <w:color w:val="1155CC"/>
          <w:u w:val="single"/>
          <w:lang w:val="en-US"/>
        </w:rPr>
      </w:pPr>
      <w:r>
        <w:rPr>
          <w:lang w:val="en-US"/>
        </w:rPr>
        <w:t xml:space="preserve">Babazhanov, Z., </w:t>
      </w:r>
      <w:proofErr w:type="spellStart"/>
      <w:r>
        <w:rPr>
          <w:lang w:val="en-US"/>
        </w:rPr>
        <w:t>Suleyeva</w:t>
      </w:r>
      <w:proofErr w:type="spellEnd"/>
      <w:r>
        <w:rPr>
          <w:lang w:val="en-US"/>
        </w:rPr>
        <w:t xml:space="preserve">, M., Zhumatov, M., </w:t>
      </w:r>
      <w:proofErr w:type="spellStart"/>
      <w:r>
        <w:rPr>
          <w:lang w:val="en-US"/>
        </w:rPr>
        <w:t>Kenenbay</w:t>
      </w:r>
      <w:proofErr w:type="spellEnd"/>
      <w:r>
        <w:rPr>
          <w:lang w:val="en-US"/>
        </w:rPr>
        <w:t xml:space="preserve">, A. and </w:t>
      </w:r>
      <w:proofErr w:type="spellStart"/>
      <w:r>
        <w:rPr>
          <w:lang w:val="en-US"/>
        </w:rPr>
        <w:t>Syrbayeva</w:t>
      </w:r>
      <w:proofErr w:type="spellEnd"/>
      <w:r>
        <w:rPr>
          <w:lang w:val="en-US"/>
        </w:rPr>
        <w:t xml:space="preserve">, D., 2023. </w:t>
      </w:r>
      <w:r>
        <w:rPr>
          <w:i/>
          <w:iCs/>
          <w:lang w:val="en-US"/>
        </w:rPr>
        <w:t>Tesla's financial performa</w:t>
      </w:r>
      <w:r>
        <w:rPr>
          <w:i/>
          <w:iCs/>
          <w:lang w:val="en-US"/>
        </w:rPr>
        <w:t>nce and stock price success in 2020</w:t>
      </w:r>
      <w:r>
        <w:rPr>
          <w:lang w:val="en-US"/>
        </w:rPr>
        <w:t xml:space="preserve"> (Doctoral dissertation, International School of Economics KAZGUU).</w:t>
      </w:r>
      <w:hyperlink r:id="rId33">
        <w:r w:rsidR="008B7556">
          <w:rPr>
            <w:lang w:val="en-US"/>
          </w:rPr>
          <w:t xml:space="preserve"> </w:t>
        </w:r>
      </w:hyperlink>
      <w:hyperlink r:id="rId34">
        <w:r w:rsidR="008B7556">
          <w:rPr>
            <w:color w:val="1155CC"/>
            <w:u w:val="single"/>
            <w:lang w:val="en-US"/>
          </w:rPr>
          <w:t>http://repository.kazguu.kz/handle/123456789/1676</w:t>
        </w:r>
      </w:hyperlink>
    </w:p>
    <w:p w:rsidR="008B7556" w:rsidRDefault="00B74D9B">
      <w:pPr>
        <w:spacing w:before="0" w:after="0" w:line="276" w:lineRule="auto"/>
        <w:rPr>
          <w:color w:val="1155CC"/>
          <w:u w:val="single"/>
          <w:lang w:val="en-US"/>
        </w:rPr>
      </w:pPr>
      <w:r>
        <w:rPr>
          <w:lang w:val="en-US"/>
        </w:rPr>
        <w:t xml:space="preserve">Blessing, H. and </w:t>
      </w:r>
      <w:proofErr w:type="spellStart"/>
      <w:r>
        <w:rPr>
          <w:lang w:val="en-US"/>
        </w:rPr>
        <w:t>Sakouvogui</w:t>
      </w:r>
      <w:proofErr w:type="spellEnd"/>
      <w:r>
        <w:rPr>
          <w:lang w:val="en-US"/>
        </w:rPr>
        <w:t xml:space="preserve">, G., 2023. Impact of liquidity and solvency ratios on financial performance: a comprehensive analysis. </w:t>
      </w:r>
      <w:r>
        <w:rPr>
          <w:i/>
          <w:iCs/>
          <w:lang w:val="en-US"/>
        </w:rPr>
        <w:t>Indonesia Auditing Research Journal</w:t>
      </w:r>
      <w:r>
        <w:rPr>
          <w:lang w:val="en-US"/>
        </w:rPr>
        <w:t xml:space="preserve">, </w:t>
      </w:r>
      <w:r>
        <w:rPr>
          <w:i/>
          <w:iCs/>
          <w:lang w:val="en-US"/>
        </w:rPr>
        <w:t>12</w:t>
      </w:r>
      <w:r>
        <w:rPr>
          <w:lang w:val="en-US"/>
        </w:rPr>
        <w:t>(3), pp.102-115.</w:t>
      </w:r>
      <w:hyperlink r:id="rId35">
        <w:r w:rsidR="008B7556">
          <w:rPr>
            <w:lang w:val="en-US"/>
          </w:rPr>
          <w:t xml:space="preserve"> </w:t>
        </w:r>
      </w:hyperlink>
      <w:hyperlink r:id="rId36">
        <w:r w:rsidR="008B7556">
          <w:rPr>
            <w:color w:val="1155CC"/>
            <w:u w:val="single"/>
            <w:lang w:val="en-US"/>
          </w:rPr>
          <w:t>http://journals.iarn.or.id/index.php/ARJ/article/view/208</w:t>
        </w:r>
      </w:hyperlink>
    </w:p>
    <w:p w:rsidR="008B7556" w:rsidRDefault="00B74D9B">
      <w:pPr>
        <w:spacing w:before="0" w:after="0" w:line="276" w:lineRule="auto"/>
        <w:rPr>
          <w:color w:val="1155CC"/>
          <w:u w:val="single"/>
          <w:lang w:val="en-US"/>
        </w:rPr>
      </w:pPr>
      <w:r>
        <w:rPr>
          <w:lang w:val="en-US"/>
        </w:rPr>
        <w:t xml:space="preserve">Cui, S. and Zhao, N., 2024. </w:t>
      </w:r>
      <w:proofErr w:type="gramStart"/>
      <w:r>
        <w:rPr>
          <w:lang w:val="en-US"/>
        </w:rPr>
        <w:t>A study on the current status and future prospects of EV a</w:t>
      </w:r>
      <w:r>
        <w:rPr>
          <w:lang w:val="en-US"/>
        </w:rPr>
        <w:t>utomotive market.</w:t>
      </w:r>
      <w:proofErr w:type="gramEnd"/>
      <w:r>
        <w:rPr>
          <w:lang w:val="en-US"/>
        </w:rPr>
        <w:t xml:space="preserve"> </w:t>
      </w:r>
      <w:r>
        <w:rPr>
          <w:i/>
          <w:iCs/>
          <w:lang w:val="en-US"/>
        </w:rPr>
        <w:t>Journal of Social Science and Cultural Development</w:t>
      </w:r>
      <w:r>
        <w:rPr>
          <w:lang w:val="en-US"/>
        </w:rPr>
        <w:t xml:space="preserve">, </w:t>
      </w:r>
      <w:r>
        <w:rPr>
          <w:i/>
          <w:iCs/>
          <w:lang w:val="en-US"/>
        </w:rPr>
        <w:t>1</w:t>
      </w:r>
      <w:r>
        <w:rPr>
          <w:lang w:val="en-US"/>
        </w:rPr>
        <w:t>(2).</w:t>
      </w:r>
      <w:hyperlink r:id="rId37">
        <w:r w:rsidR="008B7556">
          <w:rPr>
            <w:lang w:val="en-US"/>
          </w:rPr>
          <w:t xml:space="preserve"> </w:t>
        </w:r>
      </w:hyperlink>
      <w:hyperlink r:id="rId38">
        <w:r w:rsidR="008B7556">
          <w:rPr>
            <w:color w:val="1155CC"/>
            <w:u w:val="single"/>
            <w:lang w:val="en-US"/>
          </w:rPr>
          <w:t>https://atlantic-press-journals.com/index.php/JSSCD/article/view/296</w:t>
        </w:r>
      </w:hyperlink>
    </w:p>
    <w:p w:rsidR="008B7556" w:rsidRDefault="00B74D9B">
      <w:pPr>
        <w:spacing w:before="0" w:after="0" w:line="276" w:lineRule="auto"/>
        <w:rPr>
          <w:color w:val="1155CC"/>
          <w:u w:val="single"/>
          <w:lang w:val="en-US"/>
        </w:rPr>
      </w:pPr>
      <w:r>
        <w:rPr>
          <w:lang w:val="en-US"/>
        </w:rPr>
        <w:t xml:space="preserve">David, K., </w:t>
      </w:r>
      <w:proofErr w:type="spellStart"/>
      <w:r>
        <w:rPr>
          <w:lang w:val="en-US"/>
        </w:rPr>
        <w:t>Vigonte</w:t>
      </w:r>
      <w:proofErr w:type="spellEnd"/>
      <w:r>
        <w:rPr>
          <w:lang w:val="en-US"/>
        </w:rPr>
        <w:t xml:space="preserve">, F.G. and </w:t>
      </w:r>
      <w:proofErr w:type="spellStart"/>
      <w:r>
        <w:rPr>
          <w:lang w:val="en-US"/>
        </w:rPr>
        <w:t>Abante</w:t>
      </w:r>
      <w:proofErr w:type="spellEnd"/>
      <w:r>
        <w:rPr>
          <w:lang w:val="en-US"/>
        </w:rPr>
        <w:t xml:space="preserve">, M.V., 2024. Inflation and exchange rate policy: Implications for monetary policy decision-making. </w:t>
      </w:r>
      <w:r>
        <w:rPr>
          <w:i/>
          <w:iCs/>
          <w:lang w:val="en-US"/>
        </w:rPr>
        <w:t>Available at SSRN 4731410</w:t>
      </w:r>
      <w:r>
        <w:rPr>
          <w:lang w:val="en-US"/>
        </w:rPr>
        <w:t>.</w:t>
      </w:r>
      <w:hyperlink r:id="rId39">
        <w:r w:rsidR="008B7556">
          <w:rPr>
            <w:lang w:val="en-US"/>
          </w:rPr>
          <w:t xml:space="preserve"> </w:t>
        </w:r>
      </w:hyperlink>
      <w:hyperlink r:id="rId40">
        <w:r w:rsidR="008B7556">
          <w:rPr>
            <w:color w:val="1155CC"/>
            <w:u w:val="single"/>
            <w:lang w:val="en-US"/>
          </w:rPr>
          <w:t>https://papers.ssrn.com/sol3/papers.cfm?abstract_id=4731410</w:t>
        </w:r>
      </w:hyperlink>
    </w:p>
    <w:p w:rsidR="008B7556" w:rsidRDefault="00B74D9B">
      <w:pPr>
        <w:spacing w:before="0" w:after="0" w:line="276" w:lineRule="auto"/>
        <w:rPr>
          <w:color w:val="1155CC"/>
          <w:u w:val="single"/>
        </w:rPr>
      </w:pPr>
      <w:r>
        <w:t>Diaz, E. and Xavi, A., 2023. Working capital management: Sector pol</w:t>
      </w:r>
      <w:r>
        <w:t>icies and profitability.</w:t>
      </w:r>
      <w:hyperlink r:id="rId41">
        <w:r w:rsidR="008B7556">
          <w:t xml:space="preserve"> </w:t>
        </w:r>
      </w:hyperlink>
      <w:hyperlink r:id="rId42">
        <w:r w:rsidR="008B7556">
          <w:rPr>
            <w:color w:val="1155CC"/>
            <w:u w:val="single"/>
          </w:rPr>
          <w:t>https://www.researchgate.net/profile/Enrique-Diaz-13/publication/369901628_Working_capital_management_Sector_policies_and_Profitability/links/643278b6ad9b6d17dc45b1bc/Working-capital-management-Sector-policies-and-Profitability.pdf</w:t>
        </w:r>
      </w:hyperlink>
    </w:p>
    <w:p w:rsidR="008B7556" w:rsidRDefault="00B74D9B">
      <w:pPr>
        <w:spacing w:before="0" w:after="0" w:line="276" w:lineRule="auto"/>
        <w:rPr>
          <w:color w:val="1155CC"/>
          <w:u w:val="single"/>
          <w:lang w:val="en-US"/>
        </w:rPr>
      </w:pPr>
      <w:r>
        <w:rPr>
          <w:lang w:val="en-US"/>
        </w:rPr>
        <w:t>Fallah Shayan</w:t>
      </w:r>
      <w:r>
        <w:rPr>
          <w:lang w:val="en-US"/>
        </w:rPr>
        <w:t xml:space="preserve">, N., </w:t>
      </w:r>
      <w:proofErr w:type="spellStart"/>
      <w:r>
        <w:rPr>
          <w:lang w:val="en-US"/>
        </w:rPr>
        <w:t>Mohabbati-Kalejahi</w:t>
      </w:r>
      <w:proofErr w:type="spellEnd"/>
      <w:r>
        <w:rPr>
          <w:lang w:val="en-US"/>
        </w:rPr>
        <w:t xml:space="preserve">, N., Alavi, S. and Zahed, M.A., 2022. Sustainable development goals (SDGs) as a framework for corporate social responsibility (CSR). </w:t>
      </w:r>
      <w:r>
        <w:rPr>
          <w:i/>
          <w:iCs/>
          <w:lang w:val="en-US"/>
        </w:rPr>
        <w:t>Sustainability</w:t>
      </w:r>
      <w:r>
        <w:rPr>
          <w:lang w:val="en-US"/>
        </w:rPr>
        <w:t xml:space="preserve">, </w:t>
      </w:r>
      <w:r>
        <w:rPr>
          <w:i/>
          <w:iCs/>
          <w:lang w:val="en-US"/>
        </w:rPr>
        <w:t>14</w:t>
      </w:r>
      <w:r>
        <w:rPr>
          <w:lang w:val="en-US"/>
        </w:rPr>
        <w:t>(3), p.1222.</w:t>
      </w:r>
      <w:hyperlink r:id="rId43">
        <w:r w:rsidR="008B7556">
          <w:rPr>
            <w:lang w:val="en-US"/>
          </w:rPr>
          <w:t xml:space="preserve"> </w:t>
        </w:r>
      </w:hyperlink>
      <w:hyperlink r:id="rId44">
        <w:r w:rsidR="008B7556">
          <w:rPr>
            <w:color w:val="1155CC"/>
            <w:u w:val="single"/>
            <w:lang w:val="en-US"/>
          </w:rPr>
          <w:t>https://www.mdpi.com/2071-1050/14/3/1222</w:t>
        </w:r>
      </w:hyperlink>
    </w:p>
    <w:p w:rsidR="008B7556" w:rsidRDefault="00B74D9B">
      <w:pPr>
        <w:spacing w:before="0" w:after="0" w:line="276" w:lineRule="auto"/>
        <w:rPr>
          <w:color w:val="1155CC"/>
          <w:u w:val="single"/>
          <w:lang w:val="en-US"/>
        </w:rPr>
      </w:pPr>
      <w:r>
        <w:rPr>
          <w:lang w:val="en-US"/>
        </w:rPr>
        <w:t xml:space="preserve">Fang, C., 2024. Tesla’s revenue forecast base on business model and financial statement analysis. In </w:t>
      </w:r>
      <w:r>
        <w:rPr>
          <w:i/>
          <w:iCs/>
          <w:lang w:val="en-US"/>
        </w:rPr>
        <w:t>SHS Web of Conferences</w:t>
      </w:r>
      <w:r>
        <w:rPr>
          <w:lang w:val="en-US"/>
        </w:rPr>
        <w:t xml:space="preserve"> (Vol. 181, p. 02022). EDP Sciences.</w:t>
      </w:r>
      <w:hyperlink r:id="rId45">
        <w:r w:rsidR="008B7556">
          <w:rPr>
            <w:lang w:val="en-US"/>
          </w:rPr>
          <w:t xml:space="preserve"> </w:t>
        </w:r>
      </w:hyperlink>
      <w:hyperlink r:id="rId46">
        <w:r w:rsidR="008B7556">
          <w:rPr>
            <w:color w:val="1155CC"/>
            <w:u w:val="single"/>
            <w:lang w:val="en-US"/>
          </w:rPr>
          <w:t>https://www.shs-</w:t>
        </w:r>
        <w:r w:rsidR="008B7556">
          <w:rPr>
            <w:color w:val="1155CC"/>
            <w:u w:val="single"/>
            <w:lang w:val="en-US"/>
          </w:rPr>
          <w:lastRenderedPageBreak/>
          <w:t>conferences.org/articles/shsconf/abs/2024/01/shsconf_icdeba2023_02022/shsconf_icdeba2023_02022.html</w:t>
        </w:r>
      </w:hyperlink>
    </w:p>
    <w:p w:rsidR="008B7556" w:rsidRDefault="00B74D9B">
      <w:pPr>
        <w:spacing w:before="0" w:after="0" w:line="276" w:lineRule="auto"/>
        <w:rPr>
          <w:color w:val="1155CC"/>
          <w:u w:val="single"/>
        </w:rPr>
      </w:pPr>
      <w:r>
        <w:t xml:space="preserve">Fang, J., 2022, July. An Overall Financial Analysis of Tesla. In </w:t>
      </w:r>
      <w:r>
        <w:rPr>
          <w:i/>
          <w:iCs/>
        </w:rPr>
        <w:t>2022 2nd International Conference on Enterprise Management and Economic</w:t>
      </w:r>
      <w:r>
        <w:rPr>
          <w:i/>
          <w:iCs/>
        </w:rPr>
        <w:t xml:space="preserve"> Development (ICEMED 2022)</w:t>
      </w:r>
      <w:r>
        <w:t xml:space="preserve"> (pp. 1233-1238). Atlantis Press.</w:t>
      </w:r>
      <w:hyperlink r:id="rId47">
        <w:r w:rsidR="008B7556">
          <w:t xml:space="preserve"> </w:t>
        </w:r>
      </w:hyperlink>
      <w:hyperlink r:id="rId48">
        <w:r w:rsidR="008B7556">
          <w:rPr>
            <w:color w:val="1155CC"/>
            <w:u w:val="single"/>
          </w:rPr>
          <w:t>https://www.atlantis-press.com/proceedings/icemed-22/125975330</w:t>
        </w:r>
      </w:hyperlink>
    </w:p>
    <w:p w:rsidR="008B7556" w:rsidRDefault="00B74D9B">
      <w:pPr>
        <w:spacing w:before="0" w:after="0" w:line="276" w:lineRule="auto"/>
        <w:rPr>
          <w:color w:val="1155CC"/>
          <w:u w:val="single"/>
          <w:lang w:val="en-US"/>
        </w:rPr>
      </w:pPr>
      <w:r>
        <w:rPr>
          <w:lang w:val="en-US"/>
        </w:rPr>
        <w:t xml:space="preserve">Fatima, T. and Elbanna, S., 2023. Corporate social responsibility (CSR) implementation: A review and a research agenda towards an integrative framework. </w:t>
      </w:r>
      <w:r>
        <w:rPr>
          <w:i/>
          <w:iCs/>
          <w:lang w:val="en-US"/>
        </w:rPr>
        <w:t>Journal of business ethics</w:t>
      </w:r>
      <w:r>
        <w:rPr>
          <w:lang w:val="en-US"/>
        </w:rPr>
        <w:t xml:space="preserve">, </w:t>
      </w:r>
      <w:r>
        <w:rPr>
          <w:i/>
          <w:iCs/>
          <w:lang w:val="en-US"/>
        </w:rPr>
        <w:t>183</w:t>
      </w:r>
      <w:r>
        <w:rPr>
          <w:lang w:val="en-US"/>
        </w:rPr>
        <w:t>(1), pp.105-121.</w:t>
      </w:r>
      <w:hyperlink r:id="rId49">
        <w:r w:rsidR="008B7556">
          <w:rPr>
            <w:lang w:val="en-US"/>
          </w:rPr>
          <w:t xml:space="preserve"> </w:t>
        </w:r>
      </w:hyperlink>
      <w:hyperlink r:id="rId50">
        <w:r w:rsidR="008B7556">
          <w:rPr>
            <w:color w:val="1155CC"/>
            <w:u w:val="single"/>
            <w:lang w:val="en-US"/>
          </w:rPr>
          <w:t>https://link.springer.com/article/10.1007/s10551-022-05047-8</w:t>
        </w:r>
      </w:hyperlink>
    </w:p>
    <w:p w:rsidR="008B7556" w:rsidRDefault="00B74D9B">
      <w:pPr>
        <w:spacing w:before="0" w:after="0" w:line="276" w:lineRule="auto"/>
        <w:rPr>
          <w:color w:val="1155CC"/>
          <w:u w:val="single"/>
          <w:lang w:val="en-US"/>
        </w:rPr>
      </w:pPr>
      <w:proofErr w:type="spellStart"/>
      <w:r>
        <w:rPr>
          <w:lang w:val="en-US"/>
        </w:rPr>
        <w:t>Garrón</w:t>
      </w:r>
      <w:proofErr w:type="spellEnd"/>
      <w:r>
        <w:rPr>
          <w:lang w:val="en-US"/>
        </w:rPr>
        <w:t xml:space="preserve">, I., Rodríguez-Caballero, C.V. and Ruiz, E., 2024. International vulnerability of inflation. </w:t>
      </w:r>
      <w:proofErr w:type="spellStart"/>
      <w:r>
        <w:rPr>
          <w:i/>
          <w:iCs/>
          <w:lang w:val="en-US"/>
        </w:rPr>
        <w:t>arXiv</w:t>
      </w:r>
      <w:proofErr w:type="spellEnd"/>
      <w:r>
        <w:rPr>
          <w:i/>
          <w:iCs/>
          <w:lang w:val="en-US"/>
        </w:rPr>
        <w:t xml:space="preserve"> preprint arXiv:2410.20628</w:t>
      </w:r>
      <w:r>
        <w:rPr>
          <w:lang w:val="en-US"/>
        </w:rPr>
        <w:t>.</w:t>
      </w:r>
      <w:hyperlink r:id="rId51">
        <w:r w:rsidR="008B7556">
          <w:rPr>
            <w:lang w:val="en-US"/>
          </w:rPr>
          <w:t xml:space="preserve"> </w:t>
        </w:r>
      </w:hyperlink>
      <w:hyperlink r:id="rId52">
        <w:r w:rsidR="008B7556">
          <w:rPr>
            <w:color w:val="1155CC"/>
            <w:u w:val="single"/>
            <w:lang w:val="en-US"/>
          </w:rPr>
          <w:t>https://arxiv.org/abs/2410.20628</w:t>
        </w:r>
      </w:hyperlink>
    </w:p>
    <w:p w:rsidR="008B7556" w:rsidRDefault="00B74D9B">
      <w:pPr>
        <w:spacing w:before="0" w:after="0" w:line="276" w:lineRule="auto"/>
        <w:rPr>
          <w:color w:val="1155CC"/>
          <w:u w:val="single"/>
          <w:lang w:val="en-US"/>
        </w:rPr>
      </w:pPr>
      <w:r>
        <w:rPr>
          <w:lang w:val="en-US"/>
        </w:rPr>
        <w:t xml:space="preserve">Gerus, S., Jones, G.A., Parish, E., Phillips, P. and Williams, M.F., 2022. Tesla, Inc. </w:t>
      </w:r>
      <w:r>
        <w:rPr>
          <w:i/>
          <w:iCs/>
          <w:lang w:val="en-US"/>
        </w:rPr>
        <w:t>A Study of Public Accounting and Related Economic Concepts</w:t>
      </w:r>
      <w:r>
        <w:rPr>
          <w:lang w:val="en-US"/>
        </w:rPr>
        <w:t xml:space="preserve">, </w:t>
      </w:r>
      <w:r>
        <w:rPr>
          <w:i/>
          <w:iCs/>
          <w:lang w:val="en-US"/>
        </w:rPr>
        <w:t>72</w:t>
      </w:r>
      <w:r>
        <w:rPr>
          <w:lang w:val="en-US"/>
        </w:rPr>
        <w:t>.</w:t>
      </w:r>
      <w:hyperlink r:id="rId53" w:anchor="page=98">
        <w:r w:rsidR="008B7556">
          <w:rPr>
            <w:lang w:val="en-US"/>
          </w:rPr>
          <w:t xml:space="preserve"> </w:t>
        </w:r>
      </w:hyperlink>
      <w:hyperlink r:id="rId54" w:anchor="page=98">
        <w:r w:rsidR="008B7556">
          <w:rPr>
            <w:color w:val="1155CC"/>
            <w:u w:val="single"/>
            <w:lang w:val="en-US"/>
          </w:rPr>
          <w:t>https://egrove.olemiss.edu/cgi/viewcontent.cgi?article=3517&amp;context=hon_thesis#page=98</w:t>
        </w:r>
      </w:hyperlink>
    </w:p>
    <w:p w:rsidR="008B7556" w:rsidRDefault="00B74D9B">
      <w:pPr>
        <w:spacing w:before="0" w:after="0" w:line="276" w:lineRule="auto"/>
        <w:rPr>
          <w:color w:val="1155CC"/>
          <w:u w:val="single"/>
          <w:lang w:val="en-US"/>
        </w:rPr>
      </w:pPr>
      <w:r>
        <w:rPr>
          <w:lang w:val="en-US"/>
        </w:rPr>
        <w:t>Hong, J., 2024. Competitive Strategies and Market Po</w:t>
      </w:r>
      <w:r>
        <w:rPr>
          <w:lang w:val="en-US"/>
        </w:rPr>
        <w:t xml:space="preserve">sitions of Global Automotive Giants: Toyota, Tesla, and BMW. In </w:t>
      </w:r>
      <w:r>
        <w:rPr>
          <w:i/>
          <w:iCs/>
          <w:lang w:val="en-US"/>
        </w:rPr>
        <w:t>International Conference on Educational Information Technology</w:t>
      </w:r>
      <w:r>
        <w:rPr>
          <w:lang w:val="en-US"/>
        </w:rPr>
        <w:t xml:space="preserve"> (Vol. 6, No. 2).</w:t>
      </w:r>
      <w:hyperlink r:id="rId55">
        <w:r w:rsidR="008B7556">
          <w:rPr>
            <w:lang w:val="en-US"/>
          </w:rPr>
          <w:t xml:space="preserve"> </w:t>
        </w:r>
      </w:hyperlink>
      <w:hyperlink r:id="rId56">
        <w:r w:rsidR="008B7556">
          <w:rPr>
            <w:color w:val="1155CC"/>
            <w:u w:val="single"/>
            <w:lang w:val="en-US"/>
          </w:rPr>
          <w:t>https://www.cpcig-colepuli.com/uploads/soft/20240815/1-240Q516162U10.pdf</w:t>
        </w:r>
      </w:hyperlink>
    </w:p>
    <w:p w:rsidR="008B7556" w:rsidRDefault="00B74D9B">
      <w:pPr>
        <w:spacing w:before="0" w:after="0" w:line="276" w:lineRule="auto"/>
        <w:rPr>
          <w:color w:val="1155CC"/>
          <w:u w:val="single"/>
          <w:lang w:val="en-US"/>
        </w:rPr>
      </w:pPr>
      <w:r>
        <w:rPr>
          <w:lang w:val="en-US"/>
        </w:rPr>
        <w:t xml:space="preserve">Hopkins, M. and </w:t>
      </w:r>
      <w:proofErr w:type="spellStart"/>
      <w:r>
        <w:rPr>
          <w:lang w:val="en-US"/>
        </w:rPr>
        <w:t>Lazonick</w:t>
      </w:r>
      <w:proofErr w:type="spellEnd"/>
      <w:r>
        <w:rPr>
          <w:lang w:val="en-US"/>
        </w:rPr>
        <w:t xml:space="preserve">, W., 2024. Tesla as a Global Competitor: Strategic Control in the EV Transition. </w:t>
      </w:r>
      <w:r>
        <w:rPr>
          <w:i/>
          <w:iCs/>
          <w:lang w:val="en-US"/>
        </w:rPr>
        <w:t>Institute</w:t>
      </w:r>
      <w:r>
        <w:rPr>
          <w:i/>
          <w:iCs/>
          <w:lang w:val="en-US"/>
        </w:rPr>
        <w:t xml:space="preserve"> for New Economic Thinking Working Paper Series</w:t>
      </w:r>
      <w:r>
        <w:rPr>
          <w:lang w:val="en-US"/>
        </w:rPr>
        <w:t>, (225).</w:t>
      </w:r>
      <w:hyperlink r:id="rId57">
        <w:r w:rsidR="008B7556">
          <w:rPr>
            <w:lang w:val="en-US"/>
          </w:rPr>
          <w:t xml:space="preserve"> </w:t>
        </w:r>
      </w:hyperlink>
      <w:hyperlink r:id="rId58">
        <w:r w:rsidR="008B7556">
          <w:rPr>
            <w:color w:val="1155CC"/>
            <w:u w:val="single"/>
            <w:lang w:val="en-US"/>
          </w:rPr>
          <w:t>https://papers.ssrn.com/sol3/papers.cfm?abstract_id=4973602</w:t>
        </w:r>
      </w:hyperlink>
    </w:p>
    <w:p w:rsidR="008B7556" w:rsidRDefault="00B74D9B">
      <w:pPr>
        <w:spacing w:before="0" w:after="0" w:line="276" w:lineRule="auto"/>
        <w:rPr>
          <w:color w:val="1155CC"/>
          <w:u w:val="single"/>
          <w:lang w:val="en-US"/>
        </w:rPr>
      </w:pPr>
      <w:r>
        <w:rPr>
          <w:lang w:val="en-US"/>
        </w:rPr>
        <w:t xml:space="preserve">Huang, W., 2023. Understanding Tesla’s Financial Strength: Analysis of Financial Reports and DuPont Analysis. </w:t>
      </w:r>
      <w:r>
        <w:rPr>
          <w:i/>
          <w:iCs/>
          <w:lang w:val="en-US"/>
        </w:rPr>
        <w:t>Highlights in Business, Economics and Management</w:t>
      </w:r>
      <w:r>
        <w:rPr>
          <w:lang w:val="en-US"/>
        </w:rPr>
        <w:t xml:space="preserve">, </w:t>
      </w:r>
      <w:r>
        <w:rPr>
          <w:i/>
          <w:iCs/>
          <w:lang w:val="en-US"/>
        </w:rPr>
        <w:t>6</w:t>
      </w:r>
      <w:r>
        <w:rPr>
          <w:lang w:val="en-US"/>
        </w:rPr>
        <w:t>, pp.250-261.</w:t>
      </w:r>
      <w:hyperlink r:id="rId59">
        <w:r w:rsidR="008B7556">
          <w:rPr>
            <w:lang w:val="en-US"/>
          </w:rPr>
          <w:t xml:space="preserve"> </w:t>
        </w:r>
      </w:hyperlink>
      <w:hyperlink r:id="rId60">
        <w:r w:rsidR="008B7556">
          <w:rPr>
            <w:color w:val="1155CC"/>
            <w:u w:val="single"/>
            <w:lang w:val="en-US"/>
          </w:rPr>
          <w:t>https://pdfs.semanticscholar.org/13d2/10f4a9e7d5c3806b1f364c066b5617a3823c.pdf</w:t>
        </w:r>
      </w:hyperlink>
    </w:p>
    <w:p w:rsidR="008B7556" w:rsidRDefault="00B74D9B">
      <w:pPr>
        <w:spacing w:before="0" w:after="0" w:line="276" w:lineRule="auto"/>
        <w:rPr>
          <w:color w:val="1155CC"/>
          <w:u w:val="single"/>
          <w:lang w:val="en-US"/>
        </w:rPr>
      </w:pPr>
      <w:proofErr w:type="spellStart"/>
      <w:r>
        <w:rPr>
          <w:lang w:val="en-US"/>
        </w:rPr>
        <w:t>Kalbuana</w:t>
      </w:r>
      <w:proofErr w:type="spellEnd"/>
      <w:r>
        <w:rPr>
          <w:lang w:val="en-US"/>
        </w:rPr>
        <w:t xml:space="preserve">, N., </w:t>
      </w:r>
      <w:proofErr w:type="spellStart"/>
      <w:r>
        <w:rPr>
          <w:lang w:val="en-US"/>
        </w:rPr>
        <w:t>Kusiyah</w:t>
      </w:r>
      <w:proofErr w:type="spellEnd"/>
      <w:r>
        <w:rPr>
          <w:lang w:val="en-US"/>
        </w:rPr>
        <w:t xml:space="preserve">, K., </w:t>
      </w:r>
      <w:proofErr w:type="spellStart"/>
      <w:r>
        <w:rPr>
          <w:lang w:val="en-US"/>
        </w:rPr>
        <w:t>Supriatiningsih</w:t>
      </w:r>
      <w:proofErr w:type="spellEnd"/>
      <w:r>
        <w:rPr>
          <w:lang w:val="en-US"/>
        </w:rPr>
        <w:t xml:space="preserve">, S., </w:t>
      </w:r>
      <w:proofErr w:type="spellStart"/>
      <w:r>
        <w:rPr>
          <w:lang w:val="en-US"/>
        </w:rPr>
        <w:t>Budi</w:t>
      </w:r>
      <w:r>
        <w:rPr>
          <w:lang w:val="en-US"/>
        </w:rPr>
        <w:t>harjo</w:t>
      </w:r>
      <w:proofErr w:type="spellEnd"/>
      <w:r>
        <w:rPr>
          <w:lang w:val="en-US"/>
        </w:rPr>
        <w:t xml:space="preserve">, R., </w:t>
      </w:r>
      <w:proofErr w:type="spellStart"/>
      <w:r>
        <w:rPr>
          <w:lang w:val="en-US"/>
        </w:rPr>
        <w:t>Budyastuti</w:t>
      </w:r>
      <w:proofErr w:type="spellEnd"/>
      <w:r>
        <w:rPr>
          <w:lang w:val="en-US"/>
        </w:rPr>
        <w:t xml:space="preserve">, T. and </w:t>
      </w:r>
      <w:proofErr w:type="spellStart"/>
      <w:r>
        <w:rPr>
          <w:lang w:val="en-US"/>
        </w:rPr>
        <w:t>Rusdiyanto</w:t>
      </w:r>
      <w:proofErr w:type="spellEnd"/>
      <w:r>
        <w:rPr>
          <w:lang w:val="en-US"/>
        </w:rPr>
        <w:t xml:space="preserve">, R., 2022. Effect of profitability, audit committee, company size, activity, and board of directors on sustainability. </w:t>
      </w:r>
      <w:r>
        <w:rPr>
          <w:i/>
          <w:iCs/>
          <w:lang w:val="en-US"/>
        </w:rPr>
        <w:t>Cogent Business &amp; Management</w:t>
      </w:r>
      <w:r>
        <w:rPr>
          <w:lang w:val="en-US"/>
        </w:rPr>
        <w:t xml:space="preserve">, </w:t>
      </w:r>
      <w:r>
        <w:rPr>
          <w:i/>
          <w:iCs/>
          <w:lang w:val="en-US"/>
        </w:rPr>
        <w:t>9</w:t>
      </w:r>
      <w:r>
        <w:rPr>
          <w:lang w:val="en-US"/>
        </w:rPr>
        <w:t>(1), p.2129354.</w:t>
      </w:r>
      <w:hyperlink r:id="rId61">
        <w:r w:rsidR="008B7556">
          <w:rPr>
            <w:lang w:val="en-US"/>
          </w:rPr>
          <w:t xml:space="preserve"> </w:t>
        </w:r>
      </w:hyperlink>
      <w:hyperlink r:id="rId62">
        <w:r w:rsidR="008B7556">
          <w:rPr>
            <w:color w:val="1155CC"/>
            <w:u w:val="single"/>
            <w:lang w:val="en-US"/>
          </w:rPr>
          <w:t>https://www.tandfonline.com/doi/abs/10.1080/23311975.2022.2129354</w:t>
        </w:r>
      </w:hyperlink>
    </w:p>
    <w:p w:rsidR="008B7556" w:rsidRDefault="00B74D9B">
      <w:pPr>
        <w:spacing w:before="0" w:after="0" w:line="276" w:lineRule="auto"/>
        <w:rPr>
          <w:color w:val="1155CC"/>
          <w:u w:val="single"/>
          <w:lang w:val="en-US"/>
        </w:rPr>
      </w:pPr>
      <w:r>
        <w:rPr>
          <w:lang w:val="en-US"/>
        </w:rPr>
        <w:t xml:space="preserve">Li, Y., 2025, November. Analysis of Company’s Financial Situation: Taking Tesla Company as an Example. In </w:t>
      </w:r>
      <w:r>
        <w:rPr>
          <w:i/>
          <w:iCs/>
          <w:lang w:val="en-US"/>
        </w:rPr>
        <w:t>2025 International Conference on Financial Innovation and Marketing Management (FIMM 2025)</w:t>
      </w:r>
      <w:r>
        <w:rPr>
          <w:lang w:val="en-US"/>
        </w:rPr>
        <w:t xml:space="preserve"> (pp. 845-852). Atlantis Press.</w:t>
      </w:r>
      <w:hyperlink r:id="rId63">
        <w:r w:rsidR="008B7556">
          <w:rPr>
            <w:lang w:val="en-US"/>
          </w:rPr>
          <w:t xml:space="preserve"> </w:t>
        </w:r>
      </w:hyperlink>
      <w:hyperlink r:id="rId64">
        <w:r w:rsidR="008B7556">
          <w:rPr>
            <w:color w:val="1155CC"/>
            <w:u w:val="single"/>
            <w:lang w:val="en-US"/>
          </w:rPr>
          <w:t>https://www.atlantis-press.com/proceedings/fimm-25/126017147</w:t>
        </w:r>
      </w:hyperlink>
    </w:p>
    <w:p w:rsidR="008B7556" w:rsidRDefault="00B74D9B">
      <w:pPr>
        <w:spacing w:before="0" w:after="0" w:line="276" w:lineRule="auto"/>
        <w:rPr>
          <w:color w:val="1155CC"/>
          <w:u w:val="single"/>
          <w:lang w:val="en-US"/>
        </w:rPr>
      </w:pPr>
      <w:r>
        <w:rPr>
          <w:lang w:val="en-US"/>
        </w:rPr>
        <w:t xml:space="preserve">Li, Z., </w:t>
      </w:r>
      <w:proofErr w:type="spellStart"/>
      <w:r>
        <w:rPr>
          <w:lang w:val="en-US"/>
        </w:rPr>
        <w:t>Pryshchepa</w:t>
      </w:r>
      <w:proofErr w:type="spellEnd"/>
      <w:r>
        <w:rPr>
          <w:lang w:val="en-US"/>
        </w:rPr>
        <w:t>, O. and Wang, B., 2023. Financial experts on the</w:t>
      </w:r>
      <w:r>
        <w:rPr>
          <w:lang w:val="en-US"/>
        </w:rPr>
        <w:t xml:space="preserve"> top management team: Do they reduce investment inefficiency</w:t>
      </w:r>
      <w:proofErr w:type="gramStart"/>
      <w:r>
        <w:rPr>
          <w:lang w:val="en-US"/>
        </w:rPr>
        <w:t>?.</w:t>
      </w:r>
      <w:proofErr w:type="gramEnd"/>
      <w:r>
        <w:rPr>
          <w:lang w:val="en-US"/>
        </w:rPr>
        <w:t xml:space="preserve"> </w:t>
      </w:r>
      <w:r>
        <w:rPr>
          <w:i/>
          <w:iCs/>
          <w:lang w:val="en-US"/>
        </w:rPr>
        <w:t xml:space="preserve">Journal of Business Finance &amp; </w:t>
      </w:r>
      <w:r>
        <w:rPr>
          <w:i/>
          <w:iCs/>
          <w:lang w:val="en-US"/>
        </w:rPr>
        <w:lastRenderedPageBreak/>
        <w:t>Accounting</w:t>
      </w:r>
      <w:r>
        <w:rPr>
          <w:lang w:val="en-US"/>
        </w:rPr>
        <w:t xml:space="preserve">, </w:t>
      </w:r>
      <w:r>
        <w:rPr>
          <w:i/>
          <w:iCs/>
          <w:lang w:val="en-US"/>
        </w:rPr>
        <w:t>50</w:t>
      </w:r>
      <w:r>
        <w:rPr>
          <w:lang w:val="en-US"/>
        </w:rPr>
        <w:t>(1-2), pp.198-235.</w:t>
      </w:r>
      <w:hyperlink r:id="rId65">
        <w:r w:rsidR="008B7556">
          <w:rPr>
            <w:lang w:val="en-US"/>
          </w:rPr>
          <w:t xml:space="preserve"> </w:t>
        </w:r>
      </w:hyperlink>
      <w:hyperlink r:id="rId66">
        <w:r w:rsidR="008B7556">
          <w:rPr>
            <w:color w:val="1155CC"/>
            <w:u w:val="single"/>
            <w:lang w:val="en-US"/>
          </w:rPr>
          <w:t>https://onlinelibrary.wiley.com/doi/abs/10.1111/jbfa.12575</w:t>
        </w:r>
      </w:hyperlink>
    </w:p>
    <w:p w:rsidR="008B7556" w:rsidRDefault="00B74D9B">
      <w:pPr>
        <w:spacing w:before="0" w:after="0" w:line="276" w:lineRule="auto"/>
        <w:rPr>
          <w:color w:val="1155CC"/>
          <w:u w:val="single"/>
        </w:rPr>
      </w:pPr>
      <w:r>
        <w:t xml:space="preserve">Lin, P., Lu, Y. and Xu, Z., 2022, March. Tesla’s Dilemma and Future Development Trends. In </w:t>
      </w:r>
      <w:r>
        <w:rPr>
          <w:i/>
          <w:iCs/>
        </w:rPr>
        <w:t>2022 7th International Conference on Financial Innovation and Economic Development (</w:t>
      </w:r>
      <w:r>
        <w:rPr>
          <w:i/>
          <w:iCs/>
        </w:rPr>
        <w:t>ICFIED 2022)</w:t>
      </w:r>
      <w:r>
        <w:t xml:space="preserve"> (pp. 2174-2180). Atlantis Press.</w:t>
      </w:r>
      <w:hyperlink r:id="rId67">
        <w:r w:rsidR="008B7556">
          <w:t xml:space="preserve"> </w:t>
        </w:r>
      </w:hyperlink>
      <w:hyperlink r:id="rId68">
        <w:r w:rsidR="008B7556">
          <w:rPr>
            <w:color w:val="1155CC"/>
            <w:u w:val="single"/>
          </w:rPr>
          <w:t>https://www.atlantis-press.com/proceedings/icfied-22/125971651</w:t>
        </w:r>
      </w:hyperlink>
    </w:p>
    <w:p w:rsidR="008B7556" w:rsidRDefault="00B74D9B">
      <w:pPr>
        <w:spacing w:before="0" w:after="0" w:line="276" w:lineRule="auto"/>
        <w:rPr>
          <w:color w:val="1155CC"/>
          <w:u w:val="single"/>
        </w:rPr>
      </w:pPr>
      <w:r>
        <w:t xml:space="preserve">Liu, Y., Shen, Y., Zhang, L. and Zhang, Y., 2022, December. A comprehensive analysis of Tesla. In </w:t>
      </w:r>
      <w:r>
        <w:rPr>
          <w:i/>
          <w:iCs/>
        </w:rPr>
        <w:t>2022 2nd International Conference on Financial Management and Economic Transition (FMET 2022)</w:t>
      </w:r>
      <w:r>
        <w:t xml:space="preserve"> (pp. 344-356). Atlantis Press.</w:t>
      </w:r>
      <w:hyperlink r:id="rId69">
        <w:r w:rsidR="008B7556">
          <w:t xml:space="preserve"> </w:t>
        </w:r>
      </w:hyperlink>
      <w:hyperlink r:id="rId70">
        <w:r w:rsidR="008B7556">
          <w:rPr>
            <w:color w:val="1155CC"/>
            <w:u w:val="single"/>
          </w:rPr>
          <w:t>https://www.atlantis-press.com/proceedings/fmet-22/125978296</w:t>
        </w:r>
      </w:hyperlink>
    </w:p>
    <w:p w:rsidR="008B7556" w:rsidRDefault="00B74D9B">
      <w:pPr>
        <w:spacing w:before="0" w:after="0" w:line="276" w:lineRule="auto"/>
        <w:rPr>
          <w:color w:val="1155CC"/>
          <w:u w:val="single"/>
        </w:rPr>
      </w:pPr>
      <w:r>
        <w:t>Majka, M., 2024. Understanding Efficienc</w:t>
      </w:r>
      <w:r>
        <w:t>y Ratios.</w:t>
      </w:r>
      <w:hyperlink r:id="rId71">
        <w:r w:rsidR="008B7556">
          <w:t xml:space="preserve"> </w:t>
        </w:r>
      </w:hyperlink>
      <w:hyperlink r:id="rId72">
        <w:r w:rsidR="008B7556">
          <w:rPr>
            <w:color w:val="1155CC"/>
            <w:u w:val="single"/>
          </w:rPr>
          <w:t>https://www.researchgate.net/profile/Marcin-Majka-2/publication/381402363_Understanding_Efficiency_Ratios/links/666b64b9de777205a32c2aa5/Understanding-Efficiency-Ratios.pdf</w:t>
        </w:r>
      </w:hyperlink>
    </w:p>
    <w:p w:rsidR="008B7556" w:rsidRDefault="00B74D9B">
      <w:pPr>
        <w:spacing w:before="0" w:after="0" w:line="276" w:lineRule="auto"/>
        <w:rPr>
          <w:color w:val="1155CC"/>
          <w:u w:val="single"/>
          <w:lang w:val="en-US"/>
        </w:rPr>
      </w:pPr>
      <w:proofErr w:type="spellStart"/>
      <w:r>
        <w:rPr>
          <w:lang w:val="en-US"/>
        </w:rPr>
        <w:t>Nuridah</w:t>
      </w:r>
      <w:proofErr w:type="spellEnd"/>
      <w:r>
        <w:rPr>
          <w:lang w:val="en-US"/>
        </w:rPr>
        <w:t xml:space="preserve">, S., </w:t>
      </w:r>
      <w:proofErr w:type="spellStart"/>
      <w:r>
        <w:rPr>
          <w:lang w:val="en-US"/>
        </w:rPr>
        <w:t>Sitohang</w:t>
      </w:r>
      <w:proofErr w:type="spellEnd"/>
      <w:r>
        <w:rPr>
          <w:lang w:val="en-US"/>
        </w:rPr>
        <w:t xml:space="preserve">, R.M., </w:t>
      </w:r>
      <w:proofErr w:type="spellStart"/>
      <w:r>
        <w:rPr>
          <w:lang w:val="en-US"/>
        </w:rPr>
        <w:t>Sofura</w:t>
      </w:r>
      <w:proofErr w:type="spellEnd"/>
      <w:r>
        <w:rPr>
          <w:lang w:val="en-US"/>
        </w:rPr>
        <w:t xml:space="preserve">, A.S. and Sagitarius, E., 2022. Effect of Sales Profitability and Growth on Stock Price. </w:t>
      </w:r>
      <w:proofErr w:type="spellStart"/>
      <w:r>
        <w:rPr>
          <w:i/>
          <w:iCs/>
          <w:lang w:val="en-US"/>
        </w:rPr>
        <w:t>Jurnal</w:t>
      </w:r>
      <w:proofErr w:type="spellEnd"/>
      <w:r>
        <w:rPr>
          <w:i/>
          <w:iCs/>
          <w:lang w:val="en-US"/>
        </w:rPr>
        <w:t xml:space="preserve"> </w:t>
      </w:r>
      <w:proofErr w:type="spellStart"/>
      <w:r>
        <w:rPr>
          <w:i/>
          <w:iCs/>
          <w:lang w:val="en-US"/>
        </w:rPr>
        <w:t>Ekonomi</w:t>
      </w:r>
      <w:proofErr w:type="spellEnd"/>
      <w:r>
        <w:rPr>
          <w:lang w:val="en-US"/>
        </w:rPr>
        <w:t xml:space="preserve">, </w:t>
      </w:r>
      <w:r>
        <w:rPr>
          <w:i/>
          <w:iCs/>
          <w:lang w:val="en-US"/>
        </w:rPr>
        <w:t>11</w:t>
      </w:r>
      <w:r>
        <w:rPr>
          <w:lang w:val="en-US"/>
        </w:rPr>
        <w:t>(03), pp.1139-1146.</w:t>
      </w:r>
      <w:hyperlink r:id="rId73">
        <w:r w:rsidR="008B7556">
          <w:rPr>
            <w:lang w:val="en-US"/>
          </w:rPr>
          <w:t xml:space="preserve"> </w:t>
        </w:r>
      </w:hyperlink>
      <w:hyperlink r:id="rId74">
        <w:r w:rsidR="008B7556">
          <w:rPr>
            <w:color w:val="1155CC"/>
            <w:u w:val="single"/>
            <w:lang w:val="en-US"/>
          </w:rPr>
          <w:t>https://www.ejournal.seaninstitute.or.id/index.php/Ekonomi/article/view/863</w:t>
        </w:r>
      </w:hyperlink>
    </w:p>
    <w:p w:rsidR="008B7556" w:rsidRDefault="00B74D9B">
      <w:pPr>
        <w:spacing w:before="0" w:after="0" w:line="276" w:lineRule="auto"/>
        <w:rPr>
          <w:color w:val="1155CC"/>
          <w:u w:val="single"/>
          <w:lang w:val="en-US"/>
        </w:rPr>
      </w:pPr>
      <w:r>
        <w:rPr>
          <w:lang w:val="en-US"/>
        </w:rPr>
        <w:t xml:space="preserve"> </w:t>
      </w:r>
      <w:proofErr w:type="spellStart"/>
      <w:r>
        <w:rPr>
          <w:lang w:val="en-US"/>
        </w:rPr>
        <w:t>Oyeyipo</w:t>
      </w:r>
      <w:proofErr w:type="spellEnd"/>
      <w:r>
        <w:rPr>
          <w:lang w:val="en-US"/>
        </w:rPr>
        <w:t xml:space="preserve">, I., Attipoe, V., </w:t>
      </w:r>
      <w:proofErr w:type="spellStart"/>
      <w:r>
        <w:rPr>
          <w:lang w:val="en-US"/>
        </w:rPr>
        <w:t>Mayienga</w:t>
      </w:r>
      <w:proofErr w:type="spellEnd"/>
      <w:r>
        <w:rPr>
          <w:lang w:val="en-US"/>
        </w:rPr>
        <w:t xml:space="preserve">, B.A., </w:t>
      </w:r>
      <w:proofErr w:type="spellStart"/>
      <w:r>
        <w:rPr>
          <w:lang w:val="en-US"/>
        </w:rPr>
        <w:t>Onwuzulike</w:t>
      </w:r>
      <w:proofErr w:type="spellEnd"/>
      <w:r>
        <w:rPr>
          <w:lang w:val="en-US"/>
        </w:rPr>
        <w:t xml:space="preserve">, O.C., </w:t>
      </w:r>
      <w:proofErr w:type="spellStart"/>
      <w:r>
        <w:rPr>
          <w:lang w:val="en-US"/>
        </w:rPr>
        <w:t>Ayodeji</w:t>
      </w:r>
      <w:proofErr w:type="spellEnd"/>
      <w:r>
        <w:rPr>
          <w:lang w:val="en-US"/>
        </w:rPr>
        <w:t xml:space="preserve">, D.C., </w:t>
      </w:r>
      <w:proofErr w:type="spellStart"/>
      <w:r>
        <w:rPr>
          <w:lang w:val="en-US"/>
        </w:rPr>
        <w:t>Nwaozomudoh</w:t>
      </w:r>
      <w:proofErr w:type="spellEnd"/>
      <w:r>
        <w:rPr>
          <w:lang w:val="en-US"/>
        </w:rPr>
        <w:t xml:space="preserve">, M.O., </w:t>
      </w:r>
      <w:proofErr w:type="spellStart"/>
      <w:r>
        <w:rPr>
          <w:lang w:val="en-US"/>
        </w:rPr>
        <w:t>Isibor</w:t>
      </w:r>
      <w:proofErr w:type="spellEnd"/>
      <w:r>
        <w:rPr>
          <w:lang w:val="en-US"/>
        </w:rPr>
        <w:t xml:space="preserve">, N.J. and Ahmadu, J., 2023. A conceptual framework for transforming corporate finance through strategic growth, profitability, and risk optimization. </w:t>
      </w:r>
      <w:r>
        <w:rPr>
          <w:i/>
          <w:iCs/>
          <w:lang w:val="en-US"/>
        </w:rPr>
        <w:t>Internationa</w:t>
      </w:r>
      <w:r>
        <w:rPr>
          <w:i/>
          <w:iCs/>
          <w:lang w:val="en-US"/>
        </w:rPr>
        <w:t>l Journal of Advanced Multidisciplinary Research and Studies</w:t>
      </w:r>
      <w:r>
        <w:rPr>
          <w:lang w:val="en-US"/>
        </w:rPr>
        <w:t xml:space="preserve">, </w:t>
      </w:r>
      <w:r>
        <w:rPr>
          <w:i/>
          <w:iCs/>
          <w:lang w:val="en-US"/>
        </w:rPr>
        <w:t>3</w:t>
      </w:r>
      <w:r>
        <w:rPr>
          <w:lang w:val="en-US"/>
        </w:rPr>
        <w:t>(5), pp.1527-1538.</w:t>
      </w:r>
      <w:hyperlink r:id="rId75">
        <w:r w:rsidR="008B7556">
          <w:rPr>
            <w:lang w:val="en-US"/>
          </w:rPr>
          <w:t xml:space="preserve"> </w:t>
        </w:r>
      </w:hyperlink>
      <w:hyperlink r:id="rId76">
        <w:r w:rsidR="008B7556">
          <w:rPr>
            <w:color w:val="1155CC"/>
            <w:u w:val="single"/>
            <w:lang w:val="en-US"/>
          </w:rPr>
          <w:t>https://www.multiresearchjournal.com/admin/uploads/archives/archive-1742807323.pdf</w:t>
        </w:r>
      </w:hyperlink>
    </w:p>
    <w:p w:rsidR="008B7556" w:rsidRDefault="00B74D9B">
      <w:pPr>
        <w:spacing w:before="0" w:after="0" w:line="276" w:lineRule="auto"/>
        <w:rPr>
          <w:color w:val="1155CC"/>
          <w:u w:val="single"/>
          <w:lang w:val="en-US"/>
        </w:rPr>
      </w:pPr>
      <w:proofErr w:type="spellStart"/>
      <w:r>
        <w:rPr>
          <w:lang w:val="en-US"/>
        </w:rPr>
        <w:t>Ozili</w:t>
      </w:r>
      <w:proofErr w:type="spellEnd"/>
      <w:r>
        <w:rPr>
          <w:lang w:val="en-US"/>
        </w:rPr>
        <w:t xml:space="preserve">, P.K., 2022. Green finance research around the world: a review of literature. </w:t>
      </w:r>
      <w:r>
        <w:rPr>
          <w:i/>
          <w:iCs/>
          <w:lang w:val="en-US"/>
        </w:rPr>
        <w:t>International Journal of Green Economics</w:t>
      </w:r>
      <w:r>
        <w:rPr>
          <w:lang w:val="en-US"/>
        </w:rPr>
        <w:t xml:space="preserve">, </w:t>
      </w:r>
      <w:r>
        <w:rPr>
          <w:i/>
          <w:iCs/>
          <w:lang w:val="en-US"/>
        </w:rPr>
        <w:t>16</w:t>
      </w:r>
      <w:r>
        <w:rPr>
          <w:lang w:val="en-US"/>
        </w:rPr>
        <w:t>(1), pp.56-75.</w:t>
      </w:r>
      <w:hyperlink r:id="rId77">
        <w:r w:rsidR="008B7556">
          <w:rPr>
            <w:lang w:val="en-US"/>
          </w:rPr>
          <w:t xml:space="preserve"> </w:t>
        </w:r>
      </w:hyperlink>
      <w:hyperlink r:id="rId78">
        <w:r w:rsidR="008B7556">
          <w:rPr>
            <w:color w:val="1155CC"/>
            <w:u w:val="single"/>
            <w:lang w:val="en-US"/>
          </w:rPr>
          <w:t>https://www.inderscienceonline.com/doi/abs/10.1504/IJGE.2022.125554</w:t>
        </w:r>
      </w:hyperlink>
    </w:p>
    <w:p w:rsidR="008B7556" w:rsidRDefault="00B74D9B">
      <w:pPr>
        <w:spacing w:before="0" w:after="0" w:line="276" w:lineRule="auto"/>
        <w:rPr>
          <w:color w:val="1155CC"/>
          <w:u w:val="single"/>
          <w:lang w:val="en-US"/>
        </w:rPr>
      </w:pPr>
      <w:r>
        <w:rPr>
          <w:lang w:val="en-US"/>
        </w:rPr>
        <w:t xml:space="preserve">Schoenmaker, D. and </w:t>
      </w:r>
      <w:proofErr w:type="spellStart"/>
      <w:r>
        <w:rPr>
          <w:lang w:val="en-US"/>
        </w:rPr>
        <w:t>Sc</w:t>
      </w:r>
      <w:r>
        <w:rPr>
          <w:lang w:val="en-US"/>
        </w:rPr>
        <w:t>hramade</w:t>
      </w:r>
      <w:proofErr w:type="spellEnd"/>
      <w:r>
        <w:rPr>
          <w:lang w:val="en-US"/>
        </w:rPr>
        <w:t xml:space="preserve">, W., 2023. </w:t>
      </w:r>
      <w:r>
        <w:rPr>
          <w:i/>
          <w:iCs/>
          <w:lang w:val="en-US"/>
        </w:rPr>
        <w:t>Corporate finance for long-term value</w:t>
      </w:r>
      <w:r>
        <w:rPr>
          <w:lang w:val="en-US"/>
        </w:rPr>
        <w:t>.</w:t>
      </w:r>
      <w:hyperlink r:id="rId79">
        <w:r w:rsidR="008B7556">
          <w:rPr>
            <w:lang w:val="en-US"/>
          </w:rPr>
          <w:t xml:space="preserve"> </w:t>
        </w:r>
      </w:hyperlink>
      <w:hyperlink r:id="rId80">
        <w:r w:rsidR="008B7556">
          <w:rPr>
            <w:color w:val="1155CC"/>
            <w:u w:val="single"/>
            <w:lang w:val="en-US"/>
          </w:rPr>
          <w:t>https://link.springer.com/content/pdf/10.1007/978-3-031-35009-2.pdf</w:t>
        </w:r>
      </w:hyperlink>
    </w:p>
    <w:p w:rsidR="008B7556" w:rsidRDefault="00B74D9B">
      <w:pPr>
        <w:spacing w:before="0" w:after="0" w:line="276" w:lineRule="auto"/>
        <w:rPr>
          <w:color w:val="1155CC"/>
          <w:u w:val="single"/>
          <w:lang w:val="en-US"/>
        </w:rPr>
      </w:pPr>
      <w:r>
        <w:rPr>
          <w:lang w:val="en-US"/>
        </w:rPr>
        <w:t xml:space="preserve">Sinaga, A.S., Sari, M.M., </w:t>
      </w:r>
      <w:proofErr w:type="spellStart"/>
      <w:r>
        <w:rPr>
          <w:lang w:val="en-US"/>
        </w:rPr>
        <w:t>Hutasuhut</w:t>
      </w:r>
      <w:proofErr w:type="spellEnd"/>
      <w:r>
        <w:rPr>
          <w:lang w:val="en-US"/>
        </w:rPr>
        <w:t xml:space="preserve">, A.A., </w:t>
      </w:r>
      <w:proofErr w:type="spellStart"/>
      <w:r>
        <w:rPr>
          <w:lang w:val="en-US"/>
        </w:rPr>
        <w:t>Zahara</w:t>
      </w:r>
      <w:proofErr w:type="spellEnd"/>
      <w:r>
        <w:rPr>
          <w:lang w:val="en-US"/>
        </w:rPr>
        <w:t xml:space="preserve">, S.T., Amanda, A., Fitri, A. and Caesario, M.A., 2023. Comparison of capital budgeting methods: NPV, IRR, PAYBACK PERIOD. </w:t>
      </w:r>
      <w:r>
        <w:rPr>
          <w:i/>
          <w:iCs/>
          <w:lang w:val="en-US"/>
        </w:rPr>
        <w:t>World Journal of Advanced Research and Revie</w:t>
      </w:r>
      <w:r>
        <w:rPr>
          <w:i/>
          <w:iCs/>
          <w:lang w:val="en-US"/>
        </w:rPr>
        <w:t>ws</w:t>
      </w:r>
      <w:r>
        <w:rPr>
          <w:lang w:val="en-US"/>
        </w:rPr>
        <w:t xml:space="preserve">, </w:t>
      </w:r>
      <w:r>
        <w:rPr>
          <w:i/>
          <w:iCs/>
          <w:lang w:val="en-US"/>
        </w:rPr>
        <w:t>19</w:t>
      </w:r>
      <w:r>
        <w:rPr>
          <w:lang w:val="en-US"/>
        </w:rPr>
        <w:t>(2), pp.1078-1081.</w:t>
      </w:r>
      <w:hyperlink r:id="rId81">
        <w:r w:rsidR="008B7556">
          <w:rPr>
            <w:lang w:val="en-US"/>
          </w:rPr>
          <w:t xml:space="preserve"> </w:t>
        </w:r>
      </w:hyperlink>
      <w:hyperlink r:id="rId82">
        <w:r w:rsidR="008B7556">
          <w:rPr>
            <w:color w:val="1155CC"/>
            <w:u w:val="single"/>
            <w:lang w:val="en-US"/>
          </w:rPr>
          <w:t>https://pdfs.semanticscholar.org/35f5/923a958b071288b38d4e960e8268477ec19a.pdf</w:t>
        </w:r>
      </w:hyperlink>
    </w:p>
    <w:p w:rsidR="008B7556" w:rsidRDefault="00B74D9B">
      <w:pPr>
        <w:spacing w:before="0" w:after="0" w:line="276" w:lineRule="auto"/>
        <w:rPr>
          <w:color w:val="1155CC"/>
          <w:u w:val="single"/>
          <w:lang w:val="en-US"/>
        </w:rPr>
      </w:pPr>
      <w:proofErr w:type="spellStart"/>
      <w:r>
        <w:rPr>
          <w:lang w:val="en-US"/>
        </w:rPr>
        <w:t>Sudacevschi</w:t>
      </w:r>
      <w:proofErr w:type="spellEnd"/>
      <w:r>
        <w:rPr>
          <w:lang w:val="en-US"/>
        </w:rPr>
        <w:t xml:space="preserve">, M. and Stefan Duicu, V.M., 2024. Financial Performance Analysis of The Company Through Profitability Ratios. </w:t>
      </w:r>
      <w:r>
        <w:rPr>
          <w:i/>
          <w:iCs/>
          <w:lang w:val="en-US"/>
        </w:rPr>
        <w:t>Challenges of the Knowledge Society</w:t>
      </w:r>
      <w:r>
        <w:rPr>
          <w:lang w:val="en-US"/>
        </w:rPr>
        <w:t xml:space="preserve">, </w:t>
      </w:r>
      <w:r>
        <w:rPr>
          <w:i/>
          <w:iCs/>
          <w:lang w:val="en-US"/>
        </w:rPr>
        <w:t>17</w:t>
      </w:r>
      <w:r>
        <w:rPr>
          <w:lang w:val="en-US"/>
        </w:rPr>
        <w:t>(2068-7796).</w:t>
      </w:r>
      <w:hyperlink r:id="rId83">
        <w:r w:rsidR="008B7556">
          <w:rPr>
            <w:lang w:val="en-US"/>
          </w:rPr>
          <w:t xml:space="preserve"> </w:t>
        </w:r>
      </w:hyperlink>
      <w:hyperlink r:id="rId84">
        <w:r w:rsidR="008B7556">
          <w:rPr>
            <w:color w:val="1155CC"/>
            <w:u w:val="single"/>
            <w:lang w:val="en-US"/>
          </w:rPr>
          <w:t>http://cks.univnt.ro/download/cks_2024_articles%252F5_CKS_2024_ECONOMIC_SCIENCES%252FCKS_2024_ECONOMIC_SCIENCES_010.pdf</w:t>
        </w:r>
      </w:hyperlink>
    </w:p>
    <w:p w:rsidR="008B7556" w:rsidRDefault="00B74D9B">
      <w:pPr>
        <w:spacing w:before="0" w:after="0" w:line="276" w:lineRule="auto"/>
        <w:rPr>
          <w:color w:val="1155CC"/>
          <w:u w:val="single"/>
        </w:rPr>
      </w:pPr>
      <w:r>
        <w:lastRenderedPageBreak/>
        <w:t xml:space="preserve">Sui, X., 2025. Climate policy uncertainty and enterprise working capital management efficiency. </w:t>
      </w:r>
      <w:r>
        <w:rPr>
          <w:i/>
          <w:iCs/>
        </w:rPr>
        <w:t>Sustainability</w:t>
      </w:r>
      <w:r>
        <w:t xml:space="preserve">, </w:t>
      </w:r>
      <w:r>
        <w:rPr>
          <w:i/>
          <w:iCs/>
        </w:rPr>
        <w:t>17</w:t>
      </w:r>
      <w:r>
        <w:t>(9), p.4229.</w:t>
      </w:r>
      <w:hyperlink r:id="rId85">
        <w:r w:rsidR="008B7556">
          <w:t xml:space="preserve"> </w:t>
        </w:r>
      </w:hyperlink>
      <w:hyperlink r:id="rId86">
        <w:r w:rsidR="008B7556">
          <w:rPr>
            <w:color w:val="1155CC"/>
            <w:u w:val="single"/>
          </w:rPr>
          <w:t>https://www.mdpi.com/2071-1050/17/9/4229</w:t>
        </w:r>
      </w:hyperlink>
    </w:p>
    <w:p w:rsidR="008B7556" w:rsidRDefault="00B74D9B">
      <w:pPr>
        <w:spacing w:before="0" w:after="0" w:line="276" w:lineRule="auto"/>
        <w:rPr>
          <w:color w:val="1155CC"/>
          <w:u w:val="single"/>
          <w:lang w:val="en-US"/>
        </w:rPr>
      </w:pPr>
      <w:r>
        <w:rPr>
          <w:lang w:val="en-US"/>
        </w:rPr>
        <w:t xml:space="preserve">Tiffany, T. and </w:t>
      </w:r>
      <w:proofErr w:type="spellStart"/>
      <w:r>
        <w:rPr>
          <w:lang w:val="en-US"/>
        </w:rPr>
        <w:t>Sufiyati</w:t>
      </w:r>
      <w:proofErr w:type="spellEnd"/>
      <w:r>
        <w:rPr>
          <w:lang w:val="en-US"/>
        </w:rPr>
        <w:t xml:space="preserve">, S., 2023. The analysis of factors affecting profitability. </w:t>
      </w:r>
      <w:r>
        <w:rPr>
          <w:i/>
          <w:iCs/>
          <w:lang w:val="en-US"/>
        </w:rPr>
        <w:t>International J</w:t>
      </w:r>
      <w:r>
        <w:rPr>
          <w:i/>
          <w:iCs/>
          <w:lang w:val="en-US"/>
        </w:rPr>
        <w:t>ournal of Application on Economics and Business</w:t>
      </w:r>
      <w:r>
        <w:rPr>
          <w:lang w:val="en-US"/>
        </w:rPr>
        <w:t xml:space="preserve">, </w:t>
      </w:r>
      <w:r>
        <w:rPr>
          <w:i/>
          <w:iCs/>
          <w:lang w:val="en-US"/>
        </w:rPr>
        <w:t>1</w:t>
      </w:r>
      <w:r>
        <w:rPr>
          <w:lang w:val="en-US"/>
        </w:rPr>
        <w:t>(1), pp.603-612.</w:t>
      </w:r>
      <w:hyperlink r:id="rId87">
        <w:r w:rsidR="008B7556">
          <w:rPr>
            <w:lang w:val="en-US"/>
          </w:rPr>
          <w:t xml:space="preserve"> </w:t>
        </w:r>
      </w:hyperlink>
      <w:hyperlink r:id="rId88">
        <w:r w:rsidR="008B7556">
          <w:rPr>
            <w:color w:val="1155CC"/>
            <w:u w:val="single"/>
            <w:lang w:val="en-US"/>
          </w:rPr>
          <w:t>https://journal.untar.ac.id/index.php/ijaeb/article/view/24734/14890</w:t>
        </w:r>
      </w:hyperlink>
    </w:p>
    <w:p w:rsidR="008B7556" w:rsidRDefault="00B74D9B">
      <w:pPr>
        <w:spacing w:before="0" w:after="0" w:line="276" w:lineRule="auto"/>
        <w:rPr>
          <w:color w:val="1155CC"/>
          <w:u w:val="single"/>
          <w:lang w:val="en-US"/>
        </w:rPr>
      </w:pPr>
      <w:proofErr w:type="spellStart"/>
      <w:proofErr w:type="gramStart"/>
      <w:r>
        <w:rPr>
          <w:lang w:val="en-US"/>
        </w:rPr>
        <w:t>Usodan</w:t>
      </w:r>
      <w:proofErr w:type="spellEnd"/>
      <w:r>
        <w:rPr>
          <w:lang w:val="en-US"/>
        </w:rPr>
        <w:t xml:space="preserve">, A.K.M., </w:t>
      </w:r>
      <w:proofErr w:type="spellStart"/>
      <w:r>
        <w:rPr>
          <w:lang w:val="en-US"/>
        </w:rPr>
        <w:t>Jalal</w:t>
      </w:r>
      <w:proofErr w:type="spellEnd"/>
      <w:r>
        <w:rPr>
          <w:lang w:val="en-US"/>
        </w:rPr>
        <w:t>, F.D.H., Bandera, A.D. and Usman-Macadaag, O.M., 2025.</w:t>
      </w:r>
      <w:proofErr w:type="gramEnd"/>
      <w:r>
        <w:rPr>
          <w:lang w:val="en-US"/>
        </w:rPr>
        <w:t xml:space="preserve"> Making the Right Choice: A Literature-Based Analysis on Investment Appraisal. </w:t>
      </w:r>
      <w:r>
        <w:rPr>
          <w:i/>
          <w:iCs/>
          <w:lang w:val="en-US"/>
        </w:rPr>
        <w:t>International Research Journal of Economics and M</w:t>
      </w:r>
      <w:r>
        <w:rPr>
          <w:i/>
          <w:iCs/>
          <w:lang w:val="en-US"/>
        </w:rPr>
        <w:t>anagement Studies IRJEMS</w:t>
      </w:r>
      <w:r>
        <w:rPr>
          <w:lang w:val="en-US"/>
        </w:rPr>
        <w:t xml:space="preserve">, </w:t>
      </w:r>
      <w:r>
        <w:rPr>
          <w:i/>
          <w:iCs/>
          <w:lang w:val="en-US"/>
        </w:rPr>
        <w:t>4</w:t>
      </w:r>
      <w:r>
        <w:rPr>
          <w:lang w:val="en-US"/>
        </w:rPr>
        <w:t>(11).</w:t>
      </w:r>
      <w:hyperlink r:id="rId89">
        <w:r w:rsidR="008B7556">
          <w:rPr>
            <w:lang w:val="en-US"/>
          </w:rPr>
          <w:t xml:space="preserve"> </w:t>
        </w:r>
      </w:hyperlink>
      <w:hyperlink r:id="rId90">
        <w:r w:rsidR="008B7556">
          <w:rPr>
            <w:color w:val="1155CC"/>
            <w:u w:val="single"/>
            <w:lang w:val="en-US"/>
          </w:rPr>
          <w:t>https://irjems.org/irjems-v4i11p113.html</w:t>
        </w:r>
      </w:hyperlink>
    </w:p>
    <w:p w:rsidR="008B7556" w:rsidRDefault="00B74D9B">
      <w:pPr>
        <w:spacing w:before="0" w:after="0" w:line="276" w:lineRule="auto"/>
        <w:rPr>
          <w:color w:val="1155CC"/>
          <w:u w:val="single"/>
        </w:rPr>
      </w:pPr>
      <w:r>
        <w:t>Vickerman, R., 2024. The transport problem: The need for consisten</w:t>
      </w:r>
      <w:r>
        <w:t xml:space="preserve">t policies on pricing and investment. </w:t>
      </w:r>
      <w:r>
        <w:rPr>
          <w:i/>
          <w:iCs/>
        </w:rPr>
        <w:t>Transport policy</w:t>
      </w:r>
      <w:r>
        <w:t xml:space="preserve">, </w:t>
      </w:r>
      <w:r>
        <w:rPr>
          <w:i/>
          <w:iCs/>
        </w:rPr>
        <w:t>149</w:t>
      </w:r>
      <w:r>
        <w:t>, pp.49-58.</w:t>
      </w:r>
      <w:hyperlink r:id="rId91">
        <w:r w:rsidR="008B7556">
          <w:t xml:space="preserve"> </w:t>
        </w:r>
      </w:hyperlink>
      <w:hyperlink r:id="rId92">
        <w:r w:rsidR="008B7556">
          <w:rPr>
            <w:color w:val="1155CC"/>
            <w:u w:val="single"/>
          </w:rPr>
          <w:t>https://www.sciencedirect.com/science/article/pii/S0967070X24000453</w:t>
        </w:r>
      </w:hyperlink>
    </w:p>
    <w:p w:rsidR="008B7556" w:rsidRDefault="00B74D9B">
      <w:pPr>
        <w:spacing w:before="0" w:after="0" w:line="276" w:lineRule="auto"/>
        <w:rPr>
          <w:color w:val="1155CC"/>
          <w:u w:val="single"/>
        </w:rPr>
      </w:pPr>
      <w:r>
        <w:t xml:space="preserve">Wirba, A.V., 2024. Corporate social responsibility (CSR): The role of government in promoting CSR. </w:t>
      </w:r>
      <w:r>
        <w:rPr>
          <w:i/>
          <w:iCs/>
        </w:rPr>
        <w:t>Journal of the Knowledge Economy</w:t>
      </w:r>
      <w:r>
        <w:t xml:space="preserve">, </w:t>
      </w:r>
      <w:r>
        <w:rPr>
          <w:i/>
          <w:iCs/>
        </w:rPr>
        <w:t>15</w:t>
      </w:r>
      <w:r>
        <w:t>(2), pp.7428-7454.</w:t>
      </w:r>
      <w:hyperlink r:id="rId93">
        <w:r w:rsidR="008B7556">
          <w:t xml:space="preserve"> </w:t>
        </w:r>
      </w:hyperlink>
      <w:hyperlink r:id="rId94">
        <w:r w:rsidR="008B7556">
          <w:rPr>
            <w:color w:val="1155CC"/>
            <w:u w:val="single"/>
          </w:rPr>
          <w:t>https://link.springer.com/article/10.1007/s13132-023-01185-0</w:t>
        </w:r>
      </w:hyperlink>
    </w:p>
    <w:p w:rsidR="008B7556" w:rsidRDefault="00B74D9B">
      <w:pPr>
        <w:spacing w:before="0" w:after="0" w:line="276" w:lineRule="auto"/>
        <w:rPr>
          <w:color w:val="1155CC"/>
          <w:u w:val="single"/>
          <w:lang w:val="en-US"/>
        </w:rPr>
      </w:pPr>
      <w:r>
        <w:rPr>
          <w:lang w:val="en-US"/>
        </w:rPr>
        <w:t xml:space="preserve">Xiang, H., 2024. Time inconsistency and financial covenants. </w:t>
      </w:r>
      <w:r>
        <w:rPr>
          <w:i/>
          <w:iCs/>
          <w:lang w:val="en-US"/>
        </w:rPr>
        <w:t>Management Science</w:t>
      </w:r>
      <w:r>
        <w:rPr>
          <w:lang w:val="en-US"/>
        </w:rPr>
        <w:t xml:space="preserve">, </w:t>
      </w:r>
      <w:r>
        <w:rPr>
          <w:i/>
          <w:iCs/>
          <w:lang w:val="en-US"/>
        </w:rPr>
        <w:t>70</w:t>
      </w:r>
      <w:r>
        <w:rPr>
          <w:lang w:val="en-US"/>
        </w:rPr>
        <w:t xml:space="preserve">(1), </w:t>
      </w:r>
      <w:r>
        <w:rPr>
          <w:lang w:val="en-US"/>
        </w:rPr>
        <w:t>pp.355-371.</w:t>
      </w:r>
      <w:hyperlink r:id="rId95">
        <w:r w:rsidR="008B7556">
          <w:rPr>
            <w:lang w:val="en-US"/>
          </w:rPr>
          <w:t xml:space="preserve"> </w:t>
        </w:r>
      </w:hyperlink>
      <w:hyperlink r:id="rId96">
        <w:r w:rsidR="008B7556">
          <w:rPr>
            <w:color w:val="1155CC"/>
            <w:u w:val="single"/>
            <w:lang w:val="en-US"/>
          </w:rPr>
          <w:t>https://pubsonline.informs.org/doi/abs/10.1287/mnsc.2022.4667</w:t>
        </w:r>
      </w:hyperlink>
    </w:p>
    <w:p w:rsidR="008B7556" w:rsidRDefault="00B74D9B">
      <w:pPr>
        <w:spacing w:before="0" w:after="0" w:line="276" w:lineRule="auto"/>
        <w:rPr>
          <w:color w:val="1155CC"/>
          <w:u w:val="single"/>
          <w:lang w:val="en-US"/>
        </w:rPr>
      </w:pPr>
      <w:proofErr w:type="spellStart"/>
      <w:r>
        <w:rPr>
          <w:lang w:val="en-US"/>
        </w:rPr>
        <w:t>Zaramella</w:t>
      </w:r>
      <w:proofErr w:type="spellEnd"/>
      <w:r>
        <w:rPr>
          <w:lang w:val="en-US"/>
        </w:rPr>
        <w:t xml:space="preserve">, G., 2023. </w:t>
      </w:r>
      <w:r>
        <w:rPr>
          <w:lang w:val="en-US"/>
        </w:rPr>
        <w:t>Financial Restructuring: analysis and applications.</w:t>
      </w:r>
      <w:hyperlink r:id="rId97">
        <w:r w:rsidR="008B7556">
          <w:rPr>
            <w:lang w:val="en-US"/>
          </w:rPr>
          <w:t xml:space="preserve"> </w:t>
        </w:r>
      </w:hyperlink>
      <w:hyperlink r:id="rId98">
        <w:r w:rsidR="008B7556">
          <w:rPr>
            <w:color w:val="1155CC"/>
            <w:u w:val="single"/>
            <w:lang w:val="en-US"/>
          </w:rPr>
          <w:t>https://unitesi.unive.it/bitstream/20.500.14247/4284/1/872666-1280209.pdf</w:t>
        </w:r>
      </w:hyperlink>
    </w:p>
    <w:p w:rsidR="008B7556" w:rsidRDefault="008B7556">
      <w:pPr>
        <w:pStyle w:val="Heading2"/>
        <w:keepNext w:val="0"/>
        <w:keepLines w:val="0"/>
        <w:spacing w:before="240" w:after="240"/>
        <w:jc w:val="left"/>
      </w:pPr>
      <w:bookmarkStart w:id="125" w:name="_bnowzkycvun" w:colFirst="0" w:colLast="0"/>
      <w:bookmarkEnd w:id="125"/>
    </w:p>
    <w:p w:rsidR="008B7556" w:rsidRDefault="00B74D9B">
      <w:pPr>
        <w:pStyle w:val="Heading2"/>
        <w:keepNext w:val="0"/>
        <w:keepLines w:val="0"/>
        <w:spacing w:before="480"/>
      </w:pPr>
      <w:bookmarkStart w:id="126" w:name="_ppiw1mawrx9o" w:colFirst="0" w:colLast="0"/>
      <w:bookmarkEnd w:id="126"/>
      <w:r>
        <w:br w:type="page"/>
      </w:r>
    </w:p>
    <w:p w:rsidR="008B7556" w:rsidRDefault="00B74D9B">
      <w:pPr>
        <w:pStyle w:val="Heading1"/>
        <w:keepNext w:val="0"/>
        <w:keepLines w:val="0"/>
        <w:spacing w:before="480"/>
      </w:pPr>
      <w:bookmarkStart w:id="127" w:name="_hxgkk1l877bi"/>
      <w:bookmarkStart w:id="128" w:name="_Toc495073986"/>
      <w:bookmarkEnd w:id="127"/>
      <w:r>
        <w:lastRenderedPageBreak/>
        <w:t>Appendix</w:t>
      </w:r>
      <w:bookmarkEnd w:id="128"/>
    </w:p>
    <w:p w:rsidR="008B7556" w:rsidRDefault="008B7556"/>
    <w:p w:rsidR="008B7556" w:rsidRDefault="00B74D9B">
      <w:pPr>
        <w:jc w:val="left"/>
      </w:pPr>
      <w:r>
        <w:rPr>
          <w:rFonts w:eastAsia="SimSun"/>
          <w:noProof/>
          <w:color w:val="000000"/>
          <w:lang w:val="en-GB" w:eastAsia="en-GB"/>
        </w:rPr>
        <w:drawing>
          <wp:inline distT="0" distB="0" distL="114300" distR="114300">
            <wp:extent cx="5943600" cy="676275"/>
            <wp:effectExtent l="0" t="0" r="0" b="9525"/>
            <wp:docPr id="2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descr="IMG_256"/>
                    <pic:cNvPicPr>
                      <a:picLocks noChangeAspect="1"/>
                    </pic:cNvPicPr>
                  </pic:nvPicPr>
                  <pic:blipFill>
                    <a:blip r:embed="rId99" cstate="print"/>
                    <a:stretch>
                      <a:fillRect/>
                    </a:stretch>
                  </pic:blipFill>
                  <pic:spPr>
                    <a:xfrm>
                      <a:off x="0" y="0"/>
                      <a:ext cx="5943600" cy="676275"/>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drawing>
          <wp:inline distT="0" distB="0" distL="114300" distR="114300">
            <wp:extent cx="4410075" cy="1581150"/>
            <wp:effectExtent l="0" t="0" r="9525" b="19050"/>
            <wp:docPr id="2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 descr="IMG_256"/>
                    <pic:cNvPicPr>
                      <a:picLocks noChangeAspect="1"/>
                    </pic:cNvPicPr>
                  </pic:nvPicPr>
                  <pic:blipFill>
                    <a:blip r:embed="rId100" cstate="print"/>
                    <a:stretch>
                      <a:fillRect/>
                    </a:stretch>
                  </pic:blipFill>
                  <pic:spPr>
                    <a:xfrm>
                      <a:off x="0" y="0"/>
                      <a:ext cx="4410075" cy="1581150"/>
                    </a:xfrm>
                    <a:prstGeom prst="rect">
                      <a:avLst/>
                    </a:prstGeom>
                    <a:noFill/>
                    <a:ln w="9525">
                      <a:noFill/>
                    </a:ln>
                  </pic:spPr>
                </pic:pic>
              </a:graphicData>
            </a:graphic>
          </wp:inline>
        </w:drawing>
      </w:r>
    </w:p>
    <w:p w:rsidR="008B7556" w:rsidRDefault="008B7556"/>
    <w:p w:rsidR="008B7556" w:rsidRDefault="00B74D9B">
      <w:pPr>
        <w:jc w:val="left"/>
      </w:pPr>
      <w:r>
        <w:rPr>
          <w:rFonts w:eastAsia="SimSun"/>
          <w:noProof/>
          <w:color w:val="000000"/>
          <w:lang w:val="en-GB" w:eastAsia="en-GB"/>
        </w:rPr>
        <w:drawing>
          <wp:inline distT="0" distB="0" distL="114300" distR="114300">
            <wp:extent cx="4486275" cy="1781175"/>
            <wp:effectExtent l="0" t="0" r="9525" b="22225"/>
            <wp:docPr id="2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3" descr="IMG_256"/>
                    <pic:cNvPicPr>
                      <a:picLocks noChangeAspect="1"/>
                    </pic:cNvPicPr>
                  </pic:nvPicPr>
                  <pic:blipFill>
                    <a:blip r:embed="rId101" cstate="print"/>
                    <a:stretch>
                      <a:fillRect/>
                    </a:stretch>
                  </pic:blipFill>
                  <pic:spPr>
                    <a:xfrm>
                      <a:off x="0" y="0"/>
                      <a:ext cx="4486275" cy="1781175"/>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lastRenderedPageBreak/>
        <w:drawing>
          <wp:inline distT="0" distB="0" distL="114300" distR="114300">
            <wp:extent cx="4400550" cy="1828800"/>
            <wp:effectExtent l="0" t="0" r="19050" b="0"/>
            <wp:docPr id="24"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4" descr="IMG_256"/>
                    <pic:cNvPicPr>
                      <a:picLocks noChangeAspect="1"/>
                    </pic:cNvPicPr>
                  </pic:nvPicPr>
                  <pic:blipFill>
                    <a:blip r:embed="rId102" cstate="print"/>
                    <a:stretch>
                      <a:fillRect/>
                    </a:stretch>
                  </pic:blipFill>
                  <pic:spPr>
                    <a:xfrm>
                      <a:off x="0" y="0"/>
                      <a:ext cx="4400550" cy="1828800"/>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drawing>
          <wp:inline distT="0" distB="0" distL="114300" distR="114300">
            <wp:extent cx="5943600" cy="2105025"/>
            <wp:effectExtent l="0" t="0" r="0" b="3175"/>
            <wp:docPr id="25"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5" descr="IMG_256"/>
                    <pic:cNvPicPr>
                      <a:picLocks noChangeAspect="1"/>
                    </pic:cNvPicPr>
                  </pic:nvPicPr>
                  <pic:blipFill>
                    <a:blip r:embed="rId13" cstate="print"/>
                    <a:stretch>
                      <a:fillRect/>
                    </a:stretch>
                  </pic:blipFill>
                  <pic:spPr>
                    <a:xfrm>
                      <a:off x="0" y="0"/>
                      <a:ext cx="5943600" cy="2105025"/>
                    </a:xfrm>
                    <a:prstGeom prst="rect">
                      <a:avLst/>
                    </a:prstGeom>
                    <a:noFill/>
                    <a:ln w="9525">
                      <a:noFill/>
                    </a:ln>
                  </pic:spPr>
                </pic:pic>
              </a:graphicData>
            </a:graphic>
          </wp:inline>
        </w:drawing>
      </w:r>
    </w:p>
    <w:p w:rsidR="008B7556" w:rsidRDefault="00B74D9B">
      <w:pPr>
        <w:jc w:val="left"/>
      </w:pPr>
      <w:r>
        <w:rPr>
          <w:rFonts w:eastAsia="SimSun"/>
          <w:b/>
          <w:bCs/>
          <w:noProof/>
          <w:color w:val="000000"/>
          <w:sz w:val="26"/>
          <w:szCs w:val="26"/>
          <w:lang w:val="en-GB" w:eastAsia="en-GB"/>
        </w:rPr>
        <w:drawing>
          <wp:inline distT="0" distB="0" distL="114300" distR="114300">
            <wp:extent cx="3800475" cy="2266950"/>
            <wp:effectExtent l="0" t="0" r="9525" b="19050"/>
            <wp:docPr id="26"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6" descr="IMG_256"/>
                    <pic:cNvPicPr>
                      <a:picLocks noChangeAspect="1"/>
                    </pic:cNvPicPr>
                  </pic:nvPicPr>
                  <pic:blipFill>
                    <a:blip r:embed="rId103" cstate="print"/>
                    <a:stretch>
                      <a:fillRect/>
                    </a:stretch>
                  </pic:blipFill>
                  <pic:spPr>
                    <a:xfrm>
                      <a:off x="0" y="0"/>
                      <a:ext cx="3800475" cy="2266950"/>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lastRenderedPageBreak/>
        <w:drawing>
          <wp:inline distT="0" distB="0" distL="114300" distR="114300">
            <wp:extent cx="3714750" cy="1971675"/>
            <wp:effectExtent l="0" t="0" r="19050" b="9525"/>
            <wp:docPr id="27"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7" descr="IMG_256"/>
                    <pic:cNvPicPr>
                      <a:picLocks noChangeAspect="1"/>
                    </pic:cNvPicPr>
                  </pic:nvPicPr>
                  <pic:blipFill>
                    <a:blip r:embed="rId15" cstate="print"/>
                    <a:stretch>
                      <a:fillRect/>
                    </a:stretch>
                  </pic:blipFill>
                  <pic:spPr>
                    <a:xfrm>
                      <a:off x="0" y="0"/>
                      <a:ext cx="3714750" cy="1971675"/>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drawing>
          <wp:inline distT="0" distB="0" distL="114300" distR="114300">
            <wp:extent cx="4133850" cy="2247900"/>
            <wp:effectExtent l="0" t="0" r="6350" b="12700"/>
            <wp:docPr id="28" name="Picture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8" descr="IMG_256"/>
                    <pic:cNvPicPr>
                      <a:picLocks noChangeAspect="1"/>
                    </pic:cNvPicPr>
                  </pic:nvPicPr>
                  <pic:blipFill>
                    <a:blip r:embed="rId16" cstate="print"/>
                    <a:stretch>
                      <a:fillRect/>
                    </a:stretch>
                  </pic:blipFill>
                  <pic:spPr>
                    <a:xfrm>
                      <a:off x="0" y="0"/>
                      <a:ext cx="4133850" cy="2247900"/>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drawing>
          <wp:inline distT="0" distB="0" distL="114300" distR="114300">
            <wp:extent cx="4057650" cy="1476375"/>
            <wp:effectExtent l="0" t="0" r="6350" b="22225"/>
            <wp:docPr id="29" name="Picture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9" descr="IMG_256"/>
                    <pic:cNvPicPr>
                      <a:picLocks noChangeAspect="1"/>
                    </pic:cNvPicPr>
                  </pic:nvPicPr>
                  <pic:blipFill>
                    <a:blip r:embed="rId104" cstate="print"/>
                    <a:stretch>
                      <a:fillRect/>
                    </a:stretch>
                  </pic:blipFill>
                  <pic:spPr>
                    <a:xfrm>
                      <a:off x="0" y="0"/>
                      <a:ext cx="4057650" cy="1476375"/>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lastRenderedPageBreak/>
        <w:drawing>
          <wp:inline distT="0" distB="0" distL="114300" distR="114300">
            <wp:extent cx="4943475" cy="2695575"/>
            <wp:effectExtent l="0" t="0" r="9525" b="22225"/>
            <wp:docPr id="30" name="Picture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0" descr="IMG_256"/>
                    <pic:cNvPicPr>
                      <a:picLocks noChangeAspect="1"/>
                    </pic:cNvPicPr>
                  </pic:nvPicPr>
                  <pic:blipFill>
                    <a:blip r:embed="rId18" cstate="print"/>
                    <a:stretch>
                      <a:fillRect/>
                    </a:stretch>
                  </pic:blipFill>
                  <pic:spPr>
                    <a:xfrm>
                      <a:off x="0" y="0"/>
                      <a:ext cx="4943475" cy="2695575"/>
                    </a:xfrm>
                    <a:prstGeom prst="rect">
                      <a:avLst/>
                    </a:prstGeom>
                    <a:noFill/>
                    <a:ln w="9525">
                      <a:noFill/>
                    </a:ln>
                  </pic:spPr>
                </pic:pic>
              </a:graphicData>
            </a:graphic>
          </wp:inline>
        </w:drawing>
      </w:r>
    </w:p>
    <w:p w:rsidR="008B7556" w:rsidRDefault="00B74D9B">
      <w:pPr>
        <w:jc w:val="left"/>
      </w:pPr>
      <w:r>
        <w:rPr>
          <w:rFonts w:eastAsia="SimSun"/>
          <w:b/>
          <w:bCs/>
          <w:noProof/>
          <w:color w:val="000000"/>
          <w:lang w:val="en-GB" w:eastAsia="en-GB"/>
        </w:rPr>
        <w:drawing>
          <wp:inline distT="0" distB="0" distL="114300" distR="114300">
            <wp:extent cx="4591050" cy="2524125"/>
            <wp:effectExtent l="0" t="0" r="6350" b="15875"/>
            <wp:docPr id="31" name="Picture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11" descr="IMG_256"/>
                    <pic:cNvPicPr>
                      <a:picLocks noChangeAspect="1"/>
                    </pic:cNvPicPr>
                  </pic:nvPicPr>
                  <pic:blipFill>
                    <a:blip r:embed="rId20" cstate="print"/>
                    <a:stretch>
                      <a:fillRect/>
                    </a:stretch>
                  </pic:blipFill>
                  <pic:spPr>
                    <a:xfrm>
                      <a:off x="0" y="0"/>
                      <a:ext cx="4591050" cy="2524125"/>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lastRenderedPageBreak/>
        <w:drawing>
          <wp:inline distT="0" distB="0" distL="114300" distR="114300">
            <wp:extent cx="4533900" cy="2266950"/>
            <wp:effectExtent l="0" t="0" r="12700" b="19050"/>
            <wp:docPr id="32" name="Picture 1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12" descr="IMG_256"/>
                    <pic:cNvPicPr>
                      <a:picLocks noChangeAspect="1"/>
                    </pic:cNvPicPr>
                  </pic:nvPicPr>
                  <pic:blipFill>
                    <a:blip r:embed="rId22" cstate="print"/>
                    <a:stretch>
                      <a:fillRect/>
                    </a:stretch>
                  </pic:blipFill>
                  <pic:spPr>
                    <a:xfrm>
                      <a:off x="0" y="0"/>
                      <a:ext cx="4533900" cy="2266950"/>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drawing>
          <wp:inline distT="0" distB="0" distL="114300" distR="114300">
            <wp:extent cx="4781550" cy="1771650"/>
            <wp:effectExtent l="0" t="0" r="19050" b="6350"/>
            <wp:docPr id="33" name="Picture 1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3" descr="IMG_256"/>
                    <pic:cNvPicPr>
                      <a:picLocks noChangeAspect="1"/>
                    </pic:cNvPicPr>
                  </pic:nvPicPr>
                  <pic:blipFill>
                    <a:blip r:embed="rId105" cstate="print"/>
                    <a:stretch>
                      <a:fillRect/>
                    </a:stretch>
                  </pic:blipFill>
                  <pic:spPr>
                    <a:xfrm>
                      <a:off x="0" y="0"/>
                      <a:ext cx="4781550" cy="1771650"/>
                    </a:xfrm>
                    <a:prstGeom prst="rect">
                      <a:avLst/>
                    </a:prstGeom>
                    <a:noFill/>
                    <a:ln w="9525">
                      <a:noFill/>
                    </a:ln>
                  </pic:spPr>
                </pic:pic>
              </a:graphicData>
            </a:graphic>
          </wp:inline>
        </w:drawing>
      </w:r>
    </w:p>
    <w:p w:rsidR="008B7556" w:rsidRDefault="00B74D9B">
      <w:pPr>
        <w:jc w:val="left"/>
      </w:pPr>
      <w:r>
        <w:rPr>
          <w:rFonts w:eastAsia="SimSun"/>
          <w:noProof/>
          <w:color w:val="000000"/>
          <w:lang w:val="en-GB" w:eastAsia="en-GB"/>
        </w:rPr>
        <w:drawing>
          <wp:inline distT="0" distB="0" distL="114300" distR="114300">
            <wp:extent cx="5038725" cy="1028700"/>
            <wp:effectExtent l="0" t="0" r="15875" b="12700"/>
            <wp:docPr id="34" name="Picture 1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14" descr="IMG_256"/>
                    <pic:cNvPicPr>
                      <a:picLocks noChangeAspect="1"/>
                    </pic:cNvPicPr>
                  </pic:nvPicPr>
                  <pic:blipFill>
                    <a:blip r:embed="rId106" cstate="print"/>
                    <a:stretch>
                      <a:fillRect/>
                    </a:stretch>
                  </pic:blipFill>
                  <pic:spPr>
                    <a:xfrm>
                      <a:off x="0" y="0"/>
                      <a:ext cx="5038725" cy="1028700"/>
                    </a:xfrm>
                    <a:prstGeom prst="rect">
                      <a:avLst/>
                    </a:prstGeom>
                    <a:noFill/>
                    <a:ln w="9525">
                      <a:noFill/>
                    </a:ln>
                  </pic:spPr>
                </pic:pic>
              </a:graphicData>
            </a:graphic>
          </wp:inline>
        </w:drawing>
      </w:r>
    </w:p>
    <w:p w:rsidR="008B7556" w:rsidRDefault="00B74D9B">
      <w:pPr>
        <w:jc w:val="left"/>
      </w:pPr>
      <w:r>
        <w:rPr>
          <w:rFonts w:eastAsia="SimSun"/>
          <w:b/>
          <w:bCs/>
          <w:noProof/>
          <w:color w:val="000000"/>
          <w:sz w:val="26"/>
          <w:szCs w:val="26"/>
          <w:lang w:val="en-GB" w:eastAsia="en-GB"/>
        </w:rPr>
        <w:drawing>
          <wp:inline distT="0" distB="0" distL="114300" distR="114300">
            <wp:extent cx="5943600" cy="990600"/>
            <wp:effectExtent l="0" t="0" r="0" b="0"/>
            <wp:docPr id="35" name="Picture 1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15" descr="IMG_256"/>
                    <pic:cNvPicPr>
                      <a:picLocks noChangeAspect="1"/>
                    </pic:cNvPicPr>
                  </pic:nvPicPr>
                  <pic:blipFill>
                    <a:blip r:embed="rId107" cstate="print"/>
                    <a:stretch>
                      <a:fillRect/>
                    </a:stretch>
                  </pic:blipFill>
                  <pic:spPr>
                    <a:xfrm>
                      <a:off x="0" y="0"/>
                      <a:ext cx="5943600" cy="990600"/>
                    </a:xfrm>
                    <a:prstGeom prst="rect">
                      <a:avLst/>
                    </a:prstGeom>
                    <a:noFill/>
                    <a:ln w="9525">
                      <a:noFill/>
                    </a:ln>
                  </pic:spPr>
                </pic:pic>
              </a:graphicData>
            </a:graphic>
          </wp:inline>
        </w:drawing>
      </w:r>
    </w:p>
    <w:p w:rsidR="008B7556" w:rsidRDefault="00B74D9B">
      <w:r>
        <w:rPr>
          <w:noProof/>
          <w:lang w:val="en-GB" w:eastAsia="en-GB"/>
        </w:rPr>
        <w:lastRenderedPageBreak/>
        <w:drawing>
          <wp:inline distT="0" distB="0" distL="114300" distR="114300">
            <wp:extent cx="5941695" cy="3941445"/>
            <wp:effectExtent l="0" t="0" r="1905" b="20955"/>
            <wp:docPr id="3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16"/>
                    <pic:cNvPicPr>
                      <a:picLocks noChangeAspect="1"/>
                    </pic:cNvPicPr>
                  </pic:nvPicPr>
                  <pic:blipFill>
                    <a:blip r:embed="rId108" cstate="print"/>
                    <a:stretch>
                      <a:fillRect/>
                    </a:stretch>
                  </pic:blipFill>
                  <pic:spPr>
                    <a:xfrm>
                      <a:off x="0" y="0"/>
                      <a:ext cx="5941695" cy="3941445"/>
                    </a:xfrm>
                    <a:prstGeom prst="rect">
                      <a:avLst/>
                    </a:prstGeom>
                    <a:noFill/>
                    <a:ln>
                      <a:noFill/>
                    </a:ln>
                  </pic:spPr>
                </pic:pic>
              </a:graphicData>
            </a:graphic>
          </wp:inline>
        </w:drawing>
      </w:r>
    </w:p>
    <w:p w:rsidR="008B7556" w:rsidRDefault="00B74D9B">
      <w:pPr>
        <w:jc w:val="left"/>
      </w:pPr>
      <w:r>
        <w:rPr>
          <w:rFonts w:eastAsia="SimSun"/>
          <w:b/>
          <w:bCs/>
          <w:noProof/>
          <w:color w:val="000000"/>
          <w:lang w:val="en-GB" w:eastAsia="en-GB"/>
        </w:rPr>
        <w:drawing>
          <wp:inline distT="0" distB="0" distL="114300" distR="114300">
            <wp:extent cx="5943600" cy="1143000"/>
            <wp:effectExtent l="0" t="0" r="0" b="0"/>
            <wp:docPr id="37" name="Picture 1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17" descr="IMG_256"/>
                    <pic:cNvPicPr>
                      <a:picLocks noChangeAspect="1"/>
                    </pic:cNvPicPr>
                  </pic:nvPicPr>
                  <pic:blipFill>
                    <a:blip r:embed="rId109" cstate="print"/>
                    <a:stretch>
                      <a:fillRect/>
                    </a:stretch>
                  </pic:blipFill>
                  <pic:spPr>
                    <a:xfrm>
                      <a:off x="0" y="0"/>
                      <a:ext cx="5943600" cy="1143000"/>
                    </a:xfrm>
                    <a:prstGeom prst="rect">
                      <a:avLst/>
                    </a:prstGeom>
                    <a:noFill/>
                    <a:ln w="9525">
                      <a:noFill/>
                    </a:ln>
                  </pic:spPr>
                </pic:pic>
              </a:graphicData>
            </a:graphic>
          </wp:inline>
        </w:drawing>
      </w:r>
    </w:p>
    <w:p w:rsidR="008B7556" w:rsidRDefault="008B7556"/>
    <w:sectPr w:rsidR="008B7556" w:rsidSect="00FC1FE6">
      <w:headerReference w:type="default" r:id="rId110"/>
      <w:footerReference w:type="default" r:id="rId111"/>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4D9B" w:rsidRDefault="00B74D9B">
      <w:pPr>
        <w:spacing w:line="240" w:lineRule="auto"/>
      </w:pPr>
      <w:r>
        <w:separator/>
      </w:r>
    </w:p>
  </w:endnote>
  <w:endnote w:type="continuationSeparator" w:id="0">
    <w:p w:rsidR="00B74D9B" w:rsidRDefault="00B74D9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FF1858F-CF6B-473F-8BD2-3A96AFD0629F}"/>
  </w:font>
  <w:font w:name="Arial Bold">
    <w:panose1 w:val="020B0704020202020204"/>
    <w:charset w:val="00"/>
    <w:family w:val="auto"/>
    <w:pitch w:val="default"/>
    <w:sig w:usb0="E0000AFF" w:usb1="00007843" w:usb2="00000001" w:usb3="00000000" w:csb0="400001BF" w:csb1="DFF70000"/>
    <w:embedBold r:id="rId2" w:fontKey="{244D56EC-476D-4FFB-80AA-AACD0FCDC8A7}"/>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embedRegular r:id="rId3" w:fontKey="{D3A8FD21-386F-411E-BA1C-76E106DB6BD1}"/>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embedRegular r:id="rId4" w:fontKey="{4F821359-8A43-4A84-8B2B-09304020B82A}"/>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ook w:val="04A0"/>
    </w:tblPr>
    <w:tblGrid>
      <w:gridCol w:w="3120"/>
      <w:gridCol w:w="3120"/>
      <w:gridCol w:w="3120"/>
    </w:tblGrid>
    <w:tr w:rsidR="008B7556">
      <w:trPr>
        <w:trHeight w:val="300"/>
      </w:trPr>
      <w:tc>
        <w:tcPr>
          <w:tcW w:w="3120" w:type="dxa"/>
        </w:tcPr>
        <w:p w:rsidR="008B7556" w:rsidRDefault="008B7556">
          <w:pPr>
            <w:pStyle w:val="Header"/>
            <w:ind w:left="-115"/>
            <w:jc w:val="left"/>
          </w:pPr>
        </w:p>
      </w:tc>
      <w:tc>
        <w:tcPr>
          <w:tcW w:w="3120" w:type="dxa"/>
        </w:tcPr>
        <w:p w:rsidR="008B7556" w:rsidRDefault="008B7556">
          <w:pPr>
            <w:pStyle w:val="Header"/>
            <w:jc w:val="center"/>
          </w:pPr>
        </w:p>
      </w:tc>
      <w:tc>
        <w:tcPr>
          <w:tcW w:w="3120" w:type="dxa"/>
        </w:tcPr>
        <w:p w:rsidR="008B7556" w:rsidRDefault="00FC1FE6">
          <w:pPr>
            <w:pStyle w:val="Header"/>
            <w:ind w:right="-115"/>
            <w:jc w:val="right"/>
          </w:pPr>
          <w:r>
            <w:fldChar w:fldCharType="begin"/>
          </w:r>
          <w:r w:rsidR="00B74D9B">
            <w:instrText>PAGE</w:instrText>
          </w:r>
          <w:r>
            <w:fldChar w:fldCharType="separate"/>
          </w:r>
          <w:r w:rsidR="0049096C">
            <w:rPr>
              <w:noProof/>
            </w:rPr>
            <w:t>1</w:t>
          </w:r>
          <w:r>
            <w:fldChar w:fldCharType="end"/>
          </w:r>
        </w:p>
      </w:tc>
    </w:tr>
  </w:tbl>
  <w:p w:rsidR="008B7556" w:rsidRDefault="008B755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4D9B" w:rsidRDefault="00B74D9B">
      <w:pPr>
        <w:spacing w:before="0" w:after="0"/>
      </w:pPr>
      <w:r>
        <w:separator/>
      </w:r>
    </w:p>
  </w:footnote>
  <w:footnote w:type="continuationSeparator" w:id="0">
    <w:p w:rsidR="00B74D9B" w:rsidRDefault="00B74D9B">
      <w:pPr>
        <w:spacing w:before="0"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ook w:val="04A0"/>
    </w:tblPr>
    <w:tblGrid>
      <w:gridCol w:w="3120"/>
      <w:gridCol w:w="3120"/>
      <w:gridCol w:w="3120"/>
    </w:tblGrid>
    <w:tr w:rsidR="008B7556">
      <w:trPr>
        <w:trHeight w:val="300"/>
      </w:trPr>
      <w:tc>
        <w:tcPr>
          <w:tcW w:w="3120" w:type="dxa"/>
        </w:tcPr>
        <w:p w:rsidR="008B7556" w:rsidRDefault="008B7556">
          <w:pPr>
            <w:pStyle w:val="Header"/>
            <w:ind w:left="-115"/>
            <w:jc w:val="left"/>
          </w:pPr>
        </w:p>
      </w:tc>
      <w:tc>
        <w:tcPr>
          <w:tcW w:w="3120" w:type="dxa"/>
        </w:tcPr>
        <w:p w:rsidR="008B7556" w:rsidRDefault="008B7556">
          <w:pPr>
            <w:pStyle w:val="Header"/>
            <w:jc w:val="center"/>
          </w:pPr>
        </w:p>
      </w:tc>
      <w:tc>
        <w:tcPr>
          <w:tcW w:w="3120" w:type="dxa"/>
        </w:tcPr>
        <w:p w:rsidR="008B7556" w:rsidRDefault="008B7556">
          <w:pPr>
            <w:pStyle w:val="Header"/>
            <w:ind w:right="-115"/>
            <w:jc w:val="right"/>
          </w:pPr>
        </w:p>
      </w:tc>
    </w:tr>
  </w:tbl>
  <w:p w:rsidR="008B7556" w:rsidRDefault="008B755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6A0BB7"/>
    <w:multiLevelType w:val="multilevel"/>
    <w:tmpl w:val="0B6A0BB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E8C643F"/>
    <w:multiLevelType w:val="multilevel"/>
    <w:tmpl w:val="2E8C643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D2B4A33"/>
    <w:multiLevelType w:val="multilevel"/>
    <w:tmpl w:val="3D2B4A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E3A08FA"/>
    <w:multiLevelType w:val="multilevel"/>
    <w:tmpl w:val="3E3A08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
  <w:rsids>
    <w:rsidRoot w:val="009A0E6D"/>
    <w:rsid w:val="BCFCF97A"/>
    <w:rsid w:val="D4BEF986"/>
    <w:rsid w:val="D5AFF27C"/>
    <w:rsid w:val="DD7FB693"/>
    <w:rsid w:val="EFDD83B9"/>
    <w:rsid w:val="F3FA1774"/>
    <w:rsid w:val="FBED091E"/>
    <w:rsid w:val="FDEBA16F"/>
    <w:rsid w:val="00152BE1"/>
    <w:rsid w:val="001535EC"/>
    <w:rsid w:val="00155B33"/>
    <w:rsid w:val="001E3B33"/>
    <w:rsid w:val="00233E34"/>
    <w:rsid w:val="003E09C5"/>
    <w:rsid w:val="00414CA4"/>
    <w:rsid w:val="0049096C"/>
    <w:rsid w:val="00572F0A"/>
    <w:rsid w:val="005B4375"/>
    <w:rsid w:val="006757C1"/>
    <w:rsid w:val="00796883"/>
    <w:rsid w:val="008B7556"/>
    <w:rsid w:val="009A0E6D"/>
    <w:rsid w:val="00B53C1E"/>
    <w:rsid w:val="00B74D9B"/>
    <w:rsid w:val="00BF7E50"/>
    <w:rsid w:val="00FC1FE6"/>
    <w:rsid w:val="1CE65918"/>
    <w:rsid w:val="1DD7776F"/>
    <w:rsid w:val="1F840D6A"/>
    <w:rsid w:val="2173AA7D"/>
    <w:rsid w:val="21FACB15"/>
    <w:rsid w:val="28492D3A"/>
    <w:rsid w:val="2F5C7F2E"/>
    <w:rsid w:val="357FF171"/>
    <w:rsid w:val="3E7CBCAC"/>
    <w:rsid w:val="3FFF9832"/>
    <w:rsid w:val="4777F66F"/>
    <w:rsid w:val="56B95BFC"/>
    <w:rsid w:val="59A2357B"/>
    <w:rsid w:val="5DD651DA"/>
    <w:rsid w:val="5EB3F282"/>
    <w:rsid w:val="62E6FDEF"/>
    <w:rsid w:val="6901A90C"/>
    <w:rsid w:val="69FD6BE7"/>
    <w:rsid w:val="6FCA1A6E"/>
    <w:rsid w:val="70AA00C5"/>
    <w:rsid w:val="7ADE6EAA"/>
    <w:rsid w:val="7EBD46D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semiHidden="0"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semiHidden="0"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FE6"/>
    <w:pPr>
      <w:spacing w:before="240" w:after="240" w:line="360" w:lineRule="auto"/>
      <w:jc w:val="both"/>
    </w:pPr>
    <w:rPr>
      <w:rFonts w:ascii="Arial" w:eastAsia="Arial" w:hAnsi="Arial" w:cs="Arial"/>
      <w:sz w:val="24"/>
      <w:szCs w:val="24"/>
      <w:lang w:eastAsia="ja-JP"/>
    </w:rPr>
  </w:style>
  <w:style w:type="paragraph" w:styleId="Heading1">
    <w:name w:val="heading 1"/>
    <w:basedOn w:val="Normal"/>
    <w:next w:val="Normal"/>
    <w:uiPriority w:val="9"/>
    <w:qFormat/>
    <w:rsid w:val="00FC1FE6"/>
    <w:pPr>
      <w:keepNext/>
      <w:keepLines/>
      <w:spacing w:before="280" w:after="120"/>
      <w:outlineLvl w:val="0"/>
    </w:pPr>
    <w:rPr>
      <w:b/>
      <w:bCs/>
      <w:sz w:val="28"/>
      <w:szCs w:val="28"/>
    </w:rPr>
  </w:style>
  <w:style w:type="paragraph" w:styleId="Heading2">
    <w:name w:val="heading 2"/>
    <w:basedOn w:val="Normal"/>
    <w:next w:val="Normal"/>
    <w:uiPriority w:val="9"/>
    <w:unhideWhenUsed/>
    <w:qFormat/>
    <w:rsid w:val="00FC1FE6"/>
    <w:pPr>
      <w:keepNext/>
      <w:keepLines/>
      <w:spacing w:before="360" w:after="120"/>
      <w:outlineLvl w:val="1"/>
    </w:pPr>
    <w:rPr>
      <w:b/>
      <w:bCs/>
      <w:sz w:val="26"/>
      <w:szCs w:val="26"/>
    </w:rPr>
  </w:style>
  <w:style w:type="paragraph" w:styleId="Heading3">
    <w:name w:val="heading 3"/>
    <w:basedOn w:val="Normal"/>
    <w:next w:val="Normal"/>
    <w:uiPriority w:val="9"/>
    <w:unhideWhenUsed/>
    <w:qFormat/>
    <w:rsid w:val="00FC1FE6"/>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FC1FE6"/>
    <w:pPr>
      <w:keepNext/>
      <w:keepLines/>
      <w:spacing w:before="280" w:after="80"/>
      <w:jc w:val="center"/>
      <w:outlineLvl w:val="3"/>
    </w:pPr>
    <w:rPr>
      <w:b/>
      <w:bCs/>
    </w:rPr>
  </w:style>
  <w:style w:type="paragraph" w:styleId="Heading5">
    <w:name w:val="heading 5"/>
    <w:basedOn w:val="Normal"/>
    <w:next w:val="Normal"/>
    <w:uiPriority w:val="9"/>
    <w:semiHidden/>
    <w:unhideWhenUsed/>
    <w:qFormat/>
    <w:rsid w:val="00FC1FE6"/>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FC1FE6"/>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unhideWhenUsed/>
    <w:rsid w:val="00FC1FE6"/>
    <w:pPr>
      <w:tabs>
        <w:tab w:val="center" w:pos="4680"/>
        <w:tab w:val="right" w:pos="9360"/>
      </w:tabs>
      <w:spacing w:after="0" w:line="240" w:lineRule="auto"/>
    </w:pPr>
  </w:style>
  <w:style w:type="paragraph" w:styleId="Header">
    <w:name w:val="header"/>
    <w:basedOn w:val="Normal"/>
    <w:uiPriority w:val="99"/>
    <w:unhideWhenUsed/>
    <w:rsid w:val="00FC1FE6"/>
    <w:pPr>
      <w:tabs>
        <w:tab w:val="center" w:pos="4680"/>
        <w:tab w:val="right" w:pos="9360"/>
      </w:tabs>
      <w:spacing w:after="0" w:line="240" w:lineRule="auto"/>
    </w:pPr>
  </w:style>
  <w:style w:type="character" w:styleId="Hyperlink">
    <w:name w:val="Hyperlink"/>
    <w:basedOn w:val="DefaultParagraphFont"/>
    <w:uiPriority w:val="99"/>
    <w:unhideWhenUsed/>
    <w:rsid w:val="00FC1FE6"/>
    <w:rPr>
      <w:color w:val="0000FF" w:themeColor="hyperlink"/>
      <w:u w:val="single"/>
    </w:rPr>
  </w:style>
  <w:style w:type="paragraph" w:styleId="Subtitle">
    <w:name w:val="Subtitle"/>
    <w:basedOn w:val="Normal"/>
    <w:next w:val="Normal"/>
    <w:uiPriority w:val="11"/>
    <w:qFormat/>
    <w:rsid w:val="00FC1FE6"/>
    <w:pPr>
      <w:keepNext/>
      <w:keepLines/>
      <w:spacing w:before="0" w:after="320"/>
    </w:pPr>
    <w:rPr>
      <w:color w:val="666666"/>
      <w:sz w:val="30"/>
      <w:szCs w:val="30"/>
    </w:rPr>
  </w:style>
  <w:style w:type="table" w:styleId="TableGrid">
    <w:name w:val="Table Grid"/>
    <w:basedOn w:val="TableNormal"/>
    <w:uiPriority w:val="59"/>
    <w:rsid w:val="00FC1FE6"/>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ableofFigures">
    <w:name w:val="table of figures"/>
    <w:basedOn w:val="Normal"/>
    <w:next w:val="Normal"/>
    <w:uiPriority w:val="99"/>
    <w:semiHidden/>
    <w:unhideWhenUsed/>
    <w:rsid w:val="00FC1FE6"/>
    <w:pPr>
      <w:ind w:leftChars="200" w:left="200" w:hangingChars="200" w:hanging="200"/>
    </w:pPr>
  </w:style>
  <w:style w:type="paragraph" w:styleId="Title">
    <w:name w:val="Title"/>
    <w:basedOn w:val="Normal"/>
    <w:next w:val="Normal"/>
    <w:uiPriority w:val="10"/>
    <w:qFormat/>
    <w:rsid w:val="00FC1FE6"/>
    <w:pPr>
      <w:keepNext/>
      <w:keepLines/>
      <w:spacing w:before="0" w:after="60"/>
    </w:pPr>
    <w:rPr>
      <w:sz w:val="52"/>
      <w:szCs w:val="52"/>
    </w:rPr>
  </w:style>
  <w:style w:type="paragraph" w:styleId="TOC1">
    <w:name w:val="toc 1"/>
    <w:basedOn w:val="Normal"/>
    <w:next w:val="Normal"/>
    <w:autoRedefine/>
    <w:uiPriority w:val="39"/>
    <w:unhideWhenUsed/>
    <w:rsid w:val="00FC1FE6"/>
    <w:pPr>
      <w:spacing w:after="100"/>
    </w:pPr>
  </w:style>
  <w:style w:type="paragraph" w:styleId="TOC2">
    <w:name w:val="toc 2"/>
    <w:basedOn w:val="Normal"/>
    <w:next w:val="Normal"/>
    <w:autoRedefine/>
    <w:uiPriority w:val="39"/>
    <w:unhideWhenUsed/>
    <w:rsid w:val="00FC1FE6"/>
    <w:pPr>
      <w:spacing w:after="100"/>
      <w:ind w:left="220"/>
    </w:pPr>
  </w:style>
  <w:style w:type="paragraph" w:styleId="TOC3">
    <w:name w:val="toc 3"/>
    <w:basedOn w:val="Normal"/>
    <w:next w:val="Normal"/>
    <w:autoRedefine/>
    <w:uiPriority w:val="39"/>
    <w:unhideWhenUsed/>
    <w:rsid w:val="00FC1FE6"/>
    <w:pPr>
      <w:spacing w:after="100"/>
      <w:ind w:left="440"/>
    </w:pPr>
  </w:style>
  <w:style w:type="paragraph" w:styleId="TOC4">
    <w:name w:val="toc 4"/>
    <w:basedOn w:val="Normal"/>
    <w:next w:val="Normal"/>
    <w:autoRedefine/>
    <w:uiPriority w:val="39"/>
    <w:unhideWhenUsed/>
    <w:rsid w:val="00FC1FE6"/>
    <w:pPr>
      <w:spacing w:after="100"/>
      <w:ind w:left="660"/>
    </w:pPr>
  </w:style>
  <w:style w:type="table" w:customStyle="1" w:styleId="TableNormal0">
    <w:name w:val="TableNormal"/>
    <w:rsid w:val="00FC1FE6"/>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909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96C"/>
    <w:rPr>
      <w:rFonts w:ascii="Tahoma" w:eastAsia="Arial" w:hAnsi="Tahoma" w:cs="Tahoma"/>
      <w:sz w:val="16"/>
      <w:szCs w:val="16"/>
      <w:lang w:eastAsia="ja-JP"/>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researchgate.net/profile/Enrique-Diaz-13/publication/369901628_Working_capital_management_Sector_policies_and_Profitability/links/643278b6ad9b6d17dc45b1bc/Working-capital-management-Sector-policies-and-Profitability.pdf" TargetMode="External"/><Relationship Id="rId47" Type="http://schemas.openxmlformats.org/officeDocument/2006/relationships/hyperlink" Target="https://www.atlantis-press.com/proceedings/icemed-22/125975330" TargetMode="External"/><Relationship Id="rId63" Type="http://schemas.openxmlformats.org/officeDocument/2006/relationships/hyperlink" Target="https://www.atlantis-press.com/proceedings/fimm-25/126017147" TargetMode="External"/><Relationship Id="rId68" Type="http://schemas.openxmlformats.org/officeDocument/2006/relationships/hyperlink" Target="https://www.atlantis-press.com/proceedings/icfied-22/125971651" TargetMode="External"/><Relationship Id="rId84" Type="http://schemas.openxmlformats.org/officeDocument/2006/relationships/hyperlink" Target="http://cks.univnt.ro/download/cks_2024_articles%252F5_CKS_2024_ECONOMIC_SCIENCES%252FCKS_2024_ECONOMIC_SCIENCES_010.pdf" TargetMode="External"/><Relationship Id="rId89" Type="http://schemas.openxmlformats.org/officeDocument/2006/relationships/hyperlink" Target="https://irjems.org/irjems-v4i11p113.html" TargetMode="External"/><Relationship Id="rId1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poornaprajnapublication.com/index.php/pijtrcs/article/view/35" TargetMode="External"/><Relationship Id="rId107" Type="http://schemas.openxmlformats.org/officeDocument/2006/relationships/image" Target="media/image29.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books.google.com/books?hl=en&amp;lr=&amp;id=YimIEAAAQBAJ&amp;oi=fnd&amp;pg=PA3&amp;dq=tesla+financial+ratio&amp;ots=7wn_CYwFDa&amp;sig=F-WCiQGKBD1fPp2heUD2v7E3Ue0" TargetMode="External"/><Relationship Id="rId37" Type="http://schemas.openxmlformats.org/officeDocument/2006/relationships/hyperlink" Target="https://atlantic-press-journals.com/index.php/JSSCD/article/view/296" TargetMode="External"/><Relationship Id="rId40" Type="http://schemas.openxmlformats.org/officeDocument/2006/relationships/hyperlink" Target="https://papers.ssrn.com/sol3/papers.cfm?abstract_id=4731410" TargetMode="External"/><Relationship Id="rId45" Type="http://schemas.openxmlformats.org/officeDocument/2006/relationships/hyperlink" Target="https://www.shs-conferences.org/articles/shsconf/abs/2024/01/shsconf_icdeba2023_02022/shsconf_icdeba2023_02022.html" TargetMode="External"/><Relationship Id="rId53" Type="http://schemas.openxmlformats.org/officeDocument/2006/relationships/hyperlink" Target="https://egrove.olemiss.edu/cgi/viewcontent.cgi?article=3517&amp;context=hon_thesis" TargetMode="External"/><Relationship Id="rId58" Type="http://schemas.openxmlformats.org/officeDocument/2006/relationships/hyperlink" Target="https://papers.ssrn.com/sol3/papers.cfm?abstract_id=4973602" TargetMode="External"/><Relationship Id="rId66" Type="http://schemas.openxmlformats.org/officeDocument/2006/relationships/hyperlink" Target="https://onlinelibrary.wiley.com/doi/abs/10.1111/jbfa.12575" TargetMode="External"/><Relationship Id="rId74" Type="http://schemas.openxmlformats.org/officeDocument/2006/relationships/hyperlink" Target="https://www.ejournal.seaninstitute.or.id/index.php/Ekonomi/article/view/863" TargetMode="External"/><Relationship Id="rId79" Type="http://schemas.openxmlformats.org/officeDocument/2006/relationships/hyperlink" Target="https://link.springer.com/content/pdf/10.1007/978-3-031-35009-2.pdf" TargetMode="External"/><Relationship Id="rId87" Type="http://schemas.openxmlformats.org/officeDocument/2006/relationships/hyperlink" Target="https://journal.untar.ac.id/index.php/ijaeb/article/view/24734/14890" TargetMode="External"/><Relationship Id="rId102" Type="http://schemas.openxmlformats.org/officeDocument/2006/relationships/image" Target="media/image24.png"/><Relationship Id="rId110"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www.tandfonline.com/doi/abs/10.1080/23311975.2022.2129354" TargetMode="External"/><Relationship Id="rId82" Type="http://schemas.openxmlformats.org/officeDocument/2006/relationships/hyperlink" Target="https://pdfs.semanticscholar.org/35f5/923a958b071288b38d4e960e8268477ec19a.pdf" TargetMode="External"/><Relationship Id="rId90" Type="http://schemas.openxmlformats.org/officeDocument/2006/relationships/hyperlink" Target="https://irjems.org/irjems-v4i11p113.html" TargetMode="External"/><Relationship Id="rId95" Type="http://schemas.openxmlformats.org/officeDocument/2006/relationships/hyperlink" Target="https://pubsonline.informs.org/doi/abs/10.1287/mnsc.2022.4667"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tandfonline.com/doi/abs/10.1080/23322039.2022.2087289" TargetMode="External"/><Relationship Id="rId30" Type="http://schemas.openxmlformats.org/officeDocument/2006/relationships/hyperlink" Target="http://poornaprajnapublication.com/index.php/pijtrcs/article/view/35" TargetMode="External"/><Relationship Id="rId35" Type="http://schemas.openxmlformats.org/officeDocument/2006/relationships/hyperlink" Target="http://journals.iarn.or.id/index.php/ARJ/article/view/208" TargetMode="External"/><Relationship Id="rId43" Type="http://schemas.openxmlformats.org/officeDocument/2006/relationships/hyperlink" Target="https://www.mdpi.com/2071-1050/14/3/1222" TargetMode="External"/><Relationship Id="rId48" Type="http://schemas.openxmlformats.org/officeDocument/2006/relationships/hyperlink" Target="https://www.atlantis-press.com/proceedings/icemed-22/125975330" TargetMode="External"/><Relationship Id="rId56" Type="http://schemas.openxmlformats.org/officeDocument/2006/relationships/hyperlink" Target="https://www.cpcig-colepuli.com/uploads/soft/20240815/1-240Q516162U10.pdf" TargetMode="External"/><Relationship Id="rId64" Type="http://schemas.openxmlformats.org/officeDocument/2006/relationships/hyperlink" Target="https://www.atlantis-press.com/proceedings/fimm-25/126017147" TargetMode="External"/><Relationship Id="rId69" Type="http://schemas.openxmlformats.org/officeDocument/2006/relationships/hyperlink" Target="https://www.atlantis-press.com/proceedings/fmet-22/125978296" TargetMode="External"/><Relationship Id="rId77" Type="http://schemas.openxmlformats.org/officeDocument/2006/relationships/hyperlink" Target="https://www.inderscienceonline.com/doi/abs/10.1504/IJGE.2022.125554" TargetMode="External"/><Relationship Id="rId100" Type="http://schemas.openxmlformats.org/officeDocument/2006/relationships/image" Target="media/image22.png"/><Relationship Id="rId105" Type="http://schemas.openxmlformats.org/officeDocument/2006/relationships/image" Target="media/image27.png"/><Relationship Id="rId113"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arxiv.org/abs/2410.20628" TargetMode="External"/><Relationship Id="rId72" Type="http://schemas.openxmlformats.org/officeDocument/2006/relationships/hyperlink" Target="https://www.researchgate.net/profile/Marcin-Majka-2/publication/381402363_Understanding_Efficiency_Ratios/links/666b64b9de777205a32c2aa5/Understanding-Efficiency-Ratios.pdf" TargetMode="External"/><Relationship Id="rId80" Type="http://schemas.openxmlformats.org/officeDocument/2006/relationships/hyperlink" Target="https://link.springer.com/content/pdf/10.1007/978-3-031-35009-2.pdf" TargetMode="External"/><Relationship Id="rId85" Type="http://schemas.openxmlformats.org/officeDocument/2006/relationships/hyperlink" Target="https://www.mdpi.com/2071-1050/17/9/4229" TargetMode="External"/><Relationship Id="rId93" Type="http://schemas.openxmlformats.org/officeDocument/2006/relationships/hyperlink" Target="https://link.springer.com/article/10.1007/s13132-023-01185-0" TargetMode="External"/><Relationship Id="rId98" Type="http://schemas.openxmlformats.org/officeDocument/2006/relationships/hyperlink" Target="https://unitesi.unive.it/bitstream/20.500.14247/4284/1/872666-1280209.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repository.kazguu.kz/handle/123456789/1676" TargetMode="External"/><Relationship Id="rId38" Type="http://schemas.openxmlformats.org/officeDocument/2006/relationships/hyperlink" Target="https://atlantic-press-journals.com/index.php/JSSCD/article/view/296" TargetMode="External"/><Relationship Id="rId46" Type="http://schemas.openxmlformats.org/officeDocument/2006/relationships/hyperlink" Target="https://www.shs-conferences.org/articles/shsconf/abs/2024/01/shsconf_icdeba2023_02022/shsconf_icdeba2023_02022.html" TargetMode="External"/><Relationship Id="rId59" Type="http://schemas.openxmlformats.org/officeDocument/2006/relationships/hyperlink" Target="https://pdfs.semanticscholar.org/13d2/10f4a9e7d5c3806b1f364c066b5617a3823c.pdf" TargetMode="External"/><Relationship Id="rId67" Type="http://schemas.openxmlformats.org/officeDocument/2006/relationships/hyperlink" Target="https://www.atlantis-press.com/proceedings/icfied-22/125971651" TargetMode="External"/><Relationship Id="rId103" Type="http://schemas.openxmlformats.org/officeDocument/2006/relationships/image" Target="media/image25.png"/><Relationship Id="rId108" Type="http://schemas.openxmlformats.org/officeDocument/2006/relationships/image" Target="media/image30.png"/><Relationship Id="rId20" Type="http://schemas.openxmlformats.org/officeDocument/2006/relationships/image" Target="media/image14.png"/><Relationship Id="rId41" Type="http://schemas.openxmlformats.org/officeDocument/2006/relationships/hyperlink" Target="https://www.researchgate.net/profile/Enrique-Diaz-13/publication/369901628_Working_capital_management_Sector_policies_and_Profitability/links/643278b6ad9b6d17dc45b1bc/Working-capital-management-Sector-policies-and-Profitability.pdf" TargetMode="External"/><Relationship Id="rId54" Type="http://schemas.openxmlformats.org/officeDocument/2006/relationships/hyperlink" Target="https://egrove.olemiss.edu/cgi/viewcontent.cgi?article=3517&amp;context=hon_thesis" TargetMode="External"/><Relationship Id="rId62" Type="http://schemas.openxmlformats.org/officeDocument/2006/relationships/hyperlink" Target="https://www.tandfonline.com/doi/abs/10.1080/23311975.2022.2129354" TargetMode="External"/><Relationship Id="rId70" Type="http://schemas.openxmlformats.org/officeDocument/2006/relationships/hyperlink" Target="https://www.atlantis-press.com/proceedings/fmet-22/125978296" TargetMode="External"/><Relationship Id="rId75" Type="http://schemas.openxmlformats.org/officeDocument/2006/relationships/hyperlink" Target="https://www.multiresearchjournal.com/admin/uploads/archives/archive-1742807323.pdf" TargetMode="External"/><Relationship Id="rId83" Type="http://schemas.openxmlformats.org/officeDocument/2006/relationships/hyperlink" Target="http://cks.univnt.ro/download/cks_2024_articles%252F5_CKS_2024_ECONOMIC_SCIENCES%252FCKS_2024_ECONOMIC_SCIENCES_010.pdf" TargetMode="External"/><Relationship Id="rId88" Type="http://schemas.openxmlformats.org/officeDocument/2006/relationships/hyperlink" Target="https://journal.untar.ac.id/index.php/ijaeb/article/view/24734/14890" TargetMode="External"/><Relationship Id="rId91" Type="http://schemas.openxmlformats.org/officeDocument/2006/relationships/hyperlink" Target="https://www.sciencedirect.com/science/article/pii/S0967070X24000453" TargetMode="External"/><Relationship Id="rId96" Type="http://schemas.openxmlformats.org/officeDocument/2006/relationships/hyperlink" Target="https://pubsonline.informs.org/doi/abs/10.1287/mnsc.2022.4667" TargetMode="External"/><Relationship Id="rId11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tandfonline.com/doi/abs/10.1080/23322039.2022.2087289" TargetMode="External"/><Relationship Id="rId36" Type="http://schemas.openxmlformats.org/officeDocument/2006/relationships/hyperlink" Target="http://journals.iarn.or.id/index.php/ARJ/article/view/208" TargetMode="External"/><Relationship Id="rId49" Type="http://schemas.openxmlformats.org/officeDocument/2006/relationships/hyperlink" Target="https://link.springer.com/article/10.1007/s10551-022-05047-8" TargetMode="External"/><Relationship Id="rId57" Type="http://schemas.openxmlformats.org/officeDocument/2006/relationships/hyperlink" Target="https://papers.ssrn.com/sol3/papers.cfm?abstract_id=4973602" TargetMode="External"/><Relationship Id="rId106" Type="http://schemas.openxmlformats.org/officeDocument/2006/relationships/image" Target="media/image28.png"/><Relationship Id="rId10" Type="http://schemas.openxmlformats.org/officeDocument/2006/relationships/image" Target="media/image4.png"/><Relationship Id="rId31" Type="http://schemas.openxmlformats.org/officeDocument/2006/relationships/hyperlink" Target="https://books.google.com/books?hl=en&amp;lr=&amp;id=YimIEAAAQBAJ&amp;oi=fnd&amp;pg=PA3&amp;dq=tesla+financial+ratio&amp;ots=7wn_CYwFDa&amp;sig=F-WCiQGKBD1fPp2heUD2v7E3Ue0" TargetMode="External"/><Relationship Id="rId44" Type="http://schemas.openxmlformats.org/officeDocument/2006/relationships/hyperlink" Target="https://www.mdpi.com/2071-1050/14/3/1222" TargetMode="External"/><Relationship Id="rId52" Type="http://schemas.openxmlformats.org/officeDocument/2006/relationships/hyperlink" Target="https://arxiv.org/abs/2410.20628" TargetMode="External"/><Relationship Id="rId60" Type="http://schemas.openxmlformats.org/officeDocument/2006/relationships/hyperlink" Target="https://pdfs.semanticscholar.org/13d2/10f4a9e7d5c3806b1f364c066b5617a3823c.pdf" TargetMode="External"/><Relationship Id="rId65" Type="http://schemas.openxmlformats.org/officeDocument/2006/relationships/hyperlink" Target="https://onlinelibrary.wiley.com/doi/abs/10.1111/jbfa.12575" TargetMode="External"/><Relationship Id="rId73" Type="http://schemas.openxmlformats.org/officeDocument/2006/relationships/hyperlink" Target="https://www.ejournal.seaninstitute.or.id/index.php/Ekonomi/article/view/863" TargetMode="External"/><Relationship Id="rId78" Type="http://schemas.openxmlformats.org/officeDocument/2006/relationships/hyperlink" Target="https://www.inderscienceonline.com/doi/abs/10.1504/IJGE.2022.125554" TargetMode="External"/><Relationship Id="rId81" Type="http://schemas.openxmlformats.org/officeDocument/2006/relationships/hyperlink" Target="https://pdfs.semanticscholar.org/35f5/923a958b071288b38d4e960e8268477ec19a.pdf" TargetMode="External"/><Relationship Id="rId86" Type="http://schemas.openxmlformats.org/officeDocument/2006/relationships/hyperlink" Target="https://www.mdpi.com/2071-1050/17/9/4229" TargetMode="External"/><Relationship Id="rId94" Type="http://schemas.openxmlformats.org/officeDocument/2006/relationships/hyperlink" Target="https://link.springer.com/article/10.1007/s13132-023-01185-0" TargetMode="External"/><Relationship Id="rId99" Type="http://schemas.openxmlformats.org/officeDocument/2006/relationships/image" Target="media/image21.png"/><Relationship Id="rId10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papers.ssrn.com/sol3/papers.cfm?abstract_id=4731410" TargetMode="External"/><Relationship Id="rId109" Type="http://schemas.openxmlformats.org/officeDocument/2006/relationships/image" Target="media/image31.png"/><Relationship Id="rId34" Type="http://schemas.openxmlformats.org/officeDocument/2006/relationships/hyperlink" Target="http://repository.kazguu.kz/handle/123456789/1676" TargetMode="External"/><Relationship Id="rId50" Type="http://schemas.openxmlformats.org/officeDocument/2006/relationships/hyperlink" Target="https://link.springer.com/article/10.1007/s10551-022-05047-8" TargetMode="External"/><Relationship Id="rId55" Type="http://schemas.openxmlformats.org/officeDocument/2006/relationships/hyperlink" Target="https://www.cpcig-colepuli.com/uploads/soft/20240815/1-240Q516162U10.pdf" TargetMode="External"/><Relationship Id="rId76" Type="http://schemas.openxmlformats.org/officeDocument/2006/relationships/hyperlink" Target="https://www.multiresearchjournal.com/admin/uploads/archives/archive-1742807323.pdf" TargetMode="External"/><Relationship Id="rId97" Type="http://schemas.openxmlformats.org/officeDocument/2006/relationships/hyperlink" Target="https://unitesi.unive.it/bitstream/20.500.14247/4284/1/872666-1280209.pdf" TargetMode="External"/><Relationship Id="rId104" Type="http://schemas.openxmlformats.org/officeDocument/2006/relationships/image" Target="media/image26.png"/><Relationship Id="rId7" Type="http://schemas.openxmlformats.org/officeDocument/2006/relationships/image" Target="media/image1.png"/><Relationship Id="rId71" Type="http://schemas.openxmlformats.org/officeDocument/2006/relationships/hyperlink" Target="https://www.researchgate.net/profile/Marcin-Majka-2/publication/381402363_Understanding_Efficiency_Ratios/links/666b64b9de777205a32c2aa5/Understanding-Efficiency-Ratios.pdf" TargetMode="External"/><Relationship Id="rId92" Type="http://schemas.openxmlformats.org/officeDocument/2006/relationships/hyperlink" Target="https://www.sciencedirect.com/science/article/pii/S0967070X2400045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42</Pages>
  <Words>8156</Words>
  <Characters>46490</Characters>
  <Application>Microsoft Office Word</Application>
  <DocSecurity>0</DocSecurity>
  <Lines>387</Lines>
  <Paragraphs>109</Paragraphs>
  <ScaleCrop>false</ScaleCrop>
  <Company/>
  <LinksUpToDate>false</LinksUpToDate>
  <CharactersWithSpaces>54537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Happy</cp:lastModifiedBy>
  <cp:revision>41</cp:revision>
  <dcterms:created xsi:type="dcterms:W3CDTF">2026-04-13T06:25:00Z</dcterms:created>
  <dcterms:modified xsi:type="dcterms:W3CDTF">2026-04-23T09:46:00Z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A93CED73485347C8C860DA697D924BE1_43</vt:lpwstr>
  </property>
  <property fmtid="{D5CDD505-2E9C-101B-9397-08002B2CF9AE}" pid="4" name="GrammarlyDocumentId">
    <vt:lpwstr>f4665870-d9e7-4519-b99b-22b42a3b41c7</vt:lpwstr>
  </property>
</Properties>
</file>