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9239A" w14:textId="77777777" w:rsidR="00032752" w:rsidRPr="00032752" w:rsidRDefault="00032752" w:rsidP="00032752">
      <w:pPr>
        <w:spacing w:line="360" w:lineRule="auto"/>
        <w:jc w:val="both"/>
        <w:rPr>
          <w:rFonts w:ascii="Arial" w:hAnsi="Arial" w:cs="Arial"/>
          <w:sz w:val="24"/>
          <w:szCs w:val="24"/>
        </w:rPr>
      </w:pPr>
    </w:p>
    <w:p w14:paraId="76376C96" w14:textId="77777777" w:rsidR="00032752" w:rsidRPr="008B1629" w:rsidRDefault="00032752" w:rsidP="008B1629">
      <w:pPr>
        <w:pStyle w:val="IntenseQuote"/>
        <w:rPr>
          <w:sz w:val="36"/>
          <w:szCs w:val="36"/>
        </w:rPr>
      </w:pPr>
      <w:r w:rsidRPr="008B1629">
        <w:rPr>
          <w:sz w:val="36"/>
          <w:szCs w:val="36"/>
        </w:rPr>
        <w:t>Audit and Analysis of Hyatt Group: Understanding Structure, Culture, and Strategic Direction</w:t>
      </w:r>
    </w:p>
    <w:p w14:paraId="474DA5B0" w14:textId="77777777" w:rsidR="00032752" w:rsidRDefault="00032752" w:rsidP="00032752">
      <w:pPr>
        <w:spacing w:line="360" w:lineRule="auto"/>
        <w:jc w:val="both"/>
        <w:rPr>
          <w:rFonts w:ascii="Arial" w:hAnsi="Arial" w:cs="Arial"/>
          <w:sz w:val="24"/>
          <w:szCs w:val="24"/>
        </w:rPr>
      </w:pPr>
    </w:p>
    <w:p w14:paraId="1EC946E8" w14:textId="77777777" w:rsidR="00B71BC2" w:rsidRDefault="00B71BC2" w:rsidP="00032752">
      <w:pPr>
        <w:spacing w:line="360" w:lineRule="auto"/>
        <w:jc w:val="both"/>
        <w:rPr>
          <w:rFonts w:ascii="Arial" w:hAnsi="Arial" w:cs="Arial"/>
          <w:sz w:val="24"/>
          <w:szCs w:val="24"/>
        </w:rPr>
      </w:pPr>
    </w:p>
    <w:p w14:paraId="0A03C465" w14:textId="77777777" w:rsidR="00B71BC2" w:rsidRDefault="00B71BC2" w:rsidP="00032752">
      <w:pPr>
        <w:spacing w:line="360" w:lineRule="auto"/>
        <w:jc w:val="both"/>
        <w:rPr>
          <w:rFonts w:ascii="Arial" w:hAnsi="Arial" w:cs="Arial"/>
          <w:sz w:val="24"/>
          <w:szCs w:val="24"/>
        </w:rPr>
      </w:pPr>
    </w:p>
    <w:p w14:paraId="796E64D4" w14:textId="77777777" w:rsidR="00B71BC2" w:rsidRDefault="00B71BC2" w:rsidP="00032752">
      <w:pPr>
        <w:spacing w:line="360" w:lineRule="auto"/>
        <w:jc w:val="both"/>
        <w:rPr>
          <w:rFonts w:ascii="Arial" w:hAnsi="Arial" w:cs="Arial"/>
          <w:sz w:val="24"/>
          <w:szCs w:val="24"/>
        </w:rPr>
      </w:pPr>
    </w:p>
    <w:p w14:paraId="133CA956" w14:textId="77777777" w:rsidR="00B71BC2" w:rsidRDefault="00B71BC2" w:rsidP="00032752">
      <w:pPr>
        <w:spacing w:line="360" w:lineRule="auto"/>
        <w:jc w:val="both"/>
        <w:rPr>
          <w:rFonts w:ascii="Arial" w:hAnsi="Arial" w:cs="Arial"/>
          <w:sz w:val="24"/>
          <w:szCs w:val="24"/>
        </w:rPr>
      </w:pPr>
    </w:p>
    <w:p w14:paraId="3D848C55" w14:textId="77777777" w:rsidR="00B71BC2" w:rsidRDefault="00B71BC2" w:rsidP="00032752">
      <w:pPr>
        <w:spacing w:line="360" w:lineRule="auto"/>
        <w:jc w:val="both"/>
        <w:rPr>
          <w:rFonts w:ascii="Arial" w:hAnsi="Arial" w:cs="Arial"/>
          <w:sz w:val="24"/>
          <w:szCs w:val="24"/>
        </w:rPr>
      </w:pPr>
    </w:p>
    <w:p w14:paraId="58ECD3A2" w14:textId="77777777" w:rsidR="00B71BC2" w:rsidRDefault="00B71BC2" w:rsidP="00032752">
      <w:pPr>
        <w:spacing w:line="360" w:lineRule="auto"/>
        <w:jc w:val="both"/>
        <w:rPr>
          <w:rFonts w:ascii="Arial" w:hAnsi="Arial" w:cs="Arial"/>
          <w:sz w:val="24"/>
          <w:szCs w:val="24"/>
        </w:rPr>
      </w:pPr>
    </w:p>
    <w:p w14:paraId="10114F01" w14:textId="77777777" w:rsidR="00B71BC2" w:rsidRDefault="00B71BC2" w:rsidP="00032752">
      <w:pPr>
        <w:spacing w:line="360" w:lineRule="auto"/>
        <w:jc w:val="both"/>
        <w:rPr>
          <w:rFonts w:ascii="Arial" w:hAnsi="Arial" w:cs="Arial"/>
          <w:sz w:val="24"/>
          <w:szCs w:val="24"/>
        </w:rPr>
      </w:pPr>
    </w:p>
    <w:p w14:paraId="2CD84734" w14:textId="77777777" w:rsidR="00B71BC2" w:rsidRDefault="00B71BC2" w:rsidP="00032752">
      <w:pPr>
        <w:spacing w:line="360" w:lineRule="auto"/>
        <w:jc w:val="both"/>
        <w:rPr>
          <w:rFonts w:ascii="Arial" w:hAnsi="Arial" w:cs="Arial"/>
          <w:sz w:val="24"/>
          <w:szCs w:val="24"/>
        </w:rPr>
      </w:pPr>
    </w:p>
    <w:p w14:paraId="58759892" w14:textId="77777777" w:rsidR="00B71BC2" w:rsidRDefault="00B71BC2" w:rsidP="00032752">
      <w:pPr>
        <w:spacing w:line="360" w:lineRule="auto"/>
        <w:jc w:val="both"/>
        <w:rPr>
          <w:rFonts w:ascii="Arial" w:hAnsi="Arial" w:cs="Arial"/>
          <w:sz w:val="24"/>
          <w:szCs w:val="24"/>
        </w:rPr>
      </w:pPr>
    </w:p>
    <w:p w14:paraId="4E4A66E5" w14:textId="77777777" w:rsidR="00B71BC2" w:rsidRDefault="00B71BC2" w:rsidP="00032752">
      <w:pPr>
        <w:spacing w:line="360" w:lineRule="auto"/>
        <w:jc w:val="both"/>
        <w:rPr>
          <w:rFonts w:ascii="Arial" w:hAnsi="Arial" w:cs="Arial"/>
          <w:sz w:val="24"/>
          <w:szCs w:val="24"/>
        </w:rPr>
      </w:pPr>
    </w:p>
    <w:p w14:paraId="7E47572D" w14:textId="77777777" w:rsidR="00B71BC2" w:rsidRDefault="00B71BC2" w:rsidP="00032752">
      <w:pPr>
        <w:spacing w:line="360" w:lineRule="auto"/>
        <w:jc w:val="both"/>
        <w:rPr>
          <w:rFonts w:ascii="Arial" w:hAnsi="Arial" w:cs="Arial"/>
          <w:sz w:val="24"/>
          <w:szCs w:val="24"/>
        </w:rPr>
      </w:pPr>
    </w:p>
    <w:p w14:paraId="1661EEC5" w14:textId="77777777" w:rsidR="00B71BC2" w:rsidRDefault="00B71BC2" w:rsidP="00032752">
      <w:pPr>
        <w:spacing w:line="360" w:lineRule="auto"/>
        <w:jc w:val="both"/>
        <w:rPr>
          <w:rFonts w:ascii="Arial" w:hAnsi="Arial" w:cs="Arial"/>
          <w:sz w:val="24"/>
          <w:szCs w:val="24"/>
        </w:rPr>
      </w:pPr>
    </w:p>
    <w:p w14:paraId="31BC906A" w14:textId="77777777" w:rsidR="00B71BC2" w:rsidRDefault="00B71BC2" w:rsidP="00032752">
      <w:pPr>
        <w:spacing w:line="360" w:lineRule="auto"/>
        <w:jc w:val="both"/>
        <w:rPr>
          <w:rFonts w:ascii="Arial" w:hAnsi="Arial" w:cs="Arial"/>
          <w:sz w:val="24"/>
          <w:szCs w:val="24"/>
        </w:rPr>
      </w:pPr>
    </w:p>
    <w:p w14:paraId="6CDAD7F9" w14:textId="77777777" w:rsidR="00B71BC2" w:rsidRDefault="00B71BC2" w:rsidP="00032752">
      <w:pPr>
        <w:spacing w:line="360" w:lineRule="auto"/>
        <w:jc w:val="both"/>
        <w:rPr>
          <w:rFonts w:ascii="Arial" w:hAnsi="Arial" w:cs="Arial"/>
          <w:sz w:val="24"/>
          <w:szCs w:val="24"/>
        </w:rPr>
      </w:pPr>
    </w:p>
    <w:p w14:paraId="65D82458" w14:textId="77777777" w:rsidR="00B71BC2" w:rsidRDefault="00B71BC2" w:rsidP="00032752">
      <w:pPr>
        <w:spacing w:line="360" w:lineRule="auto"/>
        <w:jc w:val="both"/>
        <w:rPr>
          <w:rFonts w:ascii="Arial" w:hAnsi="Arial" w:cs="Arial"/>
          <w:sz w:val="24"/>
          <w:szCs w:val="24"/>
        </w:rPr>
      </w:pPr>
    </w:p>
    <w:p w14:paraId="38E2E17B" w14:textId="77777777" w:rsidR="00B71BC2" w:rsidRDefault="00B71BC2" w:rsidP="00032752">
      <w:pPr>
        <w:spacing w:line="360" w:lineRule="auto"/>
        <w:jc w:val="both"/>
        <w:rPr>
          <w:rFonts w:ascii="Arial" w:hAnsi="Arial" w:cs="Arial"/>
          <w:sz w:val="24"/>
          <w:szCs w:val="24"/>
        </w:rPr>
      </w:pPr>
    </w:p>
    <w:p w14:paraId="21F5284C" w14:textId="77777777" w:rsidR="00B71BC2" w:rsidRDefault="00B71BC2" w:rsidP="00032752">
      <w:pPr>
        <w:spacing w:line="360" w:lineRule="auto"/>
        <w:jc w:val="both"/>
        <w:rPr>
          <w:rFonts w:ascii="Arial" w:hAnsi="Arial" w:cs="Arial"/>
          <w:sz w:val="24"/>
          <w:szCs w:val="24"/>
        </w:rPr>
      </w:pPr>
    </w:p>
    <w:p w14:paraId="5DA840E4" w14:textId="77777777" w:rsidR="00BE2B1B" w:rsidRPr="00BE2B1B" w:rsidRDefault="00BE2B1B" w:rsidP="00BE2B1B">
      <w:pPr>
        <w:rPr>
          <w:lang w:val="en-US"/>
        </w:rPr>
      </w:pPr>
    </w:p>
    <w:p w14:paraId="4BFD849E" w14:textId="77777777" w:rsidR="00565E8E" w:rsidRDefault="00565E8E" w:rsidP="002A77AB">
      <w:pPr>
        <w:spacing w:line="360" w:lineRule="auto"/>
        <w:jc w:val="both"/>
        <w:rPr>
          <w:rFonts w:ascii="Times New Roman" w:hAnsi="Times New Roman" w:cs="Times New Roman"/>
          <w:sz w:val="24"/>
          <w:szCs w:val="24"/>
        </w:rPr>
      </w:pPr>
    </w:p>
    <w:p w14:paraId="08DA19B2" w14:textId="7803FC93"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1. Introduction</w:t>
      </w:r>
    </w:p>
    <w:p w14:paraId="32188374" w14:textId="77777777"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2. Organizational Structure, Culture, and Goals</w:t>
      </w:r>
    </w:p>
    <w:p w14:paraId="7177BF0C" w14:textId="5E76B0AB"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2.1 Structure</w:t>
      </w:r>
    </w:p>
    <w:p w14:paraId="19E91B42" w14:textId="0A646CD9"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2.2 Culture</w:t>
      </w:r>
    </w:p>
    <w:p w14:paraId="1EC77C09" w14:textId="49B07F06"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2.3 Goals</w:t>
      </w:r>
    </w:p>
    <w:p w14:paraId="65EE1C91" w14:textId="77777777"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3. Recent Change Initiatives and Their Impact</w:t>
      </w:r>
    </w:p>
    <w:p w14:paraId="7ACAC276" w14:textId="1305D9E1"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3.1 Change Initiatives</w:t>
      </w:r>
    </w:p>
    <w:p w14:paraId="4F931643" w14:textId="62845844"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3.2 Impact</w:t>
      </w:r>
    </w:p>
    <w:p w14:paraId="58C9E9AC" w14:textId="77777777"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4. Strategic Direction and Current Business Performance</w:t>
      </w:r>
    </w:p>
    <w:p w14:paraId="55164373" w14:textId="0A3B0624"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4.1 Strategic Direction</w:t>
      </w:r>
    </w:p>
    <w:p w14:paraId="5226760E" w14:textId="156759F7"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4.2 Business Performance</w:t>
      </w:r>
    </w:p>
    <w:p w14:paraId="288BEAC7" w14:textId="77777777"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5. Recommendations</w:t>
      </w:r>
    </w:p>
    <w:p w14:paraId="1ABA9928" w14:textId="38F305C3"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5.1 Strengthen Communication and Collaboration</w:t>
      </w:r>
    </w:p>
    <w:p w14:paraId="0392443D" w14:textId="5E30EA0C"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5.2 Invest in Employee Development</w:t>
      </w:r>
    </w:p>
    <w:p w14:paraId="1D508E30" w14:textId="158FB0E5"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5.3 Embrace Technological Innovation</w:t>
      </w:r>
    </w:p>
    <w:p w14:paraId="366B797E" w14:textId="4481EF33"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5.4 Enhance Sustainability Efforts</w:t>
      </w:r>
    </w:p>
    <w:p w14:paraId="54209723" w14:textId="77777777" w:rsidR="00032752"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6. Conclusion</w:t>
      </w:r>
    </w:p>
    <w:p w14:paraId="13287A34" w14:textId="0152F4AF" w:rsidR="009543B3" w:rsidRPr="002A77AB" w:rsidRDefault="0003275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7. References</w:t>
      </w:r>
    </w:p>
    <w:p w14:paraId="6FAFF118" w14:textId="77777777" w:rsidR="009543B3" w:rsidRPr="002A77AB" w:rsidRDefault="009543B3" w:rsidP="002A77AB">
      <w:pPr>
        <w:spacing w:line="360" w:lineRule="auto"/>
        <w:jc w:val="both"/>
        <w:rPr>
          <w:rFonts w:ascii="Times New Roman" w:hAnsi="Times New Roman" w:cs="Times New Roman"/>
          <w:sz w:val="24"/>
          <w:szCs w:val="24"/>
        </w:rPr>
      </w:pPr>
    </w:p>
    <w:p w14:paraId="40E915EF" w14:textId="77777777" w:rsidR="00B033DB" w:rsidRPr="002A77AB" w:rsidRDefault="00B033DB" w:rsidP="002A77AB">
      <w:pPr>
        <w:spacing w:line="360" w:lineRule="auto"/>
        <w:jc w:val="both"/>
        <w:rPr>
          <w:rFonts w:ascii="Times New Roman" w:hAnsi="Times New Roman" w:cs="Times New Roman"/>
          <w:sz w:val="24"/>
          <w:szCs w:val="24"/>
        </w:rPr>
      </w:pPr>
    </w:p>
    <w:p w14:paraId="3EB069D6" w14:textId="77777777" w:rsidR="000966DF" w:rsidRPr="002A77AB" w:rsidRDefault="000966DF" w:rsidP="002A77AB">
      <w:pPr>
        <w:spacing w:line="360" w:lineRule="auto"/>
        <w:jc w:val="both"/>
        <w:rPr>
          <w:rFonts w:ascii="Times New Roman" w:hAnsi="Times New Roman" w:cs="Times New Roman"/>
          <w:sz w:val="24"/>
          <w:szCs w:val="24"/>
        </w:rPr>
      </w:pPr>
    </w:p>
    <w:p w14:paraId="73FBE32D" w14:textId="77777777" w:rsidR="000966DF" w:rsidRPr="002A77AB" w:rsidRDefault="000966DF" w:rsidP="002A77AB">
      <w:pPr>
        <w:spacing w:line="360" w:lineRule="auto"/>
        <w:jc w:val="both"/>
        <w:rPr>
          <w:rFonts w:ascii="Times New Roman" w:hAnsi="Times New Roman" w:cs="Times New Roman"/>
          <w:sz w:val="24"/>
          <w:szCs w:val="24"/>
        </w:rPr>
      </w:pPr>
    </w:p>
    <w:p w14:paraId="1ECEA0ED" w14:textId="77777777" w:rsidR="000966DF" w:rsidRPr="002A77AB" w:rsidRDefault="000966DF" w:rsidP="002A77AB">
      <w:pPr>
        <w:spacing w:line="360" w:lineRule="auto"/>
        <w:jc w:val="both"/>
        <w:rPr>
          <w:rFonts w:ascii="Times New Roman" w:hAnsi="Times New Roman" w:cs="Times New Roman"/>
          <w:sz w:val="24"/>
          <w:szCs w:val="24"/>
        </w:rPr>
      </w:pPr>
    </w:p>
    <w:p w14:paraId="1306CC4B" w14:textId="77777777" w:rsidR="0092713A" w:rsidRDefault="0092713A" w:rsidP="002A77AB">
      <w:pPr>
        <w:spacing w:line="360" w:lineRule="auto"/>
        <w:jc w:val="both"/>
        <w:rPr>
          <w:rFonts w:ascii="Times New Roman" w:hAnsi="Times New Roman" w:cs="Times New Roman"/>
          <w:b/>
          <w:bCs/>
          <w:sz w:val="24"/>
          <w:szCs w:val="24"/>
        </w:rPr>
      </w:pPr>
    </w:p>
    <w:p w14:paraId="0CCE4CCB" w14:textId="1F2A0869" w:rsidR="004E7F6F" w:rsidRPr="002A77AB" w:rsidRDefault="004E7F6F" w:rsidP="002A77AB">
      <w:pPr>
        <w:spacing w:line="360" w:lineRule="auto"/>
        <w:jc w:val="both"/>
        <w:rPr>
          <w:rFonts w:ascii="Times New Roman" w:hAnsi="Times New Roman" w:cs="Times New Roman"/>
          <w:b/>
          <w:bCs/>
          <w:sz w:val="24"/>
          <w:szCs w:val="24"/>
        </w:rPr>
      </w:pPr>
      <w:r w:rsidRPr="002A77AB">
        <w:rPr>
          <w:rFonts w:ascii="Times New Roman" w:hAnsi="Times New Roman" w:cs="Times New Roman"/>
          <w:b/>
          <w:bCs/>
          <w:sz w:val="24"/>
          <w:szCs w:val="24"/>
        </w:rPr>
        <w:lastRenderedPageBreak/>
        <w:t>Executive Summary:</w:t>
      </w:r>
    </w:p>
    <w:p w14:paraId="7538A4CE" w14:textId="25A44CAB" w:rsidR="000E3116" w:rsidRDefault="004E7F6F"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This report offers a thorough examination of Hyatt Group, a prominent global hospitality entity renowned for its luxury hotels and resorts. Established in 1957 by Jay Pritzker, Hyatt Hotels Corporation engages in hotel ownership, operation, franchising, and management across the globe. Its diverse portfolio includes renowned brands such as Park Hyatt, Grand Hyatt, Hyatt Regency, Andaz, Hyatt Place, and Hyatt House. Hyatt distinguishes itself through its unwavering dedication to exceptional guest experiences, innovative design, and top-tier service. Moreover, the company prioritizes sustainability, diversity, and corporate social responsibility. This report delves into Hyatt's organizational framework, cultural ethos, recent strategic initiatives, directional focus, and present business performance. By integrating pertinent theories and contemporary resources, the report aims to furnish holistic insights into Hyatt's corporate and operational landscape, proposing recommendations for enhancement and future prosperity.</w:t>
      </w:r>
    </w:p>
    <w:p w14:paraId="2C1CA098" w14:textId="77777777" w:rsidR="00AD296E" w:rsidRPr="00AD296E" w:rsidRDefault="00AD296E" w:rsidP="002A77AB">
      <w:pPr>
        <w:spacing w:line="360" w:lineRule="auto"/>
        <w:jc w:val="both"/>
        <w:rPr>
          <w:rFonts w:ascii="Times New Roman" w:hAnsi="Times New Roman" w:cs="Times New Roman"/>
          <w:sz w:val="24"/>
          <w:szCs w:val="24"/>
        </w:rPr>
      </w:pPr>
    </w:p>
    <w:p w14:paraId="3AD604D7" w14:textId="4F457BBD" w:rsidR="00624E0B" w:rsidRPr="002A77AB" w:rsidRDefault="00E63168" w:rsidP="002A77A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1. </w:t>
      </w:r>
      <w:r w:rsidR="00AD296E">
        <w:rPr>
          <w:rFonts w:ascii="Times New Roman" w:hAnsi="Times New Roman" w:cs="Times New Roman"/>
          <w:b/>
          <w:bCs/>
          <w:sz w:val="24"/>
          <w:szCs w:val="24"/>
        </w:rPr>
        <w:t>I</w:t>
      </w:r>
      <w:r w:rsidR="00624E0B" w:rsidRPr="002A77AB">
        <w:rPr>
          <w:rFonts w:ascii="Times New Roman" w:hAnsi="Times New Roman" w:cs="Times New Roman"/>
          <w:b/>
          <w:bCs/>
          <w:sz w:val="24"/>
          <w:szCs w:val="24"/>
        </w:rPr>
        <w:t>ntroduction</w:t>
      </w:r>
      <w:r w:rsidR="00624E0B" w:rsidRPr="002A77AB">
        <w:rPr>
          <w:rFonts w:ascii="Times New Roman" w:hAnsi="Times New Roman" w:cs="Times New Roman"/>
          <w:b/>
          <w:bCs/>
          <w:sz w:val="24"/>
          <w:szCs w:val="24"/>
        </w:rPr>
        <w:t>:</w:t>
      </w:r>
    </w:p>
    <w:p w14:paraId="2844BCAC" w14:textId="3F847E9A" w:rsidR="00624E0B" w:rsidRPr="002A77AB" w:rsidRDefault="00624E0B"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In the dynamic landscape of the hospitality industry, Hyatt Group stands out as a prominent player, boasting a rich portfolio of upscale hotels and resorts. PricewaterhouseCoopers (2023) sheds light on current market trends and industry developments, emphasizing the need for Hyatt to continually assess its organizational structure, culture, and strategic direction to maintain its competitive edge and foster sustainable growth. Through meticulous audits and analyses, Hyatt gains invaluable insights into its strengths and areas for enhancement, enabling swift adaptation to evolving market dynamics and consumer preferences. The company's dedication to innovation and responsible business practices, as highlighted by Smith et al. (2023) in their exploration of "organizational fortitude," underscores its commitment to meeting customer expectations and driving enduring growth.</w:t>
      </w:r>
    </w:p>
    <w:p w14:paraId="50E9AB23" w14:textId="77777777" w:rsidR="00624E0B" w:rsidRPr="002A77AB" w:rsidRDefault="00624E0B" w:rsidP="002A77AB">
      <w:pPr>
        <w:spacing w:line="360" w:lineRule="auto"/>
        <w:jc w:val="both"/>
        <w:rPr>
          <w:rFonts w:ascii="Times New Roman" w:hAnsi="Times New Roman" w:cs="Times New Roman"/>
          <w:b/>
          <w:bCs/>
          <w:sz w:val="24"/>
          <w:szCs w:val="24"/>
        </w:rPr>
      </w:pPr>
    </w:p>
    <w:p w14:paraId="6D0283C7" w14:textId="0B1C145A" w:rsidR="006F060A" w:rsidRPr="002A77AB" w:rsidRDefault="00E63168" w:rsidP="002A77A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2. </w:t>
      </w:r>
      <w:r w:rsidR="006F060A" w:rsidRPr="002A77AB">
        <w:rPr>
          <w:rFonts w:ascii="Times New Roman" w:hAnsi="Times New Roman" w:cs="Times New Roman"/>
          <w:b/>
          <w:bCs/>
          <w:sz w:val="24"/>
          <w:szCs w:val="24"/>
        </w:rPr>
        <w:t>Organizational Structure, Culture, and Goals:</w:t>
      </w:r>
    </w:p>
    <w:p w14:paraId="148660A8" w14:textId="77777777" w:rsidR="006F060A" w:rsidRPr="002A77AB" w:rsidRDefault="006F060A"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2.1 Structure:</w:t>
      </w:r>
    </w:p>
    <w:p w14:paraId="0236CE26" w14:textId="77777777" w:rsidR="006F060A" w:rsidRPr="002A77AB" w:rsidRDefault="006F060A"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Hyatt Hotels Corporation's annual report for 2023 highlights the company's journey towards achieving global success through decentralization (Hyatt Hotels Corporation, 2024). Hyatt's </w:t>
      </w:r>
      <w:r w:rsidRPr="002A77AB">
        <w:rPr>
          <w:rFonts w:ascii="Times New Roman" w:hAnsi="Times New Roman" w:cs="Times New Roman"/>
          <w:sz w:val="24"/>
          <w:szCs w:val="24"/>
        </w:rPr>
        <w:lastRenderedPageBreak/>
        <w:t>organizational structure strikes a balance between centralized control and decentralized decision-making. Operating a vast network of hotels and resorts globally, each property has its management team overseeing day-to-day operations. Yet, overarching corporate standards and policies ensure consistency and brand integrity.</w:t>
      </w:r>
    </w:p>
    <w:p w14:paraId="0B8F355D" w14:textId="77777777" w:rsidR="006F060A" w:rsidRPr="002A77AB" w:rsidRDefault="006F060A" w:rsidP="002A77AB">
      <w:pPr>
        <w:spacing w:line="360" w:lineRule="auto"/>
        <w:jc w:val="both"/>
        <w:rPr>
          <w:rFonts w:ascii="Times New Roman" w:hAnsi="Times New Roman" w:cs="Times New Roman"/>
          <w:sz w:val="24"/>
          <w:szCs w:val="24"/>
        </w:rPr>
      </w:pPr>
    </w:p>
    <w:p w14:paraId="0FFEF50D" w14:textId="77777777" w:rsidR="006F060A" w:rsidRPr="002A77AB" w:rsidRDefault="006F060A"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For instance, Hyatt boasts a diverse brand portfolio targeting various market segments, from luxury to budget-conscious </w:t>
      </w:r>
      <w:proofErr w:type="spellStart"/>
      <w:r w:rsidRPr="002A77AB">
        <w:rPr>
          <w:rFonts w:ascii="Times New Roman" w:hAnsi="Times New Roman" w:cs="Times New Roman"/>
          <w:sz w:val="24"/>
          <w:szCs w:val="24"/>
        </w:rPr>
        <w:t>travelers</w:t>
      </w:r>
      <w:proofErr w:type="spellEnd"/>
      <w:r w:rsidRPr="002A77AB">
        <w:rPr>
          <w:rFonts w:ascii="Times New Roman" w:hAnsi="Times New Roman" w:cs="Times New Roman"/>
          <w:sz w:val="24"/>
          <w:szCs w:val="24"/>
        </w:rPr>
        <w:t>. Each brand may adopt a distinct organizational structure tailored to its clientele and services. A luxury brand like Park Hyatt might implement a more centralized structure with rigorous quality control, while a budget-friendly brand like Hyatt Place may opt for decentralization, empowering local teams for operational decisions (Hollander, 2022).</w:t>
      </w:r>
    </w:p>
    <w:p w14:paraId="430BAA09" w14:textId="77777777" w:rsidR="006F060A" w:rsidRPr="002A77AB" w:rsidRDefault="006F060A" w:rsidP="002A77AB">
      <w:pPr>
        <w:spacing w:line="360" w:lineRule="auto"/>
        <w:jc w:val="both"/>
        <w:rPr>
          <w:rFonts w:ascii="Times New Roman" w:hAnsi="Times New Roman" w:cs="Times New Roman"/>
          <w:sz w:val="24"/>
          <w:szCs w:val="24"/>
        </w:rPr>
      </w:pPr>
    </w:p>
    <w:p w14:paraId="31870050" w14:textId="77777777" w:rsidR="006F060A" w:rsidRPr="002A77AB" w:rsidRDefault="006F060A"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This decentralized approach enables properties to swiftly adapt to local market dynamics and guest preferences. For instance, a Hyatt Regency in a bustling urban hub may employ a dynamic structure to respond promptly to changing guest demographics or competitive landscapes (Booking.com, 2024). Conversely, a resort property in a leisure destination may adopt a more flexible approach to enhance the vacation experience (</w:t>
      </w:r>
      <w:proofErr w:type="spellStart"/>
      <w:r w:rsidRPr="002A77AB">
        <w:rPr>
          <w:rFonts w:ascii="Times New Roman" w:hAnsi="Times New Roman" w:cs="Times New Roman"/>
          <w:sz w:val="24"/>
          <w:szCs w:val="24"/>
        </w:rPr>
        <w:t>Tripadvisor</w:t>
      </w:r>
      <w:proofErr w:type="spellEnd"/>
      <w:r w:rsidRPr="002A77AB">
        <w:rPr>
          <w:rFonts w:ascii="Times New Roman" w:hAnsi="Times New Roman" w:cs="Times New Roman"/>
          <w:sz w:val="24"/>
          <w:szCs w:val="24"/>
        </w:rPr>
        <w:t>, 2024).</w:t>
      </w:r>
    </w:p>
    <w:p w14:paraId="2323C18D" w14:textId="77777777" w:rsidR="006F060A" w:rsidRPr="002A77AB" w:rsidRDefault="006F060A" w:rsidP="002A77AB">
      <w:pPr>
        <w:spacing w:line="360" w:lineRule="auto"/>
        <w:jc w:val="both"/>
        <w:rPr>
          <w:rFonts w:ascii="Times New Roman" w:hAnsi="Times New Roman" w:cs="Times New Roman"/>
          <w:sz w:val="24"/>
          <w:szCs w:val="24"/>
        </w:rPr>
      </w:pPr>
    </w:p>
    <w:p w14:paraId="2DC4F273" w14:textId="77777777" w:rsidR="006F060A" w:rsidRPr="002A77AB" w:rsidRDefault="006F060A"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However, decentralized structures pose challenges in coordination and communication. Ensuring alignment with corporate objectives and standards amidst autonomy requires meticulous effort. Implementing company-wide initiatives may necessitate extensive coordination and communication to maintain consistency (Tsybulko, n.d.). Despite challenges, Hyatt's decentralized structure fosters innovation and agility at the unit level. Empowering local teams to make strategic decisions based on market knowledge enhances guest satisfaction and maintains competitiveness.</w:t>
      </w:r>
    </w:p>
    <w:p w14:paraId="7795F067" w14:textId="77777777" w:rsidR="006F060A" w:rsidRPr="002A77AB" w:rsidRDefault="006F060A" w:rsidP="002A77AB">
      <w:pPr>
        <w:spacing w:line="360" w:lineRule="auto"/>
        <w:jc w:val="both"/>
        <w:rPr>
          <w:rFonts w:ascii="Times New Roman" w:hAnsi="Times New Roman" w:cs="Times New Roman"/>
          <w:sz w:val="24"/>
          <w:szCs w:val="24"/>
        </w:rPr>
      </w:pPr>
    </w:p>
    <w:p w14:paraId="1CFB2764" w14:textId="4F51C088" w:rsidR="00FD0B4C" w:rsidRPr="00E63168" w:rsidRDefault="00FD0B4C" w:rsidP="002A77AB">
      <w:pPr>
        <w:spacing w:line="360" w:lineRule="auto"/>
        <w:jc w:val="both"/>
        <w:rPr>
          <w:rFonts w:ascii="Times New Roman" w:hAnsi="Times New Roman" w:cs="Times New Roman"/>
          <w:sz w:val="24"/>
          <w:szCs w:val="24"/>
        </w:rPr>
      </w:pPr>
      <w:r w:rsidRPr="00E63168">
        <w:rPr>
          <w:rFonts w:ascii="Times New Roman" w:hAnsi="Times New Roman" w:cs="Times New Roman"/>
          <w:sz w:val="24"/>
          <w:szCs w:val="24"/>
        </w:rPr>
        <w:t>2.2 Culture:</w:t>
      </w:r>
    </w:p>
    <w:p w14:paraId="6A22E002"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Hyatt's organizational culture, epitomized by its core values and impactful practices, is extensively detailed on their official website (Hyatt, 2024).</w:t>
      </w:r>
    </w:p>
    <w:p w14:paraId="56F8A985" w14:textId="77777777" w:rsidR="00FD0B4C" w:rsidRPr="002A77AB" w:rsidRDefault="00FD0B4C" w:rsidP="002A77AB">
      <w:pPr>
        <w:spacing w:line="360" w:lineRule="auto"/>
        <w:jc w:val="both"/>
        <w:rPr>
          <w:rFonts w:ascii="Times New Roman" w:hAnsi="Times New Roman" w:cs="Times New Roman"/>
          <w:sz w:val="24"/>
          <w:szCs w:val="24"/>
        </w:rPr>
      </w:pPr>
    </w:p>
    <w:p w14:paraId="48CCC7C8" w14:textId="51292126" w:rsidR="00FD0B4C" w:rsidRPr="006A733A" w:rsidRDefault="00FD0B4C" w:rsidP="002A77AB">
      <w:pPr>
        <w:spacing w:line="360" w:lineRule="auto"/>
        <w:jc w:val="both"/>
        <w:rPr>
          <w:rFonts w:ascii="Times New Roman" w:hAnsi="Times New Roman" w:cs="Times New Roman"/>
          <w:sz w:val="24"/>
          <w:szCs w:val="24"/>
        </w:rPr>
      </w:pPr>
      <w:r w:rsidRPr="006A733A">
        <w:rPr>
          <w:rFonts w:ascii="Times New Roman" w:hAnsi="Times New Roman" w:cs="Times New Roman"/>
          <w:sz w:val="24"/>
          <w:szCs w:val="24"/>
        </w:rPr>
        <w:lastRenderedPageBreak/>
        <w:t>Excellence in Customer Service:</w:t>
      </w:r>
    </w:p>
    <w:p w14:paraId="73191613"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prioritizes exceptional guest experiences through comprehensive training programs.</w:t>
      </w:r>
    </w:p>
    <w:p w14:paraId="2470CF9D" w14:textId="77777777" w:rsidR="00FD0B4C"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The company fosters a customer-centric mindset among employees, evident in the "Guest Satisfaction Index."</w:t>
      </w:r>
    </w:p>
    <w:p w14:paraId="68B5C1E5" w14:textId="77777777" w:rsidR="006A733A" w:rsidRPr="002A77AB" w:rsidRDefault="006A733A" w:rsidP="002A77AB">
      <w:pPr>
        <w:spacing w:line="360" w:lineRule="auto"/>
        <w:jc w:val="both"/>
        <w:rPr>
          <w:rFonts w:ascii="Times New Roman" w:hAnsi="Times New Roman" w:cs="Times New Roman"/>
          <w:sz w:val="24"/>
          <w:szCs w:val="24"/>
        </w:rPr>
      </w:pPr>
    </w:p>
    <w:p w14:paraId="31E2E2E1" w14:textId="412A81F5"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Employee Empowerment:</w:t>
      </w:r>
    </w:p>
    <w:p w14:paraId="68269CBD"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cultivates a culture of trust, respect, and collaboration, empowering employees to take ownership of their roles.</w:t>
      </w:r>
    </w:p>
    <w:p w14:paraId="2C57F80C"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The company champions a supportive work environment where employees are encouraged to voice their ideas and concerns.</w:t>
      </w:r>
    </w:p>
    <w:p w14:paraId="45D3A1BA"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(ADVANCING OUR PURPOSE OF CARE: Diversity, Equity and Inclusion at Hyatt 2021 Report, 2021) offers valuable insights into Hyatt's dedication to diversity, equity, and inclusion initiatives.</w:t>
      </w:r>
    </w:p>
    <w:p w14:paraId="62F02D57" w14:textId="77777777" w:rsidR="00FD0B4C" w:rsidRPr="002A77AB" w:rsidRDefault="00FD0B4C" w:rsidP="002A77AB">
      <w:pPr>
        <w:spacing w:line="360" w:lineRule="auto"/>
        <w:jc w:val="both"/>
        <w:rPr>
          <w:rFonts w:ascii="Times New Roman" w:hAnsi="Times New Roman" w:cs="Times New Roman"/>
          <w:sz w:val="24"/>
          <w:szCs w:val="24"/>
        </w:rPr>
      </w:pPr>
    </w:p>
    <w:p w14:paraId="33085B77"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fosters diversity and inclusion in the workplace, reflecting the communities it serves.</w:t>
      </w:r>
    </w:p>
    <w:p w14:paraId="62A9BD8B"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The company's "Diversity and Inclusion Council" drives initiatives to promote diversity.</w:t>
      </w:r>
    </w:p>
    <w:p w14:paraId="24D96B1E"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Initiatives such as the "Hyatt </w:t>
      </w:r>
      <w:proofErr w:type="spellStart"/>
      <w:r w:rsidRPr="002A77AB">
        <w:rPr>
          <w:rFonts w:ascii="Times New Roman" w:hAnsi="Times New Roman" w:cs="Times New Roman"/>
          <w:sz w:val="24"/>
          <w:szCs w:val="24"/>
        </w:rPr>
        <w:t>Women@Work</w:t>
      </w:r>
      <w:proofErr w:type="spellEnd"/>
      <w:r w:rsidRPr="002A77AB">
        <w:rPr>
          <w:rFonts w:ascii="Times New Roman" w:hAnsi="Times New Roman" w:cs="Times New Roman"/>
          <w:sz w:val="24"/>
          <w:szCs w:val="24"/>
        </w:rPr>
        <w:t>" program and partnerships with local community organizations underscore its commitment to supporting diverse communities.</w:t>
      </w:r>
    </w:p>
    <w:p w14:paraId="43EF2DC6"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Impact on Corporate Social Responsibility and Community Engagement:</w:t>
      </w:r>
    </w:p>
    <w:p w14:paraId="49BBD088" w14:textId="77777777" w:rsidR="00FD0B4C" w:rsidRPr="002A77AB" w:rsidRDefault="00FD0B4C" w:rsidP="002A77AB">
      <w:pPr>
        <w:spacing w:line="360" w:lineRule="auto"/>
        <w:jc w:val="both"/>
        <w:rPr>
          <w:rFonts w:ascii="Times New Roman" w:hAnsi="Times New Roman" w:cs="Times New Roman"/>
          <w:sz w:val="24"/>
          <w:szCs w:val="24"/>
        </w:rPr>
      </w:pPr>
    </w:p>
    <w:p w14:paraId="453BD5CF"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Hyatt's "Hyatt Thrive" sustainability program underscores its dedication to environmental stewardship and corporate citizenship.</w:t>
      </w:r>
    </w:p>
    <w:p w14:paraId="23864F53" w14:textId="77777777" w:rsidR="00FD0B4C" w:rsidRPr="002A77AB" w:rsidRDefault="00FD0B4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Through collaborations with local </w:t>
      </w:r>
      <w:proofErr w:type="spellStart"/>
      <w:r w:rsidRPr="002A77AB">
        <w:rPr>
          <w:rFonts w:ascii="Times New Roman" w:hAnsi="Times New Roman" w:cs="Times New Roman"/>
          <w:sz w:val="24"/>
          <w:szCs w:val="24"/>
        </w:rPr>
        <w:t>nonprofit</w:t>
      </w:r>
      <w:proofErr w:type="spellEnd"/>
      <w:r w:rsidRPr="002A77AB">
        <w:rPr>
          <w:rFonts w:ascii="Times New Roman" w:hAnsi="Times New Roman" w:cs="Times New Roman"/>
          <w:sz w:val="24"/>
          <w:szCs w:val="24"/>
        </w:rPr>
        <w:t xml:space="preserve"> organizations and schools, Hyatt supports environmental conservation projects and offers opportunities for employee volunteering and mentorship.</w:t>
      </w:r>
    </w:p>
    <w:p w14:paraId="729DF6EB" w14:textId="77777777" w:rsidR="00FD0B4C" w:rsidRPr="002A77AB" w:rsidRDefault="00FD0B4C" w:rsidP="002A77AB">
      <w:pPr>
        <w:spacing w:line="360" w:lineRule="auto"/>
        <w:jc w:val="both"/>
        <w:rPr>
          <w:rFonts w:ascii="Times New Roman" w:hAnsi="Times New Roman" w:cs="Times New Roman"/>
          <w:b/>
          <w:bCs/>
          <w:sz w:val="24"/>
          <w:szCs w:val="24"/>
        </w:rPr>
      </w:pPr>
    </w:p>
    <w:p w14:paraId="2ADE21DC" w14:textId="42AA84F0" w:rsidR="00793443" w:rsidRPr="002A77AB" w:rsidRDefault="00793443" w:rsidP="002A77AB">
      <w:pPr>
        <w:spacing w:line="360" w:lineRule="auto"/>
        <w:jc w:val="both"/>
        <w:rPr>
          <w:rFonts w:ascii="Times New Roman" w:hAnsi="Times New Roman" w:cs="Times New Roman"/>
          <w:sz w:val="24"/>
          <w:szCs w:val="24"/>
        </w:rPr>
      </w:pPr>
      <w:r w:rsidRPr="00E63168">
        <w:rPr>
          <w:rFonts w:ascii="Times New Roman" w:hAnsi="Times New Roman" w:cs="Times New Roman"/>
          <w:sz w:val="24"/>
          <w:szCs w:val="24"/>
        </w:rPr>
        <w:t>2.3 Goals:</w:t>
      </w:r>
    </w:p>
    <w:p w14:paraId="26C5BA3B"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The Hyatt Hotels Corporation's mission statement, vision, and core values for 2023 are outlined in "Mission Statement, Vision, &amp; Core Values (2023) of Hyatt Hotels Corporation (H)" (The4, n.d.).</w:t>
      </w:r>
    </w:p>
    <w:p w14:paraId="0A8643F3" w14:textId="77777777" w:rsidR="00793443" w:rsidRPr="002A77AB" w:rsidRDefault="00793443" w:rsidP="002A77AB">
      <w:pPr>
        <w:spacing w:line="360" w:lineRule="auto"/>
        <w:jc w:val="both"/>
        <w:rPr>
          <w:rFonts w:ascii="Times New Roman" w:hAnsi="Times New Roman" w:cs="Times New Roman"/>
          <w:sz w:val="24"/>
          <w:szCs w:val="24"/>
        </w:rPr>
      </w:pPr>
    </w:p>
    <w:p w14:paraId="289DC5DA" w14:textId="798AD063"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Exceptional Guest Experiences:</w:t>
      </w:r>
    </w:p>
    <w:p w14:paraId="47BC0DCB"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invests in innovative amenities, personalized services, and memorable experiences.</w:t>
      </w:r>
    </w:p>
    <w:p w14:paraId="1469F72C"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The "Hyatt Gold Passport" loyalty program offers exclusive benefits to guests.</w:t>
      </w:r>
    </w:p>
    <w:p w14:paraId="403BFEF8"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Emphasizes design excellence and architectural innovation for unique guest experiences.</w:t>
      </w:r>
    </w:p>
    <w:p w14:paraId="58B13B78"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Sustainable Growth and Profitability:</w:t>
      </w:r>
    </w:p>
    <w:p w14:paraId="22436075" w14:textId="77777777" w:rsidR="00793443" w:rsidRPr="002A77AB" w:rsidRDefault="00793443" w:rsidP="002A77AB">
      <w:pPr>
        <w:spacing w:line="360" w:lineRule="auto"/>
        <w:jc w:val="both"/>
        <w:rPr>
          <w:rFonts w:ascii="Times New Roman" w:hAnsi="Times New Roman" w:cs="Times New Roman"/>
          <w:sz w:val="24"/>
          <w:szCs w:val="24"/>
        </w:rPr>
      </w:pPr>
    </w:p>
    <w:p w14:paraId="0DD837A2"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balances growth with sustainability.</w:t>
      </w:r>
    </w:p>
    <w:p w14:paraId="3ADAEE23"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The company's "2025 Environmental Sustainability Goals" aim to reduce greenhouse gas emissions, water consumption, and waste generation.</w:t>
      </w:r>
    </w:p>
    <w:p w14:paraId="3F5BE4AB" w14:textId="6FB951DB" w:rsidR="00477BB4"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Investments in renewable energy, energy-efficient technologies, and waste reduction initiatives are made.</w:t>
      </w:r>
    </w:p>
    <w:p w14:paraId="3BB6038B" w14:textId="77777777" w:rsidR="00477BB4" w:rsidRPr="002A77AB" w:rsidRDefault="00477BB4" w:rsidP="002A77AB">
      <w:pPr>
        <w:spacing w:line="360" w:lineRule="auto"/>
        <w:jc w:val="both"/>
        <w:rPr>
          <w:rFonts w:ascii="Times New Roman" w:hAnsi="Times New Roman" w:cs="Times New Roman"/>
          <w:sz w:val="24"/>
          <w:szCs w:val="24"/>
        </w:rPr>
      </w:pPr>
    </w:p>
    <w:p w14:paraId="06227A54"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Market Expansion and Brand Diversification:</w:t>
      </w:r>
    </w:p>
    <w:p w14:paraId="7DFD80B8"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expands its presence in key markets and diversifies its brand portfolio.</w:t>
      </w:r>
    </w:p>
    <w:p w14:paraId="014016A6" w14:textId="77777777" w:rsidR="00793443"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Strategic acquisitions and partnerships enable entry into emerging markets and target new customer segments.</w:t>
      </w:r>
    </w:p>
    <w:p w14:paraId="6B8321E9" w14:textId="77777777" w:rsidR="00477BB4" w:rsidRPr="002A77AB" w:rsidRDefault="00477BB4" w:rsidP="002A77AB">
      <w:pPr>
        <w:spacing w:line="360" w:lineRule="auto"/>
        <w:jc w:val="both"/>
        <w:rPr>
          <w:rFonts w:ascii="Times New Roman" w:hAnsi="Times New Roman" w:cs="Times New Roman"/>
          <w:sz w:val="24"/>
          <w:szCs w:val="24"/>
        </w:rPr>
      </w:pPr>
    </w:p>
    <w:p w14:paraId="3E5E17EB" w14:textId="5BEC25C9"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Embracing Emerging Trends:</w:t>
      </w:r>
    </w:p>
    <w:p w14:paraId="3AC879F6"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remains agile and responsive to emerging trends in the hospitality industry.</w:t>
      </w:r>
    </w:p>
    <w:p w14:paraId="37FB9D99"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Strategic investments in wellness-focused amenities cater to the growing demand for holistic travel experiences.</w:t>
      </w:r>
    </w:p>
    <w:p w14:paraId="4AD9B825" w14:textId="77777777" w:rsidR="00793443"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The "Hyatt Wellbeing Experience" at select properties promotes relaxation, rejuvenation, and overall well-being.</w:t>
      </w:r>
    </w:p>
    <w:p w14:paraId="3116986C" w14:textId="1D7A3ACF" w:rsidR="00FD0B4C" w:rsidRPr="002A77AB" w:rsidRDefault="00793443"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The comprehensive overview of Hyatt Hotels Corporation provided by </w:t>
      </w:r>
      <w:proofErr w:type="spellStart"/>
      <w:r w:rsidRPr="002A77AB">
        <w:rPr>
          <w:rFonts w:ascii="Times New Roman" w:hAnsi="Times New Roman" w:cs="Times New Roman"/>
          <w:sz w:val="24"/>
          <w:szCs w:val="24"/>
        </w:rPr>
        <w:t>NomadTreneur</w:t>
      </w:r>
      <w:proofErr w:type="spellEnd"/>
      <w:r w:rsidRPr="002A77AB">
        <w:rPr>
          <w:rFonts w:ascii="Times New Roman" w:hAnsi="Times New Roman" w:cs="Times New Roman"/>
          <w:sz w:val="24"/>
          <w:szCs w:val="24"/>
        </w:rPr>
        <w:t xml:space="preserve"> (2023) offers valuable insights into the operations and significance of this hospitality giant.</w:t>
      </w:r>
    </w:p>
    <w:p w14:paraId="63A39566" w14:textId="77777777" w:rsidR="00F8180A" w:rsidRPr="002A77AB" w:rsidRDefault="00F8180A" w:rsidP="002A77AB">
      <w:pPr>
        <w:spacing w:line="360" w:lineRule="auto"/>
        <w:jc w:val="both"/>
        <w:rPr>
          <w:rFonts w:ascii="Times New Roman" w:hAnsi="Times New Roman" w:cs="Times New Roman"/>
          <w:sz w:val="24"/>
          <w:szCs w:val="24"/>
        </w:rPr>
      </w:pPr>
    </w:p>
    <w:p w14:paraId="01EC792E" w14:textId="77777777" w:rsidR="0012016A" w:rsidRPr="00E63168" w:rsidRDefault="0012016A" w:rsidP="002A77AB">
      <w:pPr>
        <w:spacing w:line="360" w:lineRule="auto"/>
        <w:jc w:val="both"/>
        <w:rPr>
          <w:rFonts w:ascii="Times New Roman" w:hAnsi="Times New Roman" w:cs="Times New Roman"/>
          <w:b/>
          <w:bCs/>
          <w:sz w:val="24"/>
          <w:szCs w:val="24"/>
        </w:rPr>
      </w:pPr>
      <w:r w:rsidRPr="00E63168">
        <w:rPr>
          <w:rFonts w:ascii="Times New Roman" w:hAnsi="Times New Roman" w:cs="Times New Roman"/>
          <w:b/>
          <w:bCs/>
          <w:sz w:val="24"/>
          <w:szCs w:val="24"/>
        </w:rPr>
        <w:t>3. Recent Change Initiatives and Their Impact:</w:t>
      </w:r>
    </w:p>
    <w:p w14:paraId="4C3BC169" w14:textId="77777777" w:rsidR="00056178" w:rsidRPr="002A77AB" w:rsidRDefault="00056178" w:rsidP="002A77AB">
      <w:pPr>
        <w:spacing w:line="360" w:lineRule="auto"/>
        <w:jc w:val="both"/>
        <w:rPr>
          <w:rFonts w:ascii="Times New Roman" w:hAnsi="Times New Roman" w:cs="Times New Roman"/>
          <w:b/>
          <w:bCs/>
          <w:color w:val="4472C4" w:themeColor="accent1"/>
          <w:sz w:val="24"/>
          <w:szCs w:val="24"/>
        </w:rPr>
      </w:pPr>
    </w:p>
    <w:p w14:paraId="113CAA5F" w14:textId="5BABB5AC" w:rsidR="00491E74" w:rsidRPr="00E63168" w:rsidRDefault="00491E74" w:rsidP="002A77AB">
      <w:pPr>
        <w:spacing w:line="360" w:lineRule="auto"/>
        <w:jc w:val="both"/>
        <w:rPr>
          <w:rFonts w:ascii="Times New Roman" w:hAnsi="Times New Roman" w:cs="Times New Roman"/>
          <w:sz w:val="24"/>
          <w:szCs w:val="24"/>
        </w:rPr>
      </w:pPr>
      <w:r w:rsidRPr="00E63168">
        <w:rPr>
          <w:rFonts w:ascii="Times New Roman" w:hAnsi="Times New Roman" w:cs="Times New Roman"/>
          <w:sz w:val="24"/>
          <w:szCs w:val="24"/>
        </w:rPr>
        <w:t>3.1 Change Initiatives:</w:t>
      </w:r>
    </w:p>
    <w:p w14:paraId="5F60C072" w14:textId="77777777"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The initiatives led by Egan, M. and </w:t>
      </w:r>
      <w:proofErr w:type="spellStart"/>
      <w:r w:rsidRPr="002A77AB">
        <w:rPr>
          <w:rFonts w:ascii="Times New Roman" w:hAnsi="Times New Roman" w:cs="Times New Roman"/>
          <w:sz w:val="24"/>
          <w:szCs w:val="24"/>
        </w:rPr>
        <w:t>Hoplamazian</w:t>
      </w:r>
      <w:proofErr w:type="spellEnd"/>
      <w:r w:rsidRPr="002A77AB">
        <w:rPr>
          <w:rFonts w:ascii="Times New Roman" w:hAnsi="Times New Roman" w:cs="Times New Roman"/>
          <w:sz w:val="24"/>
          <w:szCs w:val="24"/>
        </w:rPr>
        <w:t>, M. (2021), Executive Vice President and General Counsel President, Chief Executive Officer and Co-Chair of the Global DE&amp;I Council at Hyatt, are detailed in their report.</w:t>
      </w:r>
    </w:p>
    <w:p w14:paraId="1DC3CFA0" w14:textId="77777777" w:rsidR="00491E74" w:rsidRPr="002A77AB" w:rsidRDefault="00491E74" w:rsidP="002A77AB">
      <w:pPr>
        <w:spacing w:line="360" w:lineRule="auto"/>
        <w:jc w:val="both"/>
        <w:rPr>
          <w:rFonts w:ascii="Times New Roman" w:hAnsi="Times New Roman" w:cs="Times New Roman"/>
          <w:sz w:val="24"/>
          <w:szCs w:val="24"/>
        </w:rPr>
      </w:pPr>
    </w:p>
    <w:p w14:paraId="4A2DD4AD" w14:textId="111509AF"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Digital Transformation:</w:t>
      </w:r>
    </w:p>
    <w:p w14:paraId="5B44C78A" w14:textId="77777777"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Invested in digital transformation to enhance guest engagement and streamline operations (Goldman, n.d.).</w:t>
      </w:r>
    </w:p>
    <w:p w14:paraId="78A7D90A" w14:textId="77777777" w:rsidR="00491E74"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Introduced the "Hyatt Mobile App" for direct booking, check-in/out, and hotel services access (Hyatt Newsroom, 2023).</w:t>
      </w:r>
    </w:p>
    <w:p w14:paraId="6ABA49AA" w14:textId="77777777" w:rsidR="00056178" w:rsidRPr="002A77AB" w:rsidRDefault="00056178" w:rsidP="002A77AB">
      <w:pPr>
        <w:spacing w:line="360" w:lineRule="auto"/>
        <w:jc w:val="both"/>
        <w:rPr>
          <w:rFonts w:ascii="Times New Roman" w:hAnsi="Times New Roman" w:cs="Times New Roman"/>
          <w:sz w:val="24"/>
          <w:szCs w:val="24"/>
        </w:rPr>
      </w:pPr>
    </w:p>
    <w:p w14:paraId="21698899" w14:textId="6CAD26E3"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Sustainability Initiatives:</w:t>
      </w:r>
    </w:p>
    <w:p w14:paraId="68AA22C2" w14:textId="77777777"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Implemented energy-saving measures and waste-reduction strategies (News, E.S.G., 2023).</w:t>
      </w:r>
    </w:p>
    <w:p w14:paraId="620449C3" w14:textId="77777777"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Adopted composting programs and single-use plastic bans (Hyatt, n.d.).</w:t>
      </w:r>
    </w:p>
    <w:p w14:paraId="598E9D26" w14:textId="77777777"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Employee Training and Development:</w:t>
      </w:r>
    </w:p>
    <w:p w14:paraId="4F2F9671" w14:textId="77777777" w:rsidR="00491E74" w:rsidRPr="002A77AB" w:rsidRDefault="00491E74" w:rsidP="002A77AB">
      <w:pPr>
        <w:spacing w:line="360" w:lineRule="auto"/>
        <w:jc w:val="both"/>
        <w:rPr>
          <w:rFonts w:ascii="Times New Roman" w:hAnsi="Times New Roman" w:cs="Times New Roman"/>
          <w:sz w:val="24"/>
          <w:szCs w:val="24"/>
        </w:rPr>
      </w:pPr>
    </w:p>
    <w:p w14:paraId="6FAB4C82" w14:textId="77777777"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Launched comprehensive training programs on customer service excellence, diversity and inclusion, and leadership development (PricewaterhouseCoopers, 2023).</w:t>
      </w:r>
    </w:p>
    <w:p w14:paraId="19A300CE" w14:textId="77777777" w:rsidR="00491E74"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Provided career advancement opportunities through the "Hyatt University" platform (ADVANCING OUR PURPOSE OF CARE: Diversity, Equity and Inclusion at Hyatt 2021 Report, 2021).</w:t>
      </w:r>
    </w:p>
    <w:p w14:paraId="3E45A080" w14:textId="77777777" w:rsidR="00BD2A90" w:rsidRPr="002A77AB" w:rsidRDefault="00BD2A90" w:rsidP="002A77AB">
      <w:pPr>
        <w:spacing w:line="360" w:lineRule="auto"/>
        <w:jc w:val="both"/>
        <w:rPr>
          <w:rFonts w:ascii="Times New Roman" w:hAnsi="Times New Roman" w:cs="Times New Roman"/>
          <w:sz w:val="24"/>
          <w:szCs w:val="24"/>
        </w:rPr>
      </w:pPr>
    </w:p>
    <w:p w14:paraId="69321D21" w14:textId="48532AE9"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Brand Refresh and Revitalization:</w:t>
      </w:r>
    </w:p>
    <w:p w14:paraId="42946D67" w14:textId="77777777"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Undertook extensive renovations and refurbishments to modernize hotels and resorts (Hospitality ON, 2023).</w:t>
      </w:r>
    </w:p>
    <w:p w14:paraId="5335F045" w14:textId="77777777" w:rsidR="00491E74"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Introduced new brand concepts and partnerships to cater to niche market segments (Hyatt Hotels Corporation, 2024).</w:t>
      </w:r>
    </w:p>
    <w:p w14:paraId="190A8746" w14:textId="77777777" w:rsidR="00BD2A90" w:rsidRPr="002A77AB" w:rsidRDefault="00BD2A90" w:rsidP="002A77AB">
      <w:pPr>
        <w:spacing w:line="360" w:lineRule="auto"/>
        <w:jc w:val="both"/>
        <w:rPr>
          <w:rFonts w:ascii="Times New Roman" w:hAnsi="Times New Roman" w:cs="Times New Roman"/>
          <w:sz w:val="24"/>
          <w:szCs w:val="24"/>
        </w:rPr>
      </w:pPr>
    </w:p>
    <w:p w14:paraId="19DB4640" w14:textId="3D0EFC4F" w:rsidR="00491E74"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COVID-19 Response and Recovery Efforts:</w:t>
      </w:r>
    </w:p>
    <w:p w14:paraId="5C807EB0" w14:textId="08A42566" w:rsidR="007B4A3E" w:rsidRPr="002A77AB" w:rsidRDefault="00491E74"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Implemented enhanced health and safety protocols, </w:t>
      </w:r>
      <w:r w:rsidR="007A4C1E" w:rsidRPr="002A77AB">
        <w:rPr>
          <w:rFonts w:ascii="Times New Roman" w:hAnsi="Times New Roman" w:cs="Times New Roman"/>
          <w:sz w:val="24"/>
          <w:szCs w:val="24"/>
        </w:rPr>
        <w:t xml:space="preserve">and </w:t>
      </w:r>
      <w:r w:rsidRPr="002A77AB">
        <w:rPr>
          <w:rFonts w:ascii="Times New Roman" w:hAnsi="Times New Roman" w:cs="Times New Roman"/>
          <w:sz w:val="24"/>
          <w:szCs w:val="24"/>
        </w:rPr>
        <w:t>relief efforts, and adapted business model to meet changing customer needs (Staff, L., 2023).</w:t>
      </w:r>
    </w:p>
    <w:p w14:paraId="3A987A90" w14:textId="77777777" w:rsidR="005D6657" w:rsidRDefault="005D6657" w:rsidP="002A77AB">
      <w:pPr>
        <w:spacing w:line="360" w:lineRule="auto"/>
        <w:jc w:val="both"/>
        <w:rPr>
          <w:rFonts w:ascii="Times New Roman" w:hAnsi="Times New Roman" w:cs="Times New Roman"/>
          <w:sz w:val="24"/>
          <w:szCs w:val="24"/>
        </w:rPr>
      </w:pPr>
    </w:p>
    <w:p w14:paraId="5758493E" w14:textId="77777777" w:rsidR="00FF0E9E" w:rsidRPr="002A77AB" w:rsidRDefault="00FF0E9E" w:rsidP="002A77AB">
      <w:pPr>
        <w:spacing w:line="360" w:lineRule="auto"/>
        <w:jc w:val="both"/>
        <w:rPr>
          <w:rFonts w:ascii="Times New Roman" w:hAnsi="Times New Roman" w:cs="Times New Roman"/>
          <w:sz w:val="24"/>
          <w:szCs w:val="24"/>
        </w:rPr>
      </w:pPr>
    </w:p>
    <w:p w14:paraId="743BEB95" w14:textId="5792AEA1" w:rsidR="00796442" w:rsidRPr="00E63168" w:rsidRDefault="00B2429A" w:rsidP="002A77AB">
      <w:pPr>
        <w:spacing w:line="360" w:lineRule="auto"/>
        <w:jc w:val="both"/>
        <w:rPr>
          <w:rFonts w:ascii="Times New Roman" w:hAnsi="Times New Roman" w:cs="Times New Roman"/>
          <w:sz w:val="24"/>
          <w:szCs w:val="24"/>
        </w:rPr>
      </w:pPr>
      <w:r w:rsidRPr="00E63168">
        <w:rPr>
          <w:rFonts w:ascii="Times New Roman" w:hAnsi="Times New Roman" w:cs="Times New Roman"/>
          <w:sz w:val="24"/>
          <w:szCs w:val="24"/>
        </w:rPr>
        <w:t>3</w:t>
      </w:r>
      <w:r w:rsidR="00796442" w:rsidRPr="00E63168">
        <w:rPr>
          <w:rFonts w:ascii="Times New Roman" w:hAnsi="Times New Roman" w:cs="Times New Roman"/>
          <w:sz w:val="24"/>
          <w:szCs w:val="24"/>
        </w:rPr>
        <w:t>.2 Impact:</w:t>
      </w:r>
    </w:p>
    <w:p w14:paraId="39C9A95E" w14:textId="77777777" w:rsidR="00796442" w:rsidRPr="002A77AB" w:rsidRDefault="0079644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Hyatt's initiative "Change Starts Here" on diversity, equity, and inclusion is highlighted on their official website (Hyatt, 2023). The impact of Hyatt's change initiatives can be seen in several ways, with clear and relevant examples:</w:t>
      </w:r>
    </w:p>
    <w:p w14:paraId="087346E8" w14:textId="77777777" w:rsidR="00796442" w:rsidRPr="002A77AB" w:rsidRDefault="00796442" w:rsidP="002A77AB">
      <w:pPr>
        <w:spacing w:line="360" w:lineRule="auto"/>
        <w:jc w:val="both"/>
        <w:rPr>
          <w:rFonts w:ascii="Times New Roman" w:hAnsi="Times New Roman" w:cs="Times New Roman"/>
          <w:sz w:val="24"/>
          <w:szCs w:val="24"/>
        </w:rPr>
      </w:pPr>
    </w:p>
    <w:p w14:paraId="7C2E4D12" w14:textId="7360F24B" w:rsidR="00796442" w:rsidRPr="002A77AB" w:rsidRDefault="0079644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Implementation of new technologies:</w:t>
      </w:r>
    </w:p>
    <w:p w14:paraId="65B052E0" w14:textId="5017DD59" w:rsidR="00796442" w:rsidRPr="002A77AB" w:rsidRDefault="0079644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A clear example of the impact of the initiative to implement new technologies is the introduction of the Hyatt mobile application, which allows guests to check-in and check-out quickly and access hotel services directly from their smartphones. However, the adoption of this technology faced some challenges from employees and guests, who experienced difficulties in familiarizing themselves with the new platform and adapting to changes in hotel service processes. Goldman (2021) stated the technology innovation behind Hyatt’s pandemic pivot indicates a long-lasting change in the hotel industry.</w:t>
      </w:r>
    </w:p>
    <w:p w14:paraId="1457C7EB" w14:textId="0273E8F4" w:rsidR="00796442" w:rsidRPr="002A77AB" w:rsidRDefault="0079644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Effective change management:</w:t>
      </w:r>
    </w:p>
    <w:p w14:paraId="069D3B9F" w14:textId="77777777" w:rsidR="00796442" w:rsidRPr="002A77AB" w:rsidRDefault="0079644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Faced with employee and guest resistance to new technologies, Hyatt implemented effective change management strategies to ease the transition and ensure proper adoption. For example, the company organized training sessions and meetings to educate employees and guests about the benefits and proper use of new technologies, leading to increased understanding and acceptance. Panel (2023) discusses innovative applications of computer vision in an article for Forbes.</w:t>
      </w:r>
    </w:p>
    <w:p w14:paraId="5904ED8B" w14:textId="77777777" w:rsidR="00796442" w:rsidRPr="002A77AB" w:rsidRDefault="00796442" w:rsidP="002A77AB">
      <w:pPr>
        <w:spacing w:line="360" w:lineRule="auto"/>
        <w:jc w:val="both"/>
        <w:rPr>
          <w:rFonts w:ascii="Times New Roman" w:hAnsi="Times New Roman" w:cs="Times New Roman"/>
          <w:sz w:val="24"/>
          <w:szCs w:val="24"/>
        </w:rPr>
      </w:pPr>
    </w:p>
    <w:p w14:paraId="551FF073" w14:textId="119F270B" w:rsidR="00796442" w:rsidRPr="002A77AB" w:rsidRDefault="0079644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Competitive advantage and market leadership:</w:t>
      </w:r>
    </w:p>
    <w:p w14:paraId="45585B45" w14:textId="77777777" w:rsidR="00796442" w:rsidRPr="002A77AB" w:rsidRDefault="0079644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The positive impact of Hyatt's change initiatives can be seen in its consolidation as a market leader and gaining a competitive advantage in the hospitality industry. For example, the company's strategic investments in innovation and customer-centricity have led to increased customer satisfaction and loyalty, solidifying its reputation as a preferred destination for travellers. These initiatives have also helped to increase Hyatt's revenue and market share, cementing its position as an industry leader. Staff (2023) reports on Hyatt's DE&amp;I initiatives and ESG advancements in an article for LODGING Magazine.</w:t>
      </w:r>
    </w:p>
    <w:p w14:paraId="69B24AB1" w14:textId="77777777" w:rsidR="00796442" w:rsidRPr="002A77AB" w:rsidRDefault="00796442" w:rsidP="002A77AB">
      <w:pPr>
        <w:spacing w:line="360" w:lineRule="auto"/>
        <w:jc w:val="both"/>
        <w:rPr>
          <w:rFonts w:ascii="Times New Roman" w:hAnsi="Times New Roman" w:cs="Times New Roman"/>
          <w:sz w:val="24"/>
          <w:szCs w:val="24"/>
        </w:rPr>
      </w:pPr>
    </w:p>
    <w:p w14:paraId="47DFEC15" w14:textId="77777777" w:rsidR="00796442" w:rsidRPr="002A77AB" w:rsidRDefault="00796442" w:rsidP="002A77AB">
      <w:pPr>
        <w:spacing w:line="360" w:lineRule="auto"/>
        <w:jc w:val="both"/>
        <w:rPr>
          <w:rFonts w:ascii="Times New Roman" w:hAnsi="Times New Roman" w:cs="Times New Roman"/>
          <w:sz w:val="24"/>
          <w:szCs w:val="24"/>
        </w:rPr>
      </w:pPr>
    </w:p>
    <w:p w14:paraId="4BE64F05" w14:textId="77777777" w:rsidR="0012016A" w:rsidRPr="00E63168" w:rsidRDefault="0012016A" w:rsidP="002A77AB">
      <w:pPr>
        <w:spacing w:line="360" w:lineRule="auto"/>
        <w:jc w:val="both"/>
        <w:rPr>
          <w:rFonts w:ascii="Times New Roman" w:hAnsi="Times New Roman" w:cs="Times New Roman"/>
          <w:b/>
          <w:bCs/>
          <w:sz w:val="24"/>
          <w:szCs w:val="24"/>
        </w:rPr>
      </w:pPr>
      <w:r w:rsidRPr="00E63168">
        <w:rPr>
          <w:rFonts w:ascii="Times New Roman" w:hAnsi="Times New Roman" w:cs="Times New Roman"/>
          <w:b/>
          <w:bCs/>
          <w:sz w:val="24"/>
          <w:szCs w:val="24"/>
        </w:rPr>
        <w:t>4. Strategic Direction and Current Business Performance:</w:t>
      </w:r>
    </w:p>
    <w:p w14:paraId="2DAF2C20" w14:textId="77777777" w:rsidR="00BE4560" w:rsidRPr="002A77AB" w:rsidRDefault="00BE4560" w:rsidP="002A77AB">
      <w:pPr>
        <w:spacing w:line="360" w:lineRule="auto"/>
        <w:jc w:val="both"/>
        <w:rPr>
          <w:rFonts w:ascii="Times New Roman" w:hAnsi="Times New Roman" w:cs="Times New Roman"/>
          <w:sz w:val="24"/>
          <w:szCs w:val="24"/>
        </w:rPr>
      </w:pPr>
    </w:p>
    <w:p w14:paraId="468A6775" w14:textId="53282B5B" w:rsidR="00F571D0" w:rsidRPr="002A77AB" w:rsidRDefault="00E84BF9" w:rsidP="002A77AB">
      <w:pPr>
        <w:spacing w:line="360" w:lineRule="auto"/>
        <w:jc w:val="both"/>
        <w:rPr>
          <w:rFonts w:ascii="Times New Roman" w:hAnsi="Times New Roman" w:cs="Times New Roman"/>
          <w:sz w:val="24"/>
          <w:szCs w:val="24"/>
        </w:rPr>
      </w:pPr>
      <w:r>
        <w:rPr>
          <w:rFonts w:ascii="Times New Roman" w:hAnsi="Times New Roman" w:cs="Times New Roman"/>
          <w:sz w:val="24"/>
          <w:szCs w:val="24"/>
        </w:rPr>
        <w:t>Strategic</w:t>
      </w:r>
      <w:r w:rsidR="00F571D0" w:rsidRPr="002A77AB">
        <w:rPr>
          <w:rFonts w:ascii="Times New Roman" w:hAnsi="Times New Roman" w:cs="Times New Roman"/>
          <w:sz w:val="24"/>
          <w:szCs w:val="24"/>
        </w:rPr>
        <w:t xml:space="preserve"> Direction and Current Business Performance:</w:t>
      </w:r>
    </w:p>
    <w:p w14:paraId="46AFD177" w14:textId="77777777" w:rsidR="00F571D0" w:rsidRPr="002A77AB" w:rsidRDefault="00F571D0"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4.1 Expansion in Key Markets:</w:t>
      </w:r>
    </w:p>
    <w:p w14:paraId="62039387" w14:textId="77777777" w:rsidR="00F571D0" w:rsidRDefault="00F571D0"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Hyatt's strategic expansion across the Americas Region aims to strengthen its growth in luxury and lifestyle segments (Hyatt Newsroom, 2023). Notably, the acquisition of Two Roads Hospitality in 2018 played a pivotal role in diversifying Hyatt's brand portfolio, adding lifestyle and boutique hotel brands such as Thompson Hotels and Joie de Vivre (Hyatt Newsroom, 2023). These strategic moves reflect Hyatt's commitment to meeting the diverse needs of </w:t>
      </w:r>
      <w:proofErr w:type="spellStart"/>
      <w:r w:rsidRPr="002A77AB">
        <w:rPr>
          <w:rFonts w:ascii="Times New Roman" w:hAnsi="Times New Roman" w:cs="Times New Roman"/>
          <w:sz w:val="24"/>
          <w:szCs w:val="24"/>
        </w:rPr>
        <w:t>travelers</w:t>
      </w:r>
      <w:proofErr w:type="spellEnd"/>
      <w:r w:rsidRPr="002A77AB">
        <w:rPr>
          <w:rFonts w:ascii="Times New Roman" w:hAnsi="Times New Roman" w:cs="Times New Roman"/>
          <w:sz w:val="24"/>
          <w:szCs w:val="24"/>
        </w:rPr>
        <w:t xml:space="preserve"> and solidifying its presence in key markets.</w:t>
      </w:r>
    </w:p>
    <w:p w14:paraId="6BDD9CF0" w14:textId="77777777" w:rsidR="00E84BF9" w:rsidRPr="002A77AB" w:rsidRDefault="00E84BF9" w:rsidP="002A77AB">
      <w:pPr>
        <w:spacing w:line="360" w:lineRule="auto"/>
        <w:jc w:val="both"/>
        <w:rPr>
          <w:rFonts w:ascii="Times New Roman" w:hAnsi="Times New Roman" w:cs="Times New Roman"/>
          <w:sz w:val="24"/>
          <w:szCs w:val="24"/>
        </w:rPr>
      </w:pPr>
    </w:p>
    <w:p w14:paraId="3E3F7EF4" w14:textId="77777777" w:rsidR="00F571D0" w:rsidRPr="002A77AB" w:rsidRDefault="00F571D0"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4.2 Embracing Emerging Trends:</w:t>
      </w:r>
    </w:p>
    <w:p w14:paraId="24F63979" w14:textId="77777777" w:rsidR="00F571D0" w:rsidRPr="002A77AB" w:rsidRDefault="00F571D0"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Hyatt Hotels has demonstrated a proactive approach to embracing sustainability and environmental stewardship, aligning with emerging trends in eco-conscious travel (Hyatt Newsroom, n.d.). Through various eco-friendly practices such as energy-efficient lighting and waste reduction initiatives, Hyatt showcases its dedication to responsible business practices while catering to the evolving preferences of environmentally conscious </w:t>
      </w:r>
      <w:proofErr w:type="spellStart"/>
      <w:r w:rsidRPr="002A77AB">
        <w:rPr>
          <w:rFonts w:ascii="Times New Roman" w:hAnsi="Times New Roman" w:cs="Times New Roman"/>
          <w:sz w:val="24"/>
          <w:szCs w:val="24"/>
        </w:rPr>
        <w:t>travelers</w:t>
      </w:r>
      <w:proofErr w:type="spellEnd"/>
      <w:r w:rsidRPr="002A77AB">
        <w:rPr>
          <w:rFonts w:ascii="Times New Roman" w:hAnsi="Times New Roman" w:cs="Times New Roman"/>
          <w:sz w:val="24"/>
          <w:szCs w:val="24"/>
        </w:rPr>
        <w:t>.</w:t>
      </w:r>
    </w:p>
    <w:p w14:paraId="1507A0D7" w14:textId="77777777" w:rsidR="00F571D0" w:rsidRPr="002A77AB" w:rsidRDefault="00F571D0" w:rsidP="002A77AB">
      <w:pPr>
        <w:spacing w:line="360" w:lineRule="auto"/>
        <w:jc w:val="both"/>
        <w:rPr>
          <w:rFonts w:ascii="Times New Roman" w:hAnsi="Times New Roman" w:cs="Times New Roman"/>
          <w:sz w:val="24"/>
          <w:szCs w:val="24"/>
        </w:rPr>
      </w:pPr>
    </w:p>
    <w:p w14:paraId="60B20F53" w14:textId="77777777" w:rsidR="00F571D0" w:rsidRPr="002A77AB" w:rsidRDefault="00F571D0"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4.3 Environmental Sustainability and Social Responsibility:</w:t>
      </w:r>
    </w:p>
    <w:p w14:paraId="06A73BE7" w14:textId="2A02DE56" w:rsidR="00F571D0" w:rsidRPr="002A77AB" w:rsidRDefault="00F571D0"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Hyatt's environmental and social impact reporting underscores its commitment to transparency and accountability (News, E.S.G., 2023). By disclosing its progress in meeting critical Diversity, Equity, and Inclusion (DE&amp;I) goals and sustaining momentum with key initiatives in 2023, Hyatt showcases its dedication to responsible business practices and social responsibility.</w:t>
      </w:r>
    </w:p>
    <w:p w14:paraId="376DC602" w14:textId="77777777" w:rsidR="00F571D0" w:rsidRPr="002A77AB" w:rsidRDefault="00F571D0" w:rsidP="002A77AB">
      <w:pPr>
        <w:spacing w:line="360" w:lineRule="auto"/>
        <w:jc w:val="both"/>
        <w:rPr>
          <w:rFonts w:ascii="Times New Roman" w:hAnsi="Times New Roman" w:cs="Times New Roman"/>
          <w:sz w:val="24"/>
          <w:szCs w:val="24"/>
        </w:rPr>
      </w:pPr>
    </w:p>
    <w:p w14:paraId="4B6AD0D1" w14:textId="354A2255"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4.2 Business Performance:</w:t>
      </w:r>
    </w:p>
    <w:p w14:paraId="5BD9BCF6"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Hyatt's Resilience and Adaptability During COVID-19</w:t>
      </w:r>
    </w:p>
    <w:p w14:paraId="4B331DCE" w14:textId="77777777" w:rsidR="00486FBC" w:rsidRPr="002A77AB" w:rsidRDefault="00486FBC" w:rsidP="002A77AB">
      <w:pPr>
        <w:spacing w:line="360" w:lineRule="auto"/>
        <w:jc w:val="both"/>
        <w:rPr>
          <w:rFonts w:ascii="Times New Roman" w:hAnsi="Times New Roman" w:cs="Times New Roman"/>
          <w:sz w:val="24"/>
          <w:szCs w:val="24"/>
        </w:rPr>
      </w:pPr>
    </w:p>
    <w:p w14:paraId="030B4C05"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Health and Safety Protocols:</w:t>
      </w:r>
    </w:p>
    <w:p w14:paraId="637009AC"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(2020) outlines comprehensive care and cleanliness protocols in the EAME/SWA region.</w:t>
      </w:r>
    </w:p>
    <w:p w14:paraId="5C2FEB9E"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Enhanced cleaning protocols and implemented contactless procedures.</w:t>
      </w:r>
    </w:p>
    <w:p w14:paraId="356EFEF7"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Hyatt Global Care &amp; Cleanliness Commitment ensures a safe environment for guests and staff.</w:t>
      </w:r>
    </w:p>
    <w:p w14:paraId="7E381927" w14:textId="77777777" w:rsidR="00486FBC" w:rsidRPr="002A77AB" w:rsidRDefault="00486FBC" w:rsidP="002A77AB">
      <w:pPr>
        <w:spacing w:line="360" w:lineRule="auto"/>
        <w:jc w:val="both"/>
        <w:rPr>
          <w:rFonts w:ascii="Times New Roman" w:hAnsi="Times New Roman" w:cs="Times New Roman"/>
          <w:sz w:val="24"/>
          <w:szCs w:val="24"/>
        </w:rPr>
      </w:pPr>
    </w:p>
    <w:p w14:paraId="4929DBB0"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Flexible Booking Policies:</w:t>
      </w:r>
    </w:p>
    <w:p w14:paraId="65DDC5C7" w14:textId="77777777" w:rsidR="00486FBC" w:rsidRPr="002A77AB" w:rsidRDefault="00486FBC" w:rsidP="002A77AB">
      <w:pPr>
        <w:spacing w:line="360" w:lineRule="auto"/>
        <w:jc w:val="both"/>
        <w:rPr>
          <w:rFonts w:ascii="Times New Roman" w:hAnsi="Times New Roman" w:cs="Times New Roman"/>
          <w:sz w:val="24"/>
          <w:szCs w:val="24"/>
        </w:rPr>
      </w:pPr>
      <w:proofErr w:type="spellStart"/>
      <w:r w:rsidRPr="002A77AB">
        <w:rPr>
          <w:rFonts w:ascii="Times New Roman" w:hAnsi="Times New Roman" w:cs="Times New Roman"/>
          <w:sz w:val="24"/>
          <w:szCs w:val="24"/>
        </w:rPr>
        <w:t>TravelPulse</w:t>
      </w:r>
      <w:proofErr w:type="spellEnd"/>
      <w:r w:rsidRPr="002A77AB">
        <w:rPr>
          <w:rFonts w:ascii="Times New Roman" w:hAnsi="Times New Roman" w:cs="Times New Roman"/>
          <w:sz w:val="24"/>
          <w:szCs w:val="24"/>
        </w:rPr>
        <w:t xml:space="preserve"> (2020) notes Hyatt's extension of flexible cancellation policies.</w:t>
      </w:r>
    </w:p>
    <w:p w14:paraId="07F95124"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Waived change fees and extended booking windows.</w:t>
      </w:r>
    </w:p>
    <w:p w14:paraId="64761760" w14:textId="66AACBFA"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Aimed at reassuring guests and accommodating changing travel plans.</w:t>
      </w:r>
    </w:p>
    <w:p w14:paraId="216BA368"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Innovation in Guest Experience:</w:t>
      </w:r>
    </w:p>
    <w:p w14:paraId="39689BFB"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Hospitality Tech (2020) highlights Hyatt's efforts in reimagining the hotel experience.</w:t>
      </w:r>
    </w:p>
    <w:p w14:paraId="7D34C5CB"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Introduced digital amenities to enhance guest satisfaction.</w:t>
      </w:r>
    </w:p>
    <w:p w14:paraId="6C95063D"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Adapting to evolving consumer preferences.</w:t>
      </w:r>
    </w:p>
    <w:p w14:paraId="2C1D37FD" w14:textId="77777777" w:rsidR="00486FBC" w:rsidRPr="002A77AB" w:rsidRDefault="00486FBC" w:rsidP="002A77AB">
      <w:pPr>
        <w:spacing w:line="360" w:lineRule="auto"/>
        <w:jc w:val="both"/>
        <w:rPr>
          <w:rFonts w:ascii="Times New Roman" w:hAnsi="Times New Roman" w:cs="Times New Roman"/>
          <w:sz w:val="24"/>
          <w:szCs w:val="24"/>
        </w:rPr>
      </w:pPr>
    </w:p>
    <w:p w14:paraId="77F9B90D"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Community Support and Relief Efforts:</w:t>
      </w:r>
    </w:p>
    <w:p w14:paraId="423D2740"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(2021) underscores its commitment to community engagement.</w:t>
      </w:r>
    </w:p>
    <w:p w14:paraId="3F17A215"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Provided support to affected communities and frontline workers.</w:t>
      </w:r>
    </w:p>
    <w:p w14:paraId="08B1E5AF"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Financial assistance to furloughed employees and relief efforts.</w:t>
      </w:r>
    </w:p>
    <w:p w14:paraId="2BC52D30" w14:textId="77777777" w:rsidR="00486FBC" w:rsidRPr="002A77AB" w:rsidRDefault="00486FBC" w:rsidP="002A77AB">
      <w:pPr>
        <w:spacing w:line="360" w:lineRule="auto"/>
        <w:jc w:val="both"/>
        <w:rPr>
          <w:rFonts w:ascii="Times New Roman" w:hAnsi="Times New Roman" w:cs="Times New Roman"/>
          <w:sz w:val="24"/>
          <w:szCs w:val="24"/>
        </w:rPr>
      </w:pPr>
    </w:p>
    <w:p w14:paraId="46635045"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Strategic Investments in Recovery:</w:t>
      </w:r>
    </w:p>
    <w:p w14:paraId="6B0B4BFE"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CNBC (2021) reports Hyatt CEO's vision for industry recovery.</w:t>
      </w:r>
    </w:p>
    <w:p w14:paraId="2B6F42D1" w14:textId="77777777"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Investments in property renovations and technology upgrades.</w:t>
      </w:r>
    </w:p>
    <w:p w14:paraId="2089C7BF" w14:textId="666302FF" w:rsidR="00486FBC" w:rsidRPr="002A77AB" w:rsidRDefault="00486FBC"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Marketing campaigns to stimulate demand and drive recovery.</w:t>
      </w:r>
    </w:p>
    <w:p w14:paraId="35B8E191" w14:textId="77777777" w:rsidR="00E2345F" w:rsidRPr="002A77AB" w:rsidRDefault="00E2345F" w:rsidP="002A77AB">
      <w:pPr>
        <w:spacing w:line="360" w:lineRule="auto"/>
        <w:jc w:val="both"/>
        <w:rPr>
          <w:rFonts w:ascii="Times New Roman" w:hAnsi="Times New Roman" w:cs="Times New Roman"/>
          <w:sz w:val="24"/>
          <w:szCs w:val="24"/>
        </w:rPr>
      </w:pPr>
    </w:p>
    <w:p w14:paraId="77711D02" w14:textId="7F517FC9" w:rsidR="00C92332" w:rsidRPr="00967619" w:rsidRDefault="00E63168" w:rsidP="002A77A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5. </w:t>
      </w:r>
      <w:r w:rsidR="00C92332" w:rsidRPr="00967619">
        <w:rPr>
          <w:rFonts w:ascii="Times New Roman" w:hAnsi="Times New Roman" w:cs="Times New Roman"/>
          <w:b/>
          <w:bCs/>
          <w:sz w:val="24"/>
          <w:szCs w:val="24"/>
        </w:rPr>
        <w:t>Recommendations:</w:t>
      </w:r>
    </w:p>
    <w:p w14:paraId="4972CC0A" w14:textId="77777777" w:rsidR="00C92332" w:rsidRPr="002A77AB" w:rsidRDefault="00C9233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Based on the audit and analysis conducted, the following recommendations are proposed for Hyatt to enhance its organizational effectiveness and competitiveness:</w:t>
      </w:r>
    </w:p>
    <w:p w14:paraId="540A6E47" w14:textId="77777777" w:rsidR="00C92332" w:rsidRPr="002A77AB" w:rsidRDefault="00C92332" w:rsidP="002A77AB">
      <w:pPr>
        <w:spacing w:line="360" w:lineRule="auto"/>
        <w:jc w:val="both"/>
        <w:rPr>
          <w:rFonts w:ascii="Times New Roman" w:hAnsi="Times New Roman" w:cs="Times New Roman"/>
          <w:sz w:val="24"/>
          <w:szCs w:val="24"/>
        </w:rPr>
      </w:pPr>
    </w:p>
    <w:p w14:paraId="2F35810C" w14:textId="77777777" w:rsidR="00C92332" w:rsidRPr="002A77AB" w:rsidRDefault="00C9233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5.1 Strengthen Communication and Collaboration:</w:t>
      </w:r>
    </w:p>
    <w:p w14:paraId="32A46860" w14:textId="77777777" w:rsidR="00C92332" w:rsidRPr="002A77AB" w:rsidRDefault="00C9233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Enhance communication channels between corporate headquarters and individual properties to ensure alignment with strategic goals and initiatives (Smith et al., 2023). Foster a culture of collaboration and knowledge sharing to facilitate best practices and innovation across the organization (Hyatt Newsroom, 2023).</w:t>
      </w:r>
    </w:p>
    <w:p w14:paraId="6844FB7F" w14:textId="77777777" w:rsidR="00C92332" w:rsidRPr="002A77AB" w:rsidRDefault="00C92332" w:rsidP="002A77AB">
      <w:pPr>
        <w:spacing w:line="360" w:lineRule="auto"/>
        <w:jc w:val="both"/>
        <w:rPr>
          <w:rFonts w:ascii="Times New Roman" w:hAnsi="Times New Roman" w:cs="Times New Roman"/>
          <w:sz w:val="24"/>
          <w:szCs w:val="24"/>
        </w:rPr>
      </w:pPr>
    </w:p>
    <w:p w14:paraId="3971220F" w14:textId="77777777" w:rsidR="00C92332" w:rsidRPr="002A77AB" w:rsidRDefault="00C9233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5.2 Invest in Employee Development:</w:t>
      </w:r>
    </w:p>
    <w:p w14:paraId="44347B02" w14:textId="77777777" w:rsidR="00C92332" w:rsidRPr="002A77AB" w:rsidRDefault="00C9233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Invest in comprehensive training and development programs to equip employees with the skills and competencies needed to excel in a rapidly evolving hospitality landscape (PricewaterhouseCoopers, 2023). Prioritize employee engagement and empowerment to foster a culture of continuous learning and improvement (ADVANCING OUR PURPOSE OF CARE: Diversity, Equity and Inclusion at Hyatt 2021 Report, 2021).</w:t>
      </w:r>
    </w:p>
    <w:p w14:paraId="2C5FC23C" w14:textId="77777777" w:rsidR="00C92332" w:rsidRPr="002A77AB" w:rsidRDefault="00C92332" w:rsidP="002A77AB">
      <w:pPr>
        <w:spacing w:line="360" w:lineRule="auto"/>
        <w:jc w:val="both"/>
        <w:rPr>
          <w:rFonts w:ascii="Times New Roman" w:hAnsi="Times New Roman" w:cs="Times New Roman"/>
          <w:sz w:val="24"/>
          <w:szCs w:val="24"/>
        </w:rPr>
      </w:pPr>
    </w:p>
    <w:p w14:paraId="70AB4EB6" w14:textId="77777777" w:rsidR="00C92332" w:rsidRPr="002A77AB" w:rsidRDefault="00C9233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5.3 Embrace Technological Innovation:</w:t>
      </w:r>
    </w:p>
    <w:p w14:paraId="76F790ED" w14:textId="77777777" w:rsidR="00C92332" w:rsidRPr="002A77AB" w:rsidRDefault="00C9233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Continue to invest in technological innovation and digitalization to enhance operational efficiency, guest satisfaction, and revenue generation (Goldman, n.d.). Prioritize user-friendly solutions that streamline processes and enhance the overall guest experience while minimizing disruptions and complexities (Hospitality Tech, 2020).</w:t>
      </w:r>
    </w:p>
    <w:p w14:paraId="127FDB32" w14:textId="77777777" w:rsidR="00C92332" w:rsidRPr="002A77AB" w:rsidRDefault="00C92332" w:rsidP="002A77AB">
      <w:pPr>
        <w:spacing w:line="360" w:lineRule="auto"/>
        <w:jc w:val="both"/>
        <w:rPr>
          <w:rFonts w:ascii="Times New Roman" w:hAnsi="Times New Roman" w:cs="Times New Roman"/>
          <w:sz w:val="24"/>
          <w:szCs w:val="24"/>
        </w:rPr>
      </w:pPr>
    </w:p>
    <w:p w14:paraId="4E08D3D2" w14:textId="77777777" w:rsidR="00C92332" w:rsidRPr="002A77AB" w:rsidRDefault="00C9233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5.4 Enhance Sustainability Efforts:</w:t>
      </w:r>
    </w:p>
    <w:p w14:paraId="0543212D" w14:textId="43B30425" w:rsidR="0012016A" w:rsidRDefault="00C92332"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Further integrate sustainability principles into core business operations and corporate culture (Hyatt, n.d.). Set ambitious targets for reducing environmental footprint, promoting responsible sourcing, and contributing to local communities (News, E.S.G., 2023). Engage stakeholders at all levels to drive meaningful progress towards sustainability (Hyatt, 2021).</w:t>
      </w:r>
    </w:p>
    <w:p w14:paraId="20DA8ED0" w14:textId="77777777" w:rsidR="00E84BF9" w:rsidRDefault="00E84BF9" w:rsidP="002A77AB">
      <w:pPr>
        <w:spacing w:line="360" w:lineRule="auto"/>
        <w:jc w:val="both"/>
        <w:rPr>
          <w:rFonts w:ascii="Times New Roman" w:hAnsi="Times New Roman" w:cs="Times New Roman"/>
          <w:sz w:val="24"/>
          <w:szCs w:val="24"/>
        </w:rPr>
      </w:pPr>
    </w:p>
    <w:p w14:paraId="19AC8296" w14:textId="77777777" w:rsidR="00E84BF9" w:rsidRPr="002A77AB" w:rsidRDefault="00E84BF9" w:rsidP="002A77AB">
      <w:pPr>
        <w:spacing w:line="360" w:lineRule="auto"/>
        <w:jc w:val="both"/>
        <w:rPr>
          <w:rFonts w:ascii="Times New Roman" w:hAnsi="Times New Roman" w:cs="Times New Roman"/>
          <w:sz w:val="24"/>
          <w:szCs w:val="24"/>
        </w:rPr>
      </w:pPr>
    </w:p>
    <w:p w14:paraId="7B5C641B" w14:textId="77777777" w:rsidR="0012016A" w:rsidRPr="009A1197" w:rsidRDefault="0012016A" w:rsidP="002A77AB">
      <w:pPr>
        <w:spacing w:line="360" w:lineRule="auto"/>
        <w:jc w:val="both"/>
        <w:rPr>
          <w:rFonts w:ascii="Times New Roman" w:hAnsi="Times New Roman" w:cs="Times New Roman"/>
          <w:b/>
          <w:bCs/>
          <w:sz w:val="24"/>
          <w:szCs w:val="24"/>
        </w:rPr>
      </w:pPr>
      <w:r w:rsidRPr="009A1197">
        <w:rPr>
          <w:rFonts w:ascii="Times New Roman" w:hAnsi="Times New Roman" w:cs="Times New Roman"/>
          <w:b/>
          <w:bCs/>
          <w:sz w:val="24"/>
          <w:szCs w:val="24"/>
        </w:rPr>
        <w:t>6. Conclusion:</w:t>
      </w:r>
    </w:p>
    <w:p w14:paraId="5641904D" w14:textId="3418CF7D" w:rsidR="005622EA" w:rsidRPr="002A77AB" w:rsidRDefault="008A3B78"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In conclusion, this report provides a detailed insight into the Hyatt Group, highlighting a dynamic </w:t>
      </w:r>
      <w:r w:rsidR="00E84BF9">
        <w:rPr>
          <w:rFonts w:ascii="Times New Roman" w:hAnsi="Times New Roman" w:cs="Times New Roman"/>
          <w:sz w:val="24"/>
          <w:szCs w:val="24"/>
        </w:rPr>
        <w:t>organisation</w:t>
      </w:r>
      <w:r w:rsidRPr="002A77AB">
        <w:rPr>
          <w:rFonts w:ascii="Times New Roman" w:hAnsi="Times New Roman" w:cs="Times New Roman"/>
          <w:sz w:val="24"/>
          <w:szCs w:val="24"/>
        </w:rPr>
        <w:t xml:space="preserve"> committed to excellence, innovation, and sustainability in the global hospitality industry. By leveraging its decentralized structure, fostering a culture of hospitality and inclusivity, and embracing strategic initiatives to adapt to changing market dynamics, Hyatt can position itself for continued success and leadership in the years to come. Through the effective implementation of recommendations and a steadfast commitment to its core values, Hyatt can navigate challenges, capitalize on emerging opportunities, and deliver exceptional value to guests, employees, and shareholders alike. This report offers a </w:t>
      </w:r>
      <w:r w:rsidRPr="002A77AB">
        <w:rPr>
          <w:rFonts w:ascii="Times New Roman" w:hAnsi="Times New Roman" w:cs="Times New Roman"/>
          <w:sz w:val="24"/>
          <w:szCs w:val="24"/>
        </w:rPr>
        <w:lastRenderedPageBreak/>
        <w:t>comprehensive examination of Hyatt Group's structure, culture, and strategic direction, providing valuable insights and recommendations for organizational improvement. By addressing key challenges and capitalizing on emerging opportunities, Hyatt can enhance its competitiveness and sustain its leadership position in the global hospitality industry.</w:t>
      </w:r>
    </w:p>
    <w:p w14:paraId="2424D17C" w14:textId="77777777" w:rsidR="005622EA" w:rsidRPr="002A77AB" w:rsidRDefault="005622EA" w:rsidP="002A77AB">
      <w:pPr>
        <w:spacing w:line="360" w:lineRule="auto"/>
        <w:jc w:val="both"/>
        <w:rPr>
          <w:rFonts w:ascii="Times New Roman" w:hAnsi="Times New Roman" w:cs="Times New Roman"/>
          <w:sz w:val="24"/>
          <w:szCs w:val="24"/>
        </w:rPr>
      </w:pPr>
    </w:p>
    <w:p w14:paraId="1AC1AC11" w14:textId="77777777" w:rsidR="005622EA" w:rsidRPr="002A77AB" w:rsidRDefault="005622EA" w:rsidP="002A77AB">
      <w:pPr>
        <w:spacing w:line="360" w:lineRule="auto"/>
        <w:jc w:val="both"/>
        <w:rPr>
          <w:rFonts w:ascii="Times New Roman" w:hAnsi="Times New Roman" w:cs="Times New Roman"/>
          <w:sz w:val="24"/>
          <w:szCs w:val="24"/>
        </w:rPr>
      </w:pPr>
    </w:p>
    <w:p w14:paraId="06F01201" w14:textId="77777777" w:rsidR="005622EA" w:rsidRPr="002A77AB" w:rsidRDefault="005622EA" w:rsidP="002A77AB">
      <w:pPr>
        <w:spacing w:line="360" w:lineRule="auto"/>
        <w:jc w:val="both"/>
        <w:rPr>
          <w:rFonts w:ascii="Times New Roman" w:hAnsi="Times New Roman" w:cs="Times New Roman"/>
          <w:sz w:val="24"/>
          <w:szCs w:val="24"/>
        </w:rPr>
      </w:pPr>
    </w:p>
    <w:p w14:paraId="4AA2A089" w14:textId="77777777" w:rsidR="00C638E9" w:rsidRPr="002A77AB" w:rsidRDefault="00C638E9" w:rsidP="002A77AB">
      <w:pPr>
        <w:spacing w:line="360" w:lineRule="auto"/>
        <w:jc w:val="both"/>
        <w:rPr>
          <w:rFonts w:ascii="Times New Roman" w:hAnsi="Times New Roman" w:cs="Times New Roman"/>
          <w:sz w:val="24"/>
          <w:szCs w:val="24"/>
        </w:rPr>
      </w:pPr>
    </w:p>
    <w:p w14:paraId="73889A34" w14:textId="77777777" w:rsidR="00C638E9" w:rsidRPr="002A77AB" w:rsidRDefault="00C638E9" w:rsidP="002A77AB">
      <w:pPr>
        <w:spacing w:line="360" w:lineRule="auto"/>
        <w:jc w:val="both"/>
        <w:rPr>
          <w:rFonts w:ascii="Times New Roman" w:hAnsi="Times New Roman" w:cs="Times New Roman"/>
          <w:sz w:val="24"/>
          <w:szCs w:val="24"/>
        </w:rPr>
      </w:pPr>
    </w:p>
    <w:p w14:paraId="5791ECE7" w14:textId="77777777" w:rsidR="00C638E9" w:rsidRDefault="00C638E9" w:rsidP="002A77AB">
      <w:pPr>
        <w:spacing w:line="360" w:lineRule="auto"/>
        <w:jc w:val="both"/>
        <w:rPr>
          <w:rFonts w:ascii="Times New Roman" w:hAnsi="Times New Roman" w:cs="Times New Roman"/>
          <w:sz w:val="24"/>
          <w:szCs w:val="24"/>
        </w:rPr>
      </w:pPr>
    </w:p>
    <w:p w14:paraId="36EE60BE" w14:textId="77777777" w:rsidR="009A1197" w:rsidRDefault="009A1197" w:rsidP="002A77AB">
      <w:pPr>
        <w:spacing w:line="360" w:lineRule="auto"/>
        <w:jc w:val="both"/>
        <w:rPr>
          <w:rFonts w:ascii="Times New Roman" w:hAnsi="Times New Roman" w:cs="Times New Roman"/>
          <w:sz w:val="24"/>
          <w:szCs w:val="24"/>
        </w:rPr>
      </w:pPr>
    </w:p>
    <w:p w14:paraId="5A26C84B" w14:textId="77777777" w:rsidR="009A1197" w:rsidRDefault="009A1197" w:rsidP="002A77AB">
      <w:pPr>
        <w:spacing w:line="360" w:lineRule="auto"/>
        <w:jc w:val="both"/>
        <w:rPr>
          <w:rFonts w:ascii="Times New Roman" w:hAnsi="Times New Roman" w:cs="Times New Roman"/>
          <w:sz w:val="24"/>
          <w:szCs w:val="24"/>
        </w:rPr>
      </w:pPr>
    </w:p>
    <w:p w14:paraId="2B85DBF0" w14:textId="77777777" w:rsidR="009A1197" w:rsidRDefault="009A1197" w:rsidP="002A77AB">
      <w:pPr>
        <w:spacing w:line="360" w:lineRule="auto"/>
        <w:jc w:val="both"/>
        <w:rPr>
          <w:rFonts w:ascii="Times New Roman" w:hAnsi="Times New Roman" w:cs="Times New Roman"/>
          <w:sz w:val="24"/>
          <w:szCs w:val="24"/>
        </w:rPr>
      </w:pPr>
    </w:p>
    <w:p w14:paraId="1B9B209E" w14:textId="77777777" w:rsidR="009A1197" w:rsidRDefault="009A1197" w:rsidP="002A77AB">
      <w:pPr>
        <w:spacing w:line="360" w:lineRule="auto"/>
        <w:jc w:val="both"/>
        <w:rPr>
          <w:rFonts w:ascii="Times New Roman" w:hAnsi="Times New Roman" w:cs="Times New Roman"/>
          <w:sz w:val="24"/>
          <w:szCs w:val="24"/>
        </w:rPr>
      </w:pPr>
    </w:p>
    <w:p w14:paraId="744D3DCC" w14:textId="77777777" w:rsidR="009A1197" w:rsidRDefault="009A1197" w:rsidP="002A77AB">
      <w:pPr>
        <w:spacing w:line="360" w:lineRule="auto"/>
        <w:jc w:val="both"/>
        <w:rPr>
          <w:rFonts w:ascii="Times New Roman" w:hAnsi="Times New Roman" w:cs="Times New Roman"/>
          <w:sz w:val="24"/>
          <w:szCs w:val="24"/>
        </w:rPr>
      </w:pPr>
    </w:p>
    <w:p w14:paraId="4B917A72" w14:textId="77777777" w:rsidR="009A1197" w:rsidRDefault="009A1197" w:rsidP="002A77AB">
      <w:pPr>
        <w:spacing w:line="360" w:lineRule="auto"/>
        <w:jc w:val="both"/>
        <w:rPr>
          <w:rFonts w:ascii="Times New Roman" w:hAnsi="Times New Roman" w:cs="Times New Roman"/>
          <w:sz w:val="24"/>
          <w:szCs w:val="24"/>
        </w:rPr>
      </w:pPr>
    </w:p>
    <w:p w14:paraId="2AE5F354" w14:textId="77777777" w:rsidR="009A1197" w:rsidRDefault="009A1197" w:rsidP="002A77AB">
      <w:pPr>
        <w:spacing w:line="360" w:lineRule="auto"/>
        <w:jc w:val="both"/>
        <w:rPr>
          <w:rFonts w:ascii="Times New Roman" w:hAnsi="Times New Roman" w:cs="Times New Roman"/>
          <w:sz w:val="24"/>
          <w:szCs w:val="24"/>
        </w:rPr>
      </w:pPr>
    </w:p>
    <w:p w14:paraId="75A3C100" w14:textId="77777777" w:rsidR="009A1197" w:rsidRDefault="009A1197" w:rsidP="002A77AB">
      <w:pPr>
        <w:spacing w:line="360" w:lineRule="auto"/>
        <w:jc w:val="both"/>
        <w:rPr>
          <w:rFonts w:ascii="Times New Roman" w:hAnsi="Times New Roman" w:cs="Times New Roman"/>
          <w:sz w:val="24"/>
          <w:szCs w:val="24"/>
        </w:rPr>
      </w:pPr>
    </w:p>
    <w:p w14:paraId="1E618B20" w14:textId="77777777" w:rsidR="009A1197" w:rsidRDefault="009A1197" w:rsidP="002A77AB">
      <w:pPr>
        <w:spacing w:line="360" w:lineRule="auto"/>
        <w:jc w:val="both"/>
        <w:rPr>
          <w:rFonts w:ascii="Times New Roman" w:hAnsi="Times New Roman" w:cs="Times New Roman"/>
          <w:sz w:val="24"/>
          <w:szCs w:val="24"/>
        </w:rPr>
      </w:pPr>
    </w:p>
    <w:p w14:paraId="1FF8F4E6" w14:textId="77777777" w:rsidR="009A1197" w:rsidRDefault="009A1197" w:rsidP="002A77AB">
      <w:pPr>
        <w:spacing w:line="360" w:lineRule="auto"/>
        <w:jc w:val="both"/>
        <w:rPr>
          <w:rFonts w:ascii="Times New Roman" w:hAnsi="Times New Roman" w:cs="Times New Roman"/>
          <w:sz w:val="24"/>
          <w:szCs w:val="24"/>
        </w:rPr>
      </w:pPr>
    </w:p>
    <w:p w14:paraId="7183F12A" w14:textId="77777777" w:rsidR="009A1197" w:rsidRDefault="009A1197" w:rsidP="002A77AB">
      <w:pPr>
        <w:spacing w:line="360" w:lineRule="auto"/>
        <w:jc w:val="both"/>
        <w:rPr>
          <w:rFonts w:ascii="Times New Roman" w:hAnsi="Times New Roman" w:cs="Times New Roman"/>
          <w:sz w:val="24"/>
          <w:szCs w:val="24"/>
        </w:rPr>
      </w:pPr>
    </w:p>
    <w:p w14:paraId="27439321" w14:textId="77777777" w:rsidR="009A1197" w:rsidRDefault="009A1197" w:rsidP="002A77AB">
      <w:pPr>
        <w:spacing w:line="360" w:lineRule="auto"/>
        <w:jc w:val="both"/>
        <w:rPr>
          <w:rFonts w:ascii="Times New Roman" w:hAnsi="Times New Roman" w:cs="Times New Roman"/>
          <w:sz w:val="24"/>
          <w:szCs w:val="24"/>
        </w:rPr>
      </w:pPr>
    </w:p>
    <w:p w14:paraId="77D3D246" w14:textId="77777777" w:rsidR="009A1197" w:rsidRDefault="009A1197" w:rsidP="002A77AB">
      <w:pPr>
        <w:spacing w:line="360" w:lineRule="auto"/>
        <w:jc w:val="both"/>
        <w:rPr>
          <w:rFonts w:ascii="Times New Roman" w:hAnsi="Times New Roman" w:cs="Times New Roman"/>
          <w:sz w:val="24"/>
          <w:szCs w:val="24"/>
        </w:rPr>
      </w:pPr>
    </w:p>
    <w:p w14:paraId="12453E3E" w14:textId="77777777" w:rsidR="009A1197" w:rsidRDefault="009A1197" w:rsidP="002A77AB">
      <w:pPr>
        <w:spacing w:line="360" w:lineRule="auto"/>
        <w:jc w:val="both"/>
        <w:rPr>
          <w:rFonts w:ascii="Times New Roman" w:hAnsi="Times New Roman" w:cs="Times New Roman"/>
          <w:sz w:val="24"/>
          <w:szCs w:val="24"/>
        </w:rPr>
      </w:pPr>
    </w:p>
    <w:p w14:paraId="1E0DF979" w14:textId="77777777" w:rsidR="009A1197" w:rsidRPr="002A77AB" w:rsidRDefault="009A1197" w:rsidP="002A77AB">
      <w:pPr>
        <w:spacing w:line="360" w:lineRule="auto"/>
        <w:jc w:val="both"/>
        <w:rPr>
          <w:rFonts w:ascii="Times New Roman" w:hAnsi="Times New Roman" w:cs="Times New Roman"/>
          <w:sz w:val="24"/>
          <w:szCs w:val="24"/>
        </w:rPr>
      </w:pPr>
    </w:p>
    <w:p w14:paraId="59DB5098" w14:textId="18025E94" w:rsidR="00804E52" w:rsidRPr="00EA54FB" w:rsidRDefault="009A1197" w:rsidP="009A1197">
      <w:pPr>
        <w:spacing w:line="360" w:lineRule="auto"/>
        <w:jc w:val="both"/>
        <w:rPr>
          <w:rFonts w:ascii="Times New Roman" w:hAnsi="Times New Roman" w:cs="Times New Roman"/>
          <w:b/>
          <w:bCs/>
          <w:sz w:val="24"/>
          <w:szCs w:val="24"/>
        </w:rPr>
      </w:pPr>
      <w:r w:rsidRPr="00EA54FB">
        <w:rPr>
          <w:rFonts w:ascii="Times New Roman" w:hAnsi="Times New Roman" w:cs="Times New Roman"/>
          <w:b/>
          <w:bCs/>
          <w:sz w:val="24"/>
          <w:szCs w:val="24"/>
        </w:rPr>
        <w:lastRenderedPageBreak/>
        <w:t>7.</w:t>
      </w:r>
      <w:r w:rsidR="00F31C04" w:rsidRPr="00EA54FB">
        <w:rPr>
          <w:rFonts w:ascii="Times New Roman" w:hAnsi="Times New Roman" w:cs="Times New Roman"/>
          <w:b/>
          <w:bCs/>
          <w:sz w:val="24"/>
          <w:szCs w:val="24"/>
        </w:rPr>
        <w:t xml:space="preserve"> </w:t>
      </w:r>
      <w:r w:rsidR="00A61DC5" w:rsidRPr="00EA54FB">
        <w:rPr>
          <w:rFonts w:ascii="Times New Roman" w:hAnsi="Times New Roman" w:cs="Times New Roman"/>
          <w:b/>
          <w:bCs/>
          <w:sz w:val="24"/>
          <w:szCs w:val="24"/>
        </w:rPr>
        <w:t>References</w:t>
      </w:r>
    </w:p>
    <w:p w14:paraId="70B56F0F" w14:textId="77777777" w:rsidR="00A61DC5" w:rsidRPr="002A77AB" w:rsidRDefault="00A61DC5" w:rsidP="002A77AB">
      <w:pPr>
        <w:spacing w:line="360" w:lineRule="auto"/>
        <w:jc w:val="both"/>
        <w:rPr>
          <w:rFonts w:ascii="Times New Roman" w:hAnsi="Times New Roman" w:cs="Times New Roman"/>
          <w:sz w:val="24"/>
          <w:szCs w:val="24"/>
        </w:rPr>
      </w:pPr>
    </w:p>
    <w:p w14:paraId="73741961" w14:textId="5BDE725F"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ADVANCING OUR PURPOSE OF CARE: Diversity, Equity and Inclusion at Hyatt 2021 Report. (2021). Available at: https://about.hyatt.com/content/dam/hyatt/woc/2021DEIReport.pdf. [Accessed 18 Feb. 2024].</w:t>
      </w:r>
    </w:p>
    <w:p w14:paraId="0A6DD0B4" w14:textId="733824E4"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Booking.com. (2024). </w:t>
      </w:r>
      <w:r w:rsidRPr="002A77AB">
        <w:rPr>
          <w:rFonts w:ascii="Segoe UI Symbol" w:hAnsi="Segoe UI Symbol" w:cs="Segoe UI Symbol"/>
          <w:sz w:val="24"/>
          <w:szCs w:val="24"/>
        </w:rPr>
        <w:t>★★★★</w:t>
      </w:r>
      <w:r w:rsidRPr="002A77AB">
        <w:rPr>
          <w:rFonts w:ascii="Times New Roman" w:hAnsi="Times New Roman" w:cs="Times New Roman"/>
          <w:sz w:val="24"/>
          <w:szCs w:val="24"/>
        </w:rPr>
        <w:t xml:space="preserve"> Hyatt Regency Birmingham, Birmingham, UK. [online] Available at: https://www.booking.com/hotel/gb/hyatt-regency-birmingham.en-gb.html [Accessed 18 Feb. 2024].</w:t>
      </w:r>
    </w:p>
    <w:p w14:paraId="4EC28400" w14:textId="6E1E35C9"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CNBC. (2021). Hyatt Hotels CEO sees </w:t>
      </w:r>
      <w:r w:rsidR="00F31C04">
        <w:rPr>
          <w:rFonts w:ascii="Times New Roman" w:hAnsi="Times New Roman" w:cs="Times New Roman"/>
          <w:sz w:val="24"/>
          <w:szCs w:val="24"/>
        </w:rPr>
        <w:t xml:space="preserve">a </w:t>
      </w:r>
      <w:r w:rsidRPr="002A77AB">
        <w:rPr>
          <w:rFonts w:ascii="Times New Roman" w:hAnsi="Times New Roman" w:cs="Times New Roman"/>
          <w:sz w:val="24"/>
          <w:szCs w:val="24"/>
        </w:rPr>
        <w:t xml:space="preserve">clear path to recovery after COVID rocked </w:t>
      </w:r>
      <w:r w:rsidR="00F31C04">
        <w:rPr>
          <w:rFonts w:ascii="Times New Roman" w:hAnsi="Times New Roman" w:cs="Times New Roman"/>
          <w:sz w:val="24"/>
          <w:szCs w:val="24"/>
        </w:rPr>
        <w:t xml:space="preserve">the </w:t>
      </w:r>
      <w:r w:rsidRPr="002A77AB">
        <w:rPr>
          <w:rFonts w:ascii="Times New Roman" w:hAnsi="Times New Roman" w:cs="Times New Roman"/>
          <w:sz w:val="24"/>
          <w:szCs w:val="24"/>
        </w:rPr>
        <w:t>industry. [online] Available at: https://www.cnbc.com/2021/03/11/hyatt-hotels-ceo-sees-clear-path-to-recovery-after-covid-rocked-industry.html [Accessed 19 Feb. 2024].</w:t>
      </w:r>
    </w:p>
    <w:p w14:paraId="4771C94D" w14:textId="4A182A25"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 xml:space="preserve">Egan, M. and </w:t>
      </w:r>
      <w:proofErr w:type="spellStart"/>
      <w:r w:rsidRPr="002A77AB">
        <w:rPr>
          <w:rFonts w:ascii="Times New Roman" w:hAnsi="Times New Roman" w:cs="Times New Roman"/>
          <w:sz w:val="24"/>
          <w:szCs w:val="24"/>
        </w:rPr>
        <w:t>Hoplamazian</w:t>
      </w:r>
      <w:proofErr w:type="spellEnd"/>
      <w:r w:rsidRPr="002A77AB">
        <w:rPr>
          <w:rFonts w:ascii="Times New Roman" w:hAnsi="Times New Roman" w:cs="Times New Roman"/>
          <w:sz w:val="24"/>
          <w:szCs w:val="24"/>
        </w:rPr>
        <w:t>, M. (2021). Executive Vice President and General Counsel President, Chief Executive Officer and Co-Chair of the Global DE&amp;I Council. [online] Available at: https://about.hyatt.com/content/dam/hyatt/woc/Hyatt2021GRIIndex.pdf. [Accessed 18 Feb. 2024].</w:t>
      </w:r>
    </w:p>
    <w:p w14:paraId="2175F0BF" w14:textId="10777D53"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Goldman, S. (2021). The technology innovation behind Hyatt’s pandemic pivot indicates a long-lasting change in the hotel industry. [online] Business Insider. Available at: https://www.businessinsider.com/hyatt-cco-on-how-technology-changed-hotel-business-marketing-model-2021-9?r=US&amp;IR=T. [Accessed 18 Feb. 2024].</w:t>
      </w:r>
    </w:p>
    <w:p w14:paraId="0650C57E" w14:textId="52157BD9"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Hollander, J. (2022). The Ultimate Guide to Hyatt's Hotel Brands. Hotel Tech Report. https://hoteltechreport.com/news/hyatt-hotel-brands. [Accessed 18 Feb. 2024].</w:t>
      </w:r>
    </w:p>
    <w:p w14:paraId="35C8CB19" w14:textId="460E6DAE"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Hospitality ON. (2023). Hyatt will continue its worldwide expansion in 2023. [online] Available at: https://hospitality-on.com/en/opening/hyatt-continues-its-worldwide-expansion-2023.</w:t>
      </w:r>
    </w:p>
    <w:p w14:paraId="52D81B38" w14:textId="0DE6A4DF"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Hospitality Tech. (2020). Hyatt Reimagines Hotel Experience for Guests, Workforce. [online] Available at: https://hospitalitytech.com/hyatt-reimagines-hotel-experience-guests-workforce [Accessed 19 Feb. 2024].</w:t>
      </w:r>
    </w:p>
    <w:p w14:paraId="555698D9" w14:textId="10C84EE4"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(2021). Community Engagement. [online] Available at: https://about.hyatt.com/en/world-of-care/caring-for-people/community-engagement.html [Accessed 19 Feb. 2024].</w:t>
      </w:r>
    </w:p>
    <w:p w14:paraId="110CB0A8" w14:textId="01372F88"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Hyatt. (2023). Care and Cleanliness - EAME/SWA. [online] Available at: https://www.hyatt.com/info/care-and-cleanliness-eame-swa [Accessed 19 Feb. 2024].</w:t>
      </w:r>
    </w:p>
    <w:p w14:paraId="271767C3" w14:textId="4FC525A6"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(2023). Change Starts Here. Retrieved from https://about.hyatt.com/en/world-of-care/caring-for-people/Diversity-equity-inclusion/change-starts-here.html. [Accessed 18 Feb. 2024].</w:t>
      </w:r>
    </w:p>
    <w:p w14:paraId="09978D1C" w14:textId="300584E2"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(2021). Hyatt's Organizational Culture: Key Values and Impact. Available at https://about.hyatt.com/en/world-of-care/caring-for-people/culture.html. [Accessed 18 Feb. 2024].</w:t>
      </w:r>
    </w:p>
    <w:p w14:paraId="12578138" w14:textId="5FCB77CF"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Hotels Corporation. (2024). Annual report 2023: Navigating decentralization for global success. [https://annualreport.stocklight.com/nyse/h/23637687.pdf]. [Accessed 18 Feb. 2024].</w:t>
      </w:r>
    </w:p>
    <w:p w14:paraId="53A9A887" w14:textId="7C92C845"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Hyatt Newsroom. (2023). Hyatt Newsroom - News Releases. [online] Available at: https://newsroom.hyatt.com/113018-Hyatt-Completes-Acquisition-of-Two-Roads-Hospitality.</w:t>
      </w:r>
    </w:p>
    <w:p w14:paraId="2B253C38" w14:textId="0DB3B39E"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News, E.S.G. (2023). Hyatt Shares Environmental and Social Impact Reporting, Eclipses Critical DE&amp;I Goals and Sustains Momentum with Key 2023 Initiatives. [online] ESG News. Available at: https://esgnews.com/hyatt-shares-environmental-and-social-impact-reporting-eclipses-critical-dei-goals-and-sustains-momentum-with-key-2023-initiatives/ [Accessed 19 Feb. 2024].</w:t>
      </w:r>
    </w:p>
    <w:p w14:paraId="393FCD7D" w14:textId="5F576227" w:rsidR="00A61DC5" w:rsidRPr="002A77AB" w:rsidRDefault="00A61DC5" w:rsidP="002A77AB">
      <w:pPr>
        <w:spacing w:line="360" w:lineRule="auto"/>
        <w:jc w:val="both"/>
        <w:rPr>
          <w:rFonts w:ascii="Times New Roman" w:hAnsi="Times New Roman" w:cs="Times New Roman"/>
          <w:sz w:val="24"/>
          <w:szCs w:val="24"/>
        </w:rPr>
      </w:pPr>
      <w:proofErr w:type="spellStart"/>
      <w:r w:rsidRPr="002A77AB">
        <w:rPr>
          <w:rFonts w:ascii="Times New Roman" w:hAnsi="Times New Roman" w:cs="Times New Roman"/>
          <w:sz w:val="24"/>
          <w:szCs w:val="24"/>
        </w:rPr>
        <w:t>NomadTreneur</w:t>
      </w:r>
      <w:proofErr w:type="spellEnd"/>
      <w:r w:rsidRPr="002A77AB">
        <w:rPr>
          <w:rFonts w:ascii="Times New Roman" w:hAnsi="Times New Roman" w:cs="Times New Roman"/>
          <w:sz w:val="24"/>
          <w:szCs w:val="24"/>
        </w:rPr>
        <w:t xml:space="preserve">. (2023). Hyatt Hotels Corporation: A Comprehensive Overview Of A Hospitality Giant - </w:t>
      </w:r>
      <w:proofErr w:type="spellStart"/>
      <w:r w:rsidRPr="002A77AB">
        <w:rPr>
          <w:rFonts w:ascii="Times New Roman" w:hAnsi="Times New Roman" w:cs="Times New Roman"/>
          <w:sz w:val="24"/>
          <w:szCs w:val="24"/>
        </w:rPr>
        <w:t>NomadTreneur</w:t>
      </w:r>
      <w:proofErr w:type="spellEnd"/>
      <w:r w:rsidRPr="002A77AB">
        <w:rPr>
          <w:rFonts w:ascii="Times New Roman" w:hAnsi="Times New Roman" w:cs="Times New Roman"/>
          <w:sz w:val="24"/>
          <w:szCs w:val="24"/>
        </w:rPr>
        <w:t>. [online] Available at: https://nomadtreneur.com/hyatt-hotels-corporation-a-comprehensive-overview-of-a-hospitality-giant/ [Accessed 19 Feb. 2024].</w:t>
      </w:r>
    </w:p>
    <w:p w14:paraId="227C1B2F" w14:textId="2F70B673" w:rsidR="00A61DC5" w:rsidRPr="002A77AB" w:rsidRDefault="00A61DC5" w:rsidP="002A77AB">
      <w:pPr>
        <w:spacing w:line="360" w:lineRule="auto"/>
        <w:jc w:val="both"/>
        <w:rPr>
          <w:rFonts w:ascii="Times New Roman" w:hAnsi="Times New Roman" w:cs="Times New Roman"/>
          <w:sz w:val="24"/>
          <w:szCs w:val="24"/>
        </w:rPr>
      </w:pPr>
      <w:proofErr w:type="spellStart"/>
      <w:r w:rsidRPr="002A77AB">
        <w:rPr>
          <w:rFonts w:ascii="Times New Roman" w:hAnsi="Times New Roman" w:cs="Times New Roman"/>
          <w:sz w:val="24"/>
          <w:szCs w:val="24"/>
        </w:rPr>
        <w:t>Organimi</w:t>
      </w:r>
      <w:proofErr w:type="spellEnd"/>
      <w:r w:rsidRPr="002A77AB">
        <w:rPr>
          <w:rFonts w:ascii="Times New Roman" w:hAnsi="Times New Roman" w:cs="Times New Roman"/>
          <w:sz w:val="24"/>
          <w:szCs w:val="24"/>
        </w:rPr>
        <w:t>. (2023). Hyatt Hotels Organizational Structure. Retrieved from https://www.organimi.com/organizational-structures/hyatt-hotels/ [Accessed 18 Feb. 2024].</w:t>
      </w:r>
    </w:p>
    <w:p w14:paraId="3B6E8307" w14:textId="39E895DA"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PricewaterhouseCoopers. (2023). Hyatt’s talent strategy transformation. [online] PwC. Available at: https://www.pwc.com/us/en/library/case-studies/hyatt-talent-strategy-transformation.html. [Accessed 18 Feb. 2024].</w:t>
      </w:r>
    </w:p>
    <w:p w14:paraId="7D07276D" w14:textId="40B000E9"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Panel, E. (2023). Council Post: Take A Look At Innovative Applications Of Computer Vision. [online] Forbes. Available athttps://www.forbes.com/sites/forbestechcouncil/2024/02/16/take-a-look-at-innovative-applications-of-computer-vision/? [Accessed 19 Feb. 2024].</w:t>
      </w:r>
    </w:p>
    <w:p w14:paraId="58B2230C" w14:textId="32FC0831"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lastRenderedPageBreak/>
        <w:t>Smith, C., Rondi, E., De Massis, A., &amp; Nordqvist, M. (2023). Rising every time fall: Organizational fortitude and response to adversities. Journal of Management, In Press. [Accessed 18 Feb. 2024].</w:t>
      </w:r>
    </w:p>
    <w:p w14:paraId="65512A90" w14:textId="78E44F6F" w:rsidR="00A61DC5" w:rsidRPr="002A77AB" w:rsidRDefault="00A61DC5" w:rsidP="002A77AB">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Staff, L. (2023). Hyatt Publishes DE&amp;I Report and Advances ESG Initiatives. [online] LODGING Magazine. Available at: https://lodgingmagazine.com/hyatt-publishes-dei-report-and-advances-esg-initiatives/ [Accessed 19 Feb. 2024].</w:t>
      </w:r>
    </w:p>
    <w:p w14:paraId="632E681F" w14:textId="2DEE7A1A" w:rsidR="00A61DC5" w:rsidRPr="002A77AB" w:rsidRDefault="00A61DC5" w:rsidP="002A77AB">
      <w:pPr>
        <w:spacing w:line="360" w:lineRule="auto"/>
        <w:jc w:val="both"/>
        <w:rPr>
          <w:rFonts w:ascii="Times New Roman" w:hAnsi="Times New Roman" w:cs="Times New Roman"/>
          <w:sz w:val="24"/>
          <w:szCs w:val="24"/>
        </w:rPr>
      </w:pPr>
      <w:proofErr w:type="spellStart"/>
      <w:r w:rsidRPr="002A77AB">
        <w:rPr>
          <w:rFonts w:ascii="Times New Roman" w:hAnsi="Times New Roman" w:cs="Times New Roman"/>
          <w:sz w:val="24"/>
          <w:szCs w:val="24"/>
        </w:rPr>
        <w:t>TravelPulse</w:t>
      </w:r>
      <w:proofErr w:type="spellEnd"/>
      <w:r w:rsidRPr="002A77AB">
        <w:rPr>
          <w:rFonts w:ascii="Times New Roman" w:hAnsi="Times New Roman" w:cs="Times New Roman"/>
          <w:sz w:val="24"/>
          <w:szCs w:val="24"/>
        </w:rPr>
        <w:t>. (2020). Hyatt extends its flexible cancellation policy for stays through July 2021. [online] Available at: https://www.travelpulse.com/news/hotels-and-resorts/hyatt-extends-flexible-cancellation-policy-for-stays-through-july-2021 [Accessed 19 Feb. 2024].</w:t>
      </w:r>
    </w:p>
    <w:p w14:paraId="450FF003" w14:textId="7E546A9F" w:rsidR="00A61DC5" w:rsidRPr="002A77AB" w:rsidRDefault="00A61DC5" w:rsidP="002A77AB">
      <w:pPr>
        <w:spacing w:line="360" w:lineRule="auto"/>
        <w:jc w:val="both"/>
        <w:rPr>
          <w:rFonts w:ascii="Times New Roman" w:hAnsi="Times New Roman" w:cs="Times New Roman"/>
          <w:sz w:val="24"/>
          <w:szCs w:val="24"/>
        </w:rPr>
      </w:pPr>
      <w:proofErr w:type="spellStart"/>
      <w:r w:rsidRPr="002A77AB">
        <w:rPr>
          <w:rFonts w:ascii="Times New Roman" w:hAnsi="Times New Roman" w:cs="Times New Roman"/>
          <w:sz w:val="24"/>
          <w:szCs w:val="24"/>
        </w:rPr>
        <w:t>Tripadvisor</w:t>
      </w:r>
      <w:proofErr w:type="spellEnd"/>
      <w:r w:rsidRPr="002A77AB">
        <w:rPr>
          <w:rFonts w:ascii="Times New Roman" w:hAnsi="Times New Roman" w:cs="Times New Roman"/>
          <w:sz w:val="24"/>
          <w:szCs w:val="24"/>
        </w:rPr>
        <w:t>. (2024). HYATT REGENCY LONDON BLACKFRIARS - Updated 2024 Reviews. [online] Available at: https://www.tripadvisor.co.uk/Hotel_Review-g186338-d24175396-Reviews-Hyatt_Regency_London_Blackfriars-London_England.html [Accessed 18 Feb. 2024].</w:t>
      </w:r>
    </w:p>
    <w:p w14:paraId="1E62BA08" w14:textId="62ACF58B" w:rsidR="00147E1E" w:rsidRPr="00967619" w:rsidRDefault="00A61DC5" w:rsidP="00560D33">
      <w:pPr>
        <w:spacing w:line="360" w:lineRule="auto"/>
        <w:jc w:val="both"/>
        <w:rPr>
          <w:rFonts w:ascii="Times New Roman" w:hAnsi="Times New Roman" w:cs="Times New Roman"/>
          <w:sz w:val="24"/>
          <w:szCs w:val="24"/>
        </w:rPr>
      </w:pPr>
      <w:r w:rsidRPr="002A77AB">
        <w:rPr>
          <w:rFonts w:ascii="Times New Roman" w:hAnsi="Times New Roman" w:cs="Times New Roman"/>
          <w:sz w:val="24"/>
          <w:szCs w:val="24"/>
        </w:rPr>
        <w:t>Tsybulko, K. (2020). Council Post: How To Stay In Sync In A Decentralized Organizational Structure. [online] Forbes. Available at: https://www.forbes.com/sites/forbesbusinessdevelopmentcouncil/2020/10/21/how-to-stay-in-sync-in-a-decentralized-organizational-structure/.[Accessed 18 Feb. 2024].</w:t>
      </w:r>
    </w:p>
    <w:sectPr w:rsidR="00147E1E" w:rsidRPr="0096761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C5E38" w14:textId="77777777" w:rsidR="00D234A7" w:rsidRDefault="00D234A7" w:rsidP="00D234A7">
      <w:pPr>
        <w:spacing w:after="0" w:line="240" w:lineRule="auto"/>
      </w:pPr>
      <w:r>
        <w:separator/>
      </w:r>
    </w:p>
  </w:endnote>
  <w:endnote w:type="continuationSeparator" w:id="0">
    <w:p w14:paraId="4E94F16C" w14:textId="77777777" w:rsidR="00D234A7" w:rsidRDefault="00D234A7" w:rsidP="00D23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80FE96" w14:textId="77777777" w:rsidR="00D858B2" w:rsidRDefault="00D858B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EDBA9F7" w14:textId="77777777" w:rsidR="00D234A7" w:rsidRDefault="00D234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3C884" w14:textId="77777777" w:rsidR="00D234A7" w:rsidRDefault="00D234A7" w:rsidP="00D234A7">
      <w:pPr>
        <w:spacing w:after="0" w:line="240" w:lineRule="auto"/>
      </w:pPr>
      <w:r>
        <w:separator/>
      </w:r>
    </w:p>
  </w:footnote>
  <w:footnote w:type="continuationSeparator" w:id="0">
    <w:p w14:paraId="2B2F063F" w14:textId="77777777" w:rsidR="00D234A7" w:rsidRDefault="00D234A7" w:rsidP="00D234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378F1" w14:textId="225A4C6D" w:rsidR="00824617" w:rsidRPr="00422031" w:rsidRDefault="00422031">
    <w:pPr>
      <w:pBdr>
        <w:left w:val="single" w:sz="12" w:space="11" w:color="4472C4" w:themeColor="accent1"/>
      </w:pBdr>
      <w:tabs>
        <w:tab w:val="left" w:pos="3620"/>
        <w:tab w:val="left" w:pos="3964"/>
      </w:tabs>
      <w:spacing w:after="0"/>
      <w:rPr>
        <w:rFonts w:asciiTheme="majorHAnsi" w:eastAsiaTheme="majorEastAsia" w:hAnsiTheme="majorHAnsi" w:cstheme="majorBidi"/>
        <w:b/>
        <w:bCs/>
        <w:color w:val="2F5496" w:themeColor="accent1" w:themeShade="BF"/>
        <w:sz w:val="24"/>
        <w:szCs w:val="24"/>
      </w:rPr>
    </w:pPr>
    <w:sdt>
      <w:sdtPr>
        <w:rPr>
          <w:rFonts w:asciiTheme="majorHAnsi" w:eastAsiaTheme="majorEastAsia" w:hAnsiTheme="majorHAnsi" w:cstheme="majorBidi"/>
          <w:b/>
          <w:bCs/>
          <w:color w:val="2F5496" w:themeColor="accent1" w:themeShade="BF"/>
          <w:sz w:val="24"/>
          <w:szCs w:val="24"/>
        </w:rPr>
        <w:alias w:val="Title"/>
        <w:tag w:val=""/>
        <w:id w:val="-932208079"/>
        <w:placeholder>
          <w:docPart w:val="638D522BCF3A465697137A4913013561"/>
        </w:placeholder>
        <w:dataBinding w:prefixMappings="xmlns:ns0='http://purl.org/dc/elements/1.1/' xmlns:ns1='http://schemas.openxmlformats.org/package/2006/metadata/core-properties' " w:xpath="/ns1:coreProperties[1]/ns0:title[1]" w:storeItemID="{6C3C8BC8-F283-45AE-878A-BAB7291924A1}"/>
        <w:text/>
      </w:sdtPr>
      <w:sdtContent>
        <w:r w:rsidRPr="00422031">
          <w:rPr>
            <w:rFonts w:asciiTheme="majorHAnsi" w:eastAsiaTheme="majorEastAsia" w:hAnsiTheme="majorHAnsi" w:cstheme="majorBidi"/>
            <w:b/>
            <w:bCs/>
            <w:color w:val="2F5496" w:themeColor="accent1" w:themeShade="BF"/>
            <w:sz w:val="24"/>
            <w:szCs w:val="24"/>
          </w:rPr>
          <w:t>Audit and Analysis of Hyatt Group: Understanding Structure, Culture, and Strategic Direction</w:t>
        </w:r>
      </w:sdtContent>
    </w:sdt>
  </w:p>
  <w:p w14:paraId="5AAF7314" w14:textId="77777777" w:rsidR="00824617" w:rsidRDefault="008246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ED09F4"/>
    <w:multiLevelType w:val="multilevel"/>
    <w:tmpl w:val="0B946A2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771"/>
    <w:rsid w:val="00000771"/>
    <w:rsid w:val="000129ED"/>
    <w:rsid w:val="00032752"/>
    <w:rsid w:val="00034257"/>
    <w:rsid w:val="00056178"/>
    <w:rsid w:val="0006236D"/>
    <w:rsid w:val="00063716"/>
    <w:rsid w:val="000933C8"/>
    <w:rsid w:val="0009464C"/>
    <w:rsid w:val="000966DF"/>
    <w:rsid w:val="000A23B5"/>
    <w:rsid w:val="000C04CF"/>
    <w:rsid w:val="000C1B38"/>
    <w:rsid w:val="000D0589"/>
    <w:rsid w:val="000D3F76"/>
    <w:rsid w:val="000D52E5"/>
    <w:rsid w:val="000E3116"/>
    <w:rsid w:val="00104B87"/>
    <w:rsid w:val="0012016A"/>
    <w:rsid w:val="0012375B"/>
    <w:rsid w:val="00131AA7"/>
    <w:rsid w:val="00136B25"/>
    <w:rsid w:val="00147E1E"/>
    <w:rsid w:val="001C386F"/>
    <w:rsid w:val="001C51F2"/>
    <w:rsid w:val="001C7067"/>
    <w:rsid w:val="001D1A04"/>
    <w:rsid w:val="001D1B92"/>
    <w:rsid w:val="001E40FF"/>
    <w:rsid w:val="001E738E"/>
    <w:rsid w:val="0021392B"/>
    <w:rsid w:val="0021562F"/>
    <w:rsid w:val="00236708"/>
    <w:rsid w:val="00242141"/>
    <w:rsid w:val="00261B20"/>
    <w:rsid w:val="002A77AB"/>
    <w:rsid w:val="002B4694"/>
    <w:rsid w:val="002D032B"/>
    <w:rsid w:val="002F1BB6"/>
    <w:rsid w:val="002F7E4B"/>
    <w:rsid w:val="00306FCF"/>
    <w:rsid w:val="00320407"/>
    <w:rsid w:val="003315AA"/>
    <w:rsid w:val="00344B99"/>
    <w:rsid w:val="00351E8D"/>
    <w:rsid w:val="003C0319"/>
    <w:rsid w:val="003F1712"/>
    <w:rsid w:val="00411A4A"/>
    <w:rsid w:val="00414637"/>
    <w:rsid w:val="00422031"/>
    <w:rsid w:val="00424848"/>
    <w:rsid w:val="004257D5"/>
    <w:rsid w:val="00477BB4"/>
    <w:rsid w:val="00486FBC"/>
    <w:rsid w:val="00490CF1"/>
    <w:rsid w:val="00491E74"/>
    <w:rsid w:val="00492349"/>
    <w:rsid w:val="004A64E7"/>
    <w:rsid w:val="004B153A"/>
    <w:rsid w:val="004C0CA0"/>
    <w:rsid w:val="004C1035"/>
    <w:rsid w:val="004E0E61"/>
    <w:rsid w:val="004E3B80"/>
    <w:rsid w:val="004E59CA"/>
    <w:rsid w:val="004E7F6F"/>
    <w:rsid w:val="004F4CDE"/>
    <w:rsid w:val="004F7E04"/>
    <w:rsid w:val="005148F4"/>
    <w:rsid w:val="00554748"/>
    <w:rsid w:val="00560D33"/>
    <w:rsid w:val="005622EA"/>
    <w:rsid w:val="00565E8E"/>
    <w:rsid w:val="00567BE5"/>
    <w:rsid w:val="00570338"/>
    <w:rsid w:val="00575154"/>
    <w:rsid w:val="00575574"/>
    <w:rsid w:val="005D6657"/>
    <w:rsid w:val="005E379D"/>
    <w:rsid w:val="00611184"/>
    <w:rsid w:val="00624E0B"/>
    <w:rsid w:val="006568F3"/>
    <w:rsid w:val="00665155"/>
    <w:rsid w:val="006717CB"/>
    <w:rsid w:val="00673835"/>
    <w:rsid w:val="00675491"/>
    <w:rsid w:val="0068147A"/>
    <w:rsid w:val="006978B6"/>
    <w:rsid w:val="006A3183"/>
    <w:rsid w:val="006A733A"/>
    <w:rsid w:val="006A7EFA"/>
    <w:rsid w:val="006C1912"/>
    <w:rsid w:val="006D214E"/>
    <w:rsid w:val="006E70AB"/>
    <w:rsid w:val="006F060A"/>
    <w:rsid w:val="006F65C4"/>
    <w:rsid w:val="00735DBE"/>
    <w:rsid w:val="00782A70"/>
    <w:rsid w:val="00785853"/>
    <w:rsid w:val="00793443"/>
    <w:rsid w:val="00796442"/>
    <w:rsid w:val="007A4C1E"/>
    <w:rsid w:val="007A643B"/>
    <w:rsid w:val="007B44F1"/>
    <w:rsid w:val="007B4A3E"/>
    <w:rsid w:val="007B670A"/>
    <w:rsid w:val="00804E52"/>
    <w:rsid w:val="00824617"/>
    <w:rsid w:val="0083614C"/>
    <w:rsid w:val="0084098E"/>
    <w:rsid w:val="00863D73"/>
    <w:rsid w:val="008923A8"/>
    <w:rsid w:val="008A3B78"/>
    <w:rsid w:val="008A4BE8"/>
    <w:rsid w:val="008B1629"/>
    <w:rsid w:val="008B6E01"/>
    <w:rsid w:val="008C5223"/>
    <w:rsid w:val="008E54FA"/>
    <w:rsid w:val="00904113"/>
    <w:rsid w:val="00916E66"/>
    <w:rsid w:val="0092713A"/>
    <w:rsid w:val="0093235C"/>
    <w:rsid w:val="009328A8"/>
    <w:rsid w:val="00944EDC"/>
    <w:rsid w:val="00953951"/>
    <w:rsid w:val="009543B3"/>
    <w:rsid w:val="00967619"/>
    <w:rsid w:val="009A1197"/>
    <w:rsid w:val="009B5973"/>
    <w:rsid w:val="009D0682"/>
    <w:rsid w:val="009E4277"/>
    <w:rsid w:val="009F219F"/>
    <w:rsid w:val="009F679C"/>
    <w:rsid w:val="00A00AF6"/>
    <w:rsid w:val="00A030D7"/>
    <w:rsid w:val="00A22967"/>
    <w:rsid w:val="00A25B2A"/>
    <w:rsid w:val="00A321FA"/>
    <w:rsid w:val="00A35993"/>
    <w:rsid w:val="00A5440A"/>
    <w:rsid w:val="00A61DC5"/>
    <w:rsid w:val="00A62C5B"/>
    <w:rsid w:val="00A72B2E"/>
    <w:rsid w:val="00AA7F28"/>
    <w:rsid w:val="00AC72EF"/>
    <w:rsid w:val="00AD296E"/>
    <w:rsid w:val="00B033DB"/>
    <w:rsid w:val="00B06586"/>
    <w:rsid w:val="00B2429A"/>
    <w:rsid w:val="00B27890"/>
    <w:rsid w:val="00B43CCC"/>
    <w:rsid w:val="00B51088"/>
    <w:rsid w:val="00B63B07"/>
    <w:rsid w:val="00B63E93"/>
    <w:rsid w:val="00B71BC2"/>
    <w:rsid w:val="00B73799"/>
    <w:rsid w:val="00B80F14"/>
    <w:rsid w:val="00B840C7"/>
    <w:rsid w:val="00BB1A29"/>
    <w:rsid w:val="00BB6EFC"/>
    <w:rsid w:val="00BC22B1"/>
    <w:rsid w:val="00BC3D4B"/>
    <w:rsid w:val="00BD2A90"/>
    <w:rsid w:val="00BE2B1B"/>
    <w:rsid w:val="00BE4560"/>
    <w:rsid w:val="00BF1CE5"/>
    <w:rsid w:val="00C308F6"/>
    <w:rsid w:val="00C42E26"/>
    <w:rsid w:val="00C52847"/>
    <w:rsid w:val="00C6130C"/>
    <w:rsid w:val="00C638E9"/>
    <w:rsid w:val="00C66A60"/>
    <w:rsid w:val="00C92332"/>
    <w:rsid w:val="00CA201A"/>
    <w:rsid w:val="00CE0219"/>
    <w:rsid w:val="00CE46FA"/>
    <w:rsid w:val="00CF7917"/>
    <w:rsid w:val="00D10CBE"/>
    <w:rsid w:val="00D16828"/>
    <w:rsid w:val="00D234A7"/>
    <w:rsid w:val="00D46AC4"/>
    <w:rsid w:val="00D77C70"/>
    <w:rsid w:val="00D858B2"/>
    <w:rsid w:val="00D96F2D"/>
    <w:rsid w:val="00DB4000"/>
    <w:rsid w:val="00DC00A5"/>
    <w:rsid w:val="00DE557F"/>
    <w:rsid w:val="00DE6C00"/>
    <w:rsid w:val="00E06623"/>
    <w:rsid w:val="00E2345F"/>
    <w:rsid w:val="00E272C0"/>
    <w:rsid w:val="00E45636"/>
    <w:rsid w:val="00E63168"/>
    <w:rsid w:val="00E671D2"/>
    <w:rsid w:val="00E83340"/>
    <w:rsid w:val="00E84BF9"/>
    <w:rsid w:val="00E86A88"/>
    <w:rsid w:val="00E91F31"/>
    <w:rsid w:val="00E92A35"/>
    <w:rsid w:val="00E93F85"/>
    <w:rsid w:val="00EA0D1D"/>
    <w:rsid w:val="00EA54FB"/>
    <w:rsid w:val="00EF05CF"/>
    <w:rsid w:val="00F31C04"/>
    <w:rsid w:val="00F571D0"/>
    <w:rsid w:val="00F71323"/>
    <w:rsid w:val="00F74C16"/>
    <w:rsid w:val="00F80F19"/>
    <w:rsid w:val="00F8180A"/>
    <w:rsid w:val="00F869BD"/>
    <w:rsid w:val="00F86EB5"/>
    <w:rsid w:val="00FA74EA"/>
    <w:rsid w:val="00FD0B4C"/>
    <w:rsid w:val="00FF0E9E"/>
    <w:rsid w:val="00FF6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4908DB"/>
  <w15:chartTrackingRefBased/>
  <w15:docId w15:val="{04CBAE0E-7506-4598-9F55-EB53FD0E5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4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64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2375B"/>
    <w:rPr>
      <w:i/>
      <w:iCs/>
    </w:rPr>
  </w:style>
  <w:style w:type="character" w:styleId="Hyperlink">
    <w:name w:val="Hyperlink"/>
    <w:basedOn w:val="DefaultParagraphFont"/>
    <w:uiPriority w:val="99"/>
    <w:unhideWhenUsed/>
    <w:rsid w:val="00B51088"/>
    <w:rPr>
      <w:color w:val="0563C1" w:themeColor="hyperlink"/>
      <w:u w:val="single"/>
    </w:rPr>
  </w:style>
  <w:style w:type="character" w:styleId="UnresolvedMention">
    <w:name w:val="Unresolved Mention"/>
    <w:basedOn w:val="DefaultParagraphFont"/>
    <w:uiPriority w:val="99"/>
    <w:semiHidden/>
    <w:unhideWhenUsed/>
    <w:rsid w:val="00B51088"/>
    <w:rPr>
      <w:color w:val="605E5C"/>
      <w:shd w:val="clear" w:color="auto" w:fill="E1DFDD"/>
    </w:rPr>
  </w:style>
  <w:style w:type="paragraph" w:styleId="NormalWeb">
    <w:name w:val="Normal (Web)"/>
    <w:basedOn w:val="Normal"/>
    <w:uiPriority w:val="99"/>
    <w:semiHidden/>
    <w:unhideWhenUsed/>
    <w:rsid w:val="00BE456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BE4560"/>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E4560"/>
    <w:rPr>
      <w:rFonts w:ascii="Arial" w:eastAsia="Times New Roman" w:hAnsi="Arial" w:cs="Arial"/>
      <w:vanish/>
      <w:sz w:val="16"/>
      <w:szCs w:val="16"/>
      <w:lang w:eastAsia="en-GB"/>
    </w:rPr>
  </w:style>
  <w:style w:type="paragraph" w:styleId="ListParagraph">
    <w:name w:val="List Paragraph"/>
    <w:basedOn w:val="Normal"/>
    <w:uiPriority w:val="34"/>
    <w:qFormat/>
    <w:rsid w:val="00A61DC5"/>
    <w:pPr>
      <w:ind w:left="720"/>
      <w:contextualSpacing/>
    </w:pPr>
  </w:style>
  <w:style w:type="paragraph" w:styleId="Header">
    <w:name w:val="header"/>
    <w:basedOn w:val="Normal"/>
    <w:link w:val="HeaderChar"/>
    <w:uiPriority w:val="99"/>
    <w:unhideWhenUsed/>
    <w:rsid w:val="00D23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4A7"/>
  </w:style>
  <w:style w:type="paragraph" w:styleId="Footer">
    <w:name w:val="footer"/>
    <w:basedOn w:val="Normal"/>
    <w:link w:val="FooterChar"/>
    <w:uiPriority w:val="99"/>
    <w:unhideWhenUsed/>
    <w:rsid w:val="00D23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4A7"/>
  </w:style>
  <w:style w:type="paragraph" w:styleId="Title">
    <w:name w:val="Title"/>
    <w:basedOn w:val="Normal"/>
    <w:next w:val="Normal"/>
    <w:link w:val="TitleChar"/>
    <w:uiPriority w:val="10"/>
    <w:qFormat/>
    <w:rsid w:val="007A64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643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A643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A643B"/>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8B162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B1629"/>
    <w:rPr>
      <w:i/>
      <w:iCs/>
      <w:color w:val="4472C4" w:themeColor="accent1"/>
    </w:rPr>
  </w:style>
  <w:style w:type="paragraph" w:styleId="TOCHeading">
    <w:name w:val="TOC Heading"/>
    <w:basedOn w:val="Heading1"/>
    <w:next w:val="Normal"/>
    <w:uiPriority w:val="39"/>
    <w:unhideWhenUsed/>
    <w:qFormat/>
    <w:rsid w:val="002F7E4B"/>
    <w:pPr>
      <w:outlineLvl w:val="9"/>
    </w:pPr>
    <w:rPr>
      <w:lang w:val="en-US"/>
    </w:rPr>
  </w:style>
  <w:style w:type="paragraph" w:styleId="TOC2">
    <w:name w:val="toc 2"/>
    <w:basedOn w:val="Normal"/>
    <w:next w:val="Normal"/>
    <w:autoRedefine/>
    <w:uiPriority w:val="39"/>
    <w:unhideWhenUsed/>
    <w:rsid w:val="00565E8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65E8E"/>
    <w:pPr>
      <w:spacing w:after="100"/>
    </w:pPr>
    <w:rPr>
      <w:rFonts w:eastAsiaTheme="minorEastAsia" w:cs="Times New Roman"/>
      <w:lang w:val="en-US"/>
    </w:rPr>
  </w:style>
  <w:style w:type="paragraph" w:styleId="TOC3">
    <w:name w:val="toc 3"/>
    <w:basedOn w:val="Normal"/>
    <w:next w:val="Normal"/>
    <w:autoRedefine/>
    <w:uiPriority w:val="39"/>
    <w:unhideWhenUsed/>
    <w:rsid w:val="00565E8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854408">
      <w:bodyDiv w:val="1"/>
      <w:marLeft w:val="0"/>
      <w:marRight w:val="0"/>
      <w:marTop w:val="0"/>
      <w:marBottom w:val="0"/>
      <w:divBdr>
        <w:top w:val="none" w:sz="0" w:space="0" w:color="auto"/>
        <w:left w:val="none" w:sz="0" w:space="0" w:color="auto"/>
        <w:bottom w:val="none" w:sz="0" w:space="0" w:color="auto"/>
        <w:right w:val="none" w:sz="0" w:space="0" w:color="auto"/>
      </w:divBdr>
    </w:div>
    <w:div w:id="808863064">
      <w:bodyDiv w:val="1"/>
      <w:marLeft w:val="0"/>
      <w:marRight w:val="0"/>
      <w:marTop w:val="0"/>
      <w:marBottom w:val="0"/>
      <w:divBdr>
        <w:top w:val="none" w:sz="0" w:space="0" w:color="auto"/>
        <w:left w:val="none" w:sz="0" w:space="0" w:color="auto"/>
        <w:bottom w:val="none" w:sz="0" w:space="0" w:color="auto"/>
        <w:right w:val="none" w:sz="0" w:space="0" w:color="auto"/>
      </w:divBdr>
      <w:divsChild>
        <w:div w:id="744112815">
          <w:marLeft w:val="0"/>
          <w:marRight w:val="0"/>
          <w:marTop w:val="0"/>
          <w:marBottom w:val="0"/>
          <w:divBdr>
            <w:top w:val="single" w:sz="2" w:space="0" w:color="E3E3E3"/>
            <w:left w:val="single" w:sz="2" w:space="0" w:color="E3E3E3"/>
            <w:bottom w:val="single" w:sz="2" w:space="0" w:color="E3E3E3"/>
            <w:right w:val="single" w:sz="2" w:space="0" w:color="E3E3E3"/>
          </w:divBdr>
          <w:divsChild>
            <w:div w:id="782378685">
              <w:marLeft w:val="0"/>
              <w:marRight w:val="0"/>
              <w:marTop w:val="100"/>
              <w:marBottom w:val="100"/>
              <w:divBdr>
                <w:top w:val="single" w:sz="2" w:space="0" w:color="E3E3E3"/>
                <w:left w:val="single" w:sz="2" w:space="0" w:color="E3E3E3"/>
                <w:bottom w:val="single" w:sz="2" w:space="0" w:color="E3E3E3"/>
                <w:right w:val="single" w:sz="2" w:space="0" w:color="E3E3E3"/>
              </w:divBdr>
              <w:divsChild>
                <w:div w:id="1329022849">
                  <w:marLeft w:val="0"/>
                  <w:marRight w:val="0"/>
                  <w:marTop w:val="0"/>
                  <w:marBottom w:val="0"/>
                  <w:divBdr>
                    <w:top w:val="single" w:sz="2" w:space="0" w:color="E3E3E3"/>
                    <w:left w:val="single" w:sz="2" w:space="0" w:color="E3E3E3"/>
                    <w:bottom w:val="single" w:sz="2" w:space="0" w:color="E3E3E3"/>
                    <w:right w:val="single" w:sz="2" w:space="0" w:color="E3E3E3"/>
                  </w:divBdr>
                  <w:divsChild>
                    <w:div w:id="430711622">
                      <w:marLeft w:val="0"/>
                      <w:marRight w:val="0"/>
                      <w:marTop w:val="0"/>
                      <w:marBottom w:val="0"/>
                      <w:divBdr>
                        <w:top w:val="single" w:sz="2" w:space="0" w:color="E3E3E3"/>
                        <w:left w:val="single" w:sz="2" w:space="0" w:color="E3E3E3"/>
                        <w:bottom w:val="single" w:sz="2" w:space="0" w:color="E3E3E3"/>
                        <w:right w:val="single" w:sz="2" w:space="0" w:color="E3E3E3"/>
                      </w:divBdr>
                      <w:divsChild>
                        <w:div w:id="800416929">
                          <w:marLeft w:val="0"/>
                          <w:marRight w:val="0"/>
                          <w:marTop w:val="0"/>
                          <w:marBottom w:val="0"/>
                          <w:divBdr>
                            <w:top w:val="single" w:sz="2" w:space="0" w:color="E3E3E3"/>
                            <w:left w:val="single" w:sz="2" w:space="0" w:color="E3E3E3"/>
                            <w:bottom w:val="single" w:sz="2" w:space="0" w:color="E3E3E3"/>
                            <w:right w:val="single" w:sz="2" w:space="0" w:color="E3E3E3"/>
                          </w:divBdr>
                          <w:divsChild>
                            <w:div w:id="1056471844">
                              <w:marLeft w:val="0"/>
                              <w:marRight w:val="0"/>
                              <w:marTop w:val="0"/>
                              <w:marBottom w:val="0"/>
                              <w:divBdr>
                                <w:top w:val="single" w:sz="2" w:space="0" w:color="E3E3E3"/>
                                <w:left w:val="single" w:sz="2" w:space="0" w:color="E3E3E3"/>
                                <w:bottom w:val="single" w:sz="2" w:space="0" w:color="E3E3E3"/>
                                <w:right w:val="single" w:sz="2" w:space="0" w:color="E3E3E3"/>
                              </w:divBdr>
                              <w:divsChild>
                                <w:div w:id="274992401">
                                  <w:marLeft w:val="0"/>
                                  <w:marRight w:val="0"/>
                                  <w:marTop w:val="0"/>
                                  <w:marBottom w:val="0"/>
                                  <w:divBdr>
                                    <w:top w:val="single" w:sz="2" w:space="0" w:color="E3E3E3"/>
                                    <w:left w:val="single" w:sz="2" w:space="0" w:color="E3E3E3"/>
                                    <w:bottom w:val="single" w:sz="2" w:space="0" w:color="E3E3E3"/>
                                    <w:right w:val="single" w:sz="2" w:space="0" w:color="E3E3E3"/>
                                  </w:divBdr>
                                  <w:divsChild>
                                    <w:div w:id="9047248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86610755">
      <w:bodyDiv w:val="1"/>
      <w:marLeft w:val="0"/>
      <w:marRight w:val="0"/>
      <w:marTop w:val="0"/>
      <w:marBottom w:val="0"/>
      <w:divBdr>
        <w:top w:val="none" w:sz="0" w:space="0" w:color="auto"/>
        <w:left w:val="none" w:sz="0" w:space="0" w:color="auto"/>
        <w:bottom w:val="none" w:sz="0" w:space="0" w:color="auto"/>
        <w:right w:val="none" w:sz="0" w:space="0" w:color="auto"/>
      </w:divBdr>
    </w:div>
    <w:div w:id="1597858933">
      <w:bodyDiv w:val="1"/>
      <w:marLeft w:val="0"/>
      <w:marRight w:val="0"/>
      <w:marTop w:val="0"/>
      <w:marBottom w:val="0"/>
      <w:divBdr>
        <w:top w:val="none" w:sz="0" w:space="0" w:color="auto"/>
        <w:left w:val="none" w:sz="0" w:space="0" w:color="auto"/>
        <w:bottom w:val="none" w:sz="0" w:space="0" w:color="auto"/>
        <w:right w:val="none" w:sz="0" w:space="0" w:color="auto"/>
      </w:divBdr>
      <w:divsChild>
        <w:div w:id="1188258461">
          <w:marLeft w:val="0"/>
          <w:marRight w:val="0"/>
          <w:marTop w:val="0"/>
          <w:marBottom w:val="0"/>
          <w:divBdr>
            <w:top w:val="single" w:sz="2" w:space="0" w:color="E3E3E3"/>
            <w:left w:val="single" w:sz="2" w:space="0" w:color="E3E3E3"/>
            <w:bottom w:val="single" w:sz="2" w:space="0" w:color="E3E3E3"/>
            <w:right w:val="single" w:sz="2" w:space="0" w:color="E3E3E3"/>
          </w:divBdr>
          <w:divsChild>
            <w:div w:id="1397628872">
              <w:marLeft w:val="0"/>
              <w:marRight w:val="0"/>
              <w:marTop w:val="0"/>
              <w:marBottom w:val="0"/>
              <w:divBdr>
                <w:top w:val="single" w:sz="2" w:space="0" w:color="E3E3E3"/>
                <w:left w:val="single" w:sz="2" w:space="0" w:color="E3E3E3"/>
                <w:bottom w:val="single" w:sz="2" w:space="0" w:color="E3E3E3"/>
                <w:right w:val="single" w:sz="2" w:space="0" w:color="E3E3E3"/>
              </w:divBdr>
              <w:divsChild>
                <w:div w:id="597834468">
                  <w:marLeft w:val="0"/>
                  <w:marRight w:val="0"/>
                  <w:marTop w:val="0"/>
                  <w:marBottom w:val="0"/>
                  <w:divBdr>
                    <w:top w:val="single" w:sz="2" w:space="0" w:color="E3E3E3"/>
                    <w:left w:val="single" w:sz="2" w:space="0" w:color="E3E3E3"/>
                    <w:bottom w:val="single" w:sz="2" w:space="0" w:color="E3E3E3"/>
                    <w:right w:val="single" w:sz="2" w:space="0" w:color="E3E3E3"/>
                  </w:divBdr>
                  <w:divsChild>
                    <w:div w:id="1529831095">
                      <w:marLeft w:val="0"/>
                      <w:marRight w:val="0"/>
                      <w:marTop w:val="0"/>
                      <w:marBottom w:val="0"/>
                      <w:divBdr>
                        <w:top w:val="single" w:sz="2" w:space="0" w:color="E3E3E3"/>
                        <w:left w:val="single" w:sz="2" w:space="0" w:color="E3E3E3"/>
                        <w:bottom w:val="single" w:sz="2" w:space="0" w:color="E3E3E3"/>
                        <w:right w:val="single" w:sz="2" w:space="0" w:color="E3E3E3"/>
                      </w:divBdr>
                      <w:divsChild>
                        <w:div w:id="1860926802">
                          <w:marLeft w:val="0"/>
                          <w:marRight w:val="0"/>
                          <w:marTop w:val="0"/>
                          <w:marBottom w:val="0"/>
                          <w:divBdr>
                            <w:top w:val="single" w:sz="2" w:space="0" w:color="E3E3E3"/>
                            <w:left w:val="single" w:sz="2" w:space="0" w:color="E3E3E3"/>
                            <w:bottom w:val="single" w:sz="2" w:space="0" w:color="E3E3E3"/>
                            <w:right w:val="single" w:sz="2" w:space="0" w:color="E3E3E3"/>
                          </w:divBdr>
                          <w:divsChild>
                            <w:div w:id="991639635">
                              <w:marLeft w:val="0"/>
                              <w:marRight w:val="0"/>
                              <w:marTop w:val="100"/>
                              <w:marBottom w:val="100"/>
                              <w:divBdr>
                                <w:top w:val="single" w:sz="2" w:space="0" w:color="E3E3E3"/>
                                <w:left w:val="single" w:sz="2" w:space="0" w:color="E3E3E3"/>
                                <w:bottom w:val="single" w:sz="2" w:space="0" w:color="E3E3E3"/>
                                <w:right w:val="single" w:sz="2" w:space="0" w:color="E3E3E3"/>
                              </w:divBdr>
                              <w:divsChild>
                                <w:div w:id="1097409987">
                                  <w:marLeft w:val="0"/>
                                  <w:marRight w:val="0"/>
                                  <w:marTop w:val="0"/>
                                  <w:marBottom w:val="0"/>
                                  <w:divBdr>
                                    <w:top w:val="single" w:sz="2" w:space="0" w:color="E3E3E3"/>
                                    <w:left w:val="single" w:sz="2" w:space="0" w:color="E3E3E3"/>
                                    <w:bottom w:val="single" w:sz="2" w:space="0" w:color="E3E3E3"/>
                                    <w:right w:val="single" w:sz="2" w:space="0" w:color="E3E3E3"/>
                                  </w:divBdr>
                                  <w:divsChild>
                                    <w:div w:id="509833702">
                                      <w:marLeft w:val="0"/>
                                      <w:marRight w:val="0"/>
                                      <w:marTop w:val="0"/>
                                      <w:marBottom w:val="0"/>
                                      <w:divBdr>
                                        <w:top w:val="single" w:sz="2" w:space="0" w:color="E3E3E3"/>
                                        <w:left w:val="single" w:sz="2" w:space="0" w:color="E3E3E3"/>
                                        <w:bottom w:val="single" w:sz="2" w:space="0" w:color="E3E3E3"/>
                                        <w:right w:val="single" w:sz="2" w:space="0" w:color="E3E3E3"/>
                                      </w:divBdr>
                                      <w:divsChild>
                                        <w:div w:id="882181681">
                                          <w:marLeft w:val="0"/>
                                          <w:marRight w:val="0"/>
                                          <w:marTop w:val="0"/>
                                          <w:marBottom w:val="0"/>
                                          <w:divBdr>
                                            <w:top w:val="single" w:sz="2" w:space="0" w:color="E3E3E3"/>
                                            <w:left w:val="single" w:sz="2" w:space="0" w:color="E3E3E3"/>
                                            <w:bottom w:val="single" w:sz="2" w:space="0" w:color="E3E3E3"/>
                                            <w:right w:val="single" w:sz="2" w:space="0" w:color="E3E3E3"/>
                                          </w:divBdr>
                                          <w:divsChild>
                                            <w:div w:id="144665045">
                                              <w:marLeft w:val="0"/>
                                              <w:marRight w:val="0"/>
                                              <w:marTop w:val="0"/>
                                              <w:marBottom w:val="0"/>
                                              <w:divBdr>
                                                <w:top w:val="single" w:sz="2" w:space="0" w:color="E3E3E3"/>
                                                <w:left w:val="single" w:sz="2" w:space="0" w:color="E3E3E3"/>
                                                <w:bottom w:val="single" w:sz="2" w:space="0" w:color="E3E3E3"/>
                                                <w:right w:val="single" w:sz="2" w:space="0" w:color="E3E3E3"/>
                                              </w:divBdr>
                                              <w:divsChild>
                                                <w:div w:id="273829914">
                                                  <w:marLeft w:val="0"/>
                                                  <w:marRight w:val="0"/>
                                                  <w:marTop w:val="0"/>
                                                  <w:marBottom w:val="0"/>
                                                  <w:divBdr>
                                                    <w:top w:val="single" w:sz="2" w:space="0" w:color="E3E3E3"/>
                                                    <w:left w:val="single" w:sz="2" w:space="0" w:color="E3E3E3"/>
                                                    <w:bottom w:val="single" w:sz="2" w:space="0" w:color="E3E3E3"/>
                                                    <w:right w:val="single" w:sz="2" w:space="0" w:color="E3E3E3"/>
                                                  </w:divBdr>
                                                  <w:divsChild>
                                                    <w:div w:id="15578604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39685354">
          <w:marLeft w:val="0"/>
          <w:marRight w:val="0"/>
          <w:marTop w:val="0"/>
          <w:marBottom w:val="0"/>
          <w:divBdr>
            <w:top w:val="none" w:sz="0" w:space="0" w:color="auto"/>
            <w:left w:val="none" w:sz="0" w:space="0" w:color="auto"/>
            <w:bottom w:val="none" w:sz="0" w:space="0" w:color="auto"/>
            <w:right w:val="none" w:sz="0" w:space="0" w:color="auto"/>
          </w:divBdr>
        </w:div>
      </w:divsChild>
    </w:div>
    <w:div w:id="1998537807">
      <w:bodyDiv w:val="1"/>
      <w:marLeft w:val="0"/>
      <w:marRight w:val="0"/>
      <w:marTop w:val="0"/>
      <w:marBottom w:val="0"/>
      <w:divBdr>
        <w:top w:val="none" w:sz="0" w:space="0" w:color="auto"/>
        <w:left w:val="none" w:sz="0" w:space="0" w:color="auto"/>
        <w:bottom w:val="none" w:sz="0" w:space="0" w:color="auto"/>
        <w:right w:val="none" w:sz="0" w:space="0" w:color="auto"/>
      </w:divBdr>
      <w:divsChild>
        <w:div w:id="920411417">
          <w:marLeft w:val="0"/>
          <w:marRight w:val="0"/>
          <w:marTop w:val="0"/>
          <w:marBottom w:val="0"/>
          <w:divBdr>
            <w:top w:val="single" w:sz="2" w:space="0" w:color="E3E3E3"/>
            <w:left w:val="single" w:sz="2" w:space="0" w:color="E3E3E3"/>
            <w:bottom w:val="single" w:sz="2" w:space="0" w:color="E3E3E3"/>
            <w:right w:val="single" w:sz="2" w:space="0" w:color="E3E3E3"/>
          </w:divBdr>
          <w:divsChild>
            <w:div w:id="969284544">
              <w:marLeft w:val="0"/>
              <w:marRight w:val="0"/>
              <w:marTop w:val="0"/>
              <w:marBottom w:val="0"/>
              <w:divBdr>
                <w:top w:val="single" w:sz="2" w:space="0" w:color="E3E3E3"/>
                <w:left w:val="single" w:sz="2" w:space="0" w:color="E3E3E3"/>
                <w:bottom w:val="single" w:sz="2" w:space="0" w:color="E3E3E3"/>
                <w:right w:val="single" w:sz="2" w:space="0" w:color="E3E3E3"/>
              </w:divBdr>
              <w:divsChild>
                <w:div w:id="1384718233">
                  <w:marLeft w:val="0"/>
                  <w:marRight w:val="0"/>
                  <w:marTop w:val="0"/>
                  <w:marBottom w:val="0"/>
                  <w:divBdr>
                    <w:top w:val="single" w:sz="2" w:space="0" w:color="E3E3E3"/>
                    <w:left w:val="single" w:sz="2" w:space="0" w:color="E3E3E3"/>
                    <w:bottom w:val="single" w:sz="2" w:space="0" w:color="E3E3E3"/>
                    <w:right w:val="single" w:sz="2" w:space="0" w:color="E3E3E3"/>
                  </w:divBdr>
                  <w:divsChild>
                    <w:div w:id="1031956916">
                      <w:marLeft w:val="0"/>
                      <w:marRight w:val="0"/>
                      <w:marTop w:val="0"/>
                      <w:marBottom w:val="0"/>
                      <w:divBdr>
                        <w:top w:val="single" w:sz="2" w:space="0" w:color="E3E3E3"/>
                        <w:left w:val="single" w:sz="2" w:space="0" w:color="E3E3E3"/>
                        <w:bottom w:val="single" w:sz="2" w:space="0" w:color="E3E3E3"/>
                        <w:right w:val="single" w:sz="2" w:space="0" w:color="E3E3E3"/>
                      </w:divBdr>
                      <w:divsChild>
                        <w:div w:id="1144856863">
                          <w:marLeft w:val="0"/>
                          <w:marRight w:val="0"/>
                          <w:marTop w:val="0"/>
                          <w:marBottom w:val="0"/>
                          <w:divBdr>
                            <w:top w:val="single" w:sz="2" w:space="0" w:color="E3E3E3"/>
                            <w:left w:val="single" w:sz="2" w:space="0" w:color="E3E3E3"/>
                            <w:bottom w:val="single" w:sz="2" w:space="0" w:color="E3E3E3"/>
                            <w:right w:val="single" w:sz="2" w:space="0" w:color="E3E3E3"/>
                          </w:divBdr>
                          <w:divsChild>
                            <w:div w:id="37631478">
                              <w:marLeft w:val="0"/>
                              <w:marRight w:val="0"/>
                              <w:marTop w:val="100"/>
                              <w:marBottom w:val="100"/>
                              <w:divBdr>
                                <w:top w:val="single" w:sz="2" w:space="0" w:color="E3E3E3"/>
                                <w:left w:val="single" w:sz="2" w:space="0" w:color="E3E3E3"/>
                                <w:bottom w:val="single" w:sz="2" w:space="0" w:color="E3E3E3"/>
                                <w:right w:val="single" w:sz="2" w:space="0" w:color="E3E3E3"/>
                              </w:divBdr>
                              <w:divsChild>
                                <w:div w:id="275404686">
                                  <w:marLeft w:val="0"/>
                                  <w:marRight w:val="0"/>
                                  <w:marTop w:val="0"/>
                                  <w:marBottom w:val="0"/>
                                  <w:divBdr>
                                    <w:top w:val="single" w:sz="2" w:space="0" w:color="E3E3E3"/>
                                    <w:left w:val="single" w:sz="2" w:space="0" w:color="E3E3E3"/>
                                    <w:bottom w:val="single" w:sz="2" w:space="0" w:color="E3E3E3"/>
                                    <w:right w:val="single" w:sz="2" w:space="0" w:color="E3E3E3"/>
                                  </w:divBdr>
                                  <w:divsChild>
                                    <w:div w:id="1665741381">
                                      <w:marLeft w:val="0"/>
                                      <w:marRight w:val="0"/>
                                      <w:marTop w:val="0"/>
                                      <w:marBottom w:val="0"/>
                                      <w:divBdr>
                                        <w:top w:val="single" w:sz="2" w:space="0" w:color="E3E3E3"/>
                                        <w:left w:val="single" w:sz="2" w:space="0" w:color="E3E3E3"/>
                                        <w:bottom w:val="single" w:sz="2" w:space="0" w:color="E3E3E3"/>
                                        <w:right w:val="single" w:sz="2" w:space="0" w:color="E3E3E3"/>
                                      </w:divBdr>
                                      <w:divsChild>
                                        <w:div w:id="1315909845">
                                          <w:marLeft w:val="0"/>
                                          <w:marRight w:val="0"/>
                                          <w:marTop w:val="0"/>
                                          <w:marBottom w:val="0"/>
                                          <w:divBdr>
                                            <w:top w:val="single" w:sz="2" w:space="0" w:color="E3E3E3"/>
                                            <w:left w:val="single" w:sz="2" w:space="0" w:color="E3E3E3"/>
                                            <w:bottom w:val="single" w:sz="2" w:space="0" w:color="E3E3E3"/>
                                            <w:right w:val="single" w:sz="2" w:space="0" w:color="E3E3E3"/>
                                          </w:divBdr>
                                          <w:divsChild>
                                            <w:div w:id="340620895">
                                              <w:marLeft w:val="0"/>
                                              <w:marRight w:val="0"/>
                                              <w:marTop w:val="0"/>
                                              <w:marBottom w:val="0"/>
                                              <w:divBdr>
                                                <w:top w:val="single" w:sz="2" w:space="0" w:color="E3E3E3"/>
                                                <w:left w:val="single" w:sz="2" w:space="0" w:color="E3E3E3"/>
                                                <w:bottom w:val="single" w:sz="2" w:space="0" w:color="E3E3E3"/>
                                                <w:right w:val="single" w:sz="2" w:space="0" w:color="E3E3E3"/>
                                              </w:divBdr>
                                              <w:divsChild>
                                                <w:div w:id="1058673452">
                                                  <w:marLeft w:val="0"/>
                                                  <w:marRight w:val="0"/>
                                                  <w:marTop w:val="0"/>
                                                  <w:marBottom w:val="0"/>
                                                  <w:divBdr>
                                                    <w:top w:val="single" w:sz="2" w:space="0" w:color="E3E3E3"/>
                                                    <w:left w:val="single" w:sz="2" w:space="0" w:color="E3E3E3"/>
                                                    <w:bottom w:val="single" w:sz="2" w:space="0" w:color="E3E3E3"/>
                                                    <w:right w:val="single" w:sz="2" w:space="0" w:color="E3E3E3"/>
                                                  </w:divBdr>
                                                  <w:divsChild>
                                                    <w:div w:id="1865291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842774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38D522BCF3A465697137A4913013561"/>
        <w:category>
          <w:name w:val="General"/>
          <w:gallery w:val="placeholder"/>
        </w:category>
        <w:types>
          <w:type w:val="bbPlcHdr"/>
        </w:types>
        <w:behaviors>
          <w:behavior w:val="content"/>
        </w:behaviors>
        <w:guid w:val="{A81245F9-8E31-46B5-9B04-7FF726D75C77}"/>
      </w:docPartPr>
      <w:docPartBody>
        <w:p w:rsidR="00000000" w:rsidRDefault="009C675E" w:rsidP="009C675E">
          <w:pPr>
            <w:pStyle w:val="638D522BCF3A465697137A4913013561"/>
          </w:pPr>
          <w:r>
            <w:rPr>
              <w:rFonts w:asciiTheme="majorHAnsi" w:eastAsiaTheme="majorEastAsia" w:hAnsiTheme="majorHAnsi" w:cstheme="majorBidi"/>
              <w:color w:val="2F5496" w:themeColor="accent1" w:themeShade="BF"/>
              <w:sz w:val="32"/>
              <w:szCs w:val="3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75E"/>
    <w:rsid w:val="009C6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2FEB59910246268BADA2E02C70DF47">
    <w:name w:val="852FEB59910246268BADA2E02C70DF47"/>
    <w:rsid w:val="009C675E"/>
  </w:style>
  <w:style w:type="paragraph" w:customStyle="1" w:styleId="8E0934BE79AA433096ABDDF7FC0FA1BE">
    <w:name w:val="8E0934BE79AA433096ABDDF7FC0FA1BE"/>
    <w:rsid w:val="009C675E"/>
  </w:style>
  <w:style w:type="paragraph" w:customStyle="1" w:styleId="17E38389DFD1491586E889B6E9132ED8">
    <w:name w:val="17E38389DFD1491586E889B6E9132ED8"/>
    <w:rsid w:val="009C675E"/>
  </w:style>
  <w:style w:type="paragraph" w:customStyle="1" w:styleId="638D522BCF3A465697137A4913013561">
    <w:name w:val="638D522BCF3A465697137A4913013561"/>
    <w:rsid w:val="009C67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787E0-6727-4373-8BE3-4DFCD2F60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2673</Words>
  <Characters>19624</Characters>
  <Application>Microsoft Office Word</Application>
  <DocSecurity>0</DocSecurity>
  <Lines>424</Lines>
  <Paragraphs>154</Paragraphs>
  <ScaleCrop>false</ScaleCrop>
  <Company/>
  <LinksUpToDate>false</LinksUpToDate>
  <CharactersWithSpaces>22153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Ana Iordache</dc:creator>
  <cp:keywords/>
  <dc:description/>
  <cp:lastModifiedBy>Maria Ana Iordache</cp:lastModifiedBy>
  <cp:revision>213</cp:revision>
  <dcterms:created xsi:type="dcterms:W3CDTF">2024-02-18T17:43:00Z</dcterms:created>
  <dcterms:modified xsi:type="dcterms:W3CDTF">2024-02-21T02:38:00Z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5b29b93259d501cd0e294a22f61d10dad1d496ebd01467bfb47b51b5f1e0ac9b</vt:lpwstr>
  </property>
</Properties>
</file>