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F153E7" w14:textId="77777777" w:rsidR="007B647D" w:rsidRPr="00E420FF" w:rsidRDefault="007B647D" w:rsidP="007B647D">
      <w:pPr>
        <w:spacing w:line="360" w:lineRule="auto"/>
        <w:rPr>
          <w:rFonts w:ascii="Times New Roman" w:hAnsi="Times New Roman" w:cs="Times New Roman"/>
        </w:rPr>
      </w:pPr>
      <w:r w:rsidRPr="00E420FF">
        <w:rPr>
          <w:rFonts w:ascii="Times New Roman" w:hAnsi="Times New Roman" w:cs="Times New Roman"/>
        </w:rPr>
        <w:t xml:space="preserve">Bore Da and welcome, I would like to thank you all for attending this meeting today. As the </w:t>
      </w:r>
      <w:r>
        <w:rPr>
          <w:rFonts w:ascii="Times New Roman" w:hAnsi="Times New Roman" w:cs="Times New Roman"/>
        </w:rPr>
        <w:t>t</w:t>
      </w:r>
      <w:r w:rsidRPr="00E420FF">
        <w:rPr>
          <w:rFonts w:ascii="Times New Roman" w:hAnsi="Times New Roman" w:cs="Times New Roman"/>
        </w:rPr>
        <w:t xml:space="preserve">ransition </w:t>
      </w:r>
      <w:r>
        <w:rPr>
          <w:rFonts w:ascii="Times New Roman" w:hAnsi="Times New Roman" w:cs="Times New Roman"/>
        </w:rPr>
        <w:t>c</w:t>
      </w:r>
      <w:r w:rsidRPr="00E420FF">
        <w:rPr>
          <w:rFonts w:ascii="Times New Roman" w:hAnsi="Times New Roman" w:cs="Times New Roman"/>
        </w:rPr>
        <w:t xml:space="preserve">oordinator for the school, I would like to discuss one of the ways that we may address the first two objectives of our school development plan, whilst also looking ahead to the upcoming transition of our </w:t>
      </w:r>
      <w:r>
        <w:rPr>
          <w:rFonts w:ascii="Times New Roman" w:hAnsi="Times New Roman" w:cs="Times New Roman"/>
        </w:rPr>
        <w:t>y</w:t>
      </w:r>
      <w:r w:rsidRPr="00E420FF">
        <w:rPr>
          <w:rFonts w:ascii="Times New Roman" w:hAnsi="Times New Roman" w:cs="Times New Roman"/>
        </w:rPr>
        <w:t xml:space="preserve">ear </w:t>
      </w:r>
      <w:r>
        <w:rPr>
          <w:rFonts w:ascii="Times New Roman" w:hAnsi="Times New Roman" w:cs="Times New Roman"/>
        </w:rPr>
        <w:t>six</w:t>
      </w:r>
      <w:r w:rsidRPr="00E420FF">
        <w:rPr>
          <w:rFonts w:ascii="Times New Roman" w:hAnsi="Times New Roman" w:cs="Times New Roman"/>
        </w:rPr>
        <w:t xml:space="preserve"> pupils into Key Stage Three, with the transition of children from a Gypsy Traveller background being the focal point.</w:t>
      </w:r>
    </w:p>
    <w:p w14:paraId="092C84B0" w14:textId="77777777" w:rsidR="007B647D" w:rsidRPr="00E420FF" w:rsidRDefault="007B647D" w:rsidP="007B647D">
      <w:pPr>
        <w:spacing w:line="360" w:lineRule="auto"/>
        <w:rPr>
          <w:rFonts w:ascii="Times New Roman" w:hAnsi="Times New Roman" w:cs="Times New Roman"/>
        </w:rPr>
      </w:pPr>
    </w:p>
    <w:p w14:paraId="0BEAF728" w14:textId="77777777" w:rsidR="007B647D" w:rsidRPr="00E420FF" w:rsidRDefault="007B647D" w:rsidP="007B647D">
      <w:pPr>
        <w:spacing w:line="360" w:lineRule="auto"/>
        <w:rPr>
          <w:rFonts w:ascii="Times New Roman" w:hAnsi="Times New Roman" w:cs="Times New Roman"/>
        </w:rPr>
      </w:pPr>
      <w:r w:rsidRPr="00E420FF">
        <w:rPr>
          <w:rFonts w:ascii="Times New Roman" w:hAnsi="Times New Roman" w:cs="Times New Roman"/>
        </w:rPr>
        <w:t xml:space="preserve">The first objective that I would like to address today is to ensure that all pupils, regardless of their background, make good progress in their learning. This was a key area of improvement highlighted within our recent Estyn inspection, as they found that the Gypsy Traveller pupils within our school community were not making sufficient progress in relation to their age and ability (Estyn, 2018, p. 16). Gypsy Traveller children have been found in recent years to obtain the lowest levels of educational attainment out of any pupil group </w:t>
      </w:r>
      <w:r w:rsidRPr="00E420FF">
        <w:rPr>
          <w:rFonts w:ascii="Times New Roman" w:hAnsi="Times New Roman" w:cs="Times New Roman"/>
          <w:noProof/>
        </w:rPr>
        <w:t>(</w:t>
      </w:r>
      <w:r>
        <w:rPr>
          <w:rFonts w:ascii="Times New Roman" w:hAnsi="Times New Roman" w:cs="Times New Roman"/>
          <w:noProof/>
        </w:rPr>
        <w:t>Welsh Assembly Government,</w:t>
      </w:r>
      <w:r w:rsidRPr="00E420FF">
        <w:rPr>
          <w:rFonts w:ascii="Times New Roman" w:hAnsi="Times New Roman" w:cs="Times New Roman"/>
          <w:noProof/>
        </w:rPr>
        <w:t xml:space="preserve"> 2016)</w:t>
      </w:r>
      <w:r w:rsidRPr="00E420FF">
        <w:rPr>
          <w:rFonts w:ascii="Times New Roman" w:hAnsi="Times New Roman" w:cs="Times New Roman"/>
        </w:rPr>
        <w:t xml:space="preserve">, whilst also having more than twice the number of authorised and unauthorised absences than that of the national average </w:t>
      </w:r>
      <w:r w:rsidRPr="00E420FF">
        <w:rPr>
          <w:rFonts w:ascii="Times New Roman" w:hAnsi="Times New Roman" w:cs="Times New Roman"/>
          <w:noProof/>
        </w:rPr>
        <w:t>(</w:t>
      </w:r>
      <w:r>
        <w:rPr>
          <w:rFonts w:ascii="Times New Roman" w:hAnsi="Times New Roman" w:cs="Times New Roman"/>
          <w:noProof/>
        </w:rPr>
        <w:t xml:space="preserve">Welsh Assembly </w:t>
      </w:r>
      <w:r w:rsidRPr="00E420FF">
        <w:rPr>
          <w:rFonts w:ascii="Times New Roman" w:hAnsi="Times New Roman" w:cs="Times New Roman"/>
          <w:noProof/>
        </w:rPr>
        <w:t>Government, 2016)</w:t>
      </w:r>
      <w:r w:rsidRPr="00E420FF">
        <w:rPr>
          <w:rFonts w:ascii="Times New Roman" w:hAnsi="Times New Roman" w:cs="Times New Roman"/>
        </w:rPr>
        <w:t>. Poverty and material deprivation, as well as the misconceptions often held regarding the specific nature of the lifestyle and culture of this community, may contribute to why Gypsy Traveller children are the most likely of pupil groups to receive racial abuse (Tyler, 2005; W</w:t>
      </w:r>
      <w:r>
        <w:rPr>
          <w:rFonts w:ascii="Times New Roman" w:hAnsi="Times New Roman" w:cs="Times New Roman"/>
        </w:rPr>
        <w:t xml:space="preserve">elsh </w:t>
      </w:r>
      <w:r w:rsidRPr="00E420FF">
        <w:rPr>
          <w:rFonts w:ascii="Times New Roman" w:hAnsi="Times New Roman" w:cs="Times New Roman"/>
        </w:rPr>
        <w:t>A</w:t>
      </w:r>
      <w:r>
        <w:rPr>
          <w:rFonts w:ascii="Times New Roman" w:hAnsi="Times New Roman" w:cs="Times New Roman"/>
        </w:rPr>
        <w:t xml:space="preserve">ssembly </w:t>
      </w:r>
      <w:r w:rsidRPr="00E420FF">
        <w:rPr>
          <w:rFonts w:ascii="Times New Roman" w:hAnsi="Times New Roman" w:cs="Times New Roman"/>
        </w:rPr>
        <w:t>G</w:t>
      </w:r>
      <w:r>
        <w:rPr>
          <w:rFonts w:ascii="Times New Roman" w:hAnsi="Times New Roman" w:cs="Times New Roman"/>
        </w:rPr>
        <w:t>overnment</w:t>
      </w:r>
      <w:r w:rsidRPr="00E420FF">
        <w:rPr>
          <w:rFonts w:ascii="Times New Roman" w:hAnsi="Times New Roman" w:cs="Times New Roman"/>
        </w:rPr>
        <w:t xml:space="preserve">, 2008), which in turn may contribute to low levels of attendance and withdrawal from school </w:t>
      </w:r>
      <w:r w:rsidRPr="00E420FF">
        <w:rPr>
          <w:rFonts w:ascii="Times New Roman" w:hAnsi="Times New Roman" w:cs="Times New Roman"/>
          <w:noProof/>
        </w:rPr>
        <w:t>(</w:t>
      </w:r>
      <w:r>
        <w:rPr>
          <w:rFonts w:ascii="Times New Roman" w:hAnsi="Times New Roman" w:cs="Times New Roman"/>
          <w:noProof/>
        </w:rPr>
        <w:t xml:space="preserve">Welsh Assembly </w:t>
      </w:r>
      <w:r w:rsidRPr="00E420FF">
        <w:rPr>
          <w:rFonts w:ascii="Times New Roman" w:hAnsi="Times New Roman" w:cs="Times New Roman"/>
          <w:noProof/>
        </w:rPr>
        <w:t>Government, 2016)</w:t>
      </w:r>
      <w:r w:rsidRPr="00E420FF">
        <w:rPr>
          <w:rFonts w:ascii="Times New Roman" w:hAnsi="Times New Roman" w:cs="Times New Roman"/>
        </w:rPr>
        <w:t xml:space="preserve">. Negative experiences such as these contribute to the heightened “spiral of lack of trust” (Bingham, 2010, p.2) felt by the Gypsy Traveller community, which in turn leads to their failure to engage in mainstream services, thereby exacerbating the issues of “exclusion, marginalisation, inequalities in life chances and poverty” (Bingham, 2010, p.2) that they as a community face. This leads me on to the second objective within our school development plan, which outlines the need to “challenge stereotypes in pupil’s attitudes, choices and expectations” (Estyn, 2018, p.22), whilst also promoting their human rights (Estyn, 2018). </w:t>
      </w:r>
    </w:p>
    <w:p w14:paraId="50187B3E" w14:textId="77777777" w:rsidR="007B647D" w:rsidRPr="00E420FF" w:rsidRDefault="007B647D" w:rsidP="007B647D">
      <w:pPr>
        <w:spacing w:line="360" w:lineRule="auto"/>
        <w:rPr>
          <w:rFonts w:ascii="Times New Roman" w:hAnsi="Times New Roman" w:cs="Times New Roman"/>
        </w:rPr>
      </w:pPr>
    </w:p>
    <w:p w14:paraId="563CDED3" w14:textId="77777777" w:rsidR="007B647D" w:rsidRPr="00E420FF" w:rsidRDefault="007B647D" w:rsidP="007B647D">
      <w:pPr>
        <w:spacing w:line="360" w:lineRule="auto"/>
        <w:rPr>
          <w:rFonts w:ascii="Times New Roman" w:hAnsi="Times New Roman" w:cs="Times New Roman"/>
          <w:color w:val="000000" w:themeColor="text1"/>
        </w:rPr>
      </w:pPr>
      <w:r w:rsidRPr="00E420FF">
        <w:rPr>
          <w:rFonts w:ascii="Times New Roman" w:hAnsi="Times New Roman" w:cs="Times New Roman"/>
        </w:rPr>
        <w:t xml:space="preserve">Such discriminatory attitudes may also affect the children’s progress in education, as it is in part due to this discrimination that there is a general reluctance within the Gypsy Traveller community to allow their children to progress onto secondary school </w:t>
      </w:r>
      <w:r w:rsidRPr="00E420FF">
        <w:rPr>
          <w:rFonts w:ascii="Times New Roman" w:hAnsi="Times New Roman" w:cs="Times New Roman"/>
          <w:noProof/>
        </w:rPr>
        <w:t>(</w:t>
      </w:r>
      <w:r>
        <w:rPr>
          <w:rFonts w:ascii="Times New Roman" w:hAnsi="Times New Roman" w:cs="Times New Roman"/>
          <w:noProof/>
        </w:rPr>
        <w:t xml:space="preserve">Welsh Assembly </w:t>
      </w:r>
      <w:r w:rsidRPr="00E420FF">
        <w:rPr>
          <w:rFonts w:ascii="Times New Roman" w:hAnsi="Times New Roman" w:cs="Times New Roman"/>
          <w:noProof/>
        </w:rPr>
        <w:t>Government, 2016)</w:t>
      </w:r>
      <w:r w:rsidRPr="00E420FF">
        <w:rPr>
          <w:rFonts w:ascii="Times New Roman" w:hAnsi="Times New Roman" w:cs="Times New Roman"/>
        </w:rPr>
        <w:t>, instead often choosing to induct their children into the family work as trainee adults (</w:t>
      </w:r>
      <w:r w:rsidRPr="00E420FF">
        <w:rPr>
          <w:rFonts w:ascii="Times New Roman" w:hAnsi="Times New Roman" w:cs="Times New Roman"/>
          <w:color w:val="000000" w:themeColor="text1"/>
        </w:rPr>
        <w:t xml:space="preserve">O’Hanlon &amp; Holmes, 2004). In addition, </w:t>
      </w:r>
      <w:r>
        <w:rPr>
          <w:rFonts w:ascii="Times New Roman" w:hAnsi="Times New Roman" w:cs="Times New Roman"/>
          <w:color w:val="000000" w:themeColor="text1"/>
        </w:rPr>
        <w:t>s</w:t>
      </w:r>
      <w:r w:rsidRPr="00E420FF">
        <w:rPr>
          <w:rFonts w:ascii="Times New Roman" w:hAnsi="Times New Roman" w:cs="Times New Roman"/>
          <w:color w:val="000000" w:themeColor="text1"/>
        </w:rPr>
        <w:t xml:space="preserve">econdary school education is often viewed as being in contrast with cultural beliefs and practices held by the community (O’Hanlon &amp; Holmes, 2004), a problem which is made worse by the lack of parental </w:t>
      </w:r>
      <w:r w:rsidRPr="00E420FF">
        <w:rPr>
          <w:rFonts w:ascii="Times New Roman" w:hAnsi="Times New Roman" w:cs="Times New Roman"/>
          <w:color w:val="000000" w:themeColor="text1"/>
        </w:rPr>
        <w:lastRenderedPageBreak/>
        <w:t xml:space="preserve">involvement experienced in secondary schools (Osborn, </w:t>
      </w:r>
      <w:proofErr w:type="spellStart"/>
      <w:r w:rsidRPr="00E420FF">
        <w:rPr>
          <w:rFonts w:ascii="Times New Roman" w:hAnsi="Times New Roman" w:cs="Times New Roman"/>
          <w:color w:val="000000" w:themeColor="text1"/>
        </w:rPr>
        <w:t>McNess</w:t>
      </w:r>
      <w:proofErr w:type="spellEnd"/>
      <w:r w:rsidRPr="00E420FF">
        <w:rPr>
          <w:rFonts w:ascii="Times New Roman" w:hAnsi="Times New Roman" w:cs="Times New Roman"/>
          <w:color w:val="000000" w:themeColor="text1"/>
        </w:rPr>
        <w:t xml:space="preserve"> and Pollard, 2006 as cited by Symonds, 2015). </w:t>
      </w:r>
    </w:p>
    <w:p w14:paraId="783D34AB" w14:textId="77777777" w:rsidR="007B647D" w:rsidRPr="00E420FF" w:rsidRDefault="007B647D" w:rsidP="007B647D">
      <w:pPr>
        <w:spacing w:line="360" w:lineRule="auto"/>
        <w:rPr>
          <w:rFonts w:ascii="Times New Roman" w:hAnsi="Times New Roman" w:cs="Times New Roman"/>
          <w:color w:val="000000" w:themeColor="text1"/>
        </w:rPr>
      </w:pPr>
    </w:p>
    <w:p w14:paraId="5F1A732A" w14:textId="77777777" w:rsidR="007B647D" w:rsidRPr="00E420FF" w:rsidRDefault="007B647D" w:rsidP="007B647D">
      <w:pPr>
        <w:pStyle w:val="NormalWeb"/>
        <w:spacing w:line="360" w:lineRule="auto"/>
        <w:rPr>
          <w:color w:val="000000" w:themeColor="text1"/>
        </w:rPr>
      </w:pPr>
      <w:r w:rsidRPr="00E420FF">
        <w:rPr>
          <w:color w:val="000000" w:themeColor="text1"/>
        </w:rPr>
        <w:t>In working towards achieving our goal to enable all pupils to make sufficient progress, transition is an area that we cannot ignore, as transition between schools, including from primary to secondary has been found to not only hinder children’s progression in learning but may also cause them to disengage (</w:t>
      </w:r>
      <w:r>
        <w:rPr>
          <w:noProof/>
          <w:color w:val="000000" w:themeColor="text1"/>
        </w:rPr>
        <w:t xml:space="preserve">Welsh Assembly </w:t>
      </w:r>
      <w:r w:rsidRPr="00E420FF">
        <w:rPr>
          <w:noProof/>
          <w:color w:val="000000" w:themeColor="text1"/>
        </w:rPr>
        <w:t>Government, 2016</w:t>
      </w:r>
      <w:r>
        <w:rPr>
          <w:noProof/>
          <w:color w:val="000000" w:themeColor="text1"/>
        </w:rPr>
        <w:t xml:space="preserve">; </w:t>
      </w:r>
      <w:r w:rsidRPr="00E420FF">
        <w:t>Donaldson, 2015; Symonds, 2015).</w:t>
      </w:r>
      <w:r w:rsidRPr="00E420FF">
        <w:rPr>
          <w:color w:val="000000" w:themeColor="text1"/>
        </w:rPr>
        <w:t xml:space="preserve"> Whilst transition is a challenging time for any learner, it may be particularly challenging to those who need extra support (</w:t>
      </w:r>
      <w:r>
        <w:rPr>
          <w:color w:val="000000" w:themeColor="text1"/>
        </w:rPr>
        <w:t xml:space="preserve">Welsh Assembly </w:t>
      </w:r>
      <w:r w:rsidRPr="00E420FF">
        <w:rPr>
          <w:color w:val="000000" w:themeColor="text1"/>
        </w:rPr>
        <w:t xml:space="preserve">Government, 2016) as well as for children from ethnic minorities, such our Gypsy Traveller pupils (Symonds, 2015). Transition may also affect a child’s wellbeing (Symonds, 2015), which in turn can affect their level of achievement, as Donaldson (2015, p. 45) states that “children and young people need to experience social, emotional and physical wellbeing to thrive and engage successfully with their education”. Furthermore, a child’s wellbeing may be the defining factor of how well a child adapts to the changes they face during the transition process (Symonds, 2015), therefore the intervention we put in place to support these learners should support the development of each child’s identity , self-esteem, competence and social support, whilst allowing opportunity for autonomy within their learning as these five areas may determine how a child’s wellbeing is effected by transition (Symonds, 2015). </w:t>
      </w:r>
    </w:p>
    <w:p w14:paraId="14C0F398" w14:textId="77777777" w:rsidR="007B647D" w:rsidRPr="00E420FF" w:rsidRDefault="007B647D" w:rsidP="007B647D">
      <w:pPr>
        <w:pStyle w:val="NormalWeb"/>
        <w:spacing w:line="360" w:lineRule="auto"/>
      </w:pPr>
      <w:r w:rsidRPr="00E420FF">
        <w:rPr>
          <w:color w:val="000000" w:themeColor="text1"/>
        </w:rPr>
        <w:t xml:space="preserve">The intervention is made up of three parts, with the first stage aiming to develop the learners’ competence and self-esteem as they engage in drama workshops. These will take place within the transition school and commence after the October half-term in year six and take place on a monthly basis up until their transition into the new school the following September. </w:t>
      </w:r>
      <w:r w:rsidRPr="00E420FF">
        <w:t xml:space="preserve">Within these workshops the children will engage in activities where they will use the context of drama to further develop their literacy skills, in particular their </w:t>
      </w:r>
      <w:proofErr w:type="spellStart"/>
      <w:r w:rsidRPr="00E420FF">
        <w:t>oracy</w:t>
      </w:r>
      <w:proofErr w:type="spellEnd"/>
      <w:r w:rsidRPr="00E420FF">
        <w:t xml:space="preserve">. Engagement in the expressive arts may also develop the learners’ confidence and resilience as they “gain enjoyment and personal satisfaction from creative expression” (Donaldson, 2015, p.44) with constructive out of school activities such as these also being found to support children’s “self-esteem, mental health, personal, emotional and social skills…which in turn supports their resiliency to many common transition challenges” (Symonds, 2015, p. 64). </w:t>
      </w:r>
    </w:p>
    <w:p w14:paraId="494DBFD2" w14:textId="77777777" w:rsidR="007B647D" w:rsidRPr="00E420FF" w:rsidRDefault="007B647D" w:rsidP="007B647D">
      <w:pPr>
        <w:pStyle w:val="NormalWeb"/>
        <w:spacing w:line="360" w:lineRule="auto"/>
        <w:rPr>
          <w:color w:val="000000" w:themeColor="text1"/>
        </w:rPr>
      </w:pPr>
      <w:r w:rsidRPr="00E420FF">
        <w:rPr>
          <w:color w:val="000000" w:themeColor="text1"/>
        </w:rPr>
        <w:t xml:space="preserve">These sessions will also allow a good opportunity for them to become familiar with their new surroundings prior to starting there, helping to alleviate their anxiety as they become </w:t>
      </w:r>
      <w:r w:rsidRPr="00E420FF">
        <w:rPr>
          <w:color w:val="000000" w:themeColor="text1"/>
        </w:rPr>
        <w:lastRenderedPageBreak/>
        <w:t xml:space="preserve">confident about the features of the school that they may otherwise have been afraid of (Symonds, 2015). </w:t>
      </w:r>
    </w:p>
    <w:p w14:paraId="46C4BE92" w14:textId="77777777" w:rsidR="007B647D" w:rsidRPr="00E420FF" w:rsidRDefault="007B647D" w:rsidP="007B647D">
      <w:pPr>
        <w:pStyle w:val="NormalWeb"/>
        <w:spacing w:line="360" w:lineRule="auto"/>
        <w:rPr>
          <w:color w:val="000000" w:themeColor="text1"/>
        </w:rPr>
      </w:pPr>
      <w:r w:rsidRPr="00E420FF">
        <w:rPr>
          <w:color w:val="000000" w:themeColor="text1"/>
        </w:rPr>
        <w:t xml:space="preserve">The second instalment of the intervention builds </w:t>
      </w:r>
      <w:r>
        <w:rPr>
          <w:color w:val="000000" w:themeColor="text1"/>
        </w:rPr>
        <w:t>up</w:t>
      </w:r>
      <w:r w:rsidRPr="00E420FF">
        <w:rPr>
          <w:color w:val="000000" w:themeColor="text1"/>
        </w:rPr>
        <w:t xml:space="preserve">on the first, this time involving the whole year group as they engage in a bridging unit which will commence from the last term of year </w:t>
      </w:r>
      <w:r>
        <w:rPr>
          <w:color w:val="000000" w:themeColor="text1"/>
        </w:rPr>
        <w:t>six</w:t>
      </w:r>
      <w:r w:rsidRPr="00E420FF">
        <w:rPr>
          <w:color w:val="000000" w:themeColor="text1"/>
        </w:rPr>
        <w:t xml:space="preserve"> until completion at the end of their first term in </w:t>
      </w:r>
      <w:r>
        <w:rPr>
          <w:color w:val="000000" w:themeColor="text1"/>
        </w:rPr>
        <w:t>y</w:t>
      </w:r>
      <w:r w:rsidRPr="00E420FF">
        <w:rPr>
          <w:color w:val="000000" w:themeColor="text1"/>
        </w:rPr>
        <w:t xml:space="preserve">ear </w:t>
      </w:r>
      <w:r>
        <w:rPr>
          <w:color w:val="000000" w:themeColor="text1"/>
        </w:rPr>
        <w:t>seven</w:t>
      </w:r>
      <w:r w:rsidRPr="00E420FF">
        <w:rPr>
          <w:color w:val="000000" w:themeColor="text1"/>
        </w:rPr>
        <w:t xml:space="preserve">. This unit will use a thematic approach, with the chosen theme being “Broadway”. This will build on the target groups prior knowledge that they will have gained from their drama sessions, providing continuity and progression in their learning, as Donaldson (2015, p.14) states that the curriculum, “should be…unified: enabling continuity and flow with components which combine and build progressively”. </w:t>
      </w:r>
    </w:p>
    <w:p w14:paraId="04CFB45E" w14:textId="77777777" w:rsidR="007B647D" w:rsidRPr="00E420FF" w:rsidRDefault="007B647D" w:rsidP="007B647D">
      <w:pPr>
        <w:pStyle w:val="NormalWeb"/>
        <w:spacing w:line="360" w:lineRule="auto"/>
        <w:rPr>
          <w:color w:val="000000" w:themeColor="text1"/>
        </w:rPr>
      </w:pPr>
      <w:r w:rsidRPr="00E420FF">
        <w:rPr>
          <w:color w:val="000000" w:themeColor="text1"/>
        </w:rPr>
        <w:t>The first half of this unit of work will involve the children in creating their own character profiles, the success criteria for this will be that their chosen characters must reflect their own identity and background.</w:t>
      </w:r>
      <w:r>
        <w:rPr>
          <w:color w:val="000000" w:themeColor="text1"/>
        </w:rPr>
        <w:t xml:space="preserve"> </w:t>
      </w:r>
      <w:r w:rsidRPr="00E420FF">
        <w:rPr>
          <w:color w:val="000000" w:themeColor="text1"/>
        </w:rPr>
        <w:t xml:space="preserve">The children will then be given the scenario of a major event or change that their chosen characters will experience, and the children will then create their own scripts showing their characters response to this change. This will also allow a good opportunity to involve parents in the learning process, as we could ask for parents to come into class to discuss with children their own experiences of change within their lives. </w:t>
      </w:r>
    </w:p>
    <w:p w14:paraId="2F473F02" w14:textId="77777777" w:rsidR="007B647D" w:rsidRPr="00E420FF" w:rsidRDefault="007B647D" w:rsidP="007B647D">
      <w:pPr>
        <w:pStyle w:val="NormalWeb"/>
        <w:spacing w:line="360" w:lineRule="auto"/>
      </w:pPr>
      <w:r w:rsidRPr="00E420FF">
        <w:rPr>
          <w:color w:val="000000" w:themeColor="text1"/>
        </w:rPr>
        <w:t xml:space="preserve">Throughout this process the learners’ literacy skills will be further developed as they engage in reading, writing and discussions. </w:t>
      </w:r>
      <w:r w:rsidRPr="00E420FF">
        <w:t xml:space="preserve">By focusing on developing the learners’ literacy skills, their overall level of competency will be developed as, “competency in literacy…is essential for learning across the curriculum, not least because of the fundamental role of language in thinking” (Donaldson, 2015, p. 40).  </w:t>
      </w:r>
      <w:r>
        <w:t>(Appendix A)</w:t>
      </w:r>
    </w:p>
    <w:p w14:paraId="5B4906CB" w14:textId="77777777" w:rsidR="007B647D" w:rsidRPr="00E420FF" w:rsidRDefault="007B647D" w:rsidP="007B647D">
      <w:pPr>
        <w:pStyle w:val="NormalWeb"/>
        <w:spacing w:line="360" w:lineRule="auto"/>
        <w:rPr>
          <w:color w:val="000000" w:themeColor="text1"/>
        </w:rPr>
      </w:pPr>
      <w:r w:rsidRPr="00E420FF">
        <w:rPr>
          <w:color w:val="000000" w:themeColor="text1"/>
        </w:rPr>
        <w:t>In preparation for my task of designing th</w:t>
      </w:r>
      <w:r>
        <w:rPr>
          <w:color w:val="000000" w:themeColor="text1"/>
        </w:rPr>
        <w:t>is</w:t>
      </w:r>
      <w:r w:rsidRPr="00E420FF">
        <w:rPr>
          <w:color w:val="000000" w:themeColor="text1"/>
        </w:rPr>
        <w:t xml:space="preserve"> intervention</w:t>
      </w:r>
      <w:r>
        <w:rPr>
          <w:color w:val="000000" w:themeColor="text1"/>
        </w:rPr>
        <w:t>,</w:t>
      </w:r>
      <w:r w:rsidRPr="00E420FF">
        <w:rPr>
          <w:color w:val="000000" w:themeColor="text1"/>
        </w:rPr>
        <w:t xml:space="preserve"> I visited a local primary school which is deemed by Estyn as being an example of sector leading practice in their creation of an engaging learning environment (Estyn, 2016). Upon observation, one of the key elements within that environment was the effective use of resources that celebrate the culture of the </w:t>
      </w:r>
      <w:r w:rsidRPr="00FF4871">
        <w:rPr>
          <w:color w:val="000000" w:themeColor="text1"/>
        </w:rPr>
        <w:t xml:space="preserve">pupils (appendix </w:t>
      </w:r>
      <w:r>
        <w:rPr>
          <w:color w:val="000000" w:themeColor="text1"/>
        </w:rPr>
        <w:t>B</w:t>
      </w:r>
      <w:r w:rsidRPr="00FF4871">
        <w:rPr>
          <w:color w:val="000000" w:themeColor="text1"/>
        </w:rPr>
        <w:t>). The</w:t>
      </w:r>
      <w:r w:rsidRPr="00E420FF">
        <w:rPr>
          <w:color w:val="000000" w:themeColor="text1"/>
        </w:rPr>
        <w:t xml:space="preserve"> Welsh Government emphasise the importance for “children from Gypsy and Traveller backgrounds to see their culture, history…and values reflected positively in their school experience” (W</w:t>
      </w:r>
      <w:r>
        <w:rPr>
          <w:color w:val="000000" w:themeColor="text1"/>
        </w:rPr>
        <w:t xml:space="preserve">elsh </w:t>
      </w:r>
      <w:r w:rsidRPr="00E420FF">
        <w:rPr>
          <w:color w:val="000000" w:themeColor="text1"/>
        </w:rPr>
        <w:t>A</w:t>
      </w:r>
      <w:r>
        <w:rPr>
          <w:color w:val="000000" w:themeColor="text1"/>
        </w:rPr>
        <w:t xml:space="preserve">ssembly </w:t>
      </w:r>
      <w:r w:rsidRPr="00E420FF">
        <w:rPr>
          <w:color w:val="000000" w:themeColor="text1"/>
        </w:rPr>
        <w:t>G</w:t>
      </w:r>
      <w:r>
        <w:rPr>
          <w:color w:val="000000" w:themeColor="text1"/>
        </w:rPr>
        <w:t>overnment</w:t>
      </w:r>
      <w:r w:rsidRPr="00E420FF">
        <w:rPr>
          <w:color w:val="000000" w:themeColor="text1"/>
        </w:rPr>
        <w:t xml:space="preserve">, 2014, p.3), as it is the learning environment that is fundamental to the learners sense of belonging within the school (Welsh Assembly Government, 2010, as quoted in </w:t>
      </w:r>
      <w:r>
        <w:t>Welsh Assembly Government</w:t>
      </w:r>
      <w:r w:rsidRPr="00E420FF">
        <w:rPr>
          <w:color w:val="000000" w:themeColor="text1"/>
        </w:rPr>
        <w:t xml:space="preserve">, 2014). </w:t>
      </w:r>
      <w:r w:rsidRPr="00E420FF">
        <w:rPr>
          <w:color w:val="000000" w:themeColor="text1"/>
        </w:rPr>
        <w:lastRenderedPageBreak/>
        <w:t xml:space="preserve">This has in turn led me to suggest that an area of the school library is created specifically for </w:t>
      </w:r>
      <w:r w:rsidRPr="00E9128F">
        <w:rPr>
          <w:color w:val="000000" w:themeColor="text1"/>
        </w:rPr>
        <w:t>holding work created by the pupils, including the scripts created within the year six’s unit of work, for other pupils to access and read, thereby showcasing the variety of cultures and backgrounds of our school community. Some teachers have also utilised this approach, encouraging children to tell their own stories in order to turn them into texts which are then used as reading material (Danaher et al.,</w:t>
      </w:r>
      <w:r w:rsidRPr="00E420FF">
        <w:rPr>
          <w:color w:val="000000" w:themeColor="text1"/>
        </w:rPr>
        <w:t xml:space="preserve"> 2007). </w:t>
      </w:r>
    </w:p>
    <w:p w14:paraId="1B967623" w14:textId="77777777" w:rsidR="007B647D" w:rsidRPr="00E420FF" w:rsidRDefault="007B647D" w:rsidP="007B647D">
      <w:pPr>
        <w:pStyle w:val="NormalWeb"/>
        <w:spacing w:line="360" w:lineRule="auto"/>
        <w:rPr>
          <w:color w:val="000000" w:themeColor="text1"/>
        </w:rPr>
      </w:pPr>
      <w:r w:rsidRPr="00E420FF">
        <w:rPr>
          <w:color w:val="000000" w:themeColor="text1"/>
        </w:rPr>
        <w:t>The final part of the intervention will be based within the secondary school and will take place in the first term of year seven within the children’s drama lessons. This will again build on the previous elements of the intervention, forming the second half of the bridging unit, and still be taught under the theme of “Broadway”. The use of bridging units within transition provide a useful tool in supporting this curriculum continuity (Symonds, 2015), which in turn may provide reassurance for pupils, supporting them in transition (Estyn, 2004).</w:t>
      </w:r>
    </w:p>
    <w:p w14:paraId="763ECEC4" w14:textId="77777777" w:rsidR="007B647D" w:rsidRPr="00E420FF" w:rsidRDefault="007B647D" w:rsidP="007B647D">
      <w:pPr>
        <w:pStyle w:val="NormalWeb"/>
        <w:spacing w:line="360" w:lineRule="auto"/>
        <w:rPr>
          <w:color w:val="FF0000"/>
        </w:rPr>
      </w:pPr>
      <w:r w:rsidRPr="00E420FF">
        <w:rPr>
          <w:color w:val="000000" w:themeColor="text1"/>
        </w:rPr>
        <w:t>The activities within this half of the unit will involve the children working in groups, as they are given the task of creating their own short play featuring each of their characters that they created during their final term in primary school. The use of drama in this unit provides an effective context in which the learners can express their identity, as the expressive arts “promote exploration of issues of personal and cultural identity” (Donaldson, 2015, p.</w:t>
      </w:r>
      <w:r>
        <w:rPr>
          <w:color w:val="000000" w:themeColor="text1"/>
        </w:rPr>
        <w:t xml:space="preserve"> </w:t>
      </w:r>
      <w:r w:rsidRPr="00E420FF">
        <w:rPr>
          <w:color w:val="000000" w:themeColor="text1"/>
        </w:rPr>
        <w:t xml:space="preserve">43). The expression of such issues is important as “when people are held back from expressing their identity, they become frustrated and maladapted” (Symonds, 2015, p.21). </w:t>
      </w:r>
    </w:p>
    <w:p w14:paraId="628F1BEE" w14:textId="77777777" w:rsidR="007B647D" w:rsidRPr="00E420FF" w:rsidRDefault="007B647D" w:rsidP="007B647D">
      <w:pPr>
        <w:pStyle w:val="NormalWeb"/>
        <w:spacing w:line="360" w:lineRule="auto"/>
        <w:rPr>
          <w:color w:val="000000" w:themeColor="text1"/>
        </w:rPr>
      </w:pPr>
      <w:r w:rsidRPr="00E420FF">
        <w:rPr>
          <w:color w:val="000000" w:themeColor="text1"/>
        </w:rPr>
        <w:t xml:space="preserve">Collaborative learning such as this, has been found to “have a positive impact on self-esteem, attitudes towards peers and to school generally” (Woolfolk et al., 2012; Gillies &amp; Boyle, 2008 as cited in Doherty </w:t>
      </w:r>
      <w:r>
        <w:rPr>
          <w:color w:val="000000" w:themeColor="text1"/>
        </w:rPr>
        <w:t xml:space="preserve">&amp; </w:t>
      </w:r>
      <w:r w:rsidRPr="00E420FF">
        <w:rPr>
          <w:color w:val="000000" w:themeColor="text1"/>
        </w:rPr>
        <w:t xml:space="preserve">Hughes, 2014, p. 389). Improving peer support is important when coordinating children’s transition (Symonds, 2015), as peer relationships have been found to be the primary concern of children as they transition into a new school (Berndt &amp; </w:t>
      </w:r>
      <w:proofErr w:type="spellStart"/>
      <w:r w:rsidRPr="00E420FF">
        <w:rPr>
          <w:color w:val="000000" w:themeColor="text1"/>
        </w:rPr>
        <w:t>Mekos</w:t>
      </w:r>
      <w:proofErr w:type="spellEnd"/>
      <w:r w:rsidRPr="00E420FF">
        <w:rPr>
          <w:color w:val="000000" w:themeColor="text1"/>
        </w:rPr>
        <w:t xml:space="preserve">, 1995; Galton, 2010; Pratt &amp; George, 2005 as cited in Symonds, 2015), with friends also forming the most fundamental source of emotional support for the learners during this time (Kurita &amp; Janzen, 1990 as cited in Symonds, 2015). (Appendix </w:t>
      </w:r>
      <w:r>
        <w:rPr>
          <w:color w:val="000000" w:themeColor="text1"/>
        </w:rPr>
        <w:t>C)</w:t>
      </w:r>
    </w:p>
    <w:p w14:paraId="272F5480" w14:textId="77777777" w:rsidR="007B647D" w:rsidRPr="00E420FF" w:rsidRDefault="007B647D" w:rsidP="007B647D">
      <w:pPr>
        <w:spacing w:line="360" w:lineRule="auto"/>
        <w:rPr>
          <w:rFonts w:ascii="Times New Roman" w:hAnsi="Times New Roman" w:cs="Times New Roman"/>
        </w:rPr>
      </w:pPr>
      <w:r w:rsidRPr="00E420FF">
        <w:rPr>
          <w:rFonts w:ascii="Times New Roman" w:hAnsi="Times New Roman" w:cs="Times New Roman"/>
        </w:rPr>
        <w:t>This intervention involves a variety of roles and responsibilities, the details of which you can find within the information pack (</w:t>
      </w:r>
      <w:r>
        <w:rPr>
          <w:rFonts w:ascii="Times New Roman" w:hAnsi="Times New Roman" w:cs="Times New Roman"/>
        </w:rPr>
        <w:t>a</w:t>
      </w:r>
      <w:r w:rsidRPr="00E420FF">
        <w:rPr>
          <w:rFonts w:ascii="Times New Roman" w:hAnsi="Times New Roman" w:cs="Times New Roman"/>
        </w:rPr>
        <w:t xml:space="preserve">ppendix </w:t>
      </w:r>
      <w:r>
        <w:rPr>
          <w:rFonts w:ascii="Times New Roman" w:hAnsi="Times New Roman" w:cs="Times New Roman"/>
        </w:rPr>
        <w:t>D</w:t>
      </w:r>
      <w:r w:rsidRPr="00E420FF">
        <w:rPr>
          <w:rFonts w:ascii="Times New Roman" w:hAnsi="Times New Roman" w:cs="Times New Roman"/>
        </w:rPr>
        <w:t>)</w:t>
      </w:r>
      <w:r>
        <w:rPr>
          <w:rFonts w:ascii="Times New Roman" w:hAnsi="Times New Roman" w:cs="Times New Roman"/>
        </w:rPr>
        <w:t>.</w:t>
      </w:r>
      <w:r w:rsidRPr="00E420FF">
        <w:rPr>
          <w:rFonts w:ascii="Times New Roman" w:hAnsi="Times New Roman" w:cs="Times New Roman"/>
        </w:rPr>
        <w:t xml:space="preserve"> By distributing tasks to individuals who possess specialist skills, experience or competence in the specific areas, we can achieve greater efficiency (</w:t>
      </w:r>
      <w:proofErr w:type="spellStart"/>
      <w:r w:rsidRPr="00E420FF">
        <w:rPr>
          <w:rFonts w:ascii="Times New Roman" w:hAnsi="Times New Roman" w:cs="Times New Roman"/>
        </w:rPr>
        <w:t>Dalin</w:t>
      </w:r>
      <w:proofErr w:type="spellEnd"/>
      <w:r w:rsidRPr="00E420FF">
        <w:rPr>
          <w:rFonts w:ascii="Times New Roman" w:hAnsi="Times New Roman" w:cs="Times New Roman"/>
        </w:rPr>
        <w:t xml:space="preserve">, 1998, p. 33), therefore by drawing upon effective practices and </w:t>
      </w:r>
      <w:r w:rsidRPr="00E420FF">
        <w:rPr>
          <w:rFonts w:ascii="Times New Roman" w:hAnsi="Times New Roman" w:cs="Times New Roman"/>
        </w:rPr>
        <w:lastRenderedPageBreak/>
        <w:t xml:space="preserve">processes which exist currently, we may be able to effectively influence changes in our current system (Rix et al., 2010). An example of such practice is the Gypsy Traveller </w:t>
      </w:r>
      <w:r>
        <w:rPr>
          <w:rFonts w:ascii="Times New Roman" w:hAnsi="Times New Roman" w:cs="Times New Roman"/>
        </w:rPr>
        <w:t>E</w:t>
      </w:r>
      <w:r w:rsidRPr="00E420FF">
        <w:rPr>
          <w:rFonts w:ascii="Times New Roman" w:hAnsi="Times New Roman" w:cs="Times New Roman"/>
        </w:rPr>
        <w:t xml:space="preserve">ducation </w:t>
      </w:r>
      <w:r>
        <w:rPr>
          <w:rFonts w:ascii="Times New Roman" w:hAnsi="Times New Roman" w:cs="Times New Roman"/>
        </w:rPr>
        <w:t>S</w:t>
      </w:r>
      <w:r w:rsidRPr="00E420FF">
        <w:rPr>
          <w:rFonts w:ascii="Times New Roman" w:hAnsi="Times New Roman" w:cs="Times New Roman"/>
        </w:rPr>
        <w:t>ervice</w:t>
      </w:r>
      <w:sdt>
        <w:sdtPr>
          <w:rPr>
            <w:rFonts w:ascii="Times New Roman" w:hAnsi="Times New Roman" w:cs="Times New Roman"/>
          </w:rPr>
          <w:id w:val="405810857"/>
          <w:citation/>
        </w:sdtPr>
        <w:sdtContent>
          <w:r w:rsidRPr="00E420FF">
            <w:rPr>
              <w:rFonts w:ascii="Times New Roman" w:hAnsi="Times New Roman" w:cs="Times New Roman"/>
            </w:rPr>
            <w:fldChar w:fldCharType="begin"/>
          </w:r>
          <w:r w:rsidRPr="00E420FF">
            <w:rPr>
              <w:rFonts w:ascii="Times New Roman" w:hAnsi="Times New Roman" w:cs="Times New Roman"/>
            </w:rPr>
            <w:instrText xml:space="preserve"> CITATION Pem181 \l 2057 </w:instrText>
          </w:r>
          <w:r w:rsidRPr="00E420FF">
            <w:rPr>
              <w:rFonts w:ascii="Times New Roman" w:hAnsi="Times New Roman" w:cs="Times New Roman"/>
            </w:rPr>
            <w:fldChar w:fldCharType="separate"/>
          </w:r>
          <w:r w:rsidRPr="00E420FF">
            <w:rPr>
              <w:rFonts w:ascii="Times New Roman" w:hAnsi="Times New Roman" w:cs="Times New Roman"/>
              <w:noProof/>
            </w:rPr>
            <w:t xml:space="preserve"> (Council, 2018)</w:t>
          </w:r>
          <w:r w:rsidRPr="00E420FF">
            <w:rPr>
              <w:rFonts w:ascii="Times New Roman" w:hAnsi="Times New Roman" w:cs="Times New Roman"/>
            </w:rPr>
            <w:fldChar w:fldCharType="end"/>
          </w:r>
        </w:sdtContent>
      </w:sdt>
      <w:r w:rsidRPr="00E420FF">
        <w:rPr>
          <w:rFonts w:ascii="Times New Roman" w:hAnsi="Times New Roman" w:cs="Times New Roman"/>
        </w:rPr>
        <w:t xml:space="preserve">. The Gypsy Traveller Education Service will play a particularly important role within this intervention as they help to improve our school’s capacity to meet the specific needs of the Gypsy Traveller community, thereby narrowing the gaps of opportunity and attainment (Council, 2018). This collaboration will also be a key factor in encouraging parents to allow their children to participate in this intervention (Council, 2018). </w:t>
      </w:r>
    </w:p>
    <w:p w14:paraId="5DC98093" w14:textId="77777777" w:rsidR="007B647D" w:rsidRPr="00E420FF" w:rsidRDefault="007B647D" w:rsidP="007B647D">
      <w:pPr>
        <w:spacing w:line="360" w:lineRule="auto"/>
        <w:rPr>
          <w:rFonts w:ascii="Times New Roman" w:hAnsi="Times New Roman" w:cs="Times New Roman"/>
        </w:rPr>
      </w:pPr>
    </w:p>
    <w:p w14:paraId="16566B96" w14:textId="77777777" w:rsidR="007B647D" w:rsidRPr="00E420FF" w:rsidRDefault="007B647D" w:rsidP="007B647D">
      <w:pPr>
        <w:spacing w:line="360" w:lineRule="auto"/>
        <w:rPr>
          <w:rFonts w:ascii="Times New Roman" w:hAnsi="Times New Roman" w:cs="Times New Roman"/>
        </w:rPr>
      </w:pPr>
      <w:r w:rsidRPr="00E420FF">
        <w:rPr>
          <w:rFonts w:ascii="Times New Roman" w:hAnsi="Times New Roman" w:cs="Times New Roman"/>
        </w:rPr>
        <w:t xml:space="preserve">Details of the timescale of the intervention can be found within the information pack (Appendix </w:t>
      </w:r>
      <w:r>
        <w:rPr>
          <w:rFonts w:ascii="Times New Roman" w:hAnsi="Times New Roman" w:cs="Times New Roman"/>
        </w:rPr>
        <w:t>D</w:t>
      </w:r>
      <w:r w:rsidRPr="00E420FF">
        <w:rPr>
          <w:rFonts w:ascii="Times New Roman" w:hAnsi="Times New Roman" w:cs="Times New Roman"/>
        </w:rPr>
        <w:t xml:space="preserve">). Estyn state the need for specific and realistic timescales within their guidance (Estyn, 2018), also advising schools to consider the costs of any programmes, outlining the need to keep them under review to assess whether they are cost effective (Estyn, 2018). The predicted costs of this intervention may be again viewed within the information pack (Appendix </w:t>
      </w:r>
      <w:r>
        <w:rPr>
          <w:rFonts w:ascii="Times New Roman" w:hAnsi="Times New Roman" w:cs="Times New Roman"/>
        </w:rPr>
        <w:t>D)</w:t>
      </w:r>
      <w:r w:rsidRPr="00E420FF">
        <w:rPr>
          <w:rFonts w:ascii="Times New Roman" w:hAnsi="Times New Roman" w:cs="Times New Roman"/>
        </w:rPr>
        <w:t xml:space="preserve">. </w:t>
      </w:r>
    </w:p>
    <w:p w14:paraId="0C6A075A" w14:textId="77777777" w:rsidR="007B647D" w:rsidRPr="00E420FF" w:rsidRDefault="007B647D" w:rsidP="007B647D">
      <w:pPr>
        <w:spacing w:line="360" w:lineRule="auto"/>
        <w:rPr>
          <w:rFonts w:ascii="Times New Roman" w:hAnsi="Times New Roman" w:cs="Times New Roman"/>
        </w:rPr>
      </w:pPr>
    </w:p>
    <w:p w14:paraId="5AA8C177" w14:textId="77777777" w:rsidR="007B647D" w:rsidRPr="00E420FF" w:rsidRDefault="007B647D" w:rsidP="007B647D">
      <w:pPr>
        <w:spacing w:line="360" w:lineRule="auto"/>
        <w:rPr>
          <w:rFonts w:ascii="Times New Roman" w:hAnsi="Times New Roman" w:cs="Times New Roman"/>
        </w:rPr>
      </w:pPr>
      <w:r w:rsidRPr="00E420FF">
        <w:rPr>
          <w:rFonts w:ascii="Times New Roman" w:hAnsi="Times New Roman" w:cs="Times New Roman"/>
        </w:rPr>
        <w:t>There is a risk that the Gypsy Traveller children, for reasons out of their control, may not benefit sufficiently from such interventions, therefore careful assessment is required at every level to enable us to evaluate the impact, and access of the pupils to the intervention (Tyler, 2005, p. 21). Assessment that utilises a consistent flow of good quality information, can be an imperative tool in “promoting improvement from learner-level through to system-level” (</w:t>
      </w:r>
      <w:r>
        <w:rPr>
          <w:rFonts w:ascii="Times New Roman" w:hAnsi="Times New Roman" w:cs="Times New Roman"/>
        </w:rPr>
        <w:t>Welsh Assembly Government</w:t>
      </w:r>
      <w:r w:rsidRPr="00E420FF">
        <w:rPr>
          <w:rFonts w:ascii="Times New Roman" w:hAnsi="Times New Roman" w:cs="Times New Roman"/>
        </w:rPr>
        <w:t>, 2010, p. 5). The gathering of such information will include observation of the learners, assessment of the pupil’s work to track progress</w:t>
      </w:r>
      <w:sdt>
        <w:sdtPr>
          <w:rPr>
            <w:rFonts w:ascii="Times New Roman" w:hAnsi="Times New Roman" w:cs="Times New Roman"/>
          </w:rPr>
          <w:id w:val="1000776798"/>
          <w:citation/>
        </w:sdtPr>
        <w:sdtContent>
          <w:r w:rsidRPr="00E420FF">
            <w:rPr>
              <w:rFonts w:ascii="Times New Roman" w:hAnsi="Times New Roman" w:cs="Times New Roman"/>
            </w:rPr>
            <w:fldChar w:fldCharType="begin"/>
          </w:r>
          <w:r w:rsidRPr="00E420FF">
            <w:rPr>
              <w:rFonts w:ascii="Times New Roman" w:hAnsi="Times New Roman" w:cs="Times New Roman"/>
            </w:rPr>
            <w:instrText xml:space="preserve"> CITATION The09 \l 2057 </w:instrText>
          </w:r>
          <w:r w:rsidRPr="00E420FF">
            <w:rPr>
              <w:rFonts w:ascii="Times New Roman" w:hAnsi="Times New Roman" w:cs="Times New Roman"/>
            </w:rPr>
            <w:fldChar w:fldCharType="separate"/>
          </w:r>
          <w:r w:rsidRPr="00E420FF">
            <w:rPr>
              <w:rFonts w:ascii="Times New Roman" w:hAnsi="Times New Roman" w:cs="Times New Roman"/>
              <w:noProof/>
            </w:rPr>
            <w:t xml:space="preserve"> (Plan, 2009)</w:t>
          </w:r>
          <w:r w:rsidRPr="00E420FF">
            <w:rPr>
              <w:rFonts w:ascii="Times New Roman" w:hAnsi="Times New Roman" w:cs="Times New Roman"/>
            </w:rPr>
            <w:fldChar w:fldCharType="end"/>
          </w:r>
        </w:sdtContent>
      </w:sdt>
      <w:r w:rsidRPr="00E420FF">
        <w:rPr>
          <w:rFonts w:ascii="Times New Roman" w:hAnsi="Times New Roman" w:cs="Times New Roman"/>
        </w:rPr>
        <w:t xml:space="preserve">, as well as feedback from both the parents and children. Learners need to be involved in evaluating both how far they have come, and how they may best be supported in achieving their future goals (Donaldson, 2015) as by allowing the children to make decisions about how they learn, they are in turn awarded autonomy, which is integral to their wellbeing (Symonds, 2015). </w:t>
      </w:r>
    </w:p>
    <w:p w14:paraId="1712CDCC" w14:textId="77777777" w:rsidR="007B647D" w:rsidRPr="00E420FF" w:rsidRDefault="007B647D" w:rsidP="007B647D">
      <w:pPr>
        <w:spacing w:line="360" w:lineRule="auto"/>
        <w:rPr>
          <w:rFonts w:ascii="Times New Roman" w:hAnsi="Times New Roman" w:cs="Times New Roman"/>
        </w:rPr>
      </w:pPr>
    </w:p>
    <w:p w14:paraId="476DBD3C" w14:textId="77777777" w:rsidR="007B647D" w:rsidRPr="00E420FF" w:rsidRDefault="007B647D" w:rsidP="007B647D">
      <w:pPr>
        <w:spacing w:line="360" w:lineRule="auto"/>
        <w:rPr>
          <w:rFonts w:ascii="Times New Roman" w:hAnsi="Times New Roman" w:cs="Times New Roman"/>
        </w:rPr>
      </w:pPr>
      <w:r w:rsidRPr="00E420FF">
        <w:rPr>
          <w:rFonts w:ascii="Times New Roman" w:hAnsi="Times New Roman" w:cs="Times New Roman"/>
        </w:rPr>
        <w:t xml:space="preserve">Furthermore, when evaluating a child’s wellbeing, which can and should be measured (The Children’s Society, 2018), children’s own interpretations of their lives should be considered the gold standard (The Children’s society, 2018, p.5), rather than relying solely on the observations and assumptions made by the adults involved (The Children’s Society, 2018). </w:t>
      </w:r>
    </w:p>
    <w:p w14:paraId="5801947E" w14:textId="77777777" w:rsidR="007B647D" w:rsidRPr="00E420FF" w:rsidRDefault="007B647D" w:rsidP="007B647D">
      <w:pPr>
        <w:spacing w:line="360" w:lineRule="auto"/>
        <w:rPr>
          <w:rFonts w:ascii="Times New Roman" w:hAnsi="Times New Roman" w:cs="Times New Roman"/>
        </w:rPr>
      </w:pPr>
    </w:p>
    <w:p w14:paraId="4FAA7C9D" w14:textId="77777777" w:rsidR="007B647D" w:rsidRPr="00E420FF" w:rsidRDefault="007B647D" w:rsidP="007B647D">
      <w:pPr>
        <w:spacing w:line="360" w:lineRule="auto"/>
        <w:rPr>
          <w:rFonts w:ascii="Times New Roman" w:hAnsi="Times New Roman" w:cs="Times New Roman"/>
        </w:rPr>
      </w:pPr>
      <w:r w:rsidRPr="00E420FF">
        <w:rPr>
          <w:rFonts w:ascii="Times New Roman" w:hAnsi="Times New Roman" w:cs="Times New Roman"/>
        </w:rPr>
        <w:lastRenderedPageBreak/>
        <w:t xml:space="preserve">It may be argued that in addition to this intervention, we also need to implement a whole school approach as we consider “the importance of balancing short term needs with the need…to also meet long term needs </w:t>
      </w:r>
      <w:sdt>
        <w:sdtPr>
          <w:rPr>
            <w:rFonts w:ascii="Times New Roman" w:hAnsi="Times New Roman" w:cs="Times New Roman"/>
          </w:rPr>
          <w:id w:val="-163476569"/>
          <w:citation/>
        </w:sdtPr>
        <w:sdtContent>
          <w:r w:rsidRPr="00E420FF">
            <w:rPr>
              <w:rFonts w:ascii="Times New Roman" w:hAnsi="Times New Roman" w:cs="Times New Roman"/>
            </w:rPr>
            <w:fldChar w:fldCharType="begin"/>
          </w:r>
          <w:r w:rsidRPr="00E420FF">
            <w:rPr>
              <w:rFonts w:ascii="Times New Roman" w:hAnsi="Times New Roman" w:cs="Times New Roman"/>
            </w:rPr>
            <w:instrText xml:space="preserve">CITATION Dep15 \p 7 \l 2057 </w:instrText>
          </w:r>
          <w:r w:rsidRPr="00E420FF">
            <w:rPr>
              <w:rFonts w:ascii="Times New Roman" w:hAnsi="Times New Roman" w:cs="Times New Roman"/>
            </w:rPr>
            <w:fldChar w:fldCharType="separate"/>
          </w:r>
          <w:r w:rsidRPr="00E420FF">
            <w:rPr>
              <w:rFonts w:ascii="Times New Roman" w:hAnsi="Times New Roman" w:cs="Times New Roman"/>
              <w:noProof/>
            </w:rPr>
            <w:t>(Welsh Assembly Government, 2015, p. 7)</w:t>
          </w:r>
          <w:r w:rsidRPr="00E420FF">
            <w:rPr>
              <w:rFonts w:ascii="Times New Roman" w:hAnsi="Times New Roman" w:cs="Times New Roman"/>
            </w:rPr>
            <w:fldChar w:fldCharType="end"/>
          </w:r>
        </w:sdtContent>
      </w:sdt>
      <w:r w:rsidRPr="00E420FF">
        <w:rPr>
          <w:rFonts w:ascii="Times New Roman" w:hAnsi="Times New Roman" w:cs="Times New Roman"/>
        </w:rPr>
        <w:t xml:space="preserve">. In order to meet our objectives, we also need to consider how we may prevent these issues from occurring </w:t>
      </w:r>
      <w:sdt>
        <w:sdtPr>
          <w:rPr>
            <w:rFonts w:ascii="Times New Roman" w:hAnsi="Times New Roman" w:cs="Times New Roman"/>
          </w:rPr>
          <w:id w:val="-431972787"/>
          <w:citation/>
        </w:sdtPr>
        <w:sdtContent>
          <w:r w:rsidRPr="00E420FF">
            <w:rPr>
              <w:rFonts w:ascii="Times New Roman" w:hAnsi="Times New Roman" w:cs="Times New Roman"/>
            </w:rPr>
            <w:fldChar w:fldCharType="begin"/>
          </w:r>
          <w:r w:rsidRPr="00E420FF">
            <w:rPr>
              <w:rFonts w:ascii="Times New Roman" w:hAnsi="Times New Roman" w:cs="Times New Roman"/>
            </w:rPr>
            <w:instrText xml:space="preserve">CITATION Dep15 \l 2057 </w:instrText>
          </w:r>
          <w:r w:rsidRPr="00E420FF">
            <w:rPr>
              <w:rFonts w:ascii="Times New Roman" w:hAnsi="Times New Roman" w:cs="Times New Roman"/>
            </w:rPr>
            <w:fldChar w:fldCharType="separate"/>
          </w:r>
          <w:r w:rsidRPr="00E420FF">
            <w:rPr>
              <w:rFonts w:ascii="Times New Roman" w:hAnsi="Times New Roman" w:cs="Times New Roman"/>
              <w:noProof/>
            </w:rPr>
            <w:t>(Welsh Assembly Government, 2015)</w:t>
          </w:r>
          <w:r w:rsidRPr="00E420FF">
            <w:rPr>
              <w:rFonts w:ascii="Times New Roman" w:hAnsi="Times New Roman" w:cs="Times New Roman"/>
            </w:rPr>
            <w:fldChar w:fldCharType="end"/>
          </w:r>
        </w:sdtContent>
      </w:sdt>
      <w:r w:rsidRPr="00E420FF">
        <w:rPr>
          <w:rFonts w:ascii="Times New Roman" w:hAnsi="Times New Roman" w:cs="Times New Roman"/>
        </w:rPr>
        <w:t>, as early intervention can be the key to success”</w:t>
      </w:r>
      <w:r w:rsidRPr="00E420FF">
        <w:rPr>
          <w:rFonts w:ascii="Times New Roman" w:hAnsi="Times New Roman" w:cs="Times New Roman"/>
          <w:noProof/>
        </w:rPr>
        <w:t xml:space="preserve"> (Welsh Assembly Government, 2016)</w:t>
      </w:r>
      <w:r w:rsidRPr="00E420FF">
        <w:rPr>
          <w:rFonts w:ascii="Times New Roman" w:hAnsi="Times New Roman" w:cs="Times New Roman"/>
        </w:rPr>
        <w:t xml:space="preserve">. Philosophy for children is one approach that may be effective </w:t>
      </w:r>
      <w:sdt>
        <w:sdtPr>
          <w:rPr>
            <w:rFonts w:ascii="Times New Roman" w:hAnsi="Times New Roman" w:cs="Times New Roman"/>
          </w:rPr>
          <w:id w:val="252098434"/>
          <w:citation/>
        </w:sdtPr>
        <w:sdtContent>
          <w:r w:rsidRPr="00E420FF">
            <w:rPr>
              <w:rFonts w:ascii="Times New Roman" w:hAnsi="Times New Roman" w:cs="Times New Roman"/>
            </w:rPr>
            <w:fldChar w:fldCharType="begin"/>
          </w:r>
          <w:r w:rsidRPr="00E420FF">
            <w:rPr>
              <w:rFonts w:ascii="Times New Roman" w:hAnsi="Times New Roman" w:cs="Times New Roman"/>
            </w:rPr>
            <w:instrText xml:space="preserve"> CITATION Gor15 \l 2057 </w:instrText>
          </w:r>
          <w:r w:rsidRPr="00E420FF">
            <w:rPr>
              <w:rFonts w:ascii="Times New Roman" w:hAnsi="Times New Roman" w:cs="Times New Roman"/>
            </w:rPr>
            <w:fldChar w:fldCharType="separate"/>
          </w:r>
          <w:r w:rsidRPr="00E420FF">
            <w:rPr>
              <w:rFonts w:ascii="Times New Roman" w:hAnsi="Times New Roman" w:cs="Times New Roman"/>
              <w:noProof/>
            </w:rPr>
            <w:t>(Gorard, et al., 2015)</w:t>
          </w:r>
          <w:r w:rsidRPr="00E420FF">
            <w:rPr>
              <w:rFonts w:ascii="Times New Roman" w:hAnsi="Times New Roman" w:cs="Times New Roman"/>
            </w:rPr>
            <w:fldChar w:fldCharType="end"/>
          </w:r>
        </w:sdtContent>
      </w:sdt>
      <w:r w:rsidRPr="00E420FF">
        <w:rPr>
          <w:rFonts w:ascii="Times New Roman" w:hAnsi="Times New Roman" w:cs="Times New Roman"/>
        </w:rPr>
        <w:t>. The details of this approach can again be found within the information pack (</w:t>
      </w:r>
      <w:r>
        <w:rPr>
          <w:rFonts w:ascii="Times New Roman" w:hAnsi="Times New Roman" w:cs="Times New Roman"/>
        </w:rPr>
        <w:t>appendix E)</w:t>
      </w:r>
      <w:r w:rsidRPr="00E420FF">
        <w:rPr>
          <w:rFonts w:ascii="Times New Roman" w:hAnsi="Times New Roman" w:cs="Times New Roman"/>
        </w:rPr>
        <w:t>.</w:t>
      </w:r>
    </w:p>
    <w:p w14:paraId="5A7B80E1" w14:textId="77777777" w:rsidR="007B647D" w:rsidRPr="00E420FF" w:rsidRDefault="007B647D" w:rsidP="007B647D">
      <w:pPr>
        <w:spacing w:line="360" w:lineRule="auto"/>
        <w:rPr>
          <w:rFonts w:ascii="Times New Roman" w:hAnsi="Times New Roman" w:cs="Times New Roman"/>
        </w:rPr>
      </w:pPr>
    </w:p>
    <w:p w14:paraId="4F0C1C84" w14:textId="77777777" w:rsidR="007B647D" w:rsidRPr="00E420FF" w:rsidRDefault="007B647D" w:rsidP="007B647D">
      <w:pPr>
        <w:spacing w:line="360" w:lineRule="auto"/>
        <w:rPr>
          <w:rFonts w:ascii="Times New Roman" w:hAnsi="Times New Roman" w:cs="Times New Roman"/>
        </w:rPr>
      </w:pPr>
      <w:r w:rsidRPr="00E420FF">
        <w:rPr>
          <w:rFonts w:ascii="Times New Roman" w:hAnsi="Times New Roman" w:cs="Times New Roman"/>
        </w:rPr>
        <w:t>Embedded within this intervention are the values of our school</w:t>
      </w:r>
      <w:r>
        <w:rPr>
          <w:rFonts w:ascii="Times New Roman" w:hAnsi="Times New Roman" w:cs="Times New Roman"/>
        </w:rPr>
        <w:t>’s</w:t>
      </w:r>
      <w:r w:rsidRPr="00E420FF">
        <w:rPr>
          <w:rFonts w:ascii="Times New Roman" w:hAnsi="Times New Roman" w:cs="Times New Roman"/>
        </w:rPr>
        <w:t xml:space="preserve"> wellbeing </w:t>
      </w:r>
      <w:r>
        <w:rPr>
          <w:rFonts w:ascii="Times New Roman" w:hAnsi="Times New Roman" w:cs="Times New Roman"/>
        </w:rPr>
        <w:t>objectives (appendix F)</w:t>
      </w:r>
      <w:r w:rsidRPr="00E420FF">
        <w:rPr>
          <w:rFonts w:ascii="Times New Roman" w:hAnsi="Times New Roman" w:cs="Times New Roman"/>
        </w:rPr>
        <w:t xml:space="preserve"> as derived from the Welsh Governments Well-being of the Future Generations Act</w:t>
      </w:r>
      <w:sdt>
        <w:sdtPr>
          <w:rPr>
            <w:rFonts w:ascii="Times New Roman" w:hAnsi="Times New Roman" w:cs="Times New Roman"/>
          </w:rPr>
          <w:id w:val="-1168548136"/>
          <w:citation/>
        </w:sdtPr>
        <w:sdtContent>
          <w:r w:rsidRPr="00E420FF">
            <w:rPr>
              <w:rFonts w:ascii="Times New Roman" w:hAnsi="Times New Roman" w:cs="Times New Roman"/>
            </w:rPr>
            <w:fldChar w:fldCharType="begin"/>
          </w:r>
          <w:r w:rsidRPr="00E420FF">
            <w:rPr>
              <w:rFonts w:ascii="Times New Roman" w:hAnsi="Times New Roman" w:cs="Times New Roman"/>
            </w:rPr>
            <w:instrText xml:space="preserve">CITATION Dep15 \l 2057 </w:instrText>
          </w:r>
          <w:r w:rsidRPr="00E420FF">
            <w:rPr>
              <w:rFonts w:ascii="Times New Roman" w:hAnsi="Times New Roman" w:cs="Times New Roman"/>
            </w:rPr>
            <w:fldChar w:fldCharType="separate"/>
          </w:r>
          <w:r w:rsidRPr="00E420FF">
            <w:rPr>
              <w:rFonts w:ascii="Times New Roman" w:hAnsi="Times New Roman" w:cs="Times New Roman"/>
              <w:noProof/>
            </w:rPr>
            <w:t xml:space="preserve"> (Welsh Assembly Government, 2015)</w:t>
          </w:r>
          <w:r w:rsidRPr="00E420FF">
            <w:rPr>
              <w:rFonts w:ascii="Times New Roman" w:hAnsi="Times New Roman" w:cs="Times New Roman"/>
            </w:rPr>
            <w:fldChar w:fldCharType="end"/>
          </w:r>
        </w:sdtContent>
      </w:sdt>
      <w:r w:rsidRPr="00E420FF">
        <w:rPr>
          <w:rFonts w:ascii="Times New Roman" w:hAnsi="Times New Roman" w:cs="Times New Roman"/>
        </w:rPr>
        <w:t>. The Welsh Assembly Governments commitment to United Nations Convention on the Rights of the Child can also be evident throughout our approach, as we work to ensure that our school environment is one where children are “listened to, treated with respect, and have their race and cultural identity recognised”</w:t>
      </w:r>
      <w:sdt>
        <w:sdtPr>
          <w:rPr>
            <w:rFonts w:ascii="Times New Roman" w:hAnsi="Times New Roman" w:cs="Times New Roman"/>
          </w:rPr>
          <w:id w:val="-243422612"/>
          <w:citation/>
        </w:sdtPr>
        <w:sdtContent>
          <w:r w:rsidRPr="00E420FF">
            <w:rPr>
              <w:rFonts w:ascii="Times New Roman" w:hAnsi="Times New Roman" w:cs="Times New Roman"/>
            </w:rPr>
            <w:fldChar w:fldCharType="begin"/>
          </w:r>
          <w:r w:rsidRPr="00E420FF">
            <w:rPr>
              <w:rFonts w:ascii="Times New Roman" w:hAnsi="Times New Roman" w:cs="Times New Roman"/>
            </w:rPr>
            <w:instrText xml:space="preserve">CITATION Don15 \p 27 \l 2057 </w:instrText>
          </w:r>
          <w:r w:rsidRPr="00E420FF">
            <w:rPr>
              <w:rFonts w:ascii="Times New Roman" w:hAnsi="Times New Roman" w:cs="Times New Roman"/>
            </w:rPr>
            <w:fldChar w:fldCharType="separate"/>
          </w:r>
          <w:r w:rsidRPr="00E420FF">
            <w:rPr>
              <w:rFonts w:ascii="Times New Roman" w:hAnsi="Times New Roman" w:cs="Times New Roman"/>
              <w:noProof/>
            </w:rPr>
            <w:t xml:space="preserve"> (Donaldson, 2015, p. 27)</w:t>
          </w:r>
          <w:r w:rsidRPr="00E420FF">
            <w:rPr>
              <w:rFonts w:ascii="Times New Roman" w:hAnsi="Times New Roman" w:cs="Times New Roman"/>
            </w:rPr>
            <w:fldChar w:fldCharType="end"/>
          </w:r>
        </w:sdtContent>
      </w:sdt>
      <w:r w:rsidRPr="00E420FF">
        <w:rPr>
          <w:rFonts w:ascii="Times New Roman" w:hAnsi="Times New Roman" w:cs="Times New Roman"/>
        </w:rPr>
        <w:t xml:space="preserve">. </w:t>
      </w:r>
    </w:p>
    <w:p w14:paraId="1EAED98F" w14:textId="77777777" w:rsidR="007B647D" w:rsidRPr="00E420FF" w:rsidRDefault="007B647D" w:rsidP="007B647D">
      <w:pPr>
        <w:spacing w:line="360" w:lineRule="auto"/>
        <w:rPr>
          <w:rFonts w:ascii="Times New Roman" w:hAnsi="Times New Roman" w:cs="Times New Roman"/>
        </w:rPr>
      </w:pPr>
    </w:p>
    <w:p w14:paraId="34DD021D" w14:textId="77777777" w:rsidR="007B647D" w:rsidRDefault="007B647D" w:rsidP="007B647D">
      <w:pPr>
        <w:spacing w:line="360" w:lineRule="auto"/>
        <w:rPr>
          <w:rFonts w:ascii="Times New Roman" w:hAnsi="Times New Roman" w:cs="Times New Roman"/>
        </w:rPr>
      </w:pPr>
      <w:r w:rsidRPr="00E420FF">
        <w:rPr>
          <w:rFonts w:ascii="Times New Roman" w:hAnsi="Times New Roman" w:cs="Times New Roman"/>
        </w:rPr>
        <w:t xml:space="preserve">In conclusion, by putting provision in place to foster each child’s identity, self-esteem, competence, autonomy, and social support we may be able to support their overall wellbeing, which in turn can support the children throughout transition </w:t>
      </w:r>
      <w:sdt>
        <w:sdtPr>
          <w:rPr>
            <w:rFonts w:ascii="Times New Roman" w:hAnsi="Times New Roman" w:cs="Times New Roman"/>
          </w:rPr>
          <w:id w:val="-1943593318"/>
          <w:citation/>
        </w:sdtPr>
        <w:sdtContent>
          <w:r w:rsidRPr="00E420FF">
            <w:rPr>
              <w:rFonts w:ascii="Times New Roman" w:hAnsi="Times New Roman" w:cs="Times New Roman"/>
            </w:rPr>
            <w:fldChar w:fldCharType="begin"/>
          </w:r>
          <w:r w:rsidRPr="00E420FF">
            <w:rPr>
              <w:rFonts w:ascii="Times New Roman" w:hAnsi="Times New Roman" w:cs="Times New Roman"/>
            </w:rPr>
            <w:instrText xml:space="preserve"> CITATION Sym15 \l 2057 </w:instrText>
          </w:r>
          <w:r w:rsidRPr="00E420FF">
            <w:rPr>
              <w:rFonts w:ascii="Times New Roman" w:hAnsi="Times New Roman" w:cs="Times New Roman"/>
            </w:rPr>
            <w:fldChar w:fldCharType="separate"/>
          </w:r>
          <w:r w:rsidRPr="00E420FF">
            <w:rPr>
              <w:rFonts w:ascii="Times New Roman" w:hAnsi="Times New Roman" w:cs="Times New Roman"/>
              <w:noProof/>
            </w:rPr>
            <w:t>(Symonds, 2015)</w:t>
          </w:r>
          <w:r w:rsidRPr="00E420FF">
            <w:rPr>
              <w:rFonts w:ascii="Times New Roman" w:hAnsi="Times New Roman" w:cs="Times New Roman"/>
            </w:rPr>
            <w:fldChar w:fldCharType="end"/>
          </w:r>
        </w:sdtContent>
      </w:sdt>
      <w:r w:rsidRPr="00E420FF">
        <w:rPr>
          <w:rFonts w:ascii="Times New Roman" w:hAnsi="Times New Roman" w:cs="Times New Roman"/>
        </w:rPr>
        <w:t>. Transition may be an opportune time to develop such wellbeing in learners, as “transition acts as a prism by diffracting children’s identities” (Noyes, 2006, as cited in Symonds, 2015, p. 98), which in turn may lend itself in rebuilding children’s identities in a positive manner (Symonds, 2015). However, in order to accomplish this, we need all stakeholders involved to “set aside the doubts of the cynics and the corrosion of the perpetual sceptics. We must replace the culture of complacency with commitment to success”</w:t>
      </w:r>
      <w:sdt>
        <w:sdtPr>
          <w:rPr>
            <w:rFonts w:ascii="Times New Roman" w:hAnsi="Times New Roman" w:cs="Times New Roman"/>
          </w:rPr>
          <w:id w:val="-1592470808"/>
          <w:citation/>
        </w:sdtPr>
        <w:sdtContent>
          <w:r w:rsidRPr="00E420FF">
            <w:rPr>
              <w:rFonts w:ascii="Times New Roman" w:hAnsi="Times New Roman" w:cs="Times New Roman"/>
            </w:rPr>
            <w:fldChar w:fldCharType="begin"/>
          </w:r>
          <w:r w:rsidRPr="00E420FF">
            <w:rPr>
              <w:rFonts w:ascii="Times New Roman" w:hAnsi="Times New Roman" w:cs="Times New Roman"/>
            </w:rPr>
            <w:instrText xml:space="preserve"> CITATION Whi97 \l 2057 </w:instrText>
          </w:r>
          <w:r w:rsidRPr="00E420FF">
            <w:rPr>
              <w:rFonts w:ascii="Times New Roman" w:hAnsi="Times New Roman" w:cs="Times New Roman"/>
            </w:rPr>
            <w:fldChar w:fldCharType="separate"/>
          </w:r>
          <w:r w:rsidRPr="00E420FF">
            <w:rPr>
              <w:rFonts w:ascii="Times New Roman" w:hAnsi="Times New Roman" w:cs="Times New Roman"/>
              <w:noProof/>
            </w:rPr>
            <w:t xml:space="preserve"> (Anon., 1997)</w:t>
          </w:r>
          <w:r w:rsidRPr="00E420FF">
            <w:rPr>
              <w:rFonts w:ascii="Times New Roman" w:hAnsi="Times New Roman" w:cs="Times New Roman"/>
            </w:rPr>
            <w:fldChar w:fldCharType="end"/>
          </w:r>
        </w:sdtContent>
      </w:sdt>
      <w:r w:rsidRPr="00E420FF">
        <w:rPr>
          <w:rFonts w:ascii="Times New Roman" w:hAnsi="Times New Roman" w:cs="Times New Roman"/>
        </w:rPr>
        <w:t xml:space="preserve">. </w:t>
      </w:r>
    </w:p>
    <w:p w14:paraId="1DA6F119" w14:textId="77777777" w:rsidR="007B647D" w:rsidRDefault="007B647D" w:rsidP="007B647D">
      <w:pPr>
        <w:spacing w:line="360" w:lineRule="auto"/>
        <w:rPr>
          <w:rFonts w:ascii="Times New Roman" w:hAnsi="Times New Roman" w:cs="Times New Roman"/>
        </w:rPr>
      </w:pPr>
    </w:p>
    <w:sdt>
      <w:sdtPr>
        <w:rPr>
          <w:rFonts w:asciiTheme="minorHAnsi" w:eastAsiaTheme="minorHAnsi" w:hAnsiTheme="minorHAnsi" w:cstheme="minorBidi"/>
          <w:b w:val="0"/>
          <w:bCs w:val="0"/>
          <w:color w:val="auto"/>
          <w:sz w:val="24"/>
          <w:szCs w:val="24"/>
          <w:lang w:val="en-GB" w:bidi="ar-SA"/>
        </w:rPr>
        <w:id w:val="-1254270685"/>
        <w:docPartObj>
          <w:docPartGallery w:val="Bibliographies"/>
          <w:docPartUnique/>
        </w:docPartObj>
      </w:sdtPr>
      <w:sdtContent>
        <w:p w14:paraId="1070EA80" w14:textId="43ACF427" w:rsidR="007B647D" w:rsidRDefault="007B647D" w:rsidP="007B647D">
          <w:pPr>
            <w:pStyle w:val="Heading1"/>
            <w:rPr>
              <w:rFonts w:asciiTheme="minorHAnsi" w:eastAsiaTheme="minorHAnsi" w:hAnsiTheme="minorHAnsi" w:cstheme="minorBidi"/>
              <w:b w:val="0"/>
              <w:bCs w:val="0"/>
              <w:color w:val="auto"/>
              <w:sz w:val="24"/>
              <w:szCs w:val="24"/>
              <w:lang w:val="en-GB" w:bidi="ar-SA"/>
            </w:rPr>
          </w:pPr>
        </w:p>
        <w:p w14:paraId="5D1F44B2" w14:textId="77777777" w:rsidR="007B647D" w:rsidRPr="007B647D" w:rsidRDefault="007B647D" w:rsidP="007B647D"/>
        <w:sdt>
          <w:sdtPr>
            <w:id w:val="-1599468816"/>
            <w:docPartObj>
              <w:docPartGallery w:val="Bibliographies"/>
              <w:docPartUnique/>
            </w:docPartObj>
          </w:sdtPr>
          <w:sdtEndPr>
            <w:rPr>
              <w:rFonts w:asciiTheme="minorHAnsi" w:eastAsiaTheme="minorHAnsi" w:hAnsiTheme="minorHAnsi" w:cstheme="minorBidi"/>
              <w:color w:val="auto"/>
              <w:sz w:val="24"/>
              <w:szCs w:val="24"/>
              <w:lang w:val="en-GB" w:bidi="ar-SA"/>
            </w:rPr>
          </w:sdtEndPr>
          <w:sdtContent>
            <w:p w14:paraId="56E0EE3D" w14:textId="77777777" w:rsidR="007B647D" w:rsidRDefault="007B647D" w:rsidP="007B647D">
              <w:pPr>
                <w:pStyle w:val="Heading1"/>
              </w:pPr>
              <w:r>
                <w:t>Reference List</w:t>
              </w:r>
            </w:p>
            <w:p w14:paraId="0E208DC7" w14:textId="77777777" w:rsidR="007B647D" w:rsidRDefault="007B647D" w:rsidP="007B647D">
              <w:pPr>
                <w:pStyle w:val="Bibliography"/>
                <w:rPr>
                  <w:noProof/>
                  <w:lang w:val="en-US"/>
                </w:rPr>
              </w:pPr>
              <w:r>
                <w:fldChar w:fldCharType="begin"/>
              </w:r>
              <w:r>
                <w:instrText xml:space="preserve"> BIBLIOGRAPHY </w:instrText>
              </w:r>
              <w:r>
                <w:fldChar w:fldCharType="separate"/>
              </w:r>
              <w:r>
                <w:rPr>
                  <w:noProof/>
                  <w:lang w:val="en-US"/>
                </w:rPr>
                <w:t xml:space="preserve">Anon., 1997. </w:t>
              </w:r>
              <w:r>
                <w:rPr>
                  <w:i/>
                  <w:iCs/>
                  <w:noProof/>
                  <w:lang w:val="en-US"/>
                </w:rPr>
                <w:t xml:space="preserve">White Paper: Excellence in Schools. </w:t>
              </w:r>
              <w:r>
                <w:rPr>
                  <w:noProof/>
                  <w:lang w:val="en-US"/>
                </w:rPr>
                <w:t xml:space="preserve">[Online] </w:t>
              </w:r>
              <w:r>
                <w:rPr>
                  <w:noProof/>
                  <w:lang w:val="en-US"/>
                </w:rPr>
                <w:br/>
                <w:t xml:space="preserve">Available at: </w:t>
              </w:r>
              <w:r>
                <w:rPr>
                  <w:noProof/>
                  <w:u w:val="single"/>
                  <w:lang w:val="en-US"/>
                </w:rPr>
                <w:t>http://www.educationengland.org.uk/documents/wp1997/excellence-in-schools.html</w:t>
              </w:r>
            </w:p>
            <w:p w14:paraId="11EBC930" w14:textId="77777777" w:rsidR="007B647D" w:rsidRDefault="007B647D" w:rsidP="007B647D">
              <w:pPr>
                <w:pStyle w:val="Bibliography"/>
                <w:rPr>
                  <w:noProof/>
                  <w:lang w:val="en-US"/>
                </w:rPr>
              </w:pPr>
              <w:r>
                <w:rPr>
                  <w:noProof/>
                  <w:lang w:val="en-US"/>
                </w:rPr>
                <w:t xml:space="preserve">Bingham &amp; Clare, 2010. </w:t>
              </w:r>
              <w:r>
                <w:rPr>
                  <w:i/>
                  <w:iCs/>
                  <w:noProof/>
                  <w:lang w:val="en-US"/>
                </w:rPr>
                <w:t xml:space="preserve">Child Poverty Relating to Gypsy and Traveller Children and Young People in Sussex. </w:t>
              </w:r>
              <w:r>
                <w:rPr>
                  <w:noProof/>
                  <w:lang w:val="en-US"/>
                </w:rPr>
                <w:t xml:space="preserve">[Online] </w:t>
              </w:r>
              <w:r>
                <w:rPr>
                  <w:noProof/>
                  <w:lang w:val="en-US"/>
                </w:rPr>
                <w:br/>
                <w:t xml:space="preserve">Available at: </w:t>
              </w:r>
              <w:r>
                <w:rPr>
                  <w:noProof/>
                  <w:u w:val="single"/>
                  <w:lang w:val="en-US"/>
                </w:rPr>
                <w:t>http://www.gypsy-traveller.org/wp-content/uploads/2010/08/poverty-needs-assessment-report-youth.pdf</w:t>
              </w:r>
              <w:r>
                <w:rPr>
                  <w:noProof/>
                  <w:lang w:val="en-US"/>
                </w:rPr>
                <w:br/>
                <w:t>[Accessed October 2018].</w:t>
              </w:r>
            </w:p>
            <w:p w14:paraId="1D91EB44" w14:textId="77777777" w:rsidR="007B647D" w:rsidRDefault="007B647D" w:rsidP="007B647D">
              <w:pPr>
                <w:pStyle w:val="Bibliography"/>
                <w:rPr>
                  <w:noProof/>
                  <w:lang w:val="en-US"/>
                </w:rPr>
              </w:pPr>
              <w:r>
                <w:rPr>
                  <w:noProof/>
                  <w:lang w:val="en-US"/>
                </w:rPr>
                <w:t xml:space="preserve">Council, P. C., 2018. </w:t>
              </w:r>
              <w:r>
                <w:rPr>
                  <w:i/>
                  <w:iCs/>
                  <w:noProof/>
                  <w:lang w:val="en-US"/>
                </w:rPr>
                <w:t xml:space="preserve">Specialist Services and Provision - Gypsy Traveller Education. </w:t>
              </w:r>
              <w:r>
                <w:rPr>
                  <w:noProof/>
                  <w:lang w:val="en-US"/>
                </w:rPr>
                <w:t xml:space="preserve">[Online] </w:t>
              </w:r>
              <w:r>
                <w:rPr>
                  <w:noProof/>
                  <w:lang w:val="en-US"/>
                </w:rPr>
                <w:br/>
                <w:t xml:space="preserve">Available at: </w:t>
              </w:r>
              <w:r>
                <w:rPr>
                  <w:noProof/>
                  <w:u w:val="single"/>
                  <w:lang w:val="en-US"/>
                </w:rPr>
                <w:t>https://www.pembrokeshire.gov.uk/specialist-services-and-provision/gypsy-traveller-education</w:t>
              </w:r>
            </w:p>
            <w:p w14:paraId="01FB455B" w14:textId="77777777" w:rsidR="007B647D" w:rsidRDefault="007B647D" w:rsidP="007B647D">
              <w:pPr>
                <w:pStyle w:val="Bibliography"/>
                <w:rPr>
                  <w:noProof/>
                  <w:lang w:val="en-US"/>
                </w:rPr>
              </w:pPr>
              <w:r>
                <w:rPr>
                  <w:noProof/>
                  <w:lang w:val="en-US"/>
                </w:rPr>
                <w:t xml:space="preserve">Dalin, P., 1998. </w:t>
              </w:r>
              <w:r>
                <w:rPr>
                  <w:i/>
                  <w:iCs/>
                  <w:noProof/>
                  <w:lang w:val="en-US"/>
                </w:rPr>
                <w:t xml:space="preserve">School development : theories and strategies.. </w:t>
              </w:r>
              <w:r>
                <w:rPr>
                  <w:noProof/>
                  <w:lang w:val="en-US"/>
                </w:rPr>
                <w:t>London: Cassell.</w:t>
              </w:r>
            </w:p>
            <w:p w14:paraId="1FA069A2" w14:textId="77777777" w:rsidR="007B647D" w:rsidRDefault="007B647D" w:rsidP="007B647D">
              <w:pPr>
                <w:pStyle w:val="Bibliography"/>
                <w:rPr>
                  <w:noProof/>
                  <w:lang w:val="en-US"/>
                </w:rPr>
              </w:pPr>
              <w:r>
                <w:rPr>
                  <w:noProof/>
                  <w:lang w:val="en-US"/>
                </w:rPr>
                <w:t xml:space="preserve">Danaher, Patrick Alan, C., Phyllida, K. &amp; Cathy, 2007. </w:t>
              </w:r>
              <w:r>
                <w:rPr>
                  <w:i/>
                  <w:iCs/>
                  <w:noProof/>
                  <w:lang w:val="en-US"/>
                </w:rPr>
                <w:t xml:space="preserve">Teaching Traveller Children - Maximising Learning Outcomes. </w:t>
              </w:r>
              <w:r>
                <w:rPr>
                  <w:noProof/>
                  <w:lang w:val="en-US"/>
                </w:rPr>
                <w:t>Stoke-on-Trent: Trentham Books Ltd.</w:t>
              </w:r>
            </w:p>
            <w:p w14:paraId="680140D2" w14:textId="77777777" w:rsidR="007B647D" w:rsidRDefault="007B647D" w:rsidP="007B647D">
              <w:pPr>
                <w:pStyle w:val="Bibliography"/>
                <w:rPr>
                  <w:noProof/>
                  <w:lang w:val="en-US"/>
                </w:rPr>
              </w:pPr>
              <w:r>
                <w:rPr>
                  <w:noProof/>
                  <w:lang w:val="en-US"/>
                </w:rPr>
                <w:t xml:space="preserve">Donaldson, G., 2015. </w:t>
              </w:r>
              <w:r>
                <w:rPr>
                  <w:i/>
                  <w:iCs/>
                  <w:noProof/>
                  <w:lang w:val="en-US"/>
                </w:rPr>
                <w:t xml:space="preserve">Successful Futures. </w:t>
              </w:r>
              <w:r>
                <w:rPr>
                  <w:noProof/>
                  <w:lang w:val="en-US"/>
                </w:rPr>
                <w:t xml:space="preserve">[Online] </w:t>
              </w:r>
              <w:r>
                <w:rPr>
                  <w:noProof/>
                  <w:lang w:val="en-US"/>
                </w:rPr>
                <w:br/>
                <w:t xml:space="preserve">Available at: </w:t>
              </w:r>
              <w:r>
                <w:rPr>
                  <w:noProof/>
                  <w:u w:val="single"/>
                  <w:lang w:val="en-US"/>
                </w:rPr>
                <w:t>https://gov.wales/docs/dcells/publications/150225-successful-futures-en.pdf</w:t>
              </w:r>
            </w:p>
            <w:p w14:paraId="1320A863" w14:textId="77777777" w:rsidR="007B647D" w:rsidRDefault="007B647D" w:rsidP="007B647D">
              <w:pPr>
                <w:pStyle w:val="Bibliography"/>
                <w:rPr>
                  <w:noProof/>
                  <w:lang w:val="en-US"/>
                </w:rPr>
              </w:pPr>
              <w:r>
                <w:rPr>
                  <w:noProof/>
                  <w:lang w:val="en-US"/>
                </w:rPr>
                <w:t xml:space="preserve">Estyn, 2016. </w:t>
              </w:r>
              <w:r>
                <w:rPr>
                  <w:i/>
                  <w:iCs/>
                  <w:noProof/>
                  <w:lang w:val="en-US"/>
                </w:rPr>
                <w:t xml:space="preserve">Creating an Engaging Learning Environment. </w:t>
              </w:r>
              <w:r>
                <w:rPr>
                  <w:noProof/>
                  <w:lang w:val="en-US"/>
                </w:rPr>
                <w:t xml:space="preserve">[Online] </w:t>
              </w:r>
              <w:r>
                <w:rPr>
                  <w:noProof/>
                  <w:lang w:val="en-US"/>
                </w:rPr>
                <w:br/>
                <w:t xml:space="preserve">Available at: </w:t>
              </w:r>
              <w:r>
                <w:rPr>
                  <w:noProof/>
                  <w:u w:val="single"/>
                  <w:lang w:val="en-US"/>
                </w:rPr>
                <w:t>https://www.estyn.gov.wales/effective-practice/creating-engaging-learning-environment</w:t>
              </w:r>
            </w:p>
            <w:p w14:paraId="66E88740" w14:textId="77777777" w:rsidR="007B647D" w:rsidRDefault="007B647D" w:rsidP="007B647D">
              <w:pPr>
                <w:pStyle w:val="Bibliography"/>
                <w:rPr>
                  <w:noProof/>
                  <w:lang w:val="en-US"/>
                </w:rPr>
              </w:pPr>
              <w:r>
                <w:rPr>
                  <w:noProof/>
                  <w:lang w:val="en-US"/>
                </w:rPr>
                <w:t xml:space="preserve">Estyn, 2018. </w:t>
              </w:r>
              <w:r>
                <w:rPr>
                  <w:i/>
                  <w:iCs/>
                  <w:noProof/>
                  <w:lang w:val="en-US"/>
                </w:rPr>
                <w:t xml:space="preserve">Guidance handbook for the inspection of primary schools from September 2018, </w:t>
              </w:r>
              <w:r>
                <w:rPr>
                  <w:noProof/>
                  <w:lang w:val="en-US"/>
                </w:rPr>
                <w:t>Cardiff: Estyn .</w:t>
              </w:r>
            </w:p>
            <w:p w14:paraId="01997F51" w14:textId="77777777" w:rsidR="007B647D" w:rsidRDefault="007B647D" w:rsidP="007B647D">
              <w:pPr>
                <w:pStyle w:val="Bibliography"/>
                <w:rPr>
                  <w:noProof/>
                  <w:lang w:val="en-US"/>
                </w:rPr>
              </w:pPr>
              <w:r>
                <w:rPr>
                  <w:noProof/>
                  <w:lang w:val="en-US"/>
                </w:rPr>
                <w:t xml:space="preserve">Estyn, 2018. </w:t>
              </w:r>
              <w:r>
                <w:rPr>
                  <w:i/>
                  <w:iCs/>
                  <w:noProof/>
                  <w:lang w:val="en-US"/>
                </w:rPr>
                <w:t xml:space="preserve">Guidance handbook for the inspection of primary schools from September 2018. </w:t>
              </w:r>
              <w:r>
                <w:rPr>
                  <w:noProof/>
                  <w:lang w:val="en-US"/>
                </w:rPr>
                <w:t xml:space="preserve">[Online] </w:t>
              </w:r>
              <w:r>
                <w:rPr>
                  <w:noProof/>
                  <w:lang w:val="en-US"/>
                </w:rPr>
                <w:br/>
                <w:t xml:space="preserve">Available at: </w:t>
              </w:r>
              <w:r>
                <w:rPr>
                  <w:noProof/>
                  <w:u w:val="single"/>
                  <w:lang w:val="en-US"/>
                </w:rPr>
                <w:t>https://www.estyn.gov.wales/sites/default/files/documents/Guidance%20handbook%20for%20the%20inspection%20of%20primary%20schools%20-%202018.pdf</w:t>
              </w:r>
            </w:p>
            <w:p w14:paraId="78B5EA77" w14:textId="77777777" w:rsidR="007B647D" w:rsidRDefault="007B647D" w:rsidP="007B647D">
              <w:pPr>
                <w:pStyle w:val="Bibliography"/>
                <w:rPr>
                  <w:noProof/>
                  <w:lang w:val="en-US"/>
                </w:rPr>
              </w:pPr>
              <w:r>
                <w:rPr>
                  <w:noProof/>
                  <w:lang w:val="en-US"/>
                </w:rPr>
                <w:t xml:space="preserve">Gorard, S., Siddiqui, N. &amp; See, B. H., 2015. </w:t>
              </w:r>
              <w:r>
                <w:rPr>
                  <w:i/>
                  <w:iCs/>
                  <w:noProof/>
                  <w:lang w:val="en-US"/>
                </w:rPr>
                <w:t xml:space="preserve">Philosophy for Children, </w:t>
              </w:r>
              <w:r>
                <w:rPr>
                  <w:noProof/>
                  <w:lang w:val="en-US"/>
                </w:rPr>
                <w:t>Durham: Durham University.</w:t>
              </w:r>
            </w:p>
            <w:p w14:paraId="75F0BF3B" w14:textId="77777777" w:rsidR="007B647D" w:rsidRDefault="007B647D" w:rsidP="007B647D">
              <w:pPr>
                <w:pStyle w:val="Bibliography"/>
                <w:rPr>
                  <w:noProof/>
                  <w:lang w:val="en-US"/>
                </w:rPr>
              </w:pPr>
              <w:r>
                <w:rPr>
                  <w:noProof/>
                  <w:lang w:val="en-US"/>
                </w:rPr>
                <w:t xml:space="preserve">Government, W. A., 2008. </w:t>
              </w:r>
              <w:r>
                <w:rPr>
                  <w:i/>
                  <w:iCs/>
                  <w:noProof/>
                  <w:lang w:val="en-US"/>
                </w:rPr>
                <w:t xml:space="preserve">Moving Forward - Gypsy Traveller Education. </w:t>
              </w:r>
              <w:r>
                <w:rPr>
                  <w:noProof/>
                  <w:lang w:val="en-US"/>
                </w:rPr>
                <w:t xml:space="preserve">[Online] </w:t>
              </w:r>
              <w:r>
                <w:rPr>
                  <w:noProof/>
                  <w:lang w:val="en-US"/>
                </w:rPr>
                <w:br/>
                <w:t xml:space="preserve">Available at: </w:t>
              </w:r>
              <w:r>
                <w:rPr>
                  <w:noProof/>
                  <w:u w:val="single"/>
                  <w:lang w:val="en-US"/>
                </w:rPr>
                <w:t>http://learning.gov.wales/docs/learningwales/publications/121113travellereducationen.pdf</w:t>
              </w:r>
            </w:p>
            <w:p w14:paraId="2FE5244F" w14:textId="77777777" w:rsidR="007B647D" w:rsidRDefault="007B647D" w:rsidP="007B647D">
              <w:pPr>
                <w:pStyle w:val="Bibliography"/>
                <w:rPr>
                  <w:noProof/>
                  <w:lang w:val="en-US"/>
                </w:rPr>
              </w:pPr>
              <w:r>
                <w:rPr>
                  <w:noProof/>
                  <w:lang w:val="en-US"/>
                </w:rPr>
                <w:t xml:space="preserve">Government, W. A., 2010. </w:t>
              </w:r>
              <w:r>
                <w:rPr>
                  <w:i/>
                  <w:iCs/>
                  <w:noProof/>
                  <w:lang w:val="en-US"/>
                </w:rPr>
                <w:t xml:space="preserve">Making the Most of Assessment. </w:t>
              </w:r>
              <w:r>
                <w:rPr>
                  <w:noProof/>
                  <w:lang w:val="en-US"/>
                </w:rPr>
                <w:t xml:space="preserve">[Online] </w:t>
              </w:r>
              <w:r>
                <w:rPr>
                  <w:noProof/>
                  <w:lang w:val="en-US"/>
                </w:rPr>
                <w:br/>
                <w:t xml:space="preserve">Available at: </w:t>
              </w:r>
              <w:r>
                <w:rPr>
                  <w:noProof/>
                  <w:u w:val="single"/>
                  <w:lang w:val="en-US"/>
                </w:rPr>
                <w:t>http://learning.gov.wales/docs/learningwales/publications/130425-making-the-most-en.pdf</w:t>
              </w:r>
              <w:r>
                <w:rPr>
                  <w:noProof/>
                  <w:lang w:val="en-US"/>
                </w:rPr>
                <w:br/>
                <w:t>[Accessed October 2018].</w:t>
              </w:r>
            </w:p>
            <w:p w14:paraId="04AEB781" w14:textId="77777777" w:rsidR="007B647D" w:rsidRDefault="007B647D" w:rsidP="007B647D">
              <w:pPr>
                <w:pStyle w:val="Bibliography"/>
                <w:rPr>
                  <w:noProof/>
                  <w:lang w:val="en-US"/>
                </w:rPr>
              </w:pPr>
              <w:r>
                <w:rPr>
                  <w:noProof/>
                  <w:lang w:val="en-US"/>
                </w:rPr>
                <w:t xml:space="preserve">Government, W. A., 2014. </w:t>
              </w:r>
              <w:r>
                <w:rPr>
                  <w:i/>
                  <w:iCs/>
                  <w:noProof/>
                  <w:lang w:val="en-US"/>
                </w:rPr>
                <w:t xml:space="preserve">Travelling together. </w:t>
              </w:r>
              <w:r>
                <w:rPr>
                  <w:noProof/>
                  <w:lang w:val="en-US"/>
                </w:rPr>
                <w:t xml:space="preserve">[Online] </w:t>
              </w:r>
              <w:r>
                <w:rPr>
                  <w:noProof/>
                  <w:lang w:val="en-US"/>
                </w:rPr>
                <w:br/>
                <w:t xml:space="preserve">Available at: </w:t>
              </w:r>
              <w:r>
                <w:rPr>
                  <w:noProof/>
                  <w:u w:val="single"/>
                  <w:lang w:val="en-US"/>
                </w:rPr>
                <w:t>http://learning.gov.wales/docs/learningwales/publications/140304-travelling-together-guidance-en.pdf</w:t>
              </w:r>
              <w:r>
                <w:rPr>
                  <w:noProof/>
                  <w:lang w:val="en-US"/>
                </w:rPr>
                <w:br/>
                <w:t>[Accessed October 2018].</w:t>
              </w:r>
            </w:p>
            <w:p w14:paraId="3DC28A4F" w14:textId="77777777" w:rsidR="007B647D" w:rsidRDefault="007B647D" w:rsidP="007B647D">
              <w:pPr>
                <w:pStyle w:val="Bibliography"/>
                <w:rPr>
                  <w:noProof/>
                  <w:lang w:val="en-US"/>
                </w:rPr>
              </w:pPr>
              <w:r>
                <w:rPr>
                  <w:noProof/>
                  <w:lang w:val="en-US"/>
                </w:rPr>
                <w:t xml:space="preserve">Government, W. A., 2016. </w:t>
              </w:r>
              <w:r>
                <w:rPr>
                  <w:i/>
                  <w:iCs/>
                  <w:noProof/>
                  <w:lang w:val="en-US"/>
                </w:rPr>
                <w:t xml:space="preserve">Inclusion and Pupil Support. </w:t>
              </w:r>
              <w:r>
                <w:rPr>
                  <w:noProof/>
                  <w:lang w:val="en-US"/>
                </w:rPr>
                <w:t xml:space="preserve">[Online] </w:t>
              </w:r>
              <w:r>
                <w:rPr>
                  <w:noProof/>
                  <w:lang w:val="en-US"/>
                </w:rPr>
                <w:br/>
                <w:t xml:space="preserve">Available at: </w:t>
              </w:r>
              <w:r>
                <w:rPr>
                  <w:noProof/>
                  <w:u w:val="single"/>
                  <w:lang w:val="en-US"/>
                </w:rPr>
                <w:t>gov.wales/topics/educationandskills/schoolshome/ pupilsupport/inclusionpupilsupportguidance/?lang=en</w:t>
              </w:r>
            </w:p>
            <w:p w14:paraId="6B40C63F" w14:textId="77777777" w:rsidR="007B647D" w:rsidRDefault="007B647D" w:rsidP="007B647D">
              <w:pPr>
                <w:pStyle w:val="Bibliography"/>
                <w:rPr>
                  <w:noProof/>
                  <w:lang w:val="en-US"/>
                </w:rPr>
              </w:pPr>
              <w:r>
                <w:rPr>
                  <w:noProof/>
                  <w:lang w:val="en-US"/>
                </w:rPr>
                <w:t xml:space="preserve">O'Hanlon, Christine, H. &amp; Pat, 2004. </w:t>
              </w:r>
              <w:r>
                <w:rPr>
                  <w:i/>
                  <w:iCs/>
                  <w:noProof/>
                  <w:lang w:val="en-US"/>
                </w:rPr>
                <w:t xml:space="preserve">The Education of Gypsy and Traveller Children Towards Inclusion and Educational Achievement. </w:t>
              </w:r>
              <w:r>
                <w:rPr>
                  <w:noProof/>
                  <w:lang w:val="en-US"/>
                </w:rPr>
                <w:t>Stoke-on-Trent: Trentham Books Ltd.</w:t>
              </w:r>
            </w:p>
            <w:p w14:paraId="2F025F04" w14:textId="77777777" w:rsidR="007B647D" w:rsidRDefault="007B647D" w:rsidP="007B647D">
              <w:pPr>
                <w:pStyle w:val="Bibliography"/>
                <w:rPr>
                  <w:noProof/>
                  <w:lang w:val="en-US"/>
                </w:rPr>
              </w:pPr>
              <w:r>
                <w:rPr>
                  <w:noProof/>
                  <w:lang w:val="en-US"/>
                </w:rPr>
                <w:t xml:space="preserve">Plan, T. C., 2009. </w:t>
              </w:r>
              <w:r>
                <w:rPr>
                  <w:i/>
                  <w:iCs/>
                  <w:noProof/>
                  <w:lang w:val="en-US"/>
                </w:rPr>
                <w:t xml:space="preserve">Getting to Grips with Assessing Pupils' Progress. </w:t>
              </w:r>
              <w:r>
                <w:rPr>
                  <w:noProof/>
                  <w:lang w:val="en-US"/>
                </w:rPr>
                <w:t xml:space="preserve">[Online] </w:t>
              </w:r>
              <w:r>
                <w:rPr>
                  <w:noProof/>
                  <w:lang w:val="en-US"/>
                </w:rPr>
                <w:br/>
                <w:t xml:space="preserve">Available at: </w:t>
              </w:r>
              <w:r>
                <w:rPr>
                  <w:noProof/>
                  <w:u w:val="single"/>
                  <w:lang w:val="en-US"/>
                </w:rPr>
                <w:t>www.teachernet.gov.uk/publications</w:t>
              </w:r>
            </w:p>
            <w:p w14:paraId="0903E74F" w14:textId="77777777" w:rsidR="007B647D" w:rsidRDefault="007B647D" w:rsidP="007B647D">
              <w:pPr>
                <w:pStyle w:val="Bibliography"/>
                <w:rPr>
                  <w:noProof/>
                  <w:lang w:val="en-US"/>
                </w:rPr>
              </w:pPr>
              <w:r>
                <w:rPr>
                  <w:noProof/>
                  <w:lang w:val="en-US"/>
                </w:rPr>
                <w:lastRenderedPageBreak/>
                <w:t xml:space="preserve">Rix, J. et al., 2010. </w:t>
              </w:r>
              <w:r>
                <w:rPr>
                  <w:i/>
                  <w:iCs/>
                  <w:noProof/>
                  <w:lang w:val="en-US"/>
                </w:rPr>
                <w:t xml:space="preserve">Equality, Participation and Inclusion Diverse Perspectives. </w:t>
              </w:r>
              <w:r>
                <w:rPr>
                  <w:noProof/>
                  <w:lang w:val="en-US"/>
                </w:rPr>
                <w:t>Oxon: Routledge.</w:t>
              </w:r>
            </w:p>
            <w:p w14:paraId="75CD86C8" w14:textId="77777777" w:rsidR="007B647D" w:rsidRDefault="007B647D" w:rsidP="007B647D">
              <w:pPr>
                <w:pStyle w:val="Bibliography"/>
                <w:rPr>
                  <w:noProof/>
                  <w:lang w:val="en-US"/>
                </w:rPr>
              </w:pPr>
              <w:r>
                <w:rPr>
                  <w:noProof/>
                  <w:lang w:val="en-US"/>
                </w:rPr>
                <w:t xml:space="preserve">Society, T. C., 2018. </w:t>
              </w:r>
              <w:r>
                <w:rPr>
                  <w:i/>
                  <w:iCs/>
                  <w:noProof/>
                  <w:lang w:val="en-US"/>
                </w:rPr>
                <w:t xml:space="preserve">The Good Childhood Report Summary. </w:t>
              </w:r>
              <w:r>
                <w:rPr>
                  <w:noProof/>
                  <w:lang w:val="en-US"/>
                </w:rPr>
                <w:t xml:space="preserve">[Online] </w:t>
              </w:r>
              <w:r>
                <w:rPr>
                  <w:noProof/>
                  <w:lang w:val="en-US"/>
                </w:rPr>
                <w:br/>
                <w:t xml:space="preserve">Available at: </w:t>
              </w:r>
              <w:r>
                <w:rPr>
                  <w:noProof/>
                  <w:u w:val="single"/>
                  <w:lang w:val="en-US"/>
                </w:rPr>
                <w:t>https://www.childrenssociety.org.uk/sites/default/files/the_good_childhood_summary_2018.pdf</w:t>
              </w:r>
              <w:r>
                <w:rPr>
                  <w:noProof/>
                  <w:lang w:val="en-US"/>
                </w:rPr>
                <w:br/>
                <w:t>[Accessed October 2018].</w:t>
              </w:r>
            </w:p>
            <w:p w14:paraId="68B892A0" w14:textId="77777777" w:rsidR="007B647D" w:rsidRDefault="007B647D" w:rsidP="007B647D">
              <w:pPr>
                <w:pStyle w:val="Bibliography"/>
                <w:rPr>
                  <w:noProof/>
                  <w:lang w:val="en-US"/>
                </w:rPr>
              </w:pPr>
              <w:r>
                <w:rPr>
                  <w:noProof/>
                  <w:lang w:val="en-US"/>
                </w:rPr>
                <w:t xml:space="preserve">Symonds, J., 2015. </w:t>
              </w:r>
              <w:r>
                <w:rPr>
                  <w:i/>
                  <w:iCs/>
                  <w:noProof/>
                  <w:lang w:val="en-US"/>
                </w:rPr>
                <w:t xml:space="preserve">Understanding School Transition. </w:t>
              </w:r>
              <w:r>
                <w:rPr>
                  <w:noProof/>
                  <w:lang w:val="en-US"/>
                </w:rPr>
                <w:t>Oxon: Routledge.</w:t>
              </w:r>
            </w:p>
            <w:p w14:paraId="0BDDFA97" w14:textId="77777777" w:rsidR="007B647D" w:rsidRDefault="007B647D" w:rsidP="007B647D">
              <w:pPr>
                <w:pStyle w:val="Bibliography"/>
                <w:rPr>
                  <w:noProof/>
                  <w:lang w:val="en-US"/>
                </w:rPr>
              </w:pPr>
              <w:r>
                <w:rPr>
                  <w:noProof/>
                  <w:lang w:val="en-US"/>
                </w:rPr>
                <w:t xml:space="preserve">Tyler &amp; Chris, 2005. </w:t>
              </w:r>
              <w:r>
                <w:rPr>
                  <w:i/>
                  <w:iCs/>
                  <w:noProof/>
                  <w:lang w:val="en-US"/>
                </w:rPr>
                <w:t xml:space="preserve">Traveller Education - Accounts of Good Practice. </w:t>
              </w:r>
              <w:r>
                <w:rPr>
                  <w:noProof/>
                  <w:lang w:val="en-US"/>
                </w:rPr>
                <w:t>Stoke-on-Trent: Trentham Books Ltd.</w:t>
              </w:r>
            </w:p>
            <w:p w14:paraId="5DE32D00" w14:textId="77777777" w:rsidR="007B647D" w:rsidRDefault="007B647D" w:rsidP="007B647D">
              <w:pPr>
                <w:pStyle w:val="Bibliography"/>
                <w:rPr>
                  <w:noProof/>
                  <w:lang w:val="en-US"/>
                </w:rPr>
              </w:pPr>
              <w:r>
                <w:rPr>
                  <w:noProof/>
                  <w:lang w:val="en-US"/>
                </w:rPr>
                <w:t xml:space="preserve">Welsh Assembly Government, D. f. N. R. o. t. W., 2015. </w:t>
              </w:r>
              <w:r>
                <w:rPr>
                  <w:i/>
                  <w:iCs/>
                  <w:noProof/>
                  <w:lang w:val="en-US"/>
                </w:rPr>
                <w:t xml:space="preserve">Well-being of Future Generations (Wales) Act 2015 - The Essentials.. </w:t>
              </w:r>
              <w:r>
                <w:rPr>
                  <w:noProof/>
                  <w:lang w:val="en-US"/>
                </w:rPr>
                <w:t xml:space="preserve">[Online] </w:t>
              </w:r>
              <w:r>
                <w:rPr>
                  <w:noProof/>
                  <w:lang w:val="en-US"/>
                </w:rPr>
                <w:br/>
                <w:t xml:space="preserve">Available at: </w:t>
              </w:r>
              <w:r>
                <w:rPr>
                  <w:noProof/>
                  <w:u w:val="single"/>
                  <w:lang w:val="en-US"/>
                </w:rPr>
                <w:t>https://futuregenerations.wales/wp-content/uploads/2017/02/150623-guide-to-the-fg-act-en.pdf</w:t>
              </w:r>
            </w:p>
            <w:p w14:paraId="6F42310A" w14:textId="77777777" w:rsidR="007B647D" w:rsidRDefault="007B647D" w:rsidP="007B647D">
              <w:r>
                <w:rPr>
                  <w:b/>
                  <w:bCs/>
                </w:rPr>
                <w:fldChar w:fldCharType="end"/>
              </w:r>
            </w:p>
          </w:sdtContent>
        </w:sdt>
        <w:p w14:paraId="596036E1" w14:textId="77777777" w:rsidR="007B647D" w:rsidRPr="00E40793" w:rsidRDefault="007B647D" w:rsidP="007B647D"/>
      </w:sdtContent>
    </w:sdt>
    <w:p w14:paraId="5B264574" w14:textId="571FB99B" w:rsidR="007B647D" w:rsidRDefault="007B647D" w:rsidP="007B647D">
      <w:pPr>
        <w:pStyle w:val="NormalWeb"/>
        <w:rPr>
          <w:rFonts w:ascii="Arial" w:hAnsi="Arial" w:cs="Arial"/>
        </w:rPr>
      </w:pPr>
    </w:p>
    <w:p w14:paraId="7720532F" w14:textId="2E243726" w:rsidR="007B647D" w:rsidRDefault="007B647D" w:rsidP="007B647D">
      <w:pPr>
        <w:pStyle w:val="NormalWeb"/>
        <w:rPr>
          <w:rFonts w:ascii="Arial" w:hAnsi="Arial" w:cs="Arial"/>
        </w:rPr>
      </w:pPr>
    </w:p>
    <w:p w14:paraId="3E64770F" w14:textId="2F385484" w:rsidR="007B647D" w:rsidRDefault="007B647D" w:rsidP="007B647D">
      <w:pPr>
        <w:pStyle w:val="NormalWeb"/>
        <w:rPr>
          <w:rFonts w:ascii="Arial" w:hAnsi="Arial" w:cs="Arial"/>
        </w:rPr>
      </w:pPr>
    </w:p>
    <w:p w14:paraId="1F0F0C2B" w14:textId="1F529AA6" w:rsidR="007B647D" w:rsidRDefault="007B647D" w:rsidP="007B647D">
      <w:pPr>
        <w:pStyle w:val="NormalWeb"/>
        <w:rPr>
          <w:rFonts w:ascii="Arial" w:hAnsi="Arial" w:cs="Arial"/>
        </w:rPr>
      </w:pPr>
    </w:p>
    <w:p w14:paraId="3F03A1A7" w14:textId="095D6B39" w:rsidR="007B647D" w:rsidRDefault="007B647D" w:rsidP="007B647D">
      <w:pPr>
        <w:pStyle w:val="NormalWeb"/>
        <w:rPr>
          <w:rFonts w:ascii="Arial" w:hAnsi="Arial" w:cs="Arial"/>
        </w:rPr>
      </w:pPr>
    </w:p>
    <w:p w14:paraId="5FE71E3B" w14:textId="407FA3F0" w:rsidR="007B647D" w:rsidRDefault="007B647D" w:rsidP="007B647D">
      <w:pPr>
        <w:pStyle w:val="NormalWeb"/>
        <w:rPr>
          <w:rFonts w:ascii="Arial" w:hAnsi="Arial" w:cs="Arial"/>
        </w:rPr>
      </w:pPr>
    </w:p>
    <w:p w14:paraId="7BC0F43E" w14:textId="3466E85C" w:rsidR="007B647D" w:rsidRDefault="007B647D" w:rsidP="007B647D">
      <w:pPr>
        <w:pStyle w:val="NormalWeb"/>
        <w:rPr>
          <w:rFonts w:ascii="Arial" w:hAnsi="Arial" w:cs="Arial"/>
        </w:rPr>
      </w:pPr>
    </w:p>
    <w:p w14:paraId="6AECD262" w14:textId="1A4FE5F3" w:rsidR="007B647D" w:rsidRDefault="007B647D" w:rsidP="007B647D">
      <w:pPr>
        <w:pStyle w:val="NormalWeb"/>
        <w:rPr>
          <w:rFonts w:ascii="Arial" w:hAnsi="Arial" w:cs="Arial"/>
        </w:rPr>
      </w:pPr>
    </w:p>
    <w:p w14:paraId="063567EF" w14:textId="49E0E855" w:rsidR="007B647D" w:rsidRDefault="007B647D" w:rsidP="007B647D">
      <w:pPr>
        <w:pStyle w:val="NormalWeb"/>
        <w:rPr>
          <w:rFonts w:ascii="Arial" w:hAnsi="Arial" w:cs="Arial"/>
        </w:rPr>
      </w:pPr>
    </w:p>
    <w:p w14:paraId="543DDAAC" w14:textId="63FAD17F" w:rsidR="007B647D" w:rsidRDefault="007B647D" w:rsidP="007B647D">
      <w:pPr>
        <w:pStyle w:val="NormalWeb"/>
        <w:rPr>
          <w:rFonts w:ascii="Arial" w:hAnsi="Arial" w:cs="Arial"/>
        </w:rPr>
      </w:pPr>
    </w:p>
    <w:p w14:paraId="2843ED40" w14:textId="50F16A3E" w:rsidR="007B647D" w:rsidRDefault="007B647D" w:rsidP="007B647D">
      <w:pPr>
        <w:pStyle w:val="NormalWeb"/>
        <w:rPr>
          <w:rFonts w:ascii="Arial" w:hAnsi="Arial" w:cs="Arial"/>
        </w:rPr>
      </w:pPr>
    </w:p>
    <w:p w14:paraId="5885BCFD" w14:textId="1DB02867" w:rsidR="007B647D" w:rsidRDefault="007B647D" w:rsidP="007B647D">
      <w:pPr>
        <w:pStyle w:val="NormalWeb"/>
        <w:rPr>
          <w:rFonts w:ascii="Arial" w:hAnsi="Arial" w:cs="Arial"/>
        </w:rPr>
      </w:pPr>
    </w:p>
    <w:p w14:paraId="0A0ABFE1" w14:textId="596FC0A7" w:rsidR="007B647D" w:rsidRDefault="007B647D" w:rsidP="007B647D">
      <w:pPr>
        <w:pStyle w:val="NormalWeb"/>
        <w:rPr>
          <w:rFonts w:ascii="Arial" w:hAnsi="Arial" w:cs="Arial"/>
        </w:rPr>
      </w:pPr>
    </w:p>
    <w:p w14:paraId="2F3E9D10" w14:textId="101C32DA" w:rsidR="007B647D" w:rsidRDefault="007B647D" w:rsidP="007B647D">
      <w:pPr>
        <w:pStyle w:val="NormalWeb"/>
        <w:rPr>
          <w:rFonts w:ascii="Arial" w:hAnsi="Arial" w:cs="Arial"/>
        </w:rPr>
      </w:pPr>
    </w:p>
    <w:p w14:paraId="24D785FA" w14:textId="77777777" w:rsidR="007B647D" w:rsidRDefault="007B647D" w:rsidP="007B647D">
      <w:pPr>
        <w:pStyle w:val="NormalWeb"/>
        <w:rPr>
          <w:rFonts w:ascii="Arial" w:hAnsi="Arial" w:cs="Arial"/>
        </w:rPr>
      </w:pPr>
      <w:bookmarkStart w:id="0" w:name="_GoBack"/>
      <w:bookmarkEnd w:id="0"/>
    </w:p>
    <w:p w14:paraId="0F70D0ED" w14:textId="77777777" w:rsidR="007B647D" w:rsidRPr="00A406E5" w:rsidRDefault="007B647D" w:rsidP="007B647D">
      <w:pPr>
        <w:rPr>
          <w:rFonts w:ascii="Arial" w:hAnsi="Arial" w:cs="Arial"/>
          <w:b/>
          <w:sz w:val="22"/>
          <w:szCs w:val="22"/>
        </w:rPr>
      </w:pPr>
    </w:p>
    <w:tbl>
      <w:tblPr>
        <w:tblW w:w="5000" w:type="pct"/>
        <w:tblLayout w:type="fixed"/>
        <w:tblLook w:val="04A0" w:firstRow="1" w:lastRow="0" w:firstColumn="1" w:lastColumn="0" w:noHBand="0" w:noVBand="1"/>
      </w:tblPr>
      <w:tblGrid>
        <w:gridCol w:w="7752"/>
        <w:gridCol w:w="629"/>
        <w:gridCol w:w="629"/>
      </w:tblGrid>
      <w:tr w:rsidR="007B647D" w:rsidRPr="00A406E5" w14:paraId="339DC097" w14:textId="77777777" w:rsidTr="00367D31">
        <w:trPr>
          <w:trHeight w:val="1002"/>
        </w:trPr>
        <w:tc>
          <w:tcPr>
            <w:tcW w:w="4302" w:type="pct"/>
            <w:tcBorders>
              <w:top w:val="single" w:sz="4" w:space="0" w:color="auto"/>
              <w:left w:val="single" w:sz="4" w:space="0" w:color="auto"/>
              <w:right w:val="single" w:sz="4" w:space="0" w:color="auto"/>
            </w:tcBorders>
            <w:shd w:val="clear" w:color="auto" w:fill="BFBFBF"/>
            <w:vAlign w:val="center"/>
          </w:tcPr>
          <w:p w14:paraId="760BC65F" w14:textId="77777777" w:rsidR="007B647D" w:rsidRPr="00A406E5" w:rsidRDefault="007B647D" w:rsidP="00367D31">
            <w:pPr>
              <w:rPr>
                <w:rFonts w:ascii="Arial" w:hAnsi="Arial" w:cs="Arial"/>
                <w:b/>
                <w:sz w:val="22"/>
              </w:rPr>
            </w:pPr>
            <w:r>
              <w:rPr>
                <w:rFonts w:ascii="Arial" w:hAnsi="Arial" w:cs="Arial"/>
                <w:b/>
                <w:sz w:val="22"/>
                <w:szCs w:val="16"/>
              </w:rPr>
              <w:lastRenderedPageBreak/>
              <w:t>Generic</w:t>
            </w:r>
            <w:r w:rsidRPr="00A406E5">
              <w:rPr>
                <w:rFonts w:ascii="Arial" w:hAnsi="Arial" w:cs="Arial"/>
                <w:b/>
                <w:sz w:val="22"/>
                <w:szCs w:val="16"/>
              </w:rPr>
              <w:t xml:space="preserve"> Assessment Criteria </w:t>
            </w:r>
          </w:p>
        </w:tc>
        <w:tc>
          <w:tcPr>
            <w:tcW w:w="349" w:type="pct"/>
            <w:tcBorders>
              <w:top w:val="single" w:sz="4" w:space="0" w:color="auto"/>
              <w:left w:val="single" w:sz="4" w:space="0" w:color="auto"/>
              <w:right w:val="single" w:sz="4" w:space="0" w:color="auto"/>
            </w:tcBorders>
            <w:shd w:val="clear" w:color="auto" w:fill="BFBFBF"/>
            <w:textDirection w:val="btLr"/>
          </w:tcPr>
          <w:p w14:paraId="3CC62625" w14:textId="77777777" w:rsidR="007B647D" w:rsidRPr="002B5C15" w:rsidRDefault="007B647D" w:rsidP="00367D31">
            <w:pPr>
              <w:ind w:left="34" w:right="113"/>
              <w:jc w:val="center"/>
              <w:rPr>
                <w:rFonts w:ascii="Arial" w:hAnsi="Arial" w:cs="Arial"/>
                <w:b/>
                <w:sz w:val="18"/>
                <w:szCs w:val="18"/>
              </w:rPr>
            </w:pPr>
            <w:r w:rsidRPr="002B5C15">
              <w:rPr>
                <w:rFonts w:ascii="Arial" w:hAnsi="Arial" w:cs="Arial"/>
                <w:b/>
                <w:sz w:val="18"/>
                <w:szCs w:val="18"/>
              </w:rPr>
              <w:t>Marks available</w:t>
            </w:r>
          </w:p>
        </w:tc>
        <w:tc>
          <w:tcPr>
            <w:tcW w:w="349"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8B22832" w14:textId="77777777" w:rsidR="007B647D" w:rsidRPr="002B5C15" w:rsidRDefault="007B647D" w:rsidP="00367D31">
            <w:pPr>
              <w:ind w:left="113" w:right="113"/>
              <w:jc w:val="center"/>
              <w:rPr>
                <w:rFonts w:ascii="Arial" w:hAnsi="Arial" w:cs="Arial"/>
                <w:b/>
                <w:sz w:val="18"/>
                <w:szCs w:val="18"/>
              </w:rPr>
            </w:pPr>
            <w:r w:rsidRPr="002B5C15">
              <w:rPr>
                <w:rFonts w:ascii="Arial" w:hAnsi="Arial" w:cs="Arial"/>
                <w:b/>
                <w:sz w:val="18"/>
                <w:szCs w:val="18"/>
              </w:rPr>
              <w:t xml:space="preserve">Marks </w:t>
            </w:r>
          </w:p>
          <w:p w14:paraId="05BCB5F9" w14:textId="77777777" w:rsidR="007B647D" w:rsidRPr="002B5C15" w:rsidRDefault="007B647D" w:rsidP="00367D31">
            <w:pPr>
              <w:ind w:left="113" w:right="113"/>
              <w:jc w:val="center"/>
              <w:rPr>
                <w:rFonts w:ascii="Arial" w:hAnsi="Arial" w:cs="Arial"/>
                <w:b/>
                <w:sz w:val="18"/>
                <w:szCs w:val="18"/>
              </w:rPr>
            </w:pPr>
            <w:r w:rsidRPr="002B5C15">
              <w:rPr>
                <w:rFonts w:ascii="Arial" w:hAnsi="Arial" w:cs="Arial"/>
                <w:b/>
                <w:sz w:val="18"/>
                <w:szCs w:val="18"/>
              </w:rPr>
              <w:t>awarded</w:t>
            </w:r>
          </w:p>
        </w:tc>
      </w:tr>
      <w:tr w:rsidR="007B647D" w:rsidRPr="00A406E5" w14:paraId="25576170" w14:textId="77777777" w:rsidTr="00367D31">
        <w:trPr>
          <w:trHeight w:val="450"/>
        </w:trPr>
        <w:tc>
          <w:tcPr>
            <w:tcW w:w="4302" w:type="pct"/>
            <w:tcBorders>
              <w:top w:val="single" w:sz="4" w:space="0" w:color="auto"/>
              <w:left w:val="single" w:sz="4" w:space="0" w:color="auto"/>
              <w:right w:val="single" w:sz="4" w:space="0" w:color="auto"/>
            </w:tcBorders>
            <w:shd w:val="clear" w:color="auto" w:fill="D9D9D9"/>
          </w:tcPr>
          <w:p w14:paraId="45F21DFF" w14:textId="77777777" w:rsidR="007B647D" w:rsidRPr="00A406E5" w:rsidRDefault="007B647D" w:rsidP="00367D31">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7475A1DD" w14:textId="77777777" w:rsidR="007B647D" w:rsidRPr="00A406E5" w:rsidRDefault="007B647D" w:rsidP="00367D31">
            <w:pPr>
              <w:spacing w:after="120"/>
              <w:rPr>
                <w:rFonts w:ascii="Arial" w:hAnsi="Arial" w:cs="Arial"/>
                <w:sz w:val="14"/>
                <w:szCs w:val="14"/>
              </w:rPr>
            </w:pPr>
            <w:r w:rsidRPr="00A406E5">
              <w:rPr>
                <w:rFonts w:ascii="Arial" w:hAnsi="Arial" w:cs="Arial"/>
                <w:sz w:val="14"/>
                <w:szCs w:val="14"/>
              </w:rPr>
              <w:t>.</w:t>
            </w:r>
          </w:p>
        </w:tc>
        <w:tc>
          <w:tcPr>
            <w:tcW w:w="349" w:type="pct"/>
            <w:tcBorders>
              <w:top w:val="single" w:sz="4" w:space="0" w:color="auto"/>
              <w:left w:val="single" w:sz="4" w:space="0" w:color="auto"/>
              <w:right w:val="single" w:sz="4" w:space="0" w:color="auto"/>
            </w:tcBorders>
            <w:shd w:val="clear" w:color="auto" w:fill="D9D9D9"/>
          </w:tcPr>
          <w:p w14:paraId="5FCFA082" w14:textId="77777777" w:rsidR="007B647D" w:rsidRPr="00A406E5" w:rsidRDefault="007B647D" w:rsidP="00367D31">
            <w:pPr>
              <w:jc w:val="center"/>
              <w:rPr>
                <w:rFonts w:ascii="Arial" w:hAnsi="Arial" w:cs="Arial"/>
                <w:sz w:val="32"/>
              </w:rPr>
            </w:pPr>
            <w:r>
              <w:rPr>
                <w:rFonts w:ascii="Arial" w:hAnsi="Arial" w:cs="Arial"/>
                <w:sz w:val="32"/>
              </w:rPr>
              <w:t>20</w:t>
            </w:r>
          </w:p>
        </w:tc>
        <w:tc>
          <w:tcPr>
            <w:tcW w:w="349" w:type="pct"/>
            <w:tcBorders>
              <w:top w:val="single" w:sz="4" w:space="0" w:color="auto"/>
              <w:left w:val="single" w:sz="4" w:space="0" w:color="auto"/>
              <w:bottom w:val="single" w:sz="4" w:space="0" w:color="auto"/>
              <w:right w:val="single" w:sz="4" w:space="0" w:color="auto"/>
            </w:tcBorders>
            <w:shd w:val="clear" w:color="auto" w:fill="D9D9D9"/>
          </w:tcPr>
          <w:p w14:paraId="3B4D7391" w14:textId="77777777" w:rsidR="007B647D" w:rsidRPr="00A406E5" w:rsidRDefault="007B647D" w:rsidP="00367D31">
            <w:pPr>
              <w:jc w:val="center"/>
              <w:rPr>
                <w:rFonts w:ascii="Arial" w:hAnsi="Arial" w:cs="Arial"/>
                <w:sz w:val="32"/>
              </w:rPr>
            </w:pPr>
          </w:p>
        </w:tc>
      </w:tr>
      <w:tr w:rsidR="007B647D" w:rsidRPr="00A406E5" w14:paraId="5BDE436D" w14:textId="77777777" w:rsidTr="00367D31">
        <w:trPr>
          <w:trHeight w:val="450"/>
        </w:trPr>
        <w:tc>
          <w:tcPr>
            <w:tcW w:w="4302" w:type="pct"/>
            <w:vMerge w:val="restart"/>
            <w:tcBorders>
              <w:top w:val="single" w:sz="4" w:space="0" w:color="auto"/>
              <w:left w:val="single" w:sz="4" w:space="0" w:color="auto"/>
              <w:right w:val="single" w:sz="4" w:space="0" w:color="auto"/>
            </w:tcBorders>
          </w:tcPr>
          <w:p w14:paraId="2441BE69" w14:textId="77777777" w:rsidR="007B647D" w:rsidRPr="00A406E5" w:rsidRDefault="007B647D" w:rsidP="00367D31">
            <w:pPr>
              <w:spacing w:after="120"/>
              <w:rPr>
                <w:rFonts w:ascii="Arial" w:hAnsi="Arial" w:cs="Arial"/>
                <w:sz w:val="14"/>
                <w:szCs w:val="14"/>
              </w:rPr>
            </w:pPr>
          </w:p>
          <w:p w14:paraId="093288E1" w14:textId="77777777" w:rsidR="007B647D" w:rsidRPr="00A406E5" w:rsidRDefault="007B647D" w:rsidP="00367D31">
            <w:pPr>
              <w:spacing w:after="120"/>
              <w:rPr>
                <w:rFonts w:ascii="Arial" w:hAnsi="Arial" w:cs="Arial"/>
                <w:sz w:val="14"/>
                <w:szCs w:val="14"/>
              </w:rPr>
            </w:pPr>
          </w:p>
          <w:p w14:paraId="72B9E532" w14:textId="77777777" w:rsidR="007B647D" w:rsidRPr="00A406E5" w:rsidRDefault="007B647D" w:rsidP="00367D31">
            <w:pPr>
              <w:spacing w:after="120"/>
              <w:rPr>
                <w:rFonts w:ascii="Arial" w:hAnsi="Arial" w:cs="Arial"/>
                <w:sz w:val="14"/>
                <w:szCs w:val="14"/>
              </w:rPr>
            </w:pPr>
          </w:p>
          <w:p w14:paraId="609A979D" w14:textId="77777777" w:rsidR="007B647D" w:rsidRPr="00A406E5" w:rsidRDefault="007B647D" w:rsidP="00367D31">
            <w:pPr>
              <w:spacing w:after="120"/>
              <w:rPr>
                <w:rFonts w:ascii="Arial" w:hAnsi="Arial" w:cs="Arial"/>
                <w:sz w:val="14"/>
                <w:szCs w:val="14"/>
              </w:rPr>
            </w:pPr>
          </w:p>
          <w:p w14:paraId="25B743F8" w14:textId="77777777" w:rsidR="007B647D" w:rsidRPr="00A406E5" w:rsidRDefault="007B647D" w:rsidP="00367D31">
            <w:pPr>
              <w:spacing w:after="120"/>
              <w:rPr>
                <w:rFonts w:ascii="Arial" w:hAnsi="Arial" w:cs="Arial"/>
                <w:sz w:val="14"/>
                <w:szCs w:val="14"/>
              </w:rPr>
            </w:pPr>
          </w:p>
          <w:p w14:paraId="02B74415" w14:textId="77777777" w:rsidR="007B647D" w:rsidRPr="00A406E5" w:rsidRDefault="007B647D" w:rsidP="00367D31">
            <w:pPr>
              <w:spacing w:after="120"/>
              <w:rPr>
                <w:rFonts w:ascii="Arial" w:hAnsi="Arial" w:cs="Arial"/>
                <w:sz w:val="14"/>
                <w:szCs w:val="14"/>
              </w:rPr>
            </w:pPr>
          </w:p>
        </w:tc>
        <w:tc>
          <w:tcPr>
            <w:tcW w:w="349" w:type="pct"/>
            <w:tcBorders>
              <w:top w:val="single" w:sz="4" w:space="0" w:color="auto"/>
              <w:left w:val="single" w:sz="4" w:space="0" w:color="auto"/>
              <w:right w:val="single" w:sz="4" w:space="0" w:color="auto"/>
            </w:tcBorders>
          </w:tcPr>
          <w:p w14:paraId="4BBB9BF1" w14:textId="77777777" w:rsidR="007B647D" w:rsidRPr="00A406E5" w:rsidRDefault="007B647D" w:rsidP="00367D31">
            <w:pPr>
              <w:jc w:val="center"/>
              <w:rPr>
                <w:rFonts w:ascii="Arial" w:hAnsi="Arial" w:cs="Arial"/>
                <w:sz w:val="32"/>
              </w:rPr>
            </w:pPr>
          </w:p>
        </w:tc>
        <w:tc>
          <w:tcPr>
            <w:tcW w:w="349" w:type="pct"/>
            <w:vMerge w:val="restart"/>
            <w:tcBorders>
              <w:top w:val="single" w:sz="4" w:space="0" w:color="auto"/>
              <w:left w:val="single" w:sz="4" w:space="0" w:color="auto"/>
              <w:bottom w:val="single" w:sz="4" w:space="0" w:color="auto"/>
              <w:right w:val="single" w:sz="4" w:space="0" w:color="auto"/>
            </w:tcBorders>
          </w:tcPr>
          <w:p w14:paraId="775A3CE0" w14:textId="77777777" w:rsidR="007B647D" w:rsidRPr="00A406E5" w:rsidRDefault="007B647D" w:rsidP="00367D31">
            <w:pPr>
              <w:jc w:val="center"/>
              <w:rPr>
                <w:rFonts w:ascii="Arial" w:hAnsi="Arial" w:cs="Arial"/>
                <w:sz w:val="32"/>
              </w:rPr>
            </w:pPr>
          </w:p>
        </w:tc>
      </w:tr>
      <w:tr w:rsidR="007B647D" w:rsidRPr="00A406E5" w14:paraId="725E04E5" w14:textId="77777777" w:rsidTr="00367D31">
        <w:trPr>
          <w:trHeight w:val="451"/>
        </w:trPr>
        <w:tc>
          <w:tcPr>
            <w:tcW w:w="4302" w:type="pct"/>
            <w:vMerge/>
            <w:tcBorders>
              <w:left w:val="single" w:sz="4" w:space="0" w:color="auto"/>
              <w:bottom w:val="single" w:sz="4" w:space="0" w:color="auto"/>
              <w:right w:val="single" w:sz="4" w:space="0" w:color="auto"/>
            </w:tcBorders>
          </w:tcPr>
          <w:p w14:paraId="78CD95B8" w14:textId="77777777" w:rsidR="007B647D" w:rsidRPr="00A406E5" w:rsidRDefault="007B647D" w:rsidP="00367D31">
            <w:pPr>
              <w:rPr>
                <w:rFonts w:ascii="Arial" w:hAnsi="Arial" w:cs="Arial"/>
                <w:b/>
                <w:sz w:val="16"/>
                <w:szCs w:val="16"/>
              </w:rPr>
            </w:pPr>
          </w:p>
        </w:tc>
        <w:tc>
          <w:tcPr>
            <w:tcW w:w="349" w:type="pct"/>
            <w:tcBorders>
              <w:left w:val="single" w:sz="4" w:space="0" w:color="auto"/>
              <w:bottom w:val="single" w:sz="4" w:space="0" w:color="auto"/>
              <w:right w:val="single" w:sz="4" w:space="0" w:color="auto"/>
            </w:tcBorders>
          </w:tcPr>
          <w:p w14:paraId="01F5ADFB" w14:textId="77777777" w:rsidR="007B647D" w:rsidRPr="00A406E5" w:rsidRDefault="007B647D" w:rsidP="00367D31">
            <w:pPr>
              <w:jc w:val="center"/>
              <w:rPr>
                <w:rFonts w:ascii="Arial" w:hAnsi="Arial" w:cs="Arial"/>
                <w:sz w:val="32"/>
              </w:rPr>
            </w:pPr>
          </w:p>
        </w:tc>
        <w:tc>
          <w:tcPr>
            <w:tcW w:w="349" w:type="pct"/>
            <w:vMerge/>
            <w:tcBorders>
              <w:top w:val="single" w:sz="4" w:space="0" w:color="auto"/>
              <w:left w:val="single" w:sz="4" w:space="0" w:color="auto"/>
              <w:bottom w:val="single" w:sz="4" w:space="0" w:color="auto"/>
              <w:right w:val="single" w:sz="4" w:space="0" w:color="auto"/>
            </w:tcBorders>
          </w:tcPr>
          <w:p w14:paraId="49202CA8" w14:textId="77777777" w:rsidR="007B647D" w:rsidRPr="00A406E5" w:rsidRDefault="007B647D" w:rsidP="00367D31">
            <w:pPr>
              <w:jc w:val="center"/>
              <w:rPr>
                <w:rFonts w:ascii="Arial" w:hAnsi="Arial" w:cs="Arial"/>
                <w:sz w:val="32"/>
              </w:rPr>
            </w:pPr>
          </w:p>
        </w:tc>
      </w:tr>
      <w:tr w:rsidR="007B647D" w:rsidRPr="00A406E5" w14:paraId="70BDB648" w14:textId="77777777" w:rsidTr="00367D31">
        <w:trPr>
          <w:trHeight w:val="450"/>
        </w:trPr>
        <w:tc>
          <w:tcPr>
            <w:tcW w:w="4302" w:type="pct"/>
            <w:tcBorders>
              <w:top w:val="single" w:sz="4" w:space="0" w:color="auto"/>
              <w:left w:val="single" w:sz="4" w:space="0" w:color="auto"/>
              <w:right w:val="single" w:sz="4" w:space="0" w:color="auto"/>
            </w:tcBorders>
            <w:shd w:val="clear" w:color="auto" w:fill="D9D9D9"/>
          </w:tcPr>
          <w:p w14:paraId="1BEEAA33" w14:textId="77777777" w:rsidR="007B647D" w:rsidRPr="00A406E5" w:rsidRDefault="007B647D" w:rsidP="00367D31">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2E04144F" w14:textId="77777777" w:rsidR="007B647D" w:rsidRPr="00A406E5" w:rsidRDefault="007B647D" w:rsidP="00367D31">
            <w:pPr>
              <w:spacing w:after="120"/>
              <w:rPr>
                <w:rFonts w:ascii="Arial" w:hAnsi="Arial" w:cs="Arial"/>
                <w:sz w:val="14"/>
                <w:szCs w:val="14"/>
              </w:rPr>
            </w:pPr>
          </w:p>
        </w:tc>
        <w:tc>
          <w:tcPr>
            <w:tcW w:w="349" w:type="pct"/>
            <w:tcBorders>
              <w:top w:val="single" w:sz="4" w:space="0" w:color="auto"/>
              <w:left w:val="single" w:sz="4" w:space="0" w:color="auto"/>
              <w:right w:val="single" w:sz="4" w:space="0" w:color="auto"/>
            </w:tcBorders>
            <w:shd w:val="clear" w:color="auto" w:fill="D9D9D9"/>
          </w:tcPr>
          <w:p w14:paraId="6D8BF3DD" w14:textId="77777777" w:rsidR="007B647D" w:rsidRPr="00A406E5" w:rsidRDefault="007B647D" w:rsidP="00367D31">
            <w:pPr>
              <w:jc w:val="center"/>
              <w:rPr>
                <w:rFonts w:ascii="Arial" w:hAnsi="Arial" w:cs="Arial"/>
                <w:sz w:val="32"/>
              </w:rPr>
            </w:pPr>
            <w:r>
              <w:rPr>
                <w:rFonts w:ascii="Arial" w:hAnsi="Arial" w:cs="Arial"/>
                <w:sz w:val="32"/>
              </w:rPr>
              <w:t>20</w:t>
            </w:r>
          </w:p>
        </w:tc>
        <w:tc>
          <w:tcPr>
            <w:tcW w:w="349" w:type="pct"/>
            <w:tcBorders>
              <w:top w:val="single" w:sz="4" w:space="0" w:color="auto"/>
              <w:left w:val="single" w:sz="4" w:space="0" w:color="auto"/>
              <w:bottom w:val="single" w:sz="4" w:space="0" w:color="auto"/>
              <w:right w:val="single" w:sz="4" w:space="0" w:color="auto"/>
            </w:tcBorders>
            <w:shd w:val="clear" w:color="auto" w:fill="D9D9D9"/>
          </w:tcPr>
          <w:p w14:paraId="2D1744F8" w14:textId="77777777" w:rsidR="007B647D" w:rsidRPr="00A406E5" w:rsidRDefault="007B647D" w:rsidP="00367D31">
            <w:pPr>
              <w:jc w:val="center"/>
              <w:rPr>
                <w:rFonts w:ascii="Arial" w:hAnsi="Arial" w:cs="Arial"/>
                <w:sz w:val="32"/>
              </w:rPr>
            </w:pPr>
          </w:p>
        </w:tc>
      </w:tr>
      <w:tr w:rsidR="007B647D" w:rsidRPr="00A406E5" w14:paraId="5C9879FD" w14:textId="77777777" w:rsidTr="00367D31">
        <w:trPr>
          <w:trHeight w:val="450"/>
        </w:trPr>
        <w:tc>
          <w:tcPr>
            <w:tcW w:w="4302" w:type="pct"/>
            <w:vMerge w:val="restart"/>
            <w:tcBorders>
              <w:top w:val="single" w:sz="4" w:space="0" w:color="auto"/>
              <w:left w:val="single" w:sz="4" w:space="0" w:color="auto"/>
              <w:right w:val="single" w:sz="4" w:space="0" w:color="auto"/>
            </w:tcBorders>
          </w:tcPr>
          <w:p w14:paraId="3906E058" w14:textId="77777777" w:rsidR="007B647D" w:rsidRPr="00A406E5" w:rsidRDefault="007B647D" w:rsidP="00367D31">
            <w:pPr>
              <w:spacing w:after="120"/>
              <w:rPr>
                <w:rFonts w:ascii="Arial" w:hAnsi="Arial" w:cs="Arial"/>
                <w:sz w:val="14"/>
                <w:szCs w:val="14"/>
              </w:rPr>
            </w:pPr>
          </w:p>
          <w:p w14:paraId="57D950EE" w14:textId="77777777" w:rsidR="007B647D" w:rsidRPr="00A406E5" w:rsidRDefault="007B647D" w:rsidP="00367D31">
            <w:pPr>
              <w:spacing w:after="120"/>
              <w:rPr>
                <w:rFonts w:ascii="Arial" w:hAnsi="Arial" w:cs="Arial"/>
                <w:sz w:val="14"/>
                <w:szCs w:val="14"/>
              </w:rPr>
            </w:pPr>
          </w:p>
          <w:p w14:paraId="4702A6CF" w14:textId="77777777" w:rsidR="007B647D" w:rsidRPr="00A406E5" w:rsidRDefault="007B647D" w:rsidP="00367D31">
            <w:pPr>
              <w:spacing w:after="120"/>
              <w:rPr>
                <w:rFonts w:ascii="Arial" w:hAnsi="Arial" w:cs="Arial"/>
                <w:sz w:val="14"/>
                <w:szCs w:val="14"/>
              </w:rPr>
            </w:pPr>
          </w:p>
          <w:p w14:paraId="4BC61FB3" w14:textId="77777777" w:rsidR="007B647D" w:rsidRPr="00A406E5" w:rsidRDefault="007B647D" w:rsidP="00367D31">
            <w:pPr>
              <w:spacing w:after="120"/>
              <w:rPr>
                <w:rFonts w:ascii="Arial" w:hAnsi="Arial" w:cs="Arial"/>
                <w:sz w:val="14"/>
                <w:szCs w:val="14"/>
              </w:rPr>
            </w:pPr>
          </w:p>
          <w:p w14:paraId="0ABB0154" w14:textId="77777777" w:rsidR="007B647D" w:rsidRPr="00A406E5" w:rsidRDefault="007B647D" w:rsidP="00367D31">
            <w:pPr>
              <w:spacing w:after="120"/>
              <w:rPr>
                <w:rFonts w:ascii="Arial" w:hAnsi="Arial" w:cs="Arial"/>
                <w:sz w:val="14"/>
                <w:szCs w:val="14"/>
              </w:rPr>
            </w:pPr>
          </w:p>
          <w:p w14:paraId="432EAB30" w14:textId="77777777" w:rsidR="007B647D" w:rsidRPr="00A406E5" w:rsidRDefault="007B647D" w:rsidP="00367D31">
            <w:pPr>
              <w:spacing w:after="120"/>
              <w:rPr>
                <w:rFonts w:ascii="Arial" w:hAnsi="Arial" w:cs="Arial"/>
                <w:sz w:val="14"/>
                <w:szCs w:val="14"/>
              </w:rPr>
            </w:pPr>
          </w:p>
        </w:tc>
        <w:tc>
          <w:tcPr>
            <w:tcW w:w="349" w:type="pct"/>
            <w:tcBorders>
              <w:top w:val="single" w:sz="4" w:space="0" w:color="auto"/>
              <w:left w:val="single" w:sz="4" w:space="0" w:color="auto"/>
              <w:right w:val="single" w:sz="4" w:space="0" w:color="auto"/>
            </w:tcBorders>
          </w:tcPr>
          <w:p w14:paraId="706A28B3" w14:textId="77777777" w:rsidR="007B647D" w:rsidRPr="00A406E5" w:rsidRDefault="007B647D" w:rsidP="00367D31">
            <w:pPr>
              <w:jc w:val="center"/>
              <w:rPr>
                <w:rFonts w:ascii="Arial" w:hAnsi="Arial" w:cs="Arial"/>
                <w:sz w:val="32"/>
              </w:rPr>
            </w:pPr>
          </w:p>
        </w:tc>
        <w:tc>
          <w:tcPr>
            <w:tcW w:w="349" w:type="pct"/>
            <w:vMerge w:val="restart"/>
            <w:tcBorders>
              <w:top w:val="single" w:sz="4" w:space="0" w:color="auto"/>
              <w:left w:val="single" w:sz="4" w:space="0" w:color="auto"/>
              <w:bottom w:val="single" w:sz="4" w:space="0" w:color="auto"/>
              <w:right w:val="single" w:sz="4" w:space="0" w:color="auto"/>
            </w:tcBorders>
          </w:tcPr>
          <w:p w14:paraId="33A85A2F" w14:textId="77777777" w:rsidR="007B647D" w:rsidRPr="00A406E5" w:rsidRDefault="007B647D" w:rsidP="00367D31">
            <w:pPr>
              <w:jc w:val="center"/>
              <w:rPr>
                <w:rFonts w:ascii="Arial" w:hAnsi="Arial" w:cs="Arial"/>
                <w:sz w:val="32"/>
              </w:rPr>
            </w:pPr>
          </w:p>
        </w:tc>
      </w:tr>
      <w:tr w:rsidR="007B647D" w:rsidRPr="00A406E5" w14:paraId="615AED4E" w14:textId="77777777" w:rsidTr="00367D31">
        <w:trPr>
          <w:trHeight w:val="451"/>
        </w:trPr>
        <w:tc>
          <w:tcPr>
            <w:tcW w:w="4302" w:type="pct"/>
            <w:vMerge/>
            <w:tcBorders>
              <w:left w:val="single" w:sz="4" w:space="0" w:color="auto"/>
              <w:bottom w:val="single" w:sz="4" w:space="0" w:color="auto"/>
              <w:right w:val="single" w:sz="4" w:space="0" w:color="auto"/>
            </w:tcBorders>
          </w:tcPr>
          <w:p w14:paraId="608CD299" w14:textId="77777777" w:rsidR="007B647D" w:rsidRPr="00A406E5" w:rsidRDefault="007B647D" w:rsidP="00367D31">
            <w:pPr>
              <w:rPr>
                <w:rFonts w:ascii="Arial" w:hAnsi="Arial" w:cs="Arial"/>
                <w:b/>
                <w:sz w:val="16"/>
                <w:szCs w:val="16"/>
              </w:rPr>
            </w:pPr>
          </w:p>
        </w:tc>
        <w:tc>
          <w:tcPr>
            <w:tcW w:w="349" w:type="pct"/>
            <w:tcBorders>
              <w:left w:val="single" w:sz="4" w:space="0" w:color="auto"/>
              <w:bottom w:val="single" w:sz="4" w:space="0" w:color="auto"/>
              <w:right w:val="single" w:sz="4" w:space="0" w:color="auto"/>
            </w:tcBorders>
          </w:tcPr>
          <w:p w14:paraId="157822CF" w14:textId="77777777" w:rsidR="007B647D" w:rsidRPr="00A406E5" w:rsidRDefault="007B647D" w:rsidP="00367D31">
            <w:pPr>
              <w:jc w:val="center"/>
              <w:rPr>
                <w:rFonts w:ascii="Arial" w:hAnsi="Arial" w:cs="Arial"/>
                <w:sz w:val="32"/>
              </w:rPr>
            </w:pPr>
          </w:p>
        </w:tc>
        <w:tc>
          <w:tcPr>
            <w:tcW w:w="349" w:type="pct"/>
            <w:vMerge/>
            <w:tcBorders>
              <w:top w:val="single" w:sz="4" w:space="0" w:color="auto"/>
              <w:left w:val="single" w:sz="4" w:space="0" w:color="auto"/>
              <w:bottom w:val="single" w:sz="4" w:space="0" w:color="auto"/>
              <w:right w:val="single" w:sz="4" w:space="0" w:color="auto"/>
            </w:tcBorders>
          </w:tcPr>
          <w:p w14:paraId="3CDC0FE7" w14:textId="77777777" w:rsidR="007B647D" w:rsidRPr="00A406E5" w:rsidRDefault="007B647D" w:rsidP="00367D31">
            <w:pPr>
              <w:jc w:val="center"/>
              <w:rPr>
                <w:rFonts w:ascii="Arial" w:hAnsi="Arial" w:cs="Arial"/>
                <w:sz w:val="32"/>
              </w:rPr>
            </w:pPr>
          </w:p>
        </w:tc>
      </w:tr>
      <w:tr w:rsidR="007B647D" w:rsidRPr="00A406E5" w14:paraId="20A7EF30" w14:textId="77777777" w:rsidTr="00367D31">
        <w:trPr>
          <w:trHeight w:val="450"/>
        </w:trPr>
        <w:tc>
          <w:tcPr>
            <w:tcW w:w="4302" w:type="pct"/>
            <w:tcBorders>
              <w:top w:val="single" w:sz="4" w:space="0" w:color="auto"/>
              <w:left w:val="single" w:sz="4" w:space="0" w:color="auto"/>
              <w:right w:val="single" w:sz="4" w:space="0" w:color="auto"/>
            </w:tcBorders>
            <w:shd w:val="clear" w:color="auto" w:fill="D9D9D9"/>
          </w:tcPr>
          <w:p w14:paraId="784EA1C0" w14:textId="77777777" w:rsidR="007B647D" w:rsidRPr="00A406E5" w:rsidRDefault="007B647D" w:rsidP="00367D31">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7BA02979" w14:textId="77777777" w:rsidR="007B647D" w:rsidRPr="00A406E5" w:rsidRDefault="007B647D" w:rsidP="00367D31">
            <w:pPr>
              <w:spacing w:after="120"/>
              <w:rPr>
                <w:rFonts w:ascii="Arial" w:hAnsi="Arial" w:cs="Arial"/>
                <w:sz w:val="14"/>
                <w:szCs w:val="14"/>
              </w:rPr>
            </w:pPr>
          </w:p>
        </w:tc>
        <w:tc>
          <w:tcPr>
            <w:tcW w:w="349" w:type="pct"/>
            <w:tcBorders>
              <w:top w:val="single" w:sz="4" w:space="0" w:color="auto"/>
              <w:left w:val="single" w:sz="4" w:space="0" w:color="auto"/>
              <w:right w:val="single" w:sz="4" w:space="0" w:color="auto"/>
            </w:tcBorders>
            <w:shd w:val="clear" w:color="auto" w:fill="D9D9D9"/>
          </w:tcPr>
          <w:p w14:paraId="4A64085C" w14:textId="77777777" w:rsidR="007B647D" w:rsidRPr="00A406E5" w:rsidRDefault="007B647D" w:rsidP="00367D31">
            <w:pPr>
              <w:jc w:val="center"/>
              <w:rPr>
                <w:rFonts w:ascii="Arial" w:hAnsi="Arial" w:cs="Arial"/>
                <w:sz w:val="32"/>
              </w:rPr>
            </w:pPr>
            <w:r>
              <w:rPr>
                <w:rFonts w:ascii="Arial" w:hAnsi="Arial" w:cs="Arial"/>
                <w:sz w:val="32"/>
              </w:rPr>
              <w:t>20</w:t>
            </w:r>
          </w:p>
        </w:tc>
        <w:tc>
          <w:tcPr>
            <w:tcW w:w="349" w:type="pct"/>
            <w:tcBorders>
              <w:top w:val="single" w:sz="4" w:space="0" w:color="auto"/>
              <w:left w:val="single" w:sz="4" w:space="0" w:color="auto"/>
              <w:bottom w:val="single" w:sz="4" w:space="0" w:color="auto"/>
              <w:right w:val="single" w:sz="4" w:space="0" w:color="auto"/>
            </w:tcBorders>
            <w:shd w:val="clear" w:color="auto" w:fill="D9D9D9"/>
          </w:tcPr>
          <w:p w14:paraId="7AA17F92" w14:textId="77777777" w:rsidR="007B647D" w:rsidRPr="00A406E5" w:rsidRDefault="007B647D" w:rsidP="00367D31">
            <w:pPr>
              <w:jc w:val="center"/>
              <w:rPr>
                <w:rFonts w:ascii="Arial" w:hAnsi="Arial" w:cs="Arial"/>
                <w:sz w:val="32"/>
              </w:rPr>
            </w:pPr>
          </w:p>
        </w:tc>
      </w:tr>
      <w:tr w:rsidR="007B647D" w:rsidRPr="00A406E5" w14:paraId="625070E6" w14:textId="77777777" w:rsidTr="00367D31">
        <w:trPr>
          <w:trHeight w:val="450"/>
        </w:trPr>
        <w:tc>
          <w:tcPr>
            <w:tcW w:w="4302" w:type="pct"/>
            <w:vMerge w:val="restart"/>
            <w:tcBorders>
              <w:top w:val="single" w:sz="4" w:space="0" w:color="auto"/>
              <w:left w:val="single" w:sz="4" w:space="0" w:color="auto"/>
              <w:right w:val="single" w:sz="4" w:space="0" w:color="auto"/>
            </w:tcBorders>
          </w:tcPr>
          <w:p w14:paraId="658FD4AF" w14:textId="77777777" w:rsidR="007B647D" w:rsidRPr="00A406E5" w:rsidRDefault="007B647D" w:rsidP="00367D31">
            <w:pPr>
              <w:spacing w:after="120"/>
              <w:rPr>
                <w:rFonts w:ascii="Arial" w:hAnsi="Arial" w:cs="Arial"/>
                <w:sz w:val="14"/>
                <w:szCs w:val="14"/>
              </w:rPr>
            </w:pPr>
          </w:p>
          <w:p w14:paraId="59DF2C04" w14:textId="77777777" w:rsidR="007B647D" w:rsidRPr="00A406E5" w:rsidRDefault="007B647D" w:rsidP="00367D31">
            <w:pPr>
              <w:spacing w:after="120"/>
              <w:rPr>
                <w:rFonts w:ascii="Arial" w:hAnsi="Arial" w:cs="Arial"/>
                <w:sz w:val="14"/>
                <w:szCs w:val="14"/>
              </w:rPr>
            </w:pPr>
          </w:p>
          <w:p w14:paraId="61A88B9D" w14:textId="77777777" w:rsidR="007B647D" w:rsidRPr="00A406E5" w:rsidRDefault="007B647D" w:rsidP="00367D31">
            <w:pPr>
              <w:spacing w:after="120"/>
              <w:rPr>
                <w:rFonts w:ascii="Arial" w:hAnsi="Arial" w:cs="Arial"/>
                <w:sz w:val="14"/>
                <w:szCs w:val="14"/>
              </w:rPr>
            </w:pPr>
          </w:p>
          <w:p w14:paraId="1A00F109" w14:textId="77777777" w:rsidR="007B647D" w:rsidRPr="00A406E5" w:rsidRDefault="007B647D" w:rsidP="00367D31">
            <w:pPr>
              <w:spacing w:after="120"/>
              <w:rPr>
                <w:rFonts w:ascii="Arial" w:hAnsi="Arial" w:cs="Arial"/>
                <w:sz w:val="14"/>
                <w:szCs w:val="14"/>
              </w:rPr>
            </w:pPr>
          </w:p>
          <w:p w14:paraId="312BA86F" w14:textId="77777777" w:rsidR="007B647D" w:rsidRPr="00A406E5" w:rsidRDefault="007B647D" w:rsidP="00367D31">
            <w:pPr>
              <w:spacing w:after="120"/>
              <w:rPr>
                <w:rFonts w:ascii="Arial" w:hAnsi="Arial" w:cs="Arial"/>
                <w:sz w:val="14"/>
                <w:szCs w:val="14"/>
              </w:rPr>
            </w:pPr>
          </w:p>
          <w:p w14:paraId="72E96CB5" w14:textId="77777777" w:rsidR="007B647D" w:rsidRPr="00A406E5" w:rsidRDefault="007B647D" w:rsidP="00367D31">
            <w:pPr>
              <w:spacing w:after="120"/>
              <w:rPr>
                <w:rFonts w:ascii="Arial" w:hAnsi="Arial" w:cs="Arial"/>
                <w:sz w:val="14"/>
                <w:szCs w:val="14"/>
              </w:rPr>
            </w:pPr>
          </w:p>
        </w:tc>
        <w:tc>
          <w:tcPr>
            <w:tcW w:w="349" w:type="pct"/>
            <w:tcBorders>
              <w:top w:val="single" w:sz="4" w:space="0" w:color="auto"/>
              <w:left w:val="single" w:sz="4" w:space="0" w:color="auto"/>
              <w:right w:val="single" w:sz="4" w:space="0" w:color="auto"/>
            </w:tcBorders>
          </w:tcPr>
          <w:p w14:paraId="7FFC5968" w14:textId="77777777" w:rsidR="007B647D" w:rsidRPr="00A406E5" w:rsidRDefault="007B647D" w:rsidP="00367D31">
            <w:pPr>
              <w:jc w:val="center"/>
              <w:rPr>
                <w:rFonts w:ascii="Arial" w:hAnsi="Arial" w:cs="Arial"/>
                <w:sz w:val="32"/>
              </w:rPr>
            </w:pPr>
          </w:p>
        </w:tc>
        <w:tc>
          <w:tcPr>
            <w:tcW w:w="349" w:type="pct"/>
            <w:vMerge w:val="restart"/>
            <w:tcBorders>
              <w:top w:val="single" w:sz="4" w:space="0" w:color="auto"/>
              <w:left w:val="single" w:sz="4" w:space="0" w:color="auto"/>
              <w:bottom w:val="single" w:sz="4" w:space="0" w:color="auto"/>
              <w:right w:val="single" w:sz="4" w:space="0" w:color="auto"/>
            </w:tcBorders>
          </w:tcPr>
          <w:p w14:paraId="0EFEDC27" w14:textId="77777777" w:rsidR="007B647D" w:rsidRPr="00A406E5" w:rsidRDefault="007B647D" w:rsidP="00367D31">
            <w:pPr>
              <w:jc w:val="center"/>
              <w:rPr>
                <w:rFonts w:ascii="Arial" w:hAnsi="Arial" w:cs="Arial"/>
                <w:sz w:val="32"/>
              </w:rPr>
            </w:pPr>
          </w:p>
        </w:tc>
      </w:tr>
      <w:tr w:rsidR="007B647D" w:rsidRPr="00A406E5" w14:paraId="2EBDA832" w14:textId="77777777" w:rsidTr="00367D31">
        <w:trPr>
          <w:trHeight w:val="451"/>
        </w:trPr>
        <w:tc>
          <w:tcPr>
            <w:tcW w:w="4302" w:type="pct"/>
            <w:vMerge/>
            <w:tcBorders>
              <w:left w:val="single" w:sz="4" w:space="0" w:color="auto"/>
              <w:bottom w:val="single" w:sz="4" w:space="0" w:color="auto"/>
              <w:right w:val="single" w:sz="4" w:space="0" w:color="auto"/>
            </w:tcBorders>
          </w:tcPr>
          <w:p w14:paraId="43081241" w14:textId="77777777" w:rsidR="007B647D" w:rsidRPr="00A406E5" w:rsidRDefault="007B647D" w:rsidP="00367D31">
            <w:pPr>
              <w:rPr>
                <w:rFonts w:ascii="Arial" w:hAnsi="Arial" w:cs="Arial"/>
                <w:b/>
                <w:sz w:val="16"/>
                <w:szCs w:val="16"/>
              </w:rPr>
            </w:pPr>
          </w:p>
        </w:tc>
        <w:tc>
          <w:tcPr>
            <w:tcW w:w="349" w:type="pct"/>
            <w:tcBorders>
              <w:left w:val="single" w:sz="4" w:space="0" w:color="auto"/>
              <w:bottom w:val="single" w:sz="4" w:space="0" w:color="auto"/>
              <w:right w:val="single" w:sz="4" w:space="0" w:color="auto"/>
            </w:tcBorders>
          </w:tcPr>
          <w:p w14:paraId="27B11444" w14:textId="77777777" w:rsidR="007B647D" w:rsidRPr="00A406E5" w:rsidRDefault="007B647D" w:rsidP="00367D31">
            <w:pPr>
              <w:jc w:val="center"/>
              <w:rPr>
                <w:rFonts w:ascii="Arial" w:hAnsi="Arial" w:cs="Arial"/>
                <w:sz w:val="32"/>
              </w:rPr>
            </w:pPr>
          </w:p>
        </w:tc>
        <w:tc>
          <w:tcPr>
            <w:tcW w:w="349" w:type="pct"/>
            <w:vMerge/>
            <w:tcBorders>
              <w:top w:val="single" w:sz="4" w:space="0" w:color="auto"/>
              <w:left w:val="single" w:sz="4" w:space="0" w:color="auto"/>
              <w:bottom w:val="single" w:sz="4" w:space="0" w:color="auto"/>
              <w:right w:val="single" w:sz="4" w:space="0" w:color="auto"/>
            </w:tcBorders>
          </w:tcPr>
          <w:p w14:paraId="4F634793" w14:textId="77777777" w:rsidR="007B647D" w:rsidRPr="00A406E5" w:rsidRDefault="007B647D" w:rsidP="00367D31">
            <w:pPr>
              <w:jc w:val="center"/>
              <w:rPr>
                <w:rFonts w:ascii="Arial" w:hAnsi="Arial" w:cs="Arial"/>
                <w:sz w:val="32"/>
              </w:rPr>
            </w:pPr>
          </w:p>
        </w:tc>
      </w:tr>
      <w:tr w:rsidR="007B647D" w:rsidRPr="00A406E5" w14:paraId="7803D574" w14:textId="77777777" w:rsidTr="00367D31">
        <w:trPr>
          <w:trHeight w:val="450"/>
        </w:trPr>
        <w:tc>
          <w:tcPr>
            <w:tcW w:w="4302" w:type="pct"/>
            <w:tcBorders>
              <w:top w:val="single" w:sz="4" w:space="0" w:color="auto"/>
              <w:left w:val="single" w:sz="4" w:space="0" w:color="auto"/>
              <w:right w:val="single" w:sz="4" w:space="0" w:color="auto"/>
            </w:tcBorders>
            <w:shd w:val="clear" w:color="auto" w:fill="D9D9D9"/>
          </w:tcPr>
          <w:p w14:paraId="3CEA5F2E" w14:textId="77777777" w:rsidR="007B647D" w:rsidRPr="00A406E5" w:rsidRDefault="007B647D" w:rsidP="00367D31">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06523976" w14:textId="77777777" w:rsidR="007B647D" w:rsidRPr="00A406E5" w:rsidRDefault="007B647D" w:rsidP="00367D31">
            <w:pPr>
              <w:spacing w:after="120"/>
              <w:rPr>
                <w:rFonts w:ascii="Arial" w:hAnsi="Arial" w:cs="Arial"/>
                <w:sz w:val="14"/>
                <w:szCs w:val="14"/>
              </w:rPr>
            </w:pPr>
          </w:p>
        </w:tc>
        <w:tc>
          <w:tcPr>
            <w:tcW w:w="349" w:type="pct"/>
            <w:tcBorders>
              <w:top w:val="single" w:sz="4" w:space="0" w:color="auto"/>
              <w:left w:val="single" w:sz="4" w:space="0" w:color="auto"/>
              <w:right w:val="single" w:sz="4" w:space="0" w:color="auto"/>
            </w:tcBorders>
            <w:shd w:val="clear" w:color="auto" w:fill="D9D9D9"/>
          </w:tcPr>
          <w:p w14:paraId="1B731DDD" w14:textId="77777777" w:rsidR="007B647D" w:rsidRPr="00A406E5" w:rsidRDefault="007B647D" w:rsidP="00367D31">
            <w:pPr>
              <w:jc w:val="center"/>
              <w:rPr>
                <w:rFonts w:ascii="Arial" w:hAnsi="Arial" w:cs="Arial"/>
                <w:sz w:val="32"/>
              </w:rPr>
            </w:pPr>
            <w:r>
              <w:rPr>
                <w:rFonts w:ascii="Arial" w:hAnsi="Arial" w:cs="Arial"/>
                <w:sz w:val="32"/>
              </w:rPr>
              <w:t>20</w:t>
            </w:r>
          </w:p>
        </w:tc>
        <w:tc>
          <w:tcPr>
            <w:tcW w:w="349" w:type="pct"/>
            <w:tcBorders>
              <w:top w:val="single" w:sz="4" w:space="0" w:color="auto"/>
              <w:left w:val="single" w:sz="4" w:space="0" w:color="auto"/>
              <w:bottom w:val="single" w:sz="4" w:space="0" w:color="auto"/>
              <w:right w:val="single" w:sz="4" w:space="0" w:color="auto"/>
            </w:tcBorders>
            <w:shd w:val="clear" w:color="auto" w:fill="D9D9D9"/>
          </w:tcPr>
          <w:p w14:paraId="2A4D7164" w14:textId="77777777" w:rsidR="007B647D" w:rsidRPr="00A406E5" w:rsidRDefault="007B647D" w:rsidP="00367D31">
            <w:pPr>
              <w:jc w:val="center"/>
              <w:rPr>
                <w:rFonts w:ascii="Arial" w:hAnsi="Arial" w:cs="Arial"/>
                <w:sz w:val="32"/>
              </w:rPr>
            </w:pPr>
          </w:p>
        </w:tc>
      </w:tr>
      <w:tr w:rsidR="007B647D" w:rsidRPr="00A406E5" w14:paraId="06BBD069" w14:textId="77777777" w:rsidTr="00367D31">
        <w:trPr>
          <w:trHeight w:val="451"/>
        </w:trPr>
        <w:tc>
          <w:tcPr>
            <w:tcW w:w="4302" w:type="pct"/>
            <w:vMerge w:val="restart"/>
            <w:tcBorders>
              <w:top w:val="single" w:sz="4" w:space="0" w:color="auto"/>
              <w:left w:val="single" w:sz="4" w:space="0" w:color="auto"/>
              <w:right w:val="single" w:sz="4" w:space="0" w:color="auto"/>
            </w:tcBorders>
          </w:tcPr>
          <w:p w14:paraId="4620B1F6" w14:textId="77777777" w:rsidR="007B647D" w:rsidRPr="00A406E5" w:rsidRDefault="007B647D" w:rsidP="00367D31">
            <w:pPr>
              <w:spacing w:after="120"/>
              <w:rPr>
                <w:rFonts w:ascii="Arial" w:hAnsi="Arial" w:cs="Arial"/>
                <w:sz w:val="14"/>
                <w:szCs w:val="14"/>
              </w:rPr>
            </w:pPr>
          </w:p>
          <w:p w14:paraId="6F57F6B7" w14:textId="77777777" w:rsidR="007B647D" w:rsidRPr="00A406E5" w:rsidRDefault="007B647D" w:rsidP="00367D31">
            <w:pPr>
              <w:spacing w:after="120"/>
              <w:rPr>
                <w:rFonts w:ascii="Arial" w:hAnsi="Arial" w:cs="Arial"/>
                <w:sz w:val="14"/>
                <w:szCs w:val="14"/>
              </w:rPr>
            </w:pPr>
          </w:p>
          <w:p w14:paraId="1CA0CE35" w14:textId="77777777" w:rsidR="007B647D" w:rsidRPr="00A406E5" w:rsidRDefault="007B647D" w:rsidP="00367D31">
            <w:pPr>
              <w:spacing w:after="120"/>
              <w:rPr>
                <w:rFonts w:ascii="Arial" w:hAnsi="Arial" w:cs="Arial"/>
                <w:sz w:val="14"/>
                <w:szCs w:val="14"/>
              </w:rPr>
            </w:pPr>
          </w:p>
          <w:p w14:paraId="60138751" w14:textId="77777777" w:rsidR="007B647D" w:rsidRPr="00A406E5" w:rsidRDefault="007B647D" w:rsidP="00367D31">
            <w:pPr>
              <w:spacing w:after="120"/>
              <w:rPr>
                <w:rFonts w:ascii="Arial" w:hAnsi="Arial" w:cs="Arial"/>
                <w:sz w:val="14"/>
                <w:szCs w:val="14"/>
              </w:rPr>
            </w:pPr>
          </w:p>
          <w:p w14:paraId="683B13E0" w14:textId="77777777" w:rsidR="007B647D" w:rsidRPr="00A406E5" w:rsidRDefault="007B647D" w:rsidP="00367D31">
            <w:pPr>
              <w:spacing w:after="120"/>
              <w:rPr>
                <w:rFonts w:ascii="Arial" w:hAnsi="Arial" w:cs="Arial"/>
                <w:sz w:val="14"/>
                <w:szCs w:val="14"/>
              </w:rPr>
            </w:pPr>
          </w:p>
          <w:p w14:paraId="3D767654" w14:textId="77777777" w:rsidR="007B647D" w:rsidRPr="00A406E5" w:rsidRDefault="007B647D" w:rsidP="00367D31">
            <w:pPr>
              <w:spacing w:after="120"/>
              <w:rPr>
                <w:rFonts w:ascii="Arial" w:hAnsi="Arial" w:cs="Arial"/>
                <w:sz w:val="14"/>
                <w:szCs w:val="14"/>
              </w:rPr>
            </w:pPr>
          </w:p>
        </w:tc>
        <w:tc>
          <w:tcPr>
            <w:tcW w:w="349" w:type="pct"/>
            <w:tcBorders>
              <w:top w:val="single" w:sz="4" w:space="0" w:color="auto"/>
              <w:left w:val="single" w:sz="4" w:space="0" w:color="auto"/>
              <w:right w:val="single" w:sz="4" w:space="0" w:color="auto"/>
            </w:tcBorders>
          </w:tcPr>
          <w:p w14:paraId="04A65B52" w14:textId="77777777" w:rsidR="007B647D" w:rsidRPr="00A406E5" w:rsidRDefault="007B647D" w:rsidP="00367D31">
            <w:pPr>
              <w:jc w:val="center"/>
              <w:rPr>
                <w:rFonts w:ascii="Arial" w:hAnsi="Arial" w:cs="Arial"/>
                <w:sz w:val="32"/>
              </w:rPr>
            </w:pPr>
          </w:p>
        </w:tc>
        <w:tc>
          <w:tcPr>
            <w:tcW w:w="349" w:type="pct"/>
            <w:vMerge w:val="restart"/>
            <w:tcBorders>
              <w:top w:val="single" w:sz="4" w:space="0" w:color="auto"/>
              <w:left w:val="single" w:sz="4" w:space="0" w:color="auto"/>
              <w:bottom w:val="single" w:sz="4" w:space="0" w:color="auto"/>
              <w:right w:val="single" w:sz="4" w:space="0" w:color="auto"/>
            </w:tcBorders>
          </w:tcPr>
          <w:p w14:paraId="7D0A145B" w14:textId="77777777" w:rsidR="007B647D" w:rsidRPr="00A406E5" w:rsidRDefault="007B647D" w:rsidP="00367D31">
            <w:pPr>
              <w:jc w:val="center"/>
              <w:rPr>
                <w:rFonts w:ascii="Arial" w:hAnsi="Arial" w:cs="Arial"/>
                <w:sz w:val="32"/>
              </w:rPr>
            </w:pPr>
          </w:p>
        </w:tc>
      </w:tr>
      <w:tr w:rsidR="007B647D" w:rsidRPr="00A406E5" w14:paraId="2CA5DA00" w14:textId="77777777" w:rsidTr="00367D31">
        <w:trPr>
          <w:trHeight w:val="450"/>
        </w:trPr>
        <w:tc>
          <w:tcPr>
            <w:tcW w:w="4302" w:type="pct"/>
            <w:vMerge/>
            <w:tcBorders>
              <w:left w:val="single" w:sz="4" w:space="0" w:color="auto"/>
              <w:bottom w:val="single" w:sz="4" w:space="0" w:color="auto"/>
              <w:right w:val="single" w:sz="4" w:space="0" w:color="auto"/>
            </w:tcBorders>
          </w:tcPr>
          <w:p w14:paraId="6E370E9A" w14:textId="77777777" w:rsidR="007B647D" w:rsidRPr="00A406E5" w:rsidRDefault="007B647D" w:rsidP="00367D31">
            <w:pPr>
              <w:rPr>
                <w:rFonts w:ascii="Arial" w:hAnsi="Arial" w:cs="Arial"/>
                <w:b/>
                <w:sz w:val="16"/>
                <w:szCs w:val="16"/>
              </w:rPr>
            </w:pPr>
          </w:p>
        </w:tc>
        <w:tc>
          <w:tcPr>
            <w:tcW w:w="349" w:type="pct"/>
            <w:tcBorders>
              <w:left w:val="single" w:sz="4" w:space="0" w:color="auto"/>
              <w:bottom w:val="single" w:sz="4" w:space="0" w:color="auto"/>
              <w:right w:val="single" w:sz="4" w:space="0" w:color="auto"/>
            </w:tcBorders>
          </w:tcPr>
          <w:p w14:paraId="51382E91" w14:textId="77777777" w:rsidR="007B647D" w:rsidRPr="00A406E5" w:rsidRDefault="007B647D" w:rsidP="00367D31">
            <w:pPr>
              <w:jc w:val="center"/>
              <w:rPr>
                <w:rFonts w:ascii="Arial" w:hAnsi="Arial" w:cs="Arial"/>
                <w:sz w:val="32"/>
              </w:rPr>
            </w:pPr>
          </w:p>
        </w:tc>
        <w:tc>
          <w:tcPr>
            <w:tcW w:w="349" w:type="pct"/>
            <w:vMerge/>
            <w:tcBorders>
              <w:top w:val="single" w:sz="4" w:space="0" w:color="auto"/>
              <w:left w:val="single" w:sz="4" w:space="0" w:color="auto"/>
              <w:bottom w:val="single" w:sz="4" w:space="0" w:color="auto"/>
              <w:right w:val="single" w:sz="4" w:space="0" w:color="auto"/>
            </w:tcBorders>
          </w:tcPr>
          <w:p w14:paraId="735F5DFE" w14:textId="77777777" w:rsidR="007B647D" w:rsidRPr="00A406E5" w:rsidRDefault="007B647D" w:rsidP="00367D31">
            <w:pPr>
              <w:jc w:val="center"/>
              <w:rPr>
                <w:rFonts w:ascii="Arial" w:hAnsi="Arial" w:cs="Arial"/>
                <w:sz w:val="32"/>
              </w:rPr>
            </w:pPr>
          </w:p>
        </w:tc>
      </w:tr>
      <w:tr w:rsidR="007B647D" w:rsidRPr="00A406E5" w14:paraId="2E2519B0" w14:textId="77777777" w:rsidTr="00367D31">
        <w:trPr>
          <w:trHeight w:val="450"/>
        </w:trPr>
        <w:tc>
          <w:tcPr>
            <w:tcW w:w="4302" w:type="pct"/>
            <w:tcBorders>
              <w:top w:val="single" w:sz="4" w:space="0" w:color="auto"/>
              <w:left w:val="single" w:sz="4" w:space="0" w:color="auto"/>
              <w:right w:val="single" w:sz="4" w:space="0" w:color="auto"/>
            </w:tcBorders>
            <w:shd w:val="clear" w:color="auto" w:fill="D9D9D9"/>
          </w:tcPr>
          <w:p w14:paraId="71A90E3C" w14:textId="77777777" w:rsidR="007B647D" w:rsidRPr="00A406E5" w:rsidRDefault="007B647D" w:rsidP="00367D31">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7D9404A3" w14:textId="77777777" w:rsidR="007B647D" w:rsidRPr="00A406E5" w:rsidRDefault="007B647D" w:rsidP="00367D31">
            <w:pPr>
              <w:spacing w:after="120"/>
              <w:rPr>
                <w:rFonts w:ascii="Arial" w:hAnsi="Arial" w:cs="Arial"/>
                <w:sz w:val="14"/>
                <w:szCs w:val="14"/>
              </w:rPr>
            </w:pPr>
          </w:p>
        </w:tc>
        <w:tc>
          <w:tcPr>
            <w:tcW w:w="349" w:type="pct"/>
            <w:tcBorders>
              <w:top w:val="single" w:sz="4" w:space="0" w:color="auto"/>
              <w:left w:val="single" w:sz="4" w:space="0" w:color="auto"/>
              <w:right w:val="single" w:sz="4" w:space="0" w:color="auto"/>
            </w:tcBorders>
            <w:shd w:val="clear" w:color="auto" w:fill="D9D9D9"/>
          </w:tcPr>
          <w:p w14:paraId="3282D056" w14:textId="77777777" w:rsidR="007B647D" w:rsidRPr="00A406E5" w:rsidRDefault="007B647D" w:rsidP="00367D31">
            <w:pPr>
              <w:jc w:val="center"/>
              <w:rPr>
                <w:rFonts w:ascii="Arial" w:hAnsi="Arial" w:cs="Arial"/>
                <w:sz w:val="32"/>
              </w:rPr>
            </w:pPr>
            <w:r>
              <w:rPr>
                <w:rFonts w:ascii="Arial" w:hAnsi="Arial" w:cs="Arial"/>
                <w:sz w:val="32"/>
              </w:rPr>
              <w:t>20</w:t>
            </w:r>
          </w:p>
        </w:tc>
        <w:tc>
          <w:tcPr>
            <w:tcW w:w="349" w:type="pct"/>
            <w:tcBorders>
              <w:top w:val="single" w:sz="4" w:space="0" w:color="auto"/>
              <w:left w:val="single" w:sz="4" w:space="0" w:color="auto"/>
              <w:bottom w:val="single" w:sz="4" w:space="0" w:color="auto"/>
              <w:right w:val="single" w:sz="4" w:space="0" w:color="auto"/>
            </w:tcBorders>
            <w:shd w:val="clear" w:color="auto" w:fill="D9D9D9"/>
          </w:tcPr>
          <w:p w14:paraId="5F7F351A" w14:textId="77777777" w:rsidR="007B647D" w:rsidRPr="00A406E5" w:rsidRDefault="007B647D" w:rsidP="00367D31">
            <w:pPr>
              <w:jc w:val="center"/>
              <w:rPr>
                <w:rFonts w:ascii="Arial" w:hAnsi="Arial" w:cs="Arial"/>
                <w:sz w:val="32"/>
              </w:rPr>
            </w:pPr>
          </w:p>
        </w:tc>
      </w:tr>
      <w:tr w:rsidR="007B647D" w:rsidRPr="00A406E5" w14:paraId="49549732" w14:textId="77777777" w:rsidTr="00367D31">
        <w:trPr>
          <w:trHeight w:val="451"/>
        </w:trPr>
        <w:tc>
          <w:tcPr>
            <w:tcW w:w="4302" w:type="pct"/>
            <w:vMerge w:val="restart"/>
            <w:tcBorders>
              <w:top w:val="single" w:sz="4" w:space="0" w:color="auto"/>
              <w:left w:val="single" w:sz="4" w:space="0" w:color="auto"/>
              <w:right w:val="single" w:sz="4" w:space="0" w:color="auto"/>
            </w:tcBorders>
          </w:tcPr>
          <w:p w14:paraId="60573659" w14:textId="77777777" w:rsidR="007B647D" w:rsidRPr="00A406E5" w:rsidRDefault="007B647D" w:rsidP="00367D31">
            <w:pPr>
              <w:spacing w:after="120"/>
              <w:rPr>
                <w:rFonts w:ascii="Arial" w:hAnsi="Arial" w:cs="Arial"/>
                <w:sz w:val="14"/>
                <w:szCs w:val="14"/>
              </w:rPr>
            </w:pPr>
          </w:p>
          <w:p w14:paraId="0CCCE421" w14:textId="77777777" w:rsidR="007B647D" w:rsidRPr="00A406E5" w:rsidRDefault="007B647D" w:rsidP="00367D31">
            <w:pPr>
              <w:spacing w:after="120"/>
              <w:rPr>
                <w:rFonts w:ascii="Arial" w:hAnsi="Arial" w:cs="Arial"/>
                <w:sz w:val="14"/>
                <w:szCs w:val="14"/>
              </w:rPr>
            </w:pPr>
          </w:p>
          <w:p w14:paraId="2B5879C4" w14:textId="77777777" w:rsidR="007B647D" w:rsidRPr="00A406E5" w:rsidRDefault="007B647D" w:rsidP="00367D31">
            <w:pPr>
              <w:spacing w:after="120"/>
              <w:rPr>
                <w:rFonts w:ascii="Arial" w:hAnsi="Arial" w:cs="Arial"/>
                <w:sz w:val="14"/>
                <w:szCs w:val="14"/>
              </w:rPr>
            </w:pPr>
          </w:p>
          <w:p w14:paraId="7C441B62" w14:textId="77777777" w:rsidR="007B647D" w:rsidRPr="00A406E5" w:rsidRDefault="007B647D" w:rsidP="00367D31">
            <w:pPr>
              <w:spacing w:after="120"/>
              <w:rPr>
                <w:rFonts w:ascii="Arial" w:hAnsi="Arial" w:cs="Arial"/>
                <w:sz w:val="14"/>
                <w:szCs w:val="14"/>
              </w:rPr>
            </w:pPr>
          </w:p>
        </w:tc>
        <w:tc>
          <w:tcPr>
            <w:tcW w:w="349" w:type="pct"/>
            <w:tcBorders>
              <w:top w:val="single" w:sz="4" w:space="0" w:color="auto"/>
              <w:left w:val="single" w:sz="4" w:space="0" w:color="auto"/>
              <w:right w:val="single" w:sz="4" w:space="0" w:color="auto"/>
            </w:tcBorders>
          </w:tcPr>
          <w:p w14:paraId="5BDB6DDE" w14:textId="77777777" w:rsidR="007B647D" w:rsidRPr="00A406E5" w:rsidRDefault="007B647D" w:rsidP="00367D31">
            <w:pPr>
              <w:jc w:val="center"/>
              <w:rPr>
                <w:rFonts w:ascii="Arial" w:hAnsi="Arial" w:cs="Arial"/>
                <w:sz w:val="32"/>
              </w:rPr>
            </w:pPr>
          </w:p>
        </w:tc>
        <w:tc>
          <w:tcPr>
            <w:tcW w:w="349" w:type="pct"/>
            <w:vMerge w:val="restart"/>
            <w:tcBorders>
              <w:top w:val="single" w:sz="4" w:space="0" w:color="auto"/>
              <w:left w:val="single" w:sz="4" w:space="0" w:color="auto"/>
              <w:bottom w:val="single" w:sz="4" w:space="0" w:color="auto"/>
              <w:right w:val="single" w:sz="4" w:space="0" w:color="auto"/>
            </w:tcBorders>
          </w:tcPr>
          <w:p w14:paraId="0C12D3D0" w14:textId="77777777" w:rsidR="007B647D" w:rsidRPr="00A406E5" w:rsidRDefault="007B647D" w:rsidP="00367D31">
            <w:pPr>
              <w:jc w:val="center"/>
              <w:rPr>
                <w:rFonts w:ascii="Arial" w:hAnsi="Arial" w:cs="Arial"/>
                <w:sz w:val="32"/>
              </w:rPr>
            </w:pPr>
          </w:p>
        </w:tc>
      </w:tr>
      <w:tr w:rsidR="007B647D" w:rsidRPr="00A406E5" w14:paraId="24646A5D" w14:textId="77777777" w:rsidTr="00367D31">
        <w:trPr>
          <w:trHeight w:val="450"/>
        </w:trPr>
        <w:tc>
          <w:tcPr>
            <w:tcW w:w="4302" w:type="pct"/>
            <w:vMerge/>
            <w:tcBorders>
              <w:left w:val="single" w:sz="4" w:space="0" w:color="auto"/>
              <w:bottom w:val="single" w:sz="4" w:space="0" w:color="auto"/>
              <w:right w:val="single" w:sz="4" w:space="0" w:color="auto"/>
            </w:tcBorders>
          </w:tcPr>
          <w:p w14:paraId="4D3941B0" w14:textId="77777777" w:rsidR="007B647D" w:rsidRPr="00A406E5" w:rsidRDefault="007B647D" w:rsidP="00367D31">
            <w:pPr>
              <w:rPr>
                <w:rFonts w:ascii="Arial" w:hAnsi="Arial" w:cs="Arial"/>
                <w:b/>
                <w:sz w:val="16"/>
                <w:szCs w:val="16"/>
              </w:rPr>
            </w:pPr>
          </w:p>
        </w:tc>
        <w:tc>
          <w:tcPr>
            <w:tcW w:w="349" w:type="pct"/>
            <w:tcBorders>
              <w:left w:val="single" w:sz="4" w:space="0" w:color="auto"/>
              <w:bottom w:val="single" w:sz="4" w:space="0" w:color="auto"/>
              <w:right w:val="single" w:sz="4" w:space="0" w:color="auto"/>
            </w:tcBorders>
          </w:tcPr>
          <w:p w14:paraId="2899E5B0" w14:textId="77777777" w:rsidR="007B647D" w:rsidRPr="00A406E5" w:rsidRDefault="007B647D" w:rsidP="00367D31">
            <w:pPr>
              <w:jc w:val="center"/>
              <w:rPr>
                <w:rFonts w:ascii="Arial" w:hAnsi="Arial" w:cs="Arial"/>
                <w:sz w:val="32"/>
              </w:rPr>
            </w:pPr>
          </w:p>
        </w:tc>
        <w:tc>
          <w:tcPr>
            <w:tcW w:w="349" w:type="pct"/>
            <w:vMerge/>
            <w:tcBorders>
              <w:top w:val="single" w:sz="4" w:space="0" w:color="auto"/>
              <w:left w:val="single" w:sz="4" w:space="0" w:color="auto"/>
              <w:bottom w:val="single" w:sz="4" w:space="0" w:color="auto"/>
              <w:right w:val="single" w:sz="4" w:space="0" w:color="auto"/>
            </w:tcBorders>
          </w:tcPr>
          <w:p w14:paraId="330D683B" w14:textId="77777777" w:rsidR="007B647D" w:rsidRPr="00A406E5" w:rsidRDefault="007B647D" w:rsidP="00367D31">
            <w:pPr>
              <w:jc w:val="center"/>
              <w:rPr>
                <w:rFonts w:ascii="Arial" w:hAnsi="Arial" w:cs="Arial"/>
                <w:sz w:val="32"/>
              </w:rPr>
            </w:pPr>
          </w:p>
        </w:tc>
      </w:tr>
    </w:tbl>
    <w:p w14:paraId="3B513DD7" w14:textId="77777777" w:rsidR="007B647D" w:rsidRPr="00A406E5" w:rsidRDefault="007B647D" w:rsidP="007B647D">
      <w:pPr>
        <w:ind w:left="284" w:right="531"/>
        <w:rPr>
          <w:rFonts w:ascii="Arial" w:hAnsi="Arial" w:cs="Arial"/>
          <w:b/>
          <w:sz w:val="16"/>
          <w:szCs w:val="16"/>
        </w:rPr>
      </w:pPr>
    </w:p>
    <w:tbl>
      <w:tblPr>
        <w:tblpPr w:leftFromText="180" w:rightFromText="180" w:vertAnchor="text" w:horzAnchor="margin" w:tblpXSpec="center" w:tblpY="82"/>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155"/>
        <w:gridCol w:w="850"/>
        <w:gridCol w:w="1418"/>
      </w:tblGrid>
      <w:tr w:rsidR="007B647D" w:rsidRPr="00A406E5" w14:paraId="4385A06D" w14:textId="77777777" w:rsidTr="00367D31">
        <w:trPr>
          <w:cantSplit/>
        </w:trPr>
        <w:tc>
          <w:tcPr>
            <w:tcW w:w="6062" w:type="dxa"/>
            <w:vMerge w:val="restart"/>
            <w:shd w:val="pct15" w:color="auto" w:fill="auto"/>
            <w:vAlign w:val="center"/>
          </w:tcPr>
          <w:p w14:paraId="36BE2298" w14:textId="77777777" w:rsidR="007B647D" w:rsidRPr="00A406E5" w:rsidRDefault="007B647D" w:rsidP="00367D31">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005" w:type="dxa"/>
            <w:gridSpan w:val="2"/>
            <w:tcBorders>
              <w:bottom w:val="single" w:sz="4" w:space="0" w:color="auto"/>
            </w:tcBorders>
            <w:shd w:val="pct15" w:color="auto" w:fill="auto"/>
            <w:vAlign w:val="bottom"/>
          </w:tcPr>
          <w:p w14:paraId="3741F19E" w14:textId="77777777" w:rsidR="007B647D" w:rsidRPr="00A406E5" w:rsidRDefault="007B647D" w:rsidP="00367D31">
            <w:pPr>
              <w:rPr>
                <w:rFonts w:ascii="Arial" w:hAnsi="Arial" w:cs="Arial"/>
                <w:b/>
                <w:bCs/>
                <w:sz w:val="16"/>
                <w:szCs w:val="16"/>
              </w:rPr>
            </w:pPr>
            <w:r w:rsidRPr="00A406E5">
              <w:rPr>
                <w:rFonts w:ascii="Arial" w:hAnsi="Arial" w:cs="Arial"/>
                <w:b/>
                <w:sz w:val="16"/>
                <w:szCs w:val="16"/>
              </w:rPr>
              <w:t>Late Submission Penalties (tick if appropriate)</w:t>
            </w:r>
          </w:p>
        </w:tc>
        <w:tc>
          <w:tcPr>
            <w:tcW w:w="1418" w:type="dxa"/>
            <w:vMerge w:val="restart"/>
            <w:vAlign w:val="center"/>
          </w:tcPr>
          <w:p w14:paraId="77DF106A" w14:textId="77777777" w:rsidR="007B647D" w:rsidRPr="00A406E5" w:rsidRDefault="007B647D" w:rsidP="00367D31">
            <w:pPr>
              <w:jc w:val="right"/>
              <w:rPr>
                <w:rFonts w:ascii="Arial" w:hAnsi="Arial" w:cs="Arial"/>
                <w:b/>
                <w:bCs/>
              </w:rPr>
            </w:pPr>
            <w:r w:rsidRPr="00A406E5">
              <w:rPr>
                <w:rFonts w:ascii="Arial" w:hAnsi="Arial" w:cs="Arial"/>
                <w:b/>
                <w:bCs/>
              </w:rPr>
              <w:t>%</w:t>
            </w:r>
          </w:p>
        </w:tc>
      </w:tr>
      <w:tr w:rsidR="007B647D" w:rsidRPr="00A406E5" w14:paraId="1EC9F57A" w14:textId="77777777" w:rsidTr="00367D31">
        <w:trPr>
          <w:cantSplit/>
        </w:trPr>
        <w:tc>
          <w:tcPr>
            <w:tcW w:w="6062" w:type="dxa"/>
            <w:vMerge/>
            <w:vAlign w:val="bottom"/>
          </w:tcPr>
          <w:p w14:paraId="7868616B" w14:textId="77777777" w:rsidR="007B647D" w:rsidRPr="00A406E5" w:rsidRDefault="007B647D" w:rsidP="00367D31">
            <w:pPr>
              <w:rPr>
                <w:rFonts w:ascii="Arial" w:hAnsi="Arial" w:cs="Arial"/>
              </w:rPr>
            </w:pPr>
          </w:p>
        </w:tc>
        <w:tc>
          <w:tcPr>
            <w:tcW w:w="2155" w:type="dxa"/>
            <w:vAlign w:val="bottom"/>
          </w:tcPr>
          <w:p w14:paraId="576E2E52" w14:textId="77777777" w:rsidR="007B647D" w:rsidRPr="00A406E5" w:rsidRDefault="007B647D" w:rsidP="00367D31">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850" w:type="dxa"/>
            <w:vAlign w:val="bottom"/>
          </w:tcPr>
          <w:p w14:paraId="38F3E1B9" w14:textId="77777777" w:rsidR="007B647D" w:rsidRPr="00A406E5" w:rsidRDefault="007B647D" w:rsidP="00367D31">
            <w:pPr>
              <w:jc w:val="center"/>
              <w:rPr>
                <w:rFonts w:ascii="Arial" w:hAnsi="Arial" w:cs="Arial"/>
                <w:sz w:val="12"/>
                <w:szCs w:val="12"/>
              </w:rPr>
            </w:pPr>
          </w:p>
        </w:tc>
        <w:tc>
          <w:tcPr>
            <w:tcW w:w="1418" w:type="dxa"/>
            <w:vMerge/>
            <w:vAlign w:val="bottom"/>
          </w:tcPr>
          <w:p w14:paraId="7F273930" w14:textId="77777777" w:rsidR="007B647D" w:rsidRPr="00A406E5" w:rsidRDefault="007B647D" w:rsidP="00367D31">
            <w:pPr>
              <w:ind w:leftChars="71" w:left="170"/>
              <w:rPr>
                <w:rFonts w:ascii="Arial" w:hAnsi="Arial" w:cs="Arial"/>
              </w:rPr>
            </w:pPr>
          </w:p>
        </w:tc>
      </w:tr>
      <w:tr w:rsidR="007B647D" w:rsidRPr="00A406E5" w14:paraId="10D781D5" w14:textId="77777777" w:rsidTr="00367D31">
        <w:trPr>
          <w:cantSplit/>
        </w:trPr>
        <w:tc>
          <w:tcPr>
            <w:tcW w:w="6062" w:type="dxa"/>
            <w:vMerge/>
            <w:vAlign w:val="bottom"/>
          </w:tcPr>
          <w:p w14:paraId="44DB19B8" w14:textId="77777777" w:rsidR="007B647D" w:rsidRPr="00A406E5" w:rsidRDefault="007B647D" w:rsidP="00367D31">
            <w:pPr>
              <w:rPr>
                <w:rFonts w:ascii="Arial" w:hAnsi="Arial" w:cs="Arial"/>
              </w:rPr>
            </w:pPr>
          </w:p>
        </w:tc>
        <w:tc>
          <w:tcPr>
            <w:tcW w:w="2155" w:type="dxa"/>
            <w:vAlign w:val="bottom"/>
          </w:tcPr>
          <w:p w14:paraId="24767DDD" w14:textId="77777777" w:rsidR="007B647D" w:rsidRPr="00A406E5" w:rsidRDefault="007B647D" w:rsidP="00367D31">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850" w:type="dxa"/>
            <w:vAlign w:val="bottom"/>
          </w:tcPr>
          <w:p w14:paraId="70C74ED7" w14:textId="77777777" w:rsidR="007B647D" w:rsidRPr="00A406E5" w:rsidRDefault="007B647D" w:rsidP="00367D31">
            <w:pPr>
              <w:jc w:val="center"/>
              <w:rPr>
                <w:rFonts w:ascii="Arial" w:hAnsi="Arial" w:cs="Arial"/>
                <w:sz w:val="12"/>
                <w:szCs w:val="12"/>
              </w:rPr>
            </w:pPr>
          </w:p>
        </w:tc>
        <w:tc>
          <w:tcPr>
            <w:tcW w:w="1418" w:type="dxa"/>
            <w:vMerge/>
            <w:vAlign w:val="bottom"/>
          </w:tcPr>
          <w:p w14:paraId="292879DB" w14:textId="77777777" w:rsidR="007B647D" w:rsidRPr="00A406E5" w:rsidRDefault="007B647D" w:rsidP="00367D31">
            <w:pPr>
              <w:ind w:firstLineChars="141" w:firstLine="338"/>
              <w:rPr>
                <w:rFonts w:ascii="Arial" w:hAnsi="Arial" w:cs="Arial"/>
              </w:rPr>
            </w:pPr>
          </w:p>
        </w:tc>
      </w:tr>
    </w:tbl>
    <w:p w14:paraId="369C6F7E" w14:textId="77777777" w:rsidR="007B647D" w:rsidRDefault="007B647D" w:rsidP="007B647D">
      <w:pPr>
        <w:rPr>
          <w:rFonts w:ascii="Arial" w:hAnsi="Arial" w:cs="Arial"/>
        </w:rPr>
      </w:pPr>
    </w:p>
    <w:p w14:paraId="2A6E0792" w14:textId="77777777" w:rsidR="007B647D" w:rsidRDefault="007B647D" w:rsidP="007B647D">
      <w:pPr>
        <w:rPr>
          <w:rFonts w:ascii="Arial" w:hAnsi="Arial" w:cs="Arial"/>
        </w:rPr>
      </w:pPr>
    </w:p>
    <w:p w14:paraId="5A253ADD" w14:textId="77777777" w:rsidR="007B647D" w:rsidRDefault="007B647D" w:rsidP="007B647D"/>
    <w:p w14:paraId="546E81F8" w14:textId="77777777" w:rsidR="007B647D" w:rsidRDefault="007B647D"/>
    <w:sectPr w:rsidR="007B647D" w:rsidSect="002858EF">
      <w:headerReference w:type="default" r:id="rId7"/>
      <w:footerReference w:type="even" r:id="rId8"/>
      <w:foot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080E95" w14:textId="77777777" w:rsidR="001029A8" w:rsidRDefault="001029A8" w:rsidP="007B647D">
      <w:r>
        <w:separator/>
      </w:r>
    </w:p>
  </w:endnote>
  <w:endnote w:type="continuationSeparator" w:id="0">
    <w:p w14:paraId="227D4BB7" w14:textId="77777777" w:rsidR="001029A8" w:rsidRDefault="001029A8" w:rsidP="007B64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74951279"/>
      <w:docPartObj>
        <w:docPartGallery w:val="Page Numbers (Bottom of Page)"/>
        <w:docPartUnique/>
      </w:docPartObj>
    </w:sdtPr>
    <w:sdtContent>
      <w:p w14:paraId="47AE8312" w14:textId="1D3EE6A5" w:rsidR="007B647D" w:rsidRDefault="007B647D" w:rsidP="004B33D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2EFE19A" w14:textId="77777777" w:rsidR="007B647D" w:rsidRDefault="007B64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72811957"/>
      <w:docPartObj>
        <w:docPartGallery w:val="Page Numbers (Bottom of Page)"/>
        <w:docPartUnique/>
      </w:docPartObj>
    </w:sdtPr>
    <w:sdtContent>
      <w:p w14:paraId="23A671EE" w14:textId="3873BD9F" w:rsidR="007B647D" w:rsidRDefault="007B647D" w:rsidP="004B33D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EFE7A4C" w14:textId="77777777" w:rsidR="007B647D" w:rsidRDefault="007B64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37FDA7" w14:textId="77777777" w:rsidR="001029A8" w:rsidRDefault="001029A8" w:rsidP="007B647D">
      <w:r>
        <w:separator/>
      </w:r>
    </w:p>
  </w:footnote>
  <w:footnote w:type="continuationSeparator" w:id="0">
    <w:p w14:paraId="41122FB3" w14:textId="77777777" w:rsidR="001029A8" w:rsidRDefault="001029A8" w:rsidP="007B64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3E3E16" w14:textId="33FEE6FD" w:rsidR="007B647D" w:rsidRDefault="007B647D">
    <w:pPr>
      <w:pStyle w:val="Header"/>
    </w:pPr>
    <w:r>
      <w:t>Student number: 1502459</w:t>
    </w:r>
    <w:r>
      <w:ptab w:relativeTo="margin" w:alignment="right" w:leader="none"/>
    </w:r>
    <w:r>
      <w:t>Module code: ECAD6001-C</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647D"/>
    <w:rsid w:val="001029A8"/>
    <w:rsid w:val="002858EF"/>
    <w:rsid w:val="007B64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ADC2A"/>
  <w15:chartTrackingRefBased/>
  <w15:docId w15:val="{51FF0991-2DC9-6E4B-AE62-F9C430CE6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B647D"/>
  </w:style>
  <w:style w:type="paragraph" w:styleId="Heading1">
    <w:name w:val="heading 1"/>
    <w:basedOn w:val="Normal"/>
    <w:next w:val="Normal"/>
    <w:link w:val="Heading1Char"/>
    <w:uiPriority w:val="9"/>
    <w:qFormat/>
    <w:rsid w:val="007B647D"/>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B647D"/>
    <w:pPr>
      <w:spacing w:before="100" w:beforeAutospacing="1" w:after="100" w:afterAutospacing="1"/>
    </w:pPr>
    <w:rPr>
      <w:rFonts w:ascii="Times New Roman" w:eastAsia="Times New Roman" w:hAnsi="Times New Roman" w:cs="Times New Roman"/>
    </w:rPr>
  </w:style>
  <w:style w:type="paragraph" w:styleId="Header">
    <w:name w:val="header"/>
    <w:basedOn w:val="Normal"/>
    <w:link w:val="HeaderChar"/>
    <w:uiPriority w:val="99"/>
    <w:unhideWhenUsed/>
    <w:rsid w:val="007B647D"/>
    <w:pPr>
      <w:tabs>
        <w:tab w:val="center" w:pos="4680"/>
        <w:tab w:val="right" w:pos="9360"/>
      </w:tabs>
    </w:pPr>
  </w:style>
  <w:style w:type="character" w:customStyle="1" w:styleId="HeaderChar">
    <w:name w:val="Header Char"/>
    <w:basedOn w:val="DefaultParagraphFont"/>
    <w:link w:val="Header"/>
    <w:uiPriority w:val="99"/>
    <w:rsid w:val="007B647D"/>
  </w:style>
  <w:style w:type="paragraph" w:styleId="Footer">
    <w:name w:val="footer"/>
    <w:basedOn w:val="Normal"/>
    <w:link w:val="FooterChar"/>
    <w:uiPriority w:val="99"/>
    <w:unhideWhenUsed/>
    <w:rsid w:val="007B647D"/>
    <w:pPr>
      <w:tabs>
        <w:tab w:val="center" w:pos="4680"/>
        <w:tab w:val="right" w:pos="9360"/>
      </w:tabs>
    </w:pPr>
  </w:style>
  <w:style w:type="character" w:customStyle="1" w:styleId="FooterChar">
    <w:name w:val="Footer Char"/>
    <w:basedOn w:val="DefaultParagraphFont"/>
    <w:link w:val="Footer"/>
    <w:uiPriority w:val="99"/>
    <w:rsid w:val="007B647D"/>
  </w:style>
  <w:style w:type="character" w:styleId="PageNumber">
    <w:name w:val="page number"/>
    <w:basedOn w:val="DefaultParagraphFont"/>
    <w:uiPriority w:val="99"/>
    <w:semiHidden/>
    <w:unhideWhenUsed/>
    <w:rsid w:val="007B647D"/>
  </w:style>
  <w:style w:type="character" w:customStyle="1" w:styleId="Heading1Char">
    <w:name w:val="Heading 1 Char"/>
    <w:basedOn w:val="DefaultParagraphFont"/>
    <w:link w:val="Heading1"/>
    <w:uiPriority w:val="9"/>
    <w:rsid w:val="007B647D"/>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7B64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Pem181</b:Tag>
    <b:SourceType>InternetSite</b:SourceType>
    <b:Guid>{CAB051F0-D363-C74A-BA8A-AD4EDAE9B5AB}</b:Guid>
    <b:Author>
      <b:Author>
        <b:NameList>
          <b:Person>
            <b:Last>Council</b:Last>
            <b:First>Pembrokeshire</b:First>
            <b:Middle>County</b:Middle>
          </b:Person>
        </b:NameList>
      </b:Author>
    </b:Author>
    <b:Title>Specialist Services and Provision - Gypsy Traveller Education</b:Title>
    <b:InternetSiteTitle>www.pembrokeshire.gov.uk</b:InternetSiteTitle>
    <b:URL>https://www.pembrokeshire.gov.uk/specialist-services-and-provision/gypsy-traveller-education</b:URL>
    <b:Year>2018</b:Year>
    <b:Month>March</b:Month>
    <b:RefOrder>1</b:RefOrder>
  </b:Source>
  <b:Source>
    <b:Tag>The09</b:Tag>
    <b:SourceType>DocumentFromInternetSite</b:SourceType>
    <b:Guid>{8E275978-598E-754F-8D9B-10AE813274A9}</b:Guid>
    <b:Title>Getting to Grips with Assessing Pupils' Progress</b:Title>
    <b:InternetSiteTitle>www.teachernet.gov.uk</b:InternetSiteTitle>
    <b:URL>www.teachernet.gov.uk/publications</b:URL>
    <b:Year>2009</b:Year>
    <b:Author>
      <b:Author>
        <b:NameList>
          <b:Person>
            <b:Last>Plan</b:Last>
            <b:First>The</b:First>
            <b:Middle>Children's</b:Middle>
          </b:Person>
        </b:NameList>
      </b:Author>
    </b:Author>
    <b:RefOrder>2</b:RefOrder>
  </b:Source>
  <b:Source>
    <b:Tag>Dep15</b:Tag>
    <b:SourceType>DocumentFromInternetSite</b:SourceType>
    <b:Guid>{983ADBF2-9CF6-F541-B54C-99BF670CE994}</b:Guid>
    <b:Title>Well-being of Future Generations (Wales) Act 2015 - The Essentials.</b:Title>
    <b:Year>2015</b:Year>
    <b:Author>
      <b:Author>
        <b:NameList>
          <b:Person>
            <b:Last>Welsh Assembly Government</b:Last>
            <b:First>Department</b:First>
            <b:Middle>for Natural Resources of the Welsh</b:Middle>
          </b:Person>
        </b:NameList>
      </b:Author>
    </b:Author>
    <b:InternetSiteTitle>www.futuregenerations.wales</b:InternetSiteTitle>
    <b:URL>https://futuregenerations.wales/wp-content/uploads/2017/02/150623-guide-to-the-fg-act-en.pdf</b:URL>
    <b:Month>May</b:Month>
    <b:RefOrder>3</b:RefOrder>
  </b:Source>
  <b:Source>
    <b:Tag>Gor15</b:Tag>
    <b:SourceType>Report</b:SourceType>
    <b:Guid>{81508096-8E68-CD42-B90E-0EBD3E5BCE6C}</b:Guid>
    <b:Title>Philosophy for Children</b:Title>
    <b:Year>2015</b:Year>
    <b:Author>
      <b:Author>
        <b:NameList>
          <b:Person>
            <b:Last>Gorard</b:Last>
            <b:First>Stephen</b:First>
          </b:Person>
          <b:Person>
            <b:Last>Siddiqui</b:Last>
            <b:First>Nadia</b:First>
          </b:Person>
          <b:Person>
            <b:Last>See</b:Last>
            <b:First>Beng</b:First>
            <b:Middle>Huat</b:Middle>
          </b:Person>
        </b:NameList>
      </b:Author>
    </b:Author>
    <b:Publisher>Durham University</b:Publisher>
    <b:City>Durham</b:City>
    <b:RefOrder>4</b:RefOrder>
  </b:Source>
  <b:Source>
    <b:Tag>Don15</b:Tag>
    <b:SourceType>DocumentFromInternetSite</b:SourceType>
    <b:Guid>{47778F98-D932-344F-87F7-D3299D258D9F}</b:Guid>
    <b:Author>
      <b:Author>
        <b:NameList>
          <b:Person>
            <b:Last>Donaldson</b:Last>
            <b:First>Graham</b:First>
          </b:Person>
        </b:NameList>
      </b:Author>
    </b:Author>
    <b:Title>Successful Futures </b:Title>
    <b:InternetSiteTitle>www.gov.wales</b:InternetSiteTitle>
    <b:URL>https://gov.wales/docs/dcells/publications/150225-successful-futures-en.pdf</b:URL>
    <b:Year>2015</b:Year>
    <b:Month>February</b:Month>
    <b:RefOrder>5</b:RefOrder>
  </b:Source>
  <b:Source>
    <b:Tag>Sym15</b:Tag>
    <b:SourceType>Book</b:SourceType>
    <b:Guid>{17D7BB6D-B3E3-9B49-A7DE-D40EBDAED936}</b:Guid>
    <b:Title>Understanding School Transition </b:Title>
    <b:Year>2015</b:Year>
    <b:Author>
      <b:Author>
        <b:NameList>
          <b:Person>
            <b:Last>Symonds</b:Last>
            <b:First>Jennifer</b:First>
          </b:Person>
        </b:NameList>
      </b:Author>
    </b:Author>
    <b:City>Oxon</b:City>
    <b:Publisher>Routledge</b:Publisher>
    <b:RefOrder>6</b:RefOrder>
  </b:Source>
  <b:Source>
    <b:Tag>Whi97</b:Tag>
    <b:SourceType>DocumentFromInternetSite</b:SourceType>
    <b:Guid>{54F5755B-08CA-8A4C-BC94-153BED67BF68}</b:Guid>
    <b:Title>White Paper: Excellence in Schools </b:Title>
    <b:InternetSiteTitle>www.educationengland.org.uk</b:InternetSiteTitle>
    <b:URL>http://www.educationengland.org.uk/documents/wp1997/excellence-in-schools.html</b:URL>
    <b:Year>1997</b:Year>
    <b:Month>July</b:Month>
    <b:RefOrder>7</b:RefOrder>
  </b:Source>
  <b:Source>
    <b:Tag>Est181</b:Tag>
    <b:SourceType>Report</b:SourceType>
    <b:Guid>{56D97AC6-015E-9B4C-88D3-CA7988974BED}</b:Guid>
    <b:Author>
      <b:Author>
        <b:NameList>
          <b:Person>
            <b:Last>Estyn</b:Last>
          </b:Person>
        </b:NameList>
      </b:Author>
    </b:Author>
    <b:Title>Guidance handbook for the inspection of primary schools from September 2018</b:Title>
    <b:Year>2018</b:Year>
    <b:Publisher>Estyn </b:Publisher>
    <b:City>Cardiff</b:City>
    <b:RefOrder>8</b:RefOrder>
  </b:Source>
  <b:Source>
    <b:Tag>Est182</b:Tag>
    <b:SourceType>DocumentFromInternetSite</b:SourceType>
    <b:Guid>{7009F059-EFE3-6349-8CFA-EBA6EEC9E076}</b:Guid>
    <b:Title>Guidance handbook for the inspection of primary schools from September 2018</b:Title>
    <b:Year>2018</b:Year>
    <b:Author>
      <b:Author>
        <b:NameList>
          <b:Person>
            <b:Last>Estyn</b:Last>
          </b:Person>
        </b:NameList>
      </b:Author>
    </b:Author>
    <b:InternetSiteTitle>www.estyn.gov.wales</b:InternetSiteTitle>
    <b:URL>https://www.estyn.gov.wales/sites/default/files/documents/Guidance%20handbook%20for%20the%20inspection%20of%20primary%20schools%20-%202018.pdf</b:URL>
    <b:Month>September</b:Month>
    <b:RefOrder>9</b:RefOrder>
  </b:Source>
  <b:Source>
    <b:Tag>Wel08</b:Tag>
    <b:SourceType>DocumentFromInternetSite</b:SourceType>
    <b:Guid>{414F3476-7268-8746-B074-612D077CDCCC}</b:Guid>
    <b:Author>
      <b:Author>
        <b:NameList>
          <b:Person>
            <b:Last>Government</b:Last>
            <b:First>Welsh</b:First>
            <b:Middle>Assembly</b:Middle>
          </b:Person>
        </b:NameList>
      </b:Author>
    </b:Author>
    <b:Title>Moving Forward - Gypsy Traveller Education</b:Title>
    <b:InternetSiteTitle>learning.gov.wales</b:InternetSiteTitle>
    <b:URL>http://learning.gov.wales/docs/learningwales/publications/121113travellereducationen.pdf</b:URL>
    <b:Year>2008</b:Year>
    <b:Month>March</b:Month>
    <b:RefOrder>10</b:RefOrder>
  </b:Source>
  <b:Source>
    <b:Tag>Est16</b:Tag>
    <b:SourceType>InternetSite</b:SourceType>
    <b:Guid>{76ED41BB-EDCE-984D-9AF2-8C79361731CE}</b:Guid>
    <b:Title>Creating an Engaging Learning Environment</b:Title>
    <b:InternetSiteTitle>www.estyn.gov.wales</b:InternetSiteTitle>
    <b:URL>https://www.estyn.gov.wales/effective-practice/creating-engaging-learning-environment</b:URL>
    <b:Year>2016</b:Year>
    <b:Month>April</b:Month>
    <b:Author>
      <b:Author>
        <b:NameList>
          <b:Person>
            <b:Last>Estyn</b:Last>
          </b:Person>
        </b:NameList>
      </b:Author>
    </b:Author>
    <b:RefOrder>11</b:RefOrder>
  </b:Source>
  <b:Source>
    <b:Tag>Wel16</b:Tag>
    <b:SourceType>DocumentFromInternetSite</b:SourceType>
    <b:Guid>{1198BD63-F695-D441-8BE3-B5E744D71A0C}</b:Guid>
    <b:Author>
      <b:Author>
        <b:NameList>
          <b:Person>
            <b:Last>Government</b:Last>
            <b:First>Welsh</b:First>
            <b:Middle>Assembly</b:Middle>
          </b:Person>
        </b:NameList>
      </b:Author>
    </b:Author>
    <b:Title>Inclusion and Pupil Support</b:Title>
    <b:InternetSiteTitle>www.gov.wales</b:InternetSiteTitle>
    <b:URL>gov.wales/topics/educationandskills/schoolshome/ pupilsupport/inclusionpupilsupportguidance/?lang=en</b:URL>
    <b:Year>2016</b:Year>
    <b:Month>March</b:Month>
    <b:RefOrder>12</b:RefOrder>
  </b:Source>
  <b:Source>
    <b:Tag>Tyl05</b:Tag>
    <b:SourceType>Book</b:SourceType>
    <b:Guid>{8A94EBAC-4821-C841-B711-23AF8671DDAE}</b:Guid>
    <b:Title>Traveller Education - Accounts of Good Practice</b:Title>
    <b:Year>2005</b:Year>
    <b:Author>
      <b:Author>
        <b:NameList>
          <b:Person>
            <b:Last>Tyler</b:Last>
          </b:Person>
          <b:Person>
            <b:Last>Chris</b:Last>
          </b:Person>
        </b:NameList>
      </b:Author>
    </b:Author>
    <b:City>Stoke-on-Trent</b:City>
    <b:Publisher>Trentham Books Ltd</b:Publisher>
    <b:RefOrder>13</b:RefOrder>
  </b:Source>
  <b:Source>
    <b:Tag>Bin10</b:Tag>
    <b:SourceType>DocumentFromInternetSite</b:SourceType>
    <b:Guid>{1B717940-6754-CC4A-9B47-E57EA5DA757F}</b:Guid>
    <b:Title>Child Poverty Relating to Gypsy and Traveller Children and Young People in Sussex</b:Title>
    <b:Year>2010</b:Year>
    <b:Author>
      <b:Author>
        <b:NameList>
          <b:Person>
            <b:Last>Bingham</b:Last>
          </b:Person>
          <b:Person>
            <b:Last>Clare</b:Last>
          </b:Person>
        </b:NameList>
      </b:Author>
    </b:Author>
    <b:URL>http://www.gypsy-traveller.org/wp-content/uploads/2010/08/poverty-needs-assessment-report-youth.pdf</b:URL>
    <b:Month>December</b:Month>
    <b:YearAccessed>2018</b:YearAccessed>
    <b:MonthAccessed>October</b:MonthAccessed>
    <b:RefOrder>14</b:RefOrder>
  </b:Source>
  <b:Source>
    <b:Tag>OHa04</b:Tag>
    <b:SourceType>Book</b:SourceType>
    <b:Guid>{071887BC-C25D-9A44-AAD7-FD63824DE385}</b:Guid>
    <b:Title>The Education of Gypsy and Traveller Children Towards Inclusion and Educational Achievement</b:Title>
    <b:Year>2004</b:Year>
    <b:Author>
      <b:Author>
        <b:NameList>
          <b:Person>
            <b:Last>O'Hanlon</b:Last>
          </b:Person>
          <b:Person>
            <b:Last>Christine</b:Last>
            <b:First>Holmes</b:First>
          </b:Person>
          <b:Person>
            <b:Last>Pat</b:Last>
          </b:Person>
        </b:NameList>
      </b:Author>
    </b:Author>
    <b:City>Stoke-on-Trent</b:City>
    <b:Publisher>Trentham Books Ltd</b:Publisher>
    <b:RefOrder>15</b:RefOrder>
  </b:Source>
  <b:Source>
    <b:Tag>Wel14</b:Tag>
    <b:SourceType>DocumentFromInternetSite</b:SourceType>
    <b:Guid>{D5A39AE1-D47E-B24A-8C89-F641BA905737}</b:Guid>
    <b:Title>Travelling together </b:Title>
    <b:Year>2014</b:Year>
    <b:Author>
      <b:Author>
        <b:NameList>
          <b:Person>
            <b:Last>Government</b:Last>
            <b:First>Welsh</b:First>
            <b:Middle>Assembly</b:Middle>
          </b:Person>
        </b:NameList>
      </b:Author>
    </b:Author>
    <b:URL>http://learning.gov.wales/docs/learningwales/publications/140304-travelling-together-guidance-en.pdf</b:URL>
    <b:Month>February</b:Month>
    <b:YearAccessed>2018</b:YearAccessed>
    <b:MonthAccessed>October</b:MonthAccessed>
    <b:RefOrder>16</b:RefOrder>
  </b:Source>
  <b:Source>
    <b:Tag>Dan07</b:Tag>
    <b:SourceType>Book</b:SourceType>
    <b:Guid>{D884E9B0-A2B1-BB42-8C80-D7AAADE10C54}</b:Guid>
    <b:Title>Teaching Traveller Children - Maximising Learning Outcomes</b:Title>
    <b:Year>2007</b:Year>
    <b:Author>
      <b:Author>
        <b:NameList>
          <b:Person>
            <b:Last>Danaher</b:Last>
          </b:Person>
          <b:Person>
            <b:Last>Patrick Alan</b:Last>
            <b:First>Coombes</b:First>
          </b:Person>
          <b:Person>
            <b:Last>Phyllida</b:Last>
            <b:First>Kiddle</b:First>
          </b:Person>
          <b:Person>
            <b:Last>Cathy</b:Last>
          </b:Person>
        </b:NameList>
      </b:Author>
    </b:Author>
    <b:City>Stoke-on-Trent</b:City>
    <b:Publisher>Trentham Books Ltd</b:Publisher>
    <b:RefOrder>17</b:RefOrder>
  </b:Source>
  <b:Source>
    <b:Tag>Dal98</b:Tag>
    <b:SourceType>Book</b:SourceType>
    <b:Guid>{6140948E-D1E2-814A-9A3B-BBA7C09A0749}</b:Guid>
    <b:Author>
      <b:Author>
        <b:NameList>
          <b:Person>
            <b:Last>Dalin</b:Last>
            <b:First>Per</b:First>
          </b:Person>
        </b:NameList>
      </b:Author>
    </b:Author>
    <b:Title>School development : theories and strategies.</b:Title>
    <b:City>London</b:City>
    <b:Publisher>Cassell</b:Publisher>
    <b:Year>1998</b:Year>
    <b:RefOrder>18</b:RefOrder>
  </b:Source>
  <b:Source>
    <b:Tag>Rix10</b:Tag>
    <b:SourceType>Book</b:SourceType>
    <b:Guid>{4BA93C48-C8FE-8145-AEDF-F6E8045924E8}</b:Guid>
    <b:Author>
      <b:Author>
        <b:NameList>
          <b:Person>
            <b:Last>Rix</b:Last>
            <b:First>Jonathan</b:First>
          </b:Person>
          <b:Person>
            <b:Last>Nind</b:Last>
            <b:First>Melanie</b:First>
          </b:Person>
          <b:Person>
            <b:Last>Sheehy</b:Last>
            <b:First>Kieran</b:First>
          </b:Person>
          <b:Person>
            <b:Last>Simmons</b:Last>
            <b:First>Katy</b:First>
          </b:Person>
          <b:Person>
            <b:Last>Walsh</b:Last>
            <b:First>Christopher</b:First>
          </b:Person>
        </b:NameList>
      </b:Author>
    </b:Author>
    <b:Title>Equality, Participation and Inclusion Diverse Perspectives</b:Title>
    <b:City>Oxon</b:City>
    <b:Publisher>Routledge</b:Publisher>
    <b:Year>2010</b:Year>
    <b:RefOrder>19</b:RefOrder>
  </b:Source>
  <b:Source>
    <b:Tag>Gov10</b:Tag>
    <b:SourceType>DocumentFromInternetSite</b:SourceType>
    <b:Guid>{F0DB919F-F5BF-FD44-9461-1E14C5FE82E5}</b:Guid>
    <b:Author>
      <b:Author>
        <b:NameList>
          <b:Person>
            <b:Last>Government</b:Last>
            <b:First>Welsh</b:First>
            <b:Middle>Assembly</b:Middle>
          </b:Person>
        </b:NameList>
      </b:Author>
    </b:Author>
    <b:Title>Making the Most of Assessment</b:Title>
    <b:Year>2010</b:Year>
    <b:URL>http://learning.gov.wales/docs/learningwales/publications/130425-making-the-most-en.pdf</b:URL>
    <b:Month>April</b:Month>
    <b:YearAccessed>2018</b:YearAccessed>
    <b:MonthAccessed>October</b:MonthAccessed>
    <b:RefOrder>20</b:RefOrder>
  </b:Source>
  <b:Source>
    <b:Tag>The18</b:Tag>
    <b:SourceType>DocumentFromInternetSite</b:SourceType>
    <b:Guid>{D2459512-E498-F444-A43B-C243B7CF99D7}</b:Guid>
    <b:Author>
      <b:Author>
        <b:NameList>
          <b:Person>
            <b:Last>Society</b:Last>
            <b:First>The</b:First>
            <b:Middle>Children's</b:Middle>
          </b:Person>
        </b:NameList>
      </b:Author>
    </b:Author>
    <b:Title>The Good Childhood Report Summary</b:Title>
    <b:URL>https://www.childrenssociety.org.uk/sites/default/files/the_good_childhood_summary_2018.pdf</b:URL>
    <b:Year>2018</b:Year>
    <b:YearAccessed>2018</b:YearAccessed>
    <b:MonthAccessed>October</b:MonthAccessed>
    <b:RefOrder>21</b:RefOrder>
  </b:Source>
  <b:Source>
    <b:Tag>Uni891</b:Tag>
    <b:SourceType>DocumentFromInternetSite</b:SourceType>
    <b:Guid>{106CE291-2F58-844B-BA18-9A9B9DE7925E}</b:Guid>
    <b:Author>
      <b:Author>
        <b:NameList>
          <b:Person>
            <b:Last>Unicef</b:Last>
          </b:Person>
        </b:NameList>
      </b:Author>
    </b:Author>
    <b:Title>The United Nations Convention on the Rights of the Child</b:Title>
    <b:URL>https://www.unicef.org.uk/wp-content/uploads/2010/05/UNCRC_united_nations_convention_on_the_rights_of_the_child.pdf</b:URL>
    <b:Year>1989</b:Year>
    <b:YearAccessed>2018</b:YearAccessed>
    <b:MonthAccessed>October</b:MonthAccessed>
    <b:RefOrder>22</b:RefOrder>
  </b:Source>
  <b:Source>
    <b:Tag>Des03</b:Tag>
    <b:SourceType>Report</b:SourceType>
    <b:Guid>{0DDCEBA7-EB76-2843-BAEB-60307EC0BB47}</b:Guid>
    <b:Title>THE IMPACT OF PARENTAL INVOLVEMENT, PARENTAL SUPPORT AND FAMILY EDUCATION ON PUPIL ACHIEVEMENT AND ADJUSTMENT: A LITERATURE REVIEW</b:Title>
    <b:Year>2003</b:Year>
    <b:Author>
      <b:Author>
        <b:NameList>
          <b:Person>
            <b:Last>Desforges</b:Last>
            <b:First>Charles</b:First>
          </b:Person>
          <b:Person>
            <b:Last>Abouchaar</b:Last>
            <b:First>Alberto</b:First>
          </b:Person>
        </b:NameList>
      </b:Author>
    </b:Author>
    <b:Publisher>Department for Education and Skills</b:Publisher>
    <b:City>Nottingham</b:City>
    <b:RefOrder>23</b:RefOrder>
  </b:Source>
  <b:Source>
    <b:Tag>Tea08</b:Tag>
    <b:SourceType>InternetSite</b:SourceType>
    <b:Guid>{402B37BC-7B81-6446-BF30-ACDA901FC30F}</b:Guid>
    <b:Title>Philosophy for Children</b:Title>
    <b:Year>2008</b:Year>
    <b:Author>
      <b:Author>
        <b:NameList>
          <b:Person>
            <b:Last>Times</b:Last>
            <b:First>Teaching</b:First>
          </b:Person>
        </b:NameList>
      </b:Author>
    </b:Author>
    <b:URL>https://www.teachingtimes.com/kb/53/philosophy-for-children.htm</b:URL>
    <b:YearAccessed>2018</b:YearAccessed>
    <b:MonthAccessed>October</b:MonthAccessed>
    <b:RefOrder>24</b:RefOrder>
  </b:Source>
  <b:Source>
    <b:Tag>Sap15</b:Tag>
    <b:SourceType>InternetSite</b:SourceType>
    <b:Guid>{9DC2CFFB-46EC-FA48-85B6-71D985029E46}</b:Guid>
    <b:Author>
      <b:Author>
        <b:NameList>
          <b:Person>
            <b:Last>Sapere</b:Last>
          </b:Person>
        </b:NameList>
      </b:Author>
    </b:Author>
    <b:Title>Philosophy for Children in primary to secondary school transition</b:Title>
    <b:URL>https://saperep4c.wordpress.com/2015/05/01/philosophy-for-children-in-primary-to-secondary-school-transition/</b:URL>
    <b:Year>2015</b:Year>
    <b:YearAccessed>2018</b:YearAccessed>
    <b:MonthAccessed>October</b:MonthAccessed>
    <b:RefOrder>25</b:RefOrder>
  </b:Source>
  <b:Source>
    <b:Tag>Mon18</b:Tag>
    <b:SourceType>DocumentFromInternetSite</b:SourceType>
    <b:Guid>{CE654024-ECC1-FC4A-B6BD-DBFED94E2188}</b:Guid>
    <b:Title>School Development Plans</b:Title>
    <b:URL>http://www.monktonpriory.co.uk/school-development-plans/</b:URL>
    <b:Year>2018</b:Year>
    <b:YearAccessed>2018</b:YearAccessed>
    <b:MonthAccessed>October</b:MonthAccessed>
    <b:Author>
      <b:Author>
        <b:NameList>
          <b:Person>
            <b:Last>Priory</b:Last>
            <b:First>Monkon</b:First>
          </b:Person>
        </b:NameList>
      </b:Author>
    </b:Author>
    <b:RefOrder>26</b:RefOrder>
  </b:Source>
</b:Sources>
</file>

<file path=customXml/itemProps1.xml><?xml version="1.0" encoding="utf-8"?>
<ds:datastoreItem xmlns:ds="http://schemas.openxmlformats.org/officeDocument/2006/customXml" ds:itemID="{A535847A-5B33-B24F-9FDC-B8AB1064BD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2957</Words>
  <Characters>16859</Characters>
  <Application>Microsoft Office Word</Application>
  <DocSecurity>0</DocSecurity>
  <Lines>140</Lines>
  <Paragraphs>39</Paragraphs>
  <ScaleCrop>false</ScaleCrop>
  <Company/>
  <LinksUpToDate>false</LinksUpToDate>
  <CharactersWithSpaces>19777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Welsh (1502459)</dc:creator>
  <cp:keywords/>
  <dc:description/>
  <cp:lastModifiedBy>Naomi Welsh (1502459)</cp:lastModifiedBy>
  <cp:revision>1</cp:revision>
  <dcterms:created xsi:type="dcterms:W3CDTF">2018-11-13T00:49:00Z</dcterms:created>
  <dcterms:modified xsi:type="dcterms:W3CDTF">2018-11-13T00:51:00Z</dcterms:modified>
</cp:coreProperties>
</file>